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85" w:rsidRPr="00E503D4" w:rsidRDefault="00913685" w:rsidP="00913685">
      <w:pPr>
        <w:spacing w:line="360" w:lineRule="auto"/>
        <w:jc w:val="center"/>
        <w:rPr>
          <w:rFonts w:ascii="Times New Roman" w:hAnsi="Times New Roman" w:cs="Times New Roman"/>
          <w:b/>
          <w:sz w:val="28"/>
          <w:szCs w:val="28"/>
        </w:rPr>
      </w:pPr>
      <w:r w:rsidRPr="00E503D4">
        <w:rPr>
          <w:rFonts w:ascii="Times New Roman" w:hAnsi="Times New Roman" w:cs="Times New Roman"/>
          <w:b/>
          <w:sz w:val="28"/>
          <w:szCs w:val="28"/>
        </w:rPr>
        <w:t xml:space="preserve">Memory-Enhancing and neuroprotective properties of phytoestrogen-enriched fraction of </w:t>
      </w:r>
      <w:r w:rsidRPr="00016B23">
        <w:rPr>
          <w:rFonts w:ascii="Times New Roman" w:hAnsi="Times New Roman" w:cs="Times New Roman"/>
          <w:b/>
          <w:i/>
          <w:iCs/>
          <w:sz w:val="28"/>
          <w:szCs w:val="28"/>
          <w:highlight w:val="yellow"/>
        </w:rPr>
        <w:t>Ochnaschweinfurthiana</w:t>
      </w:r>
      <w:r w:rsidRPr="00016B23">
        <w:rPr>
          <w:rFonts w:ascii="Times New Roman" w:hAnsi="Times New Roman" w:cs="Times New Roman"/>
          <w:b/>
          <w:iCs/>
          <w:sz w:val="28"/>
          <w:szCs w:val="28"/>
          <w:highlight w:val="yellow"/>
        </w:rPr>
        <w:t>bark</w:t>
      </w:r>
      <w:r w:rsidRPr="00E503D4">
        <w:rPr>
          <w:rFonts w:ascii="Times New Roman" w:hAnsi="Times New Roman" w:cs="Times New Roman"/>
          <w:b/>
          <w:iCs/>
          <w:sz w:val="28"/>
          <w:szCs w:val="28"/>
        </w:rPr>
        <w:t xml:space="preserve"> in a combined model of menopause and cholinergic deficit.</w:t>
      </w:r>
    </w:p>
    <w:p w:rsidR="00913685" w:rsidRPr="00965123" w:rsidRDefault="00913685" w:rsidP="00913685">
      <w:pPr>
        <w:spacing w:after="0" w:line="360" w:lineRule="auto"/>
        <w:jc w:val="both"/>
        <w:rPr>
          <w:rFonts w:ascii="Times New Roman" w:hAnsi="Times New Roman" w:cs="Times New Roman"/>
          <w:b/>
        </w:rPr>
      </w:pPr>
    </w:p>
    <w:p w:rsidR="00913685" w:rsidRPr="00965123" w:rsidRDefault="00913685" w:rsidP="00913685">
      <w:pPr>
        <w:spacing w:after="0" w:line="360" w:lineRule="auto"/>
        <w:jc w:val="both"/>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Abstract</w:t>
      </w:r>
    </w:p>
    <w:p w:rsidR="00913685" w:rsidRPr="00965123" w:rsidRDefault="00913685" w:rsidP="00913685">
      <w:pPr>
        <w:spacing w:line="360" w:lineRule="auto"/>
        <w:jc w:val="both"/>
        <w:rPr>
          <w:rFonts w:ascii="Times New Roman" w:hAnsi="Times New Roman" w:cs="Times New Roman"/>
          <w:bCs/>
        </w:rPr>
      </w:pPr>
      <w:r w:rsidRPr="00965123">
        <w:rPr>
          <w:rFonts w:ascii="Times New Roman" w:hAnsi="Times New Roman" w:cs="Times New Roman"/>
          <w:bCs/>
        </w:rPr>
        <w:t xml:space="preserve">The present study investigated the neuroprotective and memory-enhancing effects of a phytoestrogen-rich fraction (PERF) of </w:t>
      </w:r>
      <w:r w:rsidRPr="00016B23">
        <w:rPr>
          <w:rFonts w:ascii="Times New Roman" w:hAnsi="Times New Roman" w:cs="Times New Roman"/>
          <w:bCs/>
          <w:i/>
          <w:highlight w:val="yellow"/>
        </w:rPr>
        <w:t>Ochnaschweinfurthiana</w:t>
      </w:r>
      <w:r w:rsidRPr="00965123">
        <w:rPr>
          <w:rFonts w:ascii="Times New Roman" w:hAnsi="Times New Roman" w:cs="Times New Roman"/>
          <w:bCs/>
        </w:rPr>
        <w:t xml:space="preserve"> bark in a combined model of menopause and cholinergic deficit</w:t>
      </w:r>
      <w:r>
        <w:rPr>
          <w:rFonts w:ascii="Times New Roman" w:hAnsi="Times New Roman" w:cs="Times New Roman"/>
          <w:bCs/>
        </w:rPr>
        <w:t xml:space="preserve">s. Ovariectomized rats were treated with PERF (264 and 528 mg/kg) or estradiol valerate for 12 weeks, followed by scopolamine administration to induce memory impairments. Cognitive performance </w:t>
      </w:r>
      <w:bookmarkStart w:id="0" w:name="_GoBack"/>
      <w:bookmarkEnd w:id="0"/>
      <w:r>
        <w:rPr>
          <w:rFonts w:ascii="Times New Roman" w:hAnsi="Times New Roman" w:cs="Times New Roman"/>
          <w:bCs/>
        </w:rPr>
        <w:t>was assessed using the Morris water maze test, and biochemical parameters</w:t>
      </w:r>
      <w:r w:rsidRPr="00965123">
        <w:rPr>
          <w:rFonts w:ascii="Times New Roman" w:hAnsi="Times New Roman" w:cs="Times New Roman"/>
          <w:bCs/>
        </w:rPr>
        <w:t xml:space="preserve"> including serum estradiol levels, brain acetylcholinesterase (AChE) activity, and oxidative stress markers were evaluated. PERF treatment significantly increased serum estradiol levels, reduced </w:t>
      </w:r>
      <w:r w:rsidRPr="00657BA4">
        <w:rPr>
          <w:rFonts w:ascii="Times New Roman" w:hAnsi="Times New Roman" w:cs="Times New Roman"/>
          <w:bCs/>
          <w:highlight w:val="yellow"/>
        </w:rPr>
        <w:t>escape latency</w:t>
      </w:r>
      <w:r w:rsidRPr="00965123">
        <w:rPr>
          <w:rFonts w:ascii="Times New Roman" w:hAnsi="Times New Roman" w:cs="Times New Roman"/>
          <w:bCs/>
        </w:rPr>
        <w:t xml:space="preserve">, and increased </w:t>
      </w:r>
      <w:r>
        <w:rPr>
          <w:rFonts w:ascii="Times New Roman" w:hAnsi="Times New Roman" w:cs="Times New Roman"/>
          <w:bCs/>
        </w:rPr>
        <w:t>the time spent in the target quadrant during the probe trial, indicating improved spatial memory. PERF also inhibit</w:t>
      </w:r>
      <w:r w:rsidRPr="00965123">
        <w:rPr>
          <w:rFonts w:ascii="Times New Roman" w:hAnsi="Times New Roman" w:cs="Times New Roman"/>
          <w:bCs/>
        </w:rPr>
        <w:t xml:space="preserve">s AChE activity and attenuates oxidative stress by increasing antioxidant enzyme levels (catalase and superoxide dismutase) and reducing lipid peroxidation (malondialdehyde) in the brain. The neuroprotective effects of PERF were comparable to those of estradiol valerate. These findings suggest that PERF of </w:t>
      </w:r>
      <w:r w:rsidRPr="006228A6">
        <w:rPr>
          <w:rFonts w:ascii="Times New Roman" w:hAnsi="Times New Roman" w:cs="Times New Roman"/>
          <w:bCs/>
          <w:i/>
          <w:highlight w:val="yellow"/>
        </w:rPr>
        <w:t>O. schweinfurthiana</w:t>
      </w:r>
      <w:r w:rsidRPr="006228A6">
        <w:rPr>
          <w:rFonts w:ascii="Times New Roman" w:hAnsi="Times New Roman" w:cs="Times New Roman"/>
          <w:bCs/>
          <w:highlight w:val="yellow"/>
        </w:rPr>
        <w:t>ameliorates</w:t>
      </w:r>
      <w:r w:rsidRPr="00965123">
        <w:rPr>
          <w:rFonts w:ascii="Times New Roman" w:hAnsi="Times New Roman" w:cs="Times New Roman"/>
          <w:bCs/>
        </w:rPr>
        <w:t xml:space="preserve"> </w:t>
      </w:r>
      <w:r>
        <w:rPr>
          <w:rFonts w:ascii="Times New Roman" w:hAnsi="Times New Roman" w:cs="Times New Roman"/>
          <w:bCs/>
        </w:rPr>
        <w:t>the cognitive deficits associated with menopause and cholinergic dysfunction, potentially through estrogenic, cholinergic, and antioxidant mechanisms. Further studies are warranted to elucidate the molecular pathways involved and to assess the long-term efficacy and safety of this phytoestrogen-rich fraction in clinical populations.</w:t>
      </w:r>
    </w:p>
    <w:p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b/>
        </w:rPr>
        <w:t xml:space="preserve">Keywords: </w:t>
      </w:r>
      <w:r w:rsidRPr="00965123">
        <w:rPr>
          <w:rFonts w:ascii="Times New Roman" w:hAnsi="Times New Roman" w:cs="Times New Roman"/>
          <w:bCs/>
        </w:rPr>
        <w:t xml:space="preserve">Phytoestrogen; </w:t>
      </w:r>
      <w:r w:rsidRPr="00016B23">
        <w:rPr>
          <w:rFonts w:ascii="Times New Roman" w:hAnsi="Times New Roman" w:cs="Times New Roman"/>
          <w:bCs/>
          <w:i/>
          <w:highlight w:val="yellow"/>
        </w:rPr>
        <w:t>Ochnaschweinfurthiana</w:t>
      </w:r>
      <w:r w:rsidRPr="00965123">
        <w:rPr>
          <w:rFonts w:ascii="Times New Roman" w:hAnsi="Times New Roman" w:cs="Times New Roman"/>
          <w:bCs/>
        </w:rPr>
        <w:t>; Cognitive impairment; Menopause; Cholinergic deficit; Neuroprotection; Antioxidant</w:t>
      </w: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rPr>
          <w:rFonts w:ascii="Times New Roman" w:hAnsi="Times New Roman" w:cs="Times New Roman"/>
          <w:b/>
        </w:rPr>
      </w:pPr>
    </w:p>
    <w:p w:rsidR="00913685" w:rsidRPr="00965123" w:rsidRDefault="00913685" w:rsidP="00913685">
      <w:pPr>
        <w:spacing w:line="360" w:lineRule="auto"/>
      </w:pPr>
      <w:r w:rsidRPr="00965123">
        <w:rPr>
          <w:rFonts w:ascii="Times New Roman" w:eastAsia="Times New Roman" w:hAnsi="Times New Roman" w:cs="Times New Roman"/>
          <w:b/>
        </w:rPr>
        <w:t>Introduction</w:t>
      </w:r>
    </w:p>
    <w:p w:rsidR="00913685" w:rsidRPr="00965123" w:rsidRDefault="00913685" w:rsidP="00913685">
      <w:pPr>
        <w:spacing w:line="360" w:lineRule="auto"/>
        <w:jc w:val="both"/>
      </w:pPr>
      <w:r w:rsidRPr="00965123">
        <w:rPr>
          <w:rFonts w:ascii="Times New Roman" w:eastAsia="Times New Roman" w:hAnsi="Times New Roman" w:cs="Times New Roman"/>
        </w:rPr>
        <w:t>Cognitive decline and memory impairment are significant public health issues linked to aging and neurodegenerative disorders such as Alzheimer’s disease (AD) (Sochocka</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In postmenopausal women, a substantial decrease in circulating estrogen levels has been strongly associated with an increased risk of cognitive dysfunction (Wood Alexander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Both clinical and preclinical studies have demonstrated that estrogen positively affects synaptic plasticity, hippocampal neurogenesis, and cholinergic transmission, </w:t>
      </w:r>
      <w:r>
        <w:rPr>
          <w:rFonts w:ascii="Times New Roman" w:eastAsia="Times New Roman" w:hAnsi="Times New Roman" w:cs="Times New Roman"/>
        </w:rPr>
        <w:t xml:space="preserve">which are crucial processes </w:t>
      </w:r>
      <w:r w:rsidRPr="00965123">
        <w:rPr>
          <w:rFonts w:ascii="Times New Roman" w:eastAsia="Times New Roman" w:hAnsi="Times New Roman" w:cs="Times New Roman"/>
        </w:rPr>
        <w:t xml:space="preserve">in learning and memory (Kraemer &amp; Kraemer, 2023). After menopause, many women experience heightened forgetfulness, attention deficits, and reduced verbal fluency (Korkmaz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Animal models of menopause, such as ovariectomized rodents, show impairments in spatial learning and memory tasks, including the Morris Water Maze</w:t>
      </w:r>
      <w:r>
        <w:rPr>
          <w:rFonts w:ascii="Times New Roman" w:eastAsia="Times New Roman" w:hAnsi="Times New Roman" w:cs="Times New Roman"/>
        </w:rPr>
        <w:t xml:space="preserve"> test. These cognitive deficits have been linked to increased oxidative stress, decreased acetylcholine levels, and impaired mitochondrial function in brain regions like the hippocampus and prefrontal cortex (Dhaliwal </w:t>
      </w:r>
      <w:r w:rsidRPr="00913685">
        <w:rPr>
          <w:rFonts w:ascii="Times New Roman" w:eastAsia="Times New Roman" w:hAnsi="Times New Roman" w:cs="Times New Roman"/>
          <w:i/>
        </w:rPr>
        <w:t>et al</w:t>
      </w:r>
      <w:r>
        <w:rPr>
          <w:rFonts w:ascii="Times New Roman" w:eastAsia="Times New Roman" w:hAnsi="Times New Roman" w:cs="Times New Roman"/>
        </w:rPr>
        <w:t>., 2024). The ovariectomized (OVX) rat model is widely used to replicate the estrogen-deficient state of menopause</w:t>
      </w:r>
      <w:r w:rsidRPr="00965123">
        <w:rPr>
          <w:rFonts w:ascii="Times New Roman" w:eastAsia="Times New Roman" w:hAnsi="Times New Roman" w:cs="Times New Roman"/>
        </w:rPr>
        <w:t xml:space="preserve">. When combined with </w:t>
      </w:r>
      <w:r w:rsidRPr="00326600">
        <w:rPr>
          <w:rFonts w:ascii="Times New Roman" w:eastAsia="Times New Roman" w:hAnsi="Times New Roman" w:cs="Times New Roman"/>
          <w:highlight w:val="yellow"/>
        </w:rPr>
        <w:t>scopolamine,a</w:t>
      </w:r>
      <w:r w:rsidRPr="00965123">
        <w:rPr>
          <w:rFonts w:ascii="Times New Roman" w:eastAsia="Times New Roman" w:hAnsi="Times New Roman" w:cs="Times New Roman"/>
        </w:rPr>
        <w:t xml:space="preserve"> muscarinic acetylcholine receptor antagonist known to induce temporary memory loss, it serves as a robust preclinical model for studying cognitive decline resulting from both hormonal imbalance and cholinergic disruption (Zhao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2022). Hormone replacement therapy (HRT) has shown potential benefits in mitigating these effects, but its long-term use remains controversial owing to associated risks (Chavda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Consequently, there is </w:t>
      </w:r>
      <w:r>
        <w:rPr>
          <w:rFonts w:ascii="Times New Roman" w:eastAsia="Times New Roman" w:hAnsi="Times New Roman" w:cs="Times New Roman"/>
        </w:rPr>
        <w:t xml:space="preserve">a growing interest in alternative strategies, such as phytoestrogens and other natural compounds, to alleviate cognitive decline </w:t>
      </w:r>
      <w:r w:rsidRPr="00965123">
        <w:rPr>
          <w:rFonts w:ascii="Times New Roman" w:eastAsia="Times New Roman" w:hAnsi="Times New Roman" w:cs="Times New Roman"/>
        </w:rPr>
        <w:t xml:space="preserve">associated with postmenopausal estrogen deficiency (Ismail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Similarly, while currently approved cholinesterase inhibitors such as donepezil and rivastigmine provide symptomatic relief in AD, they are associated with limited efficacy and notable adverse effects </w:t>
      </w:r>
      <w:r w:rsidRPr="00965123">
        <w:rPr>
          <w:rFonts w:ascii="Times New Roman" w:eastAsia="Times New Roman" w:hAnsi="Times New Roman" w:cs="Times New Roman"/>
        </w:rPr>
        <w:lastRenderedPageBreak/>
        <w:t xml:space="preserve">(Saeedi&amp;Mehranfar, 2022). This has also spurred interest in natural alternatives, particularly phytoestrogens, </w:t>
      </w:r>
      <w:r>
        <w:rPr>
          <w:rFonts w:ascii="Times New Roman" w:eastAsia="Times New Roman" w:hAnsi="Times New Roman" w:cs="Times New Roman"/>
        </w:rPr>
        <w:t xml:space="preserve">which are plant-derived compounds structurally similar to 17β-estradiol that bind estrogen receptors and modulate neuronal signaling (Gulati </w:t>
      </w:r>
      <w:r w:rsidRPr="00913685">
        <w:rPr>
          <w:rFonts w:ascii="Times New Roman" w:eastAsia="Times New Roman" w:hAnsi="Times New Roman" w:cs="Times New Roman"/>
          <w:i/>
        </w:rPr>
        <w:t>et al</w:t>
      </w:r>
      <w:r>
        <w:rPr>
          <w:rFonts w:ascii="Times New Roman" w:eastAsia="Times New Roman" w:hAnsi="Times New Roman" w:cs="Times New Roman"/>
        </w:rPr>
        <w:t xml:space="preserve">., 2025). </w:t>
      </w:r>
    </w:p>
    <w:p w:rsidR="00913685" w:rsidRPr="00965123" w:rsidRDefault="00913685" w:rsidP="00913685">
      <w:pPr>
        <w:spacing w:line="360" w:lineRule="auto"/>
        <w:jc w:val="both"/>
      </w:pP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(Ochnaceae) is a medicinal plant found in tropical Africa that is traditionally used to treat various ailments, including fever, inflammation, infections, and neurological complaints (Chavda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Gulati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Phytochemical studies of </w:t>
      </w:r>
      <w:r w:rsidRPr="00D25D0A">
        <w:rPr>
          <w:rFonts w:ascii="Times New Roman" w:eastAsia="Times New Roman" w:hAnsi="Times New Roman" w:cs="Times New Roman"/>
          <w:i/>
        </w:rPr>
        <w:t xml:space="preserve">O. </w:t>
      </w:r>
      <w:r w:rsidRPr="007577B1">
        <w:rPr>
          <w:rFonts w:ascii="Times New Roman" w:eastAsia="Times New Roman" w:hAnsi="Times New Roman" w:cs="Times New Roman"/>
          <w:i/>
          <w:highlight w:val="yellow"/>
        </w:rPr>
        <w:t>schweinfurthiana</w:t>
      </w:r>
      <w:r w:rsidRPr="007577B1">
        <w:rPr>
          <w:rFonts w:ascii="Times New Roman" w:eastAsia="Times New Roman" w:hAnsi="Times New Roman" w:cs="Times New Roman"/>
          <w:highlight w:val="yellow"/>
        </w:rPr>
        <w:t>bark</w:t>
      </w:r>
      <w:r w:rsidRPr="00965123">
        <w:rPr>
          <w:rFonts w:ascii="Times New Roman" w:eastAsia="Times New Roman" w:hAnsi="Times New Roman" w:cs="Times New Roman"/>
        </w:rPr>
        <w:t xml:space="preserve"> have identified flavonoids, tannins, xanthones, and other polyphenolic constituents, many of which are known to possess estrogenic activities (Batiha</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Some of these compounds have shown antioxidant, anti-inflammatory, and cytoprotective effects in other medicinal plant models, which could underlie </w:t>
      </w:r>
      <w:r>
        <w:rPr>
          <w:rFonts w:ascii="Times New Roman" w:eastAsia="Times New Roman" w:hAnsi="Times New Roman" w:cs="Times New Roman"/>
        </w:rPr>
        <w:t xml:space="preserve">their potential neuroprotective actions (Gulati </w:t>
      </w:r>
      <w:r w:rsidRPr="00913685">
        <w:rPr>
          <w:rFonts w:ascii="Times New Roman" w:eastAsia="Times New Roman" w:hAnsi="Times New Roman" w:cs="Times New Roman"/>
          <w:i/>
        </w:rPr>
        <w:t>et al</w:t>
      </w:r>
      <w:r>
        <w:rPr>
          <w:rFonts w:ascii="Times New Roman" w:eastAsia="Times New Roman" w:hAnsi="Times New Roman" w:cs="Times New Roman"/>
        </w:rPr>
        <w:t xml:space="preserve">., 2025). The osteoprotective effect of the phytoestrogen-rich fraction of </w:t>
      </w:r>
      <w:r w:rsidRPr="00D25D0A">
        <w:rPr>
          <w:rFonts w:ascii="Times New Roman" w:eastAsia="Times New Roman" w:hAnsi="Times New Roman" w:cs="Times New Roman"/>
          <w:i/>
        </w:rPr>
        <w:t>O. schweinfurthiana</w:t>
      </w:r>
      <w:r w:rsidRPr="00965123">
        <w:rPr>
          <w:rFonts w:ascii="Times New Roman" w:eastAsia="Times New Roman" w:hAnsi="Times New Roman" w:cs="Times New Roman"/>
        </w:rPr>
        <w:t xml:space="preserve">has been reported in both ovariectomy and retinoic acid-induced osteoporosis animal models (Orji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Tavan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 The combination of phenolic and phytoestrogen phytocompounds from the same plant has also been reported to improve glucose tolerance impaired by ovariectomy (Ajaghaku</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2025a; El Rayess</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However, studies specifically</w:t>
      </w:r>
      <w:r>
        <w:rPr>
          <w:rFonts w:ascii="Times New Roman" w:eastAsia="Times New Roman" w:hAnsi="Times New Roman" w:cs="Times New Roman"/>
        </w:rPr>
        <w:t xml:space="preserve"> focusing on their neuropharmacological applications are still emerging (Ibrahim </w:t>
      </w:r>
      <w:r w:rsidRPr="00913685">
        <w:rPr>
          <w:rFonts w:ascii="Times New Roman" w:eastAsia="Times New Roman" w:hAnsi="Times New Roman" w:cs="Times New Roman"/>
          <w:i/>
        </w:rPr>
        <w:t>et al</w:t>
      </w:r>
      <w:r>
        <w:rPr>
          <w:rFonts w:ascii="Times New Roman" w:eastAsia="Times New Roman" w:hAnsi="Times New Roman" w:cs="Times New Roman"/>
        </w:rPr>
        <w:t>., 2024)</w:t>
      </w:r>
      <w:r w:rsidRPr="00965123">
        <w:rPr>
          <w:rFonts w:ascii="Times New Roman" w:eastAsia="Times New Roman" w:hAnsi="Times New Roman" w:cs="Times New Roman"/>
        </w:rPr>
        <w:t xml:space="preserve">. Given this background, the present study aimed to evaluate the neuroprotective and memory-enhancing effects of a phytoestrogen-rich fraction of </w:t>
      </w: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using a combined ovariectomy and scopolamine-induced cognitive impairment </w:t>
      </w:r>
      <w:r>
        <w:rPr>
          <w:rFonts w:ascii="Times New Roman" w:eastAsia="Times New Roman" w:hAnsi="Times New Roman" w:cs="Times New Roman"/>
        </w:rPr>
        <w:t>rat model</w:t>
      </w:r>
      <w:r w:rsidRPr="00965123">
        <w:rPr>
          <w:rFonts w:ascii="Times New Roman" w:eastAsia="Times New Roman" w:hAnsi="Times New Roman" w:cs="Times New Roman"/>
        </w:rPr>
        <w:t>.</w:t>
      </w:r>
    </w:p>
    <w:p w:rsidR="00913685" w:rsidRPr="00965123" w:rsidRDefault="00913685" w:rsidP="00913685">
      <w:pPr>
        <w:spacing w:line="360" w:lineRule="auto"/>
        <w:jc w:val="both"/>
      </w:pPr>
      <w:r w:rsidRPr="00965123">
        <w:rPr>
          <w:rFonts w:ascii="null" w:eastAsia="null" w:hAnsi="null" w:cs="null"/>
          <w:b/>
        </w:rPr>
        <w:t>Materials and methods</w:t>
      </w:r>
    </w:p>
    <w:p w:rsidR="00913685" w:rsidRPr="00965123" w:rsidRDefault="00913685" w:rsidP="00913685">
      <w:pPr>
        <w:spacing w:line="360" w:lineRule="auto"/>
        <w:jc w:val="both"/>
      </w:pPr>
      <w:r w:rsidRPr="00965123">
        <w:rPr>
          <w:rFonts w:ascii="null" w:eastAsia="null" w:hAnsi="null" w:cs="null"/>
          <w:b/>
        </w:rPr>
        <w:t>Plant Materials</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The bark of </w:t>
      </w: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was collected from Agulu in Anambra State, Nigeria and authenticated by Mr. Felix Nwafor, a trained taxonomist from the Department of Pharmacognosy and Environmental Medicine at the University of Nigeria, Nsukka, Enugu State, Nigeria. A voucher specimen (no. PCG 521/A/043) was deposited in the herbarium of the Department of Pharmacognosy and Traditional Medicine, Nnamdi Azikiwe University, Agulu, for future reference. The plant materials were air-dried at room temperature and pulverized using a mechanical grinding machine (GX160 Delmar 5.5HP).</w:t>
      </w:r>
    </w:p>
    <w:p w:rsidR="00913685" w:rsidRPr="00965123" w:rsidRDefault="00913685" w:rsidP="00913685">
      <w:pPr>
        <w:spacing w:line="360" w:lineRule="auto"/>
        <w:jc w:val="both"/>
      </w:pPr>
      <w:r w:rsidRPr="00965123">
        <w:rPr>
          <w:rFonts w:ascii="null" w:eastAsia="null" w:hAnsi="null" w:cs="null"/>
          <w:b/>
        </w:rPr>
        <w:lastRenderedPageBreak/>
        <w:t>Animal Source</w:t>
      </w:r>
    </w:p>
    <w:p w:rsidR="00913685" w:rsidRPr="00965123" w:rsidRDefault="00913685" w:rsidP="00913685">
      <w:pPr>
        <w:spacing w:line="360" w:lineRule="auto"/>
        <w:jc w:val="both"/>
      </w:pPr>
      <w:r w:rsidRPr="007577B1">
        <w:rPr>
          <w:rFonts w:ascii="null" w:eastAsia="null" w:hAnsi="null" w:cs="null"/>
          <w:color w:val="FF0000"/>
        </w:rPr>
        <w:t xml:space="preserve">Swiss female albino </w:t>
      </w:r>
      <w:r w:rsidRPr="007577B1">
        <w:rPr>
          <w:rFonts w:ascii="null" w:eastAsia="null" w:hAnsi="null" w:cs="null"/>
          <w:color w:val="FF0000"/>
          <w:highlight w:val="green"/>
        </w:rPr>
        <w:t>mice and rats</w:t>
      </w:r>
      <w:r w:rsidRPr="007577B1">
        <w:rPr>
          <w:rFonts w:ascii="null" w:eastAsia="null" w:hAnsi="null" w:cs="null"/>
          <w:color w:val="FF0000"/>
        </w:rPr>
        <w:t xml:space="preserve"> were used in this study</w:t>
      </w:r>
      <w:r w:rsidRPr="00965123">
        <w:rPr>
          <w:rFonts w:ascii="null" w:eastAsia="null" w:hAnsi="null" w:cs="null"/>
        </w:rPr>
        <w:t>. All animals were procured from the Animal House of the Department of Pharmacology at Enugu State University of Science and Technology. They were maintained under standard laboratory conditions, including a 12-hour light cycle, room temperature, and 40-60% relative humidity, and were provided with rodent feed (Guinea Feeds Nigeria Ltd</w:t>
      </w:r>
      <w:r>
        <w:rPr>
          <w:rFonts w:ascii="null" w:eastAsia="null" w:hAnsi="null" w:cs="null"/>
        </w:rPr>
        <w:t xml:space="preserve">.). </w:t>
      </w:r>
      <w:r w:rsidRPr="00965123">
        <w:rPr>
          <w:rFonts w:ascii="null" w:eastAsia="null" w:hAnsi="null" w:cs="null"/>
        </w:rPr>
        <w:t>Animals had unrestricted access to food and water. The maintenance and care of the animals adhered to EU Directive 2010/63/EU for animal experiments, as well as the Guide for the Care and Use of Laboratory Animals, DHHS Publ. # (NIH 86-123). Ethical approval was obtained from the Animal Ethical Committee of Enugu State University of Science and Technology (Approval number: ESUT/AEC/0169/AP204), where the animal studies were conducted.</w:t>
      </w:r>
    </w:p>
    <w:p w:rsidR="00913685" w:rsidRPr="00965123" w:rsidRDefault="00913685" w:rsidP="00913685">
      <w:pPr>
        <w:spacing w:line="360" w:lineRule="auto"/>
        <w:jc w:val="both"/>
      </w:pPr>
      <w:r w:rsidRPr="00965123">
        <w:rPr>
          <w:rFonts w:ascii="null" w:eastAsia="null" w:hAnsi="null" w:cs="null"/>
          <w:b/>
        </w:rPr>
        <w:t>Extraction and Fractionation</w:t>
      </w:r>
    </w:p>
    <w:p w:rsidR="00913685" w:rsidRPr="00965123" w:rsidRDefault="00913685" w:rsidP="00913685">
      <w:pPr>
        <w:spacing w:line="360" w:lineRule="auto"/>
        <w:jc w:val="both"/>
      </w:pPr>
      <w:r>
        <w:rPr>
          <w:rFonts w:ascii="Times New Roman" w:eastAsia="Times New Roman" w:hAnsi="Times New Roman" w:cs="Times New Roman"/>
        </w:rPr>
        <w:t xml:space="preserve">O. </w:t>
      </w:r>
      <w:r w:rsidRPr="00965123">
        <w:rPr>
          <w:rFonts w:ascii="Times New Roman" w:eastAsia="Times New Roman" w:hAnsi="Times New Roman" w:cs="Times New Roman"/>
        </w:rPr>
        <w:t xml:space="preserve">schweinfurthiana bark powder of </w:t>
      </w: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was macerated in methanol for 72 h with periodic agitation. The resultant solution was filtered using Whatman filter paper, and the filtrate was concentrated under reduced pressure using a rotary evaporator (RE300 Model, United Kingdom) at a temperature of 40</w:t>
      </w:r>
      <w:r>
        <w:rPr>
          <w:rFonts w:ascii="Times New Roman" w:eastAsia="Times New Roman" w:hAnsi="Times New Roman" w:cs="Times New Roman"/>
        </w:rPr>
        <w:t>°C. Subsequently, two-thirds of the extract underwent successive liquid-liquid partitioning with n-hexane, ethyl acetate, and butanol, employing a 1 L separating funnel. The fractions were concentrated under reduced pressure using a rotary evaporator at 40°C to yield the n-hexane soluble fraction, ethyl acetate soluble fraction, butanol soluble fraction, and water-soluble fractions. The extracts and all fractions were stored in a refrigerator at temperatures between 0-4°C for subsequent use.</w:t>
      </w:r>
    </w:p>
    <w:p w:rsidR="00913685" w:rsidRPr="00965123" w:rsidRDefault="00913685" w:rsidP="00913685">
      <w:pPr>
        <w:spacing w:line="360" w:lineRule="auto"/>
        <w:jc w:val="both"/>
      </w:pPr>
      <w:r w:rsidRPr="00965123">
        <w:rPr>
          <w:rFonts w:ascii="Times New Roman" w:eastAsia="Times New Roman" w:hAnsi="Times New Roman" w:cs="Times New Roman"/>
          <w:b/>
        </w:rPr>
        <w:t>Quantification of phytoestrogen content using genistein as standard</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Phytoestrogen content in the fractions was quantified using the methodology outlined by Cesar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(2008). Each extract and fraction (100 µg/ml) were combined with 1 ml of 2% AlCl3 (dissolved in methanol) in duplicate. </w:t>
      </w: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absorbance was measured at 382 nm </w:t>
      </w:r>
      <w:r>
        <w:rPr>
          <w:rFonts w:ascii="Times New Roman" w:eastAsia="Times New Roman" w:hAnsi="Times New Roman" w:cs="Times New Roman"/>
        </w:rPr>
        <w:t>for ten minutes following the addition of AlCl3. Blank solutions of the standard and samples</w:t>
      </w:r>
      <w:r w:rsidRPr="00965123">
        <w:rPr>
          <w:rFonts w:ascii="Times New Roman" w:eastAsia="Times New Roman" w:hAnsi="Times New Roman" w:cs="Times New Roman"/>
        </w:rPr>
        <w:t xml:space="preserve"> without the addition of AlCl3 (methanol</w:t>
      </w:r>
      <w:r>
        <w:rPr>
          <w:rFonts w:ascii="Times New Roman" w:eastAsia="Times New Roman" w:hAnsi="Times New Roman" w:cs="Times New Roman"/>
        </w:rPr>
        <w:t xml:space="preserve"> only)</w:t>
      </w:r>
      <w:r w:rsidRPr="00965123">
        <w:rPr>
          <w:rFonts w:ascii="Times New Roman" w:eastAsia="Times New Roman" w:hAnsi="Times New Roman" w:cs="Times New Roman"/>
        </w:rPr>
        <w:t xml:space="preserve"> were also prepared. </w:t>
      </w: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phytoestrogen content was estimated using the genistein calibration curve, as described below, and expressed as milligrams of genistein equivalent (GE) per gram of the extract/fractions. Various concentrations (2.5, 1.25, </w:t>
      </w:r>
      <w:r w:rsidRPr="00965123">
        <w:rPr>
          <w:rFonts w:ascii="Times New Roman" w:eastAsia="Times New Roman" w:hAnsi="Times New Roman" w:cs="Times New Roman"/>
        </w:rPr>
        <w:lastRenderedPageBreak/>
        <w:t>0.625, 0.3125, 0.15625, 0.078125, 0.0391, 0.0195, 0.0098 mg/ml) of genistein were prepared in duplicate, and the aforementioned procedure was followed. Absorbance was plotted against concentration to generate a genistein calibration curve.</w:t>
      </w:r>
    </w:p>
    <w:p w:rsidR="00913685" w:rsidRPr="00965123" w:rsidRDefault="00913685" w:rsidP="00913685">
      <w:pPr>
        <w:spacing w:line="360" w:lineRule="auto"/>
        <w:jc w:val="both"/>
      </w:pPr>
      <w:r w:rsidRPr="00965123">
        <w:rPr>
          <w:rFonts w:ascii="Times New Roman" w:eastAsia="Times New Roman" w:hAnsi="Times New Roman" w:cs="Times New Roman"/>
          <w:b/>
        </w:rPr>
        <w:t xml:space="preserve">Induction of menopause </w:t>
      </w:r>
    </w:p>
    <w:p w:rsidR="00913685" w:rsidRPr="00965123" w:rsidRDefault="00913685" w:rsidP="00913685">
      <w:pPr>
        <w:spacing w:line="360" w:lineRule="auto"/>
        <w:jc w:val="both"/>
      </w:pPr>
      <w:r w:rsidRPr="00965123">
        <w:rPr>
          <w:rFonts w:ascii="Times New Roman" w:eastAsia="Times New Roman" w:hAnsi="Times New Roman" w:cs="Times New Roman"/>
        </w:rPr>
        <w:t>Vaginal cytology was conducted on all animals to confirm the presence of regular estrous cycles (Ajaghaku</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2025b; Roeder &amp; Leira, 2021). Vaginal smears were examined microscopically each morning between 8 am and 10 am to observe at least two consecutive 4-day estrous cycles (Reho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The animals underwent </w:t>
      </w:r>
      <w:r w:rsidRPr="00CF7C08">
        <w:rPr>
          <w:rFonts w:ascii="Times New Roman" w:eastAsia="Times New Roman" w:hAnsi="Times New Roman" w:cs="Times New Roman"/>
          <w:color w:val="FF0000"/>
          <w:highlight w:val="yellow"/>
        </w:rPr>
        <w:t>ovariectomy</w:t>
      </w:r>
      <w:r w:rsidRPr="00965123">
        <w:rPr>
          <w:rFonts w:ascii="Times New Roman" w:eastAsia="Times New Roman" w:hAnsi="Times New Roman" w:cs="Times New Roman"/>
        </w:rPr>
        <w:t xml:space="preserve"> </w:t>
      </w:r>
      <w:r w:rsidRPr="00CF7C08">
        <w:rPr>
          <w:rFonts w:ascii="Times New Roman" w:eastAsia="Times New Roman" w:hAnsi="Times New Roman" w:cs="Times New Roman"/>
          <w:highlight w:val="yellow"/>
        </w:rPr>
        <w:t>(OVX)</w:t>
      </w:r>
      <w:r w:rsidRPr="00965123">
        <w:rPr>
          <w:rFonts w:ascii="Times New Roman" w:eastAsia="Times New Roman" w:hAnsi="Times New Roman" w:cs="Times New Roman"/>
        </w:rPr>
        <w:t xml:space="preserve"> to induce menopause and to investigate reproductive changes following supplementation with phenol/phytoestrogen-rich extract. Post-ovariectomy and vaginal smears were examined to ensure complete removal of the ovaries, as indicated by the absence of epithelial cell cornification (Diestrus phase) (Li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All groups of animals, except those </w:t>
      </w:r>
      <w:r>
        <w:rPr>
          <w:rFonts w:ascii="Times New Roman" w:eastAsia="Times New Roman" w:hAnsi="Times New Roman" w:cs="Times New Roman"/>
        </w:rPr>
        <w:t>that serv</w:t>
      </w:r>
      <w:r w:rsidRPr="00965123">
        <w:rPr>
          <w:rFonts w:ascii="Times New Roman" w:eastAsia="Times New Roman" w:hAnsi="Times New Roman" w:cs="Times New Roman"/>
        </w:rPr>
        <w:t xml:space="preserve">ed as sham-operated controls, underwent OVX. In the sham-operated controls (without OVX), the ovaries were exposed and gently manipulated but not excised. The remaining animals underwent bilateral OVX via a dorsolateral approach, involving a small lateral vertical skin incision with a surgical blade, followed by ligation and excision of the ovaries along the upper horn under general anesthesia with ketamine and xylazine (80 and 10 mg/kg body weight, respectively, intramuscularly). The incisions were closed using suture materials (chromic catgut and silk), followed by the application of </w:t>
      </w:r>
      <w:r>
        <w:rPr>
          <w:rFonts w:ascii="Times New Roman" w:eastAsia="Times New Roman" w:hAnsi="Times New Roman" w:cs="Times New Roman"/>
        </w:rPr>
        <w:t xml:space="preserve">an oxytet spray to facilitate rapid wound healing. Precautions were taken to prevent infection throughout the OVX procedure. The </w:t>
      </w:r>
      <w:r w:rsidRPr="00965123">
        <w:rPr>
          <w:rFonts w:ascii="Times New Roman" w:eastAsia="Times New Roman" w:hAnsi="Times New Roman" w:cs="Times New Roman"/>
        </w:rPr>
        <w:t xml:space="preserve">animals were allowed a 3-week healing period before dosing. During this period, the </w:t>
      </w:r>
      <w:r>
        <w:rPr>
          <w:rFonts w:ascii="Times New Roman" w:eastAsia="Times New Roman" w:hAnsi="Times New Roman" w:cs="Times New Roman"/>
        </w:rPr>
        <w:t xml:space="preserve">animals were monitored for </w:t>
      </w:r>
      <w:r w:rsidRPr="00965123">
        <w:rPr>
          <w:rFonts w:ascii="Times New Roman" w:eastAsia="Times New Roman" w:hAnsi="Times New Roman" w:cs="Times New Roman"/>
        </w:rPr>
        <w:t>abnormal behavior or side effects. Vaginal cytology tests were performed to assess the success of ovariectomy.</w:t>
      </w:r>
    </w:p>
    <w:p w:rsidR="00913685" w:rsidRPr="00965123" w:rsidRDefault="00913685" w:rsidP="00913685">
      <w:pPr>
        <w:spacing w:line="360" w:lineRule="auto"/>
        <w:jc w:val="both"/>
      </w:pPr>
    </w:p>
    <w:p w:rsidR="00913685" w:rsidRPr="00965123" w:rsidRDefault="00913685" w:rsidP="00913685">
      <w:pPr>
        <w:spacing w:line="360" w:lineRule="auto"/>
        <w:jc w:val="both"/>
      </w:pPr>
    </w:p>
    <w:p w:rsidR="00913685" w:rsidRPr="00965123" w:rsidRDefault="00913685" w:rsidP="00913685">
      <w:pPr>
        <w:spacing w:line="360" w:lineRule="auto"/>
        <w:jc w:val="both"/>
      </w:pPr>
    </w:p>
    <w:p w:rsidR="00913685" w:rsidRPr="00965123" w:rsidRDefault="00913685" w:rsidP="00913685">
      <w:pPr>
        <w:spacing w:line="360" w:lineRule="auto"/>
        <w:jc w:val="both"/>
      </w:pPr>
      <w:r w:rsidRPr="00965123">
        <w:rPr>
          <w:rFonts w:ascii="Times New Roman" w:eastAsia="Times New Roman" w:hAnsi="Times New Roman" w:cs="Times New Roman"/>
          <w:b/>
        </w:rPr>
        <w:t>Animal Grouping and Treatment</w:t>
      </w:r>
    </w:p>
    <w:p w:rsidR="00913685" w:rsidRPr="00965123" w:rsidRDefault="00913685" w:rsidP="00913685">
      <w:pPr>
        <w:spacing w:line="360" w:lineRule="auto"/>
        <w:jc w:val="both"/>
      </w:pP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animals were allocated to six experimental groups, each comprising six rats. Group 1 served as the naïve control group, while Groups 2 and 3 functioned as the sham-operated and </w:t>
      </w:r>
      <w:r w:rsidRPr="00965123">
        <w:rPr>
          <w:rFonts w:ascii="Times New Roman" w:eastAsia="Times New Roman" w:hAnsi="Times New Roman" w:cs="Times New Roman"/>
        </w:rPr>
        <w:lastRenderedPageBreak/>
        <w:t xml:space="preserve">ovariectomized control groups, respectively. Groups 4 and 5 were designated as the phytoestrogen-rich treatment groups, and group 6 was identified as the </w:t>
      </w:r>
      <w:r w:rsidRPr="00CF7C08">
        <w:rPr>
          <w:rFonts w:ascii="Times New Roman" w:eastAsia="Times New Roman" w:hAnsi="Times New Roman" w:cs="Times New Roman"/>
          <w:highlight w:val="yellow"/>
        </w:rPr>
        <w:t>positive control group</w:t>
      </w:r>
      <w:r w:rsidRPr="00965123">
        <w:rPr>
          <w:rFonts w:ascii="Times New Roman" w:eastAsia="Times New Roman" w:hAnsi="Times New Roman" w:cs="Times New Roman"/>
        </w:rPr>
        <w:t xml:space="preserve">. The control group received oral administration of 10 ml/kg of 5% Tween 80 as a vehicle. The phytoestrogen-rich fraction of O. Schweinfurthiana dissolved in the vehicle was administered to ovariectomized female rats at doses of </w:t>
      </w:r>
      <w:r w:rsidRPr="00CF7C08">
        <w:rPr>
          <w:rFonts w:ascii="Times New Roman" w:eastAsia="Times New Roman" w:hAnsi="Times New Roman" w:cs="Times New Roman"/>
          <w:highlight w:val="yellow"/>
        </w:rPr>
        <w:t>264 and 528 mg/kg via gavage</w:t>
      </w:r>
      <w:r w:rsidRPr="00965123">
        <w:rPr>
          <w:rFonts w:ascii="Times New Roman" w:eastAsia="Times New Roman" w:hAnsi="Times New Roman" w:cs="Times New Roman"/>
        </w:rPr>
        <w:t xml:space="preserve">. Estradiol valerate was administered orally as a positive control. All test agents were administered once daily for 12 weeks prior to the commencement of </w:t>
      </w:r>
      <w:r>
        <w:rPr>
          <w:rFonts w:ascii="Times New Roman" w:eastAsia="Times New Roman" w:hAnsi="Times New Roman" w:cs="Times New Roman"/>
        </w:rPr>
        <w:t xml:space="preserve">the behavioral assessments. Memory impairment was induced in all groups, except the naïve control group, through the administration of 1 mg/kg </w:t>
      </w:r>
      <w:r w:rsidRPr="00965123">
        <w:rPr>
          <w:rFonts w:ascii="Times New Roman" w:eastAsia="Times New Roman" w:hAnsi="Times New Roman" w:cs="Times New Roman"/>
        </w:rPr>
        <w:t>scopolamine (i.p.) (Sigma Aldrich Inc</w:t>
      </w:r>
      <w:r>
        <w:rPr>
          <w:rFonts w:ascii="Times New Roman" w:eastAsia="Times New Roman" w:hAnsi="Times New Roman" w:cs="Times New Roman"/>
        </w:rPr>
        <w:t>., St. Louis, MO, USA) 30 min</w:t>
      </w:r>
      <w:r w:rsidRPr="00965123">
        <w:rPr>
          <w:rFonts w:ascii="Times New Roman" w:eastAsia="Times New Roman" w:hAnsi="Times New Roman" w:cs="Times New Roman"/>
        </w:rPr>
        <w:t xml:space="preserve"> after treatment with the test agents.</w:t>
      </w:r>
    </w:p>
    <w:p w:rsidR="00913685" w:rsidRPr="00965123" w:rsidRDefault="00913685" w:rsidP="00913685">
      <w:pPr>
        <w:spacing w:line="360" w:lineRule="auto"/>
        <w:jc w:val="both"/>
      </w:pPr>
      <w:r w:rsidRPr="00965123">
        <w:rPr>
          <w:rFonts w:ascii="Times New Roman" w:eastAsia="Times New Roman" w:hAnsi="Times New Roman" w:cs="Times New Roman"/>
          <w:b/>
        </w:rPr>
        <w:t>Morris Water-Maze Test</w:t>
      </w:r>
    </w:p>
    <w:p w:rsidR="00913685" w:rsidRPr="00965123" w:rsidRDefault="00913685" w:rsidP="00913685">
      <w:pPr>
        <w:spacing w:line="360" w:lineRule="auto"/>
        <w:jc w:val="both"/>
      </w:pPr>
      <w:r w:rsidRPr="00965123">
        <w:rPr>
          <w:rFonts w:ascii="Times New Roman" w:eastAsia="Times New Roman" w:hAnsi="Times New Roman" w:cs="Times New Roman"/>
          <w:b/>
        </w:rPr>
        <w:t>Apparatus, setup and dimension</w:t>
      </w:r>
    </w:p>
    <w:p w:rsidR="00913685" w:rsidRPr="00965123" w:rsidRDefault="00913685" w:rsidP="00913685">
      <w:pPr>
        <w:spacing w:line="360" w:lineRule="auto"/>
        <w:jc w:val="both"/>
      </w:pPr>
      <w:r w:rsidRPr="00965123">
        <w:rPr>
          <w:rFonts w:ascii="Times New Roman" w:eastAsia="Times New Roman" w:hAnsi="Times New Roman" w:cs="Times New Roman"/>
        </w:rPr>
        <w:t>The water maze consisted of a circular pool with a diameter of 120 cm and height of 50 cm, featuring an escape platform with a diameter of 8 cm and height of 29 cm, positioned at the center of one of the four quadrants. The pool was segmented into four quadrants (north, south, east, and west), each distinguished by a unique visual cue (black, red, blue, and purple star</w:t>
      </w:r>
      <w:r>
        <w:rPr>
          <w:rFonts w:ascii="Times New Roman" w:eastAsia="Times New Roman" w:hAnsi="Times New Roman" w:cs="Times New Roman"/>
        </w:rPr>
        <w:t>s, respectively) affixed to the surrounding wall of the maze. The water was filled to a depth of 30 cm, maintained at a room temperature of 25 ± 2 °C, and rendered opaque using a non-toxic white paint. The hidden platform was submerged 1 cm below the surface for the purpose of place training.</w:t>
      </w:r>
    </w:p>
    <w:p w:rsidR="00913685" w:rsidRPr="00965123" w:rsidRDefault="00913685" w:rsidP="00913685">
      <w:pPr>
        <w:spacing w:line="360" w:lineRule="auto"/>
        <w:jc w:val="both"/>
      </w:pPr>
      <w:r w:rsidRPr="00965123">
        <w:rPr>
          <w:rFonts w:ascii="Times New Roman" w:eastAsia="Times New Roman" w:hAnsi="Times New Roman" w:cs="Times New Roman"/>
          <w:b/>
        </w:rPr>
        <w:t>Acclimatization and training</w:t>
      </w:r>
    </w:p>
    <w:p w:rsidR="00913685" w:rsidRPr="00965123" w:rsidRDefault="00913685" w:rsidP="00913685">
      <w:pPr>
        <w:spacing w:line="360" w:lineRule="auto"/>
        <w:jc w:val="both"/>
      </w:pPr>
      <w:r w:rsidRPr="00965123">
        <w:rPr>
          <w:rFonts w:ascii="Times New Roman" w:eastAsia="Times New Roman" w:hAnsi="Times New Roman" w:cs="Times New Roman"/>
        </w:rPr>
        <w:t>Two days prior to the commencement of the training, all animals were allowed to swim in the pool without a platform for 60 s each day to evaluate their locomotor activity and acclimat</w:t>
      </w:r>
      <w:r>
        <w:rPr>
          <w:rFonts w:ascii="Times New Roman" w:eastAsia="Times New Roman" w:hAnsi="Times New Roman" w:cs="Times New Roman"/>
        </w:rPr>
        <w:t xml:space="preserve">ize them to the environment (Charlot </w:t>
      </w:r>
      <w:r w:rsidRPr="00913685">
        <w:rPr>
          <w:rFonts w:ascii="Times New Roman" w:eastAsia="Times New Roman" w:hAnsi="Times New Roman" w:cs="Times New Roman"/>
          <w:i/>
        </w:rPr>
        <w:t>et al</w:t>
      </w:r>
      <w:r>
        <w:rPr>
          <w:rFonts w:ascii="Times New Roman" w:eastAsia="Times New Roman" w:hAnsi="Times New Roman" w:cs="Times New Roman"/>
        </w:rPr>
        <w:t>., 2017)</w:t>
      </w:r>
      <w:r w:rsidRPr="00965123">
        <w:rPr>
          <w:rFonts w:ascii="Times New Roman" w:eastAsia="Times New Roman" w:hAnsi="Times New Roman" w:cs="Times New Roman"/>
        </w:rPr>
        <w:t>. The training sessions comprised three trials per day, with a 5-minute interval between each</w:t>
      </w:r>
      <w:r>
        <w:rPr>
          <w:rFonts w:ascii="Times New Roman" w:eastAsia="Times New Roman" w:hAnsi="Times New Roman" w:cs="Times New Roman"/>
        </w:rPr>
        <w:t xml:space="preserve"> trial, over a period of five consecutive days. Different </w:t>
      </w:r>
      <w:r w:rsidRPr="00965123">
        <w:rPr>
          <w:rFonts w:ascii="Times New Roman" w:eastAsia="Times New Roman" w:hAnsi="Times New Roman" w:cs="Times New Roman"/>
        </w:rPr>
        <w:t xml:space="preserve">quadrants were used for each trial. Mice were randomly released into one quadrant of the pool without the platform, and escape latency, defined as the time taken by the mouse to reach the hidden platform, was recorded. </w:t>
      </w:r>
      <w:r>
        <w:rPr>
          <w:rFonts w:ascii="Times New Roman" w:eastAsia="Times New Roman" w:hAnsi="Times New Roman" w:cs="Times New Roman"/>
        </w:rPr>
        <w:t xml:space="preserve">The </w:t>
      </w:r>
      <w:r w:rsidRPr="00965123">
        <w:rPr>
          <w:rFonts w:ascii="Times New Roman" w:eastAsia="Times New Roman" w:hAnsi="Times New Roman" w:cs="Times New Roman"/>
        </w:rPr>
        <w:t>mice were allowed to explore the platform</w:t>
      </w:r>
      <w:r>
        <w:rPr>
          <w:rFonts w:ascii="Times New Roman" w:eastAsia="Times New Roman" w:hAnsi="Times New Roman" w:cs="Times New Roman"/>
        </w:rPr>
        <w:t xml:space="preserve"> for 60 s. If a </w:t>
      </w:r>
      <w:r>
        <w:rPr>
          <w:rFonts w:ascii="Times New Roman" w:eastAsia="Times New Roman" w:hAnsi="Times New Roman" w:cs="Times New Roman"/>
        </w:rPr>
        <w:lastRenderedPageBreak/>
        <w:t xml:space="preserve">mouse failed to locate the platform independently, it was gently guided to it and </w:t>
      </w:r>
      <w:r w:rsidRPr="00965123">
        <w:rPr>
          <w:rFonts w:ascii="Times New Roman" w:eastAsia="Times New Roman" w:hAnsi="Times New Roman" w:cs="Times New Roman"/>
        </w:rPr>
        <w:t>allowed to remain there for 20 seconds.</w:t>
      </w:r>
    </w:p>
    <w:p w:rsidR="00913685" w:rsidRPr="00BC209E" w:rsidRDefault="00913685" w:rsidP="00913685">
      <w:pPr>
        <w:spacing w:line="360" w:lineRule="auto"/>
        <w:rPr>
          <w:rFonts w:ascii="Times New Roman" w:hAnsi="Times New Roman" w:cs="Times New Roman"/>
        </w:rPr>
      </w:pPr>
      <w:r w:rsidRPr="00BC209E">
        <w:rPr>
          <w:rFonts w:ascii="Times New Roman" w:hAnsi="Times New Roman" w:cs="Times New Roman"/>
          <w:b/>
        </w:rPr>
        <w:t>Probe test</w:t>
      </w:r>
    </w:p>
    <w:p w:rsidR="00913685" w:rsidRPr="00965123" w:rsidRDefault="00913685" w:rsidP="00913685">
      <w:pPr>
        <w:spacing w:line="360" w:lineRule="auto"/>
        <w:jc w:val="both"/>
      </w:pPr>
      <w:r w:rsidRPr="00965123">
        <w:rPr>
          <w:rFonts w:ascii="Times New Roman" w:eastAsia="Times New Roman" w:hAnsi="Times New Roman" w:cs="Times New Roman"/>
        </w:rPr>
        <w:t>Following the final day of training, a probe test was administered to the pool, and the platform</w:t>
      </w:r>
      <w:r>
        <w:rPr>
          <w:rFonts w:ascii="Times New Roman" w:eastAsia="Times New Roman" w:hAnsi="Times New Roman" w:cs="Times New Roman"/>
        </w:rPr>
        <w:t xml:space="preserve"> was absent. The animals were permitted to swim for 60 </w:t>
      </w:r>
      <w:r w:rsidRPr="00965123">
        <w:rPr>
          <w:rFonts w:ascii="Times New Roman" w:eastAsia="Times New Roman" w:hAnsi="Times New Roman" w:cs="Times New Roman"/>
        </w:rPr>
        <w:t>s in the quadrant opposite the previous location of the platform. During this period, the time spent in the target quadrant was recorded (Gheidi</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w:t>
      </w:r>
    </w:p>
    <w:p w:rsidR="00913685" w:rsidRPr="00965123" w:rsidRDefault="00913685" w:rsidP="00913685">
      <w:pPr>
        <w:spacing w:line="360" w:lineRule="auto"/>
        <w:jc w:val="both"/>
      </w:pPr>
      <w:r w:rsidRPr="00965123">
        <w:rPr>
          <w:rFonts w:ascii="Times New Roman" w:eastAsia="Times New Roman" w:hAnsi="Times New Roman" w:cs="Times New Roman"/>
          <w:b/>
        </w:rPr>
        <w:t xml:space="preserve">Tissue Preparation </w:t>
      </w:r>
    </w:p>
    <w:p w:rsidR="00913685" w:rsidRPr="00965123" w:rsidRDefault="00913685" w:rsidP="00913685">
      <w:pPr>
        <w:spacing w:line="360" w:lineRule="auto"/>
        <w:jc w:val="both"/>
      </w:pPr>
      <w:r w:rsidRPr="00965123">
        <w:rPr>
          <w:rFonts w:ascii="Times New Roman" w:eastAsia="Times New Roman" w:hAnsi="Times New Roman" w:cs="Times New Roman"/>
        </w:rPr>
        <w:t>Following completion of the behavioral assessment, the rats were euthanized. Subsequently, their brains were promptly extracted and immersed in ice-cold phosphate-buffered saline (PBS) for 10 min to eliminate excess blood. Brain tissue was weighed and transferred to a pre-chilled glass-Teflon homogenizer. Homogenization was performed in ice-cold PBS (pH 7.4) at a ratio of 1:10 (w/v). The resulting homogenate was subjected to centrifugation at 5000 rpm for 10 min at 4°C, and the supernatant was collected for subsequent biochemical analysis.</w:t>
      </w:r>
    </w:p>
    <w:p w:rsidR="00913685" w:rsidRPr="00965123" w:rsidRDefault="00913685" w:rsidP="00913685">
      <w:pPr>
        <w:spacing w:line="360" w:lineRule="auto"/>
      </w:pPr>
      <w:r w:rsidRPr="00965123">
        <w:rPr>
          <w:rFonts w:ascii="Times New Roman" w:eastAsia="Times New Roman" w:hAnsi="Times New Roman" w:cs="Times New Roman"/>
          <w:b/>
        </w:rPr>
        <w:t xml:space="preserve">Biochemical Analysis </w:t>
      </w:r>
    </w:p>
    <w:p w:rsidR="00913685" w:rsidRPr="00965123" w:rsidRDefault="00913685" w:rsidP="00913685">
      <w:pPr>
        <w:spacing w:line="360" w:lineRule="auto"/>
        <w:jc w:val="both"/>
      </w:pPr>
      <w:r w:rsidRPr="00965123">
        <w:rPr>
          <w:rFonts w:ascii="Times New Roman" w:eastAsia="Times New Roman" w:hAnsi="Times New Roman" w:cs="Times New Roman"/>
          <w:b/>
        </w:rPr>
        <w:t>Determination of Serum Estrogen Concentration</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Serum estradiol concentration was quantified using an estradiol ELISA kit (Calbiotech) in accordance with the manufacturer's instructions (Gupta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Twenty-five microliters of </w:t>
      </w:r>
      <w:r>
        <w:rPr>
          <w:rFonts w:ascii="Times New Roman" w:eastAsia="Times New Roman" w:hAnsi="Times New Roman" w:cs="Times New Roman"/>
        </w:rPr>
        <w:t>the samples, standards (0-6), and controls were dispensed into the appropriate wells in duplicate. Subsequently, 100 µL of estradiol enzyme conjugate working solution was added to each well and thoroughly mixed by placing it on a shaker for 10</w:t>
      </w:r>
      <w:r w:rsidRPr="00965123">
        <w:rPr>
          <w:rFonts w:ascii="Times New Roman" w:eastAsia="Times New Roman" w:hAnsi="Times New Roman" w:cs="Times New Roman"/>
        </w:rPr>
        <w:t>–20 s (Singampalli</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2022). The mixture was then incubated at room </w:t>
      </w:r>
      <w:r w:rsidRPr="00B72A23">
        <w:rPr>
          <w:rFonts w:ascii="Times New Roman" w:eastAsia="Times New Roman" w:hAnsi="Times New Roman" w:cs="Times New Roman"/>
          <w:highlight w:val="yellow"/>
        </w:rPr>
        <w:t>temperature (20-25℃) for</w:t>
      </w:r>
      <w:r w:rsidRPr="00965123">
        <w:rPr>
          <w:rFonts w:ascii="Times New Roman" w:eastAsia="Times New Roman" w:hAnsi="Times New Roman" w:cs="Times New Roman"/>
        </w:rPr>
        <w:t xml:space="preserve"> 60 min. Following incubation, the liquid was removed from all wells, which were then washed three times with 300 µL wash buffer and blotted with a paper towel. Thereafter, 100 µL of </w:t>
      </w:r>
      <w:r w:rsidRPr="00B72A23">
        <w:rPr>
          <w:rFonts w:ascii="Times New Roman" w:eastAsia="Times New Roman" w:hAnsi="Times New Roman" w:cs="Times New Roman"/>
          <w:highlight w:val="yellow"/>
        </w:rPr>
        <w:t>TMB</w:t>
      </w:r>
      <w:r w:rsidRPr="00965123">
        <w:rPr>
          <w:rFonts w:ascii="Times New Roman" w:eastAsia="Times New Roman" w:hAnsi="Times New Roman" w:cs="Times New Roman"/>
        </w:rPr>
        <w:t xml:space="preserve"> reagent was dispensed into each well, gently mixed for 10 s, and incubated at room temperature (20-25</w:t>
      </w:r>
      <w:r w:rsidRPr="00B72A23">
        <w:rPr>
          <w:rFonts w:ascii="Times New Roman" w:eastAsia="Times New Roman" w:hAnsi="Times New Roman" w:cs="Times New Roman"/>
          <w:highlight w:val="yellow"/>
        </w:rPr>
        <w:t>℃</w:t>
      </w:r>
      <w:r w:rsidRPr="00965123">
        <w:rPr>
          <w:rFonts w:ascii="Times New Roman" w:eastAsia="Times New Roman" w:hAnsi="Times New Roman" w:cs="Times New Roman"/>
        </w:rPr>
        <w:t xml:space="preserve">) for 30 min. The reaction was terminated by adding 50 µL of stop solution to each well, followed by gentle mixing for 30 s to ensure </w:t>
      </w:r>
      <w:r>
        <w:rPr>
          <w:rFonts w:ascii="Times New Roman" w:eastAsia="Times New Roman" w:hAnsi="Times New Roman" w:cs="Times New Roman"/>
        </w:rPr>
        <w:t xml:space="preserve">a complete color change from blue to yellow. The </w:t>
      </w:r>
      <w:r w:rsidRPr="00965123">
        <w:rPr>
          <w:rFonts w:ascii="Times New Roman" w:eastAsia="Times New Roman" w:hAnsi="Times New Roman" w:cs="Times New Roman"/>
        </w:rPr>
        <w:t xml:space="preserve">absorbance was measured within 15 </w:t>
      </w:r>
      <w:r w:rsidRPr="00965123">
        <w:rPr>
          <w:rFonts w:ascii="Times New Roman" w:eastAsia="Times New Roman" w:hAnsi="Times New Roman" w:cs="Times New Roman"/>
        </w:rPr>
        <w:lastRenderedPageBreak/>
        <w:t>min at 450 nm using a microplate reader (Wuxi HiwellDiatek Instruments Co</w:t>
      </w:r>
      <w:r>
        <w:rPr>
          <w:rFonts w:ascii="Times New Roman" w:eastAsia="Times New Roman" w:hAnsi="Times New Roman" w:cs="Times New Roman"/>
        </w:rPr>
        <w:t>., Ltd., Wuxi, China).</w:t>
      </w:r>
    </w:p>
    <w:p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Acetylcholinesterase Activity </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The activity of AChE was assessed by incorporating 2.6 ml of 0.1 M </w:t>
      </w:r>
      <w:r w:rsidRPr="00B72A23">
        <w:rPr>
          <w:rFonts w:ascii="Times New Roman" w:eastAsia="Times New Roman" w:hAnsi="Times New Roman" w:cs="Times New Roman"/>
          <w:highlight w:val="yellow"/>
        </w:rPr>
        <w:t>phosphate buffer</w:t>
      </w:r>
      <w:r w:rsidRPr="00965123">
        <w:rPr>
          <w:rFonts w:ascii="Times New Roman" w:eastAsia="Times New Roman" w:hAnsi="Times New Roman" w:cs="Times New Roman"/>
        </w:rPr>
        <w:t xml:space="preserve"> (pH 7.2) and 100 µL of </w:t>
      </w:r>
      <w:r w:rsidRPr="00B72A23">
        <w:rPr>
          <w:rFonts w:ascii="Times New Roman" w:eastAsia="Times New Roman" w:hAnsi="Times New Roman" w:cs="Times New Roman"/>
          <w:highlight w:val="yellow"/>
        </w:rPr>
        <w:t>Ellman's reagent</w:t>
      </w:r>
      <w:r w:rsidRPr="00965123">
        <w:rPr>
          <w:rFonts w:ascii="Times New Roman" w:eastAsia="Times New Roman" w:hAnsi="Times New Roman" w:cs="Times New Roman"/>
        </w:rPr>
        <w:t xml:space="preserve"> (DTNB, 0.01 M) into 100 μL of brain homogenate. The reaction was initiated by adding 20 µL </w:t>
      </w:r>
      <w:r w:rsidRPr="00B72A23">
        <w:rPr>
          <w:rFonts w:ascii="Times New Roman" w:eastAsia="Times New Roman" w:hAnsi="Times New Roman" w:cs="Times New Roman"/>
          <w:highlight w:val="yellow"/>
        </w:rPr>
        <w:t>acetylthiocholine iodide</w:t>
      </w:r>
      <w:r w:rsidRPr="00965123">
        <w:rPr>
          <w:rFonts w:ascii="Times New Roman" w:eastAsia="Times New Roman" w:hAnsi="Times New Roman" w:cs="Times New Roman"/>
        </w:rPr>
        <w:t xml:space="preserve"> (0.075 M). Absorbance changes were recorded at 412 nm at one-minute intervals. The rate of absorbance increase per minute was employed to calculate AChE activity, utilizing a molar extinction coefficient of 13,600 M-1</w:t>
      </w:r>
      <w:r>
        <w:rPr>
          <w:rFonts w:ascii="Times New Roman" w:eastAsia="Times New Roman" w:hAnsi="Times New Roman" w:cs="Times New Roman"/>
        </w:rPr>
        <w:t xml:space="preserve"> cm-1 for the yellow chromophore produced (Y. Wang </w:t>
      </w:r>
      <w:r w:rsidRPr="00913685">
        <w:rPr>
          <w:rFonts w:ascii="Times New Roman" w:eastAsia="Times New Roman" w:hAnsi="Times New Roman" w:cs="Times New Roman"/>
          <w:i/>
        </w:rPr>
        <w:t>et al</w:t>
      </w:r>
      <w:r>
        <w:rPr>
          <w:rFonts w:ascii="Times New Roman" w:eastAsia="Times New Roman" w:hAnsi="Times New Roman" w:cs="Times New Roman"/>
        </w:rPr>
        <w:t>., 2022)</w:t>
      </w:r>
      <w:r w:rsidRPr="00965123">
        <w:rPr>
          <w:rFonts w:ascii="Times New Roman" w:eastAsia="Times New Roman" w:hAnsi="Times New Roman" w:cs="Times New Roman"/>
        </w:rPr>
        <w:t>.</w:t>
      </w:r>
    </w:p>
    <w:p w:rsidR="00913685" w:rsidRPr="00965123" w:rsidRDefault="00913685" w:rsidP="00913685">
      <w:pPr>
        <w:spacing w:line="360" w:lineRule="auto"/>
        <w:jc w:val="both"/>
      </w:pPr>
      <w:r w:rsidRPr="00965123">
        <w:rPr>
          <w:rFonts w:ascii="Times New Roman" w:eastAsia="Times New Roman" w:hAnsi="Times New Roman" w:cs="Times New Roman"/>
          <w:b/>
        </w:rPr>
        <w:t>Estimation of Malondialdehyde (MDA)</w:t>
      </w:r>
    </w:p>
    <w:p w:rsidR="00913685" w:rsidRPr="00965123" w:rsidRDefault="00913685" w:rsidP="00913685">
      <w:pPr>
        <w:spacing w:line="360" w:lineRule="auto"/>
        <w:jc w:val="both"/>
      </w:pPr>
      <w:r w:rsidRPr="00965123">
        <w:rPr>
          <w:rFonts w:ascii="Times New Roman" w:eastAsia="Times New Roman" w:hAnsi="Times New Roman" w:cs="Times New Roman"/>
        </w:rPr>
        <w:t>The procedure involved combining 1 mL of brain homogenate with 2 mL of 0.67% thiobarbituric acid (</w:t>
      </w:r>
      <w:r w:rsidRPr="00B72A23">
        <w:rPr>
          <w:rFonts w:ascii="Times New Roman" w:eastAsia="Times New Roman" w:hAnsi="Times New Roman" w:cs="Times New Roman"/>
          <w:highlight w:val="yellow"/>
        </w:rPr>
        <w:t>TBA)</w:t>
      </w:r>
      <w:r w:rsidRPr="00965123">
        <w:rPr>
          <w:rFonts w:ascii="Times New Roman" w:eastAsia="Times New Roman" w:hAnsi="Times New Roman" w:cs="Times New Roman"/>
        </w:rPr>
        <w:t xml:space="preserve"> and 2 mL of 20% </w:t>
      </w:r>
      <w:r w:rsidRPr="00B72A23">
        <w:rPr>
          <w:rFonts w:ascii="Times New Roman" w:eastAsia="Times New Roman" w:hAnsi="Times New Roman" w:cs="Times New Roman"/>
          <w:highlight w:val="yellow"/>
        </w:rPr>
        <w:t>trichloroacetic acid (TCA).</w:t>
      </w:r>
      <w:r w:rsidRPr="00965123">
        <w:rPr>
          <w:rFonts w:ascii="Times New Roman" w:eastAsia="Times New Roman" w:hAnsi="Times New Roman" w:cs="Times New Roman"/>
        </w:rPr>
        <w:t xml:space="preserve"> In the control sample, 1 mL of 0.1 M phosphate buffer (pH 7.2) was used instead of the homogenate. The mixture was subsequently heated at 100°C for 15 min and then cooled under running tap water. Centrifugation was performed at 3000 rpm for 10 min and the absorbance of the supernatant was measured at 532 nm. The concentration of </w:t>
      </w:r>
      <w:r>
        <w:rPr>
          <w:rFonts w:ascii="Times New Roman" w:eastAsia="Times New Roman" w:hAnsi="Times New Roman" w:cs="Times New Roman"/>
        </w:rPr>
        <w:t xml:space="preserve">MDA was expressed as nmol/mg protein, calculated using the Beer-Lambert law with a molar extinction coefficient of 1.56 × 105 M-1 cm-1 (W. Wang </w:t>
      </w:r>
      <w:r w:rsidRPr="00913685">
        <w:rPr>
          <w:rFonts w:ascii="Times New Roman" w:eastAsia="Times New Roman" w:hAnsi="Times New Roman" w:cs="Times New Roman"/>
          <w:i/>
        </w:rPr>
        <w:t>et al</w:t>
      </w:r>
      <w:r>
        <w:rPr>
          <w:rFonts w:ascii="Times New Roman" w:eastAsia="Times New Roman" w:hAnsi="Times New Roman" w:cs="Times New Roman"/>
        </w:rPr>
        <w:t>., 2022)</w:t>
      </w:r>
      <w:r w:rsidRPr="00965123">
        <w:rPr>
          <w:rFonts w:ascii="Times New Roman" w:eastAsia="Times New Roman" w:hAnsi="Times New Roman" w:cs="Times New Roman"/>
        </w:rPr>
        <w:t>.</w:t>
      </w:r>
    </w:p>
    <w:p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Catalase (CAT) Activity </w:t>
      </w:r>
    </w:p>
    <w:p w:rsidR="00913685" w:rsidRPr="00965123" w:rsidRDefault="00913685" w:rsidP="00913685">
      <w:pPr>
        <w:spacing w:line="360" w:lineRule="auto"/>
        <w:jc w:val="both"/>
      </w:pPr>
      <w:r w:rsidRPr="00965123">
        <w:rPr>
          <w:rFonts w:ascii="Times New Roman" w:eastAsia="Times New Roman" w:hAnsi="Times New Roman" w:cs="Times New Roman"/>
        </w:rPr>
        <w:t>The reaction mixture comprised 2.9 mL of 50 mM phosphate buffer (pH 7.0) and 0.1 mL the tissue homogenate supernatant. The reaction was initiated by the addition of 2.0 mL of 30 mM H2O2. Catalase activity was quantified by monitoring the reduction in absorbance at 240 nm at 15-second intervals over a duration of 1 min using spectrophotometry. The results are expressed as units per milligram of protein, employing a molar extinction coefficient of 43.6 M-1 cm-1 (Hadwan, 2018).</w:t>
      </w:r>
    </w:p>
    <w:p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Super Oxide Dismutase (SOD) Activity </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The reaction mixture comprised 1.2 mL of sodium pyrophosphate buffer (0.052 M, pH 8.3), 0.1 mL of tissue homogenate (supernatant), 0.1 mL of phenazine methosulfate (186 µM), and 0.3 mL of nitroblue tetrazolium (300 µM). The enzymatic reaction was initiated by the addition of 0.2 </w:t>
      </w:r>
      <w:r w:rsidRPr="00965123">
        <w:rPr>
          <w:rFonts w:ascii="Times New Roman" w:eastAsia="Times New Roman" w:hAnsi="Times New Roman" w:cs="Times New Roman"/>
        </w:rPr>
        <w:lastRenderedPageBreak/>
        <w:t>mL of 780 μM NADH and terminated after one minute with 1 mL of glacial acetic acid. Subsequently, 4 mL of n-butanol was added to the mixture, which was then vigorously shaken, centrifuged, and allowed to stand for phase separation. The absorbance of the butanol layer was measured at 560 nm against a blank using a spectrophotometer, and enzyme activity was expressed as units per milligram of protein (U/mg protein).</w:t>
      </w:r>
    </w:p>
    <w:p w:rsidR="00913685" w:rsidRPr="00965123" w:rsidRDefault="00913685" w:rsidP="00913685">
      <w:pPr>
        <w:spacing w:line="360" w:lineRule="auto"/>
        <w:jc w:val="both"/>
      </w:pPr>
      <w:r w:rsidRPr="00965123">
        <w:rPr>
          <w:rFonts w:ascii="Times New Roman" w:eastAsia="Times New Roman" w:hAnsi="Times New Roman" w:cs="Times New Roman"/>
          <w:b/>
        </w:rPr>
        <w:t>Statistical analysis</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The results are expressed as mean ± SEM and subjected to </w:t>
      </w:r>
      <w:r w:rsidRPr="00A96A79">
        <w:rPr>
          <w:rFonts w:ascii="Times New Roman" w:eastAsia="Times New Roman" w:hAnsi="Times New Roman" w:cs="Times New Roman"/>
          <w:highlight w:val="yellow"/>
        </w:rPr>
        <w:t>one-way analysis of variance (ANOVA),</w:t>
      </w:r>
      <w:r>
        <w:rPr>
          <w:rFonts w:ascii="Times New Roman" w:eastAsia="Times New Roman" w:hAnsi="Times New Roman" w:cs="Times New Roman"/>
        </w:rPr>
        <w:t xml:space="preserve"> followed by a post-hoc Dunnett's test (SPSS). A p-value of less than 0.05 was considered statistically significant when (P &lt; 0.05).</w:t>
      </w:r>
    </w:p>
    <w:p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Results</w:t>
      </w:r>
    </w:p>
    <w:p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Phytoestrogen content</w:t>
      </w:r>
    </w:p>
    <w:p w:rsidR="00913685" w:rsidRPr="00965123" w:rsidRDefault="00913685" w:rsidP="00913685">
      <w:pPr>
        <w:spacing w:line="360" w:lineRule="auto"/>
        <w:jc w:val="both"/>
        <w:rPr>
          <w:rFonts w:ascii="Times New Roman" w:eastAsia="Times New Roman" w:hAnsi="Times New Roman" w:cs="Times New Roman"/>
        </w:rPr>
      </w:pPr>
      <w:r w:rsidRPr="00965123">
        <w:rPr>
          <w:rFonts w:ascii="Times New Roman" w:eastAsia="Times New Roman" w:hAnsi="Times New Roman" w:cs="Times New Roman"/>
        </w:rPr>
        <w:t xml:space="preserve">The total phytoestrogen content of </w:t>
      </w:r>
      <w:r w:rsidRPr="00D25D0A">
        <w:rPr>
          <w:rFonts w:ascii="Times New Roman" w:eastAsia="Times New Roman" w:hAnsi="Times New Roman" w:cs="Times New Roman"/>
          <w:i/>
        </w:rPr>
        <w:t>O. schweinfurthiana</w:t>
      </w:r>
      <w:r w:rsidRPr="00965123">
        <w:rPr>
          <w:rFonts w:ascii="Times New Roman" w:eastAsia="Times New Roman" w:hAnsi="Times New Roman" w:cs="Times New Roman"/>
        </w:rPr>
        <w:t>extract was 1680 mg Genestein Eq/g. The</w:t>
      </w:r>
      <w:r>
        <w:rPr>
          <w:rFonts w:ascii="Times New Roman" w:eastAsia="Times New Roman" w:hAnsi="Times New Roman" w:cs="Times New Roman"/>
        </w:rPr>
        <w:t>se findings indicate that the polarity of the solvent influence</w:t>
      </w:r>
      <w:r w:rsidRPr="00965123">
        <w:rPr>
          <w:rFonts w:ascii="Times New Roman" w:eastAsia="Times New Roman" w:hAnsi="Times New Roman" w:cs="Times New Roman"/>
        </w:rPr>
        <w:t>s the distribution of phytoestrogens (</w:t>
      </w:r>
      <w:r>
        <w:rPr>
          <w:rFonts w:ascii="Times New Roman" w:eastAsia="Times New Roman" w:hAnsi="Times New Roman" w:cs="Times New Roman"/>
        </w:rPr>
        <w:t>Fig. 1) within the fractions. An increase in solvent polarity resulted in greater phytoestrogen accumulation in the fractions, culminating in the highest concentration in the water fraction.</w:t>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Effect of phytoestrogen rich fraction on serum estradiol concentration</w:t>
      </w:r>
    </w:p>
    <w:p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Scopolamine administration did not significantly (P&gt;0.05) alter the serum estradiol concentration, which was not significant</w:t>
      </w:r>
      <w:r>
        <w:rPr>
          <w:rFonts w:ascii="Times New Roman" w:hAnsi="Times New Roman" w:cs="Times New Roman"/>
        </w:rPr>
        <w:t>ly (P&lt;0.05) reduc</w:t>
      </w:r>
      <w:r w:rsidRPr="00965123">
        <w:rPr>
          <w:rFonts w:ascii="Times New Roman" w:hAnsi="Times New Roman" w:cs="Times New Roman"/>
        </w:rPr>
        <w:t xml:space="preserve">ed in the ovariectomized control group (Figure 2). A gradual increase in serum estradiol levels was observed after </w:t>
      </w:r>
      <w:r>
        <w:rPr>
          <w:rFonts w:ascii="Times New Roman" w:hAnsi="Times New Roman" w:cs="Times New Roman"/>
        </w:rPr>
        <w:t xml:space="preserve">PERF treatment. These increases were significant (P&lt;0.05) compared to the ovariectomized control. The increase in serum estradiol concentration was significantly (P&lt;0.05) higher in the estradiol group (estradiol) that in the PERF treatment group. </w:t>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Effect of phytoestrogen rich fraction on brain acetylcholinesterase activity</w:t>
      </w:r>
    </w:p>
    <w:p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Compared to the naïve control group, the administration of ovariectomy and scopolamine resulted in a significant increase (P&lt;0.05) in (ACHE) activity within the brain (Figure 3). Treatment with PERF at both doses significantly inhibited ACHE activity (P&lt;0.05) compared to </w:t>
      </w:r>
      <w:r>
        <w:rPr>
          <w:rFonts w:ascii="Times New Roman" w:hAnsi="Times New Roman" w:cs="Times New Roman"/>
        </w:rPr>
        <w:t xml:space="preserve">that in the ovariectomized control group. When comparing the PERF and estradiol treatment </w:t>
      </w:r>
      <w:r>
        <w:rPr>
          <w:rFonts w:ascii="Times New Roman" w:hAnsi="Times New Roman" w:cs="Times New Roman"/>
        </w:rPr>
        <w:lastRenderedPageBreak/>
        <w:t>groups, similar non-significant effects (P&gt;0.05) were observed. Notably, PERF at a dos</w:t>
      </w:r>
      <w:r w:rsidRPr="00965123">
        <w:rPr>
          <w:rFonts w:ascii="Times New Roman" w:hAnsi="Times New Roman" w:cs="Times New Roman"/>
        </w:rPr>
        <w:t>e of 528 mg/kg, akin to the estradiol-treated group, was effective in reducing ACHE activity to levels comparable to those recorded in the naïve control group.</w:t>
      </w: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pPr>
      <w:r w:rsidRPr="00965123">
        <w:rPr>
          <w:noProof/>
        </w:rPr>
        <w:drawing>
          <wp:inline distT="0" distB="0" distL="0" distR="0">
            <wp:extent cx="5486400" cy="24098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65123">
        <w:rPr>
          <w:noProof/>
        </w:rPr>
        <w:drawing>
          <wp:inline distT="0" distB="0" distL="0" distR="0">
            <wp:extent cx="5467350" cy="23431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3685" w:rsidRPr="00965123" w:rsidRDefault="00913685" w:rsidP="00913685">
      <w:pPr>
        <w:spacing w:line="360" w:lineRule="auto"/>
      </w:pPr>
      <w:r w:rsidRPr="00965123">
        <w:rPr>
          <w:rFonts w:ascii="Times New Roman" w:hAnsi="Times New Roman" w:cs="Times New Roman"/>
          <w:b/>
          <w:iCs/>
        </w:rPr>
        <w:t xml:space="preserve">Figure 1: Total phytoestrogen content of the extract and fractions of </w:t>
      </w:r>
      <w:r w:rsidRPr="00965123">
        <w:rPr>
          <w:rFonts w:ascii="Times New Roman" w:hAnsi="Times New Roman" w:cs="Times New Roman"/>
          <w:b/>
          <w:i/>
          <w:iCs/>
        </w:rPr>
        <w:t>O.schweinfurthiana</w:t>
      </w: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b/>
        </w:rPr>
      </w:pP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rPr>
        <w:lastRenderedPageBreak/>
        <w:drawing>
          <wp:inline distT="0" distB="0" distL="0" distR="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2: Effect of Phytoestrogen rich fraction on serum estradiol concentration</w:t>
      </w: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 = P&lt;0.05 compared to estradiol; b = P&lt;0.05 compared to ovariectomized control; * = P&lt;0.05 compared to Naïve control; ♯ = P&lt;0.05 compared to sham operated control</w:t>
      </w: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rPr>
        <w:lastRenderedPageBreak/>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3: Effect of Phytoestrogen rich fraction on brain tissue acetyl cholinesterase activity</w:t>
      </w: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ACHE = acetylcholinestrase; a = P&lt;0.05 compared to estradiol; b = P&lt;0.05 compared to ovariectomized control; * = P&lt;0.05 compared to Naïve control; ♯ = P&lt;0.05 compared to sham operated control</w:t>
      </w:r>
    </w:p>
    <w:p w:rsidR="00913685" w:rsidRPr="00965123" w:rsidRDefault="00913685" w:rsidP="00913685">
      <w:pPr>
        <w:spacing w:line="360" w:lineRule="auto"/>
        <w:jc w:val="both"/>
        <w:rPr>
          <w:rFonts w:ascii="Times New Roman" w:hAnsi="Times New Roman" w:cs="Times New Roman"/>
          <w:b/>
        </w:rPr>
      </w:pPr>
    </w:p>
    <w:p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Effect of PERF on Scopolamine and Ovariectomy induced memory impairment in morris water-maze task</w:t>
      </w:r>
    </w:p>
    <w:p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During the five-day training period, the negative control group, consisting of ovariectomized animals administered scopolamine, exhibited a significantly prolonged escape latency (P&lt;0.05) from day 2 to day 5 when compared to the naïve group, which neither received scopolamine nor underwent ovariectomy (Figure 4). Similarly, the ovariectomized control group that received scopolamine demonstrated a significantly prolonged escape latency (P&lt;0.05) compared to the sham-operated control group administered scopolamine from day</w:t>
      </w:r>
      <w:r>
        <w:rPr>
          <w:rFonts w:ascii="Times New Roman" w:hAnsi="Times New Roman" w:cs="Times New Roman"/>
        </w:rPr>
        <w:t xml:space="preserve">s 3 to </w:t>
      </w:r>
      <w:r w:rsidRPr="00965123">
        <w:rPr>
          <w:rFonts w:ascii="Times New Roman" w:hAnsi="Times New Roman" w:cs="Times New Roman"/>
        </w:rPr>
        <w:t xml:space="preserve">5. Treatment of ovariectomized animals administered scopolamine with PERF resulted in a shortened escape latency at both tested doses from day 3 to day 5 relative to the ovariectomized control group. Compared to the reference drug, estradiol treatment with 528 mg/kg of PERF significantly shortened escape latency (P&lt;0.05) from day 3 to day 5, while the 264 mg/kg dose produced </w:t>
      </w:r>
      <w:r w:rsidRPr="00965123">
        <w:rPr>
          <w:rFonts w:ascii="Times New Roman" w:hAnsi="Times New Roman" w:cs="Times New Roman"/>
        </w:rPr>
        <w:lastRenderedPageBreak/>
        <w:t xml:space="preserve">similar effects that were not significantly different. In the probe test, the ovariectomized scopolamine-administered control group spent significantly less time (P&lt;0.05) in the platform quadrant than </w:t>
      </w:r>
      <w:r>
        <w:rPr>
          <w:rFonts w:ascii="Times New Roman" w:hAnsi="Times New Roman" w:cs="Times New Roman"/>
        </w:rPr>
        <w:t xml:space="preserve">did the naïve control group. Consistent with the training experiment, significant memory impairment (P&lt;0.05) was observed in the ovariectomized control group compared to the sham-operated control group, as indicated by the significantly less time </w:t>
      </w:r>
      <w:r w:rsidRPr="00965123">
        <w:rPr>
          <w:rFonts w:ascii="Times New Roman" w:hAnsi="Times New Roman" w:cs="Times New Roman"/>
        </w:rPr>
        <w:t>spent in the platform quadrant</w:t>
      </w:r>
      <w:r>
        <w:rPr>
          <w:rFonts w:ascii="Times New Roman" w:hAnsi="Times New Roman" w:cs="Times New Roman"/>
        </w:rPr>
        <w:t xml:space="preserve"> (P &lt; 0.05). The phytoestrogen-rich fraction of O. Schweinfurthina significantly increased </w:t>
      </w:r>
      <w:r w:rsidRPr="00965123">
        <w:rPr>
          <w:rFonts w:ascii="Times New Roman" w:hAnsi="Times New Roman" w:cs="Times New Roman"/>
        </w:rPr>
        <w:t>swimming time in the platform quadrant compared to the ovariectomized control. A higher significant effect was also observed with 528 mg/kg PERF than with estradiol. The improvement recorded with 528 mg/kg PERF was comparable to that of the naïve control, with no significant difference</w:t>
      </w:r>
      <w:r>
        <w:rPr>
          <w:rFonts w:ascii="Times New Roman" w:hAnsi="Times New Roman" w:cs="Times New Roman"/>
        </w:rPr>
        <w:t>s observed between these groups.</w:t>
      </w: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noProof/>
        </w:rPr>
        <w:lastRenderedPageBreak/>
        <w:drawing>
          <wp:inline distT="0" distB="0" distL="0" distR="0">
            <wp:extent cx="5903843" cy="3200400"/>
            <wp:effectExtent l="0" t="0" r="1905" b="0"/>
            <wp:docPr id="205425999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65123">
        <w:rPr>
          <w:rFonts w:ascii="Times New Roman" w:hAnsi="Times New Roman" w:cs="Times New Roman"/>
          <w:noProof/>
        </w:rPr>
        <w:drawing>
          <wp:inline distT="0" distB="0" distL="0" distR="0">
            <wp:extent cx="5923722" cy="3200400"/>
            <wp:effectExtent l="0" t="0" r="1270" b="0"/>
            <wp:docPr id="4815268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4: Effect of Phytoestrogen rich fraction on memory impairment</w:t>
      </w: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 = P&lt;0.05 compared to estradiol; b = P&lt;0.05 compared to ovariectomized control; * = P&lt;0.05 compared to Naïve control; ♯ = P&lt;0.05 compared to sham operated control</w:t>
      </w: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Effect of phytoestrogen rich fraction on brain tissue oxidative stress</w:t>
      </w:r>
    </w:p>
    <w:p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Oxidative stress in brain tissue following ovariectomy and scopolamine administration was demonstrated by a decrease in tissue antioxidant enzyme concentrations, accompanied by an increase in lipid peroxidation (Figure 5). Ovariectomy alone resulted in a significant (P&lt;0.05) reduction in tissue catalase and superoxide dismutase (SOD) concentrations compared with the sham-operated control group. A further decrease was observed in ovariectomized animals administered scopolamine. Treatment with PERF at doses of 264 and 528 mg/kg significantly (P&lt;0.05) improved the concentrations of these enzymes compared with the ovariectomized-scopolamine control group. Notably, 528 mg/kg </w:t>
      </w:r>
      <w:r>
        <w:rPr>
          <w:rFonts w:ascii="Times New Roman" w:hAnsi="Times New Roman" w:cs="Times New Roman"/>
        </w:rPr>
        <w:t>PERF exhibited a significantly (P&lt;0.05) greater effect on catalase concentration than estradiol at a dose of 1 mg/kg</w:t>
      </w:r>
      <w:r w:rsidRPr="00965123">
        <w:rPr>
          <w:rFonts w:ascii="Times New Roman" w:hAnsi="Times New Roman" w:cs="Times New Roman"/>
        </w:rPr>
        <w:t>. Both doses of PERF had a similar effect on SOD enzyme concentration as estradiol</w:t>
      </w:r>
      <w:r>
        <w:rPr>
          <w:rFonts w:ascii="Times New Roman" w:hAnsi="Times New Roman" w:cs="Times New Roman"/>
        </w:rPr>
        <w:t xml:space="preserve"> did. PERF at a dose of 528 mg/kg </w:t>
      </w:r>
      <w:r w:rsidRPr="00965123">
        <w:rPr>
          <w:rFonts w:ascii="Times New Roman" w:hAnsi="Times New Roman" w:cs="Times New Roman"/>
        </w:rPr>
        <w:t>restore</w:t>
      </w:r>
      <w:r>
        <w:rPr>
          <w:rFonts w:ascii="Times New Roman" w:hAnsi="Times New Roman" w:cs="Times New Roman"/>
        </w:rPr>
        <w:t xml:space="preserve">d catalase and SOD enzyme concentrations to levels comparable to those recorded in the naïve control group. Statistical analysis of the </w:t>
      </w:r>
      <w:r w:rsidRPr="00965123">
        <w:rPr>
          <w:rFonts w:ascii="Times New Roman" w:hAnsi="Times New Roman" w:cs="Times New Roman"/>
        </w:rPr>
        <w:t xml:space="preserve">effects </w:t>
      </w:r>
      <w:r>
        <w:rPr>
          <w:rFonts w:ascii="Times New Roman" w:hAnsi="Times New Roman" w:cs="Times New Roman"/>
        </w:rPr>
        <w:t xml:space="preserve">of treatment on lipid peroxidation indicated that both doses of PERF, similar to the reference standard, significantly (P&lt;0.05) reduced lipid peroxidation induced by ovariectomy and scopolamine, as evidenced by a significant (P&lt;0.05) reduction in tissue malondialdehyde (MDA) concentration, a product of lipid peroxidation (Figure 6). Although lower MDA concentrations were recorded in the PERF-treated groups </w:t>
      </w:r>
      <w:r w:rsidRPr="00965123">
        <w:rPr>
          <w:rFonts w:ascii="Times New Roman" w:hAnsi="Times New Roman" w:cs="Times New Roman"/>
        </w:rPr>
        <w:t>than in the estradiol group, these differences were not statistical</w:t>
      </w:r>
      <w:r>
        <w:rPr>
          <w:rFonts w:ascii="Times New Roman" w:hAnsi="Times New Roman" w:cs="Times New Roman"/>
        </w:rPr>
        <w:t>ly significan</w:t>
      </w:r>
      <w:r w:rsidRPr="00965123">
        <w:rPr>
          <w:rFonts w:ascii="Times New Roman" w:hAnsi="Times New Roman" w:cs="Times New Roman"/>
        </w:rPr>
        <w:t>t.</w:t>
      </w: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jc w:val="both"/>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rPr>
        <w:lastRenderedPageBreak/>
        <w:drawing>
          <wp:inline distT="0" distB="0" distL="0" distR="0">
            <wp:extent cx="5486400" cy="3200400"/>
            <wp:effectExtent l="0" t="0" r="0" b="0"/>
            <wp:docPr id="214088294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5: Effect of Phytoestrogen rich fraction on brain tissue antioxidant concentration</w:t>
      </w: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SOD = superoxide dismutase; a = P&lt;0.05 compared to estradiol; b = P&lt;0.05 compared to ovariectomized control; * = P&lt;0.05 compared to Naïve control; ♯ = P&lt;0.05 compared to sham operated control</w:t>
      </w: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rPr>
        <w:lastRenderedPageBreak/>
        <w:drawing>
          <wp:inline distT="0" distB="0" distL="0" distR="0">
            <wp:extent cx="5486400" cy="3200400"/>
            <wp:effectExtent l="0" t="0" r="0" b="0"/>
            <wp:docPr id="2752590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6: Effect of Phytoestrogen rich fraction on brain tissue lipid peroxidation</w:t>
      </w:r>
    </w:p>
    <w:p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MDA = malondialdehyde; a = P&lt;0.05 compared to estradiol; b = P&lt;0.05 compared to ovariectomized control; * = P&lt;0.05 compared to Naïve control; ♯ = P&lt;0.05 compared to sham operated control</w:t>
      </w: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rPr>
      </w:pPr>
    </w:p>
    <w:p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lastRenderedPageBreak/>
        <w:t>Discussion</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This study investigated the ameliorative effects of the phytoestrogen-rich fraction (PERF) of </w:t>
      </w: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on memory impairment induced by ovariectomy and scopolamine administration in an animal model. Both ovariectomy and scopolamine are established experimental methods for modeling cognitive deficits associated with menopause and cholinergic dysfunction (Bouabdallah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The combined models simulate</w:t>
      </w:r>
      <w:r>
        <w:rPr>
          <w:rFonts w:ascii="Times New Roman" w:eastAsia="Times New Roman" w:hAnsi="Times New Roman" w:cs="Times New Roman"/>
        </w:rPr>
        <w:t xml:space="preserve">d postmenopausal Alzheimer-like pathology, rendering it clinically relevant for understanding the effects of PERF of </w:t>
      </w:r>
      <w:r w:rsidRPr="00D25D0A">
        <w:rPr>
          <w:rFonts w:ascii="Times New Roman" w:eastAsia="Times New Roman" w:hAnsi="Times New Roman" w:cs="Times New Roman"/>
          <w:i/>
        </w:rPr>
        <w:t>O. schweinfurthiana</w:t>
      </w:r>
      <w:r w:rsidRPr="00965123">
        <w:rPr>
          <w:rFonts w:ascii="Times New Roman" w:eastAsia="Times New Roman" w:hAnsi="Times New Roman" w:cs="Times New Roman"/>
        </w:rPr>
        <w:t>in neurodegenerative conditions associated with menopause. Ovariectomy results in a decline in estrogen levels, leading to structural and functional changes in the brain, particularly in the hippocampus, which is involved in learning and memory (Stepanichev</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Estrogen deficiency decreases synaptic plasticity, impairs cholinergic signaling, and promotes oxidative stress and neuroinflammation (Kolić &amp; Kovarik, 2024). PERF may counteract these changes by binding to </w:t>
      </w:r>
      <w:r>
        <w:rPr>
          <w:rFonts w:ascii="Times New Roman" w:eastAsia="Times New Roman" w:hAnsi="Times New Roman" w:cs="Times New Roman"/>
        </w:rPr>
        <w:t xml:space="preserve">the estrogen receptor β expressed in the hippocampus and cerebral cortex. Through this interaction, phytoestrogens </w:t>
      </w:r>
      <w:r w:rsidRPr="00965123">
        <w:rPr>
          <w:rFonts w:ascii="Times New Roman" w:eastAsia="Times New Roman" w:hAnsi="Times New Roman" w:cs="Times New Roman"/>
        </w:rPr>
        <w:t xml:space="preserve">can upregulate neurotrophic factors, enhance neuronal survival, and restore synaptic connectivity. Scopolamine, a muscarinic acetylcholine receptor antagonist, disrupts cholinergic neurotransmission and impairs learning by reducing acetylcholine availability in the hippocampus and prefrontal cortex (Belardo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 Cholinergic deficit</w:t>
      </w:r>
      <w:r>
        <w:rPr>
          <w:rFonts w:ascii="Times New Roman" w:eastAsia="Times New Roman" w:hAnsi="Times New Roman" w:cs="Times New Roman"/>
        </w:rPr>
        <w:t xml:space="preserve">s </w:t>
      </w:r>
      <w:r w:rsidRPr="00965123">
        <w:rPr>
          <w:rFonts w:ascii="Times New Roman" w:eastAsia="Times New Roman" w:hAnsi="Times New Roman" w:cs="Times New Roman"/>
        </w:rPr>
        <w:t xml:space="preserve">are associated with oxidative stress, neuroinflammation, and reduced synaptic plasticity, </w:t>
      </w:r>
      <w:r>
        <w:rPr>
          <w:rFonts w:ascii="Times New Roman" w:eastAsia="Times New Roman" w:hAnsi="Times New Roman" w:cs="Times New Roman"/>
        </w:rPr>
        <w:t>which contribut</w:t>
      </w:r>
      <w:r w:rsidRPr="00965123">
        <w:rPr>
          <w:rFonts w:ascii="Times New Roman" w:eastAsia="Times New Roman" w:hAnsi="Times New Roman" w:cs="Times New Roman"/>
        </w:rPr>
        <w:t>e to memory loss (Lazarova</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w:t>
      </w:r>
      <w:r>
        <w:rPr>
          <w:rFonts w:ascii="Times New Roman" w:eastAsia="Times New Roman" w:hAnsi="Times New Roman" w:cs="Times New Roman"/>
        </w:rPr>
        <w:t xml:space="preserve">The PERF of </w:t>
      </w: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may counteract scopolamine-induced amnesia through competitive antagonism. Inhibition of acetylcholinesterase (ACHE) concentration and activity prevents acetylcholine breakdown at synaptic junctions, enhancing cholinergic neurotransmission. Agents such as donepezil, rivastigmine, galantamine, and huperzine A ameliorate scopolamine-induced amnesia in preclinical models, supporting </w:t>
      </w:r>
      <w:r>
        <w:rPr>
          <w:rFonts w:ascii="Times New Roman" w:eastAsia="Times New Roman" w:hAnsi="Times New Roman" w:cs="Times New Roman"/>
        </w:rPr>
        <w:t>the use of ACHE inhibition in evaluating interventions for memory disorders (Thongrong</w:t>
      </w:r>
      <w:r w:rsidRPr="00913685">
        <w:rPr>
          <w:rFonts w:ascii="Times New Roman" w:eastAsia="Times New Roman" w:hAnsi="Times New Roman" w:cs="Times New Roman"/>
          <w:i/>
        </w:rPr>
        <w:t>et al</w:t>
      </w:r>
      <w:r>
        <w:rPr>
          <w:rFonts w:ascii="Times New Roman" w:eastAsia="Times New Roman" w:hAnsi="Times New Roman" w:cs="Times New Roman"/>
        </w:rPr>
        <w:t>., 2024)</w:t>
      </w:r>
      <w:r w:rsidRPr="00965123">
        <w:rPr>
          <w:rFonts w:ascii="Times New Roman" w:eastAsia="Times New Roman" w:hAnsi="Times New Roman" w:cs="Times New Roman"/>
        </w:rPr>
        <w:t xml:space="preserve">. Oxidative stress is critical for memory impairment resulting from scopolamine </w:t>
      </w:r>
      <w:r>
        <w:rPr>
          <w:rFonts w:ascii="Times New Roman" w:eastAsia="Times New Roman" w:hAnsi="Times New Roman" w:cs="Times New Roman"/>
        </w:rPr>
        <w:t>administration and ovariectomy. Scopolamine increases lipid peroxidation and decreases antioxidant enzyme activit</w:t>
      </w:r>
      <w:r w:rsidRPr="00965123">
        <w:rPr>
          <w:rFonts w:ascii="Times New Roman" w:eastAsia="Times New Roman" w:hAnsi="Times New Roman" w:cs="Times New Roman"/>
        </w:rPr>
        <w:t xml:space="preserve">y, </w:t>
      </w:r>
      <w:r>
        <w:rPr>
          <w:rFonts w:ascii="Times New Roman" w:eastAsia="Times New Roman" w:hAnsi="Times New Roman" w:cs="Times New Roman"/>
        </w:rPr>
        <w:t>thereby causing neuronal damage (Vinjavarapu</w:t>
      </w:r>
      <w:r w:rsidRPr="00913685">
        <w:rPr>
          <w:rFonts w:ascii="Times New Roman" w:eastAsia="Times New Roman" w:hAnsi="Times New Roman" w:cs="Times New Roman"/>
          <w:i/>
        </w:rPr>
        <w:t>et al</w:t>
      </w:r>
      <w:r>
        <w:rPr>
          <w:rFonts w:ascii="Times New Roman" w:eastAsia="Times New Roman" w:hAnsi="Times New Roman" w:cs="Times New Roman"/>
        </w:rPr>
        <w:t>., 2025)</w:t>
      </w:r>
      <w:r w:rsidRPr="00965123">
        <w:rPr>
          <w:rFonts w:ascii="Times New Roman" w:eastAsia="Times New Roman" w:hAnsi="Times New Roman" w:cs="Times New Roman"/>
        </w:rPr>
        <w:t xml:space="preserve">. Estrogen deficiency also weakens </w:t>
      </w:r>
      <w:r>
        <w:rPr>
          <w:rFonts w:ascii="Times New Roman" w:eastAsia="Times New Roman" w:hAnsi="Times New Roman" w:cs="Times New Roman"/>
        </w:rPr>
        <w:t>the antioxidant defenses</w:t>
      </w:r>
      <w:r w:rsidRPr="00965123">
        <w:rPr>
          <w:rFonts w:ascii="Times New Roman" w:eastAsia="Times New Roman" w:hAnsi="Times New Roman" w:cs="Times New Roman"/>
        </w:rPr>
        <w:t xml:space="preserve"> and increases neuronal vulnerability. Combined scopolamine and estrogen deficiency may synergistically exacerbate oxidative damage and impair synaptic plasticity and cognitive function (Balakrishnan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Studies </w:t>
      </w:r>
      <w:r>
        <w:rPr>
          <w:rFonts w:ascii="Times New Roman" w:eastAsia="Times New Roman" w:hAnsi="Times New Roman" w:cs="Times New Roman"/>
        </w:rPr>
        <w:t xml:space="preserve">have indicated that </w:t>
      </w:r>
      <w:r>
        <w:rPr>
          <w:rFonts w:ascii="Times New Roman" w:eastAsia="Times New Roman" w:hAnsi="Times New Roman" w:cs="Times New Roman"/>
        </w:rPr>
        <w:lastRenderedPageBreak/>
        <w:t>phytoestrogens have antioxidative and neuroprotective effects in models of cognitive impairment</w:t>
      </w:r>
      <w:r w:rsidRPr="00965123">
        <w:rPr>
          <w:rFonts w:ascii="Times New Roman" w:eastAsia="Times New Roman" w:hAnsi="Times New Roman" w:cs="Times New Roman"/>
        </w:rPr>
        <w:t>. Genistein, an isoflavone, enhances antioxidant enzyme activities</w:t>
      </w:r>
      <w:r>
        <w:rPr>
          <w:rFonts w:ascii="Times New Roman" w:eastAsia="Times New Roman" w:hAnsi="Times New Roman" w:cs="Times New Roman"/>
        </w:rPr>
        <w:t xml:space="preserve">, such as SOD and CAT, reduces malondialdehyde (MDA) levels in ovariectomized rats, </w:t>
      </w:r>
      <w:r w:rsidRPr="00965123">
        <w:rPr>
          <w:rFonts w:ascii="Times New Roman" w:eastAsia="Times New Roman" w:hAnsi="Times New Roman" w:cs="Times New Roman"/>
        </w:rPr>
        <w:t>reduces hippocampal oxidative damage</w:t>
      </w:r>
      <w:r>
        <w:rPr>
          <w:rFonts w:ascii="Times New Roman" w:eastAsia="Times New Roman" w:hAnsi="Times New Roman" w:cs="Times New Roman"/>
        </w:rPr>
        <w:t>, and improv</w:t>
      </w:r>
      <w:r w:rsidRPr="00965123">
        <w:rPr>
          <w:rFonts w:ascii="Times New Roman" w:eastAsia="Times New Roman" w:hAnsi="Times New Roman" w:cs="Times New Roman"/>
        </w:rPr>
        <w:t>es spatial memory (Wójciak</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Daidzein protects against scopolamine-induced oxidative stress by upregulating antioxidant defenses and preserving mitochondrial function in the brain Resveratrol, a polyphenol, inhibits lipid peroxidation and ROS generation, </w:t>
      </w:r>
      <w:r>
        <w:rPr>
          <w:rFonts w:ascii="Times New Roman" w:eastAsia="Times New Roman" w:hAnsi="Times New Roman" w:cs="Times New Roman"/>
        </w:rPr>
        <w:t xml:space="preserve">thereby enhancing memory in ovariectomized and scopolamine-treated rodents (Ji </w:t>
      </w:r>
      <w:r w:rsidRPr="00913685">
        <w:rPr>
          <w:rFonts w:ascii="Times New Roman" w:eastAsia="Times New Roman" w:hAnsi="Times New Roman" w:cs="Times New Roman"/>
          <w:i/>
        </w:rPr>
        <w:t>et al</w:t>
      </w:r>
      <w:r>
        <w:rPr>
          <w:rFonts w:ascii="Times New Roman" w:eastAsia="Times New Roman" w:hAnsi="Times New Roman" w:cs="Times New Roman"/>
        </w:rPr>
        <w:t>., 2021)</w:t>
      </w:r>
      <w:r w:rsidRPr="00965123">
        <w:rPr>
          <w:rFonts w:ascii="Times New Roman" w:eastAsia="Times New Roman" w:hAnsi="Times New Roman" w:cs="Times New Roman"/>
        </w:rPr>
        <w:t>. These findings suggest that phytoestrogens mitigate cognitive decline through free radical scavenging and modulation of antioxidant enzyme systems. Phytoestrogens</w:t>
      </w:r>
      <w:r>
        <w:rPr>
          <w:rFonts w:ascii="Times New Roman" w:eastAsia="Times New Roman" w:hAnsi="Times New Roman" w:cs="Times New Roman"/>
        </w:rPr>
        <w:t xml:space="preserve">, such as puerarin and equol, demonstrate selective estrogen receptor modulation and Nrf2 pathway activation, enhancing antioxidant gene expression, and reducing neuronal oxidative burden (Zhou </w:t>
      </w:r>
      <w:r w:rsidRPr="00913685">
        <w:rPr>
          <w:rFonts w:ascii="Times New Roman" w:eastAsia="Times New Roman" w:hAnsi="Times New Roman" w:cs="Times New Roman"/>
          <w:i/>
        </w:rPr>
        <w:t>et al</w:t>
      </w:r>
      <w:r>
        <w:rPr>
          <w:rFonts w:ascii="Times New Roman" w:eastAsia="Times New Roman" w:hAnsi="Times New Roman" w:cs="Times New Roman"/>
        </w:rPr>
        <w:t>., 2023)</w:t>
      </w:r>
      <w:r w:rsidRPr="00965123">
        <w:rPr>
          <w:rFonts w:ascii="Times New Roman" w:eastAsia="Times New Roman" w:hAnsi="Times New Roman" w:cs="Times New Roman"/>
        </w:rPr>
        <w:t xml:space="preserve">. The antioxidant properties of PERF from </w:t>
      </w:r>
      <w:r w:rsidRPr="00D25D0A">
        <w:rPr>
          <w:rFonts w:ascii="Times New Roman" w:eastAsia="Times New Roman" w:hAnsi="Times New Roman" w:cs="Times New Roman"/>
          <w:i/>
        </w:rPr>
        <w:t>Ochnaschweinfurthiana</w:t>
      </w:r>
      <w:r w:rsidRPr="00965123">
        <w:rPr>
          <w:rFonts w:ascii="Times New Roman" w:eastAsia="Times New Roman" w:hAnsi="Times New Roman" w:cs="Times New Roman"/>
        </w:rPr>
        <w:t xml:space="preserve"> may play a key role in its neuroprotective action. By reducing MDA levels and increasing antioxidant enzymes, PERF may protect neural tissue</w:t>
      </w:r>
      <w:r>
        <w:rPr>
          <w:rFonts w:ascii="Times New Roman" w:eastAsia="Times New Roman" w:hAnsi="Times New Roman" w:cs="Times New Roman"/>
        </w:rPr>
        <w:t xml:space="preserve">s from oxidative injury due to scopolamine and estrogen deficiency. While the combination of ovariectomy and scopolamine produced pronounced cognitive decline, PERF treatment resulted in significant cognitive restoration, as evidenced by the reduced escape latency and increased time in the target quadrant during probe trials. This suggests that the PERF of </w:t>
      </w:r>
      <w:r w:rsidRPr="00D25D0A">
        <w:rPr>
          <w:rFonts w:ascii="Times New Roman" w:eastAsia="Times New Roman" w:hAnsi="Times New Roman" w:cs="Times New Roman"/>
          <w:i/>
        </w:rPr>
        <w:t>O. schweinfurthiana</w:t>
      </w:r>
      <w:r w:rsidRPr="00965123">
        <w:rPr>
          <w:rFonts w:ascii="Times New Roman" w:eastAsia="Times New Roman" w:hAnsi="Times New Roman" w:cs="Times New Roman"/>
        </w:rPr>
        <w:t>can address the multifactorial nature of neurodegeneration and memory loss in postmenopausal conditions</w:t>
      </w:r>
      <w:r>
        <w:rPr>
          <w:rFonts w:ascii="Times New Roman" w:eastAsia="Times New Roman" w:hAnsi="Times New Roman" w:cs="Times New Roman"/>
        </w:rPr>
        <w:t>, where hormonal and neurotransmitter systems are compromised.</w:t>
      </w:r>
    </w:p>
    <w:p w:rsidR="00913685" w:rsidRPr="00965123" w:rsidRDefault="00913685" w:rsidP="00913685">
      <w:pPr>
        <w:spacing w:line="360" w:lineRule="auto"/>
        <w:jc w:val="both"/>
      </w:pPr>
    </w:p>
    <w:p w:rsidR="00913685" w:rsidRPr="00965123" w:rsidRDefault="00913685" w:rsidP="00913685">
      <w:pPr>
        <w:spacing w:line="360" w:lineRule="auto"/>
        <w:jc w:val="both"/>
      </w:pPr>
      <w:r w:rsidRPr="00965123">
        <w:rPr>
          <w:rFonts w:ascii="Times New Roman" w:eastAsia="Times New Roman" w:hAnsi="Times New Roman" w:cs="Times New Roman"/>
          <w:b/>
        </w:rPr>
        <w:t>Conclusion</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The phytoestrogen-rich fraction of </w:t>
      </w:r>
      <w:r w:rsidRPr="00965123">
        <w:rPr>
          <w:rFonts w:ascii="Times New Roman" w:eastAsia="Times New Roman" w:hAnsi="Times New Roman" w:cs="Times New Roman"/>
          <w:i/>
        </w:rPr>
        <w:t>O. schweinfurthana</w:t>
      </w:r>
      <w:r w:rsidRPr="00965123">
        <w:rPr>
          <w:rFonts w:ascii="Times New Roman" w:eastAsia="Times New Roman" w:hAnsi="Times New Roman" w:cs="Times New Roman"/>
        </w:rPr>
        <w:t xml:space="preserve">facilitates spatial memory consolidation and retrieval in </w:t>
      </w:r>
      <w:r>
        <w:rPr>
          <w:rFonts w:ascii="Times New Roman" w:eastAsia="Times New Roman" w:hAnsi="Times New Roman" w:cs="Times New Roman"/>
        </w:rPr>
        <w:t>an ovariectomy and scopolamine</w:t>
      </w:r>
      <w:r w:rsidRPr="00965123">
        <w:rPr>
          <w:rFonts w:ascii="Times New Roman" w:eastAsia="Times New Roman" w:hAnsi="Times New Roman" w:cs="Times New Roman"/>
        </w:rPr>
        <w:t xml:space="preserve">-combined model of memory impairment. </w:t>
      </w:r>
      <w:r>
        <w:rPr>
          <w:rFonts w:ascii="Times New Roman" w:eastAsia="Times New Roman" w:hAnsi="Times New Roman" w:cs="Times New Roman"/>
        </w:rPr>
        <w:t xml:space="preserve">The </w:t>
      </w:r>
      <w:r w:rsidRPr="00965123">
        <w:rPr>
          <w:rFonts w:ascii="Times New Roman" w:eastAsia="Times New Roman" w:hAnsi="Times New Roman" w:cs="Times New Roman"/>
        </w:rPr>
        <w:t>inhibition of AChE activity and oxidative damage may</w:t>
      </w:r>
      <w:r>
        <w:rPr>
          <w:rFonts w:ascii="Times New Roman" w:eastAsia="Times New Roman" w:hAnsi="Times New Roman" w:cs="Times New Roman"/>
        </w:rPr>
        <w:t>, at least in part, be responsible for this activity. Future studies are recommended to elucidate the molecular pathways involved and to assess the long-term efficacy and safety of this phytoestrogen in the clinical population.</w:t>
      </w:r>
    </w:p>
    <w:p w:rsidR="00913685" w:rsidRPr="00965123" w:rsidRDefault="00913685" w:rsidP="00913685">
      <w:pPr>
        <w:spacing w:line="360" w:lineRule="auto"/>
        <w:jc w:val="both"/>
      </w:pPr>
    </w:p>
    <w:p w:rsidR="00913685" w:rsidRPr="0040778E" w:rsidRDefault="00913685" w:rsidP="00913685">
      <w:pPr>
        <w:pStyle w:val="Heading1"/>
        <w:spacing w:line="360" w:lineRule="auto"/>
        <w:rPr>
          <w:rFonts w:ascii="Times New Roman" w:hAnsi="Times New Roman" w:cs="Times New Roman"/>
        </w:rPr>
      </w:pPr>
      <w:bookmarkStart w:id="1" w:name="_Toc256000001"/>
      <w:r w:rsidRPr="0040778E">
        <w:rPr>
          <w:rFonts w:ascii="Times New Roman" w:hAnsi="Times New Roman" w:cs="Times New Roman"/>
        </w:rPr>
        <w:lastRenderedPageBreak/>
        <w:t>References</w:t>
      </w:r>
      <w:bookmarkEnd w:id="1"/>
    </w:p>
    <w:p w:rsidR="00913685" w:rsidRPr="00965123" w:rsidRDefault="00913685" w:rsidP="00913685">
      <w:pPr>
        <w:spacing w:line="360" w:lineRule="auto"/>
        <w:jc w:val="both"/>
        <w:rPr>
          <w:rFonts w:ascii="Times New Roman" w:hAnsi="Times New Roman" w:cs="Times New Roman"/>
        </w:rPr>
      </w:pPr>
      <w:bookmarkStart w:id="2" w:name="679c3878982e3e339e4b048141f001d4_ref"/>
      <w:r w:rsidRPr="00965123">
        <w:rPr>
          <w:rFonts w:ascii="Times New Roman" w:eastAsia="Times New Roman" w:hAnsi="Times New Roman" w:cs="Times New Roman"/>
        </w:rPr>
        <w:t xml:space="preserve">Ajaghaku, D. L., Orji, U. H. &amp; Chinwuba, P. (2025a) </w:t>
      </w:r>
      <w:r w:rsidRPr="00965123">
        <w:rPr>
          <w:rFonts w:ascii="Times New Roman" w:hAnsi="Times New Roman" w:cs="Times New Roman"/>
        </w:rPr>
        <w:t xml:space="preserve">Combination effect of phytoestrogen and phenol rich fractions of </w:t>
      </w:r>
      <w:r w:rsidRPr="00D25D0A">
        <w:rPr>
          <w:rFonts w:ascii="Times New Roman" w:hAnsi="Times New Roman" w:cs="Times New Roman"/>
          <w:i/>
        </w:rPr>
        <w:t>Ochnaschweinfurthiana</w:t>
      </w:r>
      <w:r w:rsidRPr="00965123">
        <w:rPr>
          <w:rFonts w:ascii="Times New Roman" w:hAnsi="Times New Roman" w:cs="Times New Roman"/>
        </w:rPr>
        <w:t>on gastric emptying in ovariectomized animal model of menopause</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GSC Advanced Research and Reviews, 2025, 23(02), 049-060</w:t>
      </w:r>
      <w:r w:rsidRPr="00965123">
        <w:rPr>
          <w:rFonts w:ascii="Times New Roman" w:eastAsia="Times New Roman" w:hAnsi="Times New Roman" w:cs="Times New Roman"/>
        </w:rPr>
        <w:t>. doi:10.30574/gscarr.2025.23.2.0131</w:t>
      </w:r>
    </w:p>
    <w:p w:rsidR="00913685" w:rsidRPr="00965123" w:rsidRDefault="00913685" w:rsidP="00913685">
      <w:pPr>
        <w:spacing w:line="360" w:lineRule="auto"/>
        <w:jc w:val="both"/>
        <w:rPr>
          <w:rFonts w:ascii="Times New Roman" w:eastAsia="Times New Roman" w:hAnsi="Times New Roman" w:cs="Times New Roman"/>
        </w:rPr>
      </w:pPr>
      <w:bookmarkStart w:id="3" w:name="cite"/>
      <w:r w:rsidRPr="00965123">
        <w:rPr>
          <w:rFonts w:ascii="Times New Roman" w:eastAsia="Times New Roman" w:hAnsi="Times New Roman" w:cs="Times New Roman"/>
        </w:rPr>
        <w:t xml:space="preserve">Ajaghaku, D. L., Orji, U. H. &amp; Chinwuba, P. (2025b) Evaluation of Combination effects of phenolic and phytoestrogen compounds of Ochnaswienfurthiana on oral glucose tolerance in ovariectomized animal model of menopause. </w:t>
      </w:r>
      <w:r w:rsidRPr="00965123">
        <w:rPr>
          <w:rFonts w:ascii="Times New Roman" w:eastAsia="Times New Roman" w:hAnsi="Times New Roman" w:cs="Times New Roman"/>
          <w:i/>
          <w:iCs/>
        </w:rPr>
        <w:t>Journal of Pharmacological and Pharmaceutical Research</w:t>
      </w:r>
      <w:r w:rsidRPr="00965123">
        <w:rPr>
          <w:rFonts w:ascii="Times New Roman" w:eastAsia="Times New Roman" w:hAnsi="Times New Roman" w:cs="Times New Roman"/>
        </w:rPr>
        <w:t xml:space="preserve">, 2 (3), 87-96. </w:t>
      </w:r>
      <w:bookmarkEnd w:id="3"/>
      <w:r w:rsidRPr="00965123">
        <w:rPr>
          <w:rFonts w:ascii="Times New Roman" w:eastAsia="Times New Roman" w:hAnsi="Times New Roman" w:cs="Times New Roman"/>
        </w:rPr>
        <w:t>doi:10.5455/JPPR.20250430103757</w:t>
      </w:r>
    </w:p>
    <w:p w:rsidR="00913685" w:rsidRPr="00965123" w:rsidRDefault="00913685" w:rsidP="00913685">
      <w:pPr>
        <w:spacing w:line="360" w:lineRule="auto"/>
        <w:jc w:val="both"/>
      </w:pPr>
      <w:r w:rsidRPr="00965123">
        <w:rPr>
          <w:rFonts w:ascii="Times New Roman" w:eastAsia="Times New Roman" w:hAnsi="Times New Roman" w:cs="Times New Roman"/>
        </w:rPr>
        <w:t xml:space="preserve">Balakrishnan, R., Park, J.-Y., Cho, D.-Y., Ahn, J.-Y., Yoo, D.-S., Seol, S.-H., Yoon, S.-H., &amp; Choi, D.-K. (2023). AD−1 Small Molecule Improves Learning and Memory Function in Scopolamine-Induced Amnesic Mice Model through Regulation of CREB/BDNF and NF-κB/MAPK Signaling Pathway. </w:t>
      </w:r>
      <w:r w:rsidRPr="00965123">
        <w:rPr>
          <w:rFonts w:ascii="Times New Roman" w:eastAsia="Times New Roman" w:hAnsi="Times New Roman" w:cs="Times New Roman"/>
          <w:i/>
          <w:iCs/>
        </w:rPr>
        <w:t>Antioxidants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12</w:t>
      </w:r>
      <w:r w:rsidRPr="00965123">
        <w:rPr>
          <w:rFonts w:ascii="Times New Roman" w:eastAsia="Times New Roman" w:hAnsi="Times New Roman" w:cs="Times New Roman"/>
        </w:rPr>
        <w:t>(3), 648. https://doi.org/10.3390/antiox12030648</w:t>
      </w:r>
    </w:p>
    <w:bookmarkEnd w:id="2"/>
    <w:p w:rsidR="00913685" w:rsidRPr="00965123" w:rsidRDefault="00913685" w:rsidP="00913685">
      <w:pPr>
        <w:spacing w:line="360" w:lineRule="auto"/>
        <w:jc w:val="both"/>
      </w:pPr>
    </w:p>
    <w:p w:rsidR="00913685" w:rsidRPr="00965123" w:rsidRDefault="00913685" w:rsidP="00913685">
      <w:pPr>
        <w:spacing w:line="360" w:lineRule="auto"/>
        <w:jc w:val="both"/>
      </w:pPr>
      <w:bookmarkStart w:id="4" w:name="e3a426661c4e3f548954de9bb0bace64_ref"/>
      <w:r w:rsidRPr="00965123">
        <w:rPr>
          <w:rFonts w:ascii="Times New Roman" w:eastAsia="Times New Roman" w:hAnsi="Times New Roman" w:cs="Times New Roman"/>
        </w:rPr>
        <w:t xml:space="preserve">Batiha, G. E.-S., Al-Kuraishy, H. M., Teibo, T. K. A., Alexiou, A., Shaheen, H. M., Papadakis, M., Babalola, B. A., Al-Garbeeb, A. I., &amp; Teibo, J. O. (2023). Therapeutic potential of Lawsoniainermis Linn: a comprehensive overview. </w:t>
      </w:r>
      <w:r w:rsidRPr="00965123">
        <w:rPr>
          <w:rFonts w:ascii="Times New Roman" w:eastAsia="Times New Roman" w:hAnsi="Times New Roman" w:cs="Times New Roman"/>
          <w:i/>
          <w:iCs/>
        </w:rPr>
        <w:t>Naunyn-Schmiedeberg’s Archives of 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397</w:t>
      </w:r>
      <w:r w:rsidRPr="00965123">
        <w:rPr>
          <w:rFonts w:ascii="Times New Roman" w:eastAsia="Times New Roman" w:hAnsi="Times New Roman" w:cs="Times New Roman"/>
        </w:rPr>
        <w:t>(6), 3525–3540. https://doi.org/10.1007/s00210-023-02735-8</w:t>
      </w:r>
    </w:p>
    <w:bookmarkEnd w:id="4"/>
    <w:p w:rsidR="00913685" w:rsidRPr="00965123" w:rsidRDefault="00913685" w:rsidP="00913685">
      <w:pPr>
        <w:spacing w:line="360" w:lineRule="auto"/>
        <w:jc w:val="both"/>
      </w:pPr>
    </w:p>
    <w:p w:rsidR="00913685" w:rsidRPr="00965123" w:rsidRDefault="00913685" w:rsidP="00913685">
      <w:pPr>
        <w:spacing w:line="360" w:lineRule="auto"/>
        <w:jc w:val="both"/>
      </w:pPr>
      <w:bookmarkStart w:id="5" w:name="2e7210b3e33832c8bab157c3ccd476aa_ref"/>
      <w:r w:rsidRPr="00965123">
        <w:rPr>
          <w:rFonts w:ascii="Times New Roman" w:eastAsia="Times New Roman" w:hAnsi="Times New Roman" w:cs="Times New Roman"/>
        </w:rPr>
        <w:t xml:space="preserve">Belardo, C., Guida, F., Scuteri, D., Perrone, M., Bonsale, R., Fusco, A., Bagetta, G., Boccella, S., Ricciardi, F., Morace, A. M., Elbini-Dhouib, I., Maione, S., &amp; Luongo, L. (2023). Scopolamine-Induced Memory Impairment in Mice: Effects of PEA-OXA on Memory Retrieval and Hippocampal LTP. </w:t>
      </w:r>
      <w:r w:rsidRPr="00965123">
        <w:rPr>
          <w:rFonts w:ascii="Times New Roman" w:eastAsia="Times New Roman" w:hAnsi="Times New Roman" w:cs="Times New Roman"/>
          <w:i/>
          <w:iCs/>
        </w:rPr>
        <w:t>International Journal of Molecular Sciences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w:t>
      </w:r>
      <w:r w:rsidRPr="00965123">
        <w:rPr>
          <w:rFonts w:ascii="Times New Roman" w:eastAsia="Times New Roman" w:hAnsi="Times New Roman" w:cs="Times New Roman"/>
        </w:rPr>
        <w:t>(18), 14399. https://doi.org/10.3390/ijms241814399</w:t>
      </w:r>
    </w:p>
    <w:bookmarkEnd w:id="5"/>
    <w:p w:rsidR="00913685" w:rsidRPr="00965123" w:rsidRDefault="00913685" w:rsidP="00913685">
      <w:pPr>
        <w:spacing w:line="360" w:lineRule="auto"/>
        <w:jc w:val="both"/>
      </w:pPr>
    </w:p>
    <w:p w:rsidR="00913685" w:rsidRPr="00965123" w:rsidRDefault="00913685" w:rsidP="00913685">
      <w:pPr>
        <w:spacing w:line="360" w:lineRule="auto"/>
        <w:jc w:val="both"/>
      </w:pPr>
      <w:bookmarkStart w:id="6" w:name="608a3ca113b0319faec6a05baf283cce_ref"/>
      <w:r w:rsidRPr="00965123">
        <w:rPr>
          <w:rFonts w:ascii="Times New Roman" w:eastAsia="Times New Roman" w:hAnsi="Times New Roman" w:cs="Times New Roman"/>
        </w:rPr>
        <w:t>Bouabdallah, S., Cioanca, O., Al-Maktoum, A., Amin, A., Hritcu, L., Ben-Attia, M., Boiangiu, R. S., Hancianu, M., Ibrahim, M. H., Brinza, I., &amp;Honceriu, I. (2024). The Effect of a Tribulus-</w:t>
      </w:r>
      <w:r w:rsidRPr="00965123">
        <w:rPr>
          <w:rFonts w:ascii="Times New Roman" w:eastAsia="Times New Roman" w:hAnsi="Times New Roman" w:cs="Times New Roman"/>
        </w:rPr>
        <w:lastRenderedPageBreak/>
        <w:t xml:space="preserve">Based Formulation in Alleviating Cholinergic System Impairment and Scopolamine-Induced Memory Loss in Zebrafish (Danio rerio): Insights from Molecular Docking and In Vitro/In Vivo Approaches. </w:t>
      </w:r>
      <w:r w:rsidRPr="00965123">
        <w:rPr>
          <w:rFonts w:ascii="Times New Roman" w:eastAsia="Times New Roman" w:hAnsi="Times New Roman" w:cs="Times New Roman"/>
          <w:i/>
          <w:iCs/>
        </w:rPr>
        <w:t>Pharmaceuticals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17</w:t>
      </w:r>
      <w:r w:rsidRPr="00965123">
        <w:rPr>
          <w:rFonts w:ascii="Times New Roman" w:eastAsia="Times New Roman" w:hAnsi="Times New Roman" w:cs="Times New Roman"/>
        </w:rPr>
        <w:t>(2), 200. https://doi.org/10.3390/ph17020200</w:t>
      </w:r>
    </w:p>
    <w:bookmarkEnd w:id="6"/>
    <w:p w:rsidR="00913685" w:rsidRPr="00965123" w:rsidRDefault="00913685" w:rsidP="00913685">
      <w:pPr>
        <w:spacing w:line="360" w:lineRule="auto"/>
        <w:jc w:val="both"/>
      </w:pPr>
    </w:p>
    <w:p w:rsidR="00913685" w:rsidRPr="00965123" w:rsidRDefault="00913685" w:rsidP="00913685">
      <w:pPr>
        <w:spacing w:line="360" w:lineRule="auto"/>
        <w:jc w:val="both"/>
      </w:pPr>
      <w:bookmarkStart w:id="7" w:name="14e25ca9bafd312aa0a588c568054165_ref"/>
      <w:r w:rsidRPr="00965123">
        <w:rPr>
          <w:rFonts w:ascii="Times New Roman" w:eastAsia="Times New Roman" w:hAnsi="Times New Roman" w:cs="Times New Roman"/>
        </w:rPr>
        <w:t xml:space="preserve">Charlot, K., Malgoyre, A., Lepetit, B., Tardo-Dino, P.-E., Buchet, J.-F., Bourdon, S., Jousseaume, L., Koulmann, N., &amp;Roslonski, M. (2017). Short-Term, Low-Volume Training Improves Heat Acclimatization in an Operational Context. </w:t>
      </w:r>
      <w:r w:rsidRPr="00965123">
        <w:rPr>
          <w:rFonts w:ascii="Times New Roman" w:eastAsia="Times New Roman" w:hAnsi="Times New Roman" w:cs="Times New Roman"/>
          <w:i/>
          <w:iCs/>
        </w:rPr>
        <w:t>Frontiers in Physiology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8</w:t>
      </w:r>
      <w:r w:rsidRPr="00965123">
        <w:rPr>
          <w:rFonts w:ascii="Times New Roman" w:eastAsia="Times New Roman" w:hAnsi="Times New Roman" w:cs="Times New Roman"/>
        </w:rPr>
        <w:t>. https://doi.org/10.3389/fphys.2017.00419</w:t>
      </w:r>
    </w:p>
    <w:bookmarkEnd w:id="7"/>
    <w:p w:rsidR="00913685" w:rsidRPr="00965123" w:rsidRDefault="00913685" w:rsidP="00913685">
      <w:pPr>
        <w:spacing w:line="360" w:lineRule="auto"/>
        <w:jc w:val="both"/>
      </w:pPr>
    </w:p>
    <w:p w:rsidR="00913685" w:rsidRPr="00965123" w:rsidRDefault="00913685" w:rsidP="00913685">
      <w:pPr>
        <w:spacing w:line="360" w:lineRule="auto"/>
        <w:jc w:val="both"/>
      </w:pPr>
      <w:bookmarkStart w:id="8" w:name="288649e19ea93f819c8a46860e21f796_ref"/>
      <w:r w:rsidRPr="00965123">
        <w:rPr>
          <w:rFonts w:ascii="Times New Roman" w:eastAsia="Times New Roman" w:hAnsi="Times New Roman" w:cs="Times New Roman"/>
        </w:rPr>
        <w:t xml:space="preserve">Chavda, V. P., Balar, P. C., Gholap, A., Vora, L. K., &amp; Chaudhari, A. Z. (2024). Phytoestrogens: Chemistry, potential health benefits, and their medicinal importance. </w:t>
      </w:r>
      <w:r w:rsidRPr="00965123">
        <w:rPr>
          <w:rFonts w:ascii="Times New Roman" w:eastAsia="Times New Roman" w:hAnsi="Times New Roman" w:cs="Times New Roman"/>
          <w:i/>
          <w:iCs/>
        </w:rPr>
        <w:t>Phytotherapy Research : PTR</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38</w:t>
      </w:r>
      <w:r w:rsidRPr="00965123">
        <w:rPr>
          <w:rFonts w:ascii="Times New Roman" w:eastAsia="Times New Roman" w:hAnsi="Times New Roman" w:cs="Times New Roman"/>
        </w:rPr>
        <w:t>(6), 3060–3079. https://doi.org/10.1002/ptr.8196</w:t>
      </w:r>
    </w:p>
    <w:bookmarkEnd w:id="8"/>
    <w:p w:rsidR="00913685" w:rsidRPr="00965123" w:rsidRDefault="00913685" w:rsidP="00913685">
      <w:pPr>
        <w:spacing w:line="360" w:lineRule="auto"/>
        <w:jc w:val="both"/>
      </w:pPr>
    </w:p>
    <w:p w:rsidR="00913685" w:rsidRPr="00965123" w:rsidRDefault="00913685" w:rsidP="00913685">
      <w:pPr>
        <w:spacing w:line="360" w:lineRule="auto"/>
        <w:jc w:val="both"/>
      </w:pPr>
      <w:bookmarkStart w:id="9" w:name="4f7d16a5a5913624b1d0690d8f706a9c_ref"/>
      <w:r w:rsidRPr="00965123">
        <w:rPr>
          <w:rFonts w:ascii="Times New Roman" w:eastAsia="Times New Roman" w:hAnsi="Times New Roman" w:cs="Times New Roman"/>
        </w:rPr>
        <w:t xml:space="preserve">Dhaliwal, N., Dhaliwal, J., &amp; Chopra, K. (2024). 7, 8-dihydroxyflavone Ameliorates Cholinergic Dysfunction, Inflammation, Oxidative Stress, and Apoptosis in a Rat Model of Vascular Dementia. </w:t>
      </w:r>
      <w:r w:rsidRPr="00965123">
        <w:rPr>
          <w:rFonts w:ascii="Times New Roman" w:eastAsia="Times New Roman" w:hAnsi="Times New Roman" w:cs="Times New Roman"/>
          <w:i/>
          <w:iCs/>
        </w:rPr>
        <w:t>Neurochemical Research</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49</w:t>
      </w:r>
      <w:r w:rsidRPr="00965123">
        <w:rPr>
          <w:rFonts w:ascii="Times New Roman" w:eastAsia="Times New Roman" w:hAnsi="Times New Roman" w:cs="Times New Roman"/>
        </w:rPr>
        <w:t>(5), 1137–1149. https://doi.org/10.1007/s11064-023-04090-9</w:t>
      </w:r>
    </w:p>
    <w:bookmarkEnd w:id="9"/>
    <w:p w:rsidR="00913685" w:rsidRPr="00965123" w:rsidRDefault="00913685" w:rsidP="00913685">
      <w:pPr>
        <w:spacing w:line="360" w:lineRule="auto"/>
        <w:jc w:val="both"/>
      </w:pPr>
    </w:p>
    <w:p w:rsidR="00913685" w:rsidRPr="00965123" w:rsidRDefault="00913685" w:rsidP="00913685">
      <w:pPr>
        <w:spacing w:line="360" w:lineRule="auto"/>
        <w:jc w:val="both"/>
      </w:pPr>
      <w:bookmarkStart w:id="10" w:name="68836655bd5e341094108f0b04e5d6ba_ref"/>
      <w:r w:rsidRPr="00965123">
        <w:rPr>
          <w:rFonts w:ascii="Times New Roman" w:eastAsia="Times New Roman" w:hAnsi="Times New Roman" w:cs="Times New Roman"/>
        </w:rPr>
        <w:t xml:space="preserve">El Rayess, Y., Nehme, N., Azzi-Achkouty, S., &amp; Julien, S. G. (2024). Wine Phenolic Compounds: Chemistry, Functionality and Health Benefits. </w:t>
      </w:r>
      <w:r w:rsidRPr="00965123">
        <w:rPr>
          <w:rFonts w:ascii="Times New Roman" w:eastAsia="Times New Roman" w:hAnsi="Times New Roman" w:cs="Times New Roman"/>
          <w:i/>
          <w:iCs/>
        </w:rPr>
        <w:t>Antioxidants (Basel, Switzerland)</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13</w:t>
      </w:r>
      <w:r w:rsidRPr="00965123">
        <w:rPr>
          <w:rFonts w:ascii="Times New Roman" w:eastAsia="Times New Roman" w:hAnsi="Times New Roman" w:cs="Times New Roman"/>
        </w:rPr>
        <w:t>(11), 1312. https://doi.org/10.3390/antiox13111312</w:t>
      </w:r>
    </w:p>
    <w:bookmarkEnd w:id="10"/>
    <w:p w:rsidR="00913685" w:rsidRPr="00965123" w:rsidRDefault="00913685" w:rsidP="00913685">
      <w:pPr>
        <w:spacing w:line="360" w:lineRule="auto"/>
        <w:jc w:val="both"/>
      </w:pPr>
    </w:p>
    <w:p w:rsidR="00913685" w:rsidRPr="00965123" w:rsidRDefault="00913685" w:rsidP="00913685">
      <w:pPr>
        <w:spacing w:line="360" w:lineRule="auto"/>
        <w:jc w:val="both"/>
      </w:pPr>
      <w:bookmarkStart w:id="11" w:name="d739c13fe6cd395b86f67d13d1e14bb0_ref"/>
      <w:r w:rsidRPr="00965123">
        <w:rPr>
          <w:rFonts w:ascii="Times New Roman" w:eastAsia="Times New Roman" w:hAnsi="Times New Roman" w:cs="Times New Roman"/>
        </w:rPr>
        <w:t xml:space="preserve">Gheidi, A., Davidson, C. J., Simpson, S. C., Yahya, M. A., Sadik, N., Mascarin, A. T., &amp; Perrine, S. A. (2023). Norepinephrine depletion in the brain sex-dependently modulates aspects of spatial learning and memory in female and male rats. </w:t>
      </w:r>
      <w:r w:rsidRPr="00965123">
        <w:rPr>
          <w:rFonts w:ascii="Times New Roman" w:eastAsia="Times New Roman" w:hAnsi="Times New Roman" w:cs="Times New Roman"/>
          <w:i/>
          <w:iCs/>
        </w:rPr>
        <w:t>Psychopharmacology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240</w:t>
      </w:r>
      <w:r w:rsidRPr="00965123">
        <w:rPr>
          <w:rFonts w:ascii="Times New Roman" w:eastAsia="Times New Roman" w:hAnsi="Times New Roman" w:cs="Times New Roman"/>
        </w:rPr>
        <w:t>(12), 2585–2595. https://doi.org/10.1007/s00213-023-06453-0</w:t>
      </w:r>
    </w:p>
    <w:bookmarkEnd w:id="11"/>
    <w:p w:rsidR="00913685" w:rsidRPr="00965123" w:rsidRDefault="00913685" w:rsidP="00913685">
      <w:pPr>
        <w:spacing w:line="360" w:lineRule="auto"/>
        <w:jc w:val="both"/>
      </w:pPr>
    </w:p>
    <w:p w:rsidR="00913685" w:rsidRPr="00965123" w:rsidRDefault="00913685" w:rsidP="00913685">
      <w:pPr>
        <w:spacing w:line="360" w:lineRule="auto"/>
        <w:jc w:val="both"/>
      </w:pPr>
      <w:bookmarkStart w:id="12" w:name="16ab9efe8fcc3c40a65be21ec485f3c4_ref"/>
      <w:r w:rsidRPr="00965123">
        <w:rPr>
          <w:rFonts w:ascii="Times New Roman" w:eastAsia="Times New Roman" w:hAnsi="Times New Roman" w:cs="Times New Roman"/>
        </w:rPr>
        <w:lastRenderedPageBreak/>
        <w:t xml:space="preserve">Gulati, A., Banker, H., Muhammad, A. A., Anamika, F., &amp; Jain, R. (2025). Unlocking the Potential: Phytoestrogens and Cardiovascular Health. </w:t>
      </w:r>
      <w:r w:rsidRPr="00965123">
        <w:rPr>
          <w:rFonts w:ascii="Times New Roman" w:eastAsia="Times New Roman" w:hAnsi="Times New Roman" w:cs="Times New Roman"/>
          <w:i/>
          <w:iCs/>
        </w:rPr>
        <w:t>Current Cardiology Reviews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(3). https://doi.org/10.2174/011573403x333952241203050033</w:t>
      </w:r>
    </w:p>
    <w:bookmarkEnd w:id="12"/>
    <w:p w:rsidR="00913685" w:rsidRPr="00965123" w:rsidRDefault="00913685" w:rsidP="00913685">
      <w:pPr>
        <w:spacing w:line="360" w:lineRule="auto"/>
        <w:jc w:val="both"/>
      </w:pPr>
    </w:p>
    <w:p w:rsidR="00913685" w:rsidRPr="00965123" w:rsidRDefault="00913685" w:rsidP="00913685">
      <w:pPr>
        <w:spacing w:line="360" w:lineRule="auto"/>
        <w:jc w:val="both"/>
      </w:pPr>
      <w:bookmarkStart w:id="13" w:name="0b18dfce13643effb4bf894e4780e02a_ref"/>
      <w:r w:rsidRPr="00965123">
        <w:rPr>
          <w:rFonts w:ascii="Times New Roman" w:eastAsia="Times New Roman" w:hAnsi="Times New Roman" w:cs="Times New Roman"/>
        </w:rPr>
        <w:t xml:space="preserve">Gupta, V., Pravalika, A., Pandey, M. K., Mareddy, V., Jain, A. K., Singh, A., Nayak, A., Tripathi, S., &amp;Rajoriya, S. (2025). Molecular Detection, Seroprevalence and Biochemical Analysis of Lumpy Skin Disease Virus. </w:t>
      </w:r>
      <w:r w:rsidRPr="00965123">
        <w:rPr>
          <w:rFonts w:ascii="Times New Roman" w:eastAsia="Times New Roman" w:hAnsi="Times New Roman" w:cs="Times New Roman"/>
          <w:i/>
          <w:iCs/>
        </w:rPr>
        <w:t>Viruses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17</w:t>
      </w:r>
      <w:r w:rsidRPr="00965123">
        <w:rPr>
          <w:rFonts w:ascii="Times New Roman" w:eastAsia="Times New Roman" w:hAnsi="Times New Roman" w:cs="Times New Roman"/>
        </w:rPr>
        <w:t>(3), 293. https://doi.org/10.3390/v17030293</w:t>
      </w:r>
    </w:p>
    <w:bookmarkEnd w:id="13"/>
    <w:p w:rsidR="00913685" w:rsidRPr="00965123" w:rsidRDefault="00913685" w:rsidP="00913685">
      <w:pPr>
        <w:spacing w:line="360" w:lineRule="auto"/>
        <w:jc w:val="both"/>
      </w:pPr>
    </w:p>
    <w:p w:rsidR="00913685" w:rsidRPr="00965123" w:rsidRDefault="00913685" w:rsidP="00913685">
      <w:pPr>
        <w:spacing w:line="360" w:lineRule="auto"/>
        <w:jc w:val="both"/>
      </w:pPr>
      <w:bookmarkStart w:id="14" w:name="89b61dffc8793a7089a6f0670b53ce2d_ref"/>
      <w:r w:rsidRPr="00965123">
        <w:rPr>
          <w:rFonts w:ascii="Times New Roman" w:eastAsia="Times New Roman" w:hAnsi="Times New Roman" w:cs="Times New Roman"/>
        </w:rPr>
        <w:t xml:space="preserve">Hadwan, M. H. (2018). Simple spectrophotometric assay for measuring catalase activity in biological tissues. </w:t>
      </w:r>
      <w:r w:rsidRPr="00965123">
        <w:rPr>
          <w:rFonts w:ascii="Times New Roman" w:eastAsia="Times New Roman" w:hAnsi="Times New Roman" w:cs="Times New Roman"/>
          <w:i/>
          <w:iCs/>
        </w:rPr>
        <w:t>BMC Biochemistry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19</w:t>
      </w:r>
      <w:r w:rsidRPr="00965123">
        <w:rPr>
          <w:rFonts w:ascii="Times New Roman" w:eastAsia="Times New Roman" w:hAnsi="Times New Roman" w:cs="Times New Roman"/>
        </w:rPr>
        <w:t>(1). https://doi.org/10.1186/s12858-018-0097-5</w:t>
      </w:r>
    </w:p>
    <w:bookmarkEnd w:id="14"/>
    <w:p w:rsidR="00913685" w:rsidRPr="00965123" w:rsidRDefault="00913685" w:rsidP="00913685">
      <w:pPr>
        <w:spacing w:line="360" w:lineRule="auto"/>
        <w:jc w:val="both"/>
      </w:pPr>
    </w:p>
    <w:p w:rsidR="00913685" w:rsidRPr="00965123" w:rsidRDefault="00913685" w:rsidP="00913685">
      <w:pPr>
        <w:spacing w:line="360" w:lineRule="auto"/>
        <w:jc w:val="both"/>
      </w:pPr>
      <w:bookmarkStart w:id="15" w:name="6d2f9e6522c93646a64f492e2d1f5f2c_ref"/>
      <w:r w:rsidRPr="00965123">
        <w:rPr>
          <w:rFonts w:ascii="Times New Roman" w:eastAsia="Times New Roman" w:hAnsi="Times New Roman" w:cs="Times New Roman"/>
        </w:rPr>
        <w:t xml:space="preserve">Ibrahim, W. W., Sayed, R. H., Abdelhameed, M. F., Omara, E. A., Nassar, M. I., Abdelkader, N. F., Farag, M. A., Elshamy, A. I., &amp; Afifi, S. M. (2024). Neuroprotective potential of Erigeron bonariensis ethanolic extract against ovariectomized/D-galactose-induced memory impairments in female rats in relation to its metabolite fingerprint as revealed using UPLC/MS. </w:t>
      </w:r>
      <w:r w:rsidRPr="00965123">
        <w:rPr>
          <w:rFonts w:ascii="Times New Roman" w:eastAsia="Times New Roman" w:hAnsi="Times New Roman" w:cs="Times New Roman"/>
          <w:i/>
          <w:iCs/>
        </w:rPr>
        <w:t>Inflammopharmacology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32</w:t>
      </w:r>
      <w:r w:rsidRPr="00965123">
        <w:rPr>
          <w:rFonts w:ascii="Times New Roman" w:eastAsia="Times New Roman" w:hAnsi="Times New Roman" w:cs="Times New Roman"/>
        </w:rPr>
        <w:t>(2), 1091–1112. https://doi.org/10.1007/s10787-023-01418-3</w:t>
      </w:r>
    </w:p>
    <w:bookmarkEnd w:id="15"/>
    <w:p w:rsidR="00913685" w:rsidRPr="00965123" w:rsidRDefault="00913685" w:rsidP="00913685">
      <w:pPr>
        <w:spacing w:line="360" w:lineRule="auto"/>
        <w:jc w:val="both"/>
      </w:pPr>
    </w:p>
    <w:p w:rsidR="00913685" w:rsidRPr="00965123" w:rsidRDefault="00913685" w:rsidP="00913685">
      <w:pPr>
        <w:spacing w:line="360" w:lineRule="auto"/>
        <w:jc w:val="both"/>
      </w:pPr>
      <w:bookmarkStart w:id="16" w:name="463b67a5cf3c342f8fa775f59553e7d3_ref"/>
      <w:r w:rsidRPr="00965123">
        <w:rPr>
          <w:rFonts w:ascii="Times New Roman" w:eastAsia="Times New Roman" w:hAnsi="Times New Roman" w:cs="Times New Roman"/>
        </w:rPr>
        <w:t xml:space="preserve">Ismail, Y. A., Haitham, Y., Walid, M., Mohamed, H., &amp; El-Satar, Y. M. A. (2025). Efficacy of acetylcholinesterase inhibitors on reducing hippocampal atrophy rate: a systematic review and meta-analysis. </w:t>
      </w:r>
      <w:r w:rsidRPr="00965123">
        <w:rPr>
          <w:rFonts w:ascii="Times New Roman" w:eastAsia="Times New Roman" w:hAnsi="Times New Roman" w:cs="Times New Roman"/>
          <w:i/>
          <w:iCs/>
        </w:rPr>
        <w:t>BMC Neurology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25</w:t>
      </w:r>
      <w:r w:rsidRPr="00965123">
        <w:rPr>
          <w:rFonts w:ascii="Times New Roman" w:eastAsia="Times New Roman" w:hAnsi="Times New Roman" w:cs="Times New Roman"/>
        </w:rPr>
        <w:t>(1). https://doi.org/10.1186/s12883-024-03933-4</w:t>
      </w:r>
    </w:p>
    <w:bookmarkEnd w:id="16"/>
    <w:p w:rsidR="00913685" w:rsidRPr="00965123" w:rsidRDefault="00913685" w:rsidP="00913685">
      <w:pPr>
        <w:spacing w:line="360" w:lineRule="auto"/>
        <w:jc w:val="both"/>
      </w:pPr>
    </w:p>
    <w:p w:rsidR="00913685" w:rsidRPr="00965123" w:rsidRDefault="00913685" w:rsidP="00913685">
      <w:pPr>
        <w:spacing w:line="360" w:lineRule="auto"/>
        <w:jc w:val="both"/>
      </w:pPr>
      <w:bookmarkStart w:id="17" w:name="79d421f8fc993d2d89a43b41795b0876_ref"/>
      <w:r w:rsidRPr="00965123">
        <w:rPr>
          <w:rFonts w:ascii="Times New Roman" w:eastAsia="Times New Roman" w:hAnsi="Times New Roman" w:cs="Times New Roman"/>
        </w:rPr>
        <w:t xml:space="preserve">Ji, J., Xia, G., Liu, Z., Zhang, X., Shen, X., Yu, H., Huang, S., Zhu, Y., &amp; Yi, X. (2021). Tilapia Head Protein Hydrolysate Attenuates Scopolamine-Induced Cognitive Impairment through the Gut-Brain Axis in Mice. </w:t>
      </w:r>
      <w:r w:rsidRPr="00965123">
        <w:rPr>
          <w:rFonts w:ascii="Times New Roman" w:eastAsia="Times New Roman" w:hAnsi="Times New Roman" w:cs="Times New Roman"/>
          <w:i/>
          <w:iCs/>
        </w:rPr>
        <w:t>Foods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10</w:t>
      </w:r>
      <w:r w:rsidRPr="00965123">
        <w:rPr>
          <w:rFonts w:ascii="Times New Roman" w:eastAsia="Times New Roman" w:hAnsi="Times New Roman" w:cs="Times New Roman"/>
        </w:rPr>
        <w:t>(12), 3129. https://doi.org/10.3390/foods10123129</w:t>
      </w:r>
    </w:p>
    <w:bookmarkEnd w:id="17"/>
    <w:p w:rsidR="00913685" w:rsidRPr="00965123" w:rsidRDefault="00913685" w:rsidP="00913685">
      <w:pPr>
        <w:spacing w:line="360" w:lineRule="auto"/>
        <w:jc w:val="both"/>
      </w:pPr>
    </w:p>
    <w:p w:rsidR="00913685" w:rsidRPr="00965123" w:rsidRDefault="00913685" w:rsidP="00913685">
      <w:pPr>
        <w:spacing w:line="360" w:lineRule="auto"/>
        <w:jc w:val="both"/>
      </w:pPr>
      <w:bookmarkStart w:id="18" w:name="1c6e5abd09313e5db0621b39c9601bfd_ref"/>
      <w:r w:rsidRPr="00965123">
        <w:rPr>
          <w:rFonts w:ascii="Times New Roman" w:eastAsia="Times New Roman" w:hAnsi="Times New Roman" w:cs="Times New Roman"/>
        </w:rPr>
        <w:lastRenderedPageBreak/>
        <w:t xml:space="preserve">Kolić, D., &amp; Kovarik, Z. (2024). N-methyl-d-aspartate receptors: Structure, function, and role in organophosphorus compound poisoning. </w:t>
      </w:r>
      <w:r w:rsidRPr="00965123">
        <w:rPr>
          <w:rFonts w:ascii="Times New Roman" w:eastAsia="Times New Roman" w:hAnsi="Times New Roman" w:cs="Times New Roman"/>
          <w:i/>
          <w:iCs/>
        </w:rPr>
        <w:t>BioFactors (Oxford, England)</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50</w:t>
      </w:r>
      <w:r w:rsidRPr="00965123">
        <w:rPr>
          <w:rFonts w:ascii="Times New Roman" w:eastAsia="Times New Roman" w:hAnsi="Times New Roman" w:cs="Times New Roman"/>
        </w:rPr>
        <w:t>(5), 868–884. https://doi.org/10.1002/biof.2048</w:t>
      </w:r>
    </w:p>
    <w:bookmarkEnd w:id="18"/>
    <w:p w:rsidR="00913685" w:rsidRPr="00965123" w:rsidRDefault="00913685" w:rsidP="00913685">
      <w:pPr>
        <w:spacing w:line="360" w:lineRule="auto"/>
        <w:jc w:val="both"/>
      </w:pPr>
    </w:p>
    <w:p w:rsidR="00913685" w:rsidRPr="00965123" w:rsidRDefault="00913685" w:rsidP="00913685">
      <w:pPr>
        <w:spacing w:line="360" w:lineRule="auto"/>
        <w:jc w:val="both"/>
      </w:pPr>
      <w:bookmarkStart w:id="19" w:name="ea1c49ed3a81356fb0f0917523f31226_ref"/>
      <w:r w:rsidRPr="00965123">
        <w:rPr>
          <w:rFonts w:ascii="Times New Roman" w:eastAsia="Times New Roman" w:hAnsi="Times New Roman" w:cs="Times New Roman"/>
        </w:rPr>
        <w:t xml:space="preserve">Korkmaz, F., Sims, S., Sen, F., Sultana, F., Laurencin, V., Cullen, L., Pallapati, A., Liu, A., Chen, R., Rojekar, S., Pevnev, G., Cheliadinova, U., Vasilyeva, D., Burganova, G., Macdonald, A., Saxena, M., Goosens, K., Rosen, C. J., Barak, O., … Zaidi, M. (2024). Gene-dose-dependent reduction of Fshr expression improves spatial memory deficits in Alzheimer’s mice. </w:t>
      </w:r>
      <w:r w:rsidRPr="00965123">
        <w:rPr>
          <w:rFonts w:ascii="Times New Roman" w:eastAsia="Times New Roman" w:hAnsi="Times New Roman" w:cs="Times New Roman"/>
          <w:i/>
          <w:iCs/>
        </w:rPr>
        <w:t>Molecular Psychiatry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30</w:t>
      </w:r>
      <w:r w:rsidRPr="00965123">
        <w:rPr>
          <w:rFonts w:ascii="Times New Roman" w:eastAsia="Times New Roman" w:hAnsi="Times New Roman" w:cs="Times New Roman"/>
        </w:rPr>
        <w:t>(5), 2119–2126. https://doi.org/10.1038/s41380-024-02824-x</w:t>
      </w:r>
    </w:p>
    <w:bookmarkEnd w:id="19"/>
    <w:p w:rsidR="00913685" w:rsidRPr="00965123" w:rsidRDefault="00913685" w:rsidP="00913685">
      <w:pPr>
        <w:spacing w:line="360" w:lineRule="auto"/>
        <w:jc w:val="both"/>
      </w:pPr>
    </w:p>
    <w:p w:rsidR="00913685" w:rsidRPr="00965123" w:rsidRDefault="00913685" w:rsidP="00913685">
      <w:pPr>
        <w:spacing w:line="360" w:lineRule="auto"/>
        <w:jc w:val="both"/>
      </w:pPr>
      <w:bookmarkStart w:id="20" w:name="232d729b7da03f898e95a60c6a916866_ref"/>
      <w:r w:rsidRPr="00965123">
        <w:rPr>
          <w:rFonts w:ascii="Times New Roman" w:eastAsia="Times New Roman" w:hAnsi="Times New Roman" w:cs="Times New Roman"/>
        </w:rPr>
        <w:t xml:space="preserve">Kraemer, R. R., &amp; Kraemer, B. R. (2023). The effects of peripheral hormone responses to exercise on adult hippocampal neurogenesis. </w:t>
      </w:r>
      <w:r w:rsidRPr="00965123">
        <w:rPr>
          <w:rFonts w:ascii="Times New Roman" w:eastAsia="Times New Roman" w:hAnsi="Times New Roman" w:cs="Times New Roman"/>
          <w:i/>
          <w:iCs/>
        </w:rPr>
        <w:t>Frontiers in Endocrinology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14</w:t>
      </w:r>
      <w:r w:rsidRPr="00965123">
        <w:rPr>
          <w:rFonts w:ascii="Times New Roman" w:eastAsia="Times New Roman" w:hAnsi="Times New Roman" w:cs="Times New Roman"/>
        </w:rPr>
        <w:t>. https://doi.org/10.3389/fendo.2023.1202349</w:t>
      </w:r>
    </w:p>
    <w:bookmarkEnd w:id="20"/>
    <w:p w:rsidR="00913685" w:rsidRPr="00965123" w:rsidRDefault="00913685" w:rsidP="00913685">
      <w:pPr>
        <w:spacing w:line="360" w:lineRule="auto"/>
        <w:jc w:val="both"/>
      </w:pPr>
    </w:p>
    <w:p w:rsidR="00913685" w:rsidRPr="00965123" w:rsidRDefault="00913685" w:rsidP="00913685">
      <w:pPr>
        <w:spacing w:line="360" w:lineRule="auto"/>
        <w:jc w:val="both"/>
      </w:pPr>
      <w:bookmarkStart w:id="21" w:name="c72c571a16003dceb2132ad7505009af_ref"/>
      <w:r w:rsidRPr="00965123">
        <w:rPr>
          <w:rFonts w:ascii="Times New Roman" w:eastAsia="Times New Roman" w:hAnsi="Times New Roman" w:cs="Times New Roman"/>
        </w:rPr>
        <w:t xml:space="preserve">Lazarova, M., Taseva, T., Stefanova, M., Denev, P., Vassileva, V., &amp;Tasheva, K. (2024). Neuroprotective Effect of Marrubium vulgare Extract in Scopolamine-Induced Cognitive Impairment in Rats: Behavioral and Biochemical Approaches. </w:t>
      </w:r>
      <w:r w:rsidRPr="00965123">
        <w:rPr>
          <w:rFonts w:ascii="Times New Roman" w:eastAsia="Times New Roman" w:hAnsi="Times New Roman" w:cs="Times New Roman"/>
          <w:i/>
          <w:iCs/>
        </w:rPr>
        <w:t>Biology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13</w:t>
      </w:r>
      <w:r w:rsidRPr="00965123">
        <w:rPr>
          <w:rFonts w:ascii="Times New Roman" w:eastAsia="Times New Roman" w:hAnsi="Times New Roman" w:cs="Times New Roman"/>
        </w:rPr>
        <w:t>(6), 426. https://doi.org/10.3390/biology13060426</w:t>
      </w:r>
    </w:p>
    <w:bookmarkEnd w:id="21"/>
    <w:p w:rsidR="00913685" w:rsidRPr="00965123" w:rsidRDefault="00913685" w:rsidP="00913685">
      <w:pPr>
        <w:spacing w:line="360" w:lineRule="auto"/>
        <w:jc w:val="both"/>
      </w:pPr>
    </w:p>
    <w:p w:rsidR="00913685" w:rsidRPr="00965123" w:rsidRDefault="00913685" w:rsidP="00913685">
      <w:pPr>
        <w:spacing w:line="360" w:lineRule="auto"/>
        <w:jc w:val="both"/>
      </w:pPr>
      <w:bookmarkStart w:id="22" w:name="4f337cb6bb6836f683e42d5082ec2d86_ref"/>
      <w:r w:rsidRPr="00965123">
        <w:rPr>
          <w:rFonts w:ascii="Times New Roman" w:eastAsia="Times New Roman" w:hAnsi="Times New Roman" w:cs="Times New Roman"/>
        </w:rPr>
        <w:t xml:space="preserve">Li, D., Zhang, T., Gao, G., Yang, H., Zhang, C., &amp; Yang, W. (2023). Effect of Vitamin D on the Proliferation and Barrier of Atrophic Vaginal Epithelial Cells. </w:t>
      </w:r>
      <w:r w:rsidRPr="00965123">
        <w:rPr>
          <w:rFonts w:ascii="Times New Roman" w:eastAsia="Times New Roman" w:hAnsi="Times New Roman" w:cs="Times New Roman"/>
          <w:i/>
          <w:iCs/>
        </w:rPr>
        <w:t>Molecules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28</w:t>
      </w:r>
      <w:r w:rsidRPr="00965123">
        <w:rPr>
          <w:rFonts w:ascii="Times New Roman" w:eastAsia="Times New Roman" w:hAnsi="Times New Roman" w:cs="Times New Roman"/>
        </w:rPr>
        <w:t>(18), 6605. https://doi.org/10.3390/molecules28186605</w:t>
      </w:r>
    </w:p>
    <w:bookmarkEnd w:id="22"/>
    <w:p w:rsidR="00913685" w:rsidRPr="00965123" w:rsidRDefault="00913685" w:rsidP="00913685">
      <w:pPr>
        <w:spacing w:line="360" w:lineRule="auto"/>
        <w:jc w:val="both"/>
      </w:pPr>
      <w:r w:rsidRPr="00965123">
        <w:t xml:space="preserve">Orji, U. H., Ilodigwe, E. E. Ajaghaku, A. A., Mbagwu, I. S., Chinwuba, P., Iyanyi, U. L. &amp;Ajaghaku, D. L. (2025) Effect of Phenol Rich fraction of </w:t>
      </w:r>
      <w:r w:rsidRPr="00D25D0A">
        <w:rPr>
          <w:i/>
        </w:rPr>
        <w:t>Ochnaschweinfurthiana</w:t>
      </w:r>
      <w:r w:rsidRPr="00965123">
        <w:t xml:space="preserve"> on Retinoic acid induced Osteoporosis. </w:t>
      </w:r>
      <w:r w:rsidRPr="00965123">
        <w:rPr>
          <w:i/>
          <w:iCs/>
        </w:rPr>
        <w:t>Journal of Experimental and Laboratory Medicine</w:t>
      </w:r>
      <w:r w:rsidRPr="00965123">
        <w:t>, 2 (3), 90-105. doi:10.5455/JELM.20250423061334</w:t>
      </w:r>
    </w:p>
    <w:p w:rsidR="00913685" w:rsidRPr="00965123" w:rsidRDefault="00913685" w:rsidP="00913685">
      <w:pPr>
        <w:spacing w:line="360" w:lineRule="auto"/>
        <w:jc w:val="both"/>
      </w:pPr>
      <w:bookmarkStart w:id="23" w:name="7484f9acf7e43f7eb8c57a6d45aa6a6c_ref"/>
      <w:r w:rsidRPr="00965123">
        <w:rPr>
          <w:rFonts w:ascii="Times New Roman" w:eastAsia="Times New Roman" w:hAnsi="Times New Roman" w:cs="Times New Roman"/>
        </w:rPr>
        <w:lastRenderedPageBreak/>
        <w:t xml:space="preserve">Reho, J. J., Muskus, P. C., Bennett, D. M., Grobe, C. C., Burnett, C. M. L., Nakagawa, P., Segar, J. L., Sigmund, C. D., &amp; Grobe, J. L. (2024). Modulatory effects of estrous cycle on ingestive behaviors and energy balance in young adult C57BL/6J mice maintained on a phytoestrogen-free diet. </w:t>
      </w:r>
      <w:r w:rsidRPr="00965123">
        <w:rPr>
          <w:rFonts w:ascii="Times New Roman" w:eastAsia="Times New Roman" w:hAnsi="Times New Roman" w:cs="Times New Roman"/>
          <w:i/>
          <w:iCs/>
        </w:rPr>
        <w:t>American Journal of Physiology. Regulatory, Integrative and Comparative Physiology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326</w:t>
      </w:r>
      <w:r w:rsidRPr="00965123">
        <w:rPr>
          <w:rFonts w:ascii="Times New Roman" w:eastAsia="Times New Roman" w:hAnsi="Times New Roman" w:cs="Times New Roman"/>
        </w:rPr>
        <w:t>(3), R242–R253. https://doi.org/10.1152/ajpregu.00273.2023</w:t>
      </w:r>
    </w:p>
    <w:bookmarkEnd w:id="23"/>
    <w:p w:rsidR="00913685" w:rsidRPr="00965123" w:rsidRDefault="00913685" w:rsidP="00913685">
      <w:pPr>
        <w:spacing w:line="360" w:lineRule="auto"/>
        <w:jc w:val="both"/>
      </w:pPr>
    </w:p>
    <w:p w:rsidR="00913685" w:rsidRPr="00965123" w:rsidRDefault="00913685" w:rsidP="00913685">
      <w:pPr>
        <w:spacing w:line="360" w:lineRule="auto"/>
        <w:jc w:val="both"/>
      </w:pPr>
      <w:bookmarkStart w:id="24" w:name="b062aab5af73376588524378128900d3_ref"/>
      <w:r w:rsidRPr="00965123">
        <w:rPr>
          <w:rFonts w:ascii="Times New Roman" w:eastAsia="Times New Roman" w:hAnsi="Times New Roman" w:cs="Times New Roman"/>
        </w:rPr>
        <w:t xml:space="preserve">Roeder, H. J., &amp; Leira, E. C. (2021). Effects of the Menstrual Cycle on Neurological Disorders. </w:t>
      </w:r>
      <w:r w:rsidRPr="00965123">
        <w:rPr>
          <w:rFonts w:ascii="Times New Roman" w:eastAsia="Times New Roman" w:hAnsi="Times New Roman" w:cs="Times New Roman"/>
          <w:i/>
          <w:iCs/>
        </w:rPr>
        <w:t>Current Neurology and Neuroscience Reports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(7). https://doi.org/10.1007/s11910-021-01115-0</w:t>
      </w:r>
    </w:p>
    <w:bookmarkEnd w:id="24"/>
    <w:p w:rsidR="00913685" w:rsidRPr="00965123" w:rsidRDefault="00913685" w:rsidP="00913685">
      <w:pPr>
        <w:spacing w:line="360" w:lineRule="auto"/>
        <w:jc w:val="both"/>
      </w:pPr>
    </w:p>
    <w:p w:rsidR="00913685" w:rsidRPr="00965123" w:rsidRDefault="00913685" w:rsidP="00913685">
      <w:pPr>
        <w:spacing w:line="360" w:lineRule="auto"/>
        <w:jc w:val="both"/>
      </w:pPr>
      <w:bookmarkStart w:id="25" w:name="7c2c64cbb0ad336fbcf08ff8474a8e00_ref"/>
      <w:r w:rsidRPr="00965123">
        <w:rPr>
          <w:rFonts w:ascii="Times New Roman" w:eastAsia="Times New Roman" w:hAnsi="Times New Roman" w:cs="Times New Roman"/>
        </w:rPr>
        <w:t xml:space="preserve">Saeedi, M., &amp;Mehranfar, F. (2022). Challenges and Approaches of Drugs Such as Memantine, Donepezil, Rivastigmine, and Aducanumab in the Treatment, Control and Management of Alzheimer’s Disease. </w:t>
      </w:r>
      <w:r w:rsidRPr="00965123">
        <w:rPr>
          <w:rFonts w:ascii="Times New Roman" w:eastAsia="Times New Roman" w:hAnsi="Times New Roman" w:cs="Times New Roman"/>
          <w:i/>
          <w:iCs/>
        </w:rPr>
        <w:t>Recent Patents on Biotechnology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16</w:t>
      </w:r>
      <w:r w:rsidRPr="00965123">
        <w:rPr>
          <w:rFonts w:ascii="Times New Roman" w:eastAsia="Times New Roman" w:hAnsi="Times New Roman" w:cs="Times New Roman"/>
        </w:rPr>
        <w:t>(2), 102–121. https://doi.org/10.2174/1872208316666220302115901</w:t>
      </w:r>
    </w:p>
    <w:bookmarkEnd w:id="25"/>
    <w:p w:rsidR="00913685" w:rsidRPr="00965123" w:rsidRDefault="00913685" w:rsidP="00913685">
      <w:pPr>
        <w:spacing w:line="360" w:lineRule="auto"/>
        <w:jc w:val="both"/>
      </w:pPr>
    </w:p>
    <w:p w:rsidR="00913685" w:rsidRPr="00965123" w:rsidRDefault="00913685" w:rsidP="00913685">
      <w:pPr>
        <w:spacing w:line="360" w:lineRule="auto"/>
        <w:jc w:val="both"/>
      </w:pPr>
      <w:bookmarkStart w:id="26" w:name="d66f4df8c54b3116ae184006aa606f8f_ref"/>
      <w:r w:rsidRPr="00965123">
        <w:rPr>
          <w:rFonts w:ascii="Times New Roman" w:eastAsia="Times New Roman" w:hAnsi="Times New Roman" w:cs="Times New Roman"/>
        </w:rPr>
        <w:t xml:space="preserve">Singampalli, K. L., Li, J., &amp;Lillehoj, P. B. (2022). Rapid magneto-enzyme-linked immunosorbent assay for ultrasensitive protein detection. </w:t>
      </w:r>
      <w:r w:rsidRPr="00965123">
        <w:rPr>
          <w:rFonts w:ascii="Times New Roman" w:eastAsia="Times New Roman" w:hAnsi="Times New Roman" w:cs="Times New Roman"/>
          <w:i/>
          <w:iCs/>
        </w:rPr>
        <w:t>Analytica Chimica Acta</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1225</w:t>
      </w:r>
      <w:r w:rsidRPr="00965123">
        <w:rPr>
          <w:rFonts w:ascii="Times New Roman" w:eastAsia="Times New Roman" w:hAnsi="Times New Roman" w:cs="Times New Roman"/>
        </w:rPr>
        <w:t>, 340246. https://doi.org/10.1016/j.aca.2022.340246</w:t>
      </w:r>
    </w:p>
    <w:bookmarkEnd w:id="26"/>
    <w:p w:rsidR="00913685" w:rsidRPr="00965123" w:rsidRDefault="00913685" w:rsidP="00913685">
      <w:pPr>
        <w:spacing w:line="360" w:lineRule="auto"/>
        <w:jc w:val="both"/>
      </w:pPr>
    </w:p>
    <w:p w:rsidR="00913685" w:rsidRPr="00965123" w:rsidRDefault="00913685" w:rsidP="00913685">
      <w:pPr>
        <w:spacing w:line="360" w:lineRule="auto"/>
        <w:jc w:val="both"/>
      </w:pPr>
      <w:bookmarkStart w:id="27" w:name="f17de352a7853a8d97de8acbb21eeaf6_ref"/>
      <w:r w:rsidRPr="00965123">
        <w:rPr>
          <w:rFonts w:ascii="Times New Roman" w:eastAsia="Times New Roman" w:hAnsi="Times New Roman" w:cs="Times New Roman"/>
        </w:rPr>
        <w:t xml:space="preserve">Sochocka, M., Karska, J., Pszczołowska, M., Ochnik, M., Fułek, M., Fułek, K., Kurpas, D., Chojdak-Łukasiewicz, J., Rosner-Tenerowicz, A., &amp; Leszek, J. (2023). Cognitive Decline in Early and Premature Menopause. </w:t>
      </w:r>
      <w:r w:rsidRPr="00965123">
        <w:rPr>
          <w:rFonts w:ascii="Times New Roman" w:eastAsia="Times New Roman" w:hAnsi="Times New Roman" w:cs="Times New Roman"/>
          <w:i/>
          <w:iCs/>
        </w:rPr>
        <w:t>International Journal of Molecular Sciences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w:t>
      </w:r>
      <w:r w:rsidRPr="00965123">
        <w:rPr>
          <w:rFonts w:ascii="Times New Roman" w:eastAsia="Times New Roman" w:hAnsi="Times New Roman" w:cs="Times New Roman"/>
        </w:rPr>
        <w:t>(7), 6566. https://doi.org/10.3390/ijms24076566</w:t>
      </w:r>
    </w:p>
    <w:bookmarkEnd w:id="27"/>
    <w:p w:rsidR="00913685" w:rsidRPr="00965123" w:rsidRDefault="00913685" w:rsidP="00913685">
      <w:pPr>
        <w:spacing w:line="360" w:lineRule="auto"/>
        <w:jc w:val="both"/>
      </w:pPr>
    </w:p>
    <w:p w:rsidR="00913685" w:rsidRPr="00965123" w:rsidRDefault="00913685" w:rsidP="00913685">
      <w:pPr>
        <w:spacing w:line="360" w:lineRule="auto"/>
        <w:jc w:val="both"/>
      </w:pPr>
      <w:bookmarkStart w:id="28" w:name="f67d44fb55623d16bd9a88547d5b9476_ref"/>
      <w:r w:rsidRPr="00965123">
        <w:rPr>
          <w:rFonts w:ascii="Times New Roman" w:eastAsia="Times New Roman" w:hAnsi="Times New Roman" w:cs="Times New Roman"/>
        </w:rPr>
        <w:t xml:space="preserve">Stepanichev, M. Y., Mamedova, D. I., &amp; Gulyaeva, N. V. (2024). Hippocampus under Pressure: Molecular Mechanisms of Development of Cognitive Impairments in SHR Rats. </w:t>
      </w:r>
      <w:r w:rsidRPr="00965123">
        <w:rPr>
          <w:rFonts w:ascii="Times New Roman" w:eastAsia="Times New Roman" w:hAnsi="Times New Roman" w:cs="Times New Roman"/>
          <w:i/>
          <w:iCs/>
        </w:rPr>
        <w:t>Biochemistry. Biokhimiia</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89</w:t>
      </w:r>
      <w:r w:rsidRPr="00965123">
        <w:rPr>
          <w:rFonts w:ascii="Times New Roman" w:eastAsia="Times New Roman" w:hAnsi="Times New Roman" w:cs="Times New Roman"/>
        </w:rPr>
        <w:t>(4), 711–725. https://doi.org/10.1134/s0006297924040102</w:t>
      </w:r>
    </w:p>
    <w:bookmarkEnd w:id="28"/>
    <w:p w:rsidR="00913685" w:rsidRPr="00965123" w:rsidRDefault="00913685" w:rsidP="00913685">
      <w:pPr>
        <w:spacing w:line="360" w:lineRule="auto"/>
        <w:jc w:val="both"/>
      </w:pPr>
    </w:p>
    <w:p w:rsidR="00913685" w:rsidRPr="00965123" w:rsidRDefault="00913685" w:rsidP="00913685">
      <w:pPr>
        <w:spacing w:line="360" w:lineRule="auto"/>
        <w:jc w:val="both"/>
      </w:pPr>
      <w:bookmarkStart w:id="29" w:name="b98e5366281131b6b7bdf153789bfc06_ref"/>
      <w:r w:rsidRPr="00965123">
        <w:rPr>
          <w:rFonts w:ascii="Times New Roman" w:eastAsia="Times New Roman" w:hAnsi="Times New Roman" w:cs="Times New Roman"/>
        </w:rPr>
        <w:t xml:space="preserve">Tavan, M., Segura Carretero, A., Mirjalili, M. H., Hanachi, P., &amp; De La Luz Cádiz-Gurrea, M. (2023). Natural Phenolic Compounds with Neuroprotective Effects. </w:t>
      </w:r>
      <w:r w:rsidRPr="00965123">
        <w:rPr>
          <w:rFonts w:ascii="Times New Roman" w:eastAsia="Times New Roman" w:hAnsi="Times New Roman" w:cs="Times New Roman"/>
          <w:i/>
          <w:iCs/>
        </w:rPr>
        <w:t>Neurochemical Research</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49</w:t>
      </w:r>
      <w:r w:rsidRPr="00965123">
        <w:rPr>
          <w:rFonts w:ascii="Times New Roman" w:eastAsia="Times New Roman" w:hAnsi="Times New Roman" w:cs="Times New Roman"/>
        </w:rPr>
        <w:t>(2), 306–326. https://doi.org/10.1007/s11064-023-04046-z</w:t>
      </w:r>
    </w:p>
    <w:bookmarkEnd w:id="29"/>
    <w:p w:rsidR="00913685" w:rsidRPr="00965123" w:rsidRDefault="00913685" w:rsidP="00913685">
      <w:pPr>
        <w:spacing w:line="360" w:lineRule="auto"/>
        <w:jc w:val="both"/>
      </w:pPr>
    </w:p>
    <w:p w:rsidR="00913685" w:rsidRPr="00965123" w:rsidRDefault="00913685" w:rsidP="00913685">
      <w:pPr>
        <w:spacing w:line="360" w:lineRule="auto"/>
        <w:jc w:val="both"/>
      </w:pPr>
      <w:bookmarkStart w:id="30" w:name="0fe74c1c0c4738eaba7387302c5a7ac4_ref"/>
      <w:r w:rsidRPr="00965123">
        <w:rPr>
          <w:rFonts w:ascii="Times New Roman" w:eastAsia="Times New Roman" w:hAnsi="Times New Roman" w:cs="Times New Roman"/>
        </w:rPr>
        <w:t>Thongrong, S., Promsrisuk, T., Sriraksa, N., Surapinit, S., Jittiwat, J., &amp;Kongsui, R. (2024). Alleviative effect of scopolamine</w:t>
      </w:r>
      <w:r w:rsidRPr="00965123">
        <w:rPr>
          <w:rFonts w:ascii="Times New Roman" w:eastAsia="Times New Roman" w:hAnsi="Times New Roman" w:cs="Times New Roman"/>
        </w:rPr>
        <w:noBreakHyphen/>
        <w:t xml:space="preserve">induced memory deficit via enhancing antioxidant and cholinergic function in rats by pinostrobin from Boesenbergia rotunda (L.). </w:t>
      </w:r>
      <w:r w:rsidRPr="00965123">
        <w:rPr>
          <w:rFonts w:ascii="Times New Roman" w:eastAsia="Times New Roman" w:hAnsi="Times New Roman" w:cs="Times New Roman"/>
          <w:i/>
          <w:iCs/>
        </w:rPr>
        <w:t>Biomedical Reports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(3). https://doi.org/10.3892/br.2024.1818</w:t>
      </w:r>
    </w:p>
    <w:bookmarkEnd w:id="30"/>
    <w:p w:rsidR="00913685" w:rsidRPr="00965123" w:rsidRDefault="00913685" w:rsidP="00913685">
      <w:pPr>
        <w:spacing w:line="360" w:lineRule="auto"/>
        <w:jc w:val="both"/>
      </w:pPr>
    </w:p>
    <w:p w:rsidR="00913685" w:rsidRPr="00965123" w:rsidRDefault="00913685" w:rsidP="00913685">
      <w:pPr>
        <w:spacing w:line="360" w:lineRule="auto"/>
        <w:jc w:val="both"/>
      </w:pPr>
      <w:bookmarkStart w:id="31" w:name="b4454ea5fa6a39ca9790a3ae7b49aa6e_ref"/>
      <w:r w:rsidRPr="00965123">
        <w:rPr>
          <w:rFonts w:ascii="Times New Roman" w:eastAsia="Times New Roman" w:hAnsi="Times New Roman" w:cs="Times New Roman"/>
        </w:rPr>
        <w:t xml:space="preserve">Vinjavarapu, L. A., Yadava, S., Dontiboina, H. R., Chakravarthi, G., &amp; Kakarla, R. (2025). Neuroprotective effects of Indole 3-carbinol against Scopolamine-Induced cognitive and memory impairment in rats: modulation of oxidative stress, inflammatory and cholinergic pathways. </w:t>
      </w:r>
      <w:r w:rsidRPr="00965123">
        <w:rPr>
          <w:rFonts w:ascii="Times New Roman" w:eastAsia="Times New Roman" w:hAnsi="Times New Roman" w:cs="Times New Roman"/>
          <w:i/>
          <w:iCs/>
        </w:rPr>
        <w:t>Metabolic Brain Disease</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40</w:t>
      </w:r>
      <w:r w:rsidRPr="00965123">
        <w:rPr>
          <w:rFonts w:ascii="Times New Roman" w:eastAsia="Times New Roman" w:hAnsi="Times New Roman" w:cs="Times New Roman"/>
        </w:rPr>
        <w:t>(4). https://doi.org/10.1007/s11011-025-01577-y</w:t>
      </w:r>
    </w:p>
    <w:bookmarkEnd w:id="31"/>
    <w:p w:rsidR="00913685" w:rsidRPr="00965123" w:rsidRDefault="00913685" w:rsidP="00913685">
      <w:pPr>
        <w:spacing w:line="360" w:lineRule="auto"/>
        <w:jc w:val="both"/>
      </w:pPr>
    </w:p>
    <w:p w:rsidR="00913685" w:rsidRPr="00965123" w:rsidRDefault="00913685" w:rsidP="00913685">
      <w:pPr>
        <w:spacing w:line="360" w:lineRule="auto"/>
        <w:jc w:val="both"/>
      </w:pPr>
      <w:bookmarkStart w:id="32" w:name="48ad84ce3dcf3e3ca06021fc22363a37_ref"/>
      <w:r w:rsidRPr="00965123">
        <w:rPr>
          <w:rFonts w:ascii="Times New Roman" w:eastAsia="Times New Roman" w:hAnsi="Times New Roman" w:cs="Times New Roman"/>
        </w:rPr>
        <w:t xml:space="preserve">Wang, W., Zhou, X., Ding, Y., Liu, X., Zhang, Z., Cao, X., &amp; Wang, L. (2022). An Improved GC-MS Method for Malondialdehyde (MDA) Detection: Avoiding the Effects of Nitrite in Foods. </w:t>
      </w:r>
      <w:r w:rsidRPr="00965123">
        <w:rPr>
          <w:rFonts w:ascii="Times New Roman" w:eastAsia="Times New Roman" w:hAnsi="Times New Roman" w:cs="Times New Roman"/>
          <w:i/>
          <w:iCs/>
        </w:rPr>
        <w:t>Foods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(9), 1176. https://doi.org/10.3390/foods11091176</w:t>
      </w:r>
    </w:p>
    <w:bookmarkEnd w:id="32"/>
    <w:p w:rsidR="00913685" w:rsidRPr="00965123" w:rsidRDefault="00913685" w:rsidP="00913685">
      <w:pPr>
        <w:spacing w:line="360" w:lineRule="auto"/>
        <w:jc w:val="both"/>
      </w:pPr>
    </w:p>
    <w:p w:rsidR="00913685" w:rsidRPr="00965123" w:rsidRDefault="00913685" w:rsidP="00913685">
      <w:pPr>
        <w:spacing w:line="360" w:lineRule="auto"/>
        <w:jc w:val="both"/>
      </w:pPr>
      <w:bookmarkStart w:id="33" w:name="58c196f279683b54a7565259c927fff0_ref"/>
      <w:r w:rsidRPr="00965123">
        <w:rPr>
          <w:rFonts w:ascii="Times New Roman" w:eastAsia="Times New Roman" w:hAnsi="Times New Roman" w:cs="Times New Roman"/>
        </w:rPr>
        <w:t xml:space="preserve">Wang, Y., Xue, Y., Zhao, Q., Wang, S., Sun, J., &amp; Yang, X. (2022). Colorimetric Assay for Acetylcholinesterase Activity and Inhibitor Screening Based on Metal-Organic Framework Nanosheets. </w:t>
      </w:r>
      <w:r w:rsidRPr="00965123">
        <w:rPr>
          <w:rFonts w:ascii="Times New Roman" w:eastAsia="Times New Roman" w:hAnsi="Times New Roman" w:cs="Times New Roman"/>
          <w:i/>
          <w:iCs/>
        </w:rPr>
        <w:t>Analytical 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94</w:t>
      </w:r>
      <w:r w:rsidRPr="00965123">
        <w:rPr>
          <w:rFonts w:ascii="Times New Roman" w:eastAsia="Times New Roman" w:hAnsi="Times New Roman" w:cs="Times New Roman"/>
        </w:rPr>
        <w:t>(47), 16345–16352. https://doi.org/10.1021/acs.analchem.2c03290</w:t>
      </w:r>
    </w:p>
    <w:bookmarkEnd w:id="33"/>
    <w:p w:rsidR="00913685" w:rsidRPr="00965123" w:rsidRDefault="00913685" w:rsidP="00913685">
      <w:pPr>
        <w:spacing w:line="360" w:lineRule="auto"/>
        <w:jc w:val="both"/>
      </w:pPr>
    </w:p>
    <w:p w:rsidR="00913685" w:rsidRPr="00965123" w:rsidRDefault="00913685" w:rsidP="00913685">
      <w:pPr>
        <w:spacing w:line="360" w:lineRule="auto"/>
        <w:jc w:val="both"/>
      </w:pPr>
      <w:bookmarkStart w:id="34" w:name="68b0c85eafe0348e8c1c8da2d1d4de61_ref"/>
      <w:r w:rsidRPr="00965123">
        <w:rPr>
          <w:rFonts w:ascii="Times New Roman" w:eastAsia="Times New Roman" w:hAnsi="Times New Roman" w:cs="Times New Roman"/>
        </w:rPr>
        <w:t xml:space="preserve">Wójciak, M., Drozdowski, P., Zagórska-Dziok, M., Kubrak, T., Ziemlewska, A., Nizioł-Łukaszewska, Z., &amp; Sowa, I. (2024). ROS Scavenging Effect of Selected Isoflavones in </w:t>
      </w:r>
      <w:r w:rsidRPr="00965123">
        <w:rPr>
          <w:rFonts w:ascii="Times New Roman" w:eastAsia="Times New Roman" w:hAnsi="Times New Roman" w:cs="Times New Roman"/>
        </w:rPr>
        <w:lastRenderedPageBreak/>
        <w:t xml:space="preserve">Provoked Oxidative Stress Conditions in Human Skin Fibroblasts and Keratinocytes. </w:t>
      </w:r>
      <w:r w:rsidRPr="00965123">
        <w:rPr>
          <w:rFonts w:ascii="Times New Roman" w:eastAsia="Times New Roman" w:hAnsi="Times New Roman" w:cs="Times New Roman"/>
          <w:i/>
          <w:iCs/>
        </w:rPr>
        <w:t>Molecules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29</w:t>
      </w:r>
      <w:r w:rsidRPr="00965123">
        <w:rPr>
          <w:rFonts w:ascii="Times New Roman" w:eastAsia="Times New Roman" w:hAnsi="Times New Roman" w:cs="Times New Roman"/>
        </w:rPr>
        <w:t>(5), 955. https://doi.org/10.3390/molecules29050955</w:t>
      </w:r>
    </w:p>
    <w:bookmarkEnd w:id="34"/>
    <w:p w:rsidR="00913685" w:rsidRPr="00965123" w:rsidRDefault="00913685" w:rsidP="00913685">
      <w:pPr>
        <w:spacing w:line="360" w:lineRule="auto"/>
        <w:jc w:val="both"/>
      </w:pPr>
    </w:p>
    <w:p w:rsidR="00913685" w:rsidRPr="00965123" w:rsidRDefault="00913685" w:rsidP="00913685">
      <w:pPr>
        <w:spacing w:line="360" w:lineRule="auto"/>
        <w:jc w:val="both"/>
      </w:pPr>
      <w:bookmarkStart w:id="35" w:name="d4d09c9e4d8b3e92af7c169ac8112036_ref"/>
      <w:r w:rsidRPr="00965123">
        <w:rPr>
          <w:rFonts w:ascii="Times New Roman" w:eastAsia="Times New Roman" w:hAnsi="Times New Roman" w:cs="Times New Roman"/>
        </w:rPr>
        <w:t xml:space="preserve">Wood Alexander, M., Honer, W. G., Saloner, R., Galea, L. A. M., Bennett, D. A., Rabin, J. S., &amp; Casaletto, K. B. (2025). The interplay between age at menopause and synaptic integrity on Alzheimer’s disease risk in women. </w:t>
      </w:r>
      <w:r w:rsidRPr="00965123">
        <w:rPr>
          <w:rFonts w:ascii="Times New Roman" w:eastAsia="Times New Roman" w:hAnsi="Times New Roman" w:cs="Times New Roman"/>
          <w:i/>
          <w:iCs/>
        </w:rPr>
        <w:t>Science Advances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(10). https://doi.org/10.1126/sciadv.adt0757</w:t>
      </w:r>
    </w:p>
    <w:bookmarkEnd w:id="35"/>
    <w:p w:rsidR="00913685" w:rsidRPr="00965123" w:rsidRDefault="00913685" w:rsidP="00913685">
      <w:pPr>
        <w:spacing w:line="360" w:lineRule="auto"/>
        <w:jc w:val="both"/>
      </w:pPr>
    </w:p>
    <w:p w:rsidR="00913685" w:rsidRPr="00965123" w:rsidRDefault="00913685" w:rsidP="00913685">
      <w:pPr>
        <w:spacing w:line="360" w:lineRule="auto"/>
        <w:jc w:val="both"/>
      </w:pPr>
      <w:bookmarkStart w:id="36" w:name="ee5c114244293332a6c4e02376557dee_ref"/>
      <w:r w:rsidRPr="00965123">
        <w:rPr>
          <w:rFonts w:ascii="Times New Roman" w:eastAsia="Times New Roman" w:hAnsi="Times New Roman" w:cs="Times New Roman"/>
        </w:rPr>
        <w:t xml:space="preserve">Zhao, Y., Sun, N., Xu, X., Lu, Z., &amp; Lin, S. (2022). Sea Cucumber-Derived Peptide Attenuates Scopolamine-Induced Cognitive Impairment by Preventing Hippocampal Cholinergic Dysfunction and Neuronal Cell Death. </w:t>
      </w:r>
      <w:r w:rsidRPr="00965123">
        <w:rPr>
          <w:rFonts w:ascii="Times New Roman" w:eastAsia="Times New Roman" w:hAnsi="Times New Roman" w:cs="Times New Roman"/>
          <w:i/>
          <w:iCs/>
        </w:rPr>
        <w:t>Journal of Agricultural and Food 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70</w:t>
      </w:r>
      <w:r w:rsidRPr="00965123">
        <w:rPr>
          <w:rFonts w:ascii="Times New Roman" w:eastAsia="Times New Roman" w:hAnsi="Times New Roman" w:cs="Times New Roman"/>
        </w:rPr>
        <w:t>(2), 567–576. https://doi.org/10.1021/acs.jafc.1c07232</w:t>
      </w:r>
    </w:p>
    <w:bookmarkEnd w:id="36"/>
    <w:p w:rsidR="00913685" w:rsidRPr="00965123" w:rsidRDefault="00913685" w:rsidP="00913685">
      <w:pPr>
        <w:spacing w:line="360" w:lineRule="auto"/>
        <w:jc w:val="both"/>
      </w:pPr>
    </w:p>
    <w:p w:rsidR="00913685" w:rsidRPr="00965123" w:rsidRDefault="00913685" w:rsidP="00913685">
      <w:pPr>
        <w:spacing w:line="360" w:lineRule="auto"/>
        <w:jc w:val="both"/>
      </w:pPr>
      <w:bookmarkStart w:id="37" w:name="adf5e0fdb02a36f1b4565ac05aea9edc_ref"/>
      <w:r w:rsidRPr="00965123">
        <w:rPr>
          <w:rFonts w:ascii="Times New Roman" w:eastAsia="Times New Roman" w:hAnsi="Times New Roman" w:cs="Times New Roman"/>
        </w:rPr>
        <w:t xml:space="preserve">Zhou, W., Yan, Y., He, H., Che, L., Zhao, X., Yin, Z., Liu, W., Feng, R., Wei, Q., Shuai, Y., Du, Y., Yang, L., &amp; Hu, L. (2023). Puerarin protects against acetaminophen-induced oxidative damage in liver through activation of the Keap1/Nrf2 signaling pathway. </w:t>
      </w:r>
      <w:r w:rsidRPr="00965123">
        <w:rPr>
          <w:rFonts w:ascii="Times New Roman" w:eastAsia="Times New Roman" w:hAnsi="Times New Roman" w:cs="Times New Roman"/>
          <w:i/>
          <w:iCs/>
        </w:rPr>
        <w:t>Food Science &amp; Nutrition</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(10), 6604–6615. https://doi.org/10.1002/fsn3.3609</w:t>
      </w:r>
    </w:p>
    <w:bookmarkEnd w:id="37"/>
    <w:p w:rsidR="00913685" w:rsidRPr="00965123" w:rsidRDefault="00913685" w:rsidP="00913685">
      <w:pPr>
        <w:spacing w:line="360" w:lineRule="auto"/>
        <w:jc w:val="both"/>
        <w:rPr>
          <w:rFonts w:ascii="Times New Roman" w:hAnsi="Times New Roman" w:cs="Times New Roman"/>
        </w:rPr>
      </w:pPr>
    </w:p>
    <w:p w:rsidR="00604EF8" w:rsidRPr="00965123" w:rsidRDefault="00604EF8" w:rsidP="005D531B">
      <w:pPr>
        <w:spacing w:line="360" w:lineRule="auto"/>
        <w:jc w:val="both"/>
        <w:rPr>
          <w:rFonts w:ascii="Times New Roman" w:hAnsi="Times New Roman" w:cs="Times New Roman"/>
        </w:rPr>
      </w:pPr>
    </w:p>
    <w:sectPr w:rsidR="00604EF8" w:rsidRPr="00965123" w:rsidSect="00C074D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EF5" w:rsidRDefault="005F5EF5" w:rsidP="00EF3EA9">
      <w:pPr>
        <w:spacing w:after="0" w:line="240" w:lineRule="auto"/>
      </w:pPr>
      <w:r>
        <w:separator/>
      </w:r>
    </w:p>
  </w:endnote>
  <w:endnote w:type="continuationSeparator" w:id="1">
    <w:p w:rsidR="005F5EF5" w:rsidRDefault="005F5EF5" w:rsidP="00EF3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null">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A9" w:rsidRDefault="00EF3E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A9" w:rsidRDefault="00EF3E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A9" w:rsidRDefault="00EF3E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EF5" w:rsidRDefault="005F5EF5" w:rsidP="00EF3EA9">
      <w:pPr>
        <w:spacing w:after="0" w:line="240" w:lineRule="auto"/>
      </w:pPr>
      <w:r>
        <w:separator/>
      </w:r>
    </w:p>
  </w:footnote>
  <w:footnote w:type="continuationSeparator" w:id="1">
    <w:p w:rsidR="005F5EF5" w:rsidRDefault="005F5EF5" w:rsidP="00EF3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A9" w:rsidRDefault="000172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A9" w:rsidRDefault="000172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EA9" w:rsidRDefault="000172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E4A0A"/>
    <w:multiLevelType w:val="hybridMultilevel"/>
    <w:tmpl w:val="51324E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D589F"/>
    <w:rsid w:val="0000550A"/>
    <w:rsid w:val="00010335"/>
    <w:rsid w:val="00016B23"/>
    <w:rsid w:val="0001729C"/>
    <w:rsid w:val="0002268A"/>
    <w:rsid w:val="0008088D"/>
    <w:rsid w:val="00096191"/>
    <w:rsid w:val="000B6A33"/>
    <w:rsid w:val="000C35CB"/>
    <w:rsid w:val="000E0D2B"/>
    <w:rsid w:val="001061BF"/>
    <w:rsid w:val="00116F4B"/>
    <w:rsid w:val="001216CA"/>
    <w:rsid w:val="0012455D"/>
    <w:rsid w:val="00130DCF"/>
    <w:rsid w:val="00156A78"/>
    <w:rsid w:val="00192A8D"/>
    <w:rsid w:val="001938C1"/>
    <w:rsid w:val="001B56DB"/>
    <w:rsid w:val="001C2187"/>
    <w:rsid w:val="001C5A48"/>
    <w:rsid w:val="001D6D07"/>
    <w:rsid w:val="001E1B46"/>
    <w:rsid w:val="0020586E"/>
    <w:rsid w:val="00206EAF"/>
    <w:rsid w:val="00217D0B"/>
    <w:rsid w:val="002201AB"/>
    <w:rsid w:val="00227CF0"/>
    <w:rsid w:val="00230E49"/>
    <w:rsid w:val="0023731E"/>
    <w:rsid w:val="00252A94"/>
    <w:rsid w:val="002535B3"/>
    <w:rsid w:val="00253F3E"/>
    <w:rsid w:val="0026709E"/>
    <w:rsid w:val="00272BF7"/>
    <w:rsid w:val="00277316"/>
    <w:rsid w:val="00284B71"/>
    <w:rsid w:val="00294B6E"/>
    <w:rsid w:val="002A06BB"/>
    <w:rsid w:val="002E2629"/>
    <w:rsid w:val="002F128D"/>
    <w:rsid w:val="003169E6"/>
    <w:rsid w:val="0032106B"/>
    <w:rsid w:val="00326600"/>
    <w:rsid w:val="00331DAA"/>
    <w:rsid w:val="00356240"/>
    <w:rsid w:val="00366665"/>
    <w:rsid w:val="00374CF0"/>
    <w:rsid w:val="003B7D83"/>
    <w:rsid w:val="003C2B95"/>
    <w:rsid w:val="003C4723"/>
    <w:rsid w:val="003E1CC9"/>
    <w:rsid w:val="0040778E"/>
    <w:rsid w:val="00411C19"/>
    <w:rsid w:val="00414D81"/>
    <w:rsid w:val="00434031"/>
    <w:rsid w:val="00440B4D"/>
    <w:rsid w:val="004455C4"/>
    <w:rsid w:val="004577B5"/>
    <w:rsid w:val="00471583"/>
    <w:rsid w:val="00472327"/>
    <w:rsid w:val="004917A1"/>
    <w:rsid w:val="004B214E"/>
    <w:rsid w:val="004E7E5E"/>
    <w:rsid w:val="004F3FA2"/>
    <w:rsid w:val="005002C8"/>
    <w:rsid w:val="005074BA"/>
    <w:rsid w:val="00515B4A"/>
    <w:rsid w:val="005329F2"/>
    <w:rsid w:val="00553332"/>
    <w:rsid w:val="00561708"/>
    <w:rsid w:val="00576681"/>
    <w:rsid w:val="00576A5C"/>
    <w:rsid w:val="00576BFE"/>
    <w:rsid w:val="00592B0B"/>
    <w:rsid w:val="0059351D"/>
    <w:rsid w:val="005D3344"/>
    <w:rsid w:val="005D531B"/>
    <w:rsid w:val="005D75DD"/>
    <w:rsid w:val="005E0EE5"/>
    <w:rsid w:val="005F4D90"/>
    <w:rsid w:val="005F5EF5"/>
    <w:rsid w:val="005F6BCB"/>
    <w:rsid w:val="00604EF8"/>
    <w:rsid w:val="00620F37"/>
    <w:rsid w:val="0062265F"/>
    <w:rsid w:val="006228A6"/>
    <w:rsid w:val="00637233"/>
    <w:rsid w:val="00657BA4"/>
    <w:rsid w:val="006612E4"/>
    <w:rsid w:val="006671DD"/>
    <w:rsid w:val="00671AD3"/>
    <w:rsid w:val="006B190B"/>
    <w:rsid w:val="006D1509"/>
    <w:rsid w:val="006D5DF0"/>
    <w:rsid w:val="006E02FD"/>
    <w:rsid w:val="006E14EC"/>
    <w:rsid w:val="007223F3"/>
    <w:rsid w:val="0072300D"/>
    <w:rsid w:val="00725A78"/>
    <w:rsid w:val="00736CFA"/>
    <w:rsid w:val="00737FFC"/>
    <w:rsid w:val="0074263B"/>
    <w:rsid w:val="007577B1"/>
    <w:rsid w:val="00765869"/>
    <w:rsid w:val="00774B66"/>
    <w:rsid w:val="00776379"/>
    <w:rsid w:val="007B3698"/>
    <w:rsid w:val="007D42F0"/>
    <w:rsid w:val="007E1373"/>
    <w:rsid w:val="007E17A5"/>
    <w:rsid w:val="00800F41"/>
    <w:rsid w:val="00844896"/>
    <w:rsid w:val="00862FF0"/>
    <w:rsid w:val="0087047B"/>
    <w:rsid w:val="00882B3D"/>
    <w:rsid w:val="008A6AA5"/>
    <w:rsid w:val="008C5863"/>
    <w:rsid w:val="008C7023"/>
    <w:rsid w:val="008D3CD2"/>
    <w:rsid w:val="008E6C71"/>
    <w:rsid w:val="00913685"/>
    <w:rsid w:val="00915849"/>
    <w:rsid w:val="009351AF"/>
    <w:rsid w:val="00952082"/>
    <w:rsid w:val="00954B3C"/>
    <w:rsid w:val="00956D90"/>
    <w:rsid w:val="00965123"/>
    <w:rsid w:val="00985046"/>
    <w:rsid w:val="009915B5"/>
    <w:rsid w:val="009B0994"/>
    <w:rsid w:val="009C2706"/>
    <w:rsid w:val="009F0C62"/>
    <w:rsid w:val="009F6D39"/>
    <w:rsid w:val="00A02722"/>
    <w:rsid w:val="00A10B63"/>
    <w:rsid w:val="00A20DBC"/>
    <w:rsid w:val="00A308E5"/>
    <w:rsid w:val="00A358F0"/>
    <w:rsid w:val="00A401BF"/>
    <w:rsid w:val="00A917B3"/>
    <w:rsid w:val="00A96A79"/>
    <w:rsid w:val="00AD7071"/>
    <w:rsid w:val="00AF6C15"/>
    <w:rsid w:val="00B2226E"/>
    <w:rsid w:val="00B252C6"/>
    <w:rsid w:val="00B466C0"/>
    <w:rsid w:val="00B56160"/>
    <w:rsid w:val="00B623AE"/>
    <w:rsid w:val="00B72A23"/>
    <w:rsid w:val="00BA0803"/>
    <w:rsid w:val="00BC209E"/>
    <w:rsid w:val="00BC78C3"/>
    <w:rsid w:val="00BD1C59"/>
    <w:rsid w:val="00BD589F"/>
    <w:rsid w:val="00C074DD"/>
    <w:rsid w:val="00C338FB"/>
    <w:rsid w:val="00C41963"/>
    <w:rsid w:val="00C55173"/>
    <w:rsid w:val="00C7401C"/>
    <w:rsid w:val="00C8485A"/>
    <w:rsid w:val="00CA090E"/>
    <w:rsid w:val="00CB2519"/>
    <w:rsid w:val="00CD602E"/>
    <w:rsid w:val="00CE1358"/>
    <w:rsid w:val="00CF1F06"/>
    <w:rsid w:val="00CF7C08"/>
    <w:rsid w:val="00D10283"/>
    <w:rsid w:val="00D25D0A"/>
    <w:rsid w:val="00D472F3"/>
    <w:rsid w:val="00DE282B"/>
    <w:rsid w:val="00DE4401"/>
    <w:rsid w:val="00E02BDF"/>
    <w:rsid w:val="00E17CAE"/>
    <w:rsid w:val="00E503D4"/>
    <w:rsid w:val="00E93D3A"/>
    <w:rsid w:val="00E953D2"/>
    <w:rsid w:val="00EA0138"/>
    <w:rsid w:val="00EC4E0D"/>
    <w:rsid w:val="00ED6533"/>
    <w:rsid w:val="00EE2383"/>
    <w:rsid w:val="00EF0D50"/>
    <w:rsid w:val="00EF3EA9"/>
    <w:rsid w:val="00F333A7"/>
    <w:rsid w:val="00F44325"/>
    <w:rsid w:val="00F74809"/>
    <w:rsid w:val="00F7553F"/>
    <w:rsid w:val="00F84307"/>
    <w:rsid w:val="00F96E59"/>
    <w:rsid w:val="00F975DD"/>
    <w:rsid w:val="00FA6E13"/>
    <w:rsid w:val="00FC0CB5"/>
    <w:rsid w:val="00FE4AA8"/>
    <w:rsid w:val="00FE7921"/>
    <w:rsid w:val="00FE7D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9F"/>
    <w:pPr>
      <w:spacing w:line="278" w:lineRule="auto"/>
    </w:pPr>
    <w:rPr>
      <w:rFonts w:ascii="Aptos" w:eastAsia="SimSun" w:hAnsi="Aptos" w:cs="SimSun"/>
      <w:kern w:val="2"/>
      <w:sz w:val="24"/>
      <w:szCs w:val="24"/>
      <w:lang w:val="en-US"/>
    </w:rPr>
  </w:style>
  <w:style w:type="paragraph" w:styleId="Heading1">
    <w:name w:val="heading 1"/>
    <w:basedOn w:val="Normal"/>
    <w:next w:val="Normal"/>
    <w:link w:val="Heading1Char"/>
    <w:qFormat/>
    <w:rsid w:val="008E6C71"/>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869"/>
    <w:rPr>
      <w:color w:val="0563C1" w:themeColor="hyperlink"/>
      <w:u w:val="single"/>
    </w:rPr>
  </w:style>
  <w:style w:type="paragraph" w:styleId="ListParagraph">
    <w:name w:val="List Paragraph"/>
    <w:basedOn w:val="Normal"/>
    <w:uiPriority w:val="34"/>
    <w:qFormat/>
    <w:rsid w:val="00765869"/>
    <w:pPr>
      <w:spacing w:line="276" w:lineRule="auto"/>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rsid w:val="008E6C71"/>
    <w:rPr>
      <w:rFonts w:ascii="Arial" w:eastAsia="Times New Roman" w:hAnsi="Arial" w:cs="Arial"/>
      <w:b/>
      <w:bCs/>
      <w:kern w:val="32"/>
      <w:sz w:val="32"/>
      <w:szCs w:val="32"/>
      <w:lang w:val="en-US"/>
    </w:rPr>
  </w:style>
  <w:style w:type="character" w:customStyle="1" w:styleId="UnresolvedMention">
    <w:name w:val="Unresolved Mention"/>
    <w:basedOn w:val="DefaultParagraphFont"/>
    <w:uiPriority w:val="99"/>
    <w:semiHidden/>
    <w:unhideWhenUsed/>
    <w:rsid w:val="00116F4B"/>
    <w:rPr>
      <w:color w:val="605E5C"/>
      <w:shd w:val="clear" w:color="auto" w:fill="E1DFDD"/>
    </w:rPr>
  </w:style>
  <w:style w:type="paragraph" w:customStyle="1" w:styleId="E-mail">
    <w:name w:val="E-mail"/>
    <w:next w:val="Normal"/>
    <w:rsid w:val="00EA0138"/>
    <w:pPr>
      <w:spacing w:after="240" w:line="240" w:lineRule="auto"/>
      <w:ind w:left="1418"/>
    </w:pPr>
    <w:rPr>
      <w:rFonts w:ascii="Times" w:eastAsia="Times New Roman" w:hAnsi="Times" w:cs="Times New Roman"/>
      <w:noProof/>
      <w:lang w:eastAsia="en-GB"/>
    </w:rPr>
  </w:style>
  <w:style w:type="paragraph" w:styleId="Header">
    <w:name w:val="header"/>
    <w:basedOn w:val="Normal"/>
    <w:link w:val="HeaderChar"/>
    <w:uiPriority w:val="99"/>
    <w:unhideWhenUsed/>
    <w:rsid w:val="00EF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A9"/>
    <w:rPr>
      <w:rFonts w:ascii="Aptos" w:eastAsia="SimSun" w:hAnsi="Aptos" w:cs="SimSun"/>
      <w:kern w:val="2"/>
      <w:sz w:val="24"/>
      <w:szCs w:val="24"/>
      <w:lang w:val="en-US"/>
    </w:rPr>
  </w:style>
  <w:style w:type="paragraph" w:styleId="Footer">
    <w:name w:val="footer"/>
    <w:basedOn w:val="Normal"/>
    <w:link w:val="FooterChar"/>
    <w:uiPriority w:val="99"/>
    <w:unhideWhenUsed/>
    <w:rsid w:val="00EF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A9"/>
    <w:rPr>
      <w:rFonts w:ascii="Aptos" w:eastAsia="SimSun" w:hAnsi="Aptos" w:cs="SimSun"/>
      <w:kern w:val="2"/>
      <w:sz w:val="24"/>
      <w:szCs w:val="24"/>
      <w:lang w:val="en-US"/>
    </w:rPr>
  </w:style>
  <w:style w:type="paragraph" w:styleId="BalloonText">
    <w:name w:val="Balloon Text"/>
    <w:basedOn w:val="Normal"/>
    <w:link w:val="BalloonTextChar"/>
    <w:uiPriority w:val="99"/>
    <w:semiHidden/>
    <w:unhideWhenUsed/>
    <w:rsid w:val="00C55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73"/>
    <w:rPr>
      <w:rFonts w:ascii="Tahoma" w:eastAsia="SimSun" w:hAnsi="Tahoma" w:cs="Tahoma"/>
      <w:kern w:val="2"/>
      <w:sz w:val="16"/>
      <w:szCs w:val="16"/>
      <w:lang w:val="en-US"/>
    </w:rPr>
  </w:style>
</w:styles>
</file>

<file path=word/webSettings.xml><?xml version="1.0" encoding="utf-8"?>
<w:webSettings xmlns:r="http://schemas.openxmlformats.org/officeDocument/2006/relationships" xmlns:w="http://schemas.openxmlformats.org/wordprocessingml/2006/main">
  <w:divs>
    <w:div w:id="1160658068">
      <w:bodyDiv w:val="1"/>
      <w:marLeft w:val="0"/>
      <w:marRight w:val="0"/>
      <w:marTop w:val="0"/>
      <w:marBottom w:val="0"/>
      <w:divBdr>
        <w:top w:val="none" w:sz="0" w:space="0" w:color="auto"/>
        <w:left w:val="none" w:sz="0" w:space="0" w:color="auto"/>
        <w:bottom w:val="none" w:sz="0" w:space="0" w:color="auto"/>
        <w:right w:val="none" w:sz="0" w:space="0" w:color="auto"/>
      </w:divBdr>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
    <w:div w:id="1460763845">
      <w:bodyDiv w:val="1"/>
      <w:marLeft w:val="0"/>
      <w:marRight w:val="0"/>
      <w:marTop w:val="0"/>
      <w:marBottom w:val="0"/>
      <w:divBdr>
        <w:top w:val="none" w:sz="0" w:space="0" w:color="auto"/>
        <w:left w:val="none" w:sz="0" w:space="0" w:color="auto"/>
        <w:bottom w:val="none" w:sz="0" w:space="0" w:color="auto"/>
        <w:right w:val="none" w:sz="0" w:space="0" w:color="auto"/>
      </w:divBdr>
    </w:div>
    <w:div w:id="17933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aniel\Desktop\Dan%20File3\Flash_21_06_19\Amara%20Phd\Phytoestrogen\DPPH,%20TPC%20and%20Total%20Phytoestrogen%20result.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Office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errBars>
            <c:errBarType val="both"/>
            <c:errValType val="cust"/>
            <c:plus>
              <c:numRef>
                <c:f>Sheet1!$H$7:$H$11</c:f>
                <c:numCache>
                  <c:formatCode>General</c:formatCode>
                  <c:ptCount val="5"/>
                  <c:pt idx="0">
                    <c:v>13.8</c:v>
                  </c:pt>
                  <c:pt idx="1">
                    <c:v>30</c:v>
                  </c:pt>
                  <c:pt idx="2">
                    <c:v>46</c:v>
                  </c:pt>
                  <c:pt idx="3">
                    <c:v>57</c:v>
                  </c:pt>
                  <c:pt idx="4">
                    <c:v>126</c:v>
                  </c:pt>
                </c:numCache>
              </c:numRef>
            </c:plus>
            <c:minus>
              <c:numRef>
                <c:f>Sheet1!$H$7:$H$11</c:f>
                <c:numCache>
                  <c:formatCode>General</c:formatCode>
                  <c:ptCount val="5"/>
                  <c:pt idx="0">
                    <c:v>13.8</c:v>
                  </c:pt>
                  <c:pt idx="1">
                    <c:v>30</c:v>
                  </c:pt>
                  <c:pt idx="2">
                    <c:v>46</c:v>
                  </c:pt>
                  <c:pt idx="3">
                    <c:v>57</c:v>
                  </c:pt>
                  <c:pt idx="4">
                    <c:v>126</c:v>
                  </c:pt>
                </c:numCache>
              </c:numRef>
            </c:minus>
            <c:spPr>
              <a:noFill/>
              <a:ln w="9525">
                <a:solidFill>
                  <a:schemeClr val="tx1">
                    <a:lumMod val="65000"/>
                    <a:lumOff val="35000"/>
                  </a:schemeClr>
                </a:solidFill>
                <a:round/>
              </a:ln>
              <a:effectLst/>
            </c:spPr>
          </c:errBars>
          <c:cat>
            <c:strRef>
              <c:f>Sheet1!$A$2:$A$6</c:f>
              <c:strCache>
                <c:ptCount val="5"/>
                <c:pt idx="0">
                  <c:v>Methanol Extract</c:v>
                </c:pt>
                <c:pt idx="1">
                  <c:v>n-Hexane Fraction</c:v>
                </c:pt>
                <c:pt idx="2">
                  <c:v>Ethyl acetate Fraction</c:v>
                </c:pt>
                <c:pt idx="3">
                  <c:v>Butanol Fraction</c:v>
                </c:pt>
                <c:pt idx="4">
                  <c:v>Water Fraction</c:v>
                </c:pt>
              </c:strCache>
            </c:strRef>
          </c:cat>
          <c:val>
            <c:numRef>
              <c:f>Sheet1!$B$2:$B$6</c:f>
              <c:numCache>
                <c:formatCode>General</c:formatCode>
                <c:ptCount val="5"/>
                <c:pt idx="0">
                  <c:v>1680</c:v>
                </c:pt>
                <c:pt idx="1">
                  <c:v>311</c:v>
                </c:pt>
                <c:pt idx="2">
                  <c:v>467</c:v>
                </c:pt>
                <c:pt idx="3">
                  <c:v>700</c:v>
                </c:pt>
                <c:pt idx="4">
                  <c:v>7003</c:v>
                </c:pt>
              </c:numCache>
            </c:numRef>
          </c:val>
          <c:extLst xmlns:c16r2="http://schemas.microsoft.com/office/drawing/2015/06/chart">
            <c:ext xmlns:c16="http://schemas.microsoft.com/office/drawing/2014/chart" uri="{C3380CC4-5D6E-409C-BE32-E72D297353CC}">
              <c16:uniqueId val="{00000000-65B4-4EFE-996F-762C63C55085}"/>
            </c:ext>
          </c:extLst>
        </c:ser>
        <c:gapWidth val="219"/>
        <c:overlap val="-27"/>
        <c:axId val="51359744"/>
        <c:axId val="51361664"/>
      </c:barChart>
      <c:catAx>
        <c:axId val="51359744"/>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361664"/>
        <c:crosses val="autoZero"/>
        <c:auto val="1"/>
        <c:lblAlgn val="ctr"/>
        <c:lblOffset val="100"/>
      </c:catAx>
      <c:valAx>
        <c:axId val="51361664"/>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Phytoestrogen content</a:t>
                </a:r>
              </a:p>
              <a:p>
                <a:pPr>
                  <a:defRPr sz="1000" b="0" i="0" u="none" strike="noStrike" kern="1200" baseline="0">
                    <a:solidFill>
                      <a:schemeClr val="tx1">
                        <a:lumMod val="65000"/>
                        <a:lumOff val="35000"/>
                      </a:schemeClr>
                    </a:solidFill>
                    <a:latin typeface="+mn-lt"/>
                    <a:ea typeface="+mn-ea"/>
                    <a:cs typeface="+mn-cs"/>
                  </a:defRPr>
                </a:pPr>
                <a:r>
                  <a:rPr lang="en-US" baseline="0"/>
                  <a:t>(mgGenisteinEq/g)</a:t>
                </a:r>
                <a:endParaRPr lang="en-US"/>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359744"/>
        <c:crosses val="autoZero"/>
        <c:crossBetween val="between"/>
      </c:valAx>
      <c:spPr>
        <a:noFill/>
        <a:ln>
          <a:noFill/>
        </a:ln>
        <a:effectLst/>
      </c:spPr>
    </c:plotArea>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Genistein</a:t>
            </a:r>
            <a:r>
              <a:rPr lang="en-US" baseline="0"/>
              <a:t> calibration curve</a:t>
            </a:r>
            <a:endParaRPr lang="en-US"/>
          </a:p>
        </c:rich>
      </c:tx>
    </c:title>
    <c:plotArea>
      <c:layout/>
      <c:scatterChart>
        <c:scatterStyle val="smoothMarker"/>
        <c:ser>
          <c:idx val="0"/>
          <c:order val="0"/>
          <c:tx>
            <c:strRef>
              <c:f>Sheet1!$C$1</c:f>
              <c:strCache>
                <c:ptCount val="1"/>
                <c:pt idx="0">
                  <c:v>ABSORBANCE</c:v>
                </c:pt>
              </c:strCache>
            </c:strRef>
          </c:tx>
          <c:trendline>
            <c:trendlineType val="linear"/>
            <c:dispRSqr val="1"/>
            <c:dispEq val="1"/>
            <c:trendlineLbl>
              <c:layout>
                <c:manualLayout>
                  <c:x val="-0.11613286144110047"/>
                  <c:y val="-2.7520645285193025E-2"/>
                </c:manualLayout>
              </c:layout>
              <c:numFmt formatCode="General" sourceLinked="0"/>
            </c:trendlineLbl>
          </c:trendline>
          <c:xVal>
            <c:numRef>
              <c:f>Sheet1!$A$2:$A$10</c:f>
              <c:numCache>
                <c:formatCode>General</c:formatCode>
                <c:ptCount val="9"/>
                <c:pt idx="0">
                  <c:v>9.8000000000000118E-3</c:v>
                </c:pt>
                <c:pt idx="1">
                  <c:v>1.9500000000000014E-2</c:v>
                </c:pt>
                <c:pt idx="2">
                  <c:v>3.9100000000000003E-2</c:v>
                </c:pt>
                <c:pt idx="3">
                  <c:v>7.8125E-2</c:v>
                </c:pt>
                <c:pt idx="4">
                  <c:v>0.15625000000000011</c:v>
                </c:pt>
                <c:pt idx="5">
                  <c:v>0.31250000000000022</c:v>
                </c:pt>
                <c:pt idx="6">
                  <c:v>0.62500000000000044</c:v>
                </c:pt>
                <c:pt idx="7">
                  <c:v>1.25</c:v>
                </c:pt>
                <c:pt idx="8">
                  <c:v>2.5</c:v>
                </c:pt>
              </c:numCache>
            </c:numRef>
          </c:xVal>
          <c:yVal>
            <c:numRef>
              <c:f>Sheet1!$C$2:$C$10</c:f>
              <c:numCache>
                <c:formatCode>General</c:formatCode>
                <c:ptCount val="9"/>
                <c:pt idx="0">
                  <c:v>5.3933000000000023E-2</c:v>
                </c:pt>
                <c:pt idx="1">
                  <c:v>5.7500000000000023E-2</c:v>
                </c:pt>
                <c:pt idx="2">
                  <c:v>5.6033000000000013E-2</c:v>
                </c:pt>
                <c:pt idx="3">
                  <c:v>9.7042000000000031E-2</c:v>
                </c:pt>
                <c:pt idx="4">
                  <c:v>0.16875000000000001</c:v>
                </c:pt>
                <c:pt idx="5">
                  <c:v>0.33816700000000022</c:v>
                </c:pt>
                <c:pt idx="6">
                  <c:v>0.70900000000000041</c:v>
                </c:pt>
                <c:pt idx="7">
                  <c:v>1.2276669999999992</c:v>
                </c:pt>
                <c:pt idx="8">
                  <c:v>1.7573329999999998</c:v>
                </c:pt>
              </c:numCache>
            </c:numRef>
          </c:yVal>
          <c:smooth val="1"/>
          <c:extLst xmlns:c16r2="http://schemas.microsoft.com/office/drawing/2015/06/chart">
            <c:ext xmlns:c16="http://schemas.microsoft.com/office/drawing/2014/chart" uri="{C3380CC4-5D6E-409C-BE32-E72D297353CC}">
              <c16:uniqueId val="{00000001-39B3-4E29-A813-FFDECC28664C}"/>
            </c:ext>
          </c:extLst>
        </c:ser>
        <c:axId val="51473408"/>
        <c:axId val="51492352"/>
      </c:scatterChart>
      <c:valAx>
        <c:axId val="51473408"/>
        <c:scaling>
          <c:orientation val="minMax"/>
        </c:scaling>
        <c:axPos val="b"/>
        <c:title>
          <c:tx>
            <c:rich>
              <a:bodyPr/>
              <a:lstStyle/>
              <a:p>
                <a:pPr>
                  <a:defRPr/>
                </a:pPr>
                <a:r>
                  <a:rPr lang="en-US"/>
                  <a:t>Concentration</a:t>
                </a:r>
                <a:r>
                  <a:rPr lang="en-US" baseline="0"/>
                  <a:t> (mg/ml)</a:t>
                </a:r>
                <a:endParaRPr lang="en-US"/>
              </a:p>
            </c:rich>
          </c:tx>
        </c:title>
        <c:numFmt formatCode="General" sourceLinked="1"/>
        <c:tickLblPos val="nextTo"/>
        <c:crossAx val="51492352"/>
        <c:crosses val="autoZero"/>
        <c:crossBetween val="midCat"/>
      </c:valAx>
      <c:valAx>
        <c:axId val="51492352"/>
        <c:scaling>
          <c:orientation val="minMax"/>
        </c:scaling>
        <c:axPos val="l"/>
        <c:title>
          <c:tx>
            <c:rich>
              <a:bodyPr rot="-5400000" vert="horz"/>
              <a:lstStyle/>
              <a:p>
                <a:pPr>
                  <a:defRPr/>
                </a:pPr>
                <a:r>
                  <a:rPr lang="en-US"/>
                  <a:t>Absorbance</a:t>
                </a:r>
              </a:p>
            </c:rich>
          </c:tx>
        </c:title>
        <c:numFmt formatCode="General" sourceLinked="1"/>
        <c:tickLblPos val="nextTo"/>
        <c:crossAx val="51473408"/>
        <c:crosses val="autoZero"/>
        <c:crossBetween val="midCat"/>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4014289880431617E-2"/>
          <c:y val="0.25793650793650796"/>
          <c:w val="0.88052274715660495"/>
          <c:h val="0.60641544806899161"/>
        </c:manualLayout>
      </c:layout>
      <c:barChart>
        <c:barDir val="col"/>
        <c:grouping val="clustered"/>
        <c:ser>
          <c:idx val="0"/>
          <c:order val="0"/>
          <c:tx>
            <c:strRef>
              <c:f>Sheet1!$B$1</c:f>
              <c:strCache>
                <c:ptCount val="1"/>
                <c:pt idx="0">
                  <c:v>Series 1</c:v>
                </c:pt>
              </c:strCache>
            </c:strRef>
          </c:tx>
          <c:spPr>
            <a:solidFill>
              <a:schemeClr val="accent1"/>
            </a:solidFill>
            <a:ln>
              <a:noFill/>
            </a:ln>
            <a:effectLst/>
          </c:spPr>
          <c:errBars>
            <c:errBarType val="both"/>
            <c:errValType val="cust"/>
            <c:plus>
              <c:numRef>
                <c:f>Sheet1!$F$2:$F$7</c:f>
                <c:numCache>
                  <c:formatCode>General</c:formatCode>
                  <c:ptCount val="6"/>
                  <c:pt idx="0">
                    <c:v>0.9</c:v>
                  </c:pt>
                  <c:pt idx="1">
                    <c:v>1</c:v>
                  </c:pt>
                  <c:pt idx="2">
                    <c:v>8.0000000000000043E-2</c:v>
                  </c:pt>
                  <c:pt idx="3">
                    <c:v>0.5</c:v>
                  </c:pt>
                  <c:pt idx="4">
                    <c:v>0.30000000000000021</c:v>
                  </c:pt>
                  <c:pt idx="5">
                    <c:v>0.8</c:v>
                  </c:pt>
                </c:numCache>
              </c:numRef>
            </c:plus>
            <c:minus>
              <c:numRef>
                <c:f>Sheet1!$F$2:$F$7</c:f>
                <c:numCache>
                  <c:formatCode>General</c:formatCode>
                  <c:ptCount val="6"/>
                  <c:pt idx="0">
                    <c:v>0.9</c:v>
                  </c:pt>
                  <c:pt idx="1">
                    <c:v>1</c:v>
                  </c:pt>
                  <c:pt idx="2">
                    <c:v>8.0000000000000043E-2</c:v>
                  </c:pt>
                  <c:pt idx="3">
                    <c:v>0.5</c:v>
                  </c:pt>
                  <c:pt idx="4">
                    <c:v>0.30000000000000021</c:v>
                  </c:pt>
                  <c:pt idx="5">
                    <c:v>0.8</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5.1099999999999985</c:v>
                </c:pt>
                <c:pt idx="1">
                  <c:v>5.0599999999999996</c:v>
                </c:pt>
                <c:pt idx="2">
                  <c:v>0.42000000000000021</c:v>
                </c:pt>
                <c:pt idx="3">
                  <c:v>3.02</c:v>
                </c:pt>
                <c:pt idx="4">
                  <c:v>3.65</c:v>
                </c:pt>
                <c:pt idx="5">
                  <c:v>6.48</c:v>
                </c:pt>
              </c:numCache>
            </c:numRef>
          </c:val>
          <c:extLst xmlns:c16r2="http://schemas.microsoft.com/office/drawing/2015/06/chart">
            <c:ext xmlns:c16="http://schemas.microsoft.com/office/drawing/2014/chart" uri="{C3380CC4-5D6E-409C-BE32-E72D297353CC}">
              <c16:uniqueId val="{00000000-3816-4CFC-9243-964EB3E29684}"/>
            </c:ext>
          </c:extLst>
        </c:ser>
        <c:gapWidth val="219"/>
        <c:overlap val="-27"/>
        <c:axId val="51675520"/>
        <c:axId val="51688576"/>
      </c:barChart>
      <c:catAx>
        <c:axId val="51675520"/>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688576"/>
        <c:crosses val="autoZero"/>
        <c:auto val="1"/>
        <c:lblAlgn val="ctr"/>
        <c:lblOffset val="100"/>
      </c:catAx>
      <c:valAx>
        <c:axId val="5168857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estradiol conc. (pg/ml)</a:t>
                </a:r>
                <a:endParaRPr lang="en-GB"/>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675520"/>
        <c:crosses val="autoZero"/>
        <c:crossBetween val="between"/>
      </c:valAx>
      <c:spPr>
        <a:noFill/>
        <a:ln>
          <a:noFill/>
        </a:ln>
        <a:effectLst/>
      </c:spPr>
    </c:plotArea>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errBars>
            <c:errBarType val="both"/>
            <c:errValType val="cust"/>
            <c:plus>
              <c:numRef>
                <c:f>Sheet1!$F$2:$F$7</c:f>
                <c:numCache>
                  <c:formatCode>General</c:formatCode>
                  <c:ptCount val="6"/>
                  <c:pt idx="0">
                    <c:v>0.7000000000000004</c:v>
                  </c:pt>
                  <c:pt idx="1">
                    <c:v>0.9</c:v>
                  </c:pt>
                  <c:pt idx="2">
                    <c:v>0.5</c:v>
                  </c:pt>
                  <c:pt idx="3">
                    <c:v>0.30000000000000021</c:v>
                  </c:pt>
                  <c:pt idx="4">
                    <c:v>0.2</c:v>
                  </c:pt>
                  <c:pt idx="5">
                    <c:v>0.4</c:v>
                  </c:pt>
                </c:numCache>
              </c:numRef>
            </c:plus>
            <c:minus>
              <c:numRef>
                <c:f>Sheet1!$F$2:$F$7</c:f>
                <c:numCache>
                  <c:formatCode>General</c:formatCode>
                  <c:ptCount val="6"/>
                  <c:pt idx="0">
                    <c:v>0.7000000000000004</c:v>
                  </c:pt>
                  <c:pt idx="1">
                    <c:v>0.9</c:v>
                  </c:pt>
                  <c:pt idx="2">
                    <c:v>0.5</c:v>
                  </c:pt>
                  <c:pt idx="3">
                    <c:v>0.30000000000000021</c:v>
                  </c:pt>
                  <c:pt idx="4">
                    <c:v>0.2</c:v>
                  </c:pt>
                  <c:pt idx="5">
                    <c:v>0.4</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2.08</c:v>
                </c:pt>
                <c:pt idx="1">
                  <c:v>2.9499999999999997</c:v>
                </c:pt>
                <c:pt idx="2">
                  <c:v>4.8099999999999996</c:v>
                </c:pt>
                <c:pt idx="3">
                  <c:v>2.73</c:v>
                </c:pt>
                <c:pt idx="4">
                  <c:v>2.3899999999999997</c:v>
                </c:pt>
                <c:pt idx="5">
                  <c:v>2.4499999999999997</c:v>
                </c:pt>
              </c:numCache>
            </c:numRef>
          </c:val>
          <c:extLst xmlns:c16r2="http://schemas.microsoft.com/office/drawing/2015/06/chart">
            <c:ext xmlns:c16="http://schemas.microsoft.com/office/drawing/2014/chart" uri="{C3380CC4-5D6E-409C-BE32-E72D297353CC}">
              <c16:uniqueId val="{00000000-B1E6-4367-853A-3137E70B841F}"/>
            </c:ext>
          </c:extLst>
        </c:ser>
        <c:gapWidth val="219"/>
        <c:overlap val="-27"/>
        <c:axId val="63279104"/>
        <c:axId val="83084032"/>
      </c:barChart>
      <c:catAx>
        <c:axId val="63279104"/>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3084032"/>
        <c:crosses val="autoZero"/>
        <c:auto val="1"/>
        <c:lblAlgn val="ctr"/>
        <c:lblOffset val="100"/>
      </c:catAx>
      <c:valAx>
        <c:axId val="8308403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ACHE</a:t>
                </a:r>
                <a:r>
                  <a:rPr lang="en-GB" baseline="0"/>
                  <a:t> (mol/min/g)</a:t>
                </a:r>
                <a:endParaRPr lang="en-GB"/>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279104"/>
        <c:crosses val="autoZero"/>
        <c:crossBetween val="between"/>
      </c:valAx>
      <c:spPr>
        <a:noFill/>
        <a:ln>
          <a:noFill/>
        </a:ln>
        <a:effectLst/>
      </c:spPr>
    </c:plotArea>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7180108052805109E-2"/>
          <c:y val="0.17460317460317457"/>
          <c:w val="0.8791563445663193"/>
          <c:h val="0.58155355580552348"/>
        </c:manualLayout>
      </c:layout>
      <c:barChart>
        <c:barDir val="col"/>
        <c:grouping val="clustered"/>
        <c:ser>
          <c:idx val="0"/>
          <c:order val="0"/>
          <c:tx>
            <c:strRef>
              <c:f>Sheet1!$B$1</c:f>
              <c:strCache>
                <c:ptCount val="1"/>
                <c:pt idx="0">
                  <c:v>Naïve control</c:v>
                </c:pt>
              </c:strCache>
            </c:strRef>
          </c:tx>
          <c:spPr>
            <a:solidFill>
              <a:schemeClr val="accent1"/>
            </a:solidFill>
            <a:ln>
              <a:noFill/>
            </a:ln>
            <a:effectLst/>
          </c:spPr>
          <c:errBars>
            <c:errBarType val="both"/>
            <c:errValType val="cust"/>
            <c:plus>
              <c:numRef>
                <c:f>Sheet1!$B$9:$B$13</c:f>
                <c:numCache>
                  <c:formatCode>General</c:formatCode>
                  <c:ptCount val="5"/>
                  <c:pt idx="0">
                    <c:v>2.5</c:v>
                  </c:pt>
                  <c:pt idx="1">
                    <c:v>5.9</c:v>
                  </c:pt>
                  <c:pt idx="2">
                    <c:v>4.2</c:v>
                  </c:pt>
                  <c:pt idx="3">
                    <c:v>3.6</c:v>
                  </c:pt>
                  <c:pt idx="4">
                    <c:v>3.6</c:v>
                  </c:pt>
                </c:numCache>
              </c:numRef>
            </c:plus>
            <c:minus>
              <c:numRef>
                <c:f>Sheet1!$B$9:$B$13</c:f>
                <c:numCache>
                  <c:formatCode>General</c:formatCode>
                  <c:ptCount val="5"/>
                  <c:pt idx="0">
                    <c:v>2.5</c:v>
                  </c:pt>
                  <c:pt idx="1">
                    <c:v>5.9</c:v>
                  </c:pt>
                  <c:pt idx="2">
                    <c:v>4.2</c:v>
                  </c:pt>
                  <c:pt idx="3">
                    <c:v>3.6</c:v>
                  </c:pt>
                  <c:pt idx="4">
                    <c:v>3.6</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57.6</c:v>
                </c:pt>
                <c:pt idx="1">
                  <c:v>42.3</c:v>
                </c:pt>
                <c:pt idx="2">
                  <c:v>36.700000000000003</c:v>
                </c:pt>
                <c:pt idx="3">
                  <c:v>29</c:v>
                </c:pt>
                <c:pt idx="4">
                  <c:v>25</c:v>
                </c:pt>
              </c:numCache>
            </c:numRef>
          </c:val>
          <c:extLst xmlns:c16r2="http://schemas.microsoft.com/office/drawing/2015/06/chart">
            <c:ext xmlns:c16="http://schemas.microsoft.com/office/drawing/2014/chart" uri="{C3380CC4-5D6E-409C-BE32-E72D297353CC}">
              <c16:uniqueId val="{00000000-2142-47A3-8AD7-2D5DDB8B3DFB}"/>
            </c:ext>
          </c:extLst>
        </c:ser>
        <c:ser>
          <c:idx val="1"/>
          <c:order val="1"/>
          <c:tx>
            <c:strRef>
              <c:f>Sheet1!$C$1</c:f>
              <c:strCache>
                <c:ptCount val="1"/>
                <c:pt idx="0">
                  <c:v>Sham operated control</c:v>
                </c:pt>
              </c:strCache>
            </c:strRef>
          </c:tx>
          <c:spPr>
            <a:solidFill>
              <a:schemeClr val="accent2"/>
            </a:solidFill>
            <a:ln>
              <a:noFill/>
            </a:ln>
            <a:effectLst/>
          </c:spPr>
          <c:errBars>
            <c:errBarType val="both"/>
            <c:errValType val="cust"/>
            <c:plus>
              <c:numRef>
                <c:f>Sheet1!$C$9:$C$13</c:f>
                <c:numCache>
                  <c:formatCode>General</c:formatCode>
                  <c:ptCount val="5"/>
                  <c:pt idx="0">
                    <c:v>1.2</c:v>
                  </c:pt>
                  <c:pt idx="1">
                    <c:v>2.1</c:v>
                  </c:pt>
                  <c:pt idx="2">
                    <c:v>3.6</c:v>
                  </c:pt>
                  <c:pt idx="3">
                    <c:v>2.6</c:v>
                  </c:pt>
                  <c:pt idx="4">
                    <c:v>2.5</c:v>
                  </c:pt>
                </c:numCache>
              </c:numRef>
            </c:plus>
            <c:minus>
              <c:numRef>
                <c:f>Sheet1!$C$9:$C$13</c:f>
                <c:numCache>
                  <c:formatCode>General</c:formatCode>
                  <c:ptCount val="5"/>
                  <c:pt idx="0">
                    <c:v>1.2</c:v>
                  </c:pt>
                  <c:pt idx="1">
                    <c:v>2.1</c:v>
                  </c:pt>
                  <c:pt idx="2">
                    <c:v>3.6</c:v>
                  </c:pt>
                  <c:pt idx="3">
                    <c:v>2.6</c:v>
                  </c:pt>
                  <c:pt idx="4">
                    <c:v>2.5</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58.7</c:v>
                </c:pt>
                <c:pt idx="1">
                  <c:v>55.7</c:v>
                </c:pt>
                <c:pt idx="2">
                  <c:v>45</c:v>
                </c:pt>
                <c:pt idx="3">
                  <c:v>42</c:v>
                </c:pt>
                <c:pt idx="4">
                  <c:v>37.300000000000004</c:v>
                </c:pt>
              </c:numCache>
            </c:numRef>
          </c:val>
          <c:extLst xmlns:c16r2="http://schemas.microsoft.com/office/drawing/2015/06/chart">
            <c:ext xmlns:c16="http://schemas.microsoft.com/office/drawing/2014/chart" uri="{C3380CC4-5D6E-409C-BE32-E72D297353CC}">
              <c16:uniqueId val="{00000001-2142-47A3-8AD7-2D5DDB8B3DFB}"/>
            </c:ext>
          </c:extLst>
        </c:ser>
        <c:ser>
          <c:idx val="2"/>
          <c:order val="2"/>
          <c:tx>
            <c:strRef>
              <c:f>Sheet1!$D$1</c:f>
              <c:strCache>
                <c:ptCount val="1"/>
                <c:pt idx="0">
                  <c:v>Ovariectomized control</c:v>
                </c:pt>
              </c:strCache>
            </c:strRef>
          </c:tx>
          <c:spPr>
            <a:solidFill>
              <a:schemeClr val="accent3"/>
            </a:solidFill>
            <a:ln>
              <a:noFill/>
            </a:ln>
            <a:effectLst/>
          </c:spPr>
          <c:errBars>
            <c:errBarType val="both"/>
            <c:errValType val="cust"/>
            <c:plus>
              <c:numRef>
                <c:f>Sheet1!$D$9:$D$13</c:f>
                <c:numCache>
                  <c:formatCode>General</c:formatCode>
                  <c:ptCount val="5"/>
                  <c:pt idx="0">
                    <c:v>0</c:v>
                  </c:pt>
                  <c:pt idx="1">
                    <c:v>1.2</c:v>
                  </c:pt>
                  <c:pt idx="2">
                    <c:v>2.1</c:v>
                  </c:pt>
                  <c:pt idx="3">
                    <c:v>2.1</c:v>
                  </c:pt>
                  <c:pt idx="4">
                    <c:v>1.5</c:v>
                  </c:pt>
                </c:numCache>
              </c:numRef>
            </c:plus>
            <c:minus>
              <c:numRef>
                <c:f>Sheet1!$D$9:$D$13</c:f>
                <c:numCache>
                  <c:formatCode>General</c:formatCode>
                  <c:ptCount val="5"/>
                  <c:pt idx="0">
                    <c:v>0</c:v>
                  </c:pt>
                  <c:pt idx="1">
                    <c:v>1.2</c:v>
                  </c:pt>
                  <c:pt idx="2">
                    <c:v>2.1</c:v>
                  </c:pt>
                  <c:pt idx="3">
                    <c:v>2.1</c:v>
                  </c:pt>
                  <c:pt idx="4">
                    <c:v>1.5</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60</c:v>
                </c:pt>
                <c:pt idx="1">
                  <c:v>59.3</c:v>
                </c:pt>
                <c:pt idx="2">
                  <c:v>58.3</c:v>
                </c:pt>
                <c:pt idx="3">
                  <c:v>58.3</c:v>
                </c:pt>
                <c:pt idx="4">
                  <c:v>56.7</c:v>
                </c:pt>
              </c:numCache>
            </c:numRef>
          </c:val>
          <c:extLst xmlns:c16r2="http://schemas.microsoft.com/office/drawing/2015/06/chart">
            <c:ext xmlns:c16="http://schemas.microsoft.com/office/drawing/2014/chart" uri="{C3380CC4-5D6E-409C-BE32-E72D297353CC}">
              <c16:uniqueId val="{00000002-2142-47A3-8AD7-2D5DDB8B3DFB}"/>
            </c:ext>
          </c:extLst>
        </c:ser>
        <c:ser>
          <c:idx val="3"/>
          <c:order val="3"/>
          <c:tx>
            <c:strRef>
              <c:f>Sheet1!$E$1</c:f>
              <c:strCache>
                <c:ptCount val="1"/>
                <c:pt idx="0">
                  <c:v>264 mg/kg PERF</c:v>
                </c:pt>
              </c:strCache>
            </c:strRef>
          </c:tx>
          <c:spPr>
            <a:solidFill>
              <a:schemeClr val="accent4"/>
            </a:solidFill>
            <a:ln>
              <a:noFill/>
            </a:ln>
            <a:effectLst/>
          </c:spPr>
          <c:errBars>
            <c:errBarType val="both"/>
            <c:errValType val="cust"/>
            <c:plus>
              <c:numRef>
                <c:f>Sheet1!$E$9:$E$13</c:f>
                <c:numCache>
                  <c:formatCode>General</c:formatCode>
                  <c:ptCount val="5"/>
                  <c:pt idx="0">
                    <c:v>1</c:v>
                  </c:pt>
                  <c:pt idx="1">
                    <c:v>1.2</c:v>
                  </c:pt>
                  <c:pt idx="2">
                    <c:v>3.1</c:v>
                  </c:pt>
                  <c:pt idx="3">
                    <c:v>2.6</c:v>
                  </c:pt>
                  <c:pt idx="4">
                    <c:v>3</c:v>
                  </c:pt>
                </c:numCache>
              </c:numRef>
            </c:plus>
            <c:minus>
              <c:numRef>
                <c:f>Sheet1!$E$9:$E$13</c:f>
                <c:numCache>
                  <c:formatCode>General</c:formatCode>
                  <c:ptCount val="5"/>
                  <c:pt idx="0">
                    <c:v>1</c:v>
                  </c:pt>
                  <c:pt idx="1">
                    <c:v>1.2</c:v>
                  </c:pt>
                  <c:pt idx="2">
                    <c:v>3.1</c:v>
                  </c:pt>
                  <c:pt idx="3">
                    <c:v>2.6</c:v>
                  </c:pt>
                  <c:pt idx="4">
                    <c:v>3</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59</c:v>
                </c:pt>
                <c:pt idx="1">
                  <c:v>57.3</c:v>
                </c:pt>
                <c:pt idx="2">
                  <c:v>47.6</c:v>
                </c:pt>
                <c:pt idx="3">
                  <c:v>44</c:v>
                </c:pt>
                <c:pt idx="4">
                  <c:v>35</c:v>
                </c:pt>
              </c:numCache>
            </c:numRef>
          </c:val>
          <c:extLst xmlns:c16r2="http://schemas.microsoft.com/office/drawing/2015/06/chart">
            <c:ext xmlns:c16="http://schemas.microsoft.com/office/drawing/2014/chart" uri="{C3380CC4-5D6E-409C-BE32-E72D297353CC}">
              <c16:uniqueId val="{00000003-2142-47A3-8AD7-2D5DDB8B3DFB}"/>
            </c:ext>
          </c:extLst>
        </c:ser>
        <c:ser>
          <c:idx val="4"/>
          <c:order val="4"/>
          <c:tx>
            <c:strRef>
              <c:f>Sheet1!$F$1</c:f>
              <c:strCache>
                <c:ptCount val="1"/>
                <c:pt idx="0">
                  <c:v>528 mg/kg PERF</c:v>
                </c:pt>
              </c:strCache>
            </c:strRef>
          </c:tx>
          <c:spPr>
            <a:solidFill>
              <a:schemeClr val="accent5"/>
            </a:solidFill>
            <a:ln>
              <a:noFill/>
            </a:ln>
            <a:effectLst/>
          </c:spPr>
          <c:errBars>
            <c:errBarType val="both"/>
            <c:errValType val="cust"/>
            <c:plus>
              <c:numRef>
                <c:f>Sheet1!$F$9:$F$13</c:f>
                <c:numCache>
                  <c:formatCode>General</c:formatCode>
                  <c:ptCount val="5"/>
                  <c:pt idx="0">
                    <c:v>2.5</c:v>
                  </c:pt>
                  <c:pt idx="1">
                    <c:v>2.5</c:v>
                  </c:pt>
                  <c:pt idx="2">
                    <c:v>5.9</c:v>
                  </c:pt>
                  <c:pt idx="3">
                    <c:v>3.2</c:v>
                  </c:pt>
                  <c:pt idx="4">
                    <c:v>3.1</c:v>
                  </c:pt>
                </c:numCache>
              </c:numRef>
            </c:plus>
            <c:minus>
              <c:numRef>
                <c:f>Sheet1!$F$9:$F$13</c:f>
                <c:numCache>
                  <c:formatCode>General</c:formatCode>
                  <c:ptCount val="5"/>
                  <c:pt idx="0">
                    <c:v>2.5</c:v>
                  </c:pt>
                  <c:pt idx="1">
                    <c:v>2.5</c:v>
                  </c:pt>
                  <c:pt idx="2">
                    <c:v>5.9</c:v>
                  </c:pt>
                  <c:pt idx="3">
                    <c:v>3.2</c:v>
                  </c:pt>
                  <c:pt idx="4">
                    <c:v>3.1</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57.7</c:v>
                </c:pt>
                <c:pt idx="1">
                  <c:v>55.3</c:v>
                </c:pt>
                <c:pt idx="2">
                  <c:v>42.3</c:v>
                </c:pt>
                <c:pt idx="3">
                  <c:v>34.700000000000003</c:v>
                </c:pt>
                <c:pt idx="4">
                  <c:v>26.7</c:v>
                </c:pt>
              </c:numCache>
            </c:numRef>
          </c:val>
          <c:extLst xmlns:c16r2="http://schemas.microsoft.com/office/drawing/2015/06/chart">
            <c:ext xmlns:c16="http://schemas.microsoft.com/office/drawing/2014/chart" uri="{C3380CC4-5D6E-409C-BE32-E72D297353CC}">
              <c16:uniqueId val="{00000004-2142-47A3-8AD7-2D5DDB8B3DFB}"/>
            </c:ext>
          </c:extLst>
        </c:ser>
        <c:ser>
          <c:idx val="5"/>
          <c:order val="5"/>
          <c:tx>
            <c:strRef>
              <c:f>Sheet1!$G$1</c:f>
              <c:strCache>
                <c:ptCount val="1"/>
                <c:pt idx="0">
                  <c:v>Estradiol 1 mg/kg</c:v>
                </c:pt>
              </c:strCache>
            </c:strRef>
          </c:tx>
          <c:spPr>
            <a:solidFill>
              <a:schemeClr val="accent6"/>
            </a:solidFill>
            <a:ln>
              <a:noFill/>
            </a:ln>
            <a:effectLst/>
          </c:spPr>
          <c:errBars>
            <c:errBarType val="both"/>
            <c:errValType val="cust"/>
            <c:plus>
              <c:numRef>
                <c:f>Sheet1!$G$9:$G$13</c:f>
                <c:numCache>
                  <c:formatCode>General</c:formatCode>
                  <c:ptCount val="5"/>
                  <c:pt idx="0">
                    <c:v>1.5</c:v>
                  </c:pt>
                  <c:pt idx="1">
                    <c:v>4</c:v>
                  </c:pt>
                  <c:pt idx="2">
                    <c:v>4</c:v>
                  </c:pt>
                  <c:pt idx="3">
                    <c:v>1.5</c:v>
                  </c:pt>
                  <c:pt idx="4">
                    <c:v>3.8</c:v>
                  </c:pt>
                </c:numCache>
              </c:numRef>
            </c:plus>
            <c:minus>
              <c:numRef>
                <c:f>Sheet1!$G$9:$G$13</c:f>
                <c:numCache>
                  <c:formatCode>General</c:formatCode>
                  <c:ptCount val="5"/>
                  <c:pt idx="0">
                    <c:v>1.5</c:v>
                  </c:pt>
                  <c:pt idx="1">
                    <c:v>4</c:v>
                  </c:pt>
                  <c:pt idx="2">
                    <c:v>4</c:v>
                  </c:pt>
                  <c:pt idx="3">
                    <c:v>1.5</c:v>
                  </c:pt>
                  <c:pt idx="4">
                    <c:v>3.8</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58.7</c:v>
                </c:pt>
                <c:pt idx="1">
                  <c:v>54</c:v>
                </c:pt>
                <c:pt idx="2">
                  <c:v>48.3</c:v>
                </c:pt>
                <c:pt idx="3">
                  <c:v>43.3</c:v>
                </c:pt>
                <c:pt idx="4">
                  <c:v>36.300000000000004</c:v>
                </c:pt>
              </c:numCache>
            </c:numRef>
          </c:val>
          <c:extLst xmlns:c16r2="http://schemas.microsoft.com/office/drawing/2015/06/chart">
            <c:ext xmlns:c16="http://schemas.microsoft.com/office/drawing/2014/chart" uri="{C3380CC4-5D6E-409C-BE32-E72D297353CC}">
              <c16:uniqueId val="{00000005-2142-47A3-8AD7-2D5DDB8B3DFB}"/>
            </c:ext>
          </c:extLst>
        </c:ser>
        <c:gapWidth val="219"/>
        <c:overlap val="-27"/>
        <c:axId val="95499392"/>
        <c:axId val="95501696"/>
      </c:barChart>
      <c:catAx>
        <c:axId val="95499392"/>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5501696"/>
        <c:crosses val="autoZero"/>
        <c:auto val="1"/>
        <c:lblAlgn val="ctr"/>
        <c:lblOffset val="100"/>
      </c:catAx>
      <c:valAx>
        <c:axId val="9550169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to locate plateform (s)</a:t>
                </a:r>
                <a:endParaRPr lang="en-GB"/>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54993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errBars>
            <c:errBarType val="both"/>
            <c:errValType val="cust"/>
            <c:plus>
              <c:numRef>
                <c:f>Sheet1!$C$10:$C$15</c:f>
                <c:numCache>
                  <c:formatCode>General</c:formatCode>
                  <c:ptCount val="6"/>
                  <c:pt idx="0">
                    <c:v>1.5</c:v>
                  </c:pt>
                  <c:pt idx="1">
                    <c:v>0.9</c:v>
                  </c:pt>
                  <c:pt idx="2">
                    <c:v>0.5</c:v>
                  </c:pt>
                  <c:pt idx="3">
                    <c:v>1.2</c:v>
                  </c:pt>
                  <c:pt idx="4">
                    <c:v>1.4</c:v>
                  </c:pt>
                  <c:pt idx="5">
                    <c:v>1.1000000000000001</c:v>
                  </c:pt>
                </c:numCache>
              </c:numRef>
            </c:plus>
            <c:minus>
              <c:numRef>
                <c:f>Sheet1!$C$10:$C$15</c:f>
                <c:numCache>
                  <c:formatCode>General</c:formatCode>
                  <c:ptCount val="6"/>
                  <c:pt idx="0">
                    <c:v>1.5</c:v>
                  </c:pt>
                  <c:pt idx="1">
                    <c:v>0.9</c:v>
                  </c:pt>
                  <c:pt idx="2">
                    <c:v>0.5</c:v>
                  </c:pt>
                  <c:pt idx="3">
                    <c:v>1.2</c:v>
                  </c:pt>
                  <c:pt idx="4">
                    <c:v>1.4</c:v>
                  </c:pt>
                  <c:pt idx="5">
                    <c:v>1.1000000000000001</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20.6</c:v>
                </c:pt>
                <c:pt idx="1">
                  <c:v>13.3</c:v>
                </c:pt>
                <c:pt idx="2">
                  <c:v>6.7</c:v>
                </c:pt>
                <c:pt idx="3">
                  <c:v>14.6</c:v>
                </c:pt>
                <c:pt idx="4">
                  <c:v>18.2</c:v>
                </c:pt>
                <c:pt idx="5">
                  <c:v>13.7</c:v>
                </c:pt>
              </c:numCache>
            </c:numRef>
          </c:val>
          <c:extLst xmlns:c16r2="http://schemas.microsoft.com/office/drawing/2015/06/chart">
            <c:ext xmlns:c16="http://schemas.microsoft.com/office/drawing/2014/chart" uri="{C3380CC4-5D6E-409C-BE32-E72D297353CC}">
              <c16:uniqueId val="{00000000-CF73-4856-8C3F-6B12F065AB24}"/>
            </c:ext>
          </c:extLst>
        </c:ser>
        <c:gapWidth val="219"/>
        <c:overlap val="-27"/>
        <c:axId val="119613312"/>
        <c:axId val="119629312"/>
      </c:barChart>
      <c:catAx>
        <c:axId val="119613312"/>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9629312"/>
        <c:crosses val="autoZero"/>
        <c:auto val="1"/>
        <c:lblAlgn val="ctr"/>
        <c:lblOffset val="100"/>
      </c:catAx>
      <c:valAx>
        <c:axId val="11962931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Swimming</a:t>
                </a:r>
                <a:r>
                  <a:rPr lang="en-GB" baseline="0"/>
                  <a:t> time in target quadrant (s)</a:t>
                </a:r>
                <a:endParaRPr lang="en-GB"/>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9613312"/>
        <c:crosses val="autoZero"/>
        <c:crossBetween val="between"/>
      </c:valAx>
      <c:spPr>
        <a:noFill/>
        <a:ln>
          <a:noFill/>
        </a:ln>
        <a:effectLst/>
      </c:spPr>
    </c:plotArea>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282206911636046"/>
          <c:y val="0.13492063492063489"/>
          <c:w val="0.84171496792067668"/>
          <c:h val="0.63865704286964164"/>
        </c:manualLayout>
      </c:layout>
      <c:barChart>
        <c:barDir val="col"/>
        <c:grouping val="clustered"/>
        <c:ser>
          <c:idx val="0"/>
          <c:order val="0"/>
          <c:tx>
            <c:strRef>
              <c:f>Sheet1!$B$1</c:f>
              <c:strCache>
                <c:ptCount val="1"/>
                <c:pt idx="0">
                  <c:v>Catalase (U/mg protein)</c:v>
                </c:pt>
              </c:strCache>
            </c:strRef>
          </c:tx>
          <c:spPr>
            <a:solidFill>
              <a:schemeClr val="accent1"/>
            </a:solidFill>
            <a:ln>
              <a:noFill/>
            </a:ln>
            <a:effectLst/>
          </c:spPr>
          <c:errBars>
            <c:errBarType val="both"/>
            <c:errValType val="cust"/>
            <c:plus>
              <c:numRef>
                <c:f>Sheet1!$F$2:$F$7</c:f>
                <c:numCache>
                  <c:formatCode>General</c:formatCode>
                  <c:ptCount val="6"/>
                  <c:pt idx="0">
                    <c:v>2.8</c:v>
                  </c:pt>
                  <c:pt idx="1">
                    <c:v>2.2000000000000002</c:v>
                  </c:pt>
                  <c:pt idx="2">
                    <c:v>1.9000000000000001</c:v>
                  </c:pt>
                  <c:pt idx="3">
                    <c:v>2.4</c:v>
                  </c:pt>
                  <c:pt idx="4">
                    <c:v>3</c:v>
                  </c:pt>
                  <c:pt idx="5">
                    <c:v>2.2000000000000002</c:v>
                  </c:pt>
                </c:numCache>
              </c:numRef>
            </c:plus>
            <c:minus>
              <c:numRef>
                <c:f>Sheet1!$F$2:$F$7</c:f>
                <c:numCache>
                  <c:formatCode>General</c:formatCode>
                  <c:ptCount val="6"/>
                  <c:pt idx="0">
                    <c:v>2.8</c:v>
                  </c:pt>
                  <c:pt idx="1">
                    <c:v>2.2000000000000002</c:v>
                  </c:pt>
                  <c:pt idx="2">
                    <c:v>1.9000000000000001</c:v>
                  </c:pt>
                  <c:pt idx="3">
                    <c:v>2.4</c:v>
                  </c:pt>
                  <c:pt idx="4">
                    <c:v>3</c:v>
                  </c:pt>
                  <c:pt idx="5">
                    <c:v>2.2000000000000002</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45.230000000000011</c:v>
                </c:pt>
                <c:pt idx="1">
                  <c:v>31.55</c:v>
                </c:pt>
                <c:pt idx="2">
                  <c:v>20.07</c:v>
                </c:pt>
                <c:pt idx="3">
                  <c:v>30.64</c:v>
                </c:pt>
                <c:pt idx="4">
                  <c:v>40.58</c:v>
                </c:pt>
                <c:pt idx="5">
                  <c:v>34.31</c:v>
                </c:pt>
              </c:numCache>
            </c:numRef>
          </c:val>
          <c:extLst xmlns:c16r2="http://schemas.microsoft.com/office/drawing/2015/06/chart">
            <c:ext xmlns:c16="http://schemas.microsoft.com/office/drawing/2014/chart" uri="{C3380CC4-5D6E-409C-BE32-E72D297353CC}">
              <c16:uniqueId val="{00000000-75A2-4705-8A19-079EEEE7644A}"/>
            </c:ext>
          </c:extLst>
        </c:ser>
        <c:ser>
          <c:idx val="1"/>
          <c:order val="1"/>
          <c:tx>
            <c:strRef>
              <c:f>Sheet1!$C$1</c:f>
              <c:strCache>
                <c:ptCount val="1"/>
                <c:pt idx="0">
                  <c:v>SOD (U/mg protein)</c:v>
                </c:pt>
              </c:strCache>
            </c:strRef>
          </c:tx>
          <c:spPr>
            <a:solidFill>
              <a:schemeClr val="accent2"/>
            </a:solidFill>
            <a:ln>
              <a:noFill/>
            </a:ln>
            <a:effectLst/>
          </c:spPr>
          <c:errBars>
            <c:errBarType val="both"/>
            <c:errValType val="cust"/>
            <c:plus>
              <c:numRef>
                <c:f>Sheet1!$G$2:$G$7</c:f>
                <c:numCache>
                  <c:formatCode>General</c:formatCode>
                  <c:ptCount val="6"/>
                  <c:pt idx="0">
                    <c:v>1.9000000000000001</c:v>
                  </c:pt>
                  <c:pt idx="1">
                    <c:v>1.4</c:v>
                  </c:pt>
                  <c:pt idx="2">
                    <c:v>0.8</c:v>
                  </c:pt>
                  <c:pt idx="3">
                    <c:v>1.2</c:v>
                  </c:pt>
                  <c:pt idx="4">
                    <c:v>1.6</c:v>
                  </c:pt>
                  <c:pt idx="5">
                    <c:v>1</c:v>
                  </c:pt>
                </c:numCache>
              </c:numRef>
            </c:plus>
            <c:minus>
              <c:numRef>
                <c:f>Sheet1!$G$2:$G$7</c:f>
                <c:numCache>
                  <c:formatCode>General</c:formatCode>
                  <c:ptCount val="6"/>
                  <c:pt idx="0">
                    <c:v>1.9000000000000001</c:v>
                  </c:pt>
                  <c:pt idx="1">
                    <c:v>1.4</c:v>
                  </c:pt>
                  <c:pt idx="2">
                    <c:v>0.8</c:v>
                  </c:pt>
                  <c:pt idx="3">
                    <c:v>1.2</c:v>
                  </c:pt>
                  <c:pt idx="4">
                    <c:v>1.6</c:v>
                  </c:pt>
                  <c:pt idx="5">
                    <c:v>1</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Sheet1!$C$2:$C$7</c:f>
              <c:numCache>
                <c:formatCode>General</c:formatCode>
                <c:ptCount val="6"/>
                <c:pt idx="0">
                  <c:v>28.72</c:v>
                </c:pt>
                <c:pt idx="1">
                  <c:v>19.850000000000001</c:v>
                </c:pt>
                <c:pt idx="2">
                  <c:v>12.43</c:v>
                </c:pt>
                <c:pt idx="3">
                  <c:v>20.18</c:v>
                </c:pt>
                <c:pt idx="4">
                  <c:v>24.66</c:v>
                </c:pt>
                <c:pt idx="5">
                  <c:v>20.34</c:v>
                </c:pt>
              </c:numCache>
            </c:numRef>
          </c:val>
          <c:extLst xmlns:c16r2="http://schemas.microsoft.com/office/drawing/2015/06/chart">
            <c:ext xmlns:c16="http://schemas.microsoft.com/office/drawing/2014/chart" uri="{C3380CC4-5D6E-409C-BE32-E72D297353CC}">
              <c16:uniqueId val="{00000001-75A2-4705-8A19-079EEEE7644A}"/>
            </c:ext>
          </c:extLst>
        </c:ser>
        <c:gapWidth val="219"/>
        <c:overlap val="-27"/>
        <c:axId val="123954304"/>
        <c:axId val="123977728"/>
      </c:barChart>
      <c:catAx>
        <c:axId val="123954304"/>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3977728"/>
        <c:crosses val="autoZero"/>
        <c:auto val="1"/>
        <c:lblAlgn val="ctr"/>
        <c:lblOffset val="100"/>
      </c:catAx>
      <c:valAx>
        <c:axId val="123977728"/>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Brain</a:t>
                </a:r>
                <a:r>
                  <a:rPr lang="en-GB" baseline="0"/>
                  <a:t> tissue antioxidant enzyme</a:t>
                </a:r>
              </a:p>
              <a:p>
                <a:pPr>
                  <a:defRPr sz="1000" b="0" i="0" u="none" strike="noStrike" kern="1200" baseline="0">
                    <a:solidFill>
                      <a:schemeClr val="tx1">
                        <a:lumMod val="65000"/>
                        <a:lumOff val="35000"/>
                      </a:schemeClr>
                    </a:solidFill>
                    <a:latin typeface="+mn-lt"/>
                    <a:ea typeface="+mn-ea"/>
                    <a:cs typeface="+mn-cs"/>
                  </a:defRPr>
                </a:pPr>
                <a:r>
                  <a:rPr lang="en-GB" baseline="0"/>
                  <a:t> concentration (U/mg protein)</a:t>
                </a:r>
                <a:endParaRPr lang="en-GB"/>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3954304"/>
        <c:crosses val="autoZero"/>
        <c:crossBetween val="between"/>
      </c:valAx>
      <c:spPr>
        <a:noFill/>
        <a:ln>
          <a:noFill/>
        </a:ln>
        <a:effectLst/>
      </c:spPr>
    </c:plotArea>
    <c:legend>
      <c:legendPos val="b"/>
      <c:layout>
        <c:manualLayout>
          <c:xMode val="edge"/>
          <c:yMode val="edge"/>
          <c:x val="0.20799449547973195"/>
          <c:y val="1.6368578927634058E-2"/>
          <c:w val="0.50120516185476738"/>
          <c:h val="6.6964754405699295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4014289880431617E-2"/>
          <c:y val="0.25793650793650796"/>
          <c:w val="0.88052274715660495"/>
          <c:h val="0.60641544806899161"/>
        </c:manualLayout>
      </c:layout>
      <c:barChart>
        <c:barDir val="col"/>
        <c:grouping val="clustered"/>
        <c:ser>
          <c:idx val="0"/>
          <c:order val="0"/>
          <c:tx>
            <c:strRef>
              <c:f>Sheet1!$B$1</c:f>
              <c:strCache>
                <c:ptCount val="1"/>
                <c:pt idx="0">
                  <c:v>Series 1</c:v>
                </c:pt>
              </c:strCache>
            </c:strRef>
          </c:tx>
          <c:spPr>
            <a:solidFill>
              <a:schemeClr val="accent1"/>
            </a:solidFill>
            <a:ln>
              <a:noFill/>
            </a:ln>
            <a:effectLst/>
          </c:spPr>
          <c:errBars>
            <c:errBarType val="both"/>
            <c:errValType val="cust"/>
            <c:plus>
              <c:numRef>
                <c:f>Sheet1!$E$2:$E$7</c:f>
                <c:numCache>
                  <c:formatCode>General</c:formatCode>
                  <c:ptCount val="6"/>
                  <c:pt idx="0">
                    <c:v>0.30000000000000021</c:v>
                  </c:pt>
                  <c:pt idx="1">
                    <c:v>0.8</c:v>
                  </c:pt>
                  <c:pt idx="2">
                    <c:v>1</c:v>
                  </c:pt>
                  <c:pt idx="3">
                    <c:v>0.4</c:v>
                  </c:pt>
                  <c:pt idx="4">
                    <c:v>0.2</c:v>
                  </c:pt>
                  <c:pt idx="5">
                    <c:v>0.60000000000000042</c:v>
                  </c:pt>
                </c:numCache>
              </c:numRef>
            </c:plus>
            <c:minus>
              <c:numRef>
                <c:f>Sheet1!$E$2:$E$7</c:f>
                <c:numCache>
                  <c:formatCode>General</c:formatCode>
                  <c:ptCount val="6"/>
                  <c:pt idx="0">
                    <c:v>0.30000000000000021</c:v>
                  </c:pt>
                  <c:pt idx="1">
                    <c:v>0.8</c:v>
                  </c:pt>
                  <c:pt idx="2">
                    <c:v>1</c:v>
                  </c:pt>
                  <c:pt idx="3">
                    <c:v>0.4</c:v>
                  </c:pt>
                  <c:pt idx="4">
                    <c:v>0.2</c:v>
                  </c:pt>
                  <c:pt idx="5">
                    <c:v>0.60000000000000042</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1.6</c:v>
                </c:pt>
                <c:pt idx="1">
                  <c:v>3.5</c:v>
                </c:pt>
                <c:pt idx="2">
                  <c:v>5.4</c:v>
                </c:pt>
                <c:pt idx="3">
                  <c:v>3.9</c:v>
                </c:pt>
                <c:pt idx="4">
                  <c:v>3.2</c:v>
                </c:pt>
                <c:pt idx="5">
                  <c:v>3.8</c:v>
                </c:pt>
              </c:numCache>
            </c:numRef>
          </c:val>
          <c:extLst xmlns:c16r2="http://schemas.microsoft.com/office/drawing/2015/06/chart">
            <c:ext xmlns:c16="http://schemas.microsoft.com/office/drawing/2014/chart" uri="{C3380CC4-5D6E-409C-BE32-E72D297353CC}">
              <c16:uniqueId val="{00000000-50D9-4DB4-922B-D5783B5ADD87}"/>
            </c:ext>
          </c:extLst>
        </c:ser>
        <c:gapWidth val="219"/>
        <c:overlap val="-27"/>
        <c:axId val="123696640"/>
        <c:axId val="123698176"/>
      </c:barChart>
      <c:catAx>
        <c:axId val="123696640"/>
        <c:scaling>
          <c:orientation val="minMax"/>
        </c:scaling>
        <c:axPos val="b"/>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3698176"/>
        <c:crosses val="autoZero"/>
        <c:auto val="1"/>
        <c:lblAlgn val="ctr"/>
        <c:lblOffset val="100"/>
      </c:catAx>
      <c:valAx>
        <c:axId val="123698176"/>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concentration (nmol/g)</a:t>
                </a:r>
                <a:endParaRPr lang="en-GB"/>
              </a:p>
            </c:rich>
          </c:tx>
          <c:spPr>
            <a:noFill/>
            <a:ln>
              <a:noFill/>
            </a:ln>
            <a:effectLst/>
          </c:spPr>
        </c:title>
        <c:numFmt formatCode="General" sourceLinked="1"/>
        <c:maj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3696640"/>
        <c:crosses val="autoZero"/>
        <c:crossBetween val="between"/>
      </c:valAx>
      <c:spPr>
        <a:noFill/>
        <a:ln>
          <a:noFill/>
        </a:ln>
        <a:effectLst/>
      </c:spPr>
    </c:plotArea>
    <c:plotVisOnly val="1"/>
    <c:dispBlanksAs val="gap"/>
  </c:chart>
  <c:spPr>
    <a:solidFill>
      <a:schemeClr val="bg1"/>
    </a:solidFill>
    <a:ln w="9525">
      <a:solidFill>
        <a:schemeClr val="tx1">
          <a:lumMod val="15000"/>
          <a:lumOff val="85000"/>
        </a:schemeClr>
      </a:solidFill>
      <a:round/>
    </a:ln>
    <a:effectLst/>
  </c:spPr>
  <c:txPr>
    <a:bodyPr/>
    <a:lstStyle/>
    <a:p>
      <a:pPr>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0.41506</cdr:x>
      <cdr:y>0.11541</cdr:y>
    </cdr:from>
    <cdr:to>
      <cdr:x>0.95032</cdr:x>
      <cdr:y>0.2033</cdr:y>
    </cdr:to>
    <cdr:sp macro="" textlink="">
      <cdr:nvSpPr>
        <cdr:cNvPr id="2" name="Left Brace 1"/>
        <cdr:cNvSpPr/>
      </cdr:nvSpPr>
      <cdr:spPr>
        <a:xfrm xmlns:a="http://schemas.openxmlformats.org/drawingml/2006/main" rot="5400000">
          <a:off x="3604884" y="-958321"/>
          <a:ext cx="281276" cy="293662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0.65344</cdr:x>
      <cdr:y>0.03778</cdr:y>
    </cdr:from>
    <cdr:to>
      <cdr:x>0.73843</cdr:x>
      <cdr:y>0.11833</cdr:y>
    </cdr:to>
    <cdr:sp macro="" textlink="">
      <cdr:nvSpPr>
        <cdr:cNvPr id="3" name="Text Box 1"/>
        <cdr:cNvSpPr txBox="1">
          <a:spLocks xmlns:a="http://schemas.openxmlformats.org/drawingml/2006/main" noChangeArrowheads="1"/>
        </cdr:cNvSpPr>
      </cdr:nvSpPr>
      <cdr:spPr bwMode="auto">
        <a:xfrm xmlns:a="http://schemas.openxmlformats.org/drawingml/2006/main">
          <a:off x="3585016" y="120922"/>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0.39583</cdr:x>
      <cdr:y>0.45973</cdr:y>
    </cdr:from>
    <cdr:to>
      <cdr:x>0.8141</cdr:x>
      <cdr:y>0.51923</cdr:y>
    </cdr:to>
    <cdr:sp macro="" textlink="">
      <cdr:nvSpPr>
        <cdr:cNvPr id="8" name="Left Brace 7"/>
        <cdr:cNvSpPr/>
      </cdr:nvSpPr>
      <cdr:spPr>
        <a:xfrm xmlns:a="http://schemas.openxmlformats.org/drawingml/2006/main" rot="5400000">
          <a:off x="3223884" y="419140"/>
          <a:ext cx="190422" cy="229479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0.58025</cdr:x>
      <cdr:y>0.37386</cdr:y>
    </cdr:from>
    <cdr:to>
      <cdr:x>0.66524</cdr:x>
      <cdr:y>0.45441</cdr:y>
    </cdr:to>
    <cdr:sp macro="" textlink="">
      <cdr:nvSpPr>
        <cdr:cNvPr id="9" name="Text Box 1"/>
        <cdr:cNvSpPr txBox="1">
          <a:spLocks xmlns:a="http://schemas.openxmlformats.org/drawingml/2006/main" noChangeArrowheads="1"/>
        </cdr:cNvSpPr>
      </cdr:nvSpPr>
      <cdr:spPr bwMode="auto">
        <a:xfrm xmlns:a="http://schemas.openxmlformats.org/drawingml/2006/main">
          <a:off x="3183500" y="1196514"/>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0.57425</cdr:x>
      <cdr:y>0.23537</cdr:y>
    </cdr:from>
    <cdr:to>
      <cdr:x>0.93269</cdr:x>
      <cdr:y>0.30495</cdr:y>
    </cdr:to>
    <cdr:sp macro="" textlink="">
      <cdr:nvSpPr>
        <cdr:cNvPr id="10" name="Left Brace 9"/>
        <cdr:cNvSpPr/>
      </cdr:nvSpPr>
      <cdr:spPr>
        <a:xfrm xmlns:a="http://schemas.openxmlformats.org/drawingml/2006/main" rot="5400000">
          <a:off x="4022518" y="-118658"/>
          <a:ext cx="222660" cy="196654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0.73143</cdr:x>
      <cdr:y>0.15225</cdr:y>
    </cdr:from>
    <cdr:to>
      <cdr:x>0.81642</cdr:x>
      <cdr:y>0.2328</cdr:y>
    </cdr:to>
    <cdr:sp macro="" textlink="">
      <cdr:nvSpPr>
        <cdr:cNvPr id="11" name="Text Box 1"/>
        <cdr:cNvSpPr txBox="1">
          <a:spLocks xmlns:a="http://schemas.openxmlformats.org/drawingml/2006/main" noChangeArrowheads="1"/>
        </cdr:cNvSpPr>
      </cdr:nvSpPr>
      <cdr:spPr bwMode="auto">
        <a:xfrm xmlns:a="http://schemas.openxmlformats.org/drawingml/2006/main">
          <a:off x="4012908" y="487268"/>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0.12607</cdr:x>
      <cdr:y>0.30222</cdr:y>
    </cdr:from>
    <cdr:to>
      <cdr:x>0.33974</cdr:x>
      <cdr:y>0.36264</cdr:y>
    </cdr:to>
    <cdr:sp macro="" textlink="">
      <cdr:nvSpPr>
        <cdr:cNvPr id="12" name="Left Brace 11"/>
        <cdr:cNvSpPr/>
      </cdr:nvSpPr>
      <cdr:spPr>
        <a:xfrm xmlns:a="http://schemas.openxmlformats.org/drawingml/2006/main" rot="5400000">
          <a:off x="1181137" y="477753"/>
          <a:ext cx="193353" cy="117231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0.21273</cdr:x>
      <cdr:y>0.2246</cdr:y>
    </cdr:from>
    <cdr:to>
      <cdr:x>0.29772</cdr:x>
      <cdr:y>0.30515</cdr:y>
    </cdr:to>
    <cdr:sp macro="" textlink="">
      <cdr:nvSpPr>
        <cdr:cNvPr id="13" name="Text Box 1"/>
        <cdr:cNvSpPr txBox="1">
          <a:spLocks xmlns:a="http://schemas.openxmlformats.org/drawingml/2006/main" noChangeArrowheads="1"/>
        </cdr:cNvSpPr>
      </cdr:nvSpPr>
      <cdr:spPr bwMode="auto">
        <a:xfrm xmlns:a="http://schemas.openxmlformats.org/drawingml/2006/main">
          <a:off x="1167131" y="718799"/>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0.55929</cdr:x>
      <cdr:y>0.3358</cdr:y>
    </cdr:from>
    <cdr:to>
      <cdr:x>0.94231</cdr:x>
      <cdr:y>0.40659</cdr:y>
    </cdr:to>
    <cdr:sp macro="" textlink="">
      <cdr:nvSpPr>
        <cdr:cNvPr id="1440156359" name="Left Brace 1"/>
        <cdr:cNvSpPr/>
      </cdr:nvSpPr>
      <cdr:spPr>
        <a:xfrm xmlns:a="http://schemas.openxmlformats.org/drawingml/2006/main" rot="5400000">
          <a:off x="4005909" y="137295"/>
          <a:ext cx="226571" cy="210136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0.43584</cdr:x>
      <cdr:y>0.0851</cdr:y>
    </cdr:from>
    <cdr:to>
      <cdr:x>0.52083</cdr:x>
      <cdr:y>0.16565</cdr:y>
    </cdr:to>
    <cdr:sp macro="" textlink="">
      <cdr:nvSpPr>
        <cdr:cNvPr id="89514623" name="Text Box 1"/>
        <cdr:cNvSpPr txBox="1">
          <a:spLocks xmlns:a="http://schemas.openxmlformats.org/drawingml/2006/main" noChangeArrowheads="1"/>
        </cdr:cNvSpPr>
      </cdr:nvSpPr>
      <cdr:spPr bwMode="auto">
        <a:xfrm xmlns:a="http://schemas.openxmlformats.org/drawingml/2006/main">
          <a:off x="2391216" y="272345"/>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0.58381</cdr:x>
      <cdr:y>0.39096</cdr:y>
    </cdr:from>
    <cdr:to>
      <cdr:x>0.64797</cdr:x>
      <cdr:y>0.47151</cdr:y>
    </cdr:to>
    <cdr:sp macro="" textlink="">
      <cdr:nvSpPr>
        <cdr:cNvPr id="4" name="Text Box 1"/>
        <cdr:cNvSpPr txBox="1">
          <a:spLocks xmlns:a="http://schemas.openxmlformats.org/drawingml/2006/main" noChangeArrowheads="1"/>
        </cdr:cNvSpPr>
      </cdr:nvSpPr>
      <cdr:spPr bwMode="auto">
        <a:xfrm xmlns:a="http://schemas.openxmlformats.org/drawingml/2006/main">
          <a:off x="3203039" y="125122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0.28787</cdr:x>
      <cdr:y>0.27099</cdr:y>
    </cdr:from>
    <cdr:to>
      <cdr:x>0.35203</cdr:x>
      <cdr:y>0.35154</cdr:y>
    </cdr:to>
    <cdr:sp macro="" textlink="">
      <cdr:nvSpPr>
        <cdr:cNvPr id="5" name="Text Box 1"/>
        <cdr:cNvSpPr txBox="1">
          <a:spLocks xmlns:a="http://schemas.openxmlformats.org/drawingml/2006/main" noChangeArrowheads="1"/>
        </cdr:cNvSpPr>
      </cdr:nvSpPr>
      <cdr:spPr bwMode="auto">
        <a:xfrm xmlns:a="http://schemas.openxmlformats.org/drawingml/2006/main">
          <a:off x="1579393" y="86729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0.14311</cdr:x>
      <cdr:y>0.40195</cdr:y>
    </cdr:from>
    <cdr:to>
      <cdr:x>0.20726</cdr:x>
      <cdr:y>0.4825</cdr:y>
    </cdr:to>
    <cdr:sp macro="" textlink="">
      <cdr:nvSpPr>
        <cdr:cNvPr id="943599862" name="Text Box 1"/>
        <cdr:cNvSpPr txBox="1">
          <a:spLocks xmlns:a="http://schemas.openxmlformats.org/drawingml/2006/main" noChangeArrowheads="1"/>
        </cdr:cNvSpPr>
      </cdr:nvSpPr>
      <cdr:spPr bwMode="auto">
        <a:xfrm xmlns:a="http://schemas.openxmlformats.org/drawingml/2006/main">
          <a:off x="785154" y="1286391"/>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0.13194</cdr:x>
      <cdr:y>0.22683</cdr:y>
    </cdr:from>
    <cdr:to>
      <cdr:x>0.34455</cdr:x>
      <cdr:y>0.28022</cdr:y>
    </cdr:to>
    <cdr:sp macro="" textlink="">
      <cdr:nvSpPr>
        <cdr:cNvPr id="20921911" name="Left Brace 6"/>
        <cdr:cNvSpPr/>
      </cdr:nvSpPr>
      <cdr:spPr>
        <a:xfrm xmlns:a="http://schemas.openxmlformats.org/drawingml/2006/main" rot="5400000">
          <a:off x="1221679" y="228149"/>
          <a:ext cx="170886" cy="11664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0.72858</cdr:x>
      <cdr:y>0.24902</cdr:y>
    </cdr:from>
    <cdr:to>
      <cdr:x>0.79273</cdr:x>
      <cdr:y>0.32957</cdr:y>
    </cdr:to>
    <cdr:sp macro="" textlink="">
      <cdr:nvSpPr>
        <cdr:cNvPr id="1367197878" name="Text Box 1"/>
        <cdr:cNvSpPr txBox="1">
          <a:spLocks xmlns:a="http://schemas.openxmlformats.org/drawingml/2006/main" noChangeArrowheads="1"/>
        </cdr:cNvSpPr>
      </cdr:nvSpPr>
      <cdr:spPr bwMode="auto">
        <a:xfrm xmlns:a="http://schemas.openxmlformats.org/drawingml/2006/main">
          <a:off x="3997278" y="79695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0.21629</cdr:x>
      <cdr:y>0.14828</cdr:y>
    </cdr:from>
    <cdr:to>
      <cdr:x>0.28045</cdr:x>
      <cdr:y>0.22883</cdr:y>
    </cdr:to>
    <cdr:sp macro="" textlink="">
      <cdr:nvSpPr>
        <cdr:cNvPr id="1174357753" name="Text Box 1"/>
        <cdr:cNvSpPr txBox="1">
          <a:spLocks xmlns:a="http://schemas.openxmlformats.org/drawingml/2006/main" noChangeArrowheads="1"/>
        </cdr:cNvSpPr>
      </cdr:nvSpPr>
      <cdr:spPr bwMode="auto">
        <a:xfrm xmlns:a="http://schemas.openxmlformats.org/drawingml/2006/main">
          <a:off x="1186671" y="474566"/>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0.62303</cdr:x>
      <cdr:y>0.00345</cdr:y>
    </cdr:from>
    <cdr:to>
      <cdr:x>0.6667</cdr:x>
      <cdr:y>0.08401</cdr:y>
    </cdr:to>
    <cdr:sp macro="" textlink="">
      <cdr:nvSpPr>
        <cdr:cNvPr id="165389224" name="Text Box 2"/>
        <cdr:cNvSpPr txBox="1">
          <a:spLocks xmlns:a="http://schemas.openxmlformats.org/drawingml/2006/main" noChangeArrowheads="1"/>
        </cdr:cNvSpPr>
      </cdr:nvSpPr>
      <cdr:spPr bwMode="auto">
        <a:xfrm xmlns:a="http://schemas.openxmlformats.org/drawingml/2006/main">
          <a:off x="3678113" y="11044"/>
          <a:ext cx="25781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0.31314</cdr:x>
      <cdr:y>0.06832</cdr:y>
    </cdr:from>
    <cdr:to>
      <cdr:x>0.9731</cdr:x>
      <cdr:y>0.13665</cdr:y>
    </cdr:to>
    <cdr:sp macro="" textlink="">
      <cdr:nvSpPr>
        <cdr:cNvPr id="1941370376" name="Left Brace 2"/>
        <cdr:cNvSpPr/>
      </cdr:nvSpPr>
      <cdr:spPr>
        <a:xfrm xmlns:a="http://schemas.openxmlformats.org/drawingml/2006/main" rot="5400000">
          <a:off x="3687417" y="-1620078"/>
          <a:ext cx="218658" cy="389614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0.26331</cdr:x>
      <cdr:y>0.28709</cdr:y>
    </cdr:from>
    <cdr:to>
      <cdr:x>0.35018</cdr:x>
      <cdr:y>0.36765</cdr:y>
    </cdr:to>
    <cdr:sp macro="" textlink="">
      <cdr:nvSpPr>
        <cdr:cNvPr id="407398728" name="Text Box 2"/>
        <cdr:cNvSpPr txBox="1">
          <a:spLocks xmlns:a="http://schemas.openxmlformats.org/drawingml/2006/main" noChangeArrowheads="1"/>
        </cdr:cNvSpPr>
      </cdr:nvSpPr>
      <cdr:spPr bwMode="auto">
        <a:xfrm xmlns:a="http://schemas.openxmlformats.org/drawingml/2006/main">
          <a:off x="1554452" y="918818"/>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0.3283</cdr:x>
      <cdr:y>0.17943</cdr:y>
    </cdr:from>
    <cdr:to>
      <cdr:x>0.36365</cdr:x>
      <cdr:y>0.25999</cdr:y>
    </cdr:to>
    <cdr:sp macro="" textlink="">
      <cdr:nvSpPr>
        <cdr:cNvPr id="1235627551" name="Text Box 2"/>
        <cdr:cNvSpPr txBox="1">
          <a:spLocks xmlns:a="http://schemas.openxmlformats.org/drawingml/2006/main" noChangeArrowheads="1"/>
        </cdr:cNvSpPr>
      </cdr:nvSpPr>
      <cdr:spPr bwMode="auto">
        <a:xfrm xmlns:a="http://schemas.openxmlformats.org/drawingml/2006/main">
          <a:off x="1938131" y="574261"/>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0.39957</cdr:x>
      <cdr:y>0.1991</cdr:y>
    </cdr:from>
    <cdr:to>
      <cdr:x>0.43492</cdr:x>
      <cdr:y>0.27966</cdr:y>
    </cdr:to>
    <cdr:sp macro="" textlink="">
      <cdr:nvSpPr>
        <cdr:cNvPr id="1800949034" name="Text Box 2"/>
        <cdr:cNvSpPr txBox="1">
          <a:spLocks xmlns:a="http://schemas.openxmlformats.org/drawingml/2006/main" noChangeArrowheads="1"/>
        </cdr:cNvSpPr>
      </cdr:nvSpPr>
      <cdr:spPr bwMode="auto">
        <a:xfrm xmlns:a="http://schemas.openxmlformats.org/drawingml/2006/main">
          <a:off x="2358888" y="63720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0.43896</cdr:x>
      <cdr:y>0.34403</cdr:y>
    </cdr:from>
    <cdr:to>
      <cdr:x>0.52584</cdr:x>
      <cdr:y>0.42459</cdr:y>
    </cdr:to>
    <cdr:sp macro="" textlink="">
      <cdr:nvSpPr>
        <cdr:cNvPr id="211533444" name="Text Box 2"/>
        <cdr:cNvSpPr txBox="1">
          <a:spLocks xmlns:a="http://schemas.openxmlformats.org/drawingml/2006/main" noChangeArrowheads="1"/>
        </cdr:cNvSpPr>
      </cdr:nvSpPr>
      <cdr:spPr bwMode="auto">
        <a:xfrm xmlns:a="http://schemas.openxmlformats.org/drawingml/2006/main">
          <a:off x="2591434" y="1101035"/>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0.48094</cdr:x>
      <cdr:y>0.28399</cdr:y>
    </cdr:from>
    <cdr:to>
      <cdr:x>0.5163</cdr:x>
      <cdr:y>0.36454</cdr:y>
    </cdr:to>
    <cdr:sp macro="" textlink="">
      <cdr:nvSpPr>
        <cdr:cNvPr id="1787075639" name="Text Box 2"/>
        <cdr:cNvSpPr txBox="1">
          <a:spLocks xmlns:a="http://schemas.openxmlformats.org/drawingml/2006/main" noChangeArrowheads="1"/>
        </cdr:cNvSpPr>
      </cdr:nvSpPr>
      <cdr:spPr bwMode="auto">
        <a:xfrm xmlns:a="http://schemas.openxmlformats.org/drawingml/2006/main">
          <a:off x="2839279" y="90887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0.5017</cdr:x>
      <cdr:y>0.17943</cdr:y>
    </cdr:from>
    <cdr:to>
      <cdr:x>0.564</cdr:x>
      <cdr:y>0.25999</cdr:y>
    </cdr:to>
    <cdr:sp macro="" textlink="">
      <cdr:nvSpPr>
        <cdr:cNvPr id="2091139868" name="Text Box 2"/>
        <cdr:cNvSpPr txBox="1">
          <a:spLocks xmlns:a="http://schemas.openxmlformats.org/drawingml/2006/main" noChangeArrowheads="1"/>
        </cdr:cNvSpPr>
      </cdr:nvSpPr>
      <cdr:spPr bwMode="auto">
        <a:xfrm xmlns:a="http://schemas.openxmlformats.org/drawingml/2006/main">
          <a:off x="2961861" y="574261"/>
          <a:ext cx="36774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0.5466</cdr:x>
      <cdr:y>0.28399</cdr:y>
    </cdr:from>
    <cdr:to>
      <cdr:x>0.6044</cdr:x>
      <cdr:y>0.36454</cdr:y>
    </cdr:to>
    <cdr:sp macro="" textlink="">
      <cdr:nvSpPr>
        <cdr:cNvPr id="1382284303" name="Text Box 2"/>
        <cdr:cNvSpPr txBox="1">
          <a:spLocks xmlns:a="http://schemas.openxmlformats.org/drawingml/2006/main" noChangeArrowheads="1"/>
        </cdr:cNvSpPr>
      </cdr:nvSpPr>
      <cdr:spPr bwMode="auto">
        <a:xfrm xmlns:a="http://schemas.openxmlformats.org/drawingml/2006/main">
          <a:off x="3226904" y="908878"/>
          <a:ext cx="341243"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0.61461</cdr:x>
      <cdr:y>0.40718</cdr:y>
    </cdr:from>
    <cdr:to>
      <cdr:x>0.70149</cdr:x>
      <cdr:y>0.48773</cdr:y>
    </cdr:to>
    <cdr:sp macro="" textlink="">
      <cdr:nvSpPr>
        <cdr:cNvPr id="2052650854" name="Text Box 2"/>
        <cdr:cNvSpPr txBox="1">
          <a:spLocks xmlns:a="http://schemas.openxmlformats.org/drawingml/2006/main" noChangeArrowheads="1"/>
        </cdr:cNvSpPr>
      </cdr:nvSpPr>
      <cdr:spPr bwMode="auto">
        <a:xfrm xmlns:a="http://schemas.openxmlformats.org/drawingml/2006/main">
          <a:off x="3628417" y="1303130"/>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0.78858</cdr:x>
      <cdr:y>0.44858</cdr:y>
    </cdr:from>
    <cdr:to>
      <cdr:x>0.87546</cdr:x>
      <cdr:y>0.52914</cdr:y>
    </cdr:to>
    <cdr:sp macro="" textlink="">
      <cdr:nvSpPr>
        <cdr:cNvPr id="2003580023" name="Text Box 2"/>
        <cdr:cNvSpPr txBox="1">
          <a:spLocks xmlns:a="http://schemas.openxmlformats.org/drawingml/2006/main" noChangeArrowheads="1"/>
        </cdr:cNvSpPr>
      </cdr:nvSpPr>
      <cdr:spPr bwMode="auto">
        <a:xfrm xmlns:a="http://schemas.openxmlformats.org/drawingml/2006/main">
          <a:off x="4655461" y="1435651"/>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0.65435</cdr:x>
      <cdr:y>0.31815</cdr:y>
    </cdr:from>
    <cdr:to>
      <cdr:x>0.6897</cdr:x>
      <cdr:y>0.39871</cdr:y>
    </cdr:to>
    <cdr:sp macro="" textlink="">
      <cdr:nvSpPr>
        <cdr:cNvPr id="14" name="Text Box 2"/>
        <cdr:cNvSpPr txBox="1">
          <a:spLocks xmlns:a="http://schemas.openxmlformats.org/drawingml/2006/main" noChangeArrowheads="1"/>
        </cdr:cNvSpPr>
      </cdr:nvSpPr>
      <cdr:spPr bwMode="auto">
        <a:xfrm xmlns:a="http://schemas.openxmlformats.org/drawingml/2006/main">
          <a:off x="3863010" y="101820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0.67904</cdr:x>
      <cdr:y>0.18047</cdr:y>
    </cdr:from>
    <cdr:to>
      <cdr:x>0.74077</cdr:x>
      <cdr:y>0.26102</cdr:y>
    </cdr:to>
    <cdr:sp macro="" textlink="">
      <cdr:nvSpPr>
        <cdr:cNvPr id="15" name="Text Box 2"/>
        <cdr:cNvSpPr txBox="1">
          <a:spLocks xmlns:a="http://schemas.openxmlformats.org/drawingml/2006/main" noChangeArrowheads="1"/>
        </cdr:cNvSpPr>
      </cdr:nvSpPr>
      <cdr:spPr bwMode="auto">
        <a:xfrm xmlns:a="http://schemas.openxmlformats.org/drawingml/2006/main">
          <a:off x="4008783" y="577574"/>
          <a:ext cx="364434"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0.72618</cdr:x>
      <cdr:y>0.23326</cdr:y>
    </cdr:from>
    <cdr:to>
      <cdr:x>0.76154</cdr:x>
      <cdr:y>0.31382</cdr:y>
    </cdr:to>
    <cdr:sp macro="" textlink="">
      <cdr:nvSpPr>
        <cdr:cNvPr id="17" name="Text Box 2"/>
        <cdr:cNvSpPr txBox="1">
          <a:spLocks xmlns:a="http://schemas.openxmlformats.org/drawingml/2006/main" noChangeArrowheads="1"/>
        </cdr:cNvSpPr>
      </cdr:nvSpPr>
      <cdr:spPr bwMode="auto">
        <a:xfrm xmlns:a="http://schemas.openxmlformats.org/drawingml/2006/main">
          <a:off x="4287079" y="746537"/>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0.54941</cdr:x>
      <cdr:y>0.19289</cdr:y>
    </cdr:from>
    <cdr:to>
      <cdr:x>0.58757</cdr:x>
      <cdr:y>0.27345</cdr:y>
    </cdr:to>
    <cdr:sp macro="" textlink="">
      <cdr:nvSpPr>
        <cdr:cNvPr id="459712490" name="Text Box 2"/>
        <cdr:cNvSpPr txBox="1">
          <a:spLocks xmlns:a="http://schemas.openxmlformats.org/drawingml/2006/main" noChangeArrowheads="1"/>
        </cdr:cNvSpPr>
      </cdr:nvSpPr>
      <cdr:spPr bwMode="auto">
        <a:xfrm xmlns:a="http://schemas.openxmlformats.org/drawingml/2006/main">
          <a:off x="3243473" y="617330"/>
          <a:ext cx="225284"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0.83</cdr:x>
      <cdr:y>0.35956</cdr:y>
    </cdr:from>
    <cdr:to>
      <cdr:x>0.86536</cdr:x>
      <cdr:y>0.44011</cdr:y>
    </cdr:to>
    <cdr:sp macro="" textlink="">
      <cdr:nvSpPr>
        <cdr:cNvPr id="20" name="Text Box 2"/>
        <cdr:cNvSpPr txBox="1">
          <a:spLocks xmlns:a="http://schemas.openxmlformats.org/drawingml/2006/main" noChangeArrowheads="1"/>
        </cdr:cNvSpPr>
      </cdr:nvSpPr>
      <cdr:spPr bwMode="auto">
        <a:xfrm xmlns:a="http://schemas.openxmlformats.org/drawingml/2006/main">
          <a:off x="4899992" y="1150731"/>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0.85301</cdr:x>
      <cdr:y>0.20014</cdr:y>
    </cdr:from>
    <cdr:to>
      <cdr:x>0.91586</cdr:x>
      <cdr:y>0.28069</cdr:y>
    </cdr:to>
    <cdr:sp macro="" textlink="">
      <cdr:nvSpPr>
        <cdr:cNvPr id="21" name="Text Box 2"/>
        <cdr:cNvSpPr txBox="1">
          <a:spLocks xmlns:a="http://schemas.openxmlformats.org/drawingml/2006/main" noChangeArrowheads="1"/>
        </cdr:cNvSpPr>
      </cdr:nvSpPr>
      <cdr:spPr bwMode="auto">
        <a:xfrm xmlns:a="http://schemas.openxmlformats.org/drawingml/2006/main">
          <a:off x="5035827" y="640522"/>
          <a:ext cx="37106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0.8777</cdr:x>
      <cdr:y>0.36991</cdr:y>
    </cdr:from>
    <cdr:to>
      <cdr:x>0.91306</cdr:x>
      <cdr:y>0.45047</cdr:y>
    </cdr:to>
    <cdr:sp macro="" textlink="">
      <cdr:nvSpPr>
        <cdr:cNvPr id="22" name="Text Box 2"/>
        <cdr:cNvSpPr txBox="1">
          <a:spLocks xmlns:a="http://schemas.openxmlformats.org/drawingml/2006/main" noChangeArrowheads="1"/>
        </cdr:cNvSpPr>
      </cdr:nvSpPr>
      <cdr:spPr bwMode="auto">
        <a:xfrm xmlns:a="http://schemas.openxmlformats.org/drawingml/2006/main">
          <a:off x="5181601" y="1183862"/>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0.89689</cdr:x>
      <cdr:y>0.4403</cdr:y>
    </cdr:from>
    <cdr:to>
      <cdr:x>0.98377</cdr:x>
      <cdr:y>0.52086</cdr:y>
    </cdr:to>
    <cdr:sp macro="" textlink="">
      <cdr:nvSpPr>
        <cdr:cNvPr id="23" name="Text Box 2"/>
        <cdr:cNvSpPr txBox="1">
          <a:spLocks xmlns:a="http://schemas.openxmlformats.org/drawingml/2006/main" noChangeArrowheads="1"/>
        </cdr:cNvSpPr>
      </cdr:nvSpPr>
      <cdr:spPr bwMode="auto">
        <a:xfrm xmlns:a="http://schemas.openxmlformats.org/drawingml/2006/main">
          <a:off x="5294878" y="1409147"/>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0.92372</cdr:x>
      <cdr:y>0.35852</cdr:y>
    </cdr:from>
    <cdr:to>
      <cdr:x>0.95908</cdr:x>
      <cdr:y>0.43908</cdr:y>
    </cdr:to>
    <cdr:sp macro="" textlink="">
      <cdr:nvSpPr>
        <cdr:cNvPr id="24" name="Text Box 2"/>
        <cdr:cNvSpPr txBox="1">
          <a:spLocks xmlns:a="http://schemas.openxmlformats.org/drawingml/2006/main" noChangeArrowheads="1"/>
        </cdr:cNvSpPr>
      </cdr:nvSpPr>
      <cdr:spPr bwMode="auto">
        <a:xfrm xmlns:a="http://schemas.openxmlformats.org/drawingml/2006/main">
          <a:off x="5453271" y="1147416"/>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0.7218</cdr:x>
      <cdr:y>0.37819</cdr:y>
    </cdr:from>
    <cdr:to>
      <cdr:x>0.80868</cdr:x>
      <cdr:y>0.45875</cdr:y>
    </cdr:to>
    <cdr:sp macro="" textlink="">
      <cdr:nvSpPr>
        <cdr:cNvPr id="25" name="Text Box 2"/>
        <cdr:cNvSpPr txBox="1">
          <a:spLocks xmlns:a="http://schemas.openxmlformats.org/drawingml/2006/main" noChangeArrowheads="1"/>
        </cdr:cNvSpPr>
      </cdr:nvSpPr>
      <cdr:spPr bwMode="auto">
        <a:xfrm xmlns:a="http://schemas.openxmlformats.org/drawingml/2006/main">
          <a:off x="4261208" y="1210364"/>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0.53762</cdr:x>
      <cdr:y>0.27122</cdr:y>
    </cdr:from>
    <cdr:to>
      <cdr:x>0.60104</cdr:x>
      <cdr:y>0.31366</cdr:y>
    </cdr:to>
    <cdr:sp macro="" textlink="">
      <cdr:nvSpPr>
        <cdr:cNvPr id="26" name="Left Brace 25"/>
        <cdr:cNvSpPr/>
      </cdr:nvSpPr>
      <cdr:spPr>
        <a:xfrm xmlns:a="http://schemas.openxmlformats.org/drawingml/2006/main" rot="5400000">
          <a:off x="3293166" y="748747"/>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0.71496</cdr:x>
      <cdr:y>0.31574</cdr:y>
    </cdr:from>
    <cdr:to>
      <cdr:x>0.77837</cdr:x>
      <cdr:y>0.35818</cdr:y>
    </cdr:to>
    <cdr:sp macro="" textlink="">
      <cdr:nvSpPr>
        <cdr:cNvPr id="27" name="Left Brace 26"/>
        <cdr:cNvSpPr/>
      </cdr:nvSpPr>
      <cdr:spPr>
        <a:xfrm xmlns:a="http://schemas.openxmlformats.org/drawingml/2006/main" rot="5400000">
          <a:off x="4340089" y="891206"/>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0.88893</cdr:x>
      <cdr:y>0.38199</cdr:y>
    </cdr:from>
    <cdr:to>
      <cdr:x>0.95234</cdr:x>
      <cdr:y>0.42443</cdr:y>
    </cdr:to>
    <cdr:sp macro="" textlink="">
      <cdr:nvSpPr>
        <cdr:cNvPr id="28" name="Left Brace 27"/>
        <cdr:cNvSpPr/>
      </cdr:nvSpPr>
      <cdr:spPr>
        <a:xfrm xmlns:a="http://schemas.openxmlformats.org/drawingml/2006/main" rot="5400000">
          <a:off x="5367134" y="1103240"/>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0.90183</cdr:x>
      <cdr:y>0.29952</cdr:y>
    </cdr:from>
    <cdr:to>
      <cdr:x>0.93719</cdr:x>
      <cdr:y>0.38007</cdr:y>
    </cdr:to>
    <cdr:sp macro="" textlink="">
      <cdr:nvSpPr>
        <cdr:cNvPr id="29" name="Text Box 2"/>
        <cdr:cNvSpPr txBox="1">
          <a:spLocks xmlns:a="http://schemas.openxmlformats.org/drawingml/2006/main" noChangeArrowheads="1"/>
        </cdr:cNvSpPr>
      </cdr:nvSpPr>
      <cdr:spPr bwMode="auto">
        <a:xfrm xmlns:a="http://schemas.openxmlformats.org/drawingml/2006/main">
          <a:off x="5324062" y="958572"/>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4.xml><?xml version="1.0" encoding="utf-8"?>
<c:userShapes xmlns:c="http://schemas.openxmlformats.org/drawingml/2006/chart">
  <cdr:relSizeAnchor xmlns:cdr="http://schemas.openxmlformats.org/drawingml/2006/chartDrawing">
    <cdr:from>
      <cdr:x>0.2819</cdr:x>
      <cdr:y>0.08213</cdr:y>
    </cdr:from>
    <cdr:to>
      <cdr:x>0.64602</cdr:x>
      <cdr:y>0.18944</cdr:y>
    </cdr:to>
    <cdr:sp macro="" textlink="">
      <cdr:nvSpPr>
        <cdr:cNvPr id="1898945953" name="Left Brace 1"/>
        <cdr:cNvSpPr/>
      </cdr:nvSpPr>
      <cdr:spPr>
        <a:xfrm xmlns:a="http://schemas.openxmlformats.org/drawingml/2006/main" rot="5400000">
          <a:off x="2576444" y="-643835"/>
          <a:ext cx="343450" cy="215679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0.44328</cdr:x>
      <cdr:y>0.01001</cdr:y>
    </cdr:from>
    <cdr:to>
      <cdr:x>0.4868</cdr:x>
      <cdr:y>0.09056</cdr:y>
    </cdr:to>
    <cdr:sp macro="" textlink="">
      <cdr:nvSpPr>
        <cdr:cNvPr id="1724241690" name="Text Box 2"/>
        <cdr:cNvSpPr txBox="1">
          <a:spLocks xmlns:a="http://schemas.openxmlformats.org/drawingml/2006/main" noChangeArrowheads="1"/>
        </cdr:cNvSpPr>
      </cdr:nvSpPr>
      <cdr:spPr bwMode="auto">
        <a:xfrm xmlns:a="http://schemas.openxmlformats.org/drawingml/2006/main">
          <a:off x="2625669" y="32026"/>
          <a:ext cx="25781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0.14013</cdr:x>
      <cdr:y>0.06384</cdr:y>
    </cdr:from>
    <cdr:to>
      <cdr:x>0.22671</cdr:x>
      <cdr:y>0.14439</cdr:y>
    </cdr:to>
    <cdr:sp macro="" textlink="">
      <cdr:nvSpPr>
        <cdr:cNvPr id="422996140" name="Text Box 2"/>
        <cdr:cNvSpPr txBox="1">
          <a:spLocks xmlns:a="http://schemas.openxmlformats.org/drawingml/2006/main" noChangeArrowheads="1"/>
        </cdr:cNvSpPr>
      </cdr:nvSpPr>
      <cdr:spPr bwMode="auto">
        <a:xfrm xmlns:a="http://schemas.openxmlformats.org/drawingml/2006/main">
          <a:off x="830000" y="204305"/>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0.29506</cdr:x>
      <cdr:y>0.32264</cdr:y>
    </cdr:from>
    <cdr:to>
      <cdr:x>0.34399</cdr:x>
      <cdr:y>0.40319</cdr:y>
    </cdr:to>
    <cdr:sp macro="" textlink="">
      <cdr:nvSpPr>
        <cdr:cNvPr id="1523960706" name="Text Box 2"/>
        <cdr:cNvSpPr txBox="1">
          <a:spLocks xmlns:a="http://schemas.openxmlformats.org/drawingml/2006/main" noChangeArrowheads="1"/>
        </cdr:cNvSpPr>
      </cdr:nvSpPr>
      <cdr:spPr bwMode="auto">
        <a:xfrm xmlns:a="http://schemas.openxmlformats.org/drawingml/2006/main">
          <a:off x="1747715" y="1032566"/>
          <a:ext cx="28980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0.43769</cdr:x>
      <cdr:y>0.54624</cdr:y>
    </cdr:from>
    <cdr:to>
      <cdr:x>0.50172</cdr:x>
      <cdr:y>0.62679</cdr:y>
    </cdr:to>
    <cdr:sp macro="" textlink="">
      <cdr:nvSpPr>
        <cdr:cNvPr id="1018948254" name="Text Box 2"/>
        <cdr:cNvSpPr txBox="1">
          <a:spLocks xmlns:a="http://schemas.openxmlformats.org/drawingml/2006/main" noChangeArrowheads="1"/>
        </cdr:cNvSpPr>
      </cdr:nvSpPr>
      <cdr:spPr bwMode="auto">
        <a:xfrm xmlns:a="http://schemas.openxmlformats.org/drawingml/2006/main">
          <a:off x="2592539" y="1748184"/>
          <a:ext cx="37926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0.58759</cdr:x>
      <cdr:y>0.27088</cdr:y>
    </cdr:from>
    <cdr:to>
      <cdr:x>0.64938</cdr:x>
      <cdr:y>0.35143</cdr:y>
    </cdr:to>
    <cdr:sp macro="" textlink="">
      <cdr:nvSpPr>
        <cdr:cNvPr id="1980298091" name="Text Box 2"/>
        <cdr:cNvSpPr txBox="1">
          <a:spLocks xmlns:a="http://schemas.openxmlformats.org/drawingml/2006/main" noChangeArrowheads="1"/>
        </cdr:cNvSpPr>
      </cdr:nvSpPr>
      <cdr:spPr bwMode="auto">
        <a:xfrm xmlns:a="http://schemas.openxmlformats.org/drawingml/2006/main">
          <a:off x="3480460" y="866924"/>
          <a:ext cx="365983" cy="2577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0.72854</cdr:x>
      <cdr:y>0.14976</cdr:y>
    </cdr:from>
    <cdr:to>
      <cdr:x>0.81214</cdr:x>
      <cdr:y>0.23031</cdr:y>
    </cdr:to>
    <cdr:sp macro="" textlink="">
      <cdr:nvSpPr>
        <cdr:cNvPr id="1732913660" name="Text Box 2"/>
        <cdr:cNvSpPr txBox="1">
          <a:spLocks xmlns:a="http://schemas.openxmlformats.org/drawingml/2006/main" noChangeArrowheads="1"/>
        </cdr:cNvSpPr>
      </cdr:nvSpPr>
      <cdr:spPr bwMode="auto">
        <a:xfrm xmlns:a="http://schemas.openxmlformats.org/drawingml/2006/main">
          <a:off x="4315321" y="479289"/>
          <a:ext cx="49521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0.87788</cdr:x>
      <cdr:y>0.29883</cdr:y>
    </cdr:from>
    <cdr:to>
      <cdr:x>0.9419</cdr:x>
      <cdr:y>0.37938</cdr:y>
    </cdr:to>
    <cdr:sp macro="" textlink="">
      <cdr:nvSpPr>
        <cdr:cNvPr id="284623762" name="Text Box 2"/>
        <cdr:cNvSpPr txBox="1">
          <a:spLocks xmlns:a="http://schemas.openxmlformats.org/drawingml/2006/main" noChangeArrowheads="1"/>
        </cdr:cNvSpPr>
      </cdr:nvSpPr>
      <cdr:spPr bwMode="auto">
        <a:xfrm xmlns:a="http://schemas.openxmlformats.org/drawingml/2006/main">
          <a:off x="5199904" y="956367"/>
          <a:ext cx="37926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0.29598</cdr:x>
      <cdr:y>0.3068</cdr:y>
    </cdr:from>
    <cdr:to>
      <cdr:x>0.66506</cdr:x>
      <cdr:y>0.38187</cdr:y>
    </cdr:to>
    <cdr:sp macro="" textlink="">
      <cdr:nvSpPr>
        <cdr:cNvPr id="1141540723" name="Left Brace 1"/>
        <cdr:cNvSpPr/>
      </cdr:nvSpPr>
      <cdr:spPr>
        <a:xfrm xmlns:a="http://schemas.openxmlformats.org/drawingml/2006/main" rot="5400000">
          <a:off x="2516200" y="89526"/>
          <a:ext cx="240266" cy="20249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0.85581</cdr:x>
      <cdr:y>0.32969</cdr:y>
    </cdr:from>
    <cdr:to>
      <cdr:x>0.96474</cdr:x>
      <cdr:y>0.39835</cdr:y>
    </cdr:to>
    <cdr:sp macro="" textlink="">
      <cdr:nvSpPr>
        <cdr:cNvPr id="1358136021" name="Left Brace 2"/>
        <cdr:cNvSpPr/>
      </cdr:nvSpPr>
      <cdr:spPr>
        <a:xfrm xmlns:a="http://schemas.openxmlformats.org/drawingml/2006/main" rot="5400000">
          <a:off x="4884263" y="866182"/>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0.45739</cdr:x>
      <cdr:y>0.23467</cdr:y>
    </cdr:from>
    <cdr:to>
      <cdr:x>0.50437</cdr:x>
      <cdr:y>0.31522</cdr:y>
    </cdr:to>
    <cdr:sp macro="" textlink="">
      <cdr:nvSpPr>
        <cdr:cNvPr id="292854938" name="Text Box 1"/>
        <cdr:cNvSpPr txBox="1">
          <a:spLocks xmlns:a="http://schemas.openxmlformats.org/drawingml/2006/main" noChangeArrowheads="1"/>
        </cdr:cNvSpPr>
      </cdr:nvSpPr>
      <cdr:spPr bwMode="auto">
        <a:xfrm xmlns:a="http://schemas.openxmlformats.org/drawingml/2006/main">
          <a:off x="2509418" y="751052"/>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0.88741</cdr:x>
      <cdr:y>0.26581</cdr:y>
    </cdr:from>
    <cdr:to>
      <cdr:x>0.9344</cdr:x>
      <cdr:y>0.34636</cdr:y>
    </cdr:to>
    <cdr:sp macro="" textlink="">
      <cdr:nvSpPr>
        <cdr:cNvPr id="465686411" name="Text Box 1"/>
        <cdr:cNvSpPr txBox="1">
          <a:spLocks xmlns:a="http://schemas.openxmlformats.org/drawingml/2006/main" noChangeArrowheads="1"/>
        </cdr:cNvSpPr>
      </cdr:nvSpPr>
      <cdr:spPr bwMode="auto">
        <a:xfrm xmlns:a="http://schemas.openxmlformats.org/drawingml/2006/main">
          <a:off x="4868686" y="850698"/>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0.7057</cdr:x>
      <cdr:y>0.2317</cdr:y>
    </cdr:from>
    <cdr:to>
      <cdr:x>0.81464</cdr:x>
      <cdr:y>0.30037</cdr:y>
    </cdr:to>
    <cdr:sp macro="" textlink="">
      <cdr:nvSpPr>
        <cdr:cNvPr id="986171241" name="Left Brace 5"/>
        <cdr:cNvSpPr/>
      </cdr:nvSpPr>
      <cdr:spPr>
        <a:xfrm xmlns:a="http://schemas.openxmlformats.org/drawingml/2006/main" rot="5400000">
          <a:off x="4060717" y="552591"/>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0.14694</cdr:x>
      <cdr:y>0.21339</cdr:y>
    </cdr:from>
    <cdr:to>
      <cdr:x>0.25588</cdr:x>
      <cdr:y>0.28205</cdr:y>
    </cdr:to>
    <cdr:sp macro="" textlink="">
      <cdr:nvSpPr>
        <cdr:cNvPr id="1716781785" name="Left Brace 6"/>
        <cdr:cNvSpPr/>
      </cdr:nvSpPr>
      <cdr:spPr>
        <a:xfrm xmlns:a="http://schemas.openxmlformats.org/drawingml/2006/main" rot="5400000">
          <a:off x="995133" y="493977"/>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0.17427</cdr:x>
      <cdr:y>0.13119</cdr:y>
    </cdr:from>
    <cdr:to>
      <cdr:x>0.23878</cdr:x>
      <cdr:y>0.21174</cdr:y>
    </cdr:to>
    <cdr:sp macro="" textlink="">
      <cdr:nvSpPr>
        <cdr:cNvPr id="369800232" name="Text Box 1"/>
        <cdr:cNvSpPr txBox="1">
          <a:spLocks xmlns:a="http://schemas.openxmlformats.org/drawingml/2006/main" noChangeArrowheads="1"/>
        </cdr:cNvSpPr>
      </cdr:nvSpPr>
      <cdr:spPr bwMode="auto">
        <a:xfrm xmlns:a="http://schemas.openxmlformats.org/drawingml/2006/main">
          <a:off x="956110" y="419876"/>
          <a:ext cx="35394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0.7373</cdr:x>
      <cdr:y>0.15409</cdr:y>
    </cdr:from>
    <cdr:to>
      <cdr:x>0.78429</cdr:x>
      <cdr:y>0.23464</cdr:y>
    </cdr:to>
    <cdr:sp macro="" textlink="">
      <cdr:nvSpPr>
        <cdr:cNvPr id="890749265" name="Text Box 1"/>
        <cdr:cNvSpPr txBox="1">
          <a:spLocks xmlns:a="http://schemas.openxmlformats.org/drawingml/2006/main" noChangeArrowheads="1"/>
        </cdr:cNvSpPr>
      </cdr:nvSpPr>
      <cdr:spPr bwMode="auto">
        <a:xfrm xmlns:a="http://schemas.openxmlformats.org/drawingml/2006/main">
          <a:off x="4045141" y="493145"/>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0.72128</cdr:x>
      <cdr:y>0.242</cdr:y>
    </cdr:from>
    <cdr:to>
      <cdr:x>0.76826</cdr:x>
      <cdr:y>0.32255</cdr:y>
    </cdr:to>
    <cdr:sp macro="" textlink="">
      <cdr:nvSpPr>
        <cdr:cNvPr id="2045786467" name="Text Box 1"/>
        <cdr:cNvSpPr txBox="1">
          <a:spLocks xmlns:a="http://schemas.openxmlformats.org/drawingml/2006/main" noChangeArrowheads="1"/>
        </cdr:cNvSpPr>
      </cdr:nvSpPr>
      <cdr:spPr bwMode="auto">
        <a:xfrm xmlns:a="http://schemas.openxmlformats.org/drawingml/2006/main">
          <a:off x="3957218" y="774499"/>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0.43647</cdr:x>
      <cdr:y>0.48445</cdr:y>
    </cdr:from>
    <cdr:to>
      <cdr:x>0.54541</cdr:x>
      <cdr:y>0.55312</cdr:y>
    </cdr:to>
    <cdr:sp macro="" textlink="">
      <cdr:nvSpPr>
        <cdr:cNvPr id="1375873372" name="Left Brace 10"/>
        <cdr:cNvSpPr/>
      </cdr:nvSpPr>
      <cdr:spPr>
        <a:xfrm xmlns:a="http://schemas.openxmlformats.org/drawingml/2006/main" rot="5400000">
          <a:off x="2583609" y="1361483"/>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0.467</cdr:x>
      <cdr:y>0.39951</cdr:y>
    </cdr:from>
    <cdr:to>
      <cdr:x>0.53686</cdr:x>
      <cdr:y>0.48006</cdr:y>
    </cdr:to>
    <cdr:sp macro="" textlink="">
      <cdr:nvSpPr>
        <cdr:cNvPr id="615299186" name="Text Box 1"/>
        <cdr:cNvSpPr txBox="1">
          <a:spLocks xmlns:a="http://schemas.openxmlformats.org/drawingml/2006/main" noChangeArrowheads="1"/>
        </cdr:cNvSpPr>
      </cdr:nvSpPr>
      <cdr:spPr bwMode="auto">
        <a:xfrm xmlns:a="http://schemas.openxmlformats.org/drawingml/2006/main">
          <a:off x="2562149" y="1278592"/>
          <a:ext cx="38327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0.14587</cdr:x>
      <cdr:y>0.11815</cdr:y>
    </cdr:from>
    <cdr:to>
      <cdr:x>0.40064</cdr:x>
      <cdr:y>0.17308</cdr:y>
    </cdr:to>
    <cdr:sp macro="" textlink="">
      <cdr:nvSpPr>
        <cdr:cNvPr id="605432209" name="Left Brace 12"/>
        <cdr:cNvSpPr/>
      </cdr:nvSpPr>
      <cdr:spPr>
        <a:xfrm xmlns:a="http://schemas.openxmlformats.org/drawingml/2006/main" rot="5400000">
          <a:off x="1411300" y="-232858"/>
          <a:ext cx="175787" cy="139776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0.58333</cdr:x>
      <cdr:y>0.1328</cdr:y>
    </cdr:from>
    <cdr:to>
      <cdr:x>0.97276</cdr:x>
      <cdr:y>0.19505</cdr:y>
    </cdr:to>
    <cdr:sp macro="" textlink="">
      <cdr:nvSpPr>
        <cdr:cNvPr id="1990241454" name="Left Brace 13"/>
        <cdr:cNvSpPr/>
      </cdr:nvSpPr>
      <cdr:spPr>
        <a:xfrm xmlns:a="http://schemas.openxmlformats.org/drawingml/2006/main" rot="5400000">
          <a:off x="4169050" y="-543627"/>
          <a:ext cx="199230" cy="213653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0.7544</cdr:x>
      <cdr:y>0.04878</cdr:y>
    </cdr:from>
    <cdr:to>
      <cdr:x>0.80138</cdr:x>
      <cdr:y>0.12933</cdr:y>
    </cdr:to>
    <cdr:sp macro="" textlink="">
      <cdr:nvSpPr>
        <cdr:cNvPr id="1434154016" name="Text Box 1"/>
        <cdr:cNvSpPr txBox="1">
          <a:spLocks xmlns:a="http://schemas.openxmlformats.org/drawingml/2006/main" noChangeArrowheads="1"/>
        </cdr:cNvSpPr>
      </cdr:nvSpPr>
      <cdr:spPr bwMode="auto">
        <a:xfrm xmlns:a="http://schemas.openxmlformats.org/drawingml/2006/main">
          <a:off x="4138925" y="156106"/>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0.25109</cdr:x>
      <cdr:y>0.04121</cdr:y>
    </cdr:from>
    <cdr:to>
      <cdr:x>0.29808</cdr:x>
      <cdr:y>0.12176</cdr:y>
    </cdr:to>
    <cdr:sp macro="" textlink="">
      <cdr:nvSpPr>
        <cdr:cNvPr id="16" name="Text Box 1"/>
        <cdr:cNvSpPr txBox="1">
          <a:spLocks xmlns:a="http://schemas.openxmlformats.org/drawingml/2006/main" noChangeArrowheads="1"/>
        </cdr:cNvSpPr>
      </cdr:nvSpPr>
      <cdr:spPr bwMode="auto">
        <a:xfrm xmlns:a="http://schemas.openxmlformats.org/drawingml/2006/main">
          <a:off x="1377588" y="131884"/>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6.xml><?xml version="1.0" encoding="utf-8"?>
<c:userShapes xmlns:c="http://schemas.openxmlformats.org/drawingml/2006/chart">
  <cdr:relSizeAnchor xmlns:cdr="http://schemas.openxmlformats.org/drawingml/2006/chartDrawing">
    <cdr:from>
      <cdr:x>0.27724</cdr:x>
      <cdr:y>0.0974</cdr:y>
    </cdr:from>
    <cdr:to>
      <cdr:x>0.96314</cdr:x>
      <cdr:y>0.16209</cdr:y>
    </cdr:to>
    <cdr:sp macro="" textlink="">
      <cdr:nvSpPr>
        <cdr:cNvPr id="1864135866" name="Left Brace 1"/>
        <cdr:cNvSpPr/>
      </cdr:nvSpPr>
      <cdr:spPr>
        <a:xfrm xmlns:a="http://schemas.openxmlformats.org/drawingml/2006/main" rot="5400000">
          <a:off x="3299106" y="-1466324"/>
          <a:ext cx="207032" cy="376310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0.59646</cdr:x>
      <cdr:y>0.02802</cdr:y>
    </cdr:from>
    <cdr:to>
      <cdr:x>0.64344</cdr:x>
      <cdr:y>0.10857</cdr:y>
    </cdr:to>
    <cdr:sp macro="" textlink="">
      <cdr:nvSpPr>
        <cdr:cNvPr id="1202902420" name="Text Box 1"/>
        <cdr:cNvSpPr txBox="1">
          <a:spLocks xmlns:a="http://schemas.openxmlformats.org/drawingml/2006/main" noChangeArrowheads="1"/>
        </cdr:cNvSpPr>
      </cdr:nvSpPr>
      <cdr:spPr bwMode="auto">
        <a:xfrm xmlns:a="http://schemas.openxmlformats.org/drawingml/2006/main">
          <a:off x="3272401" y="89661"/>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0.14507</cdr:x>
      <cdr:y>0.62509</cdr:y>
    </cdr:from>
    <cdr:to>
      <cdr:x>0.21955</cdr:x>
      <cdr:y>0.70564</cdr:y>
    </cdr:to>
    <cdr:sp macro="" textlink="">
      <cdr:nvSpPr>
        <cdr:cNvPr id="101594225" name="Text Box 1"/>
        <cdr:cNvSpPr txBox="1">
          <a:spLocks xmlns:a="http://schemas.openxmlformats.org/drawingml/2006/main" noChangeArrowheads="1"/>
        </cdr:cNvSpPr>
      </cdr:nvSpPr>
      <cdr:spPr bwMode="auto">
        <a:xfrm xmlns:a="http://schemas.openxmlformats.org/drawingml/2006/main">
          <a:off x="795900" y="2000523"/>
          <a:ext cx="408645"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0.43727</cdr:x>
      <cdr:y>0.2249</cdr:y>
    </cdr:from>
    <cdr:to>
      <cdr:x>0.50481</cdr:x>
      <cdr:y>0.30545</cdr:y>
    </cdr:to>
    <cdr:sp macro="" textlink="">
      <cdr:nvSpPr>
        <cdr:cNvPr id="1327496166" name="Text Box 1"/>
        <cdr:cNvSpPr txBox="1">
          <a:spLocks xmlns:a="http://schemas.openxmlformats.org/drawingml/2006/main" noChangeArrowheads="1"/>
        </cdr:cNvSpPr>
      </cdr:nvSpPr>
      <cdr:spPr bwMode="auto">
        <a:xfrm xmlns:a="http://schemas.openxmlformats.org/drawingml/2006/main">
          <a:off x="2399031" y="719777"/>
          <a:ext cx="370545"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0.13194</cdr:x>
      <cdr:y>0.42524</cdr:y>
    </cdr:from>
    <cdr:to>
      <cdr:x>0.36538</cdr:x>
      <cdr:y>0.47253</cdr:y>
    </cdr:to>
    <cdr:sp macro="" textlink="">
      <cdr:nvSpPr>
        <cdr:cNvPr id="846308913" name="Left Brace 5"/>
        <cdr:cNvSpPr/>
      </cdr:nvSpPr>
      <cdr:spPr>
        <a:xfrm xmlns:a="http://schemas.openxmlformats.org/drawingml/2006/main" rot="5400000">
          <a:off x="1288596" y="796233"/>
          <a:ext cx="151351" cy="1280746"/>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0.2268</cdr:x>
      <cdr:y>0.3586</cdr:y>
    </cdr:from>
    <cdr:to>
      <cdr:x>0.27378</cdr:x>
      <cdr:y>0.43915</cdr:y>
    </cdr:to>
    <cdr:sp macro="" textlink="">
      <cdr:nvSpPr>
        <cdr:cNvPr id="1245838662" name="Text Box 1"/>
        <cdr:cNvSpPr txBox="1">
          <a:spLocks xmlns:a="http://schemas.openxmlformats.org/drawingml/2006/main" noChangeArrowheads="1"/>
        </cdr:cNvSpPr>
      </cdr:nvSpPr>
      <cdr:spPr bwMode="auto">
        <a:xfrm xmlns:a="http://schemas.openxmlformats.org/drawingml/2006/main">
          <a:off x="1244308" y="1147669"/>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0.56998</cdr:x>
      <cdr:y>0.41791</cdr:y>
    </cdr:from>
    <cdr:to>
      <cdr:x>0.9391</cdr:x>
      <cdr:y>0.4533</cdr:y>
    </cdr:to>
    <cdr:sp macro="" textlink="">
      <cdr:nvSpPr>
        <cdr:cNvPr id="1475554393" name="Left Brace 7"/>
        <cdr:cNvSpPr/>
      </cdr:nvSpPr>
      <cdr:spPr>
        <a:xfrm xmlns:a="http://schemas.openxmlformats.org/drawingml/2006/main" rot="5400000">
          <a:off x="4083087" y="381530"/>
          <a:ext cx="113248" cy="202516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0.73214</cdr:x>
      <cdr:y>0.34303</cdr:y>
    </cdr:from>
    <cdr:to>
      <cdr:x>0.77912</cdr:x>
      <cdr:y>0.42358</cdr:y>
    </cdr:to>
    <cdr:sp macro="" textlink="">
      <cdr:nvSpPr>
        <cdr:cNvPr id="1101278346" name="Text Box 1"/>
        <cdr:cNvSpPr txBox="1">
          <a:spLocks xmlns:a="http://schemas.openxmlformats.org/drawingml/2006/main" noChangeArrowheads="1"/>
        </cdr:cNvSpPr>
      </cdr:nvSpPr>
      <cdr:spPr bwMode="auto">
        <a:xfrm xmlns:a="http://schemas.openxmlformats.org/drawingml/2006/main">
          <a:off x="4016816" y="1097846"/>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F5EB40-B130-473B-8993-CA51F3C5995E}">
  <we:reference id="wa200001361" version="2.129.3.0" store="en-US" storeType="OMEX"/>
  <we:alternateReferences>
    <we:reference id="wa200001361" version="2.129.3.0" store="en-US" storeType="OMEX"/>
  </we:alternateReferences>
  <we:properties>
    <we:property name="paperpal-document-id" value="&quot;2764f057-6ea6-472e-b9a3-62cc78dfa0c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98</TotalTime>
  <Pages>26</Pages>
  <Words>6142</Words>
  <Characters>35015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MRT</cp:lastModifiedBy>
  <cp:revision>7</cp:revision>
  <dcterms:created xsi:type="dcterms:W3CDTF">2025-08-12T21:11:00Z</dcterms:created>
  <dcterms:modified xsi:type="dcterms:W3CDTF">2025-08-13T09:29:00Z</dcterms:modified>
</cp:coreProperties>
</file>