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D45CF" w14:textId="77777777" w:rsidR="009B2EF9" w:rsidRDefault="009B2EF9" w:rsidP="009B2EF9">
      <w:pPr>
        <w:spacing w:line="360" w:lineRule="auto"/>
        <w:jc w:val="both"/>
        <w:rPr>
          <w:rFonts w:cstheme="minorHAnsi"/>
          <w:b/>
          <w:sz w:val="24"/>
          <w:szCs w:val="24"/>
        </w:rPr>
      </w:pPr>
      <w:r w:rsidRPr="00365EEF">
        <w:rPr>
          <w:rFonts w:cstheme="minorHAnsi"/>
          <w:b/>
          <w:sz w:val="24"/>
          <w:szCs w:val="24"/>
        </w:rPr>
        <w:t xml:space="preserve">Antifungal activity of </w:t>
      </w:r>
      <w:r w:rsidRPr="00365EEF">
        <w:rPr>
          <w:rFonts w:cstheme="minorHAnsi"/>
          <w:b/>
          <w:i/>
          <w:sz w:val="24"/>
          <w:szCs w:val="24"/>
        </w:rPr>
        <w:t>Ocimum basilicum</w:t>
      </w:r>
      <w:r w:rsidRPr="00365EEF">
        <w:rPr>
          <w:rFonts w:cstheme="minorHAnsi"/>
          <w:b/>
          <w:sz w:val="24"/>
          <w:szCs w:val="24"/>
        </w:rPr>
        <w:t xml:space="preserve"> and </w:t>
      </w:r>
      <w:r w:rsidRPr="00365EEF">
        <w:rPr>
          <w:rFonts w:cstheme="minorHAnsi"/>
          <w:b/>
          <w:i/>
          <w:sz w:val="24"/>
          <w:szCs w:val="24"/>
        </w:rPr>
        <w:t>Ocimum gratissimum</w:t>
      </w:r>
      <w:r w:rsidRPr="00365EEF">
        <w:rPr>
          <w:rFonts w:cstheme="minorHAnsi"/>
          <w:b/>
          <w:sz w:val="24"/>
          <w:szCs w:val="24"/>
        </w:rPr>
        <w:t xml:space="preserve"> essential oils and their emulsions against selected </w:t>
      </w:r>
      <w:r w:rsidRPr="00365EEF">
        <w:rPr>
          <w:rFonts w:cstheme="minorHAnsi"/>
          <w:b/>
          <w:i/>
          <w:sz w:val="24"/>
          <w:szCs w:val="24"/>
        </w:rPr>
        <w:t>Trichophyton</w:t>
      </w:r>
      <w:r w:rsidRPr="00365EEF">
        <w:rPr>
          <w:rFonts w:cstheme="minorHAnsi"/>
          <w:b/>
          <w:sz w:val="24"/>
          <w:szCs w:val="24"/>
        </w:rPr>
        <w:t xml:space="preserve"> species</w:t>
      </w:r>
    </w:p>
    <w:p w14:paraId="5D958679" w14:textId="77777777" w:rsidR="009E1332" w:rsidRDefault="009E1332" w:rsidP="009B2EF9">
      <w:pPr>
        <w:spacing w:line="360" w:lineRule="auto"/>
        <w:jc w:val="both"/>
        <w:rPr>
          <w:rFonts w:cstheme="minorHAnsi"/>
          <w:b/>
          <w:sz w:val="24"/>
          <w:szCs w:val="24"/>
        </w:rPr>
      </w:pPr>
    </w:p>
    <w:p w14:paraId="69922B4B" w14:textId="77777777" w:rsidR="009E1332" w:rsidRDefault="009E1332" w:rsidP="009B2EF9">
      <w:pPr>
        <w:spacing w:line="360" w:lineRule="auto"/>
        <w:jc w:val="both"/>
        <w:rPr>
          <w:rFonts w:cstheme="minorHAnsi"/>
          <w:b/>
          <w:sz w:val="24"/>
          <w:szCs w:val="24"/>
        </w:rPr>
      </w:pPr>
    </w:p>
    <w:p w14:paraId="6605A07A" w14:textId="632A787E" w:rsidR="001836AF" w:rsidRDefault="002C75C3" w:rsidP="006F62DE">
      <w:pPr>
        <w:spacing w:line="360" w:lineRule="auto"/>
        <w:jc w:val="both"/>
        <w:rPr>
          <w:rFonts w:cstheme="minorHAnsi"/>
          <w:sz w:val="24"/>
          <w:szCs w:val="24"/>
          <w:lang w:bidi="en-US"/>
        </w:rPr>
      </w:pPr>
      <w:r w:rsidRPr="00365EEF">
        <w:rPr>
          <w:rFonts w:cstheme="minorHAnsi"/>
          <w:b/>
          <w:sz w:val="24"/>
          <w:szCs w:val="24"/>
          <w:lang w:val="en-US" w:bidi="en-US"/>
        </w:rPr>
        <w:t xml:space="preserve">Abstract: </w:t>
      </w:r>
      <w:r w:rsidRPr="00365EEF">
        <w:rPr>
          <w:rFonts w:cstheme="minorHAnsi"/>
          <w:sz w:val="24"/>
          <w:szCs w:val="24"/>
          <w:lang w:bidi="en-US"/>
        </w:rPr>
        <w:t>The outcome of antifungal treatments is hindered by various conditions, such as resistance and tolerance of certain fungal pathogens. Mycoses of nails and skin, which are primarily caused by dermatophytes, are the most common fungal infections, with </w:t>
      </w:r>
      <w:r w:rsidRPr="00365EEF">
        <w:rPr>
          <w:rFonts w:cstheme="minorHAnsi"/>
          <w:i/>
          <w:iCs/>
          <w:sz w:val="24"/>
          <w:szCs w:val="24"/>
          <w:lang w:bidi="en-US"/>
        </w:rPr>
        <w:t>Trichophyton rubrum</w:t>
      </w:r>
      <w:r w:rsidRPr="00365EEF">
        <w:rPr>
          <w:rFonts w:cstheme="minorHAnsi"/>
          <w:sz w:val="24"/>
          <w:szCs w:val="24"/>
          <w:lang w:bidi="en-US"/>
        </w:rPr>
        <w:t> being the most common dermatophytic pathogen, followed by </w:t>
      </w:r>
      <w:r w:rsidRPr="00365EEF">
        <w:rPr>
          <w:rFonts w:cstheme="minorHAnsi"/>
          <w:i/>
          <w:iCs/>
          <w:sz w:val="24"/>
          <w:szCs w:val="24"/>
          <w:lang w:bidi="en-US"/>
        </w:rPr>
        <w:t>Trichophyton interdigitale.</w:t>
      </w:r>
      <w:r w:rsidRPr="00365EEF">
        <w:rPr>
          <w:rFonts w:cstheme="minorHAnsi"/>
          <w:sz w:val="24"/>
          <w:szCs w:val="24"/>
          <w:lang w:bidi="en-US"/>
        </w:rPr>
        <w:t> Thus, the search for effective treatments against dermatophyte infections is valuable. This study is sought to investigate the antidermatophytic and antioxidant activities of essential oils and emulsions of the leaves and stems from </w:t>
      </w:r>
      <w:r w:rsidRPr="00365EEF">
        <w:rPr>
          <w:rFonts w:cstheme="minorHAnsi"/>
          <w:i/>
          <w:iCs/>
          <w:sz w:val="24"/>
          <w:szCs w:val="24"/>
          <w:lang w:bidi="en-US"/>
        </w:rPr>
        <w:t>Ocimum gratissimum</w:t>
      </w:r>
      <w:r w:rsidRPr="00365EEF">
        <w:rPr>
          <w:rFonts w:cstheme="minorHAnsi"/>
          <w:sz w:val="24"/>
          <w:szCs w:val="24"/>
          <w:lang w:bidi="en-US"/>
        </w:rPr>
        <w:t> and </w:t>
      </w:r>
      <w:r w:rsidRPr="00365EEF">
        <w:rPr>
          <w:rFonts w:cstheme="minorHAnsi"/>
          <w:i/>
          <w:iCs/>
          <w:sz w:val="24"/>
          <w:szCs w:val="24"/>
          <w:lang w:bidi="en-US"/>
        </w:rPr>
        <w:t>Ocimum basilicum</w:t>
      </w:r>
      <w:r w:rsidRPr="00365EEF">
        <w:rPr>
          <w:rFonts w:cstheme="minorHAnsi"/>
          <w:sz w:val="24"/>
          <w:szCs w:val="24"/>
          <w:lang w:bidi="en-US"/>
        </w:rPr>
        <w:t xml:space="preserve">. The plants’ essential oils, which were obtained by hydrodistillation using a Clevenger-type apparatus, were further analyzed by gas chromatography and gas chromatography coupled with spectrometry mass (GC/MS). </w:t>
      </w:r>
      <w:r w:rsidR="00CD3265" w:rsidRPr="00365EEF">
        <w:rPr>
          <w:rFonts w:cstheme="minorHAnsi"/>
          <w:sz w:val="24"/>
          <w:szCs w:val="24"/>
          <w:lang w:bidi="en-US"/>
        </w:rPr>
        <w:t xml:space="preserve">The </w:t>
      </w:r>
      <w:r w:rsidRPr="00365EEF">
        <w:rPr>
          <w:rFonts w:cstheme="minorHAnsi"/>
          <w:sz w:val="24"/>
          <w:szCs w:val="24"/>
          <w:lang w:bidi="en-US"/>
        </w:rPr>
        <w:t>emulsions were obtained by spontaneous emulsification using Tween 80 and their stabilities were evaluated using distilled water and methylene blue dye. The antidermatophytic effects of the essential oils were evaluated using an agar diffusion method and by determination of minimum inhibitory concentrations (MICs). The antioxidant activity was carried out by the 2,2-diphenyl-1-picrylhydrazyl (DPPH) colorimetric method. As a result, the GC/MS analysis of essential oil from </w:t>
      </w:r>
      <w:r w:rsidRPr="00365EEF">
        <w:rPr>
          <w:rFonts w:cstheme="minorHAnsi"/>
          <w:i/>
          <w:iCs/>
          <w:sz w:val="24"/>
          <w:szCs w:val="24"/>
          <w:lang w:bidi="en-US"/>
        </w:rPr>
        <w:t>O. gratissimum</w:t>
      </w:r>
      <w:r w:rsidRPr="00365EEF">
        <w:rPr>
          <w:rFonts w:cstheme="minorHAnsi"/>
          <w:sz w:val="24"/>
          <w:szCs w:val="24"/>
          <w:lang w:bidi="en-US"/>
        </w:rPr>
        <w:t> revealed the presence of γ-terpinene (33.73%), thymol (26.44%) and 1.8 cineol (16.65%), whereas the </w:t>
      </w:r>
      <w:r w:rsidRPr="00365EEF">
        <w:rPr>
          <w:rFonts w:cstheme="minorHAnsi"/>
          <w:i/>
          <w:iCs/>
          <w:sz w:val="24"/>
          <w:szCs w:val="24"/>
          <w:lang w:bidi="en-US"/>
        </w:rPr>
        <w:t>O. basilicum</w:t>
      </w:r>
      <w:r w:rsidRPr="00365EEF">
        <w:rPr>
          <w:rFonts w:cstheme="minorHAnsi"/>
          <w:sz w:val="24"/>
          <w:szCs w:val="24"/>
          <w:lang w:bidi="en-US"/>
        </w:rPr>
        <w:t>’s essential oil was dominated by linalool (55.32%), eucalyptol (16.78%) and eugenol (7.45%). Essential oils and emulsions from </w:t>
      </w:r>
      <w:r w:rsidRPr="00365EEF">
        <w:rPr>
          <w:rFonts w:cstheme="minorHAnsi"/>
          <w:i/>
          <w:iCs/>
          <w:sz w:val="24"/>
          <w:szCs w:val="24"/>
          <w:lang w:bidi="en-US"/>
        </w:rPr>
        <w:t>O. gratissimum</w:t>
      </w:r>
      <w:r w:rsidRPr="00365EEF">
        <w:rPr>
          <w:rFonts w:cstheme="minorHAnsi"/>
          <w:sz w:val="24"/>
          <w:szCs w:val="24"/>
          <w:lang w:bidi="en-US"/>
        </w:rPr>
        <w:t> (MICs : 1000 and 2000 ppm, respectively) and </w:t>
      </w:r>
      <w:r w:rsidRPr="00365EEF">
        <w:rPr>
          <w:rFonts w:cstheme="minorHAnsi"/>
          <w:i/>
          <w:iCs/>
          <w:sz w:val="24"/>
          <w:szCs w:val="24"/>
          <w:lang w:bidi="en-US"/>
        </w:rPr>
        <w:t>O. basilicum </w:t>
      </w:r>
      <w:r w:rsidRPr="00365EEF">
        <w:rPr>
          <w:rFonts w:cstheme="minorHAnsi"/>
          <w:sz w:val="24"/>
          <w:szCs w:val="24"/>
          <w:lang w:bidi="en-US"/>
        </w:rPr>
        <w:t>(MICs : 5750 and 6750 ppm, respectively) revealed fungicidal activity against </w:t>
      </w:r>
      <w:r w:rsidR="00265253" w:rsidRPr="00365EEF">
        <w:rPr>
          <w:rFonts w:cstheme="minorHAnsi"/>
          <w:i/>
          <w:iCs/>
          <w:sz w:val="24"/>
          <w:szCs w:val="24"/>
          <w:lang w:bidi="en-US"/>
        </w:rPr>
        <w:t xml:space="preserve">Trichophyton </w:t>
      </w:r>
      <w:r w:rsidRPr="00365EEF">
        <w:rPr>
          <w:rFonts w:cstheme="minorHAnsi"/>
          <w:i/>
          <w:iCs/>
          <w:sz w:val="24"/>
          <w:szCs w:val="24"/>
          <w:lang w:bidi="en-US"/>
        </w:rPr>
        <w:t>rubrum</w:t>
      </w:r>
      <w:r w:rsidRPr="00365EEF">
        <w:rPr>
          <w:rFonts w:cstheme="minorHAnsi"/>
          <w:iCs/>
          <w:sz w:val="24"/>
          <w:szCs w:val="24"/>
          <w:lang w:bidi="en-US"/>
        </w:rPr>
        <w:t xml:space="preserve">, whereas only </w:t>
      </w:r>
      <w:r w:rsidRPr="00365EEF">
        <w:rPr>
          <w:rFonts w:cstheme="minorHAnsi"/>
          <w:i/>
          <w:iCs/>
          <w:sz w:val="24"/>
          <w:szCs w:val="24"/>
          <w:lang w:bidi="en-US"/>
        </w:rPr>
        <w:t>O. gratissimum</w:t>
      </w:r>
      <w:r w:rsidRPr="00365EEF">
        <w:rPr>
          <w:rFonts w:cstheme="minorHAnsi"/>
          <w:sz w:val="24"/>
          <w:szCs w:val="24"/>
          <w:lang w:bidi="en-US"/>
        </w:rPr>
        <w:t xml:space="preserve"> showed moderate activity against </w:t>
      </w:r>
      <w:r w:rsidRPr="00365EEF">
        <w:rPr>
          <w:rFonts w:cstheme="minorHAnsi"/>
          <w:i/>
          <w:iCs/>
          <w:sz w:val="24"/>
          <w:szCs w:val="24"/>
          <w:lang w:bidi="en-US"/>
        </w:rPr>
        <w:t>T. interdigitale</w:t>
      </w:r>
      <w:r w:rsidRPr="00365EEF">
        <w:rPr>
          <w:rFonts w:cstheme="minorHAnsi"/>
          <w:sz w:val="24"/>
          <w:szCs w:val="24"/>
          <w:lang w:bidi="en-US"/>
        </w:rPr>
        <w:t>. Moreover, essential oils and emulsions from </w:t>
      </w:r>
      <w:r w:rsidRPr="00365EEF">
        <w:rPr>
          <w:rFonts w:cstheme="minorHAnsi"/>
          <w:i/>
          <w:iCs/>
          <w:sz w:val="24"/>
          <w:szCs w:val="24"/>
          <w:lang w:bidi="en-US"/>
        </w:rPr>
        <w:t>O. gratissimum</w:t>
      </w:r>
      <w:r w:rsidRPr="00365EEF">
        <w:rPr>
          <w:rFonts w:cstheme="minorHAnsi"/>
          <w:sz w:val="24"/>
          <w:szCs w:val="24"/>
          <w:lang w:bidi="en-US"/>
        </w:rPr>
        <w:t> and </w:t>
      </w:r>
      <w:r w:rsidRPr="00365EEF">
        <w:rPr>
          <w:rFonts w:cstheme="minorHAnsi"/>
          <w:i/>
          <w:iCs/>
          <w:sz w:val="24"/>
          <w:szCs w:val="24"/>
          <w:lang w:bidi="en-US"/>
        </w:rPr>
        <w:t>O. basilicum</w:t>
      </w:r>
      <w:r w:rsidRPr="00365EEF">
        <w:rPr>
          <w:rFonts w:cstheme="minorHAnsi"/>
          <w:sz w:val="24"/>
          <w:szCs w:val="24"/>
          <w:lang w:bidi="en-US"/>
        </w:rPr>
        <w:t> scavenged the free radicals of DPPH, thus revealing antioxidant activity. This novel contribution demonstrates the antidermatophytic activity of essential oils and emulsions from </w:t>
      </w:r>
      <w:r w:rsidRPr="00365EEF">
        <w:rPr>
          <w:rFonts w:cstheme="minorHAnsi"/>
          <w:i/>
          <w:iCs/>
          <w:sz w:val="24"/>
          <w:szCs w:val="24"/>
          <w:lang w:bidi="en-US"/>
        </w:rPr>
        <w:t>O. gratissimum </w:t>
      </w:r>
      <w:r w:rsidRPr="00365EEF">
        <w:rPr>
          <w:rFonts w:cstheme="minorHAnsi"/>
          <w:sz w:val="24"/>
          <w:szCs w:val="24"/>
          <w:lang w:bidi="en-US"/>
        </w:rPr>
        <w:t>and</w:t>
      </w:r>
      <w:r w:rsidRPr="00365EEF">
        <w:rPr>
          <w:rFonts w:cstheme="minorHAnsi"/>
          <w:i/>
          <w:iCs/>
          <w:sz w:val="24"/>
          <w:szCs w:val="24"/>
          <w:lang w:bidi="en-US"/>
        </w:rPr>
        <w:t> O. basilicum</w:t>
      </w:r>
      <w:r w:rsidRPr="00365EEF">
        <w:rPr>
          <w:rFonts w:cstheme="minorHAnsi"/>
          <w:sz w:val="24"/>
          <w:szCs w:val="24"/>
          <w:lang w:bidi="en-US"/>
        </w:rPr>
        <w:t>, thus supporting the traditional use of these plants in ethnomedicine.</w:t>
      </w:r>
    </w:p>
    <w:p w14:paraId="61D5A6CF" w14:textId="77777777" w:rsidR="001836AF" w:rsidRDefault="001836AF" w:rsidP="006F62DE">
      <w:pPr>
        <w:spacing w:line="360" w:lineRule="auto"/>
        <w:jc w:val="both"/>
        <w:rPr>
          <w:rFonts w:cstheme="minorHAnsi"/>
          <w:sz w:val="24"/>
          <w:szCs w:val="24"/>
          <w:lang w:bidi="en-US"/>
        </w:rPr>
      </w:pPr>
    </w:p>
    <w:p w14:paraId="221CA6CE" w14:textId="77777777" w:rsidR="001836AF" w:rsidRDefault="001836AF" w:rsidP="006F62DE">
      <w:pPr>
        <w:spacing w:line="360" w:lineRule="auto"/>
        <w:jc w:val="both"/>
        <w:rPr>
          <w:rFonts w:cstheme="minorHAnsi"/>
          <w:sz w:val="24"/>
          <w:szCs w:val="24"/>
          <w:lang w:bidi="en-US"/>
        </w:rPr>
      </w:pPr>
    </w:p>
    <w:p w14:paraId="3D2631E5" w14:textId="2C37AD11" w:rsidR="001836AF" w:rsidRDefault="001836AF" w:rsidP="001836AF">
      <w:pPr>
        <w:spacing w:line="360" w:lineRule="auto"/>
        <w:jc w:val="center"/>
        <w:rPr>
          <w:rFonts w:cstheme="minorHAnsi"/>
          <w:sz w:val="24"/>
          <w:szCs w:val="24"/>
          <w:lang w:bidi="en-US"/>
        </w:rPr>
      </w:pPr>
      <w:r>
        <w:rPr>
          <w:rFonts w:cstheme="minorHAnsi"/>
          <w:sz w:val="24"/>
          <w:szCs w:val="24"/>
          <w:lang w:bidi="en-US"/>
        </w:rPr>
        <w:t>FIG 1</w:t>
      </w:r>
      <w:r w:rsidR="00DF2A05">
        <w:rPr>
          <w:rFonts w:cstheme="minorHAnsi"/>
          <w:sz w:val="24"/>
          <w:szCs w:val="24"/>
          <w:lang w:bidi="en-US"/>
        </w:rPr>
        <w:t>a</w:t>
      </w:r>
      <w:r>
        <w:rPr>
          <w:rFonts w:cstheme="minorHAnsi"/>
          <w:sz w:val="24"/>
          <w:szCs w:val="24"/>
          <w:lang w:bidi="en-US"/>
        </w:rPr>
        <w:t>. GRAPHICAL ABSTRACT</w:t>
      </w:r>
    </w:p>
    <w:p w14:paraId="481BFE49" w14:textId="1A79C811" w:rsidR="001836AF" w:rsidRPr="00365EEF" w:rsidRDefault="001836AF" w:rsidP="006F62DE">
      <w:pPr>
        <w:spacing w:line="360" w:lineRule="auto"/>
        <w:jc w:val="both"/>
        <w:rPr>
          <w:rFonts w:cstheme="minorHAnsi"/>
          <w:sz w:val="24"/>
          <w:szCs w:val="24"/>
          <w:lang w:bidi="en-US"/>
        </w:rPr>
      </w:pPr>
      <w:r>
        <w:rPr>
          <w:noProof/>
        </w:rPr>
        <w:drawing>
          <wp:inline distT="0" distB="0" distL="0" distR="0" wp14:anchorId="42A928B6" wp14:editId="00AF4908">
            <wp:extent cx="5760720" cy="3071769"/>
            <wp:effectExtent l="0" t="0" r="0" b="0"/>
            <wp:docPr id="2013753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53444" name=""/>
                    <pic:cNvPicPr/>
                  </pic:nvPicPr>
                  <pic:blipFill>
                    <a:blip r:embed="rId7"/>
                    <a:stretch>
                      <a:fillRect/>
                    </a:stretch>
                  </pic:blipFill>
                  <pic:spPr>
                    <a:xfrm>
                      <a:off x="0" y="0"/>
                      <a:ext cx="5760720" cy="3071769"/>
                    </a:xfrm>
                    <a:prstGeom prst="rect">
                      <a:avLst/>
                    </a:prstGeom>
                  </pic:spPr>
                </pic:pic>
              </a:graphicData>
            </a:graphic>
          </wp:inline>
        </w:drawing>
      </w:r>
    </w:p>
    <w:p w14:paraId="6FC141A1" w14:textId="77777777" w:rsidR="001836AF" w:rsidRDefault="001836AF" w:rsidP="006F62DE">
      <w:pPr>
        <w:spacing w:line="360" w:lineRule="auto"/>
        <w:jc w:val="both"/>
        <w:rPr>
          <w:rFonts w:cstheme="minorHAnsi"/>
          <w:b/>
          <w:sz w:val="24"/>
          <w:szCs w:val="24"/>
          <w:lang w:val="en-US" w:bidi="en-US"/>
        </w:rPr>
      </w:pPr>
    </w:p>
    <w:p w14:paraId="4D5B662A" w14:textId="77777777" w:rsidR="001836AF" w:rsidRDefault="001836AF" w:rsidP="006F62DE">
      <w:pPr>
        <w:spacing w:line="360" w:lineRule="auto"/>
        <w:jc w:val="both"/>
        <w:rPr>
          <w:rFonts w:cstheme="minorHAnsi"/>
          <w:b/>
          <w:sz w:val="24"/>
          <w:szCs w:val="24"/>
          <w:lang w:val="en-US" w:bidi="en-US"/>
        </w:rPr>
      </w:pPr>
    </w:p>
    <w:p w14:paraId="199F973D" w14:textId="77777777" w:rsidR="001836AF" w:rsidRDefault="001836AF" w:rsidP="006F62DE">
      <w:pPr>
        <w:spacing w:line="360" w:lineRule="auto"/>
        <w:jc w:val="both"/>
        <w:rPr>
          <w:rFonts w:cstheme="minorHAnsi"/>
          <w:b/>
          <w:sz w:val="24"/>
          <w:szCs w:val="24"/>
          <w:lang w:val="en-US" w:bidi="en-US"/>
        </w:rPr>
      </w:pPr>
    </w:p>
    <w:p w14:paraId="0B68B0F5" w14:textId="466B3365" w:rsidR="00D877B4" w:rsidRPr="00365EEF" w:rsidRDefault="002C75C3" w:rsidP="006F62DE">
      <w:pPr>
        <w:spacing w:line="360" w:lineRule="auto"/>
        <w:jc w:val="both"/>
        <w:rPr>
          <w:rFonts w:cstheme="minorHAnsi"/>
          <w:sz w:val="24"/>
          <w:szCs w:val="24"/>
          <w:lang w:val="en-US" w:bidi="en-US"/>
        </w:rPr>
      </w:pPr>
      <w:r w:rsidRPr="00365EEF">
        <w:rPr>
          <w:rFonts w:cstheme="minorHAnsi"/>
          <w:b/>
          <w:sz w:val="24"/>
          <w:szCs w:val="24"/>
          <w:lang w:val="en-US" w:bidi="en-US"/>
        </w:rPr>
        <w:t xml:space="preserve">Keywords: </w:t>
      </w:r>
      <w:r w:rsidRPr="00365EEF">
        <w:rPr>
          <w:rFonts w:cstheme="minorHAnsi"/>
          <w:sz w:val="24"/>
          <w:szCs w:val="24"/>
          <w:lang w:val="en-US" w:bidi="en-US"/>
        </w:rPr>
        <w:t xml:space="preserve">Dermatophyte infections; </w:t>
      </w:r>
      <w:r w:rsidRPr="00365EEF">
        <w:rPr>
          <w:rFonts w:cstheme="minorHAnsi"/>
          <w:i/>
          <w:sz w:val="24"/>
          <w:szCs w:val="24"/>
          <w:lang w:bidi="en-US"/>
        </w:rPr>
        <w:t>Trichophyton</w:t>
      </w:r>
      <w:r w:rsidRPr="00365EEF">
        <w:rPr>
          <w:rFonts w:cstheme="minorHAnsi"/>
          <w:sz w:val="24"/>
          <w:szCs w:val="24"/>
          <w:lang w:bidi="en-US"/>
        </w:rPr>
        <w:t xml:space="preserve"> species</w:t>
      </w:r>
      <w:r w:rsidRPr="00365EEF">
        <w:rPr>
          <w:rFonts w:cstheme="minorHAnsi"/>
          <w:sz w:val="24"/>
          <w:szCs w:val="24"/>
          <w:lang w:val="en-US" w:bidi="en-US"/>
        </w:rPr>
        <w:t>;</w:t>
      </w:r>
      <w:r w:rsidRPr="00365EEF">
        <w:rPr>
          <w:rFonts w:cstheme="minorHAnsi"/>
          <w:i/>
          <w:sz w:val="24"/>
          <w:szCs w:val="24"/>
          <w:lang w:val="en-US" w:bidi="en-US"/>
        </w:rPr>
        <w:t xml:space="preserve"> Ocimum gratissimum</w:t>
      </w:r>
      <w:r w:rsidRPr="00365EEF">
        <w:rPr>
          <w:rFonts w:cstheme="minorHAnsi"/>
          <w:sz w:val="24"/>
          <w:szCs w:val="24"/>
          <w:lang w:val="en-US" w:bidi="en-US"/>
        </w:rPr>
        <w:t>;</w:t>
      </w:r>
      <w:r w:rsidRPr="00365EEF">
        <w:rPr>
          <w:rFonts w:cstheme="minorHAnsi"/>
          <w:i/>
          <w:sz w:val="24"/>
          <w:szCs w:val="24"/>
          <w:lang w:val="en-US" w:bidi="en-US"/>
        </w:rPr>
        <w:t xml:space="preserve"> Ocimum basilicum</w:t>
      </w:r>
      <w:r w:rsidRPr="00365EEF">
        <w:rPr>
          <w:rFonts w:cstheme="minorHAnsi"/>
          <w:sz w:val="24"/>
          <w:szCs w:val="24"/>
          <w:lang w:val="en-US" w:bidi="en-US"/>
        </w:rPr>
        <w:t>;</w:t>
      </w:r>
      <w:r w:rsidRPr="00365EEF">
        <w:rPr>
          <w:rFonts w:cstheme="minorHAnsi"/>
          <w:i/>
          <w:sz w:val="24"/>
          <w:szCs w:val="24"/>
          <w:lang w:val="en-US" w:bidi="en-US"/>
        </w:rPr>
        <w:t xml:space="preserve"> </w:t>
      </w:r>
      <w:r w:rsidRPr="00365EEF">
        <w:rPr>
          <w:rFonts w:cstheme="minorHAnsi"/>
          <w:sz w:val="24"/>
          <w:szCs w:val="24"/>
          <w:lang w:val="en-US" w:bidi="en-US"/>
        </w:rPr>
        <w:t xml:space="preserve">Essential oils; </w:t>
      </w:r>
      <w:r w:rsidR="00AA469B" w:rsidRPr="00365EEF">
        <w:rPr>
          <w:rFonts w:cstheme="minorHAnsi"/>
          <w:sz w:val="24"/>
          <w:szCs w:val="24"/>
          <w:lang w:val="en-US" w:bidi="en-US"/>
        </w:rPr>
        <w:t>E</w:t>
      </w:r>
      <w:r w:rsidRPr="00365EEF">
        <w:rPr>
          <w:rFonts w:cstheme="minorHAnsi"/>
          <w:sz w:val="24"/>
          <w:szCs w:val="24"/>
          <w:lang w:val="en-US" w:bidi="en-US"/>
        </w:rPr>
        <w:t xml:space="preserve">mulsions. </w:t>
      </w:r>
    </w:p>
    <w:p w14:paraId="4A5959F4" w14:textId="77777777" w:rsidR="009B2EF9" w:rsidRDefault="009B2EF9" w:rsidP="00D877B4">
      <w:pPr>
        <w:spacing w:after="0" w:line="360" w:lineRule="auto"/>
        <w:jc w:val="both"/>
        <w:rPr>
          <w:rFonts w:cstheme="minorHAnsi"/>
          <w:b/>
          <w:sz w:val="24"/>
          <w:szCs w:val="24"/>
          <w:lang w:val="en-US" w:bidi="en-US"/>
        </w:rPr>
      </w:pPr>
    </w:p>
    <w:p w14:paraId="60DCD342" w14:textId="77777777" w:rsidR="009B2EF9" w:rsidRDefault="009B2EF9" w:rsidP="00D877B4">
      <w:pPr>
        <w:spacing w:after="0" w:line="360" w:lineRule="auto"/>
        <w:jc w:val="both"/>
        <w:rPr>
          <w:rFonts w:cstheme="minorHAnsi"/>
          <w:b/>
          <w:sz w:val="24"/>
          <w:szCs w:val="24"/>
          <w:lang w:val="en-US" w:bidi="en-US"/>
        </w:rPr>
      </w:pPr>
    </w:p>
    <w:p w14:paraId="12A18137" w14:textId="77777777" w:rsidR="00AA469B" w:rsidRPr="00365EEF" w:rsidRDefault="00AA469B" w:rsidP="00D877B4">
      <w:pPr>
        <w:spacing w:after="0" w:line="360" w:lineRule="auto"/>
        <w:jc w:val="both"/>
        <w:rPr>
          <w:rFonts w:cstheme="minorHAnsi"/>
          <w:b/>
          <w:sz w:val="24"/>
          <w:szCs w:val="24"/>
          <w:lang w:val="en-US" w:bidi="en-US"/>
        </w:rPr>
      </w:pPr>
      <w:r w:rsidRPr="00365EEF">
        <w:rPr>
          <w:rFonts w:cstheme="minorHAnsi"/>
          <w:b/>
          <w:sz w:val="24"/>
          <w:szCs w:val="24"/>
          <w:lang w:val="en-US" w:bidi="en-US"/>
        </w:rPr>
        <w:t>1. Introduction</w:t>
      </w:r>
    </w:p>
    <w:p w14:paraId="58E6E695" w14:textId="77777777" w:rsidR="00AA469B" w:rsidRPr="00365EEF" w:rsidRDefault="00AA469B" w:rsidP="00D877B4">
      <w:pPr>
        <w:spacing w:after="0" w:line="360" w:lineRule="auto"/>
        <w:jc w:val="both"/>
        <w:rPr>
          <w:rFonts w:cstheme="minorHAnsi"/>
          <w:sz w:val="24"/>
          <w:szCs w:val="24"/>
          <w:lang w:bidi="en-US"/>
        </w:rPr>
      </w:pPr>
      <w:r w:rsidRPr="00365EEF">
        <w:rPr>
          <w:rFonts w:cstheme="minorHAnsi"/>
          <w:sz w:val="24"/>
          <w:szCs w:val="24"/>
          <w:lang w:bidi="en-US"/>
        </w:rPr>
        <w:t xml:space="preserve">Dermatophytoses are mycotic infections caused by dermatophytic fungi that usually remain localized to the superficial layers of the skin, hair or nails [1, 2]. These fungi are classified in the anamorphic genera </w:t>
      </w:r>
      <w:r w:rsidRPr="00365EEF">
        <w:rPr>
          <w:rFonts w:cstheme="minorHAnsi"/>
          <w:i/>
          <w:sz w:val="24"/>
          <w:szCs w:val="24"/>
          <w:lang w:bidi="en-US"/>
        </w:rPr>
        <w:t>Epidermophyton</w:t>
      </w:r>
      <w:r w:rsidRPr="00365EEF">
        <w:rPr>
          <w:rFonts w:cstheme="minorHAnsi"/>
          <w:sz w:val="24"/>
          <w:szCs w:val="24"/>
          <w:lang w:bidi="en-US"/>
        </w:rPr>
        <w:t xml:space="preserve">, </w:t>
      </w:r>
      <w:r w:rsidRPr="00365EEF">
        <w:rPr>
          <w:rFonts w:cstheme="minorHAnsi"/>
          <w:i/>
          <w:sz w:val="24"/>
          <w:szCs w:val="24"/>
          <w:lang w:bidi="en-US"/>
        </w:rPr>
        <w:t>Microsporum</w:t>
      </w:r>
      <w:r w:rsidRPr="00365EEF">
        <w:rPr>
          <w:rFonts w:cstheme="minorHAnsi"/>
          <w:sz w:val="24"/>
          <w:szCs w:val="24"/>
          <w:lang w:bidi="en-US"/>
        </w:rPr>
        <w:t xml:space="preserve"> and </w:t>
      </w:r>
      <w:r w:rsidRPr="00365EEF">
        <w:rPr>
          <w:rFonts w:cstheme="minorHAnsi"/>
          <w:i/>
          <w:sz w:val="24"/>
          <w:szCs w:val="24"/>
          <w:lang w:bidi="en-US"/>
        </w:rPr>
        <w:t>Trichophyton</w:t>
      </w:r>
      <w:r w:rsidRPr="00365EEF">
        <w:rPr>
          <w:rFonts w:cstheme="minorHAnsi"/>
          <w:sz w:val="24"/>
          <w:szCs w:val="24"/>
          <w:lang w:bidi="en-US"/>
        </w:rPr>
        <w:t xml:space="preserve"> [3]. Recent estimates proposed an annual incidence of 6·5 million invasive fungal infections and 3·8 million deaths, of which about 68% (2·5 million) were directly attributable [4]. Superficial mycoses are the most prevalent forms in humans, thus affecting about 20-25% of the world’s population [4]. The most common dermatophytic pathogen responsible for superficial mycoses is </w:t>
      </w:r>
      <w:r w:rsidRPr="00365EEF">
        <w:rPr>
          <w:rFonts w:cstheme="minorHAnsi"/>
          <w:i/>
          <w:iCs/>
          <w:sz w:val="24"/>
          <w:szCs w:val="24"/>
          <w:lang w:bidi="en-US"/>
        </w:rPr>
        <w:t>Trichophyton rubrum</w:t>
      </w:r>
      <w:r w:rsidRPr="00365EEF">
        <w:rPr>
          <w:rFonts w:cstheme="minorHAnsi"/>
          <w:sz w:val="24"/>
          <w:szCs w:val="24"/>
          <w:lang w:bidi="en-US"/>
        </w:rPr>
        <w:t>, followed by </w:t>
      </w:r>
      <w:r w:rsidRPr="00365EEF">
        <w:rPr>
          <w:rFonts w:cstheme="minorHAnsi"/>
          <w:i/>
          <w:iCs/>
          <w:sz w:val="24"/>
          <w:szCs w:val="24"/>
          <w:lang w:bidi="en-US"/>
        </w:rPr>
        <w:t>Trichophyton interdigitale</w:t>
      </w:r>
      <w:r w:rsidRPr="00365EEF">
        <w:rPr>
          <w:rFonts w:cstheme="minorHAnsi"/>
          <w:sz w:val="24"/>
          <w:szCs w:val="24"/>
          <w:lang w:bidi="en-US"/>
        </w:rPr>
        <w:t xml:space="preserve"> [5]. The reduced size </w:t>
      </w:r>
      <w:r w:rsidRPr="00365EEF">
        <w:rPr>
          <w:rFonts w:cstheme="minorHAnsi"/>
          <w:sz w:val="24"/>
          <w:szCs w:val="24"/>
          <w:lang w:bidi="en-US"/>
        </w:rPr>
        <w:lastRenderedPageBreak/>
        <w:t xml:space="preserve">of their genome with the expansion of particular gene families indicate that these fungi are highly specialized and have the ability to degrade hard keratin and escape the immune system during infection [6]. Dermatophytes establish infection following successful adherence of their spores (arthroconidia) to the surface of keratinized tissues. During adherence and invasion, the proteolytic enzymes released are crucial for fungal survival, and the establishment and persistence of infection within a host [7]. </w:t>
      </w:r>
    </w:p>
    <w:p w14:paraId="2D28C689" w14:textId="77777777" w:rsidR="00AA469B" w:rsidRPr="00365EEF" w:rsidRDefault="00AA469B" w:rsidP="006F62DE">
      <w:pPr>
        <w:spacing w:line="360" w:lineRule="auto"/>
        <w:jc w:val="both"/>
        <w:rPr>
          <w:rFonts w:cstheme="minorHAnsi"/>
          <w:sz w:val="24"/>
          <w:szCs w:val="24"/>
          <w:lang w:bidi="en-US"/>
        </w:rPr>
      </w:pPr>
      <w:r w:rsidRPr="00365EEF">
        <w:rPr>
          <w:rFonts w:cstheme="minorHAnsi"/>
          <w:sz w:val="24"/>
          <w:szCs w:val="24"/>
          <w:lang w:bidi="en-US"/>
        </w:rPr>
        <w:t xml:space="preserve">The treatment of dermatophytosis involves the use of a number of drugs, such as griseofulvin, terbinafine, ketoconazole and itraconazole, among others. Although these treatments are effective against dermatophytes, their use is often limited due to the number of adverse effects they cause, their high cost, the length of treatment, and the development of resistance [8]. </w:t>
      </w:r>
    </w:p>
    <w:p w14:paraId="10553889" w14:textId="77777777" w:rsidR="00AA469B" w:rsidRPr="00365EEF" w:rsidRDefault="00AA469B" w:rsidP="006F62DE">
      <w:pPr>
        <w:spacing w:line="360" w:lineRule="auto"/>
        <w:jc w:val="both"/>
        <w:rPr>
          <w:rFonts w:cstheme="minorHAnsi"/>
          <w:sz w:val="24"/>
          <w:szCs w:val="24"/>
          <w:lang w:bidi="en-US"/>
        </w:rPr>
      </w:pPr>
      <w:r w:rsidRPr="00365EEF">
        <w:rPr>
          <w:rFonts w:cstheme="minorHAnsi"/>
          <w:sz w:val="24"/>
          <w:szCs w:val="24"/>
          <w:lang w:bidi="en-US"/>
        </w:rPr>
        <w:t xml:space="preserve">The World Health Organization acknowledges the diversity and contribution of medicinal plants to improving the healthcare system, especially in developing countries [9]. The use of medicinal plants in treating resistant fungal infections has been validated scientifically by several authors [10-12]. Examples of such plants include </w:t>
      </w:r>
      <w:r w:rsidRPr="00365EEF">
        <w:rPr>
          <w:rFonts w:cstheme="minorHAnsi"/>
          <w:i/>
          <w:sz w:val="24"/>
          <w:szCs w:val="24"/>
          <w:lang w:bidi="en-US"/>
        </w:rPr>
        <w:t>Ocimum basilicum</w:t>
      </w:r>
      <w:r w:rsidRPr="00365EEF">
        <w:rPr>
          <w:rFonts w:cstheme="minorHAnsi"/>
          <w:sz w:val="24"/>
          <w:szCs w:val="24"/>
          <w:lang w:bidi="en-US"/>
        </w:rPr>
        <w:t xml:space="preserve"> and </w:t>
      </w:r>
      <w:r w:rsidRPr="00365EEF">
        <w:rPr>
          <w:rFonts w:cstheme="minorHAnsi"/>
          <w:i/>
          <w:sz w:val="24"/>
          <w:szCs w:val="24"/>
          <w:lang w:bidi="en-US"/>
        </w:rPr>
        <w:t>Ocimum</w:t>
      </w:r>
      <w:r w:rsidRPr="00365EEF">
        <w:rPr>
          <w:rFonts w:cstheme="minorHAnsi"/>
          <w:sz w:val="24"/>
          <w:szCs w:val="24"/>
          <w:lang w:bidi="en-US"/>
        </w:rPr>
        <w:t xml:space="preserve"> </w:t>
      </w:r>
      <w:r w:rsidRPr="00365EEF">
        <w:rPr>
          <w:rFonts w:cstheme="minorHAnsi"/>
          <w:i/>
          <w:sz w:val="24"/>
          <w:szCs w:val="24"/>
          <w:lang w:bidi="en-US"/>
        </w:rPr>
        <w:t>gratissimum</w:t>
      </w:r>
      <w:r w:rsidRPr="00365EEF">
        <w:rPr>
          <w:rFonts w:cstheme="minorHAnsi"/>
          <w:sz w:val="24"/>
          <w:szCs w:val="24"/>
          <w:lang w:bidi="en-US"/>
        </w:rPr>
        <w:t xml:space="preserve">, which are widely used by local populations in Africa to cure various diseases, including fungal infections. For example, the infusion of </w:t>
      </w:r>
      <w:r w:rsidRPr="00365EEF">
        <w:rPr>
          <w:rFonts w:cstheme="minorHAnsi"/>
          <w:i/>
          <w:sz w:val="24"/>
          <w:szCs w:val="24"/>
          <w:lang w:bidi="en-US"/>
        </w:rPr>
        <w:t>Ocimum</w:t>
      </w:r>
      <w:r w:rsidRPr="00365EEF">
        <w:rPr>
          <w:rFonts w:cstheme="minorHAnsi"/>
          <w:sz w:val="24"/>
          <w:szCs w:val="24"/>
          <w:lang w:bidi="en-US"/>
        </w:rPr>
        <w:t xml:space="preserve"> </w:t>
      </w:r>
      <w:r w:rsidRPr="00365EEF">
        <w:rPr>
          <w:rFonts w:cstheme="minorHAnsi"/>
          <w:i/>
          <w:sz w:val="24"/>
          <w:szCs w:val="24"/>
          <w:lang w:bidi="en-US"/>
        </w:rPr>
        <w:t xml:space="preserve">gratissimum </w:t>
      </w:r>
      <w:r w:rsidRPr="00365EEF">
        <w:rPr>
          <w:rFonts w:cstheme="minorHAnsi"/>
          <w:sz w:val="24"/>
          <w:szCs w:val="24"/>
          <w:lang w:bidi="en-US"/>
        </w:rPr>
        <w:t xml:space="preserve">is used to overcome headache, giddiness, cold and cough, whereas </w:t>
      </w:r>
      <w:r w:rsidRPr="00365EEF">
        <w:rPr>
          <w:rFonts w:cstheme="minorHAnsi"/>
          <w:i/>
          <w:sz w:val="24"/>
          <w:szCs w:val="24"/>
          <w:lang w:bidi="en-US"/>
        </w:rPr>
        <w:t>O.</w:t>
      </w:r>
      <w:r w:rsidRPr="00365EEF">
        <w:rPr>
          <w:rFonts w:cstheme="minorHAnsi"/>
          <w:sz w:val="24"/>
          <w:szCs w:val="24"/>
          <w:lang w:bidi="en-US"/>
        </w:rPr>
        <w:t xml:space="preserve"> </w:t>
      </w:r>
      <w:r w:rsidRPr="00365EEF">
        <w:rPr>
          <w:rFonts w:cstheme="minorHAnsi"/>
          <w:i/>
          <w:sz w:val="24"/>
          <w:szCs w:val="24"/>
          <w:lang w:bidi="en-US"/>
        </w:rPr>
        <w:t>gratissimum</w:t>
      </w:r>
      <w:r w:rsidRPr="00365EEF">
        <w:rPr>
          <w:rFonts w:cstheme="minorHAnsi"/>
          <w:sz w:val="24"/>
          <w:szCs w:val="24"/>
          <w:lang w:bidi="en-US"/>
        </w:rPr>
        <w:t xml:space="preserve">-based formulations are recommended for the treatment of ear infections and dermatoses in Côte d'Ivoire [13]. In Nigeria and Togo, </w:t>
      </w:r>
      <w:r w:rsidRPr="00365EEF">
        <w:rPr>
          <w:rFonts w:cstheme="minorHAnsi"/>
          <w:i/>
          <w:sz w:val="24"/>
          <w:szCs w:val="24"/>
          <w:lang w:bidi="en-US"/>
        </w:rPr>
        <w:t>O. gratissimum</w:t>
      </w:r>
      <w:r w:rsidRPr="00365EEF">
        <w:rPr>
          <w:rFonts w:cstheme="minorHAnsi"/>
          <w:sz w:val="24"/>
          <w:szCs w:val="24"/>
          <w:lang w:bidi="en-US"/>
        </w:rPr>
        <w:t xml:space="preserve"> is used to relieve fever, diarrhoea and dysentery [14]. The decoction of </w:t>
      </w:r>
      <w:r w:rsidRPr="00365EEF">
        <w:rPr>
          <w:rFonts w:cstheme="minorHAnsi"/>
          <w:i/>
          <w:sz w:val="24"/>
          <w:szCs w:val="24"/>
          <w:lang w:bidi="en-US"/>
        </w:rPr>
        <w:t>O. gratissimum</w:t>
      </w:r>
      <w:r w:rsidRPr="00365EEF">
        <w:rPr>
          <w:rFonts w:cstheme="minorHAnsi"/>
          <w:sz w:val="24"/>
          <w:szCs w:val="24"/>
          <w:lang w:bidi="en-US"/>
        </w:rPr>
        <w:t xml:space="preserve"> stems is used to cure hepatitis, candidoses and wound infections [14]. On the other hand, </w:t>
      </w:r>
      <w:r w:rsidRPr="00365EEF">
        <w:rPr>
          <w:rFonts w:cstheme="minorHAnsi"/>
          <w:i/>
          <w:sz w:val="24"/>
          <w:szCs w:val="24"/>
          <w:lang w:bidi="en-US"/>
        </w:rPr>
        <w:t xml:space="preserve">O. basilicum </w:t>
      </w:r>
      <w:r w:rsidRPr="00365EEF">
        <w:rPr>
          <w:rFonts w:cstheme="minorHAnsi"/>
          <w:sz w:val="24"/>
          <w:szCs w:val="24"/>
          <w:lang w:bidi="en-US"/>
        </w:rPr>
        <w:t xml:space="preserve">or Sweet basil is an important essential oil crop, medicinal plant, and culinary herb that belongs to the Lamiaceae family [15, 16]. In Africa, people have been using </w:t>
      </w:r>
      <w:r w:rsidRPr="00365EEF">
        <w:rPr>
          <w:rFonts w:cstheme="minorHAnsi"/>
          <w:i/>
          <w:sz w:val="24"/>
          <w:szCs w:val="24"/>
          <w:lang w:bidi="en-US"/>
        </w:rPr>
        <w:t xml:space="preserve">O. basilicum </w:t>
      </w:r>
      <w:r w:rsidRPr="00365EEF">
        <w:rPr>
          <w:rFonts w:cstheme="minorHAnsi"/>
          <w:sz w:val="24"/>
          <w:szCs w:val="24"/>
          <w:lang w:bidi="en-US"/>
        </w:rPr>
        <w:t>to treat malaria, typhoid, coughs and colds, yellow fever, candidiasis, influenza, genito-urinary infections, sore eyes and ear infections, among others [17].</w:t>
      </w:r>
      <w:r w:rsidRPr="00365EEF">
        <w:rPr>
          <w:rFonts w:cstheme="minorHAnsi"/>
          <w:i/>
          <w:sz w:val="24"/>
          <w:szCs w:val="24"/>
          <w:lang w:bidi="en-US"/>
        </w:rPr>
        <w:t xml:space="preserve"> O. basilicum</w:t>
      </w:r>
      <w:r w:rsidRPr="00365EEF">
        <w:rPr>
          <w:rFonts w:cstheme="minorHAnsi"/>
          <w:sz w:val="24"/>
          <w:szCs w:val="24"/>
          <w:lang w:bidi="en-US"/>
        </w:rPr>
        <w:t xml:space="preserve"> and </w:t>
      </w:r>
      <w:r w:rsidRPr="00365EEF">
        <w:rPr>
          <w:rFonts w:cstheme="minorHAnsi"/>
          <w:i/>
          <w:sz w:val="24"/>
          <w:szCs w:val="24"/>
          <w:lang w:bidi="en-US"/>
        </w:rPr>
        <w:t>O. gratissimum</w:t>
      </w:r>
      <w:r w:rsidRPr="00365EEF">
        <w:rPr>
          <w:rFonts w:cstheme="minorHAnsi"/>
          <w:sz w:val="24"/>
          <w:szCs w:val="24"/>
          <w:lang w:bidi="en-US"/>
        </w:rPr>
        <w:t xml:space="preserve"> are used in different places of Cameroon as spices and for the traditional treatment of headaches, respiratory problems, influenza, stomach pain, inflammation of the throat, diarrhea, worms, and kidney malfunction [18].</w:t>
      </w:r>
    </w:p>
    <w:p w14:paraId="30668D2D" w14:textId="77777777" w:rsidR="00AA469B" w:rsidRPr="00365EEF" w:rsidRDefault="00AA469B" w:rsidP="006F62DE">
      <w:pPr>
        <w:spacing w:line="360" w:lineRule="auto"/>
        <w:jc w:val="both"/>
        <w:rPr>
          <w:rFonts w:cstheme="minorHAnsi"/>
          <w:sz w:val="24"/>
          <w:szCs w:val="24"/>
          <w:lang w:bidi="en-US"/>
        </w:rPr>
      </w:pPr>
      <w:r w:rsidRPr="00365EEF">
        <w:rPr>
          <w:rFonts w:cstheme="minorHAnsi"/>
          <w:sz w:val="24"/>
          <w:szCs w:val="24"/>
          <w:lang w:bidi="en-US"/>
        </w:rPr>
        <w:t xml:space="preserve">Modern research has unveiled the antibacterial activity of </w:t>
      </w:r>
      <w:r w:rsidRPr="00365EEF">
        <w:rPr>
          <w:rFonts w:cstheme="minorHAnsi"/>
          <w:i/>
          <w:sz w:val="24"/>
          <w:szCs w:val="24"/>
          <w:lang w:bidi="en-US"/>
        </w:rPr>
        <w:t>O. basilicum</w:t>
      </w:r>
      <w:r w:rsidRPr="00365EEF">
        <w:rPr>
          <w:rFonts w:cstheme="minorHAnsi"/>
          <w:sz w:val="24"/>
          <w:szCs w:val="24"/>
          <w:lang w:bidi="en-US"/>
        </w:rPr>
        <w:t xml:space="preserve"> [11, 19-21] and </w:t>
      </w:r>
      <w:r w:rsidRPr="00365EEF">
        <w:rPr>
          <w:rFonts w:cstheme="minorHAnsi"/>
          <w:i/>
          <w:sz w:val="24"/>
          <w:szCs w:val="24"/>
          <w:lang w:bidi="en-US"/>
        </w:rPr>
        <w:t>O. gratissimum</w:t>
      </w:r>
      <w:r w:rsidRPr="00365EEF">
        <w:rPr>
          <w:rFonts w:cstheme="minorHAnsi"/>
          <w:sz w:val="24"/>
          <w:szCs w:val="24"/>
          <w:lang w:bidi="en-US"/>
        </w:rPr>
        <w:t xml:space="preserve"> [22-29] against human and plant pathogenic bacteria. Antifungal activity of </w:t>
      </w:r>
      <w:r w:rsidRPr="00365EEF">
        <w:rPr>
          <w:rFonts w:cstheme="minorHAnsi"/>
          <w:i/>
          <w:sz w:val="24"/>
          <w:szCs w:val="24"/>
          <w:lang w:bidi="en-US"/>
        </w:rPr>
        <w:t>O. basilicum</w:t>
      </w:r>
      <w:r w:rsidRPr="00365EEF">
        <w:rPr>
          <w:rFonts w:cstheme="minorHAnsi"/>
          <w:sz w:val="24"/>
          <w:szCs w:val="24"/>
          <w:lang w:bidi="en-US"/>
        </w:rPr>
        <w:t xml:space="preserve"> and </w:t>
      </w:r>
      <w:r w:rsidRPr="00365EEF">
        <w:rPr>
          <w:rFonts w:cstheme="minorHAnsi"/>
          <w:i/>
          <w:sz w:val="24"/>
          <w:szCs w:val="24"/>
          <w:lang w:bidi="en-US"/>
        </w:rPr>
        <w:t xml:space="preserve">O. gratissimum </w:t>
      </w:r>
      <w:r w:rsidRPr="00365EEF">
        <w:rPr>
          <w:rFonts w:cstheme="minorHAnsi"/>
          <w:sz w:val="24"/>
          <w:szCs w:val="24"/>
          <w:lang w:bidi="en-US"/>
        </w:rPr>
        <w:t>extracts</w:t>
      </w:r>
      <w:r w:rsidRPr="00365EEF">
        <w:rPr>
          <w:rFonts w:cstheme="minorHAnsi"/>
          <w:i/>
          <w:sz w:val="24"/>
          <w:szCs w:val="24"/>
          <w:lang w:bidi="en-US"/>
        </w:rPr>
        <w:t xml:space="preserve"> </w:t>
      </w:r>
      <w:r w:rsidRPr="00365EEF">
        <w:rPr>
          <w:rFonts w:cstheme="minorHAnsi"/>
          <w:sz w:val="24"/>
          <w:szCs w:val="24"/>
          <w:lang w:bidi="en-US"/>
        </w:rPr>
        <w:t xml:space="preserve">was also revealed against fungal pathogens in plants </w:t>
      </w:r>
      <w:r w:rsidRPr="00365EEF">
        <w:rPr>
          <w:rFonts w:cstheme="minorHAnsi"/>
          <w:sz w:val="24"/>
          <w:szCs w:val="24"/>
          <w:lang w:bidi="en-US"/>
        </w:rPr>
        <w:lastRenderedPageBreak/>
        <w:t>(</w:t>
      </w:r>
      <w:r w:rsidRPr="00365EEF">
        <w:rPr>
          <w:rFonts w:cstheme="minorHAnsi"/>
          <w:i/>
          <w:sz w:val="24"/>
          <w:szCs w:val="24"/>
          <w:lang w:bidi="en-US"/>
        </w:rPr>
        <w:t>Botrytis cinerea</w:t>
      </w:r>
      <w:r w:rsidRPr="00365EEF">
        <w:rPr>
          <w:rFonts w:cstheme="minorHAnsi"/>
          <w:sz w:val="24"/>
          <w:szCs w:val="24"/>
          <w:lang w:bidi="en-US"/>
        </w:rPr>
        <w:t xml:space="preserve">, </w:t>
      </w:r>
      <w:r w:rsidRPr="00365EEF">
        <w:rPr>
          <w:rFonts w:cstheme="minorHAnsi"/>
          <w:i/>
          <w:sz w:val="24"/>
          <w:szCs w:val="24"/>
          <w:lang w:bidi="en-US"/>
        </w:rPr>
        <w:t>Colletotrichum gloeosporioides</w:t>
      </w:r>
      <w:r w:rsidRPr="00365EEF">
        <w:rPr>
          <w:rFonts w:cstheme="minorHAnsi"/>
          <w:sz w:val="24"/>
          <w:szCs w:val="24"/>
          <w:lang w:bidi="en-US"/>
        </w:rPr>
        <w:t xml:space="preserve"> and </w:t>
      </w:r>
      <w:r w:rsidRPr="00365EEF">
        <w:rPr>
          <w:rFonts w:cstheme="minorHAnsi"/>
          <w:i/>
          <w:sz w:val="24"/>
          <w:szCs w:val="24"/>
          <w:lang w:bidi="en-US"/>
        </w:rPr>
        <w:t>Fusarium oxysporum</w:t>
      </w:r>
      <w:r w:rsidRPr="00365EEF">
        <w:rPr>
          <w:rFonts w:cstheme="minorHAnsi"/>
          <w:sz w:val="24"/>
          <w:szCs w:val="24"/>
          <w:lang w:bidi="en-US"/>
        </w:rPr>
        <w:t xml:space="preserve"> ; [30, 31]) ; and humans (</w:t>
      </w:r>
      <w:r w:rsidRPr="00365EEF">
        <w:rPr>
          <w:rFonts w:cstheme="minorHAnsi"/>
          <w:i/>
          <w:sz w:val="24"/>
          <w:szCs w:val="24"/>
          <w:lang w:bidi="en-US"/>
        </w:rPr>
        <w:t xml:space="preserve">Scopulariopsis breicaulis </w:t>
      </w:r>
      <w:r w:rsidRPr="00365EEF">
        <w:rPr>
          <w:rFonts w:cstheme="minorHAnsi"/>
          <w:sz w:val="24"/>
          <w:szCs w:val="24"/>
          <w:lang w:bidi="en-US"/>
        </w:rPr>
        <w:t xml:space="preserve">and </w:t>
      </w:r>
      <w:r w:rsidRPr="00365EEF">
        <w:rPr>
          <w:rFonts w:cstheme="minorHAnsi"/>
          <w:i/>
          <w:sz w:val="24"/>
          <w:szCs w:val="24"/>
          <w:lang w:bidi="en-US"/>
        </w:rPr>
        <w:t>Cryptococcus neoformans</w:t>
      </w:r>
      <w:r w:rsidRPr="00365EEF">
        <w:rPr>
          <w:rFonts w:cstheme="minorHAnsi"/>
          <w:sz w:val="24"/>
          <w:szCs w:val="24"/>
          <w:lang w:bidi="en-US"/>
        </w:rPr>
        <w:t xml:space="preserve"> [32] ; </w:t>
      </w:r>
      <w:r w:rsidRPr="00365EEF">
        <w:rPr>
          <w:rFonts w:cstheme="minorHAnsi"/>
          <w:i/>
          <w:sz w:val="24"/>
          <w:szCs w:val="24"/>
          <w:lang w:bidi="en-US"/>
        </w:rPr>
        <w:t>Candida</w:t>
      </w:r>
      <w:r w:rsidRPr="00365EEF">
        <w:rPr>
          <w:rFonts w:cstheme="minorHAnsi"/>
          <w:sz w:val="24"/>
          <w:szCs w:val="24"/>
          <w:lang w:bidi="en-US"/>
        </w:rPr>
        <w:t xml:space="preserve"> species [33-35]). However, very little is known about the antifungal activity of botanicals from </w:t>
      </w:r>
      <w:r w:rsidRPr="00365EEF">
        <w:rPr>
          <w:rFonts w:cstheme="minorHAnsi"/>
          <w:i/>
          <w:sz w:val="24"/>
          <w:szCs w:val="24"/>
          <w:lang w:bidi="en-US"/>
        </w:rPr>
        <w:t>O. basilicum</w:t>
      </w:r>
      <w:r w:rsidRPr="00365EEF">
        <w:rPr>
          <w:rFonts w:cstheme="minorHAnsi"/>
          <w:sz w:val="24"/>
          <w:szCs w:val="24"/>
          <w:lang w:bidi="en-US"/>
        </w:rPr>
        <w:t xml:space="preserve"> and </w:t>
      </w:r>
      <w:r w:rsidRPr="00365EEF">
        <w:rPr>
          <w:rFonts w:cstheme="minorHAnsi"/>
          <w:i/>
          <w:sz w:val="24"/>
          <w:szCs w:val="24"/>
          <w:lang w:bidi="en-US"/>
        </w:rPr>
        <w:t xml:space="preserve">O. gratissimum </w:t>
      </w:r>
      <w:r w:rsidRPr="00365EEF">
        <w:rPr>
          <w:rFonts w:cstheme="minorHAnsi"/>
          <w:sz w:val="24"/>
          <w:szCs w:val="24"/>
          <w:lang w:bidi="en-US"/>
        </w:rPr>
        <w:t xml:space="preserve">against the </w:t>
      </w:r>
      <w:r w:rsidRPr="00365EEF">
        <w:rPr>
          <w:rFonts w:cstheme="minorHAnsi"/>
          <w:i/>
          <w:sz w:val="24"/>
          <w:szCs w:val="24"/>
          <w:lang w:bidi="en-US"/>
        </w:rPr>
        <w:t xml:space="preserve">Trichophyton </w:t>
      </w:r>
      <w:r w:rsidRPr="00365EEF">
        <w:rPr>
          <w:rFonts w:cstheme="minorHAnsi"/>
          <w:sz w:val="24"/>
          <w:szCs w:val="24"/>
          <w:lang w:bidi="en-US"/>
        </w:rPr>
        <w:t xml:space="preserve">species, which are responsible for fungal infections of the scalp, groin (jock itch), body, feet (athlete's foot), fingernails, and toenails. Thus, this study aims to investigate the antifungal activity of </w:t>
      </w:r>
      <w:r w:rsidRPr="00365EEF">
        <w:rPr>
          <w:rFonts w:cstheme="minorHAnsi"/>
          <w:i/>
          <w:sz w:val="24"/>
          <w:szCs w:val="24"/>
          <w:lang w:bidi="en-US"/>
        </w:rPr>
        <w:t>O. basilicum</w:t>
      </w:r>
      <w:r w:rsidRPr="00365EEF">
        <w:rPr>
          <w:rFonts w:cstheme="minorHAnsi"/>
          <w:sz w:val="24"/>
          <w:szCs w:val="24"/>
          <w:lang w:bidi="en-US"/>
        </w:rPr>
        <w:t xml:space="preserve"> and </w:t>
      </w:r>
      <w:r w:rsidRPr="00365EEF">
        <w:rPr>
          <w:rFonts w:cstheme="minorHAnsi"/>
          <w:i/>
          <w:sz w:val="24"/>
          <w:szCs w:val="24"/>
          <w:lang w:bidi="en-US"/>
        </w:rPr>
        <w:t xml:space="preserve">O. gratissimum </w:t>
      </w:r>
      <w:r w:rsidRPr="00365EEF">
        <w:rPr>
          <w:rFonts w:cstheme="minorHAnsi"/>
          <w:sz w:val="24"/>
          <w:szCs w:val="24"/>
          <w:lang w:bidi="en-US"/>
        </w:rPr>
        <w:t xml:space="preserve">essential oils, and their emulsions against </w:t>
      </w:r>
      <w:r w:rsidRPr="00365EEF">
        <w:rPr>
          <w:rFonts w:cstheme="minorHAnsi"/>
          <w:i/>
          <w:sz w:val="24"/>
          <w:szCs w:val="24"/>
          <w:lang w:bidi="en-US"/>
        </w:rPr>
        <w:t>Trichophyton rubrum</w:t>
      </w:r>
      <w:r w:rsidRPr="00365EEF">
        <w:rPr>
          <w:rFonts w:cstheme="minorHAnsi"/>
          <w:sz w:val="24"/>
          <w:szCs w:val="24"/>
          <w:lang w:bidi="en-US"/>
        </w:rPr>
        <w:t xml:space="preserve"> and </w:t>
      </w:r>
      <w:r w:rsidRPr="00365EEF">
        <w:rPr>
          <w:rFonts w:cstheme="minorHAnsi"/>
          <w:i/>
          <w:sz w:val="24"/>
          <w:szCs w:val="24"/>
          <w:lang w:bidi="en-US"/>
        </w:rPr>
        <w:t>Trichophyton interdigitale</w:t>
      </w:r>
      <w:r w:rsidRPr="00365EEF">
        <w:rPr>
          <w:rFonts w:cstheme="minorHAnsi"/>
          <w:sz w:val="24"/>
          <w:szCs w:val="24"/>
          <w:lang w:bidi="en-US"/>
        </w:rPr>
        <w:t>. Moreover, the antioxidant activity of essential oils and their emulsions is also evaluated.</w:t>
      </w:r>
    </w:p>
    <w:p w14:paraId="6942D408"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2. Materials and methods</w:t>
      </w:r>
    </w:p>
    <w:p w14:paraId="43CD2B32" w14:textId="77777777" w:rsidR="00D877B4" w:rsidRPr="00365EEF" w:rsidRDefault="00D877B4" w:rsidP="00D877B4">
      <w:pPr>
        <w:pStyle w:val="MDPI31text"/>
        <w:spacing w:line="360" w:lineRule="auto"/>
        <w:ind w:left="0" w:firstLine="0"/>
        <w:rPr>
          <w:rFonts w:asciiTheme="minorHAnsi" w:hAnsiTheme="minorHAnsi" w:cstheme="minorHAnsi"/>
          <w:b/>
          <w:bCs/>
          <w:iCs/>
          <w:color w:val="auto"/>
          <w:sz w:val="24"/>
          <w:szCs w:val="24"/>
        </w:rPr>
      </w:pPr>
      <w:r w:rsidRPr="00365EEF">
        <w:rPr>
          <w:rFonts w:asciiTheme="minorHAnsi" w:hAnsiTheme="minorHAnsi" w:cstheme="minorHAnsi"/>
          <w:b/>
          <w:bCs/>
          <w:iCs/>
          <w:color w:val="auto"/>
          <w:sz w:val="24"/>
          <w:szCs w:val="24"/>
        </w:rPr>
        <w:t>2.1. Material</w:t>
      </w:r>
    </w:p>
    <w:p w14:paraId="30FEF368" w14:textId="77777777" w:rsidR="00D877B4" w:rsidRPr="00365EEF" w:rsidRDefault="00D877B4" w:rsidP="00D877B4">
      <w:pPr>
        <w:pStyle w:val="MDPI31text"/>
        <w:spacing w:line="360" w:lineRule="auto"/>
        <w:ind w:left="0" w:firstLine="0"/>
        <w:rPr>
          <w:rFonts w:asciiTheme="minorHAnsi" w:hAnsiTheme="minorHAnsi" w:cstheme="minorHAnsi"/>
          <w:b/>
          <w:bCs/>
          <w:i/>
          <w:iCs/>
          <w:color w:val="auto"/>
          <w:sz w:val="24"/>
          <w:szCs w:val="24"/>
        </w:rPr>
      </w:pPr>
      <w:r w:rsidRPr="00365EEF">
        <w:rPr>
          <w:rFonts w:asciiTheme="minorHAnsi" w:hAnsiTheme="minorHAnsi" w:cstheme="minorHAnsi"/>
          <w:b/>
          <w:bCs/>
          <w:color w:val="auto"/>
          <w:sz w:val="24"/>
          <w:szCs w:val="24"/>
        </w:rPr>
        <w:t>2.1.1. Plant Material</w:t>
      </w:r>
    </w:p>
    <w:p w14:paraId="3FCCB93E"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The leaves of </w:t>
      </w:r>
      <w:r w:rsidRPr="00365EEF">
        <w:rPr>
          <w:rFonts w:asciiTheme="minorHAnsi" w:hAnsiTheme="minorHAnsi" w:cstheme="minorHAnsi"/>
          <w:bCs/>
          <w:i/>
          <w:color w:val="auto"/>
          <w:sz w:val="24"/>
          <w:szCs w:val="24"/>
        </w:rPr>
        <w:t>Ocimum gratissimum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 xml:space="preserve">Ocimum basilicum </w:t>
      </w:r>
      <w:r w:rsidRPr="00365EEF">
        <w:rPr>
          <w:rFonts w:asciiTheme="minorHAnsi" w:hAnsiTheme="minorHAnsi" w:cstheme="minorHAnsi"/>
          <w:bCs/>
          <w:color w:val="auto"/>
          <w:sz w:val="24"/>
          <w:szCs w:val="24"/>
        </w:rPr>
        <w:t>were collected from Douala (Littoral Region of Cameroon). The identification of the plant was done at the National Herbarium of Cameroon (NHC) in Yaounde, where a voucher specimen was deposited under number 5817/SRF/Cam.</w:t>
      </w:r>
    </w:p>
    <w:p w14:paraId="2BEB5EE9"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2.1.2. Fungal strains</w:t>
      </w:r>
    </w:p>
    <w:p w14:paraId="7FA4CCE2"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The fungal strains used in this study included </w:t>
      </w:r>
      <w:r w:rsidRPr="00365EEF">
        <w:rPr>
          <w:rFonts w:asciiTheme="minorHAnsi" w:hAnsiTheme="minorHAnsi" w:cstheme="minorHAnsi"/>
          <w:bCs/>
          <w:i/>
          <w:color w:val="auto"/>
          <w:sz w:val="24"/>
          <w:szCs w:val="24"/>
        </w:rPr>
        <w:t>Trichophyton rubrum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Trichophyton interdigitale</w:t>
      </w:r>
      <w:r w:rsidRPr="00365EEF">
        <w:rPr>
          <w:rFonts w:asciiTheme="minorHAnsi" w:hAnsiTheme="minorHAnsi" w:cstheme="minorHAnsi"/>
          <w:bCs/>
          <w:color w:val="auto"/>
          <w:sz w:val="24"/>
          <w:szCs w:val="24"/>
        </w:rPr>
        <w:t>, which were supplied by the Douala Obstetrics and Paediatrics Hospital, Douala, Cameroon. These fungal strains and isolates were maintained on Sabouraud Dextrose Agar.</w:t>
      </w:r>
    </w:p>
    <w:p w14:paraId="7054FBCD"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2.1.3. Material for fungal cell culture</w:t>
      </w:r>
    </w:p>
    <w:p w14:paraId="074CD180"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In this study, Mueller Hinton Agar was used for the development of the bacterial strains, whereas Mueller Hinton Broth was employed for the determination of the minimum inhibitory concentration (MIC) and minimum fungicidal concentration (MFC). These media were obtained from Liofilchem</w:t>
      </w:r>
      <w:r w:rsidRPr="00365EEF">
        <w:rPr>
          <w:rFonts w:asciiTheme="minorHAnsi" w:hAnsiTheme="minorHAnsi" w:cstheme="minorHAnsi"/>
          <w:bCs/>
          <w:color w:val="auto"/>
          <w:sz w:val="24"/>
          <w:szCs w:val="24"/>
          <w:vertAlign w:val="superscript"/>
        </w:rPr>
        <w:t>®</w:t>
      </w:r>
      <w:r w:rsidRPr="00365EEF">
        <w:rPr>
          <w:rFonts w:asciiTheme="minorHAnsi" w:hAnsiTheme="minorHAnsi" w:cstheme="minorHAnsi"/>
          <w:bCs/>
          <w:color w:val="auto"/>
          <w:sz w:val="24"/>
          <w:szCs w:val="24"/>
        </w:rPr>
        <w:t> S.r.L (Scozia, Zona Industriale 64026, Roseto degli Abruzzi, Italy). Other reagents included McFarland standard 0.5, sterile distilled water, physiological water (normal saline), tween 80 and anhydrous sodium sulfate (Sigma-Aldrich, Darmstadt, Germany).</w:t>
      </w:r>
    </w:p>
    <w:p w14:paraId="290DCFE0" w14:textId="77777777" w:rsidR="00D877B4" w:rsidRPr="00365EEF" w:rsidRDefault="00D877B4" w:rsidP="00D877B4">
      <w:pPr>
        <w:pStyle w:val="MDPI31text"/>
        <w:spacing w:line="360" w:lineRule="auto"/>
        <w:ind w:left="0" w:firstLine="0"/>
        <w:rPr>
          <w:rFonts w:asciiTheme="minorHAnsi" w:hAnsiTheme="minorHAnsi" w:cstheme="minorHAnsi"/>
          <w:b/>
          <w:bCs/>
          <w:iCs/>
          <w:color w:val="auto"/>
          <w:sz w:val="24"/>
          <w:szCs w:val="24"/>
        </w:rPr>
      </w:pPr>
      <w:r w:rsidRPr="00365EEF">
        <w:rPr>
          <w:rFonts w:asciiTheme="minorHAnsi" w:hAnsiTheme="minorHAnsi" w:cstheme="minorHAnsi"/>
          <w:b/>
          <w:bCs/>
          <w:iCs/>
          <w:color w:val="auto"/>
          <w:sz w:val="24"/>
          <w:szCs w:val="24"/>
        </w:rPr>
        <w:t>2.2. Methods</w:t>
      </w:r>
    </w:p>
    <w:p w14:paraId="11EC9CF2"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2.2.1. Extraction of the essential oils</w:t>
      </w:r>
    </w:p>
    <w:p w14:paraId="3D4D97DA"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lastRenderedPageBreak/>
        <w:t>The essential oils were extracted from fresh leaves of </w:t>
      </w:r>
      <w:r w:rsidRPr="00365EEF">
        <w:rPr>
          <w:rFonts w:asciiTheme="minorHAnsi" w:hAnsiTheme="minorHAnsi" w:cstheme="minorHAnsi"/>
          <w:bCs/>
          <w:i/>
          <w:color w:val="auto"/>
          <w:sz w:val="24"/>
          <w:szCs w:val="24"/>
        </w:rPr>
        <w:t>O. gratissimum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 xml:space="preserve">O. basilicum </w:t>
      </w:r>
      <w:r w:rsidRPr="00365EEF">
        <w:rPr>
          <w:rFonts w:asciiTheme="minorHAnsi" w:hAnsiTheme="minorHAnsi" w:cstheme="minorHAnsi"/>
          <w:bCs/>
          <w:color w:val="auto"/>
          <w:sz w:val="24"/>
          <w:szCs w:val="24"/>
        </w:rPr>
        <w:t>separately</w:t>
      </w:r>
      <w:r w:rsidRPr="00365EEF">
        <w:rPr>
          <w:rFonts w:asciiTheme="minorHAnsi" w:hAnsiTheme="minorHAnsi" w:cstheme="minorHAnsi"/>
          <w:bCs/>
          <w:i/>
          <w:color w:val="auto"/>
          <w:sz w:val="24"/>
          <w:szCs w:val="24"/>
        </w:rPr>
        <w:t xml:space="preserve"> </w:t>
      </w:r>
      <w:r w:rsidRPr="00365EEF">
        <w:rPr>
          <w:rFonts w:asciiTheme="minorHAnsi" w:hAnsiTheme="minorHAnsi" w:cstheme="minorHAnsi"/>
          <w:bCs/>
          <w:color w:val="auto"/>
          <w:sz w:val="24"/>
          <w:szCs w:val="24"/>
        </w:rPr>
        <w:t>using a Clevenger-type apparatus. Briefly, the collected plant materials were washed and then chopped. Next, the plant material was introduced to a round bottom flask, with 1 kg for every 500 mL of water. Each mixture was then brought to a boil for a period of 4 to 5 h. During this process, the vapor underwent condensation and was divided into 2 phases, with the superior phase consisting of the EO of each plant, which was collected. The water contained in the essential oils was then dried using anhydrous sodium sulfate. The oils were further weighed and bottled in a tinted glass 60 mL bottle and refrigerated at 4 °C. Then, the yields of the EOs were expressed as percentages that were calculated using the following formula :</w:t>
      </w:r>
    </w:p>
    <w:p w14:paraId="64C758EA"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Y = (Me/Mp) × 100</w:t>
      </w:r>
    </w:p>
    <w:p w14:paraId="4EAAF73A"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Where</w:t>
      </w:r>
    </w:p>
    <w:p w14:paraId="0FDB4D55"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Y = yield of essential oil in percentage</w:t>
      </w:r>
    </w:p>
    <w:p w14:paraId="6B326083"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Me = mass of essential oil in grams</w:t>
      </w:r>
    </w:p>
    <w:p w14:paraId="06AD68FF"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Mp = mass of plant biomass in grams</w:t>
      </w:r>
    </w:p>
    <w:p w14:paraId="45A1A53A" w14:textId="77777777" w:rsidR="00D877B4" w:rsidRPr="00365EEF" w:rsidRDefault="00D877B4" w:rsidP="00D877B4">
      <w:pPr>
        <w:pStyle w:val="MDPI31text"/>
        <w:spacing w:line="360" w:lineRule="auto"/>
        <w:ind w:left="0" w:firstLine="0"/>
        <w:rPr>
          <w:rFonts w:asciiTheme="minorHAnsi" w:hAnsiTheme="minorHAnsi" w:cstheme="minorHAnsi"/>
          <w:b/>
          <w:bCs/>
          <w:i/>
          <w:color w:val="auto"/>
          <w:sz w:val="24"/>
          <w:szCs w:val="24"/>
        </w:rPr>
      </w:pPr>
      <w:r w:rsidRPr="00365EEF">
        <w:rPr>
          <w:rFonts w:asciiTheme="minorHAnsi" w:hAnsiTheme="minorHAnsi" w:cstheme="minorHAnsi"/>
          <w:b/>
          <w:bCs/>
          <w:color w:val="auto"/>
          <w:sz w:val="24"/>
          <w:szCs w:val="24"/>
        </w:rPr>
        <w:t xml:space="preserve">2.2.2. GC-MS analysis of essential oil of </w:t>
      </w:r>
      <w:r w:rsidRPr="00365EEF">
        <w:rPr>
          <w:rFonts w:asciiTheme="minorHAnsi" w:hAnsiTheme="minorHAnsi" w:cstheme="minorHAnsi"/>
          <w:b/>
          <w:bCs/>
          <w:i/>
          <w:color w:val="auto"/>
          <w:sz w:val="24"/>
          <w:szCs w:val="24"/>
        </w:rPr>
        <w:t>Ocimum gratissimum</w:t>
      </w:r>
      <w:r w:rsidRPr="00365EEF">
        <w:rPr>
          <w:rFonts w:asciiTheme="minorHAnsi" w:hAnsiTheme="minorHAnsi" w:cstheme="minorHAnsi"/>
          <w:b/>
          <w:bCs/>
          <w:color w:val="auto"/>
          <w:sz w:val="24"/>
          <w:szCs w:val="24"/>
        </w:rPr>
        <w:t xml:space="preserve"> and </w:t>
      </w:r>
      <w:r w:rsidRPr="00365EEF">
        <w:rPr>
          <w:rFonts w:asciiTheme="minorHAnsi" w:hAnsiTheme="minorHAnsi" w:cstheme="minorHAnsi"/>
          <w:b/>
          <w:bCs/>
          <w:i/>
          <w:color w:val="auto"/>
          <w:sz w:val="24"/>
          <w:szCs w:val="24"/>
        </w:rPr>
        <w:t>Ocimum basilicum</w:t>
      </w:r>
    </w:p>
    <w:p w14:paraId="654C6A73"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The essential oils were analyzed by gas chromatography (GC) on a Varian CP-3380 GC with a flame ionization detector fitted with a fused silica capillary column (30 m × 0.25 mm coated with DB5, film thickness 0.25 μm), with a temperature program of 50–200 °C at 5 °C/min, with common injection and and detection temperature of 200 °C, and N2 as the carrier gas (flow rate : 1 mL/min). </w:t>
      </w:r>
    </w:p>
    <w:p w14:paraId="3F9CA973"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Afterwards, gas chromatography coupled with mass spectrometry (GC-MS) was conducted using a Hewlett-Packard apparatus (model 5970) equipped with an HP1 fused silica column </w:t>
      </w:r>
      <w:r w:rsidR="004050F5" w:rsidRPr="00365EEF">
        <w:rPr>
          <w:rFonts w:asciiTheme="minorHAnsi" w:hAnsiTheme="minorHAnsi" w:cstheme="minorHAnsi"/>
          <w:bCs/>
          <w:color w:val="auto"/>
          <w:sz w:val="24"/>
          <w:szCs w:val="24"/>
        </w:rPr>
        <w:t xml:space="preserve">(30 m × </w:t>
      </w:r>
      <w:r w:rsidRPr="00365EEF">
        <w:rPr>
          <w:rFonts w:asciiTheme="minorHAnsi" w:hAnsiTheme="minorHAnsi" w:cstheme="minorHAnsi"/>
          <w:bCs/>
          <w:color w:val="auto"/>
          <w:sz w:val="24"/>
          <w:szCs w:val="24"/>
        </w:rPr>
        <w:t>0.25 mm, film thickness 0.25 μm), interfaced with a quadrupole detector (GC-quadrupole MS system). For GC-MS, the column temperature was programmed from 70° to 200 °C at 10 °C/min, whereas the injector temperature was set at 220 °C. Helium was used as the carrier gas at a flow rate of 0.6 mL/min, and the mass spec</w:t>
      </w:r>
      <w:r w:rsidR="00265253" w:rsidRPr="00365EEF">
        <w:rPr>
          <w:rFonts w:asciiTheme="minorHAnsi" w:hAnsiTheme="minorHAnsi" w:cstheme="minorHAnsi"/>
          <w:bCs/>
          <w:color w:val="auto"/>
          <w:sz w:val="24"/>
          <w:szCs w:val="24"/>
        </w:rPr>
        <w:t>trometer was operated at 70 eV</w:t>
      </w:r>
      <w:r w:rsidR="004050F5" w:rsidRPr="00365EEF">
        <w:rPr>
          <w:rFonts w:asciiTheme="minorHAnsi" w:hAnsiTheme="minorHAnsi" w:cstheme="minorHAnsi"/>
          <w:bCs/>
          <w:color w:val="auto"/>
          <w:sz w:val="24"/>
          <w:szCs w:val="24"/>
        </w:rPr>
        <w:t xml:space="preserve"> [36]</w:t>
      </w:r>
      <w:r w:rsidRPr="00365EEF">
        <w:rPr>
          <w:rFonts w:asciiTheme="minorHAnsi" w:hAnsiTheme="minorHAnsi" w:cstheme="minorHAnsi"/>
          <w:bCs/>
          <w:color w:val="auto"/>
          <w:sz w:val="24"/>
          <w:szCs w:val="24"/>
        </w:rPr>
        <w:t>.  For each run, 0.1 µL of essential oil diluted in 10% hexane was injected. The linear retention indices of the compounds were relatively determined by the retention times of a series of n-alkanes, and the percentage compositions were obtained from electronic integration measurements, without taking into accoun</w:t>
      </w:r>
      <w:r w:rsidR="00265253" w:rsidRPr="00365EEF">
        <w:rPr>
          <w:rFonts w:asciiTheme="minorHAnsi" w:hAnsiTheme="minorHAnsi" w:cstheme="minorHAnsi"/>
          <w:bCs/>
          <w:color w:val="auto"/>
          <w:sz w:val="24"/>
          <w:szCs w:val="24"/>
        </w:rPr>
        <w:t xml:space="preserve">t the relative response factors </w:t>
      </w:r>
      <w:r w:rsidR="004050F5" w:rsidRPr="00365EEF">
        <w:rPr>
          <w:rFonts w:asciiTheme="minorHAnsi" w:hAnsiTheme="minorHAnsi" w:cstheme="minorHAnsi"/>
          <w:bCs/>
          <w:color w:val="auto"/>
          <w:sz w:val="24"/>
          <w:szCs w:val="24"/>
        </w:rPr>
        <w:t>[36, 37]</w:t>
      </w:r>
      <w:r w:rsidRPr="00365EEF">
        <w:rPr>
          <w:rFonts w:asciiTheme="minorHAnsi" w:hAnsiTheme="minorHAnsi" w:cstheme="minorHAnsi"/>
          <w:bCs/>
          <w:color w:val="auto"/>
          <w:sz w:val="24"/>
          <w:szCs w:val="24"/>
        </w:rPr>
        <w:t xml:space="preserve">. After analysis by GC/GC-MS, the identification of different constituents of the oils was </w:t>
      </w:r>
      <w:r w:rsidRPr="00365EEF">
        <w:rPr>
          <w:rFonts w:asciiTheme="minorHAnsi" w:hAnsiTheme="minorHAnsi" w:cstheme="minorHAnsi"/>
          <w:bCs/>
          <w:color w:val="auto"/>
          <w:sz w:val="24"/>
          <w:szCs w:val="24"/>
        </w:rPr>
        <w:lastRenderedPageBreak/>
        <w:t>confirmed by comparison of retention times and mass spectra with known values repor</w:t>
      </w:r>
      <w:r w:rsidR="00265253" w:rsidRPr="00365EEF">
        <w:rPr>
          <w:rFonts w:asciiTheme="minorHAnsi" w:hAnsiTheme="minorHAnsi" w:cstheme="minorHAnsi"/>
          <w:bCs/>
          <w:color w:val="auto"/>
          <w:sz w:val="24"/>
          <w:szCs w:val="24"/>
        </w:rPr>
        <w:t xml:space="preserve">ted in the literature </w:t>
      </w:r>
      <w:r w:rsidR="004050F5" w:rsidRPr="00365EEF">
        <w:rPr>
          <w:rFonts w:asciiTheme="minorHAnsi" w:hAnsiTheme="minorHAnsi" w:cstheme="minorHAnsi"/>
          <w:bCs/>
          <w:color w:val="auto"/>
          <w:sz w:val="24"/>
          <w:szCs w:val="24"/>
        </w:rPr>
        <w:t xml:space="preserve">[36, 38]. </w:t>
      </w:r>
      <w:r w:rsidRPr="00365EEF">
        <w:rPr>
          <w:rFonts w:asciiTheme="minorHAnsi" w:hAnsiTheme="minorHAnsi" w:cstheme="minorHAnsi"/>
          <w:bCs/>
          <w:color w:val="auto"/>
          <w:sz w:val="24"/>
          <w:szCs w:val="24"/>
        </w:rPr>
        <w:t xml:space="preserve"> For each compound identified, the retention index (Kovats retention index) was determined according to the following formula:</w:t>
      </w:r>
    </w:p>
    <w:p w14:paraId="781D7B4A" w14:textId="77777777" w:rsidR="00D877B4" w:rsidRPr="00365EEF" w:rsidRDefault="00D877B4" w:rsidP="00D877B4">
      <w:pPr>
        <w:pStyle w:val="MDPI31text"/>
        <w:spacing w:line="360" w:lineRule="auto"/>
        <w:ind w:firstLine="0"/>
        <w:rPr>
          <w:rFonts w:asciiTheme="minorHAnsi" w:hAnsiTheme="minorHAnsi" w:cstheme="minorHAnsi"/>
          <w:b/>
          <w:bCs/>
          <w:color w:val="auto"/>
          <w:sz w:val="24"/>
          <w:szCs w:val="24"/>
        </w:rPr>
      </w:pPr>
      <m:oMathPara>
        <m:oMath>
          <m:r>
            <m:rPr>
              <m:sty m:val="b"/>
            </m:rPr>
            <w:rPr>
              <w:rFonts w:ascii="Cambria Math" w:hAnsi="Cambria Math" w:cstheme="minorHAnsi"/>
              <w:color w:val="auto"/>
              <w:sz w:val="24"/>
              <w:szCs w:val="24"/>
              <w:lang w:val="de-DE"/>
            </w:rPr>
            <m:t>IK</m:t>
          </m:r>
          <m:r>
            <m:rPr>
              <m:sty m:val="b"/>
            </m:rPr>
            <w:rPr>
              <w:rFonts w:ascii="Cambria Math" w:hAnsi="Cambria Math" w:cstheme="minorHAnsi"/>
              <w:color w:val="auto"/>
              <w:sz w:val="24"/>
              <w:szCs w:val="24"/>
            </w:rPr>
            <m:t xml:space="preserve"> =</m:t>
          </m:r>
          <m:r>
            <m:rPr>
              <m:sty m:val="b"/>
            </m:rPr>
            <w:rPr>
              <w:rFonts w:ascii="Cambria Math" w:hAnsi="Cambria Math" w:cstheme="minorHAnsi"/>
              <w:color w:val="auto"/>
              <w:sz w:val="24"/>
              <w:szCs w:val="24"/>
              <w:lang w:val="de-DE"/>
            </w:rPr>
            <m:t>100</m:t>
          </m:r>
          <m:d>
            <m:dPr>
              <m:ctrlPr>
                <w:rPr>
                  <w:rFonts w:ascii="Cambria Math" w:hAnsi="Cambria Math" w:cstheme="minorHAnsi"/>
                  <w:b/>
                  <w:bCs/>
                  <w:color w:val="auto"/>
                  <w:sz w:val="24"/>
                  <w:szCs w:val="24"/>
                </w:rPr>
              </m:ctrlPr>
            </m:dPr>
            <m:e>
              <m:r>
                <m:rPr>
                  <m:sty m:val="b"/>
                </m:rPr>
                <w:rPr>
                  <w:rFonts w:ascii="Cambria Math" w:hAnsi="Cambria Math" w:cstheme="minorHAnsi"/>
                  <w:color w:val="auto"/>
                  <w:sz w:val="24"/>
                  <w:szCs w:val="24"/>
                </w:rPr>
                <m:t>n+</m:t>
              </m:r>
              <m:f>
                <m:fPr>
                  <m:ctrlPr>
                    <w:rPr>
                      <w:rFonts w:ascii="Cambria Math" w:hAnsi="Cambria Math" w:cstheme="minorHAnsi"/>
                      <w:b/>
                      <w:bCs/>
                      <w:color w:val="auto"/>
                      <w:sz w:val="24"/>
                      <w:szCs w:val="24"/>
                    </w:rPr>
                  </m:ctrlPr>
                </m:fPr>
                <m:num>
                  <m:r>
                    <m:rPr>
                      <m:sty m:val="b"/>
                    </m:rPr>
                    <w:rPr>
                      <w:rFonts w:ascii="Cambria Math" w:hAnsi="Cambria Math" w:cstheme="minorHAnsi"/>
                      <w:color w:val="auto"/>
                      <w:sz w:val="24"/>
                      <w:szCs w:val="24"/>
                    </w:rPr>
                    <m:t>Tr(X) -Tr(Cn)</m:t>
                  </m:r>
                </m:num>
                <m:den>
                  <m:r>
                    <m:rPr>
                      <m:sty m:val="b"/>
                    </m:rPr>
                    <w:rPr>
                      <w:rFonts w:ascii="Cambria Math" w:hAnsi="Cambria Math" w:cstheme="minorHAnsi"/>
                      <w:color w:val="auto"/>
                      <w:sz w:val="24"/>
                      <w:szCs w:val="24"/>
                    </w:rPr>
                    <m:t>Tr(Cn+1) -Tr(Cn)</m:t>
                  </m:r>
                </m:den>
              </m:f>
            </m:e>
          </m:d>
        </m:oMath>
      </m:oMathPara>
    </w:p>
    <w:p w14:paraId="1E0FAFE9"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p>
    <w:p w14:paraId="5ADC3205"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IK = Kovats retention index</w:t>
      </w:r>
    </w:p>
    <w:p w14:paraId="4C77C262"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Tr (Cn) = retention time of alkane at n atoms of carbons</w:t>
      </w:r>
    </w:p>
    <w:p w14:paraId="2968F7E7"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Tr (Cn + 1) = retention time of alkane at (n + 1) atoms of carbons</w:t>
      </w:r>
    </w:p>
    <w:p w14:paraId="3AFB2BA4"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Tr (x) = retention time for compound x</w:t>
      </w:r>
    </w:p>
    <w:p w14:paraId="50C5FA6F" w14:textId="77777777" w:rsidR="00D877B4" w:rsidRPr="00365EEF" w:rsidRDefault="00D877B4" w:rsidP="00D877B4">
      <w:pPr>
        <w:pStyle w:val="MDPI31text"/>
        <w:spacing w:line="360" w:lineRule="auto"/>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                </w:t>
      </w:r>
    </w:p>
    <w:p w14:paraId="56255595"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2.2.3. Preparation of the emulsions</w:t>
      </w:r>
    </w:p>
    <w:p w14:paraId="71510620"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The emulsions were prepared according to a </w:t>
      </w:r>
      <w:r w:rsidR="00265253" w:rsidRPr="00365EEF">
        <w:rPr>
          <w:rFonts w:asciiTheme="minorHAnsi" w:hAnsiTheme="minorHAnsi" w:cstheme="minorHAnsi"/>
          <w:bCs/>
          <w:color w:val="auto"/>
          <w:sz w:val="24"/>
          <w:szCs w:val="24"/>
        </w:rPr>
        <w:t xml:space="preserve">previously described protocol </w:t>
      </w:r>
      <w:r w:rsidR="004050F5" w:rsidRPr="00365EEF">
        <w:rPr>
          <w:rFonts w:asciiTheme="minorHAnsi" w:hAnsiTheme="minorHAnsi" w:cstheme="minorHAnsi"/>
          <w:bCs/>
          <w:color w:val="auto"/>
          <w:sz w:val="24"/>
          <w:szCs w:val="24"/>
        </w:rPr>
        <w:t>[39]</w:t>
      </w:r>
      <w:r w:rsidRPr="00365EEF">
        <w:rPr>
          <w:rFonts w:asciiTheme="minorHAnsi" w:hAnsiTheme="minorHAnsi" w:cstheme="minorHAnsi"/>
          <w:bCs/>
          <w:color w:val="auto"/>
          <w:sz w:val="24"/>
          <w:szCs w:val="24"/>
        </w:rPr>
        <w:t>. In this experiment, 5% tween 80 was used as a surfactant, corresponding to an hydrophile-lipophile balance (HLB) of 15. In fact, the emulsion was prepared by mixing Tween 80 (5%), essential oil (5%) and distilled water (90%). Briefly, 0.5g of Tween 80 were mixed with 0.5g of each essential oil under mechanical agitation at 400 rotations per minute (rpm) for 30 min. Next, 9 mL of distilled water was added to the mixture at 2 mL/min while stirring at 400 rpm. After water’s addition, the preparation was kept under agitation for an additional two hours. Afterwards, the as-prepared formulations were further characterized.</w:t>
      </w:r>
    </w:p>
    <w:p w14:paraId="4C64E107"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2.2.4. Characterization of the emulsions</w:t>
      </w:r>
    </w:p>
    <w:p w14:paraId="5519967E"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a-Macroscopic examination</w:t>
      </w:r>
    </w:p>
    <w:p w14:paraId="51AF4E84"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The characteristics of the as-prepared emulsions were done by macroscopic examination using naked eyes.</w:t>
      </w:r>
    </w:p>
    <w:p w14:paraId="4D6409A0"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 xml:space="preserve">b-Stability assessment by centrifugation </w:t>
      </w:r>
    </w:p>
    <w:p w14:paraId="11D219A4"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The stability was assessed by centrifugation of the emulsion upon addition of a few drops of methylene blue at different velocities </w:t>
      </w:r>
      <w:r w:rsidRPr="00365EEF">
        <w:rPr>
          <w:rFonts w:asciiTheme="minorHAnsi" w:hAnsiTheme="minorHAnsi" w:cstheme="minorHAnsi"/>
          <w:bCs/>
          <w:i/>
          <w:color w:val="auto"/>
          <w:sz w:val="24"/>
          <w:szCs w:val="24"/>
        </w:rPr>
        <w:t>viz.</w:t>
      </w:r>
      <w:r w:rsidRPr="00365EEF">
        <w:rPr>
          <w:rFonts w:asciiTheme="minorHAnsi" w:hAnsiTheme="minorHAnsi" w:cstheme="minorHAnsi"/>
          <w:bCs/>
          <w:color w:val="auto"/>
          <w:sz w:val="24"/>
          <w:szCs w:val="24"/>
        </w:rPr>
        <w:t xml:space="preserve"> 1000, 2000 and 3000 rpm for 10 minutes.</w:t>
      </w:r>
    </w:p>
    <w:p w14:paraId="442E6C3D"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b-Direction of the emulsion</w:t>
      </w:r>
    </w:p>
    <w:p w14:paraId="43FB3AD3"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It is always necessary to determine the direction of the emulsion after its preparation. To this end, the as-prepared emulsion was washed with water followed by a visual examination. On the other hand, the methylene blue dye was also used to assess the direction of the emulsion. </w:t>
      </w:r>
      <w:r w:rsidRPr="00365EEF">
        <w:rPr>
          <w:rFonts w:asciiTheme="minorHAnsi" w:hAnsiTheme="minorHAnsi" w:cstheme="minorHAnsi"/>
          <w:bCs/>
          <w:color w:val="auto"/>
          <w:sz w:val="24"/>
          <w:szCs w:val="24"/>
        </w:rPr>
        <w:lastRenderedPageBreak/>
        <w:t>In brief, a few drops of methylene blue were added to the prepared emulsions, followed by a visual examination.</w:t>
      </w:r>
    </w:p>
    <w:p w14:paraId="180C8241"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 xml:space="preserve">c-Determination of pH </w:t>
      </w:r>
    </w:p>
    <w:p w14:paraId="32EDA3AC"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The pH was determined using a pH meter at room temperature.</w:t>
      </w:r>
    </w:p>
    <w:p w14:paraId="61ACCFD4"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2.2.5. Antidermatophytic assay</w:t>
      </w:r>
    </w:p>
    <w:p w14:paraId="3DADE9C2"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a. Preparation of microbial inocula</w:t>
      </w:r>
    </w:p>
    <w:p w14:paraId="53ED86F9"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The suspensions of selected fungi were prepared from 48 hours old fungal cultures, which were under incubation at 37°C on Sabouraud Dextrose Agar medium. Thus, two to three colonies of each microorganism were collected under sterile conditions (with a bec bunsen flamme) using a platinum loop and added to 10 mL of normal saline (NaCl 0.9%) and then homogenized to obtain a turbidity equivalent to 0.5 Mc Farland (1.5x10</w:t>
      </w:r>
      <w:r w:rsidRPr="00365EEF">
        <w:rPr>
          <w:rFonts w:asciiTheme="minorHAnsi" w:hAnsiTheme="minorHAnsi" w:cstheme="minorHAnsi"/>
          <w:bCs/>
          <w:color w:val="auto"/>
          <w:sz w:val="24"/>
          <w:szCs w:val="24"/>
          <w:vertAlign w:val="superscript"/>
        </w:rPr>
        <w:t>8</w:t>
      </w:r>
      <w:r w:rsidRPr="00365EEF">
        <w:rPr>
          <w:rFonts w:asciiTheme="minorHAnsi" w:hAnsiTheme="minorHAnsi" w:cstheme="minorHAnsi"/>
          <w:bCs/>
          <w:color w:val="auto"/>
          <w:sz w:val="24"/>
          <w:szCs w:val="24"/>
        </w:rPr>
        <w:t xml:space="preserve"> CFU/mL) as recommended by the « Comité de l’antibiogramme de la socié</w:t>
      </w:r>
      <w:r w:rsidR="00265253" w:rsidRPr="00365EEF">
        <w:rPr>
          <w:rFonts w:asciiTheme="minorHAnsi" w:hAnsiTheme="minorHAnsi" w:cstheme="minorHAnsi"/>
          <w:bCs/>
          <w:color w:val="auto"/>
          <w:sz w:val="24"/>
          <w:szCs w:val="24"/>
        </w:rPr>
        <w:t xml:space="preserve">té française de microbiologie » </w:t>
      </w:r>
      <w:r w:rsidR="004050F5" w:rsidRPr="00365EEF">
        <w:rPr>
          <w:rFonts w:asciiTheme="minorHAnsi" w:hAnsiTheme="minorHAnsi" w:cstheme="minorHAnsi"/>
          <w:bCs/>
          <w:color w:val="auto"/>
          <w:sz w:val="24"/>
          <w:szCs w:val="24"/>
        </w:rPr>
        <w:t>[40]</w:t>
      </w:r>
      <w:r w:rsidRPr="00365EEF">
        <w:rPr>
          <w:rFonts w:asciiTheme="minorHAnsi" w:hAnsiTheme="minorHAnsi" w:cstheme="minorHAnsi"/>
          <w:bCs/>
          <w:color w:val="auto"/>
          <w:sz w:val="24"/>
          <w:szCs w:val="24"/>
        </w:rPr>
        <w:t>. The microbial suspension was further diluted 20 times using Sabouraud Dextrose Broth (SDB) to adjust the number of fungal colonies to approximately 1.5x10</w:t>
      </w:r>
      <w:r w:rsidRPr="00365EEF">
        <w:rPr>
          <w:rFonts w:asciiTheme="minorHAnsi" w:hAnsiTheme="minorHAnsi" w:cstheme="minorHAnsi"/>
          <w:bCs/>
          <w:color w:val="auto"/>
          <w:sz w:val="24"/>
          <w:szCs w:val="24"/>
          <w:vertAlign w:val="superscript"/>
        </w:rPr>
        <w:t>4</w:t>
      </w:r>
      <w:r w:rsidR="00265253" w:rsidRPr="00365EEF">
        <w:rPr>
          <w:rFonts w:asciiTheme="minorHAnsi" w:hAnsiTheme="minorHAnsi" w:cstheme="minorHAnsi"/>
          <w:bCs/>
          <w:color w:val="auto"/>
          <w:sz w:val="24"/>
          <w:szCs w:val="24"/>
        </w:rPr>
        <w:t xml:space="preserve"> CFU/mL</w:t>
      </w:r>
      <w:r w:rsidRPr="00365EEF">
        <w:rPr>
          <w:rFonts w:asciiTheme="minorHAnsi" w:hAnsiTheme="minorHAnsi" w:cstheme="minorHAnsi"/>
          <w:bCs/>
          <w:color w:val="auto"/>
          <w:sz w:val="24"/>
          <w:szCs w:val="24"/>
        </w:rPr>
        <w:t>.</w:t>
      </w:r>
    </w:p>
    <w:p w14:paraId="5A5FF3F1"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b. Preparation of solutions</w:t>
      </w:r>
    </w:p>
    <w:p w14:paraId="2E1E5D90"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b.1. Preparation of essential oils</w:t>
      </w:r>
    </w:p>
    <w:p w14:paraId="5DF81E33" w14:textId="77777777" w:rsidR="00D877B4" w:rsidRPr="00365EEF" w:rsidRDefault="00D877B4" w:rsidP="004050F5">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The as-prepared essential oils were added to dimethylsulfox</w:t>
      </w:r>
      <w:r w:rsidR="004050F5" w:rsidRPr="00365EEF">
        <w:rPr>
          <w:rFonts w:asciiTheme="minorHAnsi" w:hAnsiTheme="minorHAnsi" w:cstheme="minorHAnsi"/>
          <w:bCs/>
          <w:color w:val="auto"/>
          <w:sz w:val="24"/>
          <w:szCs w:val="24"/>
        </w:rPr>
        <w:t>ide (DMSO) solution (1:9; v/v) </w:t>
      </w:r>
      <w:r w:rsidRPr="00365EEF">
        <w:rPr>
          <w:rFonts w:asciiTheme="minorHAnsi" w:hAnsiTheme="minorHAnsi" w:cstheme="minorHAnsi"/>
          <w:bCs/>
          <w:color w:val="auto"/>
          <w:sz w:val="24"/>
          <w:szCs w:val="24"/>
        </w:rPr>
        <w:t>to achieve a final concentration of 103000 ppm. This solution was further diluted using the SDB medium to yield test concentrations of 12800 ppm and 3200 ppm, the latter being considered as the concentration in t</w:t>
      </w:r>
      <w:r w:rsidR="00265253" w:rsidRPr="00365EEF">
        <w:rPr>
          <w:rFonts w:asciiTheme="minorHAnsi" w:hAnsiTheme="minorHAnsi" w:cstheme="minorHAnsi"/>
          <w:bCs/>
          <w:color w:val="auto"/>
          <w:sz w:val="24"/>
          <w:szCs w:val="24"/>
        </w:rPr>
        <w:t xml:space="preserve">he first well of the microplate </w:t>
      </w:r>
      <w:r w:rsidR="004050F5" w:rsidRPr="00365EEF">
        <w:rPr>
          <w:rFonts w:asciiTheme="minorHAnsi" w:hAnsiTheme="minorHAnsi" w:cstheme="minorHAnsi"/>
          <w:bCs/>
          <w:color w:val="auto"/>
          <w:sz w:val="24"/>
          <w:szCs w:val="24"/>
        </w:rPr>
        <w:t>[40].</w:t>
      </w:r>
    </w:p>
    <w:p w14:paraId="12AB6FE9"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b.2. Preparation of the sterility control</w:t>
      </w:r>
    </w:p>
    <w:p w14:paraId="55F0E7E7"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To verify whether the as-prepared essential oils are free of germs, the sterility control was assessed by inoculating a few microliters of stock solutions of essential oils onto the SDA (agar), followed by an incubation at 37°C for 24-48 hrs.</w:t>
      </w:r>
    </w:p>
    <w:p w14:paraId="15FD73D8"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c. Inhibition test</w:t>
      </w:r>
    </w:p>
    <w:p w14:paraId="3751E0AA"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 xml:space="preserve">  </w:t>
      </w:r>
      <w:r w:rsidRPr="00365EEF">
        <w:rPr>
          <w:rFonts w:asciiTheme="minorHAnsi" w:hAnsiTheme="minorHAnsi" w:cstheme="minorHAnsi"/>
          <w:bCs/>
          <w:color w:val="auto"/>
          <w:sz w:val="24"/>
          <w:szCs w:val="24"/>
        </w:rPr>
        <w:t>The antidermatophytic activity of the essential oils was evaluated by incorporation in agar medium as previo</w:t>
      </w:r>
      <w:r w:rsidR="00265253" w:rsidRPr="00365EEF">
        <w:rPr>
          <w:rFonts w:asciiTheme="minorHAnsi" w:hAnsiTheme="minorHAnsi" w:cstheme="minorHAnsi"/>
          <w:bCs/>
          <w:color w:val="auto"/>
          <w:sz w:val="24"/>
          <w:szCs w:val="24"/>
        </w:rPr>
        <w:t>usly described by Lahlou et al.</w:t>
      </w:r>
      <w:r w:rsidR="004050F5" w:rsidRPr="00365EEF">
        <w:rPr>
          <w:rFonts w:asciiTheme="minorHAnsi" w:hAnsiTheme="minorHAnsi" w:cstheme="minorHAnsi"/>
          <w:bCs/>
          <w:color w:val="auto"/>
          <w:sz w:val="24"/>
          <w:szCs w:val="24"/>
        </w:rPr>
        <w:t xml:space="preserve"> [41]</w:t>
      </w:r>
      <w:r w:rsidRPr="00365EEF">
        <w:rPr>
          <w:rFonts w:asciiTheme="minorHAnsi" w:hAnsiTheme="minorHAnsi" w:cstheme="minorHAnsi"/>
          <w:bCs/>
          <w:color w:val="auto"/>
          <w:sz w:val="24"/>
          <w:szCs w:val="24"/>
        </w:rPr>
        <w:t>. Different concentrations of the SDB diluted essential oils were distributed into a 90 mm petri dish. After solidification of the culture medium, a 3 mm mycelial disc taken from a 4 days pre-culture was placed at the center of the Petri dishes. The preparation was incubated at room temperature and the mycelial growth was followed by measuring the diameter of the mycelial disc daily for 14 days. Each experiment was done in triplicate.</w:t>
      </w:r>
    </w:p>
    <w:p w14:paraId="5B24A044"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Cs/>
          <w:color w:val="auto"/>
          <w:sz w:val="24"/>
          <w:szCs w:val="24"/>
        </w:rPr>
        <w:lastRenderedPageBreak/>
        <w:t xml:space="preserve"> The percentages of inhibition were calculated using the following formula : </w:t>
      </w:r>
      <w:r w:rsidRPr="00365EEF">
        <w:rPr>
          <w:rFonts w:asciiTheme="minorHAnsi" w:hAnsiTheme="minorHAnsi" w:cstheme="minorHAnsi"/>
          <w:b/>
          <w:bCs/>
          <w:color w:val="auto"/>
          <w:sz w:val="24"/>
          <w:szCs w:val="24"/>
        </w:rPr>
        <w:t xml:space="preserve">   </w:t>
      </w:r>
    </w:p>
    <w:p w14:paraId="2725279F"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p>
    <w:p w14:paraId="576DCD36" w14:textId="77777777" w:rsidR="00D877B4" w:rsidRPr="00365EEF" w:rsidRDefault="00D877B4" w:rsidP="00D877B4">
      <w:pPr>
        <w:pStyle w:val="MDPI31text"/>
        <w:spacing w:line="360" w:lineRule="auto"/>
        <w:ind w:firstLine="0"/>
        <w:rPr>
          <w:rFonts w:asciiTheme="minorHAnsi" w:hAnsiTheme="minorHAnsi" w:cstheme="minorHAnsi"/>
          <w:b/>
          <w:bCs/>
          <w:color w:val="auto"/>
          <w:sz w:val="24"/>
          <w:szCs w:val="24"/>
        </w:rPr>
      </w:pPr>
      <m:oMathPara>
        <m:oMath>
          <m:r>
            <m:rPr>
              <m:sty m:val="b"/>
            </m:rPr>
            <w:rPr>
              <w:rFonts w:ascii="Cambria Math" w:hAnsi="Cambria Math" w:cstheme="minorHAnsi"/>
              <w:color w:val="auto"/>
              <w:sz w:val="24"/>
              <w:szCs w:val="24"/>
            </w:rPr>
            <m:t>%I=</m:t>
          </m:r>
          <m:d>
            <m:dPr>
              <m:ctrlPr>
                <w:rPr>
                  <w:rFonts w:ascii="Cambria Math" w:hAnsi="Cambria Math" w:cstheme="minorHAnsi"/>
                  <w:b/>
                  <w:bCs/>
                  <w:color w:val="auto"/>
                  <w:sz w:val="24"/>
                  <w:szCs w:val="24"/>
                </w:rPr>
              </m:ctrlPr>
            </m:dPr>
            <m:e>
              <m:f>
                <m:fPr>
                  <m:ctrlPr>
                    <w:rPr>
                      <w:rFonts w:ascii="Cambria Math" w:hAnsi="Cambria Math" w:cstheme="minorHAnsi"/>
                      <w:b/>
                      <w:bCs/>
                      <w:color w:val="auto"/>
                      <w:sz w:val="24"/>
                      <w:szCs w:val="24"/>
                    </w:rPr>
                  </m:ctrlPr>
                </m:fPr>
                <m:num>
                  <m:r>
                    <m:rPr>
                      <m:sty m:val="b"/>
                    </m:rPr>
                    <w:rPr>
                      <w:rFonts w:ascii="Cambria Math" w:hAnsi="Cambria Math" w:cstheme="minorHAnsi"/>
                      <w:color w:val="auto"/>
                      <w:sz w:val="24"/>
                      <w:szCs w:val="24"/>
                    </w:rPr>
                    <m:t>Dt -De</m:t>
                  </m:r>
                </m:num>
                <m:den>
                  <m:r>
                    <m:rPr>
                      <m:sty m:val="b"/>
                    </m:rPr>
                    <w:rPr>
                      <w:rFonts w:ascii="Cambria Math" w:hAnsi="Cambria Math" w:cstheme="minorHAnsi"/>
                      <w:color w:val="auto"/>
                      <w:sz w:val="24"/>
                      <w:szCs w:val="24"/>
                    </w:rPr>
                    <m:t>Dt</m:t>
                  </m:r>
                </m:den>
              </m:f>
            </m:e>
          </m:d>
          <m:r>
            <m:rPr>
              <m:sty m:val="bi"/>
            </m:rPr>
            <w:rPr>
              <w:rFonts w:ascii="Cambria Math" w:hAnsi="Cambria Math" w:cstheme="minorHAnsi"/>
              <w:color w:val="auto"/>
              <w:sz w:val="24"/>
              <w:szCs w:val="24"/>
            </w:rPr>
            <m:t>x</m:t>
          </m:r>
          <m:r>
            <m:rPr>
              <m:sty m:val="bi"/>
            </m:rPr>
            <w:rPr>
              <w:rFonts w:ascii="Cambria Math" w:hAnsi="Cambria Math" w:cstheme="minorHAnsi"/>
              <w:color w:val="auto"/>
              <w:sz w:val="24"/>
              <w:szCs w:val="24"/>
            </w:rPr>
            <m:t>100</m:t>
          </m:r>
        </m:oMath>
      </m:oMathPara>
    </w:p>
    <w:p w14:paraId="2A667147"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Dt</w:t>
      </w:r>
      <w:r w:rsidRPr="00365EEF">
        <w:rPr>
          <w:rFonts w:asciiTheme="minorHAnsi" w:hAnsiTheme="minorHAnsi" w:cstheme="minorHAnsi"/>
          <w:bCs/>
          <w:color w:val="auto"/>
          <w:sz w:val="24"/>
          <w:szCs w:val="24"/>
        </w:rPr>
        <w:t xml:space="preserve"> = diameter of the fungal growth in the negative control Petri dish; </w:t>
      </w:r>
      <w:r w:rsidRPr="00365EEF">
        <w:rPr>
          <w:rFonts w:asciiTheme="minorHAnsi" w:hAnsiTheme="minorHAnsi" w:cstheme="minorHAnsi"/>
          <w:b/>
          <w:bCs/>
          <w:color w:val="auto"/>
          <w:sz w:val="24"/>
          <w:szCs w:val="24"/>
        </w:rPr>
        <w:t>De</w:t>
      </w:r>
      <w:r w:rsidRPr="00365EEF">
        <w:rPr>
          <w:rFonts w:asciiTheme="minorHAnsi" w:hAnsiTheme="minorHAnsi" w:cstheme="minorHAnsi"/>
          <w:bCs/>
          <w:color w:val="auto"/>
          <w:sz w:val="24"/>
          <w:szCs w:val="24"/>
        </w:rPr>
        <w:t xml:space="preserve"> = diameter of the fungal growth in the test Petri dish. Griseofulvin was used as positive control.</w:t>
      </w:r>
    </w:p>
    <w:p w14:paraId="37147068"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p>
    <w:p w14:paraId="262927CA"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d. Determination of the minimal inhibitory concentration (MIC) and minimal fungicidal concentration (MFC)</w:t>
      </w:r>
    </w:p>
    <w:p w14:paraId="13E83A57" w14:textId="77777777" w:rsidR="00D877B4" w:rsidRPr="00365EEF" w:rsidRDefault="00D877B4" w:rsidP="00D877B4">
      <w:pPr>
        <w:pStyle w:val="MDPI31text"/>
        <w:spacing w:line="360" w:lineRule="auto"/>
        <w:ind w:left="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The MIC of the essential oil </w:t>
      </w:r>
      <w:commentRangeStart w:id="0"/>
      <w:r w:rsidRPr="00365EEF">
        <w:rPr>
          <w:rFonts w:asciiTheme="minorHAnsi" w:hAnsiTheme="minorHAnsi" w:cstheme="minorHAnsi"/>
          <w:bCs/>
          <w:color w:val="auto"/>
          <w:sz w:val="24"/>
          <w:szCs w:val="24"/>
        </w:rPr>
        <w:t>were</w:t>
      </w:r>
      <w:commentRangeEnd w:id="0"/>
      <w:r w:rsidR="00AB30B9">
        <w:rPr>
          <w:rStyle w:val="Marquedecommentaire"/>
          <w:rFonts w:asciiTheme="minorHAnsi" w:eastAsiaTheme="minorHAnsi" w:hAnsiTheme="minorHAnsi" w:cstheme="minorBidi"/>
          <w:snapToGrid/>
          <w:color w:val="auto"/>
          <w:lang w:val="fr-FR" w:eastAsia="en-US" w:bidi="ar-SA"/>
        </w:rPr>
        <w:commentReference w:id="0"/>
      </w:r>
      <w:r w:rsidRPr="00365EEF">
        <w:rPr>
          <w:rFonts w:asciiTheme="minorHAnsi" w:hAnsiTheme="minorHAnsi" w:cstheme="minorHAnsi"/>
          <w:bCs/>
          <w:color w:val="auto"/>
          <w:sz w:val="24"/>
          <w:szCs w:val="24"/>
        </w:rPr>
        <w:t xml:space="preserve"> determined as the smallest concentration of essential oil which totally inhibited the visible growth of the dermatophyte until the end of the experiment. The MFC was determined by transferring the mycelial discs from the Petri dishes where the growth inhibition was complete to new dishes containing the SDA medium not supplemented with essential oil. The petri dishes were incubated for 14 days. Thus, the essential oil was considered to be fungicidal when there was no dermatophyte growth, or fungistatic when dermatophyte resume growth. </w:t>
      </w:r>
    </w:p>
    <w:p w14:paraId="4F12D9CC" w14:textId="77777777" w:rsidR="00D877B4" w:rsidRPr="00365EEF" w:rsidRDefault="00D877B4" w:rsidP="00D877B4">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 xml:space="preserve">2.3. Statistical analysis of data </w:t>
      </w:r>
    </w:p>
    <w:p w14:paraId="213A37CF" w14:textId="77777777" w:rsidR="00D877B4" w:rsidRPr="00365EEF" w:rsidRDefault="00D877B4" w:rsidP="00D877B4">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All tests were performed in triplicate. The results were expressed as a mean plus or minus standard deviation. Analysis of variance and testing of multiple ranges were performed to highlight significant differences between the means. Pearson's correlations were performed to test the significance link between percentages and concentration of essential oils and positive controls. The analyzes were all carried out using StatGraphics Centurium software 17.1.8 version, and the significance level was set at 0.05.</w:t>
      </w:r>
    </w:p>
    <w:p w14:paraId="517BCBBA" w14:textId="77777777" w:rsidR="00AA469B" w:rsidRPr="00365EEF" w:rsidRDefault="00D877B4" w:rsidP="00D877B4">
      <w:pPr>
        <w:spacing w:after="0" w:line="360" w:lineRule="auto"/>
        <w:jc w:val="both"/>
        <w:rPr>
          <w:rFonts w:cstheme="minorHAnsi"/>
          <w:sz w:val="24"/>
          <w:szCs w:val="24"/>
          <w:lang w:bidi="en-US"/>
        </w:rPr>
      </w:pPr>
      <w:r w:rsidRPr="00365EEF">
        <w:rPr>
          <w:rFonts w:cstheme="minorHAnsi"/>
          <w:b/>
          <w:sz w:val="24"/>
          <w:szCs w:val="24"/>
          <w:lang w:bidi="en-US"/>
        </w:rPr>
        <w:t>3</w:t>
      </w:r>
      <w:r w:rsidR="00AA469B" w:rsidRPr="00365EEF">
        <w:rPr>
          <w:rFonts w:cstheme="minorHAnsi"/>
          <w:b/>
          <w:sz w:val="24"/>
          <w:szCs w:val="24"/>
          <w:lang w:bidi="en-US"/>
        </w:rPr>
        <w:t>. Results and discussion</w:t>
      </w:r>
    </w:p>
    <w:p w14:paraId="15437C02" w14:textId="77777777" w:rsidR="00AA469B" w:rsidRPr="00365EEF" w:rsidRDefault="00D877B4" w:rsidP="00D877B4">
      <w:pPr>
        <w:spacing w:after="0" w:line="360" w:lineRule="auto"/>
        <w:jc w:val="both"/>
        <w:rPr>
          <w:rFonts w:cstheme="minorHAnsi"/>
          <w:b/>
          <w:sz w:val="24"/>
          <w:szCs w:val="24"/>
          <w:lang w:bidi="en-US"/>
        </w:rPr>
      </w:pPr>
      <w:r w:rsidRPr="00365EEF">
        <w:rPr>
          <w:rFonts w:cstheme="minorHAnsi"/>
          <w:b/>
          <w:sz w:val="24"/>
          <w:szCs w:val="24"/>
          <w:lang w:bidi="en-US"/>
        </w:rPr>
        <w:t>3</w:t>
      </w:r>
      <w:r w:rsidR="00AA469B" w:rsidRPr="00365EEF">
        <w:rPr>
          <w:rFonts w:cstheme="minorHAnsi"/>
          <w:b/>
          <w:sz w:val="24"/>
          <w:szCs w:val="24"/>
          <w:lang w:bidi="en-US"/>
        </w:rPr>
        <w:t>.1. Results</w:t>
      </w:r>
    </w:p>
    <w:p w14:paraId="58F91F9C" w14:textId="77777777" w:rsidR="00AA469B" w:rsidRPr="00365EEF" w:rsidRDefault="00D877B4" w:rsidP="00D877B4">
      <w:pPr>
        <w:spacing w:after="0" w:line="360" w:lineRule="auto"/>
        <w:jc w:val="both"/>
        <w:rPr>
          <w:rFonts w:cstheme="minorHAnsi"/>
          <w:b/>
          <w:sz w:val="24"/>
          <w:szCs w:val="24"/>
          <w:lang w:bidi="en-US"/>
        </w:rPr>
      </w:pPr>
      <w:r w:rsidRPr="00365EEF">
        <w:rPr>
          <w:rFonts w:cstheme="minorHAnsi"/>
          <w:b/>
          <w:sz w:val="24"/>
          <w:szCs w:val="24"/>
          <w:lang w:bidi="en-US"/>
        </w:rPr>
        <w:t>3</w:t>
      </w:r>
      <w:r w:rsidR="00AA469B" w:rsidRPr="00365EEF">
        <w:rPr>
          <w:rFonts w:cstheme="minorHAnsi"/>
          <w:b/>
          <w:sz w:val="24"/>
          <w:szCs w:val="24"/>
          <w:lang w:bidi="en-US"/>
        </w:rPr>
        <w:t>.1.1. Yields of extraction</w:t>
      </w:r>
    </w:p>
    <w:p w14:paraId="683E7711" w14:textId="77777777" w:rsidR="00AA469B" w:rsidRPr="00365EEF" w:rsidRDefault="00AA469B" w:rsidP="006F62DE">
      <w:pPr>
        <w:spacing w:line="360" w:lineRule="auto"/>
        <w:jc w:val="both"/>
        <w:rPr>
          <w:rFonts w:cstheme="minorHAnsi"/>
          <w:sz w:val="24"/>
          <w:szCs w:val="24"/>
          <w:lang w:bidi="en-US"/>
        </w:rPr>
      </w:pPr>
      <w:r w:rsidRPr="00365EEF">
        <w:rPr>
          <w:rFonts w:cstheme="minorHAnsi"/>
          <w:sz w:val="24"/>
          <w:szCs w:val="24"/>
          <w:lang w:bidi="en-US"/>
        </w:rPr>
        <w:t xml:space="preserve">The essential oils were obtained as bright and dark yellow substances for </w:t>
      </w:r>
      <w:r w:rsidRPr="00365EEF">
        <w:rPr>
          <w:rFonts w:cstheme="minorHAnsi"/>
          <w:i/>
          <w:sz w:val="24"/>
          <w:szCs w:val="24"/>
          <w:lang w:bidi="en-US"/>
        </w:rPr>
        <w:t>Ocimum gratissimum</w:t>
      </w:r>
      <w:r w:rsidRPr="00365EEF">
        <w:rPr>
          <w:rFonts w:cstheme="minorHAnsi"/>
          <w:sz w:val="24"/>
          <w:szCs w:val="24"/>
          <w:lang w:bidi="en-US"/>
        </w:rPr>
        <w:t xml:space="preserve"> and </w:t>
      </w:r>
      <w:r w:rsidRPr="00365EEF">
        <w:rPr>
          <w:rFonts w:cstheme="minorHAnsi"/>
          <w:i/>
          <w:sz w:val="24"/>
          <w:szCs w:val="24"/>
          <w:lang w:bidi="en-US"/>
        </w:rPr>
        <w:t>Ocimum basilicum</w:t>
      </w:r>
      <w:r w:rsidRPr="00365EEF">
        <w:rPr>
          <w:rFonts w:cstheme="minorHAnsi"/>
          <w:sz w:val="24"/>
          <w:szCs w:val="24"/>
          <w:lang w:bidi="en-US"/>
        </w:rPr>
        <w:t>,</w:t>
      </w:r>
      <w:r w:rsidRPr="00365EEF">
        <w:rPr>
          <w:rFonts w:cstheme="minorHAnsi"/>
          <w:i/>
          <w:sz w:val="24"/>
          <w:szCs w:val="24"/>
          <w:lang w:bidi="en-US"/>
        </w:rPr>
        <w:t xml:space="preserve"> </w:t>
      </w:r>
      <w:r w:rsidRPr="00365EEF">
        <w:rPr>
          <w:rFonts w:cstheme="minorHAnsi"/>
          <w:sz w:val="24"/>
          <w:szCs w:val="24"/>
          <w:lang w:bidi="en-US"/>
        </w:rPr>
        <w:t xml:space="preserve">respectively. The yields of extraction were found to be 1.12% and 0.62% for </w:t>
      </w:r>
      <w:r w:rsidRPr="00365EEF">
        <w:rPr>
          <w:rFonts w:cstheme="minorHAnsi"/>
          <w:i/>
          <w:sz w:val="24"/>
          <w:szCs w:val="24"/>
          <w:lang w:bidi="en-US"/>
        </w:rPr>
        <w:t>O. gratissimum</w:t>
      </w:r>
      <w:r w:rsidRPr="00365EEF">
        <w:rPr>
          <w:rFonts w:cstheme="minorHAnsi"/>
          <w:sz w:val="24"/>
          <w:szCs w:val="24"/>
          <w:lang w:bidi="en-US"/>
        </w:rPr>
        <w:t xml:space="preserve"> and </w:t>
      </w:r>
      <w:r w:rsidRPr="00365EEF">
        <w:rPr>
          <w:rFonts w:cstheme="minorHAnsi"/>
          <w:i/>
          <w:sz w:val="24"/>
          <w:szCs w:val="24"/>
          <w:lang w:bidi="en-US"/>
        </w:rPr>
        <w:t>O. basilicum</w:t>
      </w:r>
      <w:r w:rsidRPr="00365EEF">
        <w:rPr>
          <w:rFonts w:cstheme="minorHAnsi"/>
          <w:sz w:val="24"/>
          <w:szCs w:val="24"/>
          <w:lang w:bidi="en-US"/>
        </w:rPr>
        <w:t>,</w:t>
      </w:r>
      <w:r w:rsidRPr="00365EEF">
        <w:rPr>
          <w:rFonts w:cstheme="minorHAnsi"/>
          <w:i/>
          <w:sz w:val="24"/>
          <w:szCs w:val="24"/>
          <w:lang w:bidi="en-US"/>
        </w:rPr>
        <w:t xml:space="preserve"> </w:t>
      </w:r>
      <w:r w:rsidRPr="00365EEF">
        <w:rPr>
          <w:rFonts w:cstheme="minorHAnsi"/>
          <w:sz w:val="24"/>
          <w:szCs w:val="24"/>
          <w:lang w:bidi="en-US"/>
        </w:rPr>
        <w:t>respectively (Table 1).</w:t>
      </w:r>
    </w:p>
    <w:p w14:paraId="3F6AA762" w14:textId="77777777" w:rsidR="00AA469B" w:rsidRPr="00365EEF" w:rsidRDefault="00AA469B" w:rsidP="006F62DE">
      <w:pPr>
        <w:spacing w:line="360" w:lineRule="auto"/>
        <w:jc w:val="both"/>
        <w:rPr>
          <w:rFonts w:cstheme="minorHAnsi"/>
          <w:i/>
          <w:sz w:val="24"/>
          <w:szCs w:val="24"/>
          <w:lang w:bidi="en-US"/>
        </w:rPr>
      </w:pPr>
      <w:r w:rsidRPr="00365EEF">
        <w:rPr>
          <w:rFonts w:cstheme="minorHAnsi"/>
          <w:b/>
          <w:sz w:val="24"/>
          <w:szCs w:val="24"/>
          <w:lang w:bidi="en-US"/>
        </w:rPr>
        <w:t>Table 1 :</w:t>
      </w:r>
      <w:r w:rsidRPr="00365EEF">
        <w:rPr>
          <w:rFonts w:cstheme="minorHAnsi"/>
          <w:sz w:val="24"/>
          <w:szCs w:val="24"/>
          <w:lang w:bidi="en-US"/>
        </w:rPr>
        <w:t xml:space="preserve"> Yield of extraction and physical characteristics of the essential oils from </w:t>
      </w:r>
      <w:r w:rsidRPr="00365EEF">
        <w:rPr>
          <w:rFonts w:cstheme="minorHAnsi"/>
          <w:i/>
          <w:sz w:val="24"/>
          <w:szCs w:val="24"/>
          <w:lang w:bidi="en-US"/>
        </w:rPr>
        <w:t>Ocimum gratissimum</w:t>
      </w:r>
      <w:r w:rsidRPr="00365EEF">
        <w:rPr>
          <w:rFonts w:cstheme="minorHAnsi"/>
          <w:sz w:val="24"/>
          <w:szCs w:val="24"/>
          <w:lang w:bidi="en-US"/>
        </w:rPr>
        <w:t xml:space="preserve"> and </w:t>
      </w:r>
      <w:r w:rsidRPr="00365EEF">
        <w:rPr>
          <w:rFonts w:cstheme="minorHAnsi"/>
          <w:i/>
          <w:sz w:val="24"/>
          <w:szCs w:val="24"/>
          <w:lang w:bidi="en-US"/>
        </w:rPr>
        <w:t>Ocimum basilicum.</w:t>
      </w:r>
    </w:p>
    <w:tbl>
      <w:tblPr>
        <w:tblW w:w="9214" w:type="dxa"/>
        <w:tblBorders>
          <w:top w:val="single" w:sz="8" w:space="0" w:color="C0504D"/>
          <w:bottom w:val="single" w:sz="8" w:space="0" w:color="C0504D"/>
        </w:tblBorders>
        <w:tblLook w:val="04A0" w:firstRow="1" w:lastRow="0" w:firstColumn="1" w:lastColumn="0" w:noHBand="0" w:noVBand="1"/>
      </w:tblPr>
      <w:tblGrid>
        <w:gridCol w:w="1711"/>
        <w:gridCol w:w="1692"/>
        <w:gridCol w:w="2268"/>
        <w:gridCol w:w="1842"/>
        <w:gridCol w:w="1701"/>
      </w:tblGrid>
      <w:tr w:rsidR="00AA469B" w:rsidRPr="00365EEF" w14:paraId="3BA06F2C" w14:textId="77777777" w:rsidTr="00AA469B">
        <w:tc>
          <w:tcPr>
            <w:tcW w:w="1711" w:type="dxa"/>
            <w:tcBorders>
              <w:top w:val="single" w:sz="8" w:space="0" w:color="C0504D"/>
              <w:left w:val="nil"/>
              <w:bottom w:val="single" w:sz="8" w:space="0" w:color="C0504D"/>
              <w:right w:val="nil"/>
            </w:tcBorders>
          </w:tcPr>
          <w:p w14:paraId="79A43D21" w14:textId="77777777" w:rsidR="00AA469B" w:rsidRPr="00365EEF" w:rsidRDefault="00AA469B" w:rsidP="006F62DE">
            <w:pPr>
              <w:autoSpaceDE w:val="0"/>
              <w:autoSpaceDN w:val="0"/>
              <w:adjustRightInd w:val="0"/>
              <w:spacing w:line="360" w:lineRule="auto"/>
              <w:contextualSpacing/>
              <w:rPr>
                <w:rFonts w:eastAsia="Calibri" w:cstheme="minorHAnsi"/>
                <w:b/>
                <w:bCs/>
                <w:sz w:val="24"/>
                <w:szCs w:val="24"/>
              </w:rPr>
            </w:pPr>
            <w:r w:rsidRPr="00365EEF">
              <w:rPr>
                <w:rFonts w:eastAsia="Calibri" w:cstheme="minorHAnsi"/>
                <w:b/>
                <w:bCs/>
                <w:sz w:val="24"/>
                <w:szCs w:val="24"/>
              </w:rPr>
              <w:lastRenderedPageBreak/>
              <w:t>Plant species</w:t>
            </w:r>
          </w:p>
        </w:tc>
        <w:tc>
          <w:tcPr>
            <w:tcW w:w="1692" w:type="dxa"/>
            <w:tcBorders>
              <w:top w:val="single" w:sz="8" w:space="0" w:color="C0504D"/>
              <w:left w:val="nil"/>
              <w:bottom w:val="single" w:sz="8" w:space="0" w:color="C0504D"/>
              <w:right w:val="nil"/>
            </w:tcBorders>
          </w:tcPr>
          <w:p w14:paraId="2CCA15B9" w14:textId="77777777" w:rsidR="00AA469B" w:rsidRPr="00365EEF" w:rsidRDefault="00AA469B" w:rsidP="006F62DE">
            <w:pPr>
              <w:autoSpaceDE w:val="0"/>
              <w:autoSpaceDN w:val="0"/>
              <w:adjustRightInd w:val="0"/>
              <w:spacing w:line="360" w:lineRule="auto"/>
              <w:contextualSpacing/>
              <w:rPr>
                <w:rFonts w:eastAsia="Calibri" w:cstheme="minorHAnsi"/>
                <w:b/>
                <w:bCs/>
                <w:sz w:val="24"/>
                <w:szCs w:val="24"/>
              </w:rPr>
            </w:pPr>
            <w:r w:rsidRPr="00365EEF">
              <w:rPr>
                <w:rFonts w:eastAsia="Calibri" w:cstheme="minorHAnsi"/>
                <w:b/>
                <w:bCs/>
                <w:sz w:val="24"/>
                <w:szCs w:val="24"/>
              </w:rPr>
              <w:t>Organs</w:t>
            </w:r>
          </w:p>
        </w:tc>
        <w:tc>
          <w:tcPr>
            <w:tcW w:w="2268" w:type="dxa"/>
            <w:tcBorders>
              <w:top w:val="single" w:sz="8" w:space="0" w:color="C0504D"/>
              <w:left w:val="nil"/>
              <w:bottom w:val="single" w:sz="8" w:space="0" w:color="C0504D"/>
              <w:right w:val="nil"/>
            </w:tcBorders>
          </w:tcPr>
          <w:p w14:paraId="5FB02210" w14:textId="77777777" w:rsidR="00AA469B" w:rsidRPr="00365EEF" w:rsidRDefault="00AA469B" w:rsidP="006F62DE">
            <w:pPr>
              <w:autoSpaceDE w:val="0"/>
              <w:autoSpaceDN w:val="0"/>
              <w:adjustRightInd w:val="0"/>
              <w:spacing w:line="360" w:lineRule="auto"/>
              <w:rPr>
                <w:rFonts w:eastAsia="Calibri" w:cstheme="minorHAnsi"/>
                <w:b/>
                <w:bCs/>
                <w:sz w:val="24"/>
                <w:szCs w:val="24"/>
              </w:rPr>
            </w:pPr>
            <w:r w:rsidRPr="00365EEF">
              <w:rPr>
                <w:rFonts w:eastAsia="Calibri" w:cstheme="minorHAnsi"/>
                <w:b/>
                <w:bCs/>
                <w:sz w:val="24"/>
                <w:szCs w:val="24"/>
              </w:rPr>
              <w:t xml:space="preserve">Yield of extraction </w:t>
            </w:r>
          </w:p>
        </w:tc>
        <w:tc>
          <w:tcPr>
            <w:tcW w:w="1842" w:type="dxa"/>
            <w:tcBorders>
              <w:top w:val="single" w:sz="8" w:space="0" w:color="C0504D"/>
              <w:left w:val="nil"/>
              <w:bottom w:val="single" w:sz="8" w:space="0" w:color="C0504D"/>
              <w:right w:val="nil"/>
            </w:tcBorders>
          </w:tcPr>
          <w:p w14:paraId="0317A113" w14:textId="77777777" w:rsidR="00AA469B" w:rsidRPr="00365EEF" w:rsidRDefault="00AA469B" w:rsidP="006F62DE">
            <w:pPr>
              <w:autoSpaceDE w:val="0"/>
              <w:autoSpaceDN w:val="0"/>
              <w:adjustRightInd w:val="0"/>
              <w:spacing w:line="360" w:lineRule="auto"/>
              <w:contextualSpacing/>
              <w:rPr>
                <w:rFonts w:eastAsia="Calibri" w:cstheme="minorHAnsi"/>
                <w:b/>
                <w:bCs/>
                <w:sz w:val="24"/>
                <w:szCs w:val="24"/>
              </w:rPr>
            </w:pPr>
            <w:r w:rsidRPr="00365EEF">
              <w:rPr>
                <w:rFonts w:eastAsia="Calibri" w:cstheme="minorHAnsi"/>
                <w:b/>
                <w:bCs/>
                <w:sz w:val="24"/>
                <w:szCs w:val="24"/>
              </w:rPr>
              <w:t>Color</w:t>
            </w:r>
          </w:p>
        </w:tc>
        <w:tc>
          <w:tcPr>
            <w:tcW w:w="1701" w:type="dxa"/>
            <w:tcBorders>
              <w:top w:val="single" w:sz="8" w:space="0" w:color="C0504D"/>
              <w:left w:val="nil"/>
              <w:bottom w:val="single" w:sz="8" w:space="0" w:color="C0504D"/>
              <w:right w:val="nil"/>
            </w:tcBorders>
          </w:tcPr>
          <w:p w14:paraId="3C8B0089" w14:textId="77777777" w:rsidR="00AA469B" w:rsidRPr="00365EEF" w:rsidRDefault="00AA469B" w:rsidP="006F62DE">
            <w:pPr>
              <w:autoSpaceDE w:val="0"/>
              <w:autoSpaceDN w:val="0"/>
              <w:adjustRightInd w:val="0"/>
              <w:spacing w:line="360" w:lineRule="auto"/>
              <w:contextualSpacing/>
              <w:rPr>
                <w:rFonts w:eastAsia="Calibri" w:cstheme="minorHAnsi"/>
                <w:b/>
                <w:bCs/>
                <w:sz w:val="24"/>
                <w:szCs w:val="24"/>
              </w:rPr>
            </w:pPr>
            <w:r w:rsidRPr="00365EEF">
              <w:rPr>
                <w:rFonts w:eastAsia="Calibri" w:cstheme="minorHAnsi"/>
                <w:b/>
                <w:bCs/>
                <w:sz w:val="24"/>
                <w:szCs w:val="24"/>
              </w:rPr>
              <w:t>Density</w:t>
            </w:r>
          </w:p>
        </w:tc>
      </w:tr>
      <w:tr w:rsidR="00AA469B" w:rsidRPr="00365EEF" w14:paraId="2C2568B7" w14:textId="77777777" w:rsidTr="00AA469B">
        <w:trPr>
          <w:trHeight w:val="737"/>
        </w:trPr>
        <w:tc>
          <w:tcPr>
            <w:tcW w:w="1711" w:type="dxa"/>
            <w:tcBorders>
              <w:left w:val="nil"/>
              <w:right w:val="nil"/>
            </w:tcBorders>
            <w:shd w:val="clear" w:color="auto" w:fill="EFD3D2"/>
          </w:tcPr>
          <w:p w14:paraId="14D5CEF1" w14:textId="77777777" w:rsidR="00AA469B" w:rsidRPr="00365EEF" w:rsidRDefault="00AA469B" w:rsidP="006F62DE">
            <w:pPr>
              <w:autoSpaceDE w:val="0"/>
              <w:autoSpaceDN w:val="0"/>
              <w:adjustRightInd w:val="0"/>
              <w:spacing w:line="360" w:lineRule="auto"/>
              <w:contextualSpacing/>
              <w:rPr>
                <w:rFonts w:eastAsia="Calibri" w:cstheme="minorHAnsi"/>
                <w:b/>
                <w:bCs/>
                <w:sz w:val="24"/>
                <w:szCs w:val="24"/>
              </w:rPr>
            </w:pPr>
            <w:r w:rsidRPr="00365EEF">
              <w:rPr>
                <w:rFonts w:eastAsia="Calibri" w:cstheme="minorHAnsi"/>
                <w:bCs/>
                <w:i/>
                <w:sz w:val="24"/>
                <w:szCs w:val="24"/>
              </w:rPr>
              <w:t>Ocimum gratissimum</w:t>
            </w:r>
          </w:p>
        </w:tc>
        <w:tc>
          <w:tcPr>
            <w:tcW w:w="1692" w:type="dxa"/>
            <w:tcBorders>
              <w:left w:val="nil"/>
              <w:right w:val="nil"/>
            </w:tcBorders>
            <w:shd w:val="clear" w:color="auto" w:fill="EFD3D2"/>
          </w:tcPr>
          <w:p w14:paraId="6970B2DD" w14:textId="77777777" w:rsidR="00AA469B" w:rsidRPr="00365EEF" w:rsidRDefault="00AA469B" w:rsidP="006F62DE">
            <w:pPr>
              <w:autoSpaceDE w:val="0"/>
              <w:autoSpaceDN w:val="0"/>
              <w:adjustRightInd w:val="0"/>
              <w:spacing w:line="360" w:lineRule="auto"/>
              <w:contextualSpacing/>
              <w:rPr>
                <w:rFonts w:eastAsia="Calibri" w:cstheme="minorHAnsi"/>
                <w:b/>
                <w:sz w:val="24"/>
                <w:szCs w:val="24"/>
              </w:rPr>
            </w:pPr>
            <w:r w:rsidRPr="00365EEF">
              <w:rPr>
                <w:rFonts w:eastAsia="Calibri" w:cstheme="minorHAnsi"/>
                <w:b/>
                <w:sz w:val="24"/>
                <w:szCs w:val="24"/>
              </w:rPr>
              <w:t>Leaves and twigs</w:t>
            </w:r>
          </w:p>
        </w:tc>
        <w:tc>
          <w:tcPr>
            <w:tcW w:w="2268" w:type="dxa"/>
            <w:tcBorders>
              <w:left w:val="nil"/>
              <w:right w:val="nil"/>
            </w:tcBorders>
            <w:shd w:val="clear" w:color="auto" w:fill="EFD3D2"/>
          </w:tcPr>
          <w:p w14:paraId="238AB4C9" w14:textId="77777777" w:rsidR="00AA469B" w:rsidRPr="00365EEF" w:rsidRDefault="00AA469B" w:rsidP="006F62DE">
            <w:pPr>
              <w:autoSpaceDE w:val="0"/>
              <w:autoSpaceDN w:val="0"/>
              <w:adjustRightInd w:val="0"/>
              <w:spacing w:line="360" w:lineRule="auto"/>
              <w:contextualSpacing/>
              <w:rPr>
                <w:rFonts w:eastAsia="Calibri" w:cstheme="minorHAnsi"/>
                <w:sz w:val="24"/>
                <w:szCs w:val="24"/>
              </w:rPr>
            </w:pPr>
            <w:r w:rsidRPr="00365EEF">
              <w:rPr>
                <w:rFonts w:eastAsia="Calibri" w:cstheme="minorHAnsi"/>
                <w:sz w:val="24"/>
                <w:szCs w:val="24"/>
              </w:rPr>
              <w:t>1.12±0.02</w:t>
            </w:r>
          </w:p>
        </w:tc>
        <w:tc>
          <w:tcPr>
            <w:tcW w:w="1842" w:type="dxa"/>
            <w:tcBorders>
              <w:left w:val="nil"/>
              <w:right w:val="nil"/>
            </w:tcBorders>
            <w:shd w:val="clear" w:color="auto" w:fill="EFD3D2"/>
          </w:tcPr>
          <w:p w14:paraId="1B463719" w14:textId="77777777" w:rsidR="00AA469B" w:rsidRPr="00365EEF" w:rsidRDefault="00AA469B" w:rsidP="006F62DE">
            <w:pPr>
              <w:autoSpaceDE w:val="0"/>
              <w:autoSpaceDN w:val="0"/>
              <w:adjustRightInd w:val="0"/>
              <w:spacing w:line="360" w:lineRule="auto"/>
              <w:contextualSpacing/>
              <w:rPr>
                <w:rFonts w:eastAsia="Calibri" w:cstheme="minorHAnsi"/>
                <w:sz w:val="24"/>
                <w:szCs w:val="24"/>
              </w:rPr>
            </w:pPr>
            <w:r w:rsidRPr="00365EEF">
              <w:rPr>
                <w:rFonts w:eastAsia="Calibri" w:cstheme="minorHAnsi"/>
                <w:sz w:val="24"/>
                <w:szCs w:val="24"/>
              </w:rPr>
              <w:t>Bright yellow</w:t>
            </w:r>
          </w:p>
        </w:tc>
        <w:tc>
          <w:tcPr>
            <w:tcW w:w="1701" w:type="dxa"/>
            <w:tcBorders>
              <w:left w:val="nil"/>
              <w:right w:val="nil"/>
            </w:tcBorders>
            <w:shd w:val="clear" w:color="auto" w:fill="EFD3D2"/>
          </w:tcPr>
          <w:p w14:paraId="6FBC76C5" w14:textId="77777777" w:rsidR="00AA469B" w:rsidRPr="00365EEF" w:rsidRDefault="00AA469B" w:rsidP="006F62DE">
            <w:pPr>
              <w:autoSpaceDE w:val="0"/>
              <w:autoSpaceDN w:val="0"/>
              <w:adjustRightInd w:val="0"/>
              <w:spacing w:line="360" w:lineRule="auto"/>
              <w:contextualSpacing/>
              <w:rPr>
                <w:rFonts w:eastAsia="Calibri" w:cstheme="minorHAnsi"/>
                <w:sz w:val="24"/>
                <w:szCs w:val="24"/>
              </w:rPr>
            </w:pPr>
            <w:r w:rsidRPr="00365EEF">
              <w:rPr>
                <w:rFonts w:eastAsia="Calibri" w:cstheme="minorHAnsi"/>
                <w:sz w:val="24"/>
                <w:szCs w:val="24"/>
              </w:rPr>
              <w:t>0.89</w:t>
            </w:r>
          </w:p>
        </w:tc>
      </w:tr>
      <w:tr w:rsidR="00AA469B" w:rsidRPr="00365EEF" w14:paraId="31A2A396" w14:textId="77777777" w:rsidTr="00AA469B">
        <w:trPr>
          <w:trHeight w:val="616"/>
        </w:trPr>
        <w:tc>
          <w:tcPr>
            <w:tcW w:w="1711" w:type="dxa"/>
          </w:tcPr>
          <w:p w14:paraId="322F05C7" w14:textId="77777777" w:rsidR="00AA469B" w:rsidRPr="00365EEF" w:rsidRDefault="00AA469B" w:rsidP="006F62DE">
            <w:pPr>
              <w:autoSpaceDE w:val="0"/>
              <w:autoSpaceDN w:val="0"/>
              <w:adjustRightInd w:val="0"/>
              <w:spacing w:line="360" w:lineRule="auto"/>
              <w:contextualSpacing/>
              <w:rPr>
                <w:rFonts w:eastAsia="Calibri" w:cstheme="minorHAnsi"/>
                <w:b/>
                <w:bCs/>
                <w:i/>
                <w:sz w:val="24"/>
                <w:szCs w:val="24"/>
              </w:rPr>
            </w:pPr>
            <w:r w:rsidRPr="00365EEF">
              <w:rPr>
                <w:rFonts w:eastAsia="Calibri" w:cstheme="minorHAnsi"/>
                <w:bCs/>
                <w:i/>
                <w:sz w:val="24"/>
                <w:szCs w:val="24"/>
              </w:rPr>
              <w:t>Ocimum basilicum</w:t>
            </w:r>
          </w:p>
        </w:tc>
        <w:tc>
          <w:tcPr>
            <w:tcW w:w="1692" w:type="dxa"/>
          </w:tcPr>
          <w:p w14:paraId="50FD8034" w14:textId="77777777" w:rsidR="00AA469B" w:rsidRPr="00365EEF" w:rsidRDefault="00AA469B" w:rsidP="006F62DE">
            <w:pPr>
              <w:autoSpaceDE w:val="0"/>
              <w:autoSpaceDN w:val="0"/>
              <w:adjustRightInd w:val="0"/>
              <w:spacing w:line="360" w:lineRule="auto"/>
              <w:contextualSpacing/>
              <w:rPr>
                <w:rFonts w:eastAsia="Calibri" w:cstheme="minorHAnsi"/>
                <w:b/>
                <w:sz w:val="24"/>
                <w:szCs w:val="24"/>
              </w:rPr>
            </w:pPr>
            <w:r w:rsidRPr="00365EEF">
              <w:rPr>
                <w:rFonts w:eastAsia="Calibri" w:cstheme="minorHAnsi"/>
                <w:b/>
                <w:sz w:val="24"/>
                <w:szCs w:val="24"/>
              </w:rPr>
              <w:t>Leaves and twigs</w:t>
            </w:r>
          </w:p>
        </w:tc>
        <w:tc>
          <w:tcPr>
            <w:tcW w:w="2268" w:type="dxa"/>
          </w:tcPr>
          <w:p w14:paraId="282C2DB9" w14:textId="77777777" w:rsidR="00AA469B" w:rsidRPr="00365EEF" w:rsidRDefault="00AA469B" w:rsidP="006F62DE">
            <w:pPr>
              <w:autoSpaceDE w:val="0"/>
              <w:autoSpaceDN w:val="0"/>
              <w:adjustRightInd w:val="0"/>
              <w:spacing w:line="360" w:lineRule="auto"/>
              <w:contextualSpacing/>
              <w:rPr>
                <w:rFonts w:eastAsia="Calibri" w:cstheme="minorHAnsi"/>
                <w:sz w:val="24"/>
                <w:szCs w:val="24"/>
              </w:rPr>
            </w:pPr>
            <w:r w:rsidRPr="00365EEF">
              <w:rPr>
                <w:rFonts w:eastAsia="Calibri" w:cstheme="minorHAnsi"/>
                <w:sz w:val="24"/>
                <w:szCs w:val="24"/>
              </w:rPr>
              <w:t>0.62±0.01</w:t>
            </w:r>
          </w:p>
        </w:tc>
        <w:tc>
          <w:tcPr>
            <w:tcW w:w="1842" w:type="dxa"/>
          </w:tcPr>
          <w:p w14:paraId="41E2DC16" w14:textId="77777777" w:rsidR="00AA469B" w:rsidRPr="00365EEF" w:rsidRDefault="00AA469B" w:rsidP="006F62DE">
            <w:pPr>
              <w:autoSpaceDE w:val="0"/>
              <w:autoSpaceDN w:val="0"/>
              <w:adjustRightInd w:val="0"/>
              <w:spacing w:line="360" w:lineRule="auto"/>
              <w:contextualSpacing/>
              <w:rPr>
                <w:rFonts w:eastAsia="Calibri" w:cstheme="minorHAnsi"/>
                <w:sz w:val="24"/>
                <w:szCs w:val="24"/>
              </w:rPr>
            </w:pPr>
            <w:r w:rsidRPr="00365EEF">
              <w:rPr>
                <w:rFonts w:eastAsia="Calibri" w:cstheme="minorHAnsi"/>
                <w:sz w:val="24"/>
                <w:szCs w:val="24"/>
              </w:rPr>
              <w:t>Dark yellow</w:t>
            </w:r>
          </w:p>
        </w:tc>
        <w:tc>
          <w:tcPr>
            <w:tcW w:w="1701" w:type="dxa"/>
          </w:tcPr>
          <w:p w14:paraId="37221594" w14:textId="77777777" w:rsidR="00AA469B" w:rsidRPr="00365EEF" w:rsidRDefault="00AA469B" w:rsidP="006F62DE">
            <w:pPr>
              <w:autoSpaceDE w:val="0"/>
              <w:autoSpaceDN w:val="0"/>
              <w:adjustRightInd w:val="0"/>
              <w:spacing w:line="360" w:lineRule="auto"/>
              <w:contextualSpacing/>
              <w:rPr>
                <w:rFonts w:eastAsia="Calibri" w:cstheme="minorHAnsi"/>
                <w:sz w:val="24"/>
                <w:szCs w:val="24"/>
              </w:rPr>
            </w:pPr>
            <w:r w:rsidRPr="00365EEF">
              <w:rPr>
                <w:rFonts w:eastAsia="Calibri" w:cstheme="minorHAnsi"/>
                <w:sz w:val="24"/>
                <w:szCs w:val="24"/>
              </w:rPr>
              <w:t>0.88</w:t>
            </w:r>
          </w:p>
        </w:tc>
      </w:tr>
    </w:tbl>
    <w:p w14:paraId="476A7CA5" w14:textId="77777777" w:rsidR="00AA469B" w:rsidRPr="00365EEF" w:rsidRDefault="00AA469B" w:rsidP="006F62DE">
      <w:pPr>
        <w:spacing w:line="360" w:lineRule="auto"/>
        <w:jc w:val="both"/>
        <w:rPr>
          <w:rFonts w:cstheme="minorHAnsi"/>
          <w:i/>
          <w:sz w:val="24"/>
          <w:szCs w:val="24"/>
          <w:lang w:bidi="en-US"/>
        </w:rPr>
      </w:pPr>
    </w:p>
    <w:p w14:paraId="5B3CA6E6" w14:textId="77777777" w:rsidR="00AA469B" w:rsidRPr="00365EEF" w:rsidRDefault="00AA469B" w:rsidP="006F62DE">
      <w:pPr>
        <w:spacing w:line="360" w:lineRule="auto"/>
        <w:jc w:val="both"/>
        <w:rPr>
          <w:rFonts w:cstheme="minorHAnsi"/>
          <w:sz w:val="24"/>
          <w:szCs w:val="24"/>
          <w:lang w:bidi="en-US"/>
        </w:rPr>
      </w:pPr>
      <w:r w:rsidRPr="00365EEF">
        <w:rPr>
          <w:rFonts w:cstheme="minorHAnsi"/>
          <w:sz w:val="24"/>
          <w:szCs w:val="24"/>
          <w:lang w:bidi="en-US"/>
        </w:rPr>
        <w:t xml:space="preserve">To determine the phytochemical composition of the as-prepared essential oils from </w:t>
      </w:r>
      <w:r w:rsidRPr="00365EEF">
        <w:rPr>
          <w:rFonts w:cstheme="minorHAnsi"/>
          <w:i/>
          <w:sz w:val="24"/>
          <w:szCs w:val="24"/>
          <w:lang w:bidi="en-US"/>
        </w:rPr>
        <w:t>Ocimum gratissimum</w:t>
      </w:r>
      <w:r w:rsidRPr="00365EEF">
        <w:rPr>
          <w:rFonts w:cstheme="minorHAnsi"/>
          <w:sz w:val="24"/>
          <w:szCs w:val="24"/>
          <w:lang w:bidi="en-US"/>
        </w:rPr>
        <w:t xml:space="preserve"> and </w:t>
      </w:r>
      <w:r w:rsidRPr="00365EEF">
        <w:rPr>
          <w:rFonts w:cstheme="minorHAnsi"/>
          <w:i/>
          <w:sz w:val="24"/>
          <w:szCs w:val="24"/>
          <w:lang w:bidi="en-US"/>
        </w:rPr>
        <w:t>Ocimum basilicum</w:t>
      </w:r>
      <w:r w:rsidRPr="00365EEF">
        <w:rPr>
          <w:rFonts w:cstheme="minorHAnsi"/>
          <w:sz w:val="24"/>
          <w:szCs w:val="24"/>
          <w:lang w:bidi="en-US"/>
        </w:rPr>
        <w:t>, the oil samples were subjected to gas chromatography and gas chromatography tandem mass spectrometry.</w:t>
      </w:r>
    </w:p>
    <w:p w14:paraId="40DBA10B" w14:textId="77777777" w:rsidR="00AA469B" w:rsidRPr="00365EEF" w:rsidRDefault="00D877B4" w:rsidP="006F62DE">
      <w:pPr>
        <w:spacing w:line="360" w:lineRule="auto"/>
        <w:jc w:val="both"/>
        <w:rPr>
          <w:rFonts w:cstheme="minorHAnsi"/>
          <w:b/>
          <w:sz w:val="24"/>
          <w:szCs w:val="24"/>
          <w:lang w:bidi="en-US"/>
        </w:rPr>
      </w:pPr>
      <w:r w:rsidRPr="00365EEF">
        <w:rPr>
          <w:rFonts w:cstheme="minorHAnsi"/>
          <w:b/>
          <w:sz w:val="24"/>
          <w:szCs w:val="24"/>
          <w:lang w:bidi="en-US"/>
        </w:rPr>
        <w:t>3</w:t>
      </w:r>
      <w:r w:rsidR="00AA469B" w:rsidRPr="00365EEF">
        <w:rPr>
          <w:rFonts w:cstheme="minorHAnsi"/>
          <w:b/>
          <w:sz w:val="24"/>
          <w:szCs w:val="24"/>
          <w:lang w:bidi="en-US"/>
        </w:rPr>
        <w:t xml:space="preserve">.1.2. Chemical composition of the essential oils </w:t>
      </w:r>
    </w:p>
    <w:p w14:paraId="44BDF485" w14:textId="0562C2FB" w:rsidR="00AA469B" w:rsidRPr="00365EEF" w:rsidRDefault="00AA469B" w:rsidP="006F62DE">
      <w:pPr>
        <w:spacing w:line="360" w:lineRule="auto"/>
        <w:jc w:val="both"/>
        <w:rPr>
          <w:rFonts w:cstheme="minorHAnsi"/>
          <w:sz w:val="24"/>
          <w:szCs w:val="24"/>
          <w:lang w:bidi="en-US"/>
        </w:rPr>
      </w:pPr>
      <w:r w:rsidRPr="00365EEF">
        <w:rPr>
          <w:rFonts w:cstheme="minorHAnsi"/>
          <w:sz w:val="24"/>
          <w:szCs w:val="24"/>
          <w:lang w:bidi="en-US"/>
        </w:rPr>
        <w:t xml:space="preserve">The chromatograms of the essential oils from </w:t>
      </w:r>
      <w:r w:rsidRPr="00365EEF">
        <w:rPr>
          <w:rFonts w:cstheme="minorHAnsi"/>
          <w:i/>
          <w:sz w:val="24"/>
          <w:szCs w:val="24"/>
          <w:lang w:bidi="en-US"/>
        </w:rPr>
        <w:t>Ocimum gratissimum</w:t>
      </w:r>
      <w:r w:rsidRPr="00365EEF">
        <w:rPr>
          <w:rFonts w:cstheme="minorHAnsi"/>
          <w:sz w:val="24"/>
          <w:szCs w:val="24"/>
          <w:lang w:bidi="en-US"/>
        </w:rPr>
        <w:t xml:space="preserve"> and </w:t>
      </w:r>
      <w:r w:rsidRPr="00365EEF">
        <w:rPr>
          <w:rFonts w:cstheme="minorHAnsi"/>
          <w:i/>
          <w:sz w:val="24"/>
          <w:szCs w:val="24"/>
          <w:lang w:bidi="en-US"/>
        </w:rPr>
        <w:t xml:space="preserve">Ocimum basilicum </w:t>
      </w:r>
      <w:r w:rsidRPr="00365EEF">
        <w:rPr>
          <w:rFonts w:cstheme="minorHAnsi"/>
          <w:sz w:val="24"/>
          <w:szCs w:val="24"/>
          <w:lang w:bidi="en-US"/>
        </w:rPr>
        <w:t>are illustrated in Figures 1</w:t>
      </w:r>
      <w:r w:rsidR="002D18E0">
        <w:rPr>
          <w:rFonts w:cstheme="minorHAnsi"/>
          <w:sz w:val="24"/>
          <w:szCs w:val="24"/>
          <w:lang w:bidi="en-US"/>
        </w:rPr>
        <w:t>b</w:t>
      </w:r>
      <w:r w:rsidRPr="00365EEF">
        <w:rPr>
          <w:rFonts w:cstheme="minorHAnsi"/>
          <w:sz w:val="24"/>
          <w:szCs w:val="24"/>
          <w:lang w:bidi="en-US"/>
        </w:rPr>
        <w:t xml:space="preserve"> and 2. The Kovats indices were calculated following the analysis of the chromatograms to afford a tentative phytochemical analysis of the oils. </w:t>
      </w:r>
    </w:p>
    <w:p w14:paraId="465A5DC5" w14:textId="77777777" w:rsidR="00AA469B" w:rsidRPr="00365EEF" w:rsidRDefault="00AA469B" w:rsidP="006F62DE">
      <w:pPr>
        <w:spacing w:line="360" w:lineRule="auto"/>
        <w:jc w:val="both"/>
        <w:rPr>
          <w:rFonts w:cstheme="minorHAnsi"/>
          <w:sz w:val="24"/>
          <w:szCs w:val="24"/>
          <w:lang w:bidi="en-US"/>
        </w:rPr>
      </w:pPr>
      <w:r w:rsidRPr="00365EEF">
        <w:rPr>
          <w:rFonts w:cstheme="minorHAnsi"/>
          <w:noProof/>
          <w:sz w:val="24"/>
          <w:szCs w:val="24"/>
          <w:lang w:eastAsia="fr-FR"/>
        </w:rPr>
        <w:drawing>
          <wp:inline distT="0" distB="0" distL="0" distR="0" wp14:anchorId="00C75D49" wp14:editId="7B525D55">
            <wp:extent cx="5760720" cy="324614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46148"/>
                    </a:xfrm>
                    <a:prstGeom prst="rect">
                      <a:avLst/>
                    </a:prstGeom>
                    <a:noFill/>
                    <a:ln>
                      <a:noFill/>
                    </a:ln>
                  </pic:spPr>
                </pic:pic>
              </a:graphicData>
            </a:graphic>
          </wp:inline>
        </w:drawing>
      </w:r>
    </w:p>
    <w:p w14:paraId="13CC2509" w14:textId="6EF7387E" w:rsidR="00AA469B" w:rsidRPr="00365EEF" w:rsidRDefault="00AA469B" w:rsidP="006F62DE">
      <w:pPr>
        <w:pStyle w:val="MDPI51figurecaption"/>
        <w:spacing w:line="360" w:lineRule="auto"/>
        <w:ind w:left="0"/>
        <w:jc w:val="center"/>
        <w:rPr>
          <w:rFonts w:asciiTheme="minorHAnsi" w:hAnsiTheme="minorHAnsi" w:cstheme="minorHAnsi"/>
          <w:i/>
          <w:color w:val="auto"/>
          <w:sz w:val="24"/>
          <w:szCs w:val="24"/>
        </w:rPr>
      </w:pPr>
      <w:r w:rsidRPr="00365EEF">
        <w:rPr>
          <w:rFonts w:asciiTheme="minorHAnsi" w:hAnsiTheme="minorHAnsi" w:cstheme="minorHAnsi"/>
          <w:b/>
          <w:color w:val="auto"/>
          <w:sz w:val="24"/>
          <w:szCs w:val="24"/>
        </w:rPr>
        <w:t>Figure 1</w:t>
      </w:r>
      <w:r w:rsidR="00DF2A05">
        <w:rPr>
          <w:rFonts w:asciiTheme="minorHAnsi" w:hAnsiTheme="minorHAnsi" w:cstheme="minorHAnsi"/>
          <w:b/>
          <w:color w:val="auto"/>
          <w:sz w:val="24"/>
          <w:szCs w:val="24"/>
        </w:rPr>
        <w:t>b</w:t>
      </w:r>
      <w:r w:rsidRPr="00365EEF">
        <w:rPr>
          <w:rFonts w:asciiTheme="minorHAnsi" w:hAnsiTheme="minorHAnsi" w:cstheme="minorHAnsi"/>
          <w:b/>
          <w:color w:val="auto"/>
          <w:sz w:val="24"/>
          <w:szCs w:val="24"/>
        </w:rPr>
        <w:t xml:space="preserve">. </w:t>
      </w:r>
      <w:r w:rsidRPr="00365EEF">
        <w:rPr>
          <w:rFonts w:asciiTheme="minorHAnsi" w:hAnsiTheme="minorHAnsi" w:cstheme="minorHAnsi"/>
          <w:color w:val="auto"/>
          <w:sz w:val="24"/>
          <w:szCs w:val="24"/>
        </w:rPr>
        <w:t xml:space="preserve">Chromatogram of the essential oil from </w:t>
      </w:r>
      <w:r w:rsidRPr="00365EEF">
        <w:rPr>
          <w:rFonts w:asciiTheme="minorHAnsi" w:hAnsiTheme="minorHAnsi" w:cstheme="minorHAnsi"/>
          <w:i/>
          <w:color w:val="auto"/>
          <w:sz w:val="24"/>
          <w:szCs w:val="24"/>
        </w:rPr>
        <w:t>Ocimum gratissimum</w:t>
      </w:r>
    </w:p>
    <w:p w14:paraId="19B59547" w14:textId="77777777" w:rsidR="00AA469B" w:rsidRPr="00365EEF" w:rsidRDefault="00AA469B" w:rsidP="006F62DE">
      <w:pPr>
        <w:pStyle w:val="MDPI51figurecaption"/>
        <w:spacing w:line="360" w:lineRule="auto"/>
        <w:ind w:left="0"/>
        <w:rPr>
          <w:rFonts w:asciiTheme="minorHAnsi" w:hAnsiTheme="minorHAnsi" w:cstheme="minorHAnsi"/>
          <w:color w:val="auto"/>
          <w:sz w:val="24"/>
          <w:szCs w:val="24"/>
        </w:rPr>
      </w:pPr>
      <w:r w:rsidRPr="00365EEF">
        <w:rPr>
          <w:rFonts w:asciiTheme="minorHAnsi" w:hAnsiTheme="minorHAnsi" w:cstheme="minorHAnsi"/>
          <w:noProof/>
          <w:color w:val="auto"/>
          <w:sz w:val="24"/>
          <w:szCs w:val="24"/>
          <w:lang w:val="fr-FR" w:eastAsia="fr-FR" w:bidi="ar-SA"/>
        </w:rPr>
        <w:lastRenderedPageBreak/>
        <w:drawing>
          <wp:inline distT="0" distB="0" distL="0" distR="0" wp14:anchorId="21D37F57" wp14:editId="49C8FC8E">
            <wp:extent cx="5760720" cy="31293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129345"/>
                    </a:xfrm>
                    <a:prstGeom prst="rect">
                      <a:avLst/>
                    </a:prstGeom>
                    <a:noFill/>
                    <a:ln>
                      <a:noFill/>
                    </a:ln>
                  </pic:spPr>
                </pic:pic>
              </a:graphicData>
            </a:graphic>
          </wp:inline>
        </w:drawing>
      </w:r>
    </w:p>
    <w:p w14:paraId="662C7173" w14:textId="77777777" w:rsidR="00AA469B" w:rsidRPr="00365EEF" w:rsidRDefault="00AA469B" w:rsidP="006F62DE">
      <w:pPr>
        <w:spacing w:line="360" w:lineRule="auto"/>
        <w:jc w:val="center"/>
        <w:rPr>
          <w:rFonts w:cstheme="minorHAnsi"/>
          <w:i/>
          <w:sz w:val="24"/>
          <w:szCs w:val="24"/>
        </w:rPr>
      </w:pPr>
      <w:r w:rsidRPr="00365EEF">
        <w:rPr>
          <w:rFonts w:cstheme="minorHAnsi"/>
          <w:b/>
          <w:sz w:val="24"/>
          <w:szCs w:val="24"/>
        </w:rPr>
        <w:t>Figure 2 :</w:t>
      </w:r>
      <w:r w:rsidRPr="00365EEF">
        <w:rPr>
          <w:rFonts w:cstheme="minorHAnsi"/>
          <w:sz w:val="24"/>
          <w:szCs w:val="24"/>
        </w:rPr>
        <w:t xml:space="preserve"> Chromatogram of the essential oil of </w:t>
      </w:r>
      <w:r w:rsidRPr="00365EEF">
        <w:rPr>
          <w:rFonts w:cstheme="minorHAnsi"/>
          <w:i/>
          <w:sz w:val="24"/>
          <w:szCs w:val="24"/>
        </w:rPr>
        <w:t>Ocimum basilicum.</w:t>
      </w:r>
    </w:p>
    <w:p w14:paraId="52092C82" w14:textId="77777777" w:rsidR="00AA469B" w:rsidRPr="00365EEF" w:rsidRDefault="00AA469B" w:rsidP="006F62DE">
      <w:pPr>
        <w:spacing w:line="360" w:lineRule="auto"/>
        <w:jc w:val="both"/>
        <w:rPr>
          <w:rFonts w:cstheme="minorHAnsi"/>
          <w:sz w:val="24"/>
          <w:szCs w:val="24"/>
        </w:rPr>
      </w:pPr>
      <w:r w:rsidRPr="00365EEF">
        <w:rPr>
          <w:rFonts w:cstheme="minorHAnsi"/>
          <w:sz w:val="24"/>
          <w:szCs w:val="24"/>
        </w:rPr>
        <w:t xml:space="preserve">The GC/MS analysis aided in the complete characterization of the essential oils as shown in table 2. According to table 2, the essential oil from </w:t>
      </w:r>
      <w:r w:rsidRPr="00365EEF">
        <w:rPr>
          <w:rFonts w:cstheme="minorHAnsi"/>
          <w:i/>
          <w:sz w:val="24"/>
          <w:szCs w:val="24"/>
        </w:rPr>
        <w:t>Ocimum gratissimum</w:t>
      </w:r>
      <w:r w:rsidRPr="00365EEF">
        <w:rPr>
          <w:rFonts w:cstheme="minorHAnsi"/>
          <w:sz w:val="24"/>
          <w:szCs w:val="24"/>
        </w:rPr>
        <w:t xml:space="preserve"> was dominated by hydrocarbonated monoterpenes, such as γ-terpinène (33.73%), α-thujène (6.05%), oxygenated monoterpenes (thymol, 26.44% ; and 1,8-cinéole, 16.65%), hydrocarbonated (β-caryophyllene, 2.64%) and oxygenated (β-6 elemene, 0.25%) sesquiterpenes. Moreover, the essential oil from </w:t>
      </w:r>
      <w:r w:rsidRPr="00365EEF">
        <w:rPr>
          <w:rFonts w:cstheme="minorHAnsi"/>
          <w:i/>
          <w:sz w:val="24"/>
          <w:szCs w:val="24"/>
        </w:rPr>
        <w:t xml:space="preserve">Ocimum basilicum </w:t>
      </w:r>
      <w:r w:rsidRPr="00365EEF">
        <w:rPr>
          <w:rFonts w:cstheme="minorHAnsi"/>
          <w:sz w:val="24"/>
          <w:szCs w:val="24"/>
        </w:rPr>
        <w:t>was found to be rich in oxygenated monoterpenes, such as eucalyptol (16.78%),</w:t>
      </w:r>
      <w:r w:rsidRPr="00365EEF">
        <w:rPr>
          <w:rFonts w:cstheme="minorHAnsi"/>
          <w:b/>
          <w:sz w:val="24"/>
          <w:szCs w:val="24"/>
        </w:rPr>
        <w:t xml:space="preserve"> </w:t>
      </w:r>
      <w:r w:rsidRPr="00365EEF">
        <w:rPr>
          <w:rFonts w:cstheme="minorHAnsi"/>
          <w:sz w:val="24"/>
          <w:szCs w:val="24"/>
        </w:rPr>
        <w:t xml:space="preserve">linalol (55.32%), eugenol (7.45%), hydrocarbonated ((-)-endo-α-bergamotène, 2.75%) and oxygenated (tau-cadinol, 2.20%) sesquiterpenes (Table 2). </w:t>
      </w:r>
    </w:p>
    <w:p w14:paraId="44FD4800" w14:textId="77777777" w:rsidR="00CC10C8" w:rsidRPr="00365EEF" w:rsidRDefault="00CC10C8" w:rsidP="006F62DE">
      <w:pPr>
        <w:spacing w:line="360" w:lineRule="auto"/>
        <w:jc w:val="both"/>
        <w:rPr>
          <w:rFonts w:cstheme="minorHAnsi"/>
          <w:i/>
          <w:sz w:val="24"/>
          <w:szCs w:val="24"/>
        </w:rPr>
      </w:pPr>
      <w:r w:rsidRPr="00365EEF">
        <w:rPr>
          <w:rFonts w:cstheme="minorHAnsi"/>
          <w:b/>
          <w:sz w:val="24"/>
          <w:szCs w:val="24"/>
        </w:rPr>
        <w:t>Table 2 :</w:t>
      </w:r>
      <w:r w:rsidRPr="00365EEF">
        <w:rPr>
          <w:rFonts w:cstheme="minorHAnsi"/>
          <w:sz w:val="24"/>
          <w:szCs w:val="24"/>
        </w:rPr>
        <w:t xml:space="preserve"> Chemical composition of essential oils obtained from </w:t>
      </w:r>
      <w:r w:rsidRPr="00365EEF">
        <w:rPr>
          <w:rFonts w:cstheme="minorHAnsi"/>
          <w:i/>
          <w:sz w:val="24"/>
          <w:szCs w:val="24"/>
        </w:rPr>
        <w:t>Ocimum gratissimum</w:t>
      </w:r>
      <w:r w:rsidRPr="00365EEF">
        <w:rPr>
          <w:rFonts w:cstheme="minorHAnsi"/>
          <w:sz w:val="24"/>
          <w:szCs w:val="24"/>
        </w:rPr>
        <w:t xml:space="preserve"> and </w:t>
      </w:r>
      <w:r w:rsidRPr="00365EEF">
        <w:rPr>
          <w:rFonts w:cstheme="minorHAnsi"/>
          <w:i/>
          <w:sz w:val="24"/>
          <w:szCs w:val="24"/>
        </w:rPr>
        <w:t>Ocimum basilicum</w:t>
      </w:r>
    </w:p>
    <w:tbl>
      <w:tblPr>
        <w:tblW w:w="9747" w:type="dxa"/>
        <w:jc w:val="right"/>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460"/>
        <w:gridCol w:w="106"/>
        <w:gridCol w:w="1073"/>
        <w:gridCol w:w="2442"/>
        <w:gridCol w:w="2959"/>
        <w:gridCol w:w="2707"/>
      </w:tblGrid>
      <w:tr w:rsidR="006A3134" w:rsidRPr="00365EEF" w14:paraId="3773F04B" w14:textId="77777777" w:rsidTr="00D877B4">
        <w:trPr>
          <w:trHeight w:val="817"/>
          <w:jc w:val="right"/>
        </w:trPr>
        <w:tc>
          <w:tcPr>
            <w:tcW w:w="456" w:type="dxa"/>
            <w:vMerge w:val="restart"/>
            <w:tcBorders>
              <w:bottom w:val="single" w:sz="12" w:space="0" w:color="D99594"/>
            </w:tcBorders>
          </w:tcPr>
          <w:p w14:paraId="43BFFA7F" w14:textId="77777777" w:rsidR="006A3134" w:rsidRPr="00365EEF" w:rsidRDefault="006A3134" w:rsidP="006F62DE">
            <w:pPr>
              <w:spacing w:after="120" w:line="360" w:lineRule="auto"/>
              <w:jc w:val="center"/>
              <w:rPr>
                <w:rFonts w:eastAsia="Calibri" w:cstheme="minorHAnsi"/>
                <w:b/>
                <w:bCs/>
                <w:sz w:val="24"/>
                <w:szCs w:val="24"/>
              </w:rPr>
            </w:pPr>
          </w:p>
        </w:tc>
        <w:tc>
          <w:tcPr>
            <w:tcW w:w="1179" w:type="dxa"/>
            <w:gridSpan w:val="2"/>
            <w:tcBorders>
              <w:bottom w:val="single" w:sz="12" w:space="0" w:color="D99594"/>
            </w:tcBorders>
          </w:tcPr>
          <w:p w14:paraId="36F9B374"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Kovats’ indices</w:t>
            </w:r>
          </w:p>
        </w:tc>
        <w:tc>
          <w:tcPr>
            <w:tcW w:w="2442" w:type="dxa"/>
            <w:tcBorders>
              <w:bottom w:val="single" w:sz="12" w:space="0" w:color="D99594"/>
            </w:tcBorders>
          </w:tcPr>
          <w:p w14:paraId="24663066" w14:textId="77777777" w:rsidR="006A3134" w:rsidRPr="00365EEF" w:rsidRDefault="006A3134" w:rsidP="006F62DE">
            <w:pPr>
              <w:tabs>
                <w:tab w:val="left" w:pos="519"/>
                <w:tab w:val="center" w:pos="1427"/>
              </w:tabs>
              <w:spacing w:after="120" w:line="360" w:lineRule="auto"/>
              <w:jc w:val="center"/>
              <w:rPr>
                <w:rFonts w:eastAsia="Calibri" w:cstheme="minorHAnsi"/>
                <w:b/>
                <w:bCs/>
                <w:sz w:val="24"/>
                <w:szCs w:val="24"/>
              </w:rPr>
            </w:pPr>
            <w:r w:rsidRPr="00365EEF">
              <w:rPr>
                <w:rFonts w:eastAsia="Calibri" w:cstheme="minorHAnsi"/>
                <w:b/>
                <w:bCs/>
                <w:sz w:val="24"/>
                <w:szCs w:val="24"/>
              </w:rPr>
              <w:t>Name of the compound</w:t>
            </w:r>
          </w:p>
        </w:tc>
        <w:tc>
          <w:tcPr>
            <w:tcW w:w="2961" w:type="dxa"/>
            <w:tcBorders>
              <w:bottom w:val="single" w:sz="12" w:space="0" w:color="D99594"/>
            </w:tcBorders>
          </w:tcPr>
          <w:p w14:paraId="7F5B88ED" w14:textId="77777777" w:rsidR="006A3134" w:rsidRPr="00365EEF" w:rsidRDefault="006A3134" w:rsidP="006F62DE">
            <w:pPr>
              <w:spacing w:after="120" w:line="360" w:lineRule="auto"/>
              <w:jc w:val="center"/>
              <w:rPr>
                <w:rFonts w:eastAsia="Calibri" w:cstheme="minorHAnsi"/>
                <w:b/>
                <w:bCs/>
                <w:i/>
                <w:sz w:val="24"/>
                <w:szCs w:val="24"/>
              </w:rPr>
            </w:pPr>
            <w:r w:rsidRPr="00365EEF">
              <w:rPr>
                <w:rFonts w:eastAsia="Calibri" w:cstheme="minorHAnsi"/>
                <w:b/>
                <w:bCs/>
                <w:i/>
                <w:sz w:val="24"/>
                <w:szCs w:val="24"/>
              </w:rPr>
              <w:t>Ocimum gratissimum</w:t>
            </w:r>
          </w:p>
        </w:tc>
        <w:tc>
          <w:tcPr>
            <w:tcW w:w="2709" w:type="dxa"/>
            <w:tcBorders>
              <w:bottom w:val="single" w:sz="12" w:space="0" w:color="D99594"/>
            </w:tcBorders>
          </w:tcPr>
          <w:p w14:paraId="75A0DE10" w14:textId="77777777" w:rsidR="006A3134" w:rsidRPr="00365EEF" w:rsidRDefault="006A3134" w:rsidP="006F62DE">
            <w:pPr>
              <w:spacing w:after="120" w:line="360" w:lineRule="auto"/>
              <w:jc w:val="center"/>
              <w:rPr>
                <w:rFonts w:eastAsia="Calibri" w:cstheme="minorHAnsi"/>
                <w:b/>
                <w:bCs/>
                <w:i/>
                <w:sz w:val="24"/>
                <w:szCs w:val="24"/>
              </w:rPr>
            </w:pPr>
            <w:r w:rsidRPr="00365EEF">
              <w:rPr>
                <w:rFonts w:eastAsia="Calibri" w:cstheme="minorHAnsi"/>
                <w:b/>
                <w:bCs/>
                <w:i/>
                <w:sz w:val="24"/>
                <w:szCs w:val="24"/>
              </w:rPr>
              <w:t>Ocimum basilicum</w:t>
            </w:r>
          </w:p>
        </w:tc>
      </w:tr>
      <w:tr w:rsidR="006A3134" w:rsidRPr="00365EEF" w14:paraId="7E2A28B1" w14:textId="77777777" w:rsidTr="00D877B4">
        <w:trPr>
          <w:jc w:val="right"/>
        </w:trPr>
        <w:tc>
          <w:tcPr>
            <w:tcW w:w="456" w:type="dxa"/>
            <w:vMerge/>
            <w:shd w:val="clear" w:color="auto" w:fill="F2DBDB"/>
          </w:tcPr>
          <w:p w14:paraId="75D6370C" w14:textId="77777777" w:rsidR="006A3134" w:rsidRPr="00365EEF" w:rsidRDefault="006A3134" w:rsidP="006F62DE">
            <w:pPr>
              <w:spacing w:after="120" w:line="360" w:lineRule="auto"/>
              <w:jc w:val="center"/>
              <w:rPr>
                <w:rFonts w:eastAsia="Calibri" w:cstheme="minorHAnsi"/>
                <w:b/>
                <w:bCs/>
                <w:i/>
                <w:sz w:val="24"/>
                <w:szCs w:val="24"/>
              </w:rPr>
            </w:pPr>
          </w:p>
        </w:tc>
        <w:tc>
          <w:tcPr>
            <w:tcW w:w="3621" w:type="dxa"/>
            <w:gridSpan w:val="3"/>
            <w:shd w:val="clear" w:color="auto" w:fill="F2DBDB"/>
          </w:tcPr>
          <w:p w14:paraId="360AC457" w14:textId="77777777" w:rsidR="006A3134" w:rsidRPr="00365EEF" w:rsidRDefault="006A3134" w:rsidP="006F62DE">
            <w:pPr>
              <w:spacing w:after="120" w:line="360" w:lineRule="auto"/>
              <w:jc w:val="center"/>
              <w:rPr>
                <w:rFonts w:eastAsia="Calibri" w:cstheme="minorHAnsi"/>
                <w:b/>
                <w:i/>
                <w:sz w:val="24"/>
                <w:szCs w:val="24"/>
              </w:rPr>
            </w:pPr>
            <w:r w:rsidRPr="00365EEF">
              <w:rPr>
                <w:rFonts w:eastAsia="Calibri" w:cstheme="minorHAnsi"/>
                <w:b/>
                <w:sz w:val="24"/>
                <w:szCs w:val="24"/>
              </w:rPr>
              <w:t xml:space="preserve">Monoterpenes  </w:t>
            </w:r>
          </w:p>
        </w:tc>
        <w:tc>
          <w:tcPr>
            <w:tcW w:w="2961" w:type="dxa"/>
            <w:shd w:val="clear" w:color="auto" w:fill="F2DBDB"/>
          </w:tcPr>
          <w:p w14:paraId="561B168B" w14:textId="77777777" w:rsidR="006A3134" w:rsidRPr="00365EEF" w:rsidRDefault="006A3134" w:rsidP="006F62DE">
            <w:pPr>
              <w:spacing w:after="120" w:line="360" w:lineRule="auto"/>
              <w:jc w:val="center"/>
              <w:rPr>
                <w:rFonts w:eastAsia="Calibri" w:cstheme="minorHAnsi"/>
                <w:b/>
                <w:i/>
                <w:sz w:val="24"/>
                <w:szCs w:val="24"/>
              </w:rPr>
            </w:pPr>
            <w:r w:rsidRPr="00365EEF">
              <w:rPr>
                <w:rFonts w:eastAsia="Calibri" w:cstheme="minorHAnsi"/>
                <w:b/>
                <w:sz w:val="24"/>
                <w:szCs w:val="24"/>
              </w:rPr>
              <w:t>93.87</w:t>
            </w:r>
          </w:p>
        </w:tc>
        <w:tc>
          <w:tcPr>
            <w:tcW w:w="2709" w:type="dxa"/>
            <w:shd w:val="clear" w:color="auto" w:fill="F2DBDB"/>
          </w:tcPr>
          <w:p w14:paraId="683CC3A3"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92.51</w:t>
            </w:r>
          </w:p>
        </w:tc>
      </w:tr>
      <w:tr w:rsidR="006A3134" w:rsidRPr="00365EEF" w14:paraId="3CA92CC1" w14:textId="77777777" w:rsidTr="00D877B4">
        <w:trPr>
          <w:jc w:val="right"/>
        </w:trPr>
        <w:tc>
          <w:tcPr>
            <w:tcW w:w="456" w:type="dxa"/>
            <w:vMerge/>
          </w:tcPr>
          <w:p w14:paraId="3267FE65" w14:textId="77777777" w:rsidR="006A3134" w:rsidRPr="00365EEF" w:rsidRDefault="006A3134" w:rsidP="006F62DE">
            <w:pPr>
              <w:spacing w:after="120" w:line="360" w:lineRule="auto"/>
              <w:jc w:val="center"/>
              <w:rPr>
                <w:rFonts w:eastAsia="Calibri" w:cstheme="minorHAnsi"/>
                <w:b/>
                <w:bCs/>
                <w:i/>
                <w:iCs/>
                <w:sz w:val="24"/>
                <w:szCs w:val="24"/>
              </w:rPr>
            </w:pPr>
          </w:p>
        </w:tc>
        <w:tc>
          <w:tcPr>
            <w:tcW w:w="3621" w:type="dxa"/>
            <w:gridSpan w:val="3"/>
          </w:tcPr>
          <w:p w14:paraId="5A973857"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Hydrocarbonated monoterpenes</w:t>
            </w:r>
          </w:p>
        </w:tc>
        <w:tc>
          <w:tcPr>
            <w:tcW w:w="2961" w:type="dxa"/>
          </w:tcPr>
          <w:p w14:paraId="76593EAA"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48.22</w:t>
            </w:r>
          </w:p>
        </w:tc>
        <w:tc>
          <w:tcPr>
            <w:tcW w:w="2709" w:type="dxa"/>
          </w:tcPr>
          <w:p w14:paraId="58C5F086"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7.93</w:t>
            </w:r>
          </w:p>
        </w:tc>
      </w:tr>
      <w:tr w:rsidR="006A3134" w:rsidRPr="00365EEF" w14:paraId="31A59074" w14:textId="77777777" w:rsidTr="00D877B4">
        <w:trPr>
          <w:jc w:val="right"/>
        </w:trPr>
        <w:tc>
          <w:tcPr>
            <w:tcW w:w="456" w:type="dxa"/>
            <w:shd w:val="clear" w:color="auto" w:fill="F2DBDB"/>
          </w:tcPr>
          <w:p w14:paraId="4126CD6B"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w:t>
            </w:r>
          </w:p>
        </w:tc>
        <w:tc>
          <w:tcPr>
            <w:tcW w:w="1179" w:type="dxa"/>
            <w:gridSpan w:val="2"/>
            <w:shd w:val="clear" w:color="auto" w:fill="F2DBDB"/>
          </w:tcPr>
          <w:p w14:paraId="08A34B88"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812</w:t>
            </w:r>
          </w:p>
        </w:tc>
        <w:tc>
          <w:tcPr>
            <w:tcW w:w="2442" w:type="dxa"/>
            <w:shd w:val="clear" w:color="auto" w:fill="F2DBDB"/>
          </w:tcPr>
          <w:p w14:paraId="7B9542B8"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α-pinene</w:t>
            </w:r>
          </w:p>
        </w:tc>
        <w:tc>
          <w:tcPr>
            <w:tcW w:w="2961" w:type="dxa"/>
            <w:shd w:val="clear" w:color="auto" w:fill="F2DBDB"/>
          </w:tcPr>
          <w:p w14:paraId="282D9464"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1.55</w:t>
            </w:r>
          </w:p>
        </w:tc>
        <w:tc>
          <w:tcPr>
            <w:tcW w:w="2709" w:type="dxa"/>
            <w:shd w:val="clear" w:color="auto" w:fill="F2DBDB"/>
          </w:tcPr>
          <w:p w14:paraId="77A28A6E"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1.20</w:t>
            </w:r>
          </w:p>
        </w:tc>
      </w:tr>
      <w:tr w:rsidR="006A3134" w:rsidRPr="00365EEF" w14:paraId="3D7E3E15" w14:textId="77777777" w:rsidTr="00D877B4">
        <w:trPr>
          <w:jc w:val="right"/>
        </w:trPr>
        <w:tc>
          <w:tcPr>
            <w:tcW w:w="456" w:type="dxa"/>
          </w:tcPr>
          <w:p w14:paraId="37A37A99"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lastRenderedPageBreak/>
              <w:t>2</w:t>
            </w:r>
          </w:p>
        </w:tc>
        <w:tc>
          <w:tcPr>
            <w:tcW w:w="1179" w:type="dxa"/>
            <w:gridSpan w:val="2"/>
          </w:tcPr>
          <w:p w14:paraId="15A30BDD"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825</w:t>
            </w:r>
          </w:p>
        </w:tc>
        <w:tc>
          <w:tcPr>
            <w:tcW w:w="2442" w:type="dxa"/>
          </w:tcPr>
          <w:p w14:paraId="2B0ACD51"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β-pinene</w:t>
            </w:r>
          </w:p>
        </w:tc>
        <w:tc>
          <w:tcPr>
            <w:tcW w:w="2961" w:type="dxa"/>
          </w:tcPr>
          <w:p w14:paraId="58736076"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w:t>
            </w:r>
          </w:p>
        </w:tc>
        <w:tc>
          <w:tcPr>
            <w:tcW w:w="2709" w:type="dxa"/>
          </w:tcPr>
          <w:p w14:paraId="5D486602"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2.30</w:t>
            </w:r>
          </w:p>
        </w:tc>
      </w:tr>
      <w:tr w:rsidR="006A3134" w:rsidRPr="00365EEF" w14:paraId="227C4E06" w14:textId="77777777" w:rsidTr="00D877B4">
        <w:trPr>
          <w:jc w:val="right"/>
        </w:trPr>
        <w:tc>
          <w:tcPr>
            <w:tcW w:w="456" w:type="dxa"/>
            <w:shd w:val="clear" w:color="auto" w:fill="F2DBDB"/>
          </w:tcPr>
          <w:p w14:paraId="2F207FED"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3</w:t>
            </w:r>
          </w:p>
        </w:tc>
        <w:tc>
          <w:tcPr>
            <w:tcW w:w="1179" w:type="dxa"/>
            <w:gridSpan w:val="2"/>
            <w:shd w:val="clear" w:color="auto" w:fill="F2DBDB"/>
          </w:tcPr>
          <w:p w14:paraId="0CD867D7"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828</w:t>
            </w:r>
          </w:p>
        </w:tc>
        <w:tc>
          <w:tcPr>
            <w:tcW w:w="2442" w:type="dxa"/>
            <w:shd w:val="clear" w:color="auto" w:fill="F2DBDB"/>
          </w:tcPr>
          <w:p w14:paraId="6514542E"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α-myrcene</w:t>
            </w:r>
          </w:p>
        </w:tc>
        <w:tc>
          <w:tcPr>
            <w:tcW w:w="2961" w:type="dxa"/>
            <w:shd w:val="clear" w:color="auto" w:fill="F2DBDB"/>
          </w:tcPr>
          <w:p w14:paraId="57EE67F0"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4.73</w:t>
            </w:r>
          </w:p>
        </w:tc>
        <w:tc>
          <w:tcPr>
            <w:tcW w:w="2709" w:type="dxa"/>
            <w:shd w:val="clear" w:color="auto" w:fill="F2DBDB"/>
          </w:tcPr>
          <w:p w14:paraId="70164C5C"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1.34</w:t>
            </w:r>
          </w:p>
        </w:tc>
      </w:tr>
      <w:tr w:rsidR="006A3134" w:rsidRPr="00365EEF" w14:paraId="7994FC83" w14:textId="77777777" w:rsidTr="00D877B4">
        <w:trPr>
          <w:jc w:val="right"/>
        </w:trPr>
        <w:tc>
          <w:tcPr>
            <w:tcW w:w="456" w:type="dxa"/>
          </w:tcPr>
          <w:p w14:paraId="15CA058A"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4</w:t>
            </w:r>
          </w:p>
        </w:tc>
        <w:tc>
          <w:tcPr>
            <w:tcW w:w="1179" w:type="dxa"/>
            <w:gridSpan w:val="2"/>
          </w:tcPr>
          <w:p w14:paraId="02432BF2"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848</w:t>
            </w:r>
          </w:p>
        </w:tc>
        <w:tc>
          <w:tcPr>
            <w:tcW w:w="2442" w:type="dxa"/>
          </w:tcPr>
          <w:p w14:paraId="65F987DA"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α-ocimene</w:t>
            </w:r>
          </w:p>
        </w:tc>
        <w:tc>
          <w:tcPr>
            <w:tcW w:w="2961" w:type="dxa"/>
          </w:tcPr>
          <w:p w14:paraId="30DDA518"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w:t>
            </w:r>
          </w:p>
        </w:tc>
        <w:tc>
          <w:tcPr>
            <w:tcW w:w="2709" w:type="dxa"/>
          </w:tcPr>
          <w:p w14:paraId="42134D9B"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sz w:val="24"/>
                <w:szCs w:val="24"/>
              </w:rPr>
              <w:t>1.96</w:t>
            </w:r>
          </w:p>
        </w:tc>
      </w:tr>
      <w:tr w:rsidR="006A3134" w:rsidRPr="00365EEF" w14:paraId="06CF8EAC" w14:textId="77777777" w:rsidTr="00D877B4">
        <w:trPr>
          <w:jc w:val="right"/>
        </w:trPr>
        <w:tc>
          <w:tcPr>
            <w:tcW w:w="456" w:type="dxa"/>
            <w:shd w:val="clear" w:color="auto" w:fill="F2DBDB"/>
          </w:tcPr>
          <w:p w14:paraId="63A8192F" w14:textId="77777777" w:rsidR="006A3134" w:rsidRPr="00365EEF" w:rsidRDefault="006A3134" w:rsidP="006F62DE">
            <w:pPr>
              <w:spacing w:after="120" w:line="360" w:lineRule="auto"/>
              <w:rPr>
                <w:rFonts w:eastAsia="Calibri" w:cstheme="minorHAnsi"/>
                <w:b/>
                <w:bCs/>
                <w:sz w:val="24"/>
                <w:szCs w:val="24"/>
              </w:rPr>
            </w:pPr>
            <w:r w:rsidRPr="00365EEF">
              <w:rPr>
                <w:rFonts w:eastAsia="Calibri" w:cstheme="minorHAnsi"/>
                <w:b/>
                <w:bCs/>
                <w:sz w:val="24"/>
                <w:szCs w:val="24"/>
              </w:rPr>
              <w:t>5</w:t>
            </w:r>
          </w:p>
        </w:tc>
        <w:tc>
          <w:tcPr>
            <w:tcW w:w="1179" w:type="dxa"/>
            <w:gridSpan w:val="2"/>
            <w:shd w:val="clear" w:color="auto" w:fill="F2DBDB"/>
          </w:tcPr>
          <w:p w14:paraId="42DB19FC"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926</w:t>
            </w:r>
          </w:p>
        </w:tc>
        <w:tc>
          <w:tcPr>
            <w:tcW w:w="2442" w:type="dxa"/>
            <w:shd w:val="clear" w:color="auto" w:fill="F2DBDB"/>
          </w:tcPr>
          <w:p w14:paraId="6A80A053"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α-thujene</w:t>
            </w:r>
          </w:p>
        </w:tc>
        <w:tc>
          <w:tcPr>
            <w:tcW w:w="2961" w:type="dxa"/>
            <w:shd w:val="clear" w:color="auto" w:fill="F2DBDB"/>
          </w:tcPr>
          <w:p w14:paraId="639390CD"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6.05</w:t>
            </w:r>
          </w:p>
        </w:tc>
        <w:tc>
          <w:tcPr>
            <w:tcW w:w="2709" w:type="dxa"/>
            <w:shd w:val="clear" w:color="auto" w:fill="F2DBDB"/>
          </w:tcPr>
          <w:p w14:paraId="2F2703F5"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w:t>
            </w:r>
          </w:p>
        </w:tc>
      </w:tr>
      <w:tr w:rsidR="006A3134" w:rsidRPr="00365EEF" w14:paraId="5675B871" w14:textId="77777777" w:rsidTr="00D877B4">
        <w:trPr>
          <w:jc w:val="right"/>
        </w:trPr>
        <w:tc>
          <w:tcPr>
            <w:tcW w:w="456" w:type="dxa"/>
          </w:tcPr>
          <w:p w14:paraId="63A10698"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6</w:t>
            </w:r>
          </w:p>
        </w:tc>
        <w:tc>
          <w:tcPr>
            <w:tcW w:w="1179" w:type="dxa"/>
            <w:gridSpan w:val="2"/>
          </w:tcPr>
          <w:p w14:paraId="3386D235"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945</w:t>
            </w:r>
          </w:p>
        </w:tc>
        <w:tc>
          <w:tcPr>
            <w:tcW w:w="2442" w:type="dxa"/>
          </w:tcPr>
          <w:p w14:paraId="563AFEB0" w14:textId="77777777" w:rsidR="006A3134" w:rsidRPr="00365EEF" w:rsidRDefault="006A3134" w:rsidP="006F62DE">
            <w:pPr>
              <w:tabs>
                <w:tab w:val="center" w:pos="1814"/>
                <w:tab w:val="left" w:pos="2837"/>
              </w:tabs>
              <w:spacing w:after="120" w:line="360" w:lineRule="auto"/>
              <w:jc w:val="center"/>
              <w:rPr>
                <w:rFonts w:eastAsia="Calibri" w:cstheme="minorHAnsi"/>
                <w:sz w:val="24"/>
                <w:szCs w:val="24"/>
              </w:rPr>
            </w:pPr>
            <w:r w:rsidRPr="00365EEF">
              <w:rPr>
                <w:rFonts w:eastAsia="Calibri" w:cstheme="minorHAnsi"/>
                <w:sz w:val="24"/>
                <w:szCs w:val="24"/>
              </w:rPr>
              <w:t>Camphene</w:t>
            </w:r>
          </w:p>
        </w:tc>
        <w:tc>
          <w:tcPr>
            <w:tcW w:w="2961" w:type="dxa"/>
          </w:tcPr>
          <w:p w14:paraId="3049920F"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0.18</w:t>
            </w:r>
          </w:p>
        </w:tc>
        <w:tc>
          <w:tcPr>
            <w:tcW w:w="2709" w:type="dxa"/>
          </w:tcPr>
          <w:p w14:paraId="1175276A"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7F63A935" w14:textId="77777777" w:rsidTr="00D877B4">
        <w:trPr>
          <w:jc w:val="right"/>
        </w:trPr>
        <w:tc>
          <w:tcPr>
            <w:tcW w:w="456" w:type="dxa"/>
            <w:shd w:val="clear" w:color="auto" w:fill="F2DBDB"/>
          </w:tcPr>
          <w:p w14:paraId="7D31A3F5"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7</w:t>
            </w:r>
          </w:p>
        </w:tc>
        <w:tc>
          <w:tcPr>
            <w:tcW w:w="1179" w:type="dxa"/>
            <w:gridSpan w:val="2"/>
            <w:shd w:val="clear" w:color="auto" w:fill="F2DBDB"/>
          </w:tcPr>
          <w:p w14:paraId="746BF732"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969</w:t>
            </w:r>
          </w:p>
        </w:tc>
        <w:tc>
          <w:tcPr>
            <w:tcW w:w="2442" w:type="dxa"/>
            <w:shd w:val="clear" w:color="auto" w:fill="F2DBDB"/>
          </w:tcPr>
          <w:p w14:paraId="6CF7297B"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Sabinene</w:t>
            </w:r>
          </w:p>
        </w:tc>
        <w:tc>
          <w:tcPr>
            <w:tcW w:w="2961" w:type="dxa"/>
            <w:shd w:val="clear" w:color="auto" w:fill="F2DBDB"/>
          </w:tcPr>
          <w:p w14:paraId="60FF3850"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1.43</w:t>
            </w:r>
          </w:p>
        </w:tc>
        <w:tc>
          <w:tcPr>
            <w:tcW w:w="2709" w:type="dxa"/>
            <w:shd w:val="clear" w:color="auto" w:fill="F2DBDB"/>
          </w:tcPr>
          <w:p w14:paraId="3A202CCE"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50773CE0" w14:textId="77777777" w:rsidTr="00D877B4">
        <w:trPr>
          <w:jc w:val="right"/>
        </w:trPr>
        <w:tc>
          <w:tcPr>
            <w:tcW w:w="456" w:type="dxa"/>
          </w:tcPr>
          <w:p w14:paraId="2D5F564F"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8</w:t>
            </w:r>
          </w:p>
        </w:tc>
        <w:tc>
          <w:tcPr>
            <w:tcW w:w="1179" w:type="dxa"/>
            <w:gridSpan w:val="2"/>
          </w:tcPr>
          <w:p w14:paraId="3D7ED883"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1002</w:t>
            </w:r>
          </w:p>
        </w:tc>
        <w:tc>
          <w:tcPr>
            <w:tcW w:w="2442" w:type="dxa"/>
          </w:tcPr>
          <w:p w14:paraId="4644DBD4"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α-terpinene</w:t>
            </w:r>
          </w:p>
        </w:tc>
        <w:tc>
          <w:tcPr>
            <w:tcW w:w="2961" w:type="dxa"/>
          </w:tcPr>
          <w:p w14:paraId="5AB21D5E"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0.42</w:t>
            </w:r>
          </w:p>
        </w:tc>
        <w:tc>
          <w:tcPr>
            <w:tcW w:w="2709" w:type="dxa"/>
          </w:tcPr>
          <w:p w14:paraId="7E1D98AE"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1D7E2A8B" w14:textId="77777777" w:rsidTr="00D877B4">
        <w:trPr>
          <w:jc w:val="right"/>
        </w:trPr>
        <w:tc>
          <w:tcPr>
            <w:tcW w:w="456" w:type="dxa"/>
            <w:shd w:val="clear" w:color="auto" w:fill="F2DBDB"/>
          </w:tcPr>
          <w:p w14:paraId="09674C59"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9</w:t>
            </w:r>
          </w:p>
        </w:tc>
        <w:tc>
          <w:tcPr>
            <w:tcW w:w="1179" w:type="dxa"/>
            <w:gridSpan w:val="2"/>
            <w:shd w:val="clear" w:color="auto" w:fill="F2DBDB"/>
          </w:tcPr>
          <w:p w14:paraId="5AE8A62E"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1076</w:t>
            </w:r>
          </w:p>
        </w:tc>
        <w:tc>
          <w:tcPr>
            <w:tcW w:w="2442" w:type="dxa"/>
            <w:shd w:val="clear" w:color="auto" w:fill="F2DBDB"/>
          </w:tcPr>
          <w:p w14:paraId="2A3C273A"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γ-terpinene</w:t>
            </w:r>
          </w:p>
        </w:tc>
        <w:tc>
          <w:tcPr>
            <w:tcW w:w="2961" w:type="dxa"/>
            <w:shd w:val="clear" w:color="auto" w:fill="F2DBDB"/>
          </w:tcPr>
          <w:p w14:paraId="60B9A0DA"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33.73</w:t>
            </w:r>
          </w:p>
        </w:tc>
        <w:tc>
          <w:tcPr>
            <w:tcW w:w="2709" w:type="dxa"/>
            <w:shd w:val="clear" w:color="auto" w:fill="F2DBDB"/>
          </w:tcPr>
          <w:p w14:paraId="4C5CC1A8"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sz w:val="24"/>
                <w:szCs w:val="24"/>
              </w:rPr>
              <w:t>1.13</w:t>
            </w:r>
          </w:p>
        </w:tc>
      </w:tr>
      <w:tr w:rsidR="006A3134" w:rsidRPr="00365EEF" w14:paraId="2B5B86C5" w14:textId="77777777" w:rsidTr="00D877B4">
        <w:trPr>
          <w:jc w:val="right"/>
        </w:trPr>
        <w:tc>
          <w:tcPr>
            <w:tcW w:w="456" w:type="dxa"/>
          </w:tcPr>
          <w:p w14:paraId="0C32C82D"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10</w:t>
            </w:r>
          </w:p>
        </w:tc>
        <w:tc>
          <w:tcPr>
            <w:tcW w:w="1179" w:type="dxa"/>
            <w:gridSpan w:val="2"/>
          </w:tcPr>
          <w:p w14:paraId="13362A3C"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1097</w:t>
            </w:r>
          </w:p>
        </w:tc>
        <w:tc>
          <w:tcPr>
            <w:tcW w:w="2442" w:type="dxa"/>
          </w:tcPr>
          <w:p w14:paraId="1FFF0901"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Terpinolene</w:t>
            </w:r>
          </w:p>
        </w:tc>
        <w:tc>
          <w:tcPr>
            <w:tcW w:w="2961" w:type="dxa"/>
          </w:tcPr>
          <w:p w14:paraId="1609309A"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0.13</w:t>
            </w:r>
          </w:p>
        </w:tc>
        <w:tc>
          <w:tcPr>
            <w:tcW w:w="2709" w:type="dxa"/>
          </w:tcPr>
          <w:p w14:paraId="799A3120"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0E4D0000" w14:textId="77777777" w:rsidTr="00D877B4">
        <w:trPr>
          <w:jc w:val="right"/>
        </w:trPr>
        <w:tc>
          <w:tcPr>
            <w:tcW w:w="4077" w:type="dxa"/>
            <w:gridSpan w:val="4"/>
            <w:shd w:val="clear" w:color="auto" w:fill="F2DBDB"/>
          </w:tcPr>
          <w:p w14:paraId="714E0E01" w14:textId="77777777" w:rsidR="006A3134" w:rsidRPr="00365EEF" w:rsidRDefault="006A3134" w:rsidP="006F62DE">
            <w:pPr>
              <w:tabs>
                <w:tab w:val="center" w:pos="2962"/>
                <w:tab w:val="left" w:pos="4839"/>
              </w:tabs>
              <w:spacing w:after="120" w:line="360" w:lineRule="auto"/>
              <w:jc w:val="center"/>
              <w:rPr>
                <w:rFonts w:eastAsia="Calibri" w:cstheme="minorHAnsi"/>
                <w:b/>
                <w:bCs/>
                <w:sz w:val="24"/>
                <w:szCs w:val="24"/>
              </w:rPr>
            </w:pPr>
            <w:r w:rsidRPr="00365EEF">
              <w:rPr>
                <w:rFonts w:eastAsia="Calibri" w:cstheme="minorHAnsi"/>
                <w:b/>
                <w:sz w:val="24"/>
                <w:szCs w:val="24"/>
              </w:rPr>
              <w:t>Oxygenated monoterpenes</w:t>
            </w:r>
          </w:p>
        </w:tc>
        <w:tc>
          <w:tcPr>
            <w:tcW w:w="2961" w:type="dxa"/>
            <w:shd w:val="clear" w:color="auto" w:fill="F2DBDB"/>
          </w:tcPr>
          <w:p w14:paraId="5A7C1F6B"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45.65</w:t>
            </w:r>
          </w:p>
        </w:tc>
        <w:tc>
          <w:tcPr>
            <w:tcW w:w="2709" w:type="dxa"/>
            <w:shd w:val="clear" w:color="auto" w:fill="F2DBDB"/>
          </w:tcPr>
          <w:p w14:paraId="66CE2ACE"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84.58</w:t>
            </w:r>
          </w:p>
        </w:tc>
      </w:tr>
      <w:tr w:rsidR="006A3134" w:rsidRPr="00365EEF" w14:paraId="57A65E1B" w14:textId="77777777" w:rsidTr="00D877B4">
        <w:trPr>
          <w:jc w:val="right"/>
        </w:trPr>
        <w:tc>
          <w:tcPr>
            <w:tcW w:w="562" w:type="dxa"/>
            <w:gridSpan w:val="2"/>
          </w:tcPr>
          <w:p w14:paraId="3B05A757"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11</w:t>
            </w:r>
          </w:p>
        </w:tc>
        <w:tc>
          <w:tcPr>
            <w:tcW w:w="1073" w:type="dxa"/>
          </w:tcPr>
          <w:p w14:paraId="62F175F1" w14:textId="77777777" w:rsidR="006A3134" w:rsidRPr="00365EEF" w:rsidRDefault="006A3134" w:rsidP="006F62DE">
            <w:pPr>
              <w:spacing w:line="360" w:lineRule="auto"/>
              <w:rPr>
                <w:rFonts w:eastAsia="Calibri" w:cstheme="minorHAnsi"/>
                <w:sz w:val="24"/>
                <w:szCs w:val="24"/>
              </w:rPr>
            </w:pPr>
            <w:r w:rsidRPr="00365EEF">
              <w:rPr>
                <w:rFonts w:eastAsia="Calibri" w:cstheme="minorHAnsi"/>
                <w:sz w:val="24"/>
                <w:szCs w:val="24"/>
              </w:rPr>
              <w:t>843</w:t>
            </w:r>
          </w:p>
        </w:tc>
        <w:tc>
          <w:tcPr>
            <w:tcW w:w="2442" w:type="dxa"/>
          </w:tcPr>
          <w:p w14:paraId="64468760" w14:textId="77777777" w:rsidR="006A3134" w:rsidRPr="00365EEF" w:rsidRDefault="006A3134" w:rsidP="006F62DE">
            <w:pPr>
              <w:spacing w:line="360" w:lineRule="auto"/>
              <w:jc w:val="center"/>
              <w:rPr>
                <w:rFonts w:eastAsia="Calibri" w:cstheme="minorHAnsi"/>
                <w:b/>
                <w:sz w:val="24"/>
                <w:szCs w:val="24"/>
              </w:rPr>
            </w:pPr>
            <w:r w:rsidRPr="00365EEF">
              <w:rPr>
                <w:rFonts w:eastAsia="Calibri" w:cstheme="minorHAnsi"/>
                <w:b/>
                <w:sz w:val="24"/>
                <w:szCs w:val="24"/>
              </w:rPr>
              <w:t>Eucalyptol</w:t>
            </w:r>
          </w:p>
        </w:tc>
        <w:tc>
          <w:tcPr>
            <w:tcW w:w="2961" w:type="dxa"/>
          </w:tcPr>
          <w:p w14:paraId="00C44C24"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w:t>
            </w:r>
          </w:p>
        </w:tc>
        <w:tc>
          <w:tcPr>
            <w:tcW w:w="2709" w:type="dxa"/>
          </w:tcPr>
          <w:p w14:paraId="05A9A187" w14:textId="77777777" w:rsidR="006A3134" w:rsidRPr="00365EEF" w:rsidRDefault="006A3134" w:rsidP="006F62DE">
            <w:pPr>
              <w:spacing w:line="360" w:lineRule="auto"/>
              <w:jc w:val="center"/>
              <w:rPr>
                <w:rFonts w:eastAsia="Calibri" w:cstheme="minorHAnsi"/>
                <w:b/>
                <w:sz w:val="24"/>
                <w:szCs w:val="24"/>
              </w:rPr>
            </w:pPr>
            <w:r w:rsidRPr="00365EEF">
              <w:rPr>
                <w:rFonts w:eastAsia="Calibri" w:cstheme="minorHAnsi"/>
                <w:b/>
                <w:sz w:val="24"/>
                <w:szCs w:val="24"/>
              </w:rPr>
              <w:t>16.78</w:t>
            </w:r>
          </w:p>
        </w:tc>
      </w:tr>
      <w:tr w:rsidR="006A3134" w:rsidRPr="00365EEF" w14:paraId="41E339D9" w14:textId="77777777" w:rsidTr="00D877B4">
        <w:trPr>
          <w:jc w:val="right"/>
        </w:trPr>
        <w:tc>
          <w:tcPr>
            <w:tcW w:w="562" w:type="dxa"/>
            <w:gridSpan w:val="2"/>
            <w:shd w:val="clear" w:color="auto" w:fill="F2DBDB"/>
          </w:tcPr>
          <w:p w14:paraId="247521A3"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12</w:t>
            </w:r>
          </w:p>
        </w:tc>
        <w:tc>
          <w:tcPr>
            <w:tcW w:w="1073" w:type="dxa"/>
            <w:shd w:val="clear" w:color="auto" w:fill="F2DBDB"/>
          </w:tcPr>
          <w:p w14:paraId="3C982D0D" w14:textId="77777777" w:rsidR="006A3134" w:rsidRPr="00365EEF" w:rsidRDefault="006A3134" w:rsidP="006F62DE">
            <w:pPr>
              <w:spacing w:line="360" w:lineRule="auto"/>
              <w:rPr>
                <w:rFonts w:eastAsia="Calibri" w:cstheme="minorHAnsi"/>
                <w:sz w:val="24"/>
                <w:szCs w:val="24"/>
              </w:rPr>
            </w:pPr>
            <w:r w:rsidRPr="00365EEF">
              <w:rPr>
                <w:rFonts w:eastAsia="Calibri" w:cstheme="minorHAnsi"/>
                <w:sz w:val="24"/>
                <w:szCs w:val="24"/>
              </w:rPr>
              <w:t>865</w:t>
            </w:r>
          </w:p>
        </w:tc>
        <w:tc>
          <w:tcPr>
            <w:tcW w:w="2442" w:type="dxa"/>
            <w:shd w:val="clear" w:color="auto" w:fill="F2DBDB"/>
          </w:tcPr>
          <w:p w14:paraId="35052676"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Fenchone</w:t>
            </w:r>
          </w:p>
        </w:tc>
        <w:tc>
          <w:tcPr>
            <w:tcW w:w="2961" w:type="dxa"/>
            <w:shd w:val="clear" w:color="auto" w:fill="F2DBDB"/>
          </w:tcPr>
          <w:p w14:paraId="21A1556F"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w:t>
            </w:r>
          </w:p>
        </w:tc>
        <w:tc>
          <w:tcPr>
            <w:tcW w:w="2709" w:type="dxa"/>
            <w:shd w:val="clear" w:color="auto" w:fill="F2DBDB"/>
          </w:tcPr>
          <w:p w14:paraId="455751A0"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1.09</w:t>
            </w:r>
          </w:p>
        </w:tc>
      </w:tr>
      <w:tr w:rsidR="006A3134" w:rsidRPr="00365EEF" w14:paraId="276CC1B2" w14:textId="77777777" w:rsidTr="00D877B4">
        <w:trPr>
          <w:jc w:val="right"/>
        </w:trPr>
        <w:tc>
          <w:tcPr>
            <w:tcW w:w="562" w:type="dxa"/>
            <w:gridSpan w:val="2"/>
          </w:tcPr>
          <w:p w14:paraId="452F01B0" w14:textId="77777777" w:rsidR="006A3134" w:rsidRPr="00365EEF" w:rsidRDefault="006A3134" w:rsidP="006F62DE">
            <w:pPr>
              <w:spacing w:after="120" w:line="360" w:lineRule="auto"/>
              <w:rPr>
                <w:rFonts w:eastAsia="Calibri" w:cstheme="minorHAnsi"/>
                <w:b/>
                <w:bCs/>
                <w:sz w:val="24"/>
                <w:szCs w:val="24"/>
              </w:rPr>
            </w:pPr>
            <w:r w:rsidRPr="00365EEF">
              <w:rPr>
                <w:rFonts w:eastAsia="Calibri" w:cstheme="minorHAnsi"/>
                <w:b/>
                <w:bCs/>
                <w:sz w:val="24"/>
                <w:szCs w:val="24"/>
              </w:rPr>
              <w:t>13</w:t>
            </w:r>
          </w:p>
        </w:tc>
        <w:tc>
          <w:tcPr>
            <w:tcW w:w="1073" w:type="dxa"/>
          </w:tcPr>
          <w:p w14:paraId="37609E32"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1032</w:t>
            </w:r>
          </w:p>
        </w:tc>
        <w:tc>
          <w:tcPr>
            <w:tcW w:w="2442" w:type="dxa"/>
          </w:tcPr>
          <w:p w14:paraId="10A1B52A"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1,8-cineole</w:t>
            </w:r>
          </w:p>
        </w:tc>
        <w:tc>
          <w:tcPr>
            <w:tcW w:w="2961" w:type="dxa"/>
          </w:tcPr>
          <w:p w14:paraId="26AFCD4C"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16.65</w:t>
            </w:r>
          </w:p>
        </w:tc>
        <w:tc>
          <w:tcPr>
            <w:tcW w:w="2709" w:type="dxa"/>
          </w:tcPr>
          <w:p w14:paraId="4163A990"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w:t>
            </w:r>
          </w:p>
        </w:tc>
      </w:tr>
      <w:tr w:rsidR="006A3134" w:rsidRPr="00365EEF" w14:paraId="326932CF" w14:textId="77777777" w:rsidTr="00D877B4">
        <w:trPr>
          <w:jc w:val="right"/>
        </w:trPr>
        <w:tc>
          <w:tcPr>
            <w:tcW w:w="562" w:type="dxa"/>
            <w:gridSpan w:val="2"/>
            <w:shd w:val="clear" w:color="auto" w:fill="F2DBDB"/>
          </w:tcPr>
          <w:p w14:paraId="124F8EFA"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14</w:t>
            </w:r>
          </w:p>
        </w:tc>
        <w:tc>
          <w:tcPr>
            <w:tcW w:w="1073" w:type="dxa"/>
            <w:shd w:val="clear" w:color="auto" w:fill="F2DBDB"/>
          </w:tcPr>
          <w:p w14:paraId="112CC0F9"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1092</w:t>
            </w:r>
          </w:p>
        </w:tc>
        <w:tc>
          <w:tcPr>
            <w:tcW w:w="2442" w:type="dxa"/>
            <w:shd w:val="clear" w:color="auto" w:fill="F2DBDB"/>
          </w:tcPr>
          <w:p w14:paraId="7CF3D41D"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Linalol</w:t>
            </w:r>
          </w:p>
        </w:tc>
        <w:tc>
          <w:tcPr>
            <w:tcW w:w="2961" w:type="dxa"/>
            <w:shd w:val="clear" w:color="auto" w:fill="F2DBDB"/>
          </w:tcPr>
          <w:p w14:paraId="311D5D90"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0.97</w:t>
            </w:r>
          </w:p>
        </w:tc>
        <w:tc>
          <w:tcPr>
            <w:tcW w:w="2709" w:type="dxa"/>
            <w:shd w:val="clear" w:color="auto" w:fill="F2DBDB"/>
          </w:tcPr>
          <w:p w14:paraId="4E9B2F0F"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55.32</w:t>
            </w:r>
          </w:p>
        </w:tc>
      </w:tr>
      <w:tr w:rsidR="006A3134" w:rsidRPr="00365EEF" w14:paraId="5A93C8FC" w14:textId="77777777" w:rsidTr="00D877B4">
        <w:trPr>
          <w:jc w:val="right"/>
        </w:trPr>
        <w:tc>
          <w:tcPr>
            <w:tcW w:w="562" w:type="dxa"/>
            <w:gridSpan w:val="2"/>
          </w:tcPr>
          <w:p w14:paraId="08CEF94F"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15</w:t>
            </w:r>
          </w:p>
        </w:tc>
        <w:tc>
          <w:tcPr>
            <w:tcW w:w="1073" w:type="dxa"/>
          </w:tcPr>
          <w:p w14:paraId="073EF178"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1110</w:t>
            </w:r>
          </w:p>
        </w:tc>
        <w:tc>
          <w:tcPr>
            <w:tcW w:w="2442" w:type="dxa"/>
          </w:tcPr>
          <w:p w14:paraId="14C22AB0"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Trans-thujone</w:t>
            </w:r>
          </w:p>
        </w:tc>
        <w:tc>
          <w:tcPr>
            <w:tcW w:w="2961" w:type="dxa"/>
          </w:tcPr>
          <w:p w14:paraId="77EC6E36"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0.11</w:t>
            </w:r>
          </w:p>
        </w:tc>
        <w:tc>
          <w:tcPr>
            <w:tcW w:w="2709" w:type="dxa"/>
          </w:tcPr>
          <w:p w14:paraId="444D0A5F"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365C856B" w14:textId="77777777" w:rsidTr="00D877B4">
        <w:trPr>
          <w:jc w:val="right"/>
        </w:trPr>
        <w:tc>
          <w:tcPr>
            <w:tcW w:w="562" w:type="dxa"/>
            <w:gridSpan w:val="2"/>
            <w:shd w:val="clear" w:color="auto" w:fill="F2DBDB"/>
          </w:tcPr>
          <w:p w14:paraId="729249A7"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16</w:t>
            </w:r>
          </w:p>
        </w:tc>
        <w:tc>
          <w:tcPr>
            <w:tcW w:w="1073" w:type="dxa"/>
            <w:shd w:val="clear" w:color="auto" w:fill="F2DBDB"/>
          </w:tcPr>
          <w:p w14:paraId="71209143"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1135</w:t>
            </w:r>
          </w:p>
        </w:tc>
        <w:tc>
          <w:tcPr>
            <w:tcW w:w="2442" w:type="dxa"/>
            <w:shd w:val="clear" w:color="auto" w:fill="F2DBDB"/>
          </w:tcPr>
          <w:p w14:paraId="0971B273"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Isocitral exo</w:t>
            </w:r>
          </w:p>
        </w:tc>
        <w:tc>
          <w:tcPr>
            <w:tcW w:w="2961" w:type="dxa"/>
            <w:shd w:val="clear" w:color="auto" w:fill="F2DBDB"/>
          </w:tcPr>
          <w:p w14:paraId="69D7AA09"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0.09</w:t>
            </w:r>
          </w:p>
        </w:tc>
        <w:tc>
          <w:tcPr>
            <w:tcW w:w="2709" w:type="dxa"/>
            <w:shd w:val="clear" w:color="auto" w:fill="F2DBDB"/>
          </w:tcPr>
          <w:p w14:paraId="11A30752"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3C5FE4CC" w14:textId="77777777" w:rsidTr="00D877B4">
        <w:trPr>
          <w:jc w:val="right"/>
        </w:trPr>
        <w:tc>
          <w:tcPr>
            <w:tcW w:w="562" w:type="dxa"/>
            <w:gridSpan w:val="2"/>
          </w:tcPr>
          <w:p w14:paraId="16772F4B"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17</w:t>
            </w:r>
          </w:p>
        </w:tc>
        <w:tc>
          <w:tcPr>
            <w:tcW w:w="1073" w:type="dxa"/>
          </w:tcPr>
          <w:p w14:paraId="755E066B"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1164</w:t>
            </w:r>
          </w:p>
        </w:tc>
        <w:tc>
          <w:tcPr>
            <w:tcW w:w="2442" w:type="dxa"/>
          </w:tcPr>
          <w:p w14:paraId="33291D39"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Borneol</w:t>
            </w:r>
          </w:p>
        </w:tc>
        <w:tc>
          <w:tcPr>
            <w:tcW w:w="2961" w:type="dxa"/>
          </w:tcPr>
          <w:p w14:paraId="4B52F257"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0.08</w:t>
            </w:r>
          </w:p>
        </w:tc>
        <w:tc>
          <w:tcPr>
            <w:tcW w:w="2709" w:type="dxa"/>
          </w:tcPr>
          <w:p w14:paraId="4827DD41"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6685BC88" w14:textId="77777777" w:rsidTr="00D877B4">
        <w:trPr>
          <w:jc w:val="right"/>
        </w:trPr>
        <w:tc>
          <w:tcPr>
            <w:tcW w:w="562" w:type="dxa"/>
            <w:gridSpan w:val="2"/>
            <w:shd w:val="clear" w:color="auto" w:fill="F2DBDB"/>
          </w:tcPr>
          <w:p w14:paraId="45D94C50"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18</w:t>
            </w:r>
          </w:p>
        </w:tc>
        <w:tc>
          <w:tcPr>
            <w:tcW w:w="1073" w:type="dxa"/>
            <w:shd w:val="clear" w:color="auto" w:fill="F2DBDB"/>
          </w:tcPr>
          <w:p w14:paraId="3C51699C"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1176</w:t>
            </w:r>
          </w:p>
        </w:tc>
        <w:tc>
          <w:tcPr>
            <w:tcW w:w="2442" w:type="dxa"/>
            <w:shd w:val="clear" w:color="auto" w:fill="F2DBDB"/>
          </w:tcPr>
          <w:p w14:paraId="1A4D69A1"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Terpinen-4-ol</w:t>
            </w:r>
          </w:p>
        </w:tc>
        <w:tc>
          <w:tcPr>
            <w:tcW w:w="2961" w:type="dxa"/>
            <w:shd w:val="clear" w:color="auto" w:fill="F2DBDB"/>
          </w:tcPr>
          <w:p w14:paraId="26DA04CE"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1.08</w:t>
            </w:r>
          </w:p>
        </w:tc>
        <w:tc>
          <w:tcPr>
            <w:tcW w:w="2709" w:type="dxa"/>
            <w:shd w:val="clear" w:color="auto" w:fill="F2DBDB"/>
          </w:tcPr>
          <w:p w14:paraId="14F718F9"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3.94</w:t>
            </w:r>
          </w:p>
        </w:tc>
      </w:tr>
      <w:tr w:rsidR="006A3134" w:rsidRPr="00365EEF" w14:paraId="476593D2" w14:textId="77777777" w:rsidTr="00D877B4">
        <w:trPr>
          <w:jc w:val="right"/>
        </w:trPr>
        <w:tc>
          <w:tcPr>
            <w:tcW w:w="562" w:type="dxa"/>
            <w:gridSpan w:val="2"/>
          </w:tcPr>
          <w:p w14:paraId="339E9076"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19</w:t>
            </w:r>
          </w:p>
        </w:tc>
        <w:tc>
          <w:tcPr>
            <w:tcW w:w="1073" w:type="dxa"/>
          </w:tcPr>
          <w:p w14:paraId="6518DDA6"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1226</w:t>
            </w:r>
          </w:p>
        </w:tc>
        <w:tc>
          <w:tcPr>
            <w:tcW w:w="2442" w:type="dxa"/>
          </w:tcPr>
          <w:p w14:paraId="05FC20E5"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Thymol methyléther</w:t>
            </w:r>
          </w:p>
        </w:tc>
        <w:tc>
          <w:tcPr>
            <w:tcW w:w="2961" w:type="dxa"/>
          </w:tcPr>
          <w:p w14:paraId="3486A0C6"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0.14</w:t>
            </w:r>
          </w:p>
        </w:tc>
        <w:tc>
          <w:tcPr>
            <w:tcW w:w="2709" w:type="dxa"/>
          </w:tcPr>
          <w:p w14:paraId="2BD28C85"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133CF9FB" w14:textId="77777777" w:rsidTr="00D877B4">
        <w:trPr>
          <w:jc w:val="right"/>
        </w:trPr>
        <w:tc>
          <w:tcPr>
            <w:tcW w:w="562" w:type="dxa"/>
            <w:gridSpan w:val="2"/>
            <w:shd w:val="clear" w:color="auto" w:fill="F2DBDB"/>
          </w:tcPr>
          <w:p w14:paraId="1EE4C066"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20</w:t>
            </w:r>
          </w:p>
        </w:tc>
        <w:tc>
          <w:tcPr>
            <w:tcW w:w="1073" w:type="dxa"/>
            <w:shd w:val="clear" w:color="auto" w:fill="F2DBDB"/>
          </w:tcPr>
          <w:p w14:paraId="48B5CC1E"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1314</w:t>
            </w:r>
          </w:p>
        </w:tc>
        <w:tc>
          <w:tcPr>
            <w:tcW w:w="2442" w:type="dxa"/>
            <w:shd w:val="clear" w:color="auto" w:fill="F2DBDB"/>
          </w:tcPr>
          <w:p w14:paraId="0164642F"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Thymol</w:t>
            </w:r>
          </w:p>
        </w:tc>
        <w:tc>
          <w:tcPr>
            <w:tcW w:w="2961" w:type="dxa"/>
            <w:shd w:val="clear" w:color="auto" w:fill="F2DBDB"/>
          </w:tcPr>
          <w:p w14:paraId="036404EB"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26.44</w:t>
            </w:r>
          </w:p>
        </w:tc>
        <w:tc>
          <w:tcPr>
            <w:tcW w:w="2709" w:type="dxa"/>
            <w:shd w:val="clear" w:color="auto" w:fill="F2DBDB"/>
          </w:tcPr>
          <w:p w14:paraId="2F1D546F"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2424921B" w14:textId="77777777" w:rsidTr="00D877B4">
        <w:trPr>
          <w:jc w:val="right"/>
        </w:trPr>
        <w:tc>
          <w:tcPr>
            <w:tcW w:w="562" w:type="dxa"/>
            <w:gridSpan w:val="2"/>
          </w:tcPr>
          <w:p w14:paraId="254EC998"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21</w:t>
            </w:r>
          </w:p>
        </w:tc>
        <w:tc>
          <w:tcPr>
            <w:tcW w:w="1073" w:type="dxa"/>
          </w:tcPr>
          <w:p w14:paraId="5A989F47"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1360</w:t>
            </w:r>
          </w:p>
        </w:tc>
        <w:tc>
          <w:tcPr>
            <w:tcW w:w="2442" w:type="dxa"/>
          </w:tcPr>
          <w:p w14:paraId="2C233AD4"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Eugenol</w:t>
            </w:r>
          </w:p>
        </w:tc>
        <w:tc>
          <w:tcPr>
            <w:tcW w:w="2961" w:type="dxa"/>
          </w:tcPr>
          <w:p w14:paraId="5E949282"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0.09</w:t>
            </w:r>
          </w:p>
        </w:tc>
        <w:tc>
          <w:tcPr>
            <w:tcW w:w="2709" w:type="dxa"/>
          </w:tcPr>
          <w:p w14:paraId="04C5679D" w14:textId="77777777" w:rsidR="006A3134" w:rsidRPr="00365EEF" w:rsidRDefault="006A3134" w:rsidP="006F62DE">
            <w:pPr>
              <w:spacing w:line="360" w:lineRule="auto"/>
              <w:jc w:val="center"/>
              <w:rPr>
                <w:rFonts w:eastAsia="Calibri" w:cstheme="minorHAnsi"/>
                <w:b/>
                <w:sz w:val="24"/>
                <w:szCs w:val="24"/>
              </w:rPr>
            </w:pPr>
            <w:r w:rsidRPr="00365EEF">
              <w:rPr>
                <w:rFonts w:eastAsia="Calibri" w:cstheme="minorHAnsi"/>
                <w:b/>
                <w:sz w:val="24"/>
                <w:szCs w:val="24"/>
              </w:rPr>
              <w:t>7.45</w:t>
            </w:r>
          </w:p>
        </w:tc>
      </w:tr>
      <w:tr w:rsidR="006A3134" w:rsidRPr="00365EEF" w14:paraId="65FD3F13" w14:textId="77777777" w:rsidTr="00D877B4">
        <w:trPr>
          <w:jc w:val="right"/>
        </w:trPr>
        <w:tc>
          <w:tcPr>
            <w:tcW w:w="4077" w:type="dxa"/>
            <w:gridSpan w:val="4"/>
            <w:shd w:val="clear" w:color="auto" w:fill="F2DBDB"/>
          </w:tcPr>
          <w:p w14:paraId="2A05E5C2"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iCs/>
                <w:sz w:val="24"/>
                <w:szCs w:val="24"/>
              </w:rPr>
              <w:t>Sesquiterpenes</w:t>
            </w:r>
          </w:p>
        </w:tc>
        <w:tc>
          <w:tcPr>
            <w:tcW w:w="2961" w:type="dxa"/>
            <w:shd w:val="clear" w:color="auto" w:fill="F2DBDB"/>
          </w:tcPr>
          <w:p w14:paraId="3F4C160C"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5.8</w:t>
            </w:r>
          </w:p>
        </w:tc>
        <w:tc>
          <w:tcPr>
            <w:tcW w:w="2709" w:type="dxa"/>
            <w:shd w:val="clear" w:color="auto" w:fill="F2DBDB"/>
          </w:tcPr>
          <w:p w14:paraId="64F6AAA4" w14:textId="77777777" w:rsidR="006A3134" w:rsidRPr="00365EEF" w:rsidRDefault="006A3134" w:rsidP="006F62DE">
            <w:pPr>
              <w:spacing w:after="120" w:line="360" w:lineRule="auto"/>
              <w:jc w:val="center"/>
              <w:rPr>
                <w:rFonts w:eastAsia="Calibri" w:cstheme="minorHAnsi"/>
                <w:b/>
                <w:bCs/>
                <w:iCs/>
                <w:sz w:val="24"/>
                <w:szCs w:val="24"/>
              </w:rPr>
            </w:pPr>
            <w:r w:rsidRPr="00365EEF">
              <w:rPr>
                <w:rFonts w:eastAsia="Calibri" w:cstheme="minorHAnsi"/>
                <w:b/>
                <w:bCs/>
                <w:iCs/>
                <w:sz w:val="24"/>
                <w:szCs w:val="24"/>
              </w:rPr>
              <w:t>7.46</w:t>
            </w:r>
          </w:p>
        </w:tc>
      </w:tr>
      <w:tr w:rsidR="006A3134" w:rsidRPr="00365EEF" w14:paraId="564BE62C" w14:textId="77777777" w:rsidTr="00D877B4">
        <w:trPr>
          <w:jc w:val="right"/>
        </w:trPr>
        <w:tc>
          <w:tcPr>
            <w:tcW w:w="4077" w:type="dxa"/>
            <w:gridSpan w:val="4"/>
          </w:tcPr>
          <w:p w14:paraId="3F69B284"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sz w:val="24"/>
                <w:szCs w:val="24"/>
              </w:rPr>
              <w:t>Hydrocarbonated</w:t>
            </w:r>
            <w:r w:rsidRPr="00365EEF">
              <w:rPr>
                <w:rFonts w:eastAsia="Calibri" w:cstheme="minorHAnsi"/>
                <w:b/>
                <w:iCs/>
                <w:sz w:val="24"/>
                <w:szCs w:val="24"/>
              </w:rPr>
              <w:t xml:space="preserve"> sesquiterpenes</w:t>
            </w:r>
          </w:p>
        </w:tc>
        <w:tc>
          <w:tcPr>
            <w:tcW w:w="2961" w:type="dxa"/>
          </w:tcPr>
          <w:p w14:paraId="54F23A08"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5.37</w:t>
            </w:r>
          </w:p>
        </w:tc>
        <w:tc>
          <w:tcPr>
            <w:tcW w:w="2709" w:type="dxa"/>
          </w:tcPr>
          <w:p w14:paraId="6BA93B11"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5.26</w:t>
            </w:r>
          </w:p>
        </w:tc>
      </w:tr>
      <w:tr w:rsidR="006A3134" w:rsidRPr="00365EEF" w14:paraId="2AF1F902" w14:textId="77777777" w:rsidTr="00D877B4">
        <w:trPr>
          <w:jc w:val="right"/>
        </w:trPr>
        <w:tc>
          <w:tcPr>
            <w:tcW w:w="562" w:type="dxa"/>
            <w:gridSpan w:val="2"/>
            <w:shd w:val="clear" w:color="auto" w:fill="F2DBDB"/>
          </w:tcPr>
          <w:p w14:paraId="38CA0E83"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lastRenderedPageBreak/>
              <w:t>20</w:t>
            </w:r>
          </w:p>
        </w:tc>
        <w:tc>
          <w:tcPr>
            <w:tcW w:w="1073" w:type="dxa"/>
            <w:shd w:val="clear" w:color="auto" w:fill="F2DBDB"/>
          </w:tcPr>
          <w:p w14:paraId="3A9B79FA" w14:textId="77777777" w:rsidR="006A3134" w:rsidRPr="00365EEF" w:rsidRDefault="006A3134" w:rsidP="006F62DE">
            <w:pPr>
              <w:spacing w:line="360" w:lineRule="auto"/>
              <w:rPr>
                <w:rFonts w:eastAsia="Calibri" w:cstheme="minorHAnsi"/>
                <w:sz w:val="24"/>
                <w:szCs w:val="24"/>
              </w:rPr>
            </w:pPr>
            <w:r w:rsidRPr="00365EEF">
              <w:rPr>
                <w:rFonts w:eastAsia="Calibri" w:cstheme="minorHAnsi"/>
                <w:sz w:val="24"/>
                <w:szCs w:val="24"/>
              </w:rPr>
              <w:t>1015</w:t>
            </w:r>
          </w:p>
        </w:tc>
        <w:tc>
          <w:tcPr>
            <w:tcW w:w="2442" w:type="dxa"/>
            <w:shd w:val="clear" w:color="auto" w:fill="F2DBDB"/>
          </w:tcPr>
          <w:p w14:paraId="79A3431C"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(-)-endo-α- bergamotene</w:t>
            </w:r>
          </w:p>
        </w:tc>
        <w:tc>
          <w:tcPr>
            <w:tcW w:w="2961" w:type="dxa"/>
            <w:shd w:val="clear" w:color="auto" w:fill="F2DBDB"/>
          </w:tcPr>
          <w:p w14:paraId="07527A78"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c>
          <w:tcPr>
            <w:tcW w:w="2709" w:type="dxa"/>
            <w:shd w:val="clear" w:color="auto" w:fill="F2DBDB"/>
          </w:tcPr>
          <w:p w14:paraId="0230F349"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2.75</w:t>
            </w:r>
          </w:p>
        </w:tc>
      </w:tr>
      <w:tr w:rsidR="006A3134" w:rsidRPr="00365EEF" w14:paraId="11E7CE51" w14:textId="77777777" w:rsidTr="00D877B4">
        <w:trPr>
          <w:jc w:val="right"/>
        </w:trPr>
        <w:tc>
          <w:tcPr>
            <w:tcW w:w="562" w:type="dxa"/>
            <w:gridSpan w:val="2"/>
          </w:tcPr>
          <w:p w14:paraId="1FEA9221"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21</w:t>
            </w:r>
          </w:p>
        </w:tc>
        <w:tc>
          <w:tcPr>
            <w:tcW w:w="1073" w:type="dxa"/>
          </w:tcPr>
          <w:p w14:paraId="04F4C2A6" w14:textId="77777777" w:rsidR="006A3134" w:rsidRPr="00365EEF" w:rsidRDefault="006A3134" w:rsidP="006F62DE">
            <w:pPr>
              <w:spacing w:line="360" w:lineRule="auto"/>
              <w:rPr>
                <w:rFonts w:eastAsia="Calibri" w:cstheme="minorHAnsi"/>
                <w:sz w:val="24"/>
                <w:szCs w:val="24"/>
              </w:rPr>
            </w:pPr>
            <w:r w:rsidRPr="00365EEF">
              <w:rPr>
                <w:rFonts w:eastAsia="Calibri" w:cstheme="minorHAnsi"/>
                <w:sz w:val="24"/>
                <w:szCs w:val="24"/>
              </w:rPr>
              <w:t>1036</w:t>
            </w:r>
          </w:p>
        </w:tc>
        <w:tc>
          <w:tcPr>
            <w:tcW w:w="2442" w:type="dxa"/>
          </w:tcPr>
          <w:p w14:paraId="3CDC18CC"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Bicyclogermacrene</w:t>
            </w:r>
          </w:p>
        </w:tc>
        <w:tc>
          <w:tcPr>
            <w:tcW w:w="2961" w:type="dxa"/>
          </w:tcPr>
          <w:p w14:paraId="62B01051"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c>
          <w:tcPr>
            <w:tcW w:w="2709" w:type="dxa"/>
          </w:tcPr>
          <w:p w14:paraId="176ED4D6"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0.67</w:t>
            </w:r>
          </w:p>
        </w:tc>
      </w:tr>
      <w:tr w:rsidR="006A3134" w:rsidRPr="00365EEF" w14:paraId="1A8E3938" w14:textId="77777777" w:rsidTr="00D877B4">
        <w:trPr>
          <w:jc w:val="right"/>
        </w:trPr>
        <w:tc>
          <w:tcPr>
            <w:tcW w:w="562" w:type="dxa"/>
            <w:gridSpan w:val="2"/>
            <w:shd w:val="clear" w:color="auto" w:fill="F2DBDB"/>
          </w:tcPr>
          <w:p w14:paraId="04E2B23A"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22</w:t>
            </w:r>
          </w:p>
        </w:tc>
        <w:tc>
          <w:tcPr>
            <w:tcW w:w="1073" w:type="dxa"/>
            <w:shd w:val="clear" w:color="auto" w:fill="F2DBDB"/>
          </w:tcPr>
          <w:p w14:paraId="07DC0269" w14:textId="77777777" w:rsidR="006A3134" w:rsidRPr="00365EEF" w:rsidRDefault="006A3134" w:rsidP="006F62DE">
            <w:pPr>
              <w:spacing w:line="360" w:lineRule="auto"/>
              <w:rPr>
                <w:rFonts w:eastAsia="Calibri" w:cstheme="minorHAnsi"/>
                <w:sz w:val="24"/>
                <w:szCs w:val="24"/>
              </w:rPr>
            </w:pPr>
            <w:r w:rsidRPr="00365EEF">
              <w:rPr>
                <w:rFonts w:eastAsia="Calibri" w:cstheme="minorHAnsi"/>
                <w:sz w:val="24"/>
                <w:szCs w:val="24"/>
              </w:rPr>
              <w:t>1042</w:t>
            </w:r>
          </w:p>
        </w:tc>
        <w:tc>
          <w:tcPr>
            <w:tcW w:w="2442" w:type="dxa"/>
            <w:shd w:val="clear" w:color="auto" w:fill="F2DBDB"/>
          </w:tcPr>
          <w:p w14:paraId="1E55377C"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ϒ muurolene</w:t>
            </w:r>
          </w:p>
        </w:tc>
        <w:tc>
          <w:tcPr>
            <w:tcW w:w="2961" w:type="dxa"/>
            <w:shd w:val="clear" w:color="auto" w:fill="F2DBDB"/>
          </w:tcPr>
          <w:p w14:paraId="463E5282"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c>
          <w:tcPr>
            <w:tcW w:w="2709" w:type="dxa"/>
            <w:shd w:val="clear" w:color="auto" w:fill="F2DBDB"/>
          </w:tcPr>
          <w:p w14:paraId="5FF0237C" w14:textId="77777777" w:rsidR="006A3134" w:rsidRPr="00365EEF" w:rsidRDefault="006A3134" w:rsidP="006F62DE">
            <w:pPr>
              <w:spacing w:line="360" w:lineRule="auto"/>
              <w:jc w:val="center"/>
              <w:rPr>
                <w:rFonts w:eastAsia="Calibri" w:cstheme="minorHAnsi"/>
                <w:sz w:val="24"/>
                <w:szCs w:val="24"/>
              </w:rPr>
            </w:pPr>
            <w:r w:rsidRPr="00365EEF">
              <w:rPr>
                <w:rFonts w:eastAsia="Calibri" w:cstheme="minorHAnsi"/>
                <w:sz w:val="24"/>
                <w:szCs w:val="24"/>
              </w:rPr>
              <w:t>0.97</w:t>
            </w:r>
          </w:p>
        </w:tc>
      </w:tr>
      <w:tr w:rsidR="006A3134" w:rsidRPr="00365EEF" w14:paraId="3CE2A70C" w14:textId="77777777" w:rsidTr="00D877B4">
        <w:trPr>
          <w:jc w:val="right"/>
        </w:trPr>
        <w:tc>
          <w:tcPr>
            <w:tcW w:w="562" w:type="dxa"/>
            <w:gridSpan w:val="2"/>
          </w:tcPr>
          <w:p w14:paraId="5D35E5C5"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23</w:t>
            </w:r>
          </w:p>
        </w:tc>
        <w:tc>
          <w:tcPr>
            <w:tcW w:w="1073" w:type="dxa"/>
          </w:tcPr>
          <w:p w14:paraId="77BC9AE4"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1380</w:t>
            </w:r>
          </w:p>
        </w:tc>
        <w:tc>
          <w:tcPr>
            <w:tcW w:w="2442" w:type="dxa"/>
          </w:tcPr>
          <w:p w14:paraId="198F255A"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β-cubebene</w:t>
            </w:r>
          </w:p>
        </w:tc>
        <w:tc>
          <w:tcPr>
            <w:tcW w:w="2961" w:type="dxa"/>
          </w:tcPr>
          <w:p w14:paraId="23989F60"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0.47</w:t>
            </w:r>
          </w:p>
        </w:tc>
        <w:tc>
          <w:tcPr>
            <w:tcW w:w="2709" w:type="dxa"/>
          </w:tcPr>
          <w:p w14:paraId="3126E9C3"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2C9BB5F3" w14:textId="77777777" w:rsidTr="00D877B4">
        <w:trPr>
          <w:jc w:val="right"/>
        </w:trPr>
        <w:tc>
          <w:tcPr>
            <w:tcW w:w="562" w:type="dxa"/>
            <w:gridSpan w:val="2"/>
            <w:shd w:val="clear" w:color="auto" w:fill="F2DBDB"/>
          </w:tcPr>
          <w:p w14:paraId="5E2F3C97"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24</w:t>
            </w:r>
          </w:p>
        </w:tc>
        <w:tc>
          <w:tcPr>
            <w:tcW w:w="1073" w:type="dxa"/>
            <w:shd w:val="clear" w:color="auto" w:fill="F2DBDB"/>
          </w:tcPr>
          <w:p w14:paraId="553466C3"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1393</w:t>
            </w:r>
          </w:p>
        </w:tc>
        <w:tc>
          <w:tcPr>
            <w:tcW w:w="2442" w:type="dxa"/>
            <w:shd w:val="clear" w:color="auto" w:fill="F2DBDB"/>
          </w:tcPr>
          <w:p w14:paraId="565734FC"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β-elemene</w:t>
            </w:r>
          </w:p>
        </w:tc>
        <w:tc>
          <w:tcPr>
            <w:tcW w:w="2961" w:type="dxa"/>
            <w:shd w:val="clear" w:color="auto" w:fill="F2DBDB"/>
          </w:tcPr>
          <w:p w14:paraId="6A9881D5"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0.27</w:t>
            </w:r>
          </w:p>
        </w:tc>
        <w:tc>
          <w:tcPr>
            <w:tcW w:w="2709" w:type="dxa"/>
            <w:shd w:val="clear" w:color="auto" w:fill="F2DBDB"/>
          </w:tcPr>
          <w:p w14:paraId="77B9C3DC"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7EB6F1C8" w14:textId="77777777" w:rsidTr="00D877B4">
        <w:trPr>
          <w:jc w:val="right"/>
        </w:trPr>
        <w:tc>
          <w:tcPr>
            <w:tcW w:w="562" w:type="dxa"/>
            <w:gridSpan w:val="2"/>
          </w:tcPr>
          <w:p w14:paraId="6C9FFBD3"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25</w:t>
            </w:r>
          </w:p>
        </w:tc>
        <w:tc>
          <w:tcPr>
            <w:tcW w:w="1073" w:type="dxa"/>
          </w:tcPr>
          <w:p w14:paraId="508CB19B"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1432</w:t>
            </w:r>
          </w:p>
        </w:tc>
        <w:tc>
          <w:tcPr>
            <w:tcW w:w="2442" w:type="dxa"/>
          </w:tcPr>
          <w:p w14:paraId="40866D23"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β-caryophyllene</w:t>
            </w:r>
          </w:p>
        </w:tc>
        <w:tc>
          <w:tcPr>
            <w:tcW w:w="2961" w:type="dxa"/>
          </w:tcPr>
          <w:p w14:paraId="0015ABCA"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2.64</w:t>
            </w:r>
          </w:p>
        </w:tc>
        <w:tc>
          <w:tcPr>
            <w:tcW w:w="2709" w:type="dxa"/>
          </w:tcPr>
          <w:p w14:paraId="5A6C1037"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614088C9" w14:textId="77777777" w:rsidTr="00D877B4">
        <w:trPr>
          <w:jc w:val="right"/>
        </w:trPr>
        <w:tc>
          <w:tcPr>
            <w:tcW w:w="562" w:type="dxa"/>
            <w:gridSpan w:val="2"/>
            <w:shd w:val="clear" w:color="auto" w:fill="F2DBDB"/>
          </w:tcPr>
          <w:p w14:paraId="4B669166"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26</w:t>
            </w:r>
          </w:p>
        </w:tc>
        <w:tc>
          <w:tcPr>
            <w:tcW w:w="1073" w:type="dxa"/>
            <w:shd w:val="clear" w:color="auto" w:fill="F2DBDB"/>
          </w:tcPr>
          <w:p w14:paraId="38E4C6C1"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1460</w:t>
            </w:r>
          </w:p>
        </w:tc>
        <w:tc>
          <w:tcPr>
            <w:tcW w:w="2442" w:type="dxa"/>
            <w:shd w:val="clear" w:color="auto" w:fill="F2DBDB"/>
          </w:tcPr>
          <w:p w14:paraId="3BA9A5A4"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α-humulene</w:t>
            </w:r>
          </w:p>
        </w:tc>
        <w:tc>
          <w:tcPr>
            <w:tcW w:w="2961" w:type="dxa"/>
            <w:shd w:val="clear" w:color="auto" w:fill="F2DBDB"/>
          </w:tcPr>
          <w:p w14:paraId="76446203"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0.26</w:t>
            </w:r>
          </w:p>
        </w:tc>
        <w:tc>
          <w:tcPr>
            <w:tcW w:w="2709" w:type="dxa"/>
            <w:shd w:val="clear" w:color="auto" w:fill="F2DBDB"/>
          </w:tcPr>
          <w:p w14:paraId="3870FA56"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4E7C0FC9" w14:textId="77777777" w:rsidTr="00D877B4">
        <w:trPr>
          <w:jc w:val="right"/>
        </w:trPr>
        <w:tc>
          <w:tcPr>
            <w:tcW w:w="562" w:type="dxa"/>
            <w:gridSpan w:val="2"/>
          </w:tcPr>
          <w:p w14:paraId="03CC752B"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27</w:t>
            </w:r>
          </w:p>
        </w:tc>
        <w:tc>
          <w:tcPr>
            <w:tcW w:w="1073" w:type="dxa"/>
          </w:tcPr>
          <w:p w14:paraId="55B7A68C"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1487</w:t>
            </w:r>
          </w:p>
        </w:tc>
        <w:tc>
          <w:tcPr>
            <w:tcW w:w="2442" w:type="dxa"/>
          </w:tcPr>
          <w:p w14:paraId="017D1DFB"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Germacreme D</w:t>
            </w:r>
          </w:p>
        </w:tc>
        <w:tc>
          <w:tcPr>
            <w:tcW w:w="2961" w:type="dxa"/>
          </w:tcPr>
          <w:p w14:paraId="37F3E6D9"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0.13</w:t>
            </w:r>
          </w:p>
        </w:tc>
        <w:tc>
          <w:tcPr>
            <w:tcW w:w="2709" w:type="dxa"/>
          </w:tcPr>
          <w:p w14:paraId="22EBE34F"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0.87</w:t>
            </w:r>
          </w:p>
        </w:tc>
      </w:tr>
      <w:tr w:rsidR="006A3134" w:rsidRPr="00365EEF" w14:paraId="501313C2" w14:textId="77777777" w:rsidTr="00D877B4">
        <w:trPr>
          <w:jc w:val="right"/>
        </w:trPr>
        <w:tc>
          <w:tcPr>
            <w:tcW w:w="562" w:type="dxa"/>
            <w:gridSpan w:val="2"/>
            <w:shd w:val="clear" w:color="auto" w:fill="F2DBDB"/>
          </w:tcPr>
          <w:p w14:paraId="087673CE"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28</w:t>
            </w:r>
          </w:p>
        </w:tc>
        <w:tc>
          <w:tcPr>
            <w:tcW w:w="1073" w:type="dxa"/>
            <w:shd w:val="clear" w:color="auto" w:fill="F2DBDB"/>
          </w:tcPr>
          <w:p w14:paraId="43455AE3"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1496</w:t>
            </w:r>
          </w:p>
        </w:tc>
        <w:tc>
          <w:tcPr>
            <w:tcW w:w="2442" w:type="dxa"/>
            <w:shd w:val="clear" w:color="auto" w:fill="F2DBDB"/>
          </w:tcPr>
          <w:p w14:paraId="56BC8104"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α-curcumene</w:t>
            </w:r>
          </w:p>
        </w:tc>
        <w:tc>
          <w:tcPr>
            <w:tcW w:w="2961" w:type="dxa"/>
            <w:shd w:val="clear" w:color="auto" w:fill="F2DBDB"/>
          </w:tcPr>
          <w:p w14:paraId="18AE6C65"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0.88</w:t>
            </w:r>
          </w:p>
        </w:tc>
        <w:tc>
          <w:tcPr>
            <w:tcW w:w="2709" w:type="dxa"/>
            <w:shd w:val="clear" w:color="auto" w:fill="F2DBDB"/>
          </w:tcPr>
          <w:p w14:paraId="76810E6B"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369229DB" w14:textId="77777777" w:rsidTr="00D877B4">
        <w:trPr>
          <w:jc w:val="right"/>
        </w:trPr>
        <w:tc>
          <w:tcPr>
            <w:tcW w:w="562" w:type="dxa"/>
            <w:gridSpan w:val="2"/>
          </w:tcPr>
          <w:p w14:paraId="06E9E11B"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29</w:t>
            </w:r>
          </w:p>
        </w:tc>
        <w:tc>
          <w:tcPr>
            <w:tcW w:w="1073" w:type="dxa"/>
          </w:tcPr>
          <w:p w14:paraId="556D844D"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1502</w:t>
            </w:r>
          </w:p>
        </w:tc>
        <w:tc>
          <w:tcPr>
            <w:tcW w:w="2442" w:type="dxa"/>
          </w:tcPr>
          <w:p w14:paraId="6579605A"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α-selimene</w:t>
            </w:r>
          </w:p>
        </w:tc>
        <w:tc>
          <w:tcPr>
            <w:tcW w:w="2961" w:type="dxa"/>
          </w:tcPr>
          <w:p w14:paraId="7C72497D"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0.36</w:t>
            </w:r>
          </w:p>
        </w:tc>
        <w:tc>
          <w:tcPr>
            <w:tcW w:w="2709" w:type="dxa"/>
          </w:tcPr>
          <w:p w14:paraId="477A36B9"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2B678397" w14:textId="77777777" w:rsidTr="00D877B4">
        <w:trPr>
          <w:jc w:val="right"/>
        </w:trPr>
        <w:tc>
          <w:tcPr>
            <w:tcW w:w="562" w:type="dxa"/>
            <w:gridSpan w:val="2"/>
            <w:shd w:val="clear" w:color="auto" w:fill="F2DBDB"/>
          </w:tcPr>
          <w:p w14:paraId="205C7773"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30</w:t>
            </w:r>
          </w:p>
        </w:tc>
        <w:tc>
          <w:tcPr>
            <w:tcW w:w="1073" w:type="dxa"/>
            <w:shd w:val="clear" w:color="auto" w:fill="F2DBDB"/>
          </w:tcPr>
          <w:p w14:paraId="165F35CB"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1524</w:t>
            </w:r>
          </w:p>
        </w:tc>
        <w:tc>
          <w:tcPr>
            <w:tcW w:w="2442" w:type="dxa"/>
            <w:shd w:val="clear" w:color="auto" w:fill="F2DBDB"/>
          </w:tcPr>
          <w:p w14:paraId="5D9F7D5E"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d-cadinene</w:t>
            </w:r>
          </w:p>
        </w:tc>
        <w:tc>
          <w:tcPr>
            <w:tcW w:w="2961" w:type="dxa"/>
            <w:shd w:val="clear" w:color="auto" w:fill="F2DBDB"/>
          </w:tcPr>
          <w:p w14:paraId="4A996A12"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0.36</w:t>
            </w:r>
          </w:p>
        </w:tc>
        <w:tc>
          <w:tcPr>
            <w:tcW w:w="2709" w:type="dxa"/>
            <w:shd w:val="clear" w:color="auto" w:fill="F2DBDB"/>
          </w:tcPr>
          <w:p w14:paraId="7A871618"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0652BC73" w14:textId="77777777" w:rsidTr="00D877B4">
        <w:trPr>
          <w:jc w:val="right"/>
        </w:trPr>
        <w:tc>
          <w:tcPr>
            <w:tcW w:w="4077" w:type="dxa"/>
            <w:gridSpan w:val="4"/>
          </w:tcPr>
          <w:p w14:paraId="3D300ED9"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sz w:val="24"/>
                <w:szCs w:val="24"/>
              </w:rPr>
              <w:t>Oxygenated sesquiterpenes</w:t>
            </w:r>
          </w:p>
        </w:tc>
        <w:tc>
          <w:tcPr>
            <w:tcW w:w="2961" w:type="dxa"/>
          </w:tcPr>
          <w:p w14:paraId="77B6703F"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0.43</w:t>
            </w:r>
          </w:p>
        </w:tc>
        <w:tc>
          <w:tcPr>
            <w:tcW w:w="2709" w:type="dxa"/>
          </w:tcPr>
          <w:p w14:paraId="2CFD23CA"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2.20</w:t>
            </w:r>
          </w:p>
        </w:tc>
      </w:tr>
      <w:tr w:rsidR="006A3134" w:rsidRPr="00365EEF" w14:paraId="6BB5EE9F" w14:textId="77777777" w:rsidTr="00D877B4">
        <w:trPr>
          <w:jc w:val="right"/>
        </w:trPr>
        <w:tc>
          <w:tcPr>
            <w:tcW w:w="562" w:type="dxa"/>
            <w:gridSpan w:val="2"/>
            <w:shd w:val="clear" w:color="auto" w:fill="F2DBDB"/>
          </w:tcPr>
          <w:p w14:paraId="2F1446DE"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31</w:t>
            </w:r>
          </w:p>
        </w:tc>
        <w:tc>
          <w:tcPr>
            <w:tcW w:w="1073" w:type="dxa"/>
            <w:shd w:val="clear" w:color="auto" w:fill="F2DBDB"/>
          </w:tcPr>
          <w:p w14:paraId="37EF8A3E" w14:textId="77777777" w:rsidR="006A3134" w:rsidRPr="00365EEF" w:rsidRDefault="006A3134" w:rsidP="006F62DE">
            <w:pPr>
              <w:spacing w:line="360" w:lineRule="auto"/>
              <w:rPr>
                <w:rFonts w:eastAsia="Calibri" w:cstheme="minorHAnsi"/>
                <w:sz w:val="24"/>
                <w:szCs w:val="24"/>
              </w:rPr>
            </w:pPr>
            <w:r w:rsidRPr="00365EEF">
              <w:rPr>
                <w:rFonts w:eastAsia="Calibri" w:cstheme="minorHAnsi"/>
                <w:sz w:val="24"/>
                <w:szCs w:val="24"/>
              </w:rPr>
              <w:t>1080</w:t>
            </w:r>
          </w:p>
        </w:tc>
        <w:tc>
          <w:tcPr>
            <w:tcW w:w="2442" w:type="dxa"/>
            <w:shd w:val="clear" w:color="auto" w:fill="F2DBDB"/>
          </w:tcPr>
          <w:p w14:paraId="7B972CF5" w14:textId="77777777" w:rsidR="006A3134" w:rsidRPr="00365EEF" w:rsidRDefault="006A3134" w:rsidP="006F62DE">
            <w:pPr>
              <w:spacing w:line="360" w:lineRule="auto"/>
              <w:rPr>
                <w:rFonts w:eastAsia="Calibri" w:cstheme="minorHAnsi"/>
                <w:sz w:val="24"/>
                <w:szCs w:val="24"/>
              </w:rPr>
            </w:pPr>
            <w:r w:rsidRPr="00365EEF">
              <w:rPr>
                <w:rFonts w:eastAsia="Calibri" w:cstheme="minorHAnsi"/>
                <w:sz w:val="24"/>
                <w:szCs w:val="24"/>
              </w:rPr>
              <w:t>Tau-cardinol</w:t>
            </w:r>
          </w:p>
        </w:tc>
        <w:tc>
          <w:tcPr>
            <w:tcW w:w="2961" w:type="dxa"/>
            <w:shd w:val="clear" w:color="auto" w:fill="F2DBDB"/>
          </w:tcPr>
          <w:p w14:paraId="71A4BB4C"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c>
          <w:tcPr>
            <w:tcW w:w="2709" w:type="dxa"/>
            <w:shd w:val="clear" w:color="auto" w:fill="F2DBDB"/>
          </w:tcPr>
          <w:p w14:paraId="57B23C08"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2.20</w:t>
            </w:r>
          </w:p>
        </w:tc>
      </w:tr>
      <w:tr w:rsidR="006A3134" w:rsidRPr="00365EEF" w14:paraId="30D83EBD" w14:textId="77777777" w:rsidTr="00D877B4">
        <w:trPr>
          <w:jc w:val="right"/>
        </w:trPr>
        <w:tc>
          <w:tcPr>
            <w:tcW w:w="562" w:type="dxa"/>
            <w:gridSpan w:val="2"/>
          </w:tcPr>
          <w:p w14:paraId="3D90434C"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32</w:t>
            </w:r>
          </w:p>
        </w:tc>
        <w:tc>
          <w:tcPr>
            <w:tcW w:w="1073" w:type="dxa"/>
          </w:tcPr>
          <w:p w14:paraId="6272860F"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1591</w:t>
            </w:r>
          </w:p>
        </w:tc>
        <w:tc>
          <w:tcPr>
            <w:tcW w:w="2442" w:type="dxa"/>
          </w:tcPr>
          <w:p w14:paraId="5E8DEA47"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β-6-elemene</w:t>
            </w:r>
          </w:p>
        </w:tc>
        <w:tc>
          <w:tcPr>
            <w:tcW w:w="2961" w:type="dxa"/>
          </w:tcPr>
          <w:p w14:paraId="0561972A"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0.25</w:t>
            </w:r>
          </w:p>
        </w:tc>
        <w:tc>
          <w:tcPr>
            <w:tcW w:w="2709" w:type="dxa"/>
          </w:tcPr>
          <w:p w14:paraId="0BF0D2EB"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769CE606" w14:textId="77777777" w:rsidTr="00D877B4">
        <w:trPr>
          <w:jc w:val="right"/>
        </w:trPr>
        <w:tc>
          <w:tcPr>
            <w:tcW w:w="562" w:type="dxa"/>
            <w:gridSpan w:val="2"/>
            <w:shd w:val="clear" w:color="auto" w:fill="F2DBDB"/>
          </w:tcPr>
          <w:p w14:paraId="72EBA96E"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33</w:t>
            </w:r>
          </w:p>
        </w:tc>
        <w:tc>
          <w:tcPr>
            <w:tcW w:w="1073" w:type="dxa"/>
            <w:shd w:val="clear" w:color="auto" w:fill="F2DBDB"/>
          </w:tcPr>
          <w:p w14:paraId="55CFD9D2"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1665</w:t>
            </w:r>
          </w:p>
        </w:tc>
        <w:tc>
          <w:tcPr>
            <w:tcW w:w="2442" w:type="dxa"/>
            <w:shd w:val="clear" w:color="auto" w:fill="F2DBDB"/>
          </w:tcPr>
          <w:p w14:paraId="21E426AE" w14:textId="77777777" w:rsidR="006A3134" w:rsidRPr="00365EEF" w:rsidRDefault="006A3134" w:rsidP="006F62DE">
            <w:pPr>
              <w:spacing w:after="120" w:line="360" w:lineRule="auto"/>
              <w:rPr>
                <w:rFonts w:eastAsia="Calibri" w:cstheme="minorHAnsi"/>
                <w:sz w:val="24"/>
                <w:szCs w:val="24"/>
              </w:rPr>
            </w:pPr>
            <w:r w:rsidRPr="00365EEF">
              <w:rPr>
                <w:rFonts w:eastAsia="Calibri" w:cstheme="minorHAnsi"/>
                <w:sz w:val="24"/>
                <w:szCs w:val="24"/>
              </w:rPr>
              <w:t>Hydroxycaryophyllene</w:t>
            </w:r>
          </w:p>
        </w:tc>
        <w:tc>
          <w:tcPr>
            <w:tcW w:w="2961" w:type="dxa"/>
            <w:shd w:val="clear" w:color="auto" w:fill="F2DBDB"/>
          </w:tcPr>
          <w:p w14:paraId="48ACAF70"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0.18</w:t>
            </w:r>
          </w:p>
        </w:tc>
        <w:tc>
          <w:tcPr>
            <w:tcW w:w="2709" w:type="dxa"/>
            <w:shd w:val="clear" w:color="auto" w:fill="F2DBDB"/>
          </w:tcPr>
          <w:p w14:paraId="23D32771" w14:textId="77777777" w:rsidR="006A3134" w:rsidRPr="00365EEF" w:rsidRDefault="006A3134" w:rsidP="006F62DE">
            <w:pPr>
              <w:spacing w:after="120" w:line="360" w:lineRule="auto"/>
              <w:jc w:val="center"/>
              <w:rPr>
                <w:rFonts w:eastAsia="Calibri" w:cstheme="minorHAnsi"/>
                <w:sz w:val="24"/>
                <w:szCs w:val="24"/>
              </w:rPr>
            </w:pPr>
            <w:r w:rsidRPr="00365EEF">
              <w:rPr>
                <w:rFonts w:eastAsia="Calibri" w:cstheme="minorHAnsi"/>
                <w:sz w:val="24"/>
                <w:szCs w:val="24"/>
              </w:rPr>
              <w:t>-</w:t>
            </w:r>
          </w:p>
        </w:tc>
      </w:tr>
      <w:tr w:rsidR="006A3134" w:rsidRPr="00365EEF" w14:paraId="0F25CE57" w14:textId="77777777" w:rsidTr="00D877B4">
        <w:trPr>
          <w:jc w:val="right"/>
        </w:trPr>
        <w:tc>
          <w:tcPr>
            <w:tcW w:w="4077" w:type="dxa"/>
            <w:gridSpan w:val="4"/>
          </w:tcPr>
          <w:p w14:paraId="7C317B6C" w14:textId="77777777" w:rsidR="006A3134" w:rsidRPr="00365EEF" w:rsidRDefault="006A3134" w:rsidP="006F62DE">
            <w:pPr>
              <w:spacing w:after="120" w:line="360" w:lineRule="auto"/>
              <w:jc w:val="center"/>
              <w:rPr>
                <w:rFonts w:eastAsia="Calibri" w:cstheme="minorHAnsi"/>
                <w:b/>
                <w:bCs/>
                <w:sz w:val="24"/>
                <w:szCs w:val="24"/>
              </w:rPr>
            </w:pPr>
            <w:r w:rsidRPr="00365EEF">
              <w:rPr>
                <w:rFonts w:eastAsia="Calibri" w:cstheme="minorHAnsi"/>
                <w:b/>
                <w:bCs/>
                <w:sz w:val="24"/>
                <w:szCs w:val="24"/>
              </w:rPr>
              <w:t>TOTAL</w:t>
            </w:r>
          </w:p>
        </w:tc>
        <w:tc>
          <w:tcPr>
            <w:tcW w:w="2961" w:type="dxa"/>
          </w:tcPr>
          <w:p w14:paraId="1158D932"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99.67</w:t>
            </w:r>
          </w:p>
        </w:tc>
        <w:tc>
          <w:tcPr>
            <w:tcW w:w="2709" w:type="dxa"/>
          </w:tcPr>
          <w:p w14:paraId="1891097D" w14:textId="77777777" w:rsidR="006A3134" w:rsidRPr="00365EEF" w:rsidRDefault="006A3134" w:rsidP="006F62DE">
            <w:pPr>
              <w:spacing w:after="120" w:line="360" w:lineRule="auto"/>
              <w:jc w:val="center"/>
              <w:rPr>
                <w:rFonts w:eastAsia="Calibri" w:cstheme="minorHAnsi"/>
                <w:b/>
                <w:sz w:val="24"/>
                <w:szCs w:val="24"/>
              </w:rPr>
            </w:pPr>
            <w:r w:rsidRPr="00365EEF">
              <w:rPr>
                <w:rFonts w:eastAsia="Calibri" w:cstheme="minorHAnsi"/>
                <w:b/>
                <w:sz w:val="24"/>
                <w:szCs w:val="24"/>
              </w:rPr>
              <w:t>99.97</w:t>
            </w:r>
          </w:p>
        </w:tc>
      </w:tr>
    </w:tbl>
    <w:p w14:paraId="38698F7C" w14:textId="77777777" w:rsidR="005F2104" w:rsidRPr="00365EEF" w:rsidRDefault="005F2104" w:rsidP="006F62DE">
      <w:pPr>
        <w:pStyle w:val="MDPI31text"/>
        <w:spacing w:line="360" w:lineRule="auto"/>
        <w:ind w:left="0" w:firstLine="0"/>
        <w:rPr>
          <w:rFonts w:asciiTheme="minorHAnsi" w:eastAsiaTheme="minorHAnsi" w:hAnsiTheme="minorHAnsi" w:cstheme="minorHAnsi"/>
          <w:snapToGrid/>
          <w:color w:val="auto"/>
          <w:sz w:val="24"/>
          <w:szCs w:val="24"/>
          <w:lang w:val="fr-FR" w:eastAsia="en-US" w:bidi="ar-SA"/>
        </w:rPr>
      </w:pPr>
    </w:p>
    <w:p w14:paraId="44B26482" w14:textId="77777777" w:rsidR="005F2104" w:rsidRPr="00365EEF" w:rsidRDefault="005F2104"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Overall, the essential oil from </w:t>
      </w:r>
      <w:r w:rsidRPr="00365EEF">
        <w:rPr>
          <w:rFonts w:asciiTheme="minorHAnsi" w:hAnsiTheme="minorHAnsi" w:cstheme="minorHAnsi"/>
          <w:i/>
          <w:iCs/>
          <w:color w:val="auto"/>
          <w:sz w:val="24"/>
          <w:szCs w:val="24"/>
          <w:lang w:val="fr-FR"/>
        </w:rPr>
        <w:t>O. gratissimum</w:t>
      </w:r>
      <w:r w:rsidRPr="00365EEF">
        <w:rPr>
          <w:rFonts w:asciiTheme="minorHAnsi" w:hAnsiTheme="minorHAnsi" w:cstheme="minorHAnsi"/>
          <w:color w:val="auto"/>
          <w:sz w:val="24"/>
          <w:szCs w:val="24"/>
          <w:lang w:val="fr-FR"/>
        </w:rPr>
        <w:t> was dominated by γ-terpinene (33.73%), thymol (26.44%), 1,8-cineole (16.65%) and thujene (6.05%), whereas </w:t>
      </w:r>
      <w:r w:rsidRPr="00365EEF">
        <w:rPr>
          <w:rFonts w:asciiTheme="minorHAnsi" w:hAnsiTheme="minorHAnsi" w:cstheme="minorHAnsi"/>
          <w:i/>
          <w:iCs/>
          <w:color w:val="auto"/>
          <w:sz w:val="24"/>
          <w:szCs w:val="24"/>
          <w:lang w:val="fr-FR"/>
        </w:rPr>
        <w:t>O. basilicum</w:t>
      </w:r>
      <w:r w:rsidRPr="00365EEF">
        <w:rPr>
          <w:rFonts w:asciiTheme="minorHAnsi" w:hAnsiTheme="minorHAnsi" w:cstheme="minorHAnsi"/>
          <w:iCs/>
          <w:color w:val="auto"/>
          <w:sz w:val="24"/>
          <w:szCs w:val="24"/>
          <w:lang w:val="fr-FR"/>
        </w:rPr>
        <w:t>’s</w:t>
      </w:r>
      <w:r w:rsidRPr="00365EEF">
        <w:rPr>
          <w:rFonts w:asciiTheme="minorHAnsi" w:hAnsiTheme="minorHAnsi" w:cstheme="minorHAnsi"/>
          <w:color w:val="auto"/>
          <w:sz w:val="24"/>
          <w:szCs w:val="24"/>
          <w:lang w:val="fr-FR"/>
        </w:rPr>
        <w:t> essential oil comprised mostly eugenol (16.78%) and linalool (55.32%).</w:t>
      </w:r>
    </w:p>
    <w:p w14:paraId="0AC6AE9D" w14:textId="77777777" w:rsidR="005F2104" w:rsidRPr="00365EEF" w:rsidRDefault="00D877B4" w:rsidP="006F62DE">
      <w:pPr>
        <w:pStyle w:val="MDPI31text"/>
        <w:spacing w:line="360" w:lineRule="auto"/>
        <w:ind w:left="0" w:firstLine="0"/>
        <w:rPr>
          <w:rFonts w:asciiTheme="minorHAnsi" w:hAnsiTheme="minorHAnsi" w:cstheme="minorHAnsi"/>
          <w:b/>
          <w:bCs/>
          <w:color w:val="auto"/>
          <w:sz w:val="24"/>
          <w:szCs w:val="24"/>
          <w:lang w:val="fr-FR"/>
        </w:rPr>
      </w:pPr>
      <w:r w:rsidRPr="00365EEF">
        <w:rPr>
          <w:rFonts w:asciiTheme="minorHAnsi" w:hAnsiTheme="minorHAnsi" w:cstheme="minorHAnsi"/>
          <w:b/>
          <w:bCs/>
          <w:color w:val="auto"/>
          <w:sz w:val="24"/>
          <w:szCs w:val="24"/>
          <w:lang w:val="fr-FR"/>
        </w:rPr>
        <w:t>3</w:t>
      </w:r>
      <w:r w:rsidR="005F2104" w:rsidRPr="00365EEF">
        <w:rPr>
          <w:rFonts w:asciiTheme="minorHAnsi" w:hAnsiTheme="minorHAnsi" w:cstheme="minorHAnsi"/>
          <w:b/>
          <w:bCs/>
          <w:color w:val="auto"/>
          <w:sz w:val="24"/>
          <w:szCs w:val="24"/>
          <w:lang w:val="fr-FR"/>
        </w:rPr>
        <w:t>.1.3. Characterization of the emulsions</w:t>
      </w:r>
    </w:p>
    <w:p w14:paraId="03257948" w14:textId="77777777" w:rsidR="005F2104" w:rsidRPr="00365EEF" w:rsidRDefault="005F2104" w:rsidP="006F62DE">
      <w:pPr>
        <w:spacing w:line="360" w:lineRule="auto"/>
        <w:jc w:val="both"/>
        <w:rPr>
          <w:rFonts w:cstheme="minorHAnsi"/>
          <w:sz w:val="24"/>
          <w:szCs w:val="24"/>
        </w:rPr>
      </w:pPr>
      <w:r w:rsidRPr="00365EEF">
        <w:rPr>
          <w:rFonts w:cstheme="minorHAnsi"/>
          <w:b/>
          <w:bCs/>
          <w:sz w:val="24"/>
          <w:szCs w:val="24"/>
        </w:rPr>
        <w:t>a. Physical characteristics</w:t>
      </w:r>
    </w:p>
    <w:p w14:paraId="4FAA7421" w14:textId="77777777" w:rsidR="005F2104" w:rsidRPr="00365EEF" w:rsidRDefault="005F2104" w:rsidP="006F62DE">
      <w:pPr>
        <w:spacing w:line="360" w:lineRule="auto"/>
        <w:jc w:val="both"/>
        <w:rPr>
          <w:rFonts w:cstheme="minorHAnsi"/>
          <w:sz w:val="24"/>
          <w:szCs w:val="24"/>
        </w:rPr>
      </w:pPr>
      <w:r w:rsidRPr="00365EEF">
        <w:rPr>
          <w:rFonts w:cstheme="minorHAnsi"/>
          <w:sz w:val="24"/>
          <w:szCs w:val="24"/>
        </w:rPr>
        <w:t>The emulsions were obtained by mixing separately the essential oils from </w:t>
      </w:r>
      <w:r w:rsidRPr="00365EEF">
        <w:rPr>
          <w:rFonts w:cstheme="minorHAnsi"/>
          <w:i/>
          <w:iCs/>
          <w:sz w:val="24"/>
          <w:szCs w:val="24"/>
        </w:rPr>
        <w:t>O. basilicum</w:t>
      </w:r>
      <w:r w:rsidRPr="00365EEF">
        <w:rPr>
          <w:rFonts w:cstheme="minorHAnsi"/>
          <w:sz w:val="24"/>
          <w:szCs w:val="24"/>
        </w:rPr>
        <w:t> and </w:t>
      </w:r>
      <w:r w:rsidRPr="00365EEF">
        <w:rPr>
          <w:rFonts w:cstheme="minorHAnsi"/>
          <w:i/>
          <w:iCs/>
          <w:sz w:val="24"/>
          <w:szCs w:val="24"/>
        </w:rPr>
        <w:t>O. gratissimum</w:t>
      </w:r>
      <w:r w:rsidRPr="00365EEF">
        <w:rPr>
          <w:rFonts w:cstheme="minorHAnsi"/>
          <w:sz w:val="24"/>
          <w:szCs w:val="24"/>
        </w:rPr>
        <w:t xml:space="preserve"> with Tween 80 and distilled water in the respective proportions of 5/5/90 (w/w). </w:t>
      </w:r>
      <w:r w:rsidRPr="00365EEF">
        <w:rPr>
          <w:rFonts w:cstheme="minorHAnsi"/>
          <w:sz w:val="24"/>
          <w:szCs w:val="24"/>
        </w:rPr>
        <w:lastRenderedPageBreak/>
        <w:t>Emulsions from essential oils of </w:t>
      </w:r>
      <w:r w:rsidRPr="00365EEF">
        <w:rPr>
          <w:rFonts w:cstheme="minorHAnsi"/>
          <w:i/>
          <w:iCs/>
          <w:sz w:val="24"/>
          <w:szCs w:val="24"/>
        </w:rPr>
        <w:t>O. basilicum</w:t>
      </w:r>
      <w:r w:rsidRPr="00365EEF">
        <w:rPr>
          <w:rFonts w:cstheme="minorHAnsi"/>
          <w:sz w:val="24"/>
          <w:szCs w:val="24"/>
        </w:rPr>
        <w:t xml:space="preserve"> and </w:t>
      </w:r>
      <w:r w:rsidRPr="00365EEF">
        <w:rPr>
          <w:rFonts w:cstheme="minorHAnsi"/>
          <w:i/>
          <w:iCs/>
          <w:sz w:val="24"/>
          <w:szCs w:val="24"/>
        </w:rPr>
        <w:t>O. gratissimum</w:t>
      </w:r>
      <w:r w:rsidRPr="00365EEF">
        <w:rPr>
          <w:rFonts w:cstheme="minorHAnsi"/>
          <w:sz w:val="24"/>
          <w:szCs w:val="24"/>
        </w:rPr>
        <w:t xml:space="preserve"> were obtained as white, homogenous and milky substances.</w:t>
      </w:r>
    </w:p>
    <w:p w14:paraId="5935FFF0" w14:textId="77777777" w:rsidR="005F2104" w:rsidRPr="00365EEF" w:rsidRDefault="005F2104" w:rsidP="006F62DE">
      <w:pPr>
        <w:spacing w:line="360" w:lineRule="auto"/>
        <w:jc w:val="both"/>
        <w:rPr>
          <w:rFonts w:cstheme="minorHAnsi"/>
          <w:sz w:val="24"/>
          <w:szCs w:val="24"/>
        </w:rPr>
      </w:pPr>
      <w:r w:rsidRPr="00365EEF">
        <w:rPr>
          <w:rFonts w:cstheme="minorHAnsi"/>
          <w:b/>
          <w:bCs/>
          <w:sz w:val="24"/>
          <w:szCs w:val="24"/>
        </w:rPr>
        <w:t>b. Stability of emulsion</w:t>
      </w:r>
    </w:p>
    <w:p w14:paraId="07A884E4" w14:textId="77777777" w:rsidR="005F2104" w:rsidRPr="00365EEF" w:rsidRDefault="005F2104" w:rsidP="006F62DE">
      <w:pPr>
        <w:spacing w:line="360" w:lineRule="auto"/>
        <w:jc w:val="both"/>
        <w:rPr>
          <w:rFonts w:cstheme="minorHAnsi"/>
          <w:sz w:val="24"/>
          <w:szCs w:val="24"/>
        </w:rPr>
      </w:pPr>
      <w:r w:rsidRPr="00365EEF">
        <w:rPr>
          <w:rFonts w:cstheme="minorHAnsi"/>
          <w:sz w:val="24"/>
          <w:szCs w:val="24"/>
        </w:rPr>
        <w:t>To evaluate the stability of the as-prepared emulsions, a water soluble dye (methylene blue) was used for the centrifugation. After adding a few drops of the methylene blue solution to each emulsion, the mixtures were centrifuged for 30 min at 1000, 2000 and 3000 rpm. Since the preparation was homogenous at different speeds of centrifugation, the emulsions were considered to be stable.</w:t>
      </w:r>
    </w:p>
    <w:p w14:paraId="66FEC51D" w14:textId="77777777" w:rsidR="005F2104" w:rsidRPr="00365EEF" w:rsidRDefault="005F2104" w:rsidP="006F62DE">
      <w:pPr>
        <w:spacing w:line="360" w:lineRule="auto"/>
        <w:jc w:val="both"/>
        <w:rPr>
          <w:rFonts w:cstheme="minorHAnsi"/>
          <w:sz w:val="24"/>
          <w:szCs w:val="24"/>
        </w:rPr>
      </w:pPr>
      <w:r w:rsidRPr="00365EEF">
        <w:rPr>
          <w:rFonts w:cstheme="minorHAnsi"/>
          <w:b/>
          <w:bCs/>
          <w:sz w:val="24"/>
          <w:szCs w:val="24"/>
        </w:rPr>
        <w:t>c. Dilution test</w:t>
      </w:r>
    </w:p>
    <w:p w14:paraId="56DCE2C5" w14:textId="77777777" w:rsidR="005F2104" w:rsidRPr="00365EEF" w:rsidRDefault="005F2104" w:rsidP="006F62DE">
      <w:pPr>
        <w:spacing w:line="360" w:lineRule="auto"/>
        <w:jc w:val="both"/>
        <w:rPr>
          <w:rFonts w:cstheme="minorHAnsi"/>
          <w:sz w:val="24"/>
          <w:szCs w:val="24"/>
        </w:rPr>
      </w:pPr>
      <w:r w:rsidRPr="00365EEF">
        <w:rPr>
          <w:rFonts w:cstheme="minorHAnsi"/>
          <w:sz w:val="24"/>
          <w:szCs w:val="24"/>
        </w:rPr>
        <w:t>This experiment was used to assess the type of emulsion, whether it was water/oil or oil/water emulsion for the prepared emulsions. The addition of water to each emulsion did not modify the appearance of the emulsion, to conclude that the as-prepared emulsions were water/oil emulsions.</w:t>
      </w:r>
    </w:p>
    <w:p w14:paraId="72F4755B" w14:textId="77777777" w:rsidR="005F2104" w:rsidRPr="00365EEF" w:rsidRDefault="005F2104" w:rsidP="006F62DE">
      <w:pPr>
        <w:spacing w:line="360" w:lineRule="auto"/>
        <w:jc w:val="both"/>
        <w:rPr>
          <w:rFonts w:cstheme="minorHAnsi"/>
          <w:b/>
          <w:bCs/>
          <w:sz w:val="24"/>
          <w:szCs w:val="24"/>
        </w:rPr>
      </w:pPr>
      <w:r w:rsidRPr="00365EEF">
        <w:rPr>
          <w:rFonts w:cstheme="minorHAnsi"/>
          <w:b/>
          <w:bCs/>
          <w:sz w:val="24"/>
          <w:szCs w:val="24"/>
        </w:rPr>
        <w:t>d. Measurement of pH</w:t>
      </w:r>
    </w:p>
    <w:p w14:paraId="27472370" w14:textId="77777777" w:rsidR="005F2104" w:rsidRPr="00365EEF" w:rsidRDefault="005F2104"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It is essential to measure the pH of a formulated drug, which is intended to be used for potential application on the skin. In this study, the pH of the emulsions from the essential oils of </w:t>
      </w:r>
      <w:r w:rsidRPr="00365EEF">
        <w:rPr>
          <w:rFonts w:asciiTheme="minorHAnsi" w:hAnsiTheme="minorHAnsi" w:cstheme="minorHAnsi"/>
          <w:i/>
          <w:iCs/>
          <w:color w:val="auto"/>
          <w:sz w:val="24"/>
          <w:szCs w:val="24"/>
          <w:lang w:val="fr-FR"/>
        </w:rPr>
        <w:t>Ocimum basilicum</w:t>
      </w:r>
      <w:r w:rsidRPr="00365EEF">
        <w:rPr>
          <w:rFonts w:asciiTheme="minorHAnsi" w:hAnsiTheme="minorHAnsi" w:cstheme="minorHAnsi"/>
          <w:color w:val="auto"/>
          <w:sz w:val="24"/>
          <w:szCs w:val="24"/>
          <w:lang w:val="fr-FR"/>
        </w:rPr>
        <w:t> and </w:t>
      </w:r>
      <w:r w:rsidRPr="00365EEF">
        <w:rPr>
          <w:rFonts w:asciiTheme="minorHAnsi" w:hAnsiTheme="minorHAnsi" w:cstheme="minorHAnsi"/>
          <w:i/>
          <w:iCs/>
          <w:color w:val="auto"/>
          <w:sz w:val="24"/>
          <w:szCs w:val="24"/>
          <w:lang w:val="fr-FR"/>
        </w:rPr>
        <w:t>Ocimum gratissimum</w:t>
      </w:r>
      <w:r w:rsidRPr="00365EEF">
        <w:rPr>
          <w:rFonts w:asciiTheme="minorHAnsi" w:hAnsiTheme="minorHAnsi" w:cstheme="minorHAnsi"/>
          <w:color w:val="auto"/>
          <w:sz w:val="24"/>
          <w:szCs w:val="24"/>
          <w:lang w:val="fr-FR"/>
        </w:rPr>
        <w:t> were obtained as 6.0 and 6.2, respectively. Accumulated evidence has shown that skin with pH values below 5.0 is in a better condition than skin with pH values above 5.0, as shown by measuring the biophysical parameters of barrier function, moistur</w:t>
      </w:r>
      <w:r w:rsidR="00265253" w:rsidRPr="00365EEF">
        <w:rPr>
          <w:rFonts w:asciiTheme="minorHAnsi" w:hAnsiTheme="minorHAnsi" w:cstheme="minorHAnsi"/>
          <w:color w:val="auto"/>
          <w:sz w:val="24"/>
          <w:szCs w:val="24"/>
          <w:lang w:val="fr-FR"/>
        </w:rPr>
        <w:t>ization and scaling</w:t>
      </w:r>
      <w:r w:rsidR="004050F5" w:rsidRPr="00365EEF">
        <w:rPr>
          <w:rFonts w:asciiTheme="minorHAnsi" w:hAnsiTheme="minorHAnsi" w:cstheme="minorHAnsi"/>
          <w:color w:val="auto"/>
          <w:sz w:val="24"/>
          <w:szCs w:val="24"/>
          <w:lang w:val="fr-FR"/>
        </w:rPr>
        <w:t xml:space="preserve"> </w:t>
      </w:r>
      <w:r w:rsidR="004050F5" w:rsidRPr="00365EEF">
        <w:rPr>
          <w:rFonts w:asciiTheme="minorHAnsi" w:hAnsiTheme="minorHAnsi" w:cstheme="minorHAnsi"/>
          <w:bCs/>
          <w:color w:val="auto"/>
          <w:sz w:val="24"/>
          <w:szCs w:val="24"/>
        </w:rPr>
        <w:t>[42, 43]</w:t>
      </w:r>
      <w:r w:rsidRPr="00365EEF">
        <w:rPr>
          <w:rFonts w:asciiTheme="minorHAnsi" w:hAnsiTheme="minorHAnsi" w:cstheme="minorHAnsi"/>
          <w:color w:val="auto"/>
          <w:sz w:val="24"/>
          <w:szCs w:val="24"/>
          <w:lang w:val="fr-FR"/>
        </w:rPr>
        <w:t xml:space="preserve">. Other reports demonstrated that the mean pH value of the </w:t>
      </w:r>
      <w:r w:rsidR="00265253" w:rsidRPr="00365EEF">
        <w:rPr>
          <w:rFonts w:asciiTheme="minorHAnsi" w:hAnsiTheme="minorHAnsi" w:cstheme="minorHAnsi"/>
          <w:color w:val="auto"/>
          <w:sz w:val="24"/>
          <w:szCs w:val="24"/>
          <w:lang w:val="fr-FR"/>
        </w:rPr>
        <w:t>skin ranges between 5.4 and 7.0</w:t>
      </w:r>
      <w:r w:rsidR="004050F5" w:rsidRPr="00365EEF">
        <w:rPr>
          <w:rFonts w:asciiTheme="minorHAnsi" w:hAnsiTheme="minorHAnsi" w:cstheme="minorHAnsi"/>
          <w:color w:val="auto"/>
          <w:sz w:val="24"/>
          <w:szCs w:val="24"/>
          <w:lang w:val="fr-FR"/>
        </w:rPr>
        <w:t xml:space="preserve"> [44, 45]</w:t>
      </w:r>
      <w:r w:rsidRPr="00365EEF">
        <w:rPr>
          <w:rFonts w:asciiTheme="minorHAnsi" w:hAnsiTheme="minorHAnsi" w:cstheme="minorHAnsi"/>
          <w:color w:val="auto"/>
          <w:sz w:val="24"/>
          <w:szCs w:val="24"/>
          <w:lang w:val="fr-FR"/>
        </w:rPr>
        <w:t>.</w:t>
      </w:r>
    </w:p>
    <w:p w14:paraId="6F27516F" w14:textId="77777777" w:rsidR="005F2104" w:rsidRPr="00365EEF" w:rsidRDefault="00D877B4" w:rsidP="006F62DE">
      <w:pPr>
        <w:pStyle w:val="MDPI31text"/>
        <w:spacing w:line="360" w:lineRule="auto"/>
        <w:ind w:left="0" w:firstLine="0"/>
        <w:rPr>
          <w:rFonts w:asciiTheme="minorHAnsi" w:hAnsiTheme="minorHAnsi" w:cstheme="minorHAnsi"/>
          <w:b/>
          <w:bCs/>
          <w:color w:val="auto"/>
          <w:sz w:val="24"/>
          <w:szCs w:val="24"/>
          <w:lang w:val="fr-FR"/>
        </w:rPr>
      </w:pPr>
      <w:r w:rsidRPr="00365EEF">
        <w:rPr>
          <w:rFonts w:asciiTheme="minorHAnsi" w:hAnsiTheme="minorHAnsi" w:cstheme="minorHAnsi"/>
          <w:b/>
          <w:bCs/>
          <w:color w:val="auto"/>
          <w:sz w:val="24"/>
          <w:szCs w:val="24"/>
          <w:lang w:val="fr-FR"/>
        </w:rPr>
        <w:t>3</w:t>
      </w:r>
      <w:r w:rsidR="005F2104" w:rsidRPr="00365EEF">
        <w:rPr>
          <w:rFonts w:asciiTheme="minorHAnsi" w:hAnsiTheme="minorHAnsi" w:cstheme="minorHAnsi"/>
          <w:b/>
          <w:bCs/>
          <w:color w:val="auto"/>
          <w:sz w:val="24"/>
          <w:szCs w:val="24"/>
          <w:lang w:val="fr-FR"/>
        </w:rPr>
        <w:t>.1.4. </w:t>
      </w:r>
      <w:r w:rsidR="005F2104" w:rsidRPr="00365EEF">
        <w:rPr>
          <w:rFonts w:asciiTheme="minorHAnsi" w:hAnsiTheme="minorHAnsi" w:cstheme="minorHAnsi"/>
          <w:b/>
          <w:bCs/>
          <w:i/>
          <w:iCs/>
          <w:color w:val="auto"/>
          <w:sz w:val="24"/>
          <w:szCs w:val="24"/>
          <w:lang w:val="fr-FR"/>
        </w:rPr>
        <w:t>In vitro</w:t>
      </w:r>
      <w:r w:rsidR="005F2104" w:rsidRPr="00365EEF">
        <w:rPr>
          <w:rFonts w:asciiTheme="minorHAnsi" w:hAnsiTheme="minorHAnsi" w:cstheme="minorHAnsi"/>
          <w:b/>
          <w:bCs/>
          <w:color w:val="auto"/>
          <w:sz w:val="24"/>
          <w:szCs w:val="24"/>
          <w:lang w:val="fr-FR"/>
        </w:rPr>
        <w:t> antifungal activity</w:t>
      </w:r>
    </w:p>
    <w:p w14:paraId="526BEFAE" w14:textId="77777777" w:rsidR="005F2104" w:rsidRPr="00365EEF" w:rsidRDefault="005F2104"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The antifungal activity of essential oils and emulsions from </w:t>
      </w:r>
      <w:r w:rsidRPr="00365EEF">
        <w:rPr>
          <w:rFonts w:asciiTheme="minorHAnsi" w:hAnsiTheme="minorHAnsi" w:cstheme="minorHAnsi"/>
          <w:i/>
          <w:iCs/>
          <w:color w:val="auto"/>
          <w:sz w:val="24"/>
          <w:szCs w:val="24"/>
          <w:lang w:val="fr-FR"/>
        </w:rPr>
        <w:t>O. basilicum</w:t>
      </w:r>
      <w:r w:rsidRPr="00365EEF">
        <w:rPr>
          <w:rFonts w:asciiTheme="minorHAnsi" w:hAnsiTheme="minorHAnsi" w:cstheme="minorHAnsi"/>
          <w:color w:val="auto"/>
          <w:sz w:val="24"/>
          <w:szCs w:val="24"/>
          <w:lang w:val="fr-FR"/>
        </w:rPr>
        <w:t> and </w:t>
      </w:r>
      <w:r w:rsidRPr="00365EEF">
        <w:rPr>
          <w:rFonts w:asciiTheme="minorHAnsi" w:hAnsiTheme="minorHAnsi" w:cstheme="minorHAnsi"/>
          <w:i/>
          <w:iCs/>
          <w:color w:val="auto"/>
          <w:sz w:val="24"/>
          <w:szCs w:val="24"/>
          <w:lang w:val="fr-FR"/>
        </w:rPr>
        <w:t>O. gratissimum</w:t>
      </w:r>
      <w:r w:rsidRPr="00365EEF">
        <w:rPr>
          <w:rFonts w:asciiTheme="minorHAnsi" w:hAnsiTheme="minorHAnsi" w:cstheme="minorHAnsi"/>
          <w:color w:val="auto"/>
          <w:sz w:val="24"/>
          <w:szCs w:val="24"/>
          <w:lang w:val="fr-FR"/>
        </w:rPr>
        <w:t> were assayed against </w:t>
      </w:r>
      <w:r w:rsidRPr="00365EEF">
        <w:rPr>
          <w:rFonts w:asciiTheme="minorHAnsi" w:hAnsiTheme="minorHAnsi" w:cstheme="minorHAnsi"/>
          <w:i/>
          <w:iCs/>
          <w:color w:val="auto"/>
          <w:sz w:val="24"/>
          <w:szCs w:val="24"/>
          <w:lang w:val="fr-FR"/>
        </w:rPr>
        <w:t>Trichophyton rubrum </w:t>
      </w:r>
      <w:r w:rsidRPr="00365EEF">
        <w:rPr>
          <w:rFonts w:asciiTheme="minorHAnsi" w:hAnsiTheme="minorHAnsi" w:cstheme="minorHAnsi"/>
          <w:color w:val="auto"/>
          <w:sz w:val="24"/>
          <w:szCs w:val="24"/>
          <w:lang w:val="fr-FR"/>
        </w:rPr>
        <w:t>and</w:t>
      </w:r>
      <w:r w:rsidRPr="00365EEF">
        <w:rPr>
          <w:rFonts w:asciiTheme="minorHAnsi" w:hAnsiTheme="minorHAnsi" w:cstheme="minorHAnsi"/>
          <w:i/>
          <w:iCs/>
          <w:color w:val="auto"/>
          <w:sz w:val="24"/>
          <w:szCs w:val="24"/>
          <w:lang w:val="fr-FR"/>
        </w:rPr>
        <w:t> Trichophyton interdigitale</w:t>
      </w:r>
      <w:r w:rsidRPr="00365EEF">
        <w:rPr>
          <w:rFonts w:asciiTheme="minorHAnsi" w:hAnsiTheme="minorHAnsi" w:cstheme="minorHAnsi"/>
          <w:color w:val="auto"/>
          <w:sz w:val="24"/>
          <w:szCs w:val="24"/>
          <w:lang w:val="fr-FR"/>
        </w:rPr>
        <w:t xml:space="preserve">. The essential oil of </w:t>
      </w:r>
      <w:r w:rsidRPr="00365EEF">
        <w:rPr>
          <w:rFonts w:asciiTheme="minorHAnsi" w:hAnsiTheme="minorHAnsi" w:cstheme="minorHAnsi"/>
          <w:i/>
          <w:iCs/>
          <w:color w:val="auto"/>
          <w:sz w:val="24"/>
          <w:szCs w:val="24"/>
          <w:lang w:val="fr-FR"/>
        </w:rPr>
        <w:t>O. gratissimum</w:t>
      </w:r>
      <w:r w:rsidRPr="00365EEF">
        <w:rPr>
          <w:rFonts w:asciiTheme="minorHAnsi" w:hAnsiTheme="minorHAnsi" w:cstheme="minorHAnsi"/>
          <w:color w:val="auto"/>
          <w:sz w:val="24"/>
          <w:szCs w:val="24"/>
          <w:lang w:val="fr-FR"/>
        </w:rPr>
        <w:t xml:space="preserve"> inhibited the growth of </w:t>
      </w:r>
      <w:r w:rsidRPr="00365EEF">
        <w:rPr>
          <w:rFonts w:asciiTheme="minorHAnsi" w:hAnsiTheme="minorHAnsi" w:cstheme="minorHAnsi"/>
          <w:i/>
          <w:iCs/>
          <w:color w:val="auto"/>
          <w:sz w:val="24"/>
          <w:szCs w:val="24"/>
          <w:lang w:val="fr-FR"/>
        </w:rPr>
        <w:t xml:space="preserve">Trichophyton rubrum </w:t>
      </w:r>
      <w:r w:rsidRPr="00365EEF">
        <w:rPr>
          <w:rFonts w:asciiTheme="minorHAnsi" w:hAnsiTheme="minorHAnsi" w:cstheme="minorHAnsi"/>
          <w:iCs/>
          <w:color w:val="auto"/>
          <w:sz w:val="24"/>
          <w:szCs w:val="24"/>
          <w:lang w:val="fr-FR"/>
        </w:rPr>
        <w:t>and</w:t>
      </w:r>
      <w:r w:rsidRPr="00365EEF">
        <w:rPr>
          <w:rFonts w:asciiTheme="minorHAnsi" w:hAnsiTheme="minorHAnsi" w:cstheme="minorHAnsi"/>
          <w:i/>
          <w:iCs/>
          <w:color w:val="auto"/>
          <w:sz w:val="24"/>
          <w:szCs w:val="24"/>
          <w:lang w:val="fr-FR"/>
        </w:rPr>
        <w:t> Trichophyton interdigitale</w:t>
      </w:r>
      <w:r w:rsidRPr="00365EEF">
        <w:rPr>
          <w:rFonts w:asciiTheme="minorHAnsi" w:hAnsiTheme="minorHAnsi" w:cstheme="minorHAnsi"/>
          <w:color w:val="auto"/>
          <w:sz w:val="24"/>
          <w:szCs w:val="24"/>
          <w:lang w:val="fr-FR"/>
        </w:rPr>
        <w:t xml:space="preserve"> with maximum inhibition at 1000 ppm. As the concentrations (250, 350, 500, 750 and 1000 ppm) of the essential oils increase, there is a disappearance of the fungal growth (Figure S1 and Figure S2, Supplementary file). Similarly, there was a decrease in the growth of </w:t>
      </w:r>
      <w:r w:rsidRPr="00365EEF">
        <w:rPr>
          <w:rFonts w:asciiTheme="minorHAnsi" w:hAnsiTheme="minorHAnsi" w:cstheme="minorHAnsi"/>
          <w:i/>
          <w:color w:val="auto"/>
          <w:sz w:val="24"/>
          <w:szCs w:val="24"/>
          <w:lang w:val="fr-FR"/>
        </w:rPr>
        <w:t xml:space="preserve">Trichophyton rubrum </w:t>
      </w:r>
      <w:r w:rsidRPr="00365EEF">
        <w:rPr>
          <w:rFonts w:asciiTheme="minorHAnsi" w:hAnsiTheme="minorHAnsi" w:cstheme="minorHAnsi"/>
          <w:color w:val="auto"/>
          <w:sz w:val="24"/>
          <w:szCs w:val="24"/>
          <w:lang w:val="fr-FR"/>
        </w:rPr>
        <w:t xml:space="preserve">and </w:t>
      </w:r>
      <w:r w:rsidRPr="00365EEF">
        <w:rPr>
          <w:rFonts w:asciiTheme="minorHAnsi" w:hAnsiTheme="minorHAnsi" w:cstheme="minorHAnsi"/>
          <w:i/>
          <w:color w:val="auto"/>
          <w:sz w:val="24"/>
          <w:szCs w:val="24"/>
          <w:lang w:val="fr-FR"/>
        </w:rPr>
        <w:t>Trichophyton interdigitale</w:t>
      </w:r>
      <w:r w:rsidRPr="00365EEF">
        <w:rPr>
          <w:rFonts w:asciiTheme="minorHAnsi" w:hAnsiTheme="minorHAnsi" w:cstheme="minorHAnsi"/>
          <w:color w:val="auto"/>
          <w:sz w:val="24"/>
          <w:szCs w:val="24"/>
          <w:lang w:val="fr-FR"/>
        </w:rPr>
        <w:t xml:space="preserve"> upon treatment with various concentrations (250, 350, 500, 750 and 1000 ppm) of</w:t>
      </w:r>
      <w:r w:rsidRPr="00365EEF">
        <w:rPr>
          <w:rFonts w:asciiTheme="minorHAnsi" w:hAnsiTheme="minorHAnsi" w:cstheme="minorHAnsi"/>
          <w:i/>
          <w:color w:val="auto"/>
          <w:sz w:val="24"/>
          <w:szCs w:val="24"/>
          <w:lang w:val="fr-FR"/>
        </w:rPr>
        <w:t xml:space="preserve"> O. basilicum</w:t>
      </w:r>
      <w:r w:rsidRPr="00365EEF">
        <w:rPr>
          <w:rFonts w:asciiTheme="minorHAnsi" w:hAnsiTheme="minorHAnsi" w:cstheme="minorHAnsi"/>
          <w:color w:val="auto"/>
          <w:sz w:val="24"/>
          <w:szCs w:val="24"/>
          <w:lang w:val="fr-FR"/>
        </w:rPr>
        <w:t>’s</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 xml:space="preserve">essential oil with highest </w:t>
      </w:r>
      <w:r w:rsidRPr="00365EEF">
        <w:rPr>
          <w:rFonts w:asciiTheme="minorHAnsi" w:hAnsiTheme="minorHAnsi" w:cstheme="minorHAnsi"/>
          <w:color w:val="auto"/>
          <w:sz w:val="24"/>
          <w:szCs w:val="24"/>
          <w:lang w:val="fr-FR"/>
        </w:rPr>
        <w:lastRenderedPageBreak/>
        <w:t xml:space="preserve">antifungal activity at 1000 ppm. The reduction of the fungal growth is proportional to the increase in the concentration of the essential oil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(Figure S3 and Figure S4, Supplementary file). The emulsion, which was prepared from the essential oil of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 xml:space="preserve"> revealed antifungal activity against </w:t>
      </w:r>
      <w:r w:rsidRPr="00365EEF">
        <w:rPr>
          <w:rFonts w:asciiTheme="minorHAnsi" w:hAnsiTheme="minorHAnsi" w:cstheme="minorHAnsi"/>
          <w:i/>
          <w:color w:val="auto"/>
          <w:sz w:val="24"/>
          <w:szCs w:val="24"/>
          <w:lang w:val="fr-FR"/>
        </w:rPr>
        <w:t xml:space="preserve">Trichophyton rubrum </w:t>
      </w:r>
      <w:r w:rsidRPr="00365EEF">
        <w:rPr>
          <w:rFonts w:asciiTheme="minorHAnsi" w:hAnsiTheme="minorHAnsi" w:cstheme="minorHAnsi"/>
          <w:color w:val="auto"/>
          <w:sz w:val="24"/>
          <w:szCs w:val="24"/>
          <w:lang w:val="fr-FR"/>
        </w:rPr>
        <w:t>and</w:t>
      </w:r>
      <w:r w:rsidRPr="00365EEF">
        <w:rPr>
          <w:rFonts w:asciiTheme="minorHAnsi" w:hAnsiTheme="minorHAnsi" w:cstheme="minorHAnsi"/>
          <w:i/>
          <w:color w:val="auto"/>
          <w:sz w:val="24"/>
          <w:szCs w:val="24"/>
          <w:lang w:val="fr-FR"/>
        </w:rPr>
        <w:t xml:space="preserve"> Trichophyton interdigitale </w:t>
      </w:r>
      <w:r w:rsidRPr="00365EEF">
        <w:rPr>
          <w:rFonts w:asciiTheme="minorHAnsi" w:hAnsiTheme="minorHAnsi" w:cstheme="minorHAnsi"/>
          <w:color w:val="auto"/>
          <w:sz w:val="24"/>
          <w:szCs w:val="24"/>
          <w:lang w:val="fr-FR"/>
        </w:rPr>
        <w:t>at the test concentrations (1000, 1250, 1500, 1750 and 2000 ppm),</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 xml:space="preserve">with highest activity observed at 2000 ppm (Figure S5 and Figure S6, Supplementary file). </w:t>
      </w:r>
    </w:p>
    <w:p w14:paraId="11D6D6D5" w14:textId="77777777" w:rsidR="005F2104" w:rsidRPr="00365EEF" w:rsidRDefault="005F2104"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Against </w:t>
      </w:r>
      <w:r w:rsidRPr="00365EEF">
        <w:rPr>
          <w:rFonts w:asciiTheme="minorHAnsi" w:hAnsiTheme="minorHAnsi" w:cstheme="minorHAnsi"/>
          <w:i/>
          <w:color w:val="auto"/>
          <w:sz w:val="24"/>
          <w:szCs w:val="24"/>
          <w:lang w:val="fr-FR"/>
        </w:rPr>
        <w:t xml:space="preserve">Trichophyton rubrum </w:t>
      </w:r>
      <w:r w:rsidRPr="00365EEF">
        <w:rPr>
          <w:rFonts w:asciiTheme="minorHAnsi" w:hAnsiTheme="minorHAnsi" w:cstheme="minorHAnsi"/>
          <w:color w:val="auto"/>
          <w:sz w:val="24"/>
          <w:szCs w:val="24"/>
          <w:lang w:val="fr-FR"/>
        </w:rPr>
        <w:t>and</w:t>
      </w:r>
      <w:r w:rsidRPr="00365EEF">
        <w:rPr>
          <w:rFonts w:asciiTheme="minorHAnsi" w:hAnsiTheme="minorHAnsi" w:cstheme="minorHAnsi"/>
          <w:i/>
          <w:color w:val="auto"/>
          <w:sz w:val="24"/>
          <w:szCs w:val="24"/>
          <w:lang w:val="fr-FR"/>
        </w:rPr>
        <w:t xml:space="preserve"> Trichophyton interdigitale</w:t>
      </w:r>
      <w:r w:rsidRPr="00365EEF">
        <w:rPr>
          <w:rFonts w:asciiTheme="minorHAnsi" w:hAnsiTheme="minorHAnsi" w:cstheme="minorHAnsi"/>
          <w:color w:val="auto"/>
          <w:sz w:val="24"/>
          <w:szCs w:val="24"/>
          <w:lang w:val="fr-FR"/>
        </w:rPr>
        <w:t xml:space="preserve">, 5000, 6000, 6250, 6500 and 6750 ppm of emulsion prepared from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’s</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essential oil showed growth inhibition with highest antifungal activity at 6750 ppm. The reduction of the dermatophyte’s growth is proportional to the increase in the concentration of the emulsion (Figure S7 and Figure S8, Supplementary file).</w:t>
      </w:r>
    </w:p>
    <w:p w14:paraId="79FC5D14" w14:textId="77777777" w:rsidR="005F2104" w:rsidRPr="00365EEF" w:rsidRDefault="005F2104"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Griseofulvin, which was used as a positive control showed inhibitory effects on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Trichophyton interdigitale</w:t>
      </w:r>
      <w:r w:rsidRPr="00365EEF">
        <w:rPr>
          <w:rFonts w:asciiTheme="minorHAnsi" w:hAnsiTheme="minorHAnsi" w:cstheme="minorHAnsi"/>
          <w:color w:val="auto"/>
          <w:sz w:val="24"/>
          <w:szCs w:val="24"/>
          <w:lang w:val="fr-FR"/>
        </w:rPr>
        <w:t xml:space="preserve">. As high as 5000 ppm of griseofulvin did not completely eradicate the growth of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 xml:space="preserve">Trichophyton interdigitale </w:t>
      </w:r>
      <w:r w:rsidRPr="00365EEF">
        <w:rPr>
          <w:rFonts w:asciiTheme="minorHAnsi" w:hAnsiTheme="minorHAnsi" w:cstheme="minorHAnsi"/>
          <w:color w:val="auto"/>
          <w:sz w:val="24"/>
          <w:szCs w:val="24"/>
          <w:lang w:val="fr-FR"/>
        </w:rPr>
        <w:t>(Figure S9 Supplementary file).</w:t>
      </w:r>
    </w:p>
    <w:p w14:paraId="618BAED7" w14:textId="77777777" w:rsidR="005F2104" w:rsidRPr="00365EEF" w:rsidRDefault="005F2104"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These results demonstrate that antifungal activity of the essential oils and emulsion from</w:t>
      </w:r>
      <w:r w:rsidRPr="00365EEF">
        <w:rPr>
          <w:rFonts w:asciiTheme="minorHAnsi" w:hAnsiTheme="minorHAnsi" w:cstheme="minorHAnsi"/>
          <w:i/>
          <w:color w:val="auto"/>
          <w:sz w:val="24"/>
          <w:szCs w:val="24"/>
          <w:lang w:val="fr-FR"/>
        </w:rPr>
        <w:t xml:space="preserve"> Ocimum gratissimum</w:t>
      </w:r>
      <w:r w:rsidRPr="00365EEF">
        <w:rPr>
          <w:rFonts w:asciiTheme="minorHAnsi" w:hAnsiTheme="minorHAnsi" w:cstheme="minorHAnsi"/>
          <w:color w:val="auto"/>
          <w:sz w:val="24"/>
          <w:szCs w:val="24"/>
          <w:lang w:val="fr-FR"/>
        </w:rPr>
        <w:t xml:space="preserve"> is greater than that obtained with the reference antifungal compound griseofulvin. Indeed, 21 days’ incubation of essential oils or emulsion from</w:t>
      </w:r>
      <w:r w:rsidRPr="00365EEF">
        <w:rPr>
          <w:rFonts w:asciiTheme="minorHAnsi" w:hAnsiTheme="minorHAnsi" w:cstheme="minorHAnsi"/>
          <w:i/>
          <w:color w:val="auto"/>
          <w:sz w:val="24"/>
          <w:szCs w:val="24"/>
          <w:lang w:val="fr-FR"/>
        </w:rPr>
        <w:t xml:space="preserve"> Ocimum gratissimum</w:t>
      </w:r>
      <w:r w:rsidRPr="00365EEF">
        <w:rPr>
          <w:rFonts w:asciiTheme="minorHAnsi" w:hAnsiTheme="minorHAnsi" w:cstheme="minorHAnsi"/>
          <w:color w:val="auto"/>
          <w:sz w:val="24"/>
          <w:szCs w:val="24"/>
          <w:lang w:val="fr-FR"/>
        </w:rPr>
        <w:t xml:space="preserve"> at lower concentrations (1000-5000 ppm) showed more pronounced inhibition of the mycelial growth compared with the activity of griseofulvin. However, the essential oils and emulsion from</w:t>
      </w:r>
      <w:r w:rsidRPr="00365EEF">
        <w:rPr>
          <w:rFonts w:asciiTheme="minorHAnsi" w:hAnsiTheme="minorHAnsi" w:cstheme="minorHAnsi"/>
          <w:i/>
          <w:color w:val="auto"/>
          <w:sz w:val="24"/>
          <w:szCs w:val="24"/>
          <w:lang w:val="fr-FR"/>
        </w:rPr>
        <w:t xml:space="preserve"> Ocimum basilicum</w:t>
      </w:r>
      <w:r w:rsidRPr="00365EEF">
        <w:rPr>
          <w:rFonts w:asciiTheme="minorHAnsi" w:hAnsiTheme="minorHAnsi" w:cstheme="minorHAnsi"/>
          <w:color w:val="auto"/>
          <w:sz w:val="24"/>
          <w:szCs w:val="24"/>
          <w:lang w:val="fr-FR"/>
        </w:rPr>
        <w:t xml:space="preserve"> showed moderate antifungal activity at higher concentrations (5000-6750 ppm).</w:t>
      </w:r>
    </w:p>
    <w:p w14:paraId="46BF6192" w14:textId="77777777" w:rsidR="005F2104" w:rsidRPr="00365EEF" w:rsidRDefault="005F2104" w:rsidP="006F62DE">
      <w:pPr>
        <w:pStyle w:val="MDPI31text"/>
        <w:spacing w:line="360" w:lineRule="auto"/>
        <w:ind w:left="0" w:firstLine="0"/>
        <w:rPr>
          <w:rFonts w:asciiTheme="minorHAnsi" w:hAnsiTheme="minorHAnsi" w:cstheme="minorHAnsi"/>
          <w:b/>
          <w:color w:val="auto"/>
          <w:sz w:val="24"/>
          <w:szCs w:val="24"/>
          <w:lang w:val="fr-FR"/>
        </w:rPr>
      </w:pPr>
      <w:r w:rsidRPr="00365EEF">
        <w:rPr>
          <w:rFonts w:asciiTheme="minorHAnsi" w:hAnsiTheme="minorHAnsi" w:cstheme="minorHAnsi"/>
          <w:b/>
          <w:color w:val="auto"/>
          <w:sz w:val="24"/>
          <w:szCs w:val="24"/>
          <w:lang w:val="fr-FR"/>
        </w:rPr>
        <w:t xml:space="preserve">-Determination of the minimum inhibitory </w:t>
      </w:r>
      <w:r w:rsidRPr="00365EEF">
        <w:rPr>
          <w:rFonts w:asciiTheme="minorHAnsi" w:hAnsiTheme="minorHAnsi" w:cstheme="minorHAnsi"/>
          <w:color w:val="auto"/>
          <w:sz w:val="24"/>
          <w:szCs w:val="24"/>
          <w:lang w:val="fr-FR"/>
        </w:rPr>
        <w:t xml:space="preserve">(MICs) </w:t>
      </w:r>
      <w:r w:rsidRPr="00365EEF">
        <w:rPr>
          <w:rFonts w:asciiTheme="minorHAnsi" w:hAnsiTheme="minorHAnsi" w:cstheme="minorHAnsi"/>
          <w:b/>
          <w:color w:val="auto"/>
          <w:sz w:val="24"/>
          <w:szCs w:val="24"/>
          <w:lang w:val="fr-FR"/>
        </w:rPr>
        <w:t xml:space="preserve">and minimum fungicidal </w:t>
      </w:r>
      <w:r w:rsidRPr="00365EEF">
        <w:rPr>
          <w:rFonts w:asciiTheme="minorHAnsi" w:hAnsiTheme="minorHAnsi" w:cstheme="minorHAnsi"/>
          <w:color w:val="auto"/>
          <w:sz w:val="24"/>
          <w:szCs w:val="24"/>
          <w:lang w:val="fr-FR"/>
        </w:rPr>
        <w:t xml:space="preserve">(MFCs) </w:t>
      </w:r>
      <w:r w:rsidRPr="00365EEF">
        <w:rPr>
          <w:rFonts w:asciiTheme="minorHAnsi" w:hAnsiTheme="minorHAnsi" w:cstheme="minorHAnsi"/>
          <w:b/>
          <w:color w:val="auto"/>
          <w:sz w:val="24"/>
          <w:szCs w:val="24"/>
          <w:lang w:val="fr-FR"/>
        </w:rPr>
        <w:t xml:space="preserve">concentrations </w:t>
      </w:r>
    </w:p>
    <w:p w14:paraId="370EF45B" w14:textId="77777777" w:rsidR="005F2104" w:rsidRPr="00365EEF" w:rsidRDefault="005F2104"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The concentration where no radial growth of germs was visible after 21 days of incubation of fungi with essential oils and formulations, corresponded to the minimum inhibitory concentrations (MICs) (Table 3). Against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the essential oil and emulsion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showed minimum inhibitory (MICs) and minimum fungicidal (MFCs) concentrations</w:t>
      </w:r>
      <w:r w:rsidRPr="00365EEF">
        <w:rPr>
          <w:rFonts w:asciiTheme="minorHAnsi" w:hAnsiTheme="minorHAnsi" w:cstheme="minorHAnsi"/>
          <w:b/>
          <w:color w:val="auto"/>
          <w:sz w:val="24"/>
          <w:szCs w:val="24"/>
          <w:lang w:val="fr-FR"/>
        </w:rPr>
        <w:t xml:space="preserve"> </w:t>
      </w:r>
      <w:r w:rsidRPr="00365EEF">
        <w:rPr>
          <w:rFonts w:asciiTheme="minorHAnsi" w:hAnsiTheme="minorHAnsi" w:cstheme="minorHAnsi"/>
          <w:color w:val="auto"/>
          <w:sz w:val="24"/>
          <w:szCs w:val="24"/>
          <w:lang w:val="fr-FR"/>
        </w:rPr>
        <w:t xml:space="preserve">of 1000 and 2000 ppm, respectively. Against </w:t>
      </w:r>
      <w:r w:rsidRPr="00365EEF">
        <w:rPr>
          <w:rFonts w:asciiTheme="minorHAnsi" w:hAnsiTheme="minorHAnsi" w:cstheme="minorHAnsi"/>
          <w:i/>
          <w:color w:val="auto"/>
          <w:sz w:val="24"/>
          <w:szCs w:val="24"/>
          <w:lang w:val="fr-FR"/>
        </w:rPr>
        <w:t>Trichophyton interdigitale, Ocimum gratissimum</w:t>
      </w:r>
      <w:r w:rsidRPr="00365EEF">
        <w:rPr>
          <w:rFonts w:asciiTheme="minorHAnsi" w:hAnsiTheme="minorHAnsi" w:cstheme="minorHAnsi"/>
          <w:color w:val="auto"/>
          <w:sz w:val="24"/>
          <w:szCs w:val="24"/>
          <w:lang w:val="fr-FR"/>
        </w:rPr>
        <w:t xml:space="preserve"> afforded common minimum inhibitory and minimum fungicidal concentration</w:t>
      </w:r>
      <w:r w:rsidRPr="00365EEF">
        <w:rPr>
          <w:rFonts w:asciiTheme="minorHAnsi" w:hAnsiTheme="minorHAnsi" w:cstheme="minorHAnsi"/>
          <w:b/>
          <w:color w:val="auto"/>
          <w:sz w:val="24"/>
          <w:szCs w:val="24"/>
          <w:lang w:val="fr-FR"/>
        </w:rPr>
        <w:t xml:space="preserve"> </w:t>
      </w:r>
      <w:r w:rsidRPr="00365EEF">
        <w:rPr>
          <w:rFonts w:asciiTheme="minorHAnsi" w:hAnsiTheme="minorHAnsi" w:cstheme="minorHAnsi"/>
          <w:color w:val="auto"/>
          <w:sz w:val="24"/>
          <w:szCs w:val="24"/>
          <w:lang w:val="fr-FR"/>
        </w:rPr>
        <w:t xml:space="preserve">(2000 ppm). The incubation of various concentrations of the essential oil and emulsion of </w:t>
      </w:r>
      <w:r w:rsidRPr="00365EEF">
        <w:rPr>
          <w:rFonts w:asciiTheme="minorHAnsi" w:hAnsiTheme="minorHAnsi" w:cstheme="minorHAnsi"/>
          <w:i/>
          <w:color w:val="auto"/>
          <w:sz w:val="24"/>
          <w:szCs w:val="24"/>
          <w:lang w:val="fr-FR"/>
        </w:rPr>
        <w:t xml:space="preserve">Ocimum basilicum </w:t>
      </w:r>
      <w:r w:rsidRPr="00365EEF">
        <w:rPr>
          <w:rFonts w:asciiTheme="minorHAnsi" w:hAnsiTheme="minorHAnsi" w:cstheme="minorHAnsi"/>
          <w:color w:val="auto"/>
          <w:sz w:val="24"/>
          <w:szCs w:val="24"/>
          <w:lang w:val="fr-FR"/>
        </w:rPr>
        <w:t xml:space="preserve">with </w:t>
      </w:r>
      <w:r w:rsidRPr="00365EEF">
        <w:rPr>
          <w:rFonts w:asciiTheme="minorHAnsi" w:hAnsiTheme="minorHAnsi" w:cstheme="minorHAnsi"/>
          <w:i/>
          <w:color w:val="auto"/>
          <w:sz w:val="24"/>
          <w:szCs w:val="24"/>
          <w:lang w:val="fr-FR"/>
        </w:rPr>
        <w:t xml:space="preserve">Trichophyton rubrum </w:t>
      </w:r>
      <w:r w:rsidRPr="00365EEF">
        <w:rPr>
          <w:rFonts w:asciiTheme="minorHAnsi" w:hAnsiTheme="minorHAnsi" w:cstheme="minorHAnsi"/>
          <w:color w:val="auto"/>
          <w:sz w:val="24"/>
          <w:szCs w:val="24"/>
          <w:lang w:val="fr-FR"/>
        </w:rPr>
        <w:t xml:space="preserve">afforded a common MIC and MFC </w:t>
      </w:r>
      <w:r w:rsidRPr="00365EEF">
        <w:rPr>
          <w:rFonts w:asciiTheme="minorHAnsi" w:hAnsiTheme="minorHAnsi" w:cstheme="minorHAnsi"/>
          <w:color w:val="auto"/>
          <w:sz w:val="24"/>
          <w:szCs w:val="24"/>
          <w:lang w:val="fr-FR"/>
        </w:rPr>
        <w:lastRenderedPageBreak/>
        <w:t xml:space="preserve">value of 5750 ppm. Against </w:t>
      </w:r>
      <w:r w:rsidRPr="00365EEF">
        <w:rPr>
          <w:rFonts w:asciiTheme="minorHAnsi" w:hAnsiTheme="minorHAnsi" w:cstheme="minorHAnsi"/>
          <w:i/>
          <w:color w:val="auto"/>
          <w:sz w:val="24"/>
          <w:szCs w:val="24"/>
          <w:lang w:val="fr-FR"/>
        </w:rPr>
        <w:t xml:space="preserve">Trichophyton interdigitale, Ocimum basilicum’ </w:t>
      </w:r>
      <w:r w:rsidRPr="00365EEF">
        <w:rPr>
          <w:rFonts w:asciiTheme="minorHAnsi" w:hAnsiTheme="minorHAnsi" w:cstheme="minorHAnsi"/>
          <w:color w:val="auto"/>
          <w:sz w:val="24"/>
          <w:szCs w:val="24"/>
          <w:lang w:val="fr-FR"/>
        </w:rPr>
        <w:t>essential oil and the corresponding formulation yielded</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a common MIC and MFC value of 6750 ppm. Irrespective of the fungal strain tested, the standard antifungal agent griseofulvin yielded MIC value of more than 5000 ppm (Table 3).</w:t>
      </w:r>
    </w:p>
    <w:p w14:paraId="53C12A7D" w14:textId="77777777" w:rsidR="00DD53E7" w:rsidRPr="00365EEF" w:rsidRDefault="00DD53E7" w:rsidP="006F62DE">
      <w:pPr>
        <w:pStyle w:val="MDPI31text"/>
        <w:spacing w:line="360" w:lineRule="auto"/>
        <w:ind w:left="0" w:firstLine="0"/>
        <w:rPr>
          <w:rFonts w:asciiTheme="minorHAnsi" w:hAnsiTheme="minorHAnsi" w:cstheme="minorHAnsi"/>
          <w:color w:val="auto"/>
          <w:sz w:val="24"/>
          <w:szCs w:val="24"/>
        </w:rPr>
      </w:pPr>
      <w:r w:rsidRPr="00365EEF">
        <w:rPr>
          <w:rFonts w:asciiTheme="minorHAnsi" w:hAnsiTheme="minorHAnsi" w:cstheme="minorHAnsi"/>
          <w:b/>
          <w:color w:val="auto"/>
          <w:sz w:val="24"/>
          <w:szCs w:val="24"/>
        </w:rPr>
        <w:t>Table 3</w:t>
      </w:r>
      <w:r w:rsidRPr="00365EEF">
        <w:rPr>
          <w:rFonts w:asciiTheme="minorHAnsi" w:hAnsiTheme="minorHAnsi" w:cstheme="minorHAnsi"/>
          <w:color w:val="auto"/>
          <w:sz w:val="24"/>
          <w:szCs w:val="24"/>
        </w:rPr>
        <w:t> </w:t>
      </w:r>
      <w:r w:rsidRPr="00365EEF">
        <w:rPr>
          <w:rFonts w:asciiTheme="minorHAnsi" w:hAnsiTheme="minorHAnsi" w:cstheme="minorHAnsi"/>
          <w:b/>
          <w:color w:val="auto"/>
          <w:sz w:val="24"/>
          <w:szCs w:val="24"/>
        </w:rPr>
        <w:t xml:space="preserve">: </w:t>
      </w:r>
      <w:r w:rsidRPr="00365EEF">
        <w:rPr>
          <w:rFonts w:asciiTheme="minorHAnsi" w:hAnsiTheme="minorHAnsi" w:cstheme="minorHAnsi"/>
          <w:color w:val="auto"/>
          <w:sz w:val="24"/>
          <w:szCs w:val="24"/>
        </w:rPr>
        <w:t>Minimum inhibitory (MICs) and minimum fungicidal (MFCs) concentrations</w:t>
      </w:r>
    </w:p>
    <w:tbl>
      <w:tblPr>
        <w:tblW w:w="9234" w:type="dxa"/>
        <w:jc w:val="right"/>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2308"/>
        <w:gridCol w:w="1153"/>
        <w:gridCol w:w="1155"/>
        <w:gridCol w:w="1154"/>
        <w:gridCol w:w="1155"/>
        <w:gridCol w:w="1154"/>
        <w:gridCol w:w="1155"/>
      </w:tblGrid>
      <w:tr w:rsidR="003A7A6D" w:rsidRPr="00365EEF" w14:paraId="30C5C5F6" w14:textId="77777777" w:rsidTr="00D877B4">
        <w:trPr>
          <w:trHeight w:val="254"/>
          <w:jc w:val="right"/>
        </w:trPr>
        <w:tc>
          <w:tcPr>
            <w:tcW w:w="2308" w:type="dxa"/>
            <w:vMerge w:val="restart"/>
            <w:tcBorders>
              <w:bottom w:val="single" w:sz="12" w:space="0" w:color="D99594"/>
            </w:tcBorders>
          </w:tcPr>
          <w:p w14:paraId="3487D8AD" w14:textId="77777777" w:rsidR="003A7A6D" w:rsidRPr="00365EEF" w:rsidRDefault="003A7A6D" w:rsidP="006F62DE">
            <w:pPr>
              <w:spacing w:line="360" w:lineRule="auto"/>
              <w:jc w:val="center"/>
              <w:rPr>
                <w:rFonts w:eastAsia="Calibri" w:cstheme="minorHAnsi"/>
                <w:b/>
                <w:bCs/>
                <w:sz w:val="24"/>
                <w:szCs w:val="24"/>
              </w:rPr>
            </w:pPr>
            <w:r w:rsidRPr="00365EEF">
              <w:rPr>
                <w:rFonts w:eastAsia="Calibri" w:cstheme="minorHAnsi"/>
                <w:b/>
                <w:bCs/>
                <w:sz w:val="24"/>
                <w:szCs w:val="24"/>
              </w:rPr>
              <w:t xml:space="preserve">Sample </w:t>
            </w:r>
            <w:r w:rsidRPr="00365EEF">
              <w:rPr>
                <w:rFonts w:cstheme="minorHAnsi"/>
                <w:sz w:val="24"/>
                <w:szCs w:val="24"/>
              </w:rPr>
              <w:t>(OG)</w:t>
            </w:r>
          </w:p>
        </w:tc>
        <w:tc>
          <w:tcPr>
            <w:tcW w:w="2308" w:type="dxa"/>
            <w:gridSpan w:val="2"/>
            <w:tcBorders>
              <w:bottom w:val="single" w:sz="12" w:space="0" w:color="D99594"/>
            </w:tcBorders>
          </w:tcPr>
          <w:p w14:paraId="5A902177" w14:textId="77777777" w:rsidR="003A7A6D" w:rsidRPr="00365EEF" w:rsidRDefault="003A7A6D" w:rsidP="006F62DE">
            <w:pPr>
              <w:spacing w:line="360" w:lineRule="auto"/>
              <w:jc w:val="center"/>
              <w:rPr>
                <w:rFonts w:eastAsia="Calibri" w:cstheme="minorHAnsi"/>
                <w:b/>
                <w:bCs/>
                <w:sz w:val="24"/>
                <w:szCs w:val="24"/>
              </w:rPr>
            </w:pPr>
            <w:r w:rsidRPr="00365EEF">
              <w:rPr>
                <w:rFonts w:eastAsia="Calibri" w:cstheme="minorHAnsi"/>
                <w:b/>
                <w:bCs/>
                <w:sz w:val="24"/>
                <w:szCs w:val="24"/>
              </w:rPr>
              <w:t>Essential oil</w:t>
            </w:r>
          </w:p>
        </w:tc>
        <w:tc>
          <w:tcPr>
            <w:tcW w:w="2309" w:type="dxa"/>
            <w:gridSpan w:val="2"/>
            <w:tcBorders>
              <w:bottom w:val="single" w:sz="12" w:space="0" w:color="D99594"/>
            </w:tcBorders>
          </w:tcPr>
          <w:p w14:paraId="6660AA0B" w14:textId="77777777" w:rsidR="003A7A6D" w:rsidRPr="00365EEF" w:rsidRDefault="00CD3265" w:rsidP="006F62DE">
            <w:pPr>
              <w:spacing w:line="360" w:lineRule="auto"/>
              <w:jc w:val="center"/>
              <w:rPr>
                <w:rFonts w:eastAsia="Calibri" w:cstheme="minorHAnsi"/>
                <w:b/>
                <w:bCs/>
                <w:sz w:val="24"/>
                <w:szCs w:val="24"/>
              </w:rPr>
            </w:pPr>
            <w:r w:rsidRPr="00365EEF">
              <w:rPr>
                <w:rFonts w:eastAsia="Calibri" w:cstheme="minorHAnsi"/>
                <w:b/>
                <w:bCs/>
                <w:sz w:val="24"/>
                <w:szCs w:val="24"/>
              </w:rPr>
              <w:t>E</w:t>
            </w:r>
            <w:r w:rsidR="003A7A6D" w:rsidRPr="00365EEF">
              <w:rPr>
                <w:rFonts w:eastAsia="Calibri" w:cstheme="minorHAnsi"/>
                <w:b/>
                <w:bCs/>
                <w:sz w:val="24"/>
                <w:szCs w:val="24"/>
              </w:rPr>
              <w:t>mulsions</w:t>
            </w:r>
          </w:p>
        </w:tc>
        <w:tc>
          <w:tcPr>
            <w:tcW w:w="2309" w:type="dxa"/>
            <w:gridSpan w:val="2"/>
            <w:tcBorders>
              <w:bottom w:val="single" w:sz="12" w:space="0" w:color="D99594"/>
            </w:tcBorders>
          </w:tcPr>
          <w:p w14:paraId="256863B4" w14:textId="77777777" w:rsidR="003A7A6D" w:rsidRPr="00365EEF" w:rsidRDefault="003A7A6D" w:rsidP="006F62DE">
            <w:pPr>
              <w:spacing w:line="360" w:lineRule="auto"/>
              <w:jc w:val="center"/>
              <w:rPr>
                <w:rFonts w:eastAsia="Calibri" w:cstheme="minorHAnsi"/>
                <w:b/>
                <w:bCs/>
                <w:sz w:val="24"/>
                <w:szCs w:val="24"/>
              </w:rPr>
            </w:pPr>
            <w:r w:rsidRPr="00365EEF">
              <w:rPr>
                <w:rFonts w:eastAsia="Calibri" w:cstheme="minorHAnsi"/>
                <w:b/>
                <w:bCs/>
                <w:sz w:val="24"/>
                <w:szCs w:val="24"/>
              </w:rPr>
              <w:t>Griseofulvin</w:t>
            </w:r>
          </w:p>
        </w:tc>
      </w:tr>
      <w:tr w:rsidR="003A7A6D" w:rsidRPr="00365EEF" w14:paraId="722AFAF1" w14:textId="77777777" w:rsidTr="00D877B4">
        <w:trPr>
          <w:trHeight w:val="254"/>
          <w:jc w:val="right"/>
        </w:trPr>
        <w:tc>
          <w:tcPr>
            <w:tcW w:w="2308" w:type="dxa"/>
            <w:vMerge/>
            <w:shd w:val="clear" w:color="auto" w:fill="F2DBDB"/>
          </w:tcPr>
          <w:p w14:paraId="2E48327A" w14:textId="77777777" w:rsidR="003A7A6D" w:rsidRPr="00365EEF" w:rsidRDefault="003A7A6D" w:rsidP="006F62DE">
            <w:pPr>
              <w:spacing w:line="360" w:lineRule="auto"/>
              <w:rPr>
                <w:rFonts w:eastAsia="Calibri" w:cstheme="minorHAnsi"/>
                <w:b/>
                <w:bCs/>
                <w:sz w:val="24"/>
                <w:szCs w:val="24"/>
              </w:rPr>
            </w:pPr>
          </w:p>
        </w:tc>
        <w:tc>
          <w:tcPr>
            <w:tcW w:w="1153" w:type="dxa"/>
            <w:shd w:val="clear" w:color="auto" w:fill="F2DBDB"/>
          </w:tcPr>
          <w:p w14:paraId="22C5506F"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TR</w:t>
            </w:r>
          </w:p>
        </w:tc>
        <w:tc>
          <w:tcPr>
            <w:tcW w:w="1155" w:type="dxa"/>
            <w:shd w:val="clear" w:color="auto" w:fill="F2DBDB"/>
          </w:tcPr>
          <w:p w14:paraId="06AB6B33"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TI</w:t>
            </w:r>
          </w:p>
        </w:tc>
        <w:tc>
          <w:tcPr>
            <w:tcW w:w="1154" w:type="dxa"/>
            <w:shd w:val="clear" w:color="auto" w:fill="F2DBDB"/>
          </w:tcPr>
          <w:p w14:paraId="793C31D4"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TR</w:t>
            </w:r>
          </w:p>
        </w:tc>
        <w:tc>
          <w:tcPr>
            <w:tcW w:w="1155" w:type="dxa"/>
            <w:shd w:val="clear" w:color="auto" w:fill="F2DBDB"/>
          </w:tcPr>
          <w:p w14:paraId="15509BF6"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TI</w:t>
            </w:r>
          </w:p>
        </w:tc>
        <w:tc>
          <w:tcPr>
            <w:tcW w:w="1154" w:type="dxa"/>
            <w:shd w:val="clear" w:color="auto" w:fill="F2DBDB"/>
          </w:tcPr>
          <w:p w14:paraId="507BEF47"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TR</w:t>
            </w:r>
          </w:p>
        </w:tc>
        <w:tc>
          <w:tcPr>
            <w:tcW w:w="1155" w:type="dxa"/>
            <w:shd w:val="clear" w:color="auto" w:fill="F2DBDB"/>
          </w:tcPr>
          <w:p w14:paraId="3D975880"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TI</w:t>
            </w:r>
          </w:p>
        </w:tc>
      </w:tr>
      <w:tr w:rsidR="003A7A6D" w:rsidRPr="00365EEF" w14:paraId="1216D6A2" w14:textId="77777777" w:rsidTr="00D877B4">
        <w:trPr>
          <w:trHeight w:val="521"/>
          <w:jc w:val="right"/>
        </w:trPr>
        <w:tc>
          <w:tcPr>
            <w:tcW w:w="2308" w:type="dxa"/>
          </w:tcPr>
          <w:p w14:paraId="75E9E496" w14:textId="77777777" w:rsidR="003A7A6D" w:rsidRPr="00365EEF" w:rsidRDefault="003A7A6D" w:rsidP="006F62DE">
            <w:pPr>
              <w:spacing w:line="360" w:lineRule="auto"/>
              <w:jc w:val="center"/>
              <w:rPr>
                <w:rFonts w:eastAsia="Calibri" w:cstheme="minorHAnsi"/>
                <w:b/>
                <w:bCs/>
                <w:sz w:val="24"/>
                <w:szCs w:val="24"/>
              </w:rPr>
            </w:pPr>
            <w:r w:rsidRPr="00365EEF">
              <w:rPr>
                <w:rFonts w:eastAsia="Calibri" w:cstheme="minorHAnsi"/>
                <w:b/>
                <w:bCs/>
                <w:sz w:val="24"/>
                <w:szCs w:val="24"/>
              </w:rPr>
              <w:t>MIC (ppm)</w:t>
            </w:r>
          </w:p>
        </w:tc>
        <w:tc>
          <w:tcPr>
            <w:tcW w:w="1153" w:type="dxa"/>
          </w:tcPr>
          <w:p w14:paraId="28F34435"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1000</w:t>
            </w:r>
          </w:p>
        </w:tc>
        <w:tc>
          <w:tcPr>
            <w:tcW w:w="1155" w:type="dxa"/>
          </w:tcPr>
          <w:p w14:paraId="178C6685"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2000</w:t>
            </w:r>
          </w:p>
        </w:tc>
        <w:tc>
          <w:tcPr>
            <w:tcW w:w="1154" w:type="dxa"/>
          </w:tcPr>
          <w:p w14:paraId="0045B7D0"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2000</w:t>
            </w:r>
          </w:p>
        </w:tc>
        <w:tc>
          <w:tcPr>
            <w:tcW w:w="1155" w:type="dxa"/>
          </w:tcPr>
          <w:p w14:paraId="0DA96295"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2000</w:t>
            </w:r>
          </w:p>
        </w:tc>
        <w:tc>
          <w:tcPr>
            <w:tcW w:w="2309" w:type="dxa"/>
            <w:gridSpan w:val="2"/>
            <w:vMerge w:val="restart"/>
          </w:tcPr>
          <w:p w14:paraId="3637B490"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˃5000</w:t>
            </w:r>
          </w:p>
        </w:tc>
      </w:tr>
      <w:tr w:rsidR="003A7A6D" w:rsidRPr="00365EEF" w14:paraId="76D74B4B" w14:textId="77777777" w:rsidTr="00D877B4">
        <w:trPr>
          <w:trHeight w:val="604"/>
          <w:jc w:val="right"/>
        </w:trPr>
        <w:tc>
          <w:tcPr>
            <w:tcW w:w="2308" w:type="dxa"/>
            <w:shd w:val="clear" w:color="auto" w:fill="F2DBDB"/>
          </w:tcPr>
          <w:p w14:paraId="1134B422" w14:textId="77777777" w:rsidR="003A7A6D" w:rsidRPr="00365EEF" w:rsidRDefault="003A7A6D" w:rsidP="006F62DE">
            <w:pPr>
              <w:spacing w:line="360" w:lineRule="auto"/>
              <w:rPr>
                <w:rFonts w:eastAsia="Calibri" w:cstheme="minorHAnsi"/>
                <w:b/>
                <w:bCs/>
                <w:sz w:val="24"/>
                <w:szCs w:val="24"/>
              </w:rPr>
            </w:pPr>
            <w:r w:rsidRPr="00365EEF">
              <w:rPr>
                <w:rFonts w:eastAsia="Calibri" w:cstheme="minorHAnsi"/>
                <w:b/>
                <w:bCs/>
                <w:sz w:val="24"/>
                <w:szCs w:val="24"/>
              </w:rPr>
              <w:t xml:space="preserve">       MFC (ppm)</w:t>
            </w:r>
          </w:p>
        </w:tc>
        <w:tc>
          <w:tcPr>
            <w:tcW w:w="1153" w:type="dxa"/>
            <w:shd w:val="clear" w:color="auto" w:fill="F2DBDB"/>
          </w:tcPr>
          <w:p w14:paraId="2DEF476E"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1000</w:t>
            </w:r>
          </w:p>
        </w:tc>
        <w:tc>
          <w:tcPr>
            <w:tcW w:w="1155" w:type="dxa"/>
            <w:shd w:val="clear" w:color="auto" w:fill="F2DBDB"/>
          </w:tcPr>
          <w:p w14:paraId="4F9420F3"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2000</w:t>
            </w:r>
          </w:p>
        </w:tc>
        <w:tc>
          <w:tcPr>
            <w:tcW w:w="1154" w:type="dxa"/>
            <w:shd w:val="clear" w:color="auto" w:fill="F2DBDB"/>
          </w:tcPr>
          <w:p w14:paraId="00C0E9E4"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2000</w:t>
            </w:r>
          </w:p>
        </w:tc>
        <w:tc>
          <w:tcPr>
            <w:tcW w:w="1155" w:type="dxa"/>
            <w:shd w:val="clear" w:color="auto" w:fill="F2DBDB"/>
          </w:tcPr>
          <w:p w14:paraId="03D97A9E"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2000</w:t>
            </w:r>
          </w:p>
        </w:tc>
        <w:tc>
          <w:tcPr>
            <w:tcW w:w="2309" w:type="dxa"/>
            <w:gridSpan w:val="2"/>
            <w:vMerge/>
            <w:shd w:val="clear" w:color="auto" w:fill="F2DBDB"/>
          </w:tcPr>
          <w:p w14:paraId="4941A803" w14:textId="77777777" w:rsidR="003A7A6D" w:rsidRPr="00365EEF" w:rsidRDefault="003A7A6D" w:rsidP="006F62DE">
            <w:pPr>
              <w:spacing w:line="360" w:lineRule="auto"/>
              <w:jc w:val="center"/>
              <w:rPr>
                <w:rFonts w:eastAsia="Calibri" w:cstheme="minorHAnsi"/>
                <w:b/>
                <w:sz w:val="24"/>
                <w:szCs w:val="24"/>
              </w:rPr>
            </w:pPr>
          </w:p>
        </w:tc>
      </w:tr>
      <w:tr w:rsidR="003A7A6D" w:rsidRPr="00365EEF" w14:paraId="79A84763" w14:textId="77777777" w:rsidTr="00D877B4">
        <w:trPr>
          <w:trHeight w:val="254"/>
          <w:jc w:val="right"/>
        </w:trPr>
        <w:tc>
          <w:tcPr>
            <w:tcW w:w="2308" w:type="dxa"/>
            <w:vMerge w:val="restart"/>
          </w:tcPr>
          <w:p w14:paraId="3C7072C9" w14:textId="77777777" w:rsidR="003A7A6D" w:rsidRPr="00365EEF" w:rsidRDefault="003A7A6D" w:rsidP="006F62DE">
            <w:pPr>
              <w:spacing w:line="360" w:lineRule="auto"/>
              <w:jc w:val="center"/>
              <w:rPr>
                <w:rFonts w:eastAsia="Calibri" w:cstheme="minorHAnsi"/>
                <w:b/>
                <w:bCs/>
                <w:sz w:val="24"/>
                <w:szCs w:val="24"/>
              </w:rPr>
            </w:pPr>
            <w:r w:rsidRPr="00365EEF">
              <w:rPr>
                <w:rFonts w:eastAsia="Calibri" w:cstheme="minorHAnsi"/>
                <w:b/>
                <w:bCs/>
                <w:sz w:val="24"/>
                <w:szCs w:val="24"/>
              </w:rPr>
              <w:t xml:space="preserve">Sample </w:t>
            </w:r>
            <w:r w:rsidRPr="00365EEF">
              <w:rPr>
                <w:rFonts w:cstheme="minorHAnsi"/>
                <w:sz w:val="24"/>
                <w:szCs w:val="24"/>
              </w:rPr>
              <w:t>(OB)</w:t>
            </w:r>
          </w:p>
        </w:tc>
        <w:tc>
          <w:tcPr>
            <w:tcW w:w="2308" w:type="dxa"/>
            <w:gridSpan w:val="2"/>
          </w:tcPr>
          <w:p w14:paraId="40F04A48"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bCs/>
                <w:sz w:val="24"/>
                <w:szCs w:val="24"/>
              </w:rPr>
              <w:t>Essential oil</w:t>
            </w:r>
          </w:p>
        </w:tc>
        <w:tc>
          <w:tcPr>
            <w:tcW w:w="2309" w:type="dxa"/>
            <w:gridSpan w:val="2"/>
          </w:tcPr>
          <w:p w14:paraId="5D5E8E03" w14:textId="77777777" w:rsidR="003A7A6D" w:rsidRPr="00365EEF" w:rsidRDefault="00CD3265" w:rsidP="006F62DE">
            <w:pPr>
              <w:spacing w:line="360" w:lineRule="auto"/>
              <w:jc w:val="center"/>
              <w:rPr>
                <w:rFonts w:eastAsia="Calibri" w:cstheme="minorHAnsi"/>
                <w:b/>
                <w:sz w:val="24"/>
                <w:szCs w:val="24"/>
              </w:rPr>
            </w:pPr>
            <w:r w:rsidRPr="00365EEF">
              <w:rPr>
                <w:rFonts w:eastAsia="Calibri" w:cstheme="minorHAnsi"/>
                <w:b/>
                <w:bCs/>
                <w:sz w:val="24"/>
                <w:szCs w:val="24"/>
              </w:rPr>
              <w:t>E</w:t>
            </w:r>
            <w:r w:rsidR="003A7A6D" w:rsidRPr="00365EEF">
              <w:rPr>
                <w:rFonts w:eastAsia="Calibri" w:cstheme="minorHAnsi"/>
                <w:b/>
                <w:bCs/>
                <w:sz w:val="24"/>
                <w:szCs w:val="24"/>
              </w:rPr>
              <w:t>mulsions</w:t>
            </w:r>
          </w:p>
        </w:tc>
        <w:tc>
          <w:tcPr>
            <w:tcW w:w="2309" w:type="dxa"/>
            <w:gridSpan w:val="2"/>
          </w:tcPr>
          <w:p w14:paraId="0F7AEB79"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bCs/>
                <w:sz w:val="24"/>
                <w:szCs w:val="24"/>
              </w:rPr>
              <w:t>Griseofulvin</w:t>
            </w:r>
          </w:p>
        </w:tc>
      </w:tr>
      <w:tr w:rsidR="003A7A6D" w:rsidRPr="00365EEF" w14:paraId="178C413E" w14:textId="77777777" w:rsidTr="00D877B4">
        <w:trPr>
          <w:trHeight w:val="254"/>
          <w:jc w:val="right"/>
        </w:trPr>
        <w:tc>
          <w:tcPr>
            <w:tcW w:w="2308" w:type="dxa"/>
            <w:vMerge/>
            <w:shd w:val="clear" w:color="auto" w:fill="F2DBDB"/>
          </w:tcPr>
          <w:p w14:paraId="47C79747" w14:textId="77777777" w:rsidR="003A7A6D" w:rsidRPr="00365EEF" w:rsidRDefault="003A7A6D" w:rsidP="006F62DE">
            <w:pPr>
              <w:spacing w:line="360" w:lineRule="auto"/>
              <w:rPr>
                <w:rFonts w:eastAsia="Calibri" w:cstheme="minorHAnsi"/>
                <w:b/>
                <w:bCs/>
                <w:sz w:val="24"/>
                <w:szCs w:val="24"/>
              </w:rPr>
            </w:pPr>
          </w:p>
        </w:tc>
        <w:tc>
          <w:tcPr>
            <w:tcW w:w="1153" w:type="dxa"/>
            <w:shd w:val="clear" w:color="auto" w:fill="F2DBDB"/>
          </w:tcPr>
          <w:p w14:paraId="4F035170"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TR</w:t>
            </w:r>
          </w:p>
        </w:tc>
        <w:tc>
          <w:tcPr>
            <w:tcW w:w="1155" w:type="dxa"/>
            <w:shd w:val="clear" w:color="auto" w:fill="F2DBDB"/>
          </w:tcPr>
          <w:p w14:paraId="4D581CF0"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TI</w:t>
            </w:r>
          </w:p>
        </w:tc>
        <w:tc>
          <w:tcPr>
            <w:tcW w:w="1154" w:type="dxa"/>
            <w:shd w:val="clear" w:color="auto" w:fill="F2DBDB"/>
          </w:tcPr>
          <w:p w14:paraId="485B0891"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TR</w:t>
            </w:r>
          </w:p>
        </w:tc>
        <w:tc>
          <w:tcPr>
            <w:tcW w:w="1155" w:type="dxa"/>
            <w:shd w:val="clear" w:color="auto" w:fill="F2DBDB"/>
          </w:tcPr>
          <w:p w14:paraId="6764734C"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TI</w:t>
            </w:r>
          </w:p>
        </w:tc>
        <w:tc>
          <w:tcPr>
            <w:tcW w:w="1154" w:type="dxa"/>
            <w:shd w:val="clear" w:color="auto" w:fill="F2DBDB"/>
          </w:tcPr>
          <w:p w14:paraId="13A81589"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TR</w:t>
            </w:r>
          </w:p>
        </w:tc>
        <w:tc>
          <w:tcPr>
            <w:tcW w:w="1155" w:type="dxa"/>
            <w:shd w:val="clear" w:color="auto" w:fill="F2DBDB"/>
          </w:tcPr>
          <w:p w14:paraId="324EE3F7"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TI</w:t>
            </w:r>
          </w:p>
        </w:tc>
      </w:tr>
      <w:tr w:rsidR="003A7A6D" w:rsidRPr="00365EEF" w14:paraId="2260BC98" w14:textId="77777777" w:rsidTr="00D877B4">
        <w:trPr>
          <w:trHeight w:val="521"/>
          <w:jc w:val="right"/>
        </w:trPr>
        <w:tc>
          <w:tcPr>
            <w:tcW w:w="2308" w:type="dxa"/>
          </w:tcPr>
          <w:p w14:paraId="7AAF9813" w14:textId="77777777" w:rsidR="003A7A6D" w:rsidRPr="00365EEF" w:rsidRDefault="003A7A6D" w:rsidP="006F62DE">
            <w:pPr>
              <w:spacing w:line="360" w:lineRule="auto"/>
              <w:jc w:val="center"/>
              <w:rPr>
                <w:rFonts w:eastAsia="Calibri" w:cstheme="minorHAnsi"/>
                <w:b/>
                <w:bCs/>
                <w:sz w:val="24"/>
                <w:szCs w:val="24"/>
              </w:rPr>
            </w:pPr>
            <w:r w:rsidRPr="00365EEF">
              <w:rPr>
                <w:rFonts w:eastAsia="Calibri" w:cstheme="minorHAnsi"/>
                <w:b/>
                <w:bCs/>
                <w:sz w:val="24"/>
                <w:szCs w:val="24"/>
              </w:rPr>
              <w:t>MIC (ppm)</w:t>
            </w:r>
          </w:p>
        </w:tc>
        <w:tc>
          <w:tcPr>
            <w:tcW w:w="1153" w:type="dxa"/>
          </w:tcPr>
          <w:p w14:paraId="3D6A05B7" w14:textId="77777777" w:rsidR="003A7A6D" w:rsidRPr="00365EEF" w:rsidRDefault="003A7A6D" w:rsidP="006F62DE">
            <w:pPr>
              <w:spacing w:line="360" w:lineRule="auto"/>
              <w:rPr>
                <w:rFonts w:eastAsia="Calibri" w:cstheme="minorHAnsi"/>
                <w:b/>
                <w:sz w:val="24"/>
                <w:szCs w:val="24"/>
              </w:rPr>
            </w:pPr>
            <w:r w:rsidRPr="00365EEF">
              <w:rPr>
                <w:rFonts w:eastAsia="Calibri" w:cstheme="minorHAnsi"/>
                <w:b/>
                <w:sz w:val="24"/>
                <w:szCs w:val="24"/>
              </w:rPr>
              <w:t xml:space="preserve">  5750</w:t>
            </w:r>
          </w:p>
        </w:tc>
        <w:tc>
          <w:tcPr>
            <w:tcW w:w="1155" w:type="dxa"/>
          </w:tcPr>
          <w:p w14:paraId="276A1E37"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nd</w:t>
            </w:r>
          </w:p>
        </w:tc>
        <w:tc>
          <w:tcPr>
            <w:tcW w:w="1154" w:type="dxa"/>
          </w:tcPr>
          <w:p w14:paraId="2D15EA90"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6750</w:t>
            </w:r>
          </w:p>
        </w:tc>
        <w:tc>
          <w:tcPr>
            <w:tcW w:w="1155" w:type="dxa"/>
          </w:tcPr>
          <w:p w14:paraId="3CD47433"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nd</w:t>
            </w:r>
          </w:p>
        </w:tc>
        <w:tc>
          <w:tcPr>
            <w:tcW w:w="2309" w:type="dxa"/>
            <w:gridSpan w:val="2"/>
            <w:vMerge w:val="restart"/>
          </w:tcPr>
          <w:p w14:paraId="3D7A92DB"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˃5000</w:t>
            </w:r>
          </w:p>
        </w:tc>
      </w:tr>
      <w:tr w:rsidR="003A7A6D" w:rsidRPr="00365EEF" w14:paraId="395B38E9" w14:textId="77777777" w:rsidTr="00D877B4">
        <w:trPr>
          <w:trHeight w:val="562"/>
          <w:jc w:val="right"/>
        </w:trPr>
        <w:tc>
          <w:tcPr>
            <w:tcW w:w="2308" w:type="dxa"/>
            <w:shd w:val="clear" w:color="auto" w:fill="F2DBDB"/>
          </w:tcPr>
          <w:p w14:paraId="742FCF4F" w14:textId="77777777" w:rsidR="003A7A6D" w:rsidRPr="00365EEF" w:rsidRDefault="003A7A6D" w:rsidP="006F62DE">
            <w:pPr>
              <w:spacing w:line="360" w:lineRule="auto"/>
              <w:rPr>
                <w:rFonts w:eastAsia="Calibri" w:cstheme="minorHAnsi"/>
                <w:b/>
                <w:bCs/>
                <w:sz w:val="24"/>
                <w:szCs w:val="24"/>
              </w:rPr>
            </w:pPr>
            <w:r w:rsidRPr="00365EEF">
              <w:rPr>
                <w:rFonts w:eastAsia="Calibri" w:cstheme="minorHAnsi"/>
                <w:b/>
                <w:bCs/>
                <w:sz w:val="24"/>
                <w:szCs w:val="24"/>
              </w:rPr>
              <w:t xml:space="preserve">       MFC (ppm)</w:t>
            </w:r>
          </w:p>
        </w:tc>
        <w:tc>
          <w:tcPr>
            <w:tcW w:w="1153" w:type="dxa"/>
            <w:shd w:val="clear" w:color="auto" w:fill="F2DBDB"/>
          </w:tcPr>
          <w:p w14:paraId="6930FD76" w14:textId="77777777" w:rsidR="003A7A6D" w:rsidRPr="00365EEF" w:rsidRDefault="003A7A6D" w:rsidP="006F62DE">
            <w:pPr>
              <w:spacing w:line="360" w:lineRule="auto"/>
              <w:rPr>
                <w:rFonts w:eastAsia="Calibri" w:cstheme="minorHAnsi"/>
                <w:b/>
                <w:sz w:val="24"/>
                <w:szCs w:val="24"/>
              </w:rPr>
            </w:pPr>
            <w:r w:rsidRPr="00365EEF">
              <w:rPr>
                <w:rFonts w:eastAsia="Calibri" w:cstheme="minorHAnsi"/>
                <w:b/>
                <w:sz w:val="24"/>
                <w:szCs w:val="24"/>
              </w:rPr>
              <w:t xml:space="preserve">  5750</w:t>
            </w:r>
          </w:p>
        </w:tc>
        <w:tc>
          <w:tcPr>
            <w:tcW w:w="1155" w:type="dxa"/>
            <w:shd w:val="clear" w:color="auto" w:fill="F2DBDB"/>
          </w:tcPr>
          <w:p w14:paraId="17788A23"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nd</w:t>
            </w:r>
          </w:p>
        </w:tc>
        <w:tc>
          <w:tcPr>
            <w:tcW w:w="1154" w:type="dxa"/>
            <w:shd w:val="clear" w:color="auto" w:fill="F2DBDB"/>
          </w:tcPr>
          <w:p w14:paraId="06581445"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6750</w:t>
            </w:r>
          </w:p>
        </w:tc>
        <w:tc>
          <w:tcPr>
            <w:tcW w:w="1155" w:type="dxa"/>
            <w:shd w:val="clear" w:color="auto" w:fill="F2DBDB"/>
          </w:tcPr>
          <w:p w14:paraId="7C0E4D57" w14:textId="77777777" w:rsidR="003A7A6D" w:rsidRPr="00365EEF" w:rsidRDefault="003A7A6D" w:rsidP="006F62DE">
            <w:pPr>
              <w:spacing w:line="360" w:lineRule="auto"/>
              <w:jc w:val="center"/>
              <w:rPr>
                <w:rFonts w:eastAsia="Calibri" w:cstheme="minorHAnsi"/>
                <w:b/>
                <w:sz w:val="24"/>
                <w:szCs w:val="24"/>
              </w:rPr>
            </w:pPr>
            <w:r w:rsidRPr="00365EEF">
              <w:rPr>
                <w:rFonts w:eastAsia="Calibri" w:cstheme="minorHAnsi"/>
                <w:b/>
                <w:sz w:val="24"/>
                <w:szCs w:val="24"/>
              </w:rPr>
              <w:t>nd</w:t>
            </w:r>
          </w:p>
        </w:tc>
        <w:tc>
          <w:tcPr>
            <w:tcW w:w="2309" w:type="dxa"/>
            <w:gridSpan w:val="2"/>
            <w:vMerge/>
            <w:shd w:val="clear" w:color="auto" w:fill="F2DBDB"/>
          </w:tcPr>
          <w:p w14:paraId="4BB9FE3D" w14:textId="77777777" w:rsidR="003A7A6D" w:rsidRPr="00365EEF" w:rsidRDefault="003A7A6D" w:rsidP="006F62DE">
            <w:pPr>
              <w:spacing w:line="360" w:lineRule="auto"/>
              <w:jc w:val="center"/>
              <w:rPr>
                <w:rFonts w:eastAsia="Calibri" w:cstheme="minorHAnsi"/>
                <w:b/>
                <w:sz w:val="24"/>
                <w:szCs w:val="24"/>
              </w:rPr>
            </w:pPr>
          </w:p>
        </w:tc>
      </w:tr>
    </w:tbl>
    <w:p w14:paraId="7BA318CF" w14:textId="77777777" w:rsidR="00DD53E7" w:rsidRPr="00365EEF" w:rsidRDefault="003A7A6D" w:rsidP="006F62DE">
      <w:pPr>
        <w:pStyle w:val="MDPI31text"/>
        <w:spacing w:line="360" w:lineRule="auto"/>
        <w:ind w:left="0" w:firstLine="0"/>
        <w:rPr>
          <w:rFonts w:asciiTheme="minorHAnsi" w:hAnsiTheme="minorHAnsi" w:cstheme="minorHAnsi"/>
          <w:i/>
          <w:color w:val="auto"/>
          <w:sz w:val="24"/>
          <w:szCs w:val="24"/>
          <w:lang w:val="fr-FR"/>
        </w:rPr>
      </w:pPr>
      <w:r w:rsidRPr="00365EEF">
        <w:rPr>
          <w:rFonts w:asciiTheme="minorHAnsi" w:hAnsiTheme="minorHAnsi" w:cstheme="minorHAnsi"/>
          <w:color w:val="auto"/>
          <w:sz w:val="24"/>
          <w:szCs w:val="24"/>
          <w:lang w:val="fr-FR"/>
        </w:rPr>
        <w:t>TR :</w:t>
      </w:r>
      <w:r w:rsidRPr="00365EEF">
        <w:rPr>
          <w:rFonts w:asciiTheme="minorHAnsi" w:hAnsiTheme="minorHAnsi" w:cstheme="minorHAnsi"/>
          <w:i/>
          <w:color w:val="auto"/>
          <w:sz w:val="24"/>
          <w:szCs w:val="24"/>
          <w:lang w:val="fr-FR"/>
        </w:rPr>
        <w:t xml:space="preserve"> Trichophyton rubrum</w:t>
      </w:r>
      <w:r w:rsidRPr="00365EEF">
        <w:rPr>
          <w:rFonts w:asciiTheme="minorHAnsi" w:hAnsiTheme="minorHAnsi" w:cstheme="minorHAnsi"/>
          <w:color w:val="auto"/>
          <w:sz w:val="24"/>
          <w:szCs w:val="24"/>
          <w:lang w:val="fr-FR"/>
        </w:rPr>
        <w:t xml:space="preserve"> and TI : </w:t>
      </w:r>
      <w:r w:rsidRPr="00365EEF">
        <w:rPr>
          <w:rFonts w:asciiTheme="minorHAnsi" w:hAnsiTheme="minorHAnsi" w:cstheme="minorHAnsi"/>
          <w:i/>
          <w:color w:val="auto"/>
          <w:sz w:val="24"/>
          <w:szCs w:val="24"/>
          <w:lang w:val="fr-FR"/>
        </w:rPr>
        <w:t>Trichophyton interdigitale </w:t>
      </w:r>
      <w:r w:rsidRPr="00365EEF">
        <w:rPr>
          <w:rFonts w:asciiTheme="minorHAnsi" w:hAnsiTheme="minorHAnsi" w:cstheme="minorHAnsi"/>
          <w:color w:val="auto"/>
          <w:sz w:val="24"/>
          <w:szCs w:val="24"/>
          <w:lang w:val="fr-FR"/>
        </w:rPr>
        <w:t>; nd: Not determined; OB :</w:t>
      </w:r>
      <w:r w:rsidRPr="00365EEF">
        <w:rPr>
          <w:rFonts w:asciiTheme="minorHAnsi" w:hAnsiTheme="minorHAnsi" w:cstheme="minorHAnsi"/>
          <w:i/>
          <w:color w:val="auto"/>
          <w:sz w:val="24"/>
          <w:szCs w:val="24"/>
          <w:lang w:val="fr-FR"/>
        </w:rPr>
        <w:t xml:space="preserve"> Ocimum basilicum ; </w:t>
      </w:r>
      <w:r w:rsidRPr="00365EEF">
        <w:rPr>
          <w:rFonts w:asciiTheme="minorHAnsi" w:hAnsiTheme="minorHAnsi" w:cstheme="minorHAnsi"/>
          <w:color w:val="auto"/>
          <w:sz w:val="24"/>
          <w:szCs w:val="24"/>
          <w:lang w:val="fr-FR"/>
        </w:rPr>
        <w:t>OG :</w:t>
      </w:r>
      <w:r w:rsidRPr="00365EEF">
        <w:rPr>
          <w:rFonts w:asciiTheme="minorHAnsi" w:hAnsiTheme="minorHAnsi" w:cstheme="minorHAnsi"/>
          <w:i/>
          <w:color w:val="auto"/>
          <w:sz w:val="24"/>
          <w:szCs w:val="24"/>
          <w:lang w:val="fr-FR"/>
        </w:rPr>
        <w:t xml:space="preserve">    Ocimum gratissimum.</w:t>
      </w:r>
    </w:p>
    <w:p w14:paraId="3AFBB90E" w14:textId="77777777" w:rsidR="003A7A6D" w:rsidRPr="00365EEF" w:rsidRDefault="003A7A6D" w:rsidP="006F62DE">
      <w:pPr>
        <w:pStyle w:val="MDPI31text"/>
        <w:spacing w:line="360" w:lineRule="auto"/>
        <w:ind w:left="0" w:firstLine="0"/>
        <w:rPr>
          <w:rFonts w:asciiTheme="minorHAnsi" w:hAnsiTheme="minorHAnsi" w:cstheme="minorHAnsi"/>
          <w:b/>
          <w:color w:val="auto"/>
          <w:sz w:val="24"/>
          <w:szCs w:val="24"/>
          <w:lang w:val="fr-FR"/>
        </w:rPr>
      </w:pPr>
      <w:r w:rsidRPr="00365EEF">
        <w:rPr>
          <w:rFonts w:asciiTheme="minorHAnsi" w:hAnsiTheme="minorHAnsi" w:cstheme="minorHAnsi"/>
          <w:b/>
          <w:color w:val="auto"/>
          <w:sz w:val="24"/>
          <w:szCs w:val="24"/>
          <w:lang w:val="fr-FR"/>
        </w:rPr>
        <w:t xml:space="preserve">3.1.5. </w:t>
      </w:r>
      <w:r w:rsidRPr="00365EEF">
        <w:rPr>
          <w:rFonts w:asciiTheme="minorHAnsi" w:hAnsiTheme="minorHAnsi" w:cstheme="minorHAnsi"/>
          <w:b/>
          <w:bCs/>
          <w:color w:val="auto"/>
          <w:sz w:val="24"/>
          <w:szCs w:val="24"/>
          <w:lang w:val="fr-FR"/>
        </w:rPr>
        <w:t>Antioxidant activity</w:t>
      </w:r>
    </w:p>
    <w:p w14:paraId="65F731AA" w14:textId="77777777" w:rsidR="003A7A6D" w:rsidRPr="00365EEF" w:rsidRDefault="003A7A6D"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In this study, the antioxidant activity of the essential oils and emulsions from</w:t>
      </w:r>
      <w:r w:rsidRPr="00365EEF">
        <w:rPr>
          <w:rFonts w:asciiTheme="minorHAnsi" w:hAnsiTheme="minorHAnsi" w:cstheme="minorHAnsi"/>
          <w:i/>
          <w:color w:val="auto"/>
          <w:sz w:val="24"/>
          <w:szCs w:val="24"/>
          <w:lang w:val="fr-FR"/>
        </w:rPr>
        <w:t xml:space="preserve"> Ocimum gratissimum </w:t>
      </w:r>
      <w:r w:rsidRPr="00365EEF">
        <w:rPr>
          <w:rFonts w:asciiTheme="minorHAnsi" w:hAnsiTheme="minorHAnsi" w:cstheme="minorHAnsi"/>
          <w:color w:val="auto"/>
          <w:sz w:val="24"/>
          <w:szCs w:val="24"/>
          <w:lang w:val="fr-FR"/>
        </w:rPr>
        <w:t>and</w:t>
      </w:r>
      <w:r w:rsidRPr="00365EEF">
        <w:rPr>
          <w:rFonts w:asciiTheme="minorHAnsi" w:hAnsiTheme="minorHAnsi" w:cstheme="minorHAnsi"/>
          <w:i/>
          <w:color w:val="auto"/>
          <w:sz w:val="24"/>
          <w:szCs w:val="24"/>
          <w:lang w:val="fr-FR"/>
        </w:rPr>
        <w:t xml:space="preserve"> Ocimum basilicum </w:t>
      </w:r>
      <w:r w:rsidRPr="00365EEF">
        <w:rPr>
          <w:rFonts w:asciiTheme="minorHAnsi" w:hAnsiTheme="minorHAnsi" w:cstheme="minorHAnsi"/>
          <w:color w:val="auto"/>
          <w:sz w:val="24"/>
          <w:szCs w:val="24"/>
          <w:lang w:val="fr-FR"/>
        </w:rPr>
        <w:t>was evaluated using</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 xml:space="preserve">DPPH assay. As a result, the essential oils of </w:t>
      </w:r>
      <w:r w:rsidRPr="00365EEF">
        <w:rPr>
          <w:rFonts w:asciiTheme="minorHAnsi" w:hAnsiTheme="minorHAnsi" w:cstheme="minorHAnsi"/>
          <w:i/>
          <w:color w:val="auto"/>
          <w:sz w:val="24"/>
          <w:szCs w:val="24"/>
          <w:lang w:val="fr-FR"/>
        </w:rPr>
        <w:t>O</w:t>
      </w:r>
      <w:r w:rsidR="00265253" w:rsidRPr="00365EEF">
        <w:rPr>
          <w:rFonts w:asciiTheme="minorHAnsi" w:hAnsiTheme="minorHAnsi" w:cstheme="minorHAnsi"/>
          <w:i/>
          <w:color w:val="auto"/>
          <w:sz w:val="24"/>
          <w:szCs w:val="24"/>
          <w:lang w:val="fr-FR"/>
        </w:rPr>
        <w:t>.</w:t>
      </w:r>
      <w:r w:rsidRPr="00365EEF">
        <w:rPr>
          <w:rFonts w:asciiTheme="minorHAnsi" w:hAnsiTheme="minorHAnsi" w:cstheme="minorHAnsi"/>
          <w:i/>
          <w:color w:val="auto"/>
          <w:sz w:val="24"/>
          <w:szCs w:val="24"/>
          <w:lang w:val="fr-FR"/>
        </w:rPr>
        <w:t xml:space="preserve"> basilicum </w:t>
      </w:r>
      <w:r w:rsidRPr="00365EEF">
        <w:rPr>
          <w:rFonts w:asciiTheme="minorHAnsi" w:hAnsiTheme="minorHAnsi" w:cstheme="minorHAnsi"/>
          <w:color w:val="auto"/>
          <w:sz w:val="24"/>
          <w:szCs w:val="24"/>
          <w:lang w:val="fr-FR"/>
        </w:rPr>
        <w:t>and</w:t>
      </w:r>
      <w:r w:rsidRPr="00365EEF">
        <w:rPr>
          <w:rFonts w:asciiTheme="minorHAnsi" w:hAnsiTheme="minorHAnsi" w:cstheme="minorHAnsi"/>
          <w:i/>
          <w:color w:val="auto"/>
          <w:sz w:val="24"/>
          <w:szCs w:val="24"/>
          <w:lang w:val="fr-FR"/>
        </w:rPr>
        <w:t xml:space="preserve"> O</w:t>
      </w:r>
      <w:r w:rsidR="00265253" w:rsidRPr="00365EEF">
        <w:rPr>
          <w:rFonts w:asciiTheme="minorHAnsi" w:hAnsiTheme="minorHAnsi" w:cstheme="minorHAnsi"/>
          <w:i/>
          <w:color w:val="auto"/>
          <w:sz w:val="24"/>
          <w:szCs w:val="24"/>
          <w:lang w:val="fr-FR"/>
        </w:rPr>
        <w:t>.</w:t>
      </w:r>
      <w:r w:rsidRPr="00365EEF">
        <w:rPr>
          <w:rFonts w:asciiTheme="minorHAnsi" w:hAnsiTheme="minorHAnsi" w:cstheme="minorHAnsi"/>
          <w:i/>
          <w:color w:val="auto"/>
          <w:sz w:val="24"/>
          <w:szCs w:val="24"/>
          <w:lang w:val="fr-FR"/>
        </w:rPr>
        <w:t xml:space="preserve"> gratissimum </w:t>
      </w:r>
      <w:r w:rsidRPr="00365EEF">
        <w:rPr>
          <w:rFonts w:asciiTheme="minorHAnsi" w:hAnsiTheme="minorHAnsi" w:cstheme="minorHAnsi"/>
          <w:color w:val="auto"/>
          <w:sz w:val="24"/>
          <w:szCs w:val="24"/>
          <w:lang w:val="fr-FR"/>
        </w:rPr>
        <w:t>scavenged the free radicals of DPPH with median scavenging concentrations (SC</w:t>
      </w:r>
      <w:r w:rsidRPr="00365EEF">
        <w:rPr>
          <w:rFonts w:asciiTheme="minorHAnsi" w:hAnsiTheme="minorHAnsi" w:cstheme="minorHAnsi"/>
          <w:color w:val="auto"/>
          <w:sz w:val="24"/>
          <w:szCs w:val="24"/>
          <w:vertAlign w:val="subscript"/>
          <w:lang w:val="fr-FR"/>
        </w:rPr>
        <w:t>50</w:t>
      </w:r>
      <w:r w:rsidRPr="00365EEF">
        <w:rPr>
          <w:rFonts w:asciiTheme="minorHAnsi" w:hAnsiTheme="minorHAnsi" w:cstheme="minorHAnsi"/>
          <w:color w:val="auto"/>
          <w:sz w:val="24"/>
          <w:szCs w:val="24"/>
          <w:lang w:val="fr-FR"/>
        </w:rPr>
        <w:t>S) of 100 and 500 ppm, respectively, vs butylated hydroxytoluene (SC</w:t>
      </w:r>
      <w:r w:rsidRPr="00365EEF">
        <w:rPr>
          <w:rFonts w:asciiTheme="minorHAnsi" w:hAnsiTheme="minorHAnsi" w:cstheme="minorHAnsi"/>
          <w:color w:val="auto"/>
          <w:sz w:val="24"/>
          <w:szCs w:val="24"/>
          <w:vertAlign w:val="subscript"/>
          <w:lang w:val="fr-FR"/>
        </w:rPr>
        <w:t>50</w:t>
      </w:r>
      <w:r w:rsidRPr="00365EEF">
        <w:rPr>
          <w:rFonts w:asciiTheme="minorHAnsi" w:hAnsiTheme="minorHAnsi" w:cstheme="minorHAnsi"/>
          <w:color w:val="auto"/>
          <w:sz w:val="24"/>
          <w:szCs w:val="24"/>
          <w:lang w:val="fr-FR"/>
        </w:rPr>
        <w:t> : 200 ppm) (Figure 3).</w:t>
      </w:r>
    </w:p>
    <w:p w14:paraId="57392FF5" w14:textId="77777777" w:rsidR="00ED0A85" w:rsidRPr="00365EEF" w:rsidRDefault="00ED0A85"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b/>
          <w:bCs/>
          <w:noProof/>
          <w:color w:val="auto"/>
          <w:sz w:val="24"/>
          <w:szCs w:val="24"/>
          <w:lang w:val="fr-FR" w:eastAsia="fr-FR" w:bidi="ar-SA"/>
        </w:rPr>
        <w:lastRenderedPageBreak/>
        <w:drawing>
          <wp:inline distT="0" distB="0" distL="0" distR="0" wp14:anchorId="3E8DA628" wp14:editId="5B2C2CD0">
            <wp:extent cx="5880226" cy="3520161"/>
            <wp:effectExtent l="0" t="0" r="6350" b="4445"/>
            <wp:docPr id="4" name="Image 4" descr="C:\Users\Boni\Desktop\Figure 3 of 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i\Desktop\Figure 3 of 26.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6620" cy="3535962"/>
                    </a:xfrm>
                    <a:prstGeom prst="rect">
                      <a:avLst/>
                    </a:prstGeom>
                    <a:noFill/>
                    <a:ln>
                      <a:noFill/>
                    </a:ln>
                  </pic:spPr>
                </pic:pic>
              </a:graphicData>
            </a:graphic>
          </wp:inline>
        </w:drawing>
      </w:r>
    </w:p>
    <w:p w14:paraId="47F1A4BE" w14:textId="77777777" w:rsidR="00ED0A85" w:rsidRPr="00365EEF" w:rsidRDefault="00ED0A85" w:rsidP="006F62DE">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 xml:space="preserve">Figure 3 : </w:t>
      </w:r>
      <w:r w:rsidRPr="00365EEF">
        <w:rPr>
          <w:rFonts w:asciiTheme="minorHAnsi" w:hAnsiTheme="minorHAnsi" w:cstheme="minorHAnsi"/>
          <w:bCs/>
          <w:color w:val="auto"/>
          <w:sz w:val="24"/>
          <w:szCs w:val="24"/>
        </w:rPr>
        <w:t xml:space="preserve">Percentages of DPPH radical scavenging as a function of concentrations of essential oils of </w:t>
      </w:r>
      <w:r w:rsidRPr="00365EEF">
        <w:rPr>
          <w:rFonts w:asciiTheme="minorHAnsi" w:hAnsiTheme="minorHAnsi" w:cstheme="minorHAnsi"/>
          <w:bCs/>
          <w:i/>
          <w:color w:val="auto"/>
          <w:sz w:val="24"/>
          <w:szCs w:val="24"/>
        </w:rPr>
        <w:t>O. gratissimum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 the butylated hydroxytoluene (BHT). SC</w:t>
      </w:r>
      <w:r w:rsidRPr="00365EEF">
        <w:rPr>
          <w:rFonts w:asciiTheme="minorHAnsi" w:hAnsiTheme="minorHAnsi" w:cstheme="minorHAnsi"/>
          <w:bCs/>
          <w:color w:val="auto"/>
          <w:sz w:val="24"/>
          <w:szCs w:val="24"/>
          <w:vertAlign w:val="subscript"/>
        </w:rPr>
        <w:t>50</w:t>
      </w:r>
      <w:r w:rsidRPr="00365EEF">
        <w:rPr>
          <w:rFonts w:asciiTheme="minorHAnsi" w:hAnsiTheme="minorHAnsi" w:cstheme="minorHAnsi"/>
          <w:bCs/>
          <w:color w:val="auto"/>
          <w:sz w:val="24"/>
          <w:szCs w:val="24"/>
        </w:rPr>
        <w:t xml:space="preserve"> : Mean scavenging concentration.</w:t>
      </w:r>
    </w:p>
    <w:p w14:paraId="1C49E597" w14:textId="77777777" w:rsidR="009F6AE1" w:rsidRPr="00365EEF" w:rsidRDefault="009F6AE1"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The emulsions, which were prepared from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essential oils, scavenged the free radicals of DPPH with a common median radical scavenging concentration of 100 and 4800 ppm, respectively, vs butylated hydroxytoluene (SC</w:t>
      </w:r>
      <w:r w:rsidRPr="00365EEF">
        <w:rPr>
          <w:rFonts w:asciiTheme="minorHAnsi" w:hAnsiTheme="minorHAnsi" w:cstheme="minorHAnsi"/>
          <w:color w:val="auto"/>
          <w:sz w:val="24"/>
          <w:szCs w:val="24"/>
          <w:vertAlign w:val="subscript"/>
          <w:lang w:val="fr-FR"/>
        </w:rPr>
        <w:t>50</w:t>
      </w:r>
      <w:r w:rsidRPr="00365EEF">
        <w:rPr>
          <w:rFonts w:asciiTheme="minorHAnsi" w:hAnsiTheme="minorHAnsi" w:cstheme="minorHAnsi"/>
          <w:color w:val="auto"/>
          <w:sz w:val="24"/>
          <w:szCs w:val="24"/>
          <w:lang w:val="fr-FR"/>
        </w:rPr>
        <w:t> : 200 ppm) (Figure 4).</w:t>
      </w:r>
    </w:p>
    <w:p w14:paraId="59F9A027" w14:textId="77777777" w:rsidR="009F6AE1" w:rsidRPr="00365EEF" w:rsidRDefault="00F27DE6"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noProof/>
          <w:color w:val="auto"/>
          <w:sz w:val="24"/>
          <w:szCs w:val="24"/>
          <w:lang w:val="fr-FR" w:eastAsia="fr-FR" w:bidi="ar-SA"/>
        </w:rPr>
        <w:drawing>
          <wp:inline distT="0" distB="0" distL="0" distR="0" wp14:anchorId="48C01110" wp14:editId="0B5B6310">
            <wp:extent cx="5631255" cy="3202299"/>
            <wp:effectExtent l="0" t="0" r="7620" b="0"/>
            <wp:docPr id="3" name="Image 3" descr="C:\Users\Boni\Desktop\Figure 4 of 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i\Desktop\Figure 4 of 28.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1563" cy="3213847"/>
                    </a:xfrm>
                    <a:prstGeom prst="rect">
                      <a:avLst/>
                    </a:prstGeom>
                    <a:noFill/>
                    <a:ln>
                      <a:noFill/>
                    </a:ln>
                  </pic:spPr>
                </pic:pic>
              </a:graphicData>
            </a:graphic>
          </wp:inline>
        </w:drawing>
      </w:r>
    </w:p>
    <w:p w14:paraId="5881F140" w14:textId="77777777" w:rsidR="00081AB7" w:rsidRPr="00365EEF" w:rsidRDefault="002633E8" w:rsidP="006F62DE">
      <w:pPr>
        <w:pStyle w:val="MDPI31text"/>
        <w:spacing w:line="360" w:lineRule="auto"/>
        <w:ind w:left="0" w:firstLine="0"/>
        <w:rPr>
          <w:rFonts w:asciiTheme="minorHAnsi" w:hAnsiTheme="minorHAnsi" w:cstheme="minorHAnsi"/>
          <w:b/>
          <w:bCs/>
          <w:color w:val="auto"/>
          <w:sz w:val="24"/>
          <w:szCs w:val="24"/>
          <w:lang w:val="fr-FR"/>
        </w:rPr>
      </w:pPr>
      <w:r w:rsidRPr="00365EEF">
        <w:rPr>
          <w:rFonts w:asciiTheme="minorHAnsi" w:hAnsiTheme="minorHAnsi" w:cstheme="minorHAnsi"/>
          <w:b/>
          <w:bCs/>
          <w:color w:val="auto"/>
          <w:sz w:val="24"/>
          <w:szCs w:val="24"/>
          <w:lang w:val="fr-FR"/>
        </w:rPr>
        <w:lastRenderedPageBreak/>
        <w:t xml:space="preserve">Figure 4 : </w:t>
      </w:r>
      <w:r w:rsidRPr="00365EEF">
        <w:rPr>
          <w:rFonts w:asciiTheme="minorHAnsi" w:hAnsiTheme="minorHAnsi" w:cstheme="minorHAnsi"/>
          <w:bCs/>
          <w:color w:val="auto"/>
          <w:sz w:val="24"/>
          <w:szCs w:val="24"/>
          <w:lang w:val="fr-FR"/>
        </w:rPr>
        <w:t xml:space="preserve">Percentages of DPPH radical scavenging as a function of concentrations of formulations obtained from the essential oils of </w:t>
      </w:r>
      <w:r w:rsidRPr="00365EEF">
        <w:rPr>
          <w:rFonts w:asciiTheme="minorHAnsi" w:hAnsiTheme="minorHAnsi" w:cstheme="minorHAnsi"/>
          <w:bCs/>
          <w:i/>
          <w:color w:val="auto"/>
          <w:sz w:val="24"/>
          <w:szCs w:val="24"/>
          <w:lang w:val="fr-FR"/>
        </w:rPr>
        <w:t>O. gratissimum</w:t>
      </w:r>
      <w:r w:rsidRPr="00365EEF">
        <w:rPr>
          <w:rFonts w:asciiTheme="minorHAnsi" w:hAnsiTheme="minorHAnsi" w:cstheme="minorHAnsi"/>
          <w:bCs/>
          <w:color w:val="auto"/>
          <w:sz w:val="24"/>
          <w:szCs w:val="24"/>
          <w:lang w:val="fr-FR"/>
        </w:rPr>
        <w:t xml:space="preserve"> and </w:t>
      </w:r>
      <w:r w:rsidRPr="00365EEF">
        <w:rPr>
          <w:rFonts w:asciiTheme="minorHAnsi" w:hAnsiTheme="minorHAnsi" w:cstheme="minorHAnsi"/>
          <w:bCs/>
          <w:i/>
          <w:color w:val="auto"/>
          <w:sz w:val="24"/>
          <w:szCs w:val="24"/>
          <w:lang w:val="fr-FR"/>
        </w:rPr>
        <w:t>O. basilicum</w:t>
      </w:r>
      <w:r w:rsidRPr="00365EEF">
        <w:rPr>
          <w:rFonts w:asciiTheme="minorHAnsi" w:hAnsiTheme="minorHAnsi" w:cstheme="minorHAnsi"/>
          <w:bCs/>
          <w:color w:val="auto"/>
          <w:sz w:val="24"/>
          <w:szCs w:val="24"/>
          <w:lang w:val="fr-FR"/>
        </w:rPr>
        <w:t xml:space="preserve"> and the butylated hydroxytoluene (BHT). SC</w:t>
      </w:r>
      <w:r w:rsidRPr="00365EEF">
        <w:rPr>
          <w:rFonts w:asciiTheme="minorHAnsi" w:hAnsiTheme="minorHAnsi" w:cstheme="minorHAnsi"/>
          <w:bCs/>
          <w:color w:val="auto"/>
          <w:sz w:val="24"/>
          <w:szCs w:val="24"/>
          <w:vertAlign w:val="subscript"/>
          <w:lang w:val="fr-FR"/>
        </w:rPr>
        <w:t>50</w:t>
      </w:r>
      <w:r w:rsidRPr="00365EEF">
        <w:rPr>
          <w:rFonts w:asciiTheme="minorHAnsi" w:hAnsiTheme="minorHAnsi" w:cstheme="minorHAnsi"/>
          <w:bCs/>
          <w:color w:val="auto"/>
          <w:sz w:val="24"/>
          <w:szCs w:val="24"/>
          <w:lang w:val="fr-FR"/>
        </w:rPr>
        <w:t xml:space="preserve"> : Mean scavenging concentration.</w:t>
      </w:r>
      <w:r w:rsidRPr="00365EEF">
        <w:rPr>
          <w:rFonts w:asciiTheme="minorHAnsi" w:hAnsiTheme="minorHAnsi" w:cstheme="minorHAnsi"/>
          <w:b/>
          <w:bCs/>
          <w:color w:val="auto"/>
          <w:sz w:val="24"/>
          <w:szCs w:val="24"/>
          <w:lang w:val="fr-FR"/>
        </w:rPr>
        <w:t xml:space="preserve"> </w:t>
      </w:r>
    </w:p>
    <w:p w14:paraId="0C111279" w14:textId="77777777" w:rsidR="00081AB7" w:rsidRPr="00365EEF" w:rsidRDefault="00081AB7" w:rsidP="006F62DE">
      <w:pPr>
        <w:pStyle w:val="MDPI31text"/>
        <w:spacing w:line="360" w:lineRule="auto"/>
        <w:ind w:left="0" w:firstLine="0"/>
        <w:rPr>
          <w:rFonts w:asciiTheme="minorHAnsi" w:hAnsiTheme="minorHAnsi" w:cstheme="minorHAnsi"/>
          <w:bCs/>
          <w:color w:val="auto"/>
          <w:sz w:val="24"/>
          <w:szCs w:val="24"/>
          <w:lang w:val="fr-FR"/>
        </w:rPr>
      </w:pPr>
      <w:r w:rsidRPr="00365EEF">
        <w:rPr>
          <w:rFonts w:asciiTheme="minorHAnsi" w:hAnsiTheme="minorHAnsi" w:cstheme="minorHAnsi"/>
          <w:bCs/>
          <w:color w:val="auto"/>
          <w:sz w:val="24"/>
          <w:szCs w:val="24"/>
          <w:lang w:val="fr-FR"/>
        </w:rPr>
        <w:t>The median efficient concentrations (EC</w:t>
      </w:r>
      <w:r w:rsidRPr="00365EEF">
        <w:rPr>
          <w:rFonts w:asciiTheme="minorHAnsi" w:hAnsiTheme="minorHAnsi" w:cstheme="minorHAnsi"/>
          <w:bCs/>
          <w:color w:val="auto"/>
          <w:sz w:val="24"/>
          <w:szCs w:val="24"/>
          <w:vertAlign w:val="subscript"/>
          <w:lang w:val="fr-FR"/>
        </w:rPr>
        <w:t xml:space="preserve">50, </w:t>
      </w:r>
      <w:r w:rsidRPr="00365EEF">
        <w:rPr>
          <w:rFonts w:asciiTheme="minorHAnsi" w:hAnsiTheme="minorHAnsi" w:cstheme="minorHAnsi"/>
          <w:color w:val="auto"/>
          <w:sz w:val="24"/>
          <w:szCs w:val="24"/>
          <w:lang w:val="fr-FR"/>
        </w:rPr>
        <w:t>g/mol</w:t>
      </w:r>
      <w:r w:rsidRPr="00365EEF">
        <w:rPr>
          <w:rFonts w:asciiTheme="minorHAnsi" w:hAnsiTheme="minorHAnsi" w:cstheme="minorHAnsi"/>
          <w:bCs/>
          <w:color w:val="auto"/>
          <w:sz w:val="24"/>
          <w:szCs w:val="24"/>
          <w:lang w:val="fr-FR"/>
        </w:rPr>
        <w:t xml:space="preserve">) and the antiradical potential (AP, </w:t>
      </w:r>
      <w:r w:rsidRPr="00365EEF">
        <w:rPr>
          <w:rFonts w:asciiTheme="minorHAnsi" w:hAnsiTheme="minorHAnsi" w:cstheme="minorHAnsi"/>
          <w:color w:val="auto"/>
          <w:sz w:val="24"/>
          <w:szCs w:val="24"/>
          <w:lang w:val="fr-FR"/>
        </w:rPr>
        <w:t>mol/g</w:t>
      </w:r>
      <w:r w:rsidRPr="00365EEF">
        <w:rPr>
          <w:rFonts w:asciiTheme="minorHAnsi" w:hAnsiTheme="minorHAnsi" w:cstheme="minorHAnsi"/>
          <w:bCs/>
          <w:color w:val="auto"/>
          <w:sz w:val="24"/>
          <w:szCs w:val="24"/>
          <w:lang w:val="fr-FR"/>
        </w:rPr>
        <w:t xml:space="preserve">) of essential oils (5000 </w:t>
      </w:r>
      <w:r w:rsidRPr="00365EEF">
        <w:rPr>
          <w:rFonts w:asciiTheme="minorHAnsi" w:hAnsiTheme="minorHAnsi" w:cstheme="minorHAnsi"/>
          <w:color w:val="auto"/>
          <w:sz w:val="24"/>
          <w:szCs w:val="24"/>
          <w:lang w:val="fr-FR"/>
        </w:rPr>
        <w:t>g/mol</w:t>
      </w:r>
      <w:r w:rsidRPr="00365EEF">
        <w:rPr>
          <w:rFonts w:asciiTheme="minorHAnsi" w:hAnsiTheme="minorHAnsi" w:cstheme="minorHAnsi"/>
          <w:bCs/>
          <w:color w:val="auto"/>
          <w:sz w:val="24"/>
          <w:szCs w:val="24"/>
          <w:lang w:val="fr-FR"/>
        </w:rPr>
        <w:t xml:space="preserve"> and 0.0002</w:t>
      </w:r>
      <w:r w:rsidRPr="00365EEF">
        <w:rPr>
          <w:rFonts w:asciiTheme="minorHAnsi" w:hAnsiTheme="minorHAnsi" w:cstheme="minorHAnsi"/>
          <w:color w:val="auto"/>
          <w:sz w:val="24"/>
          <w:szCs w:val="24"/>
          <w:lang w:val="fr-FR"/>
        </w:rPr>
        <w:t xml:space="preserve"> mol/g</w:t>
      </w:r>
      <w:r w:rsidRPr="00365EEF">
        <w:rPr>
          <w:rFonts w:asciiTheme="minorHAnsi" w:hAnsiTheme="minorHAnsi" w:cstheme="minorHAnsi"/>
          <w:bCs/>
          <w:color w:val="auto"/>
          <w:sz w:val="24"/>
          <w:szCs w:val="24"/>
          <w:lang w:val="fr-FR"/>
        </w:rPr>
        <w:t xml:space="preserve">) and formulations (4800 </w:t>
      </w:r>
      <w:r w:rsidRPr="00365EEF">
        <w:rPr>
          <w:rFonts w:asciiTheme="minorHAnsi" w:hAnsiTheme="minorHAnsi" w:cstheme="minorHAnsi"/>
          <w:color w:val="auto"/>
          <w:sz w:val="24"/>
          <w:szCs w:val="24"/>
          <w:lang w:val="fr-FR"/>
        </w:rPr>
        <w:t>g/mol</w:t>
      </w:r>
      <w:r w:rsidRPr="00365EEF">
        <w:rPr>
          <w:rFonts w:asciiTheme="minorHAnsi" w:hAnsiTheme="minorHAnsi" w:cstheme="minorHAnsi"/>
          <w:bCs/>
          <w:color w:val="auto"/>
          <w:sz w:val="24"/>
          <w:szCs w:val="24"/>
          <w:lang w:val="fr-FR"/>
        </w:rPr>
        <w:t xml:space="preserve"> and 0.00002</w:t>
      </w:r>
      <w:r w:rsidRPr="00365EEF">
        <w:rPr>
          <w:rFonts w:asciiTheme="minorHAnsi" w:hAnsiTheme="minorHAnsi" w:cstheme="minorHAnsi"/>
          <w:color w:val="auto"/>
          <w:sz w:val="24"/>
          <w:szCs w:val="24"/>
          <w:lang w:val="fr-FR"/>
        </w:rPr>
        <w:t xml:space="preserve"> mol/g</w:t>
      </w:r>
      <w:r w:rsidRPr="00365EEF">
        <w:rPr>
          <w:rFonts w:asciiTheme="minorHAnsi" w:hAnsiTheme="minorHAnsi" w:cstheme="minorHAnsi"/>
          <w:bCs/>
          <w:color w:val="auto"/>
          <w:sz w:val="24"/>
          <w:szCs w:val="24"/>
          <w:lang w:val="fr-FR"/>
        </w:rPr>
        <w:t xml:space="preserve">) were also calculated for </w:t>
      </w:r>
      <w:r w:rsidRPr="00365EEF">
        <w:rPr>
          <w:rFonts w:asciiTheme="minorHAnsi" w:hAnsiTheme="minorHAnsi" w:cstheme="minorHAnsi"/>
          <w:bCs/>
          <w:i/>
          <w:color w:val="auto"/>
          <w:sz w:val="24"/>
          <w:szCs w:val="24"/>
          <w:lang w:val="fr-FR"/>
        </w:rPr>
        <w:t>O. gratissimum</w:t>
      </w:r>
      <w:r w:rsidRPr="00365EEF">
        <w:rPr>
          <w:rFonts w:asciiTheme="minorHAnsi" w:hAnsiTheme="minorHAnsi" w:cstheme="minorHAnsi"/>
          <w:bCs/>
          <w:color w:val="auto"/>
          <w:sz w:val="24"/>
          <w:szCs w:val="24"/>
          <w:lang w:val="fr-FR"/>
        </w:rPr>
        <w:t xml:space="preserve">. Moreover, essential oils (1000 </w:t>
      </w:r>
      <w:r w:rsidRPr="00365EEF">
        <w:rPr>
          <w:rFonts w:asciiTheme="minorHAnsi" w:hAnsiTheme="minorHAnsi" w:cstheme="minorHAnsi"/>
          <w:color w:val="auto"/>
          <w:sz w:val="24"/>
          <w:szCs w:val="24"/>
          <w:lang w:val="fr-FR"/>
        </w:rPr>
        <w:t>g/mol</w:t>
      </w:r>
      <w:r w:rsidRPr="00365EEF">
        <w:rPr>
          <w:rFonts w:asciiTheme="minorHAnsi" w:hAnsiTheme="minorHAnsi" w:cstheme="minorHAnsi"/>
          <w:bCs/>
          <w:color w:val="auto"/>
          <w:sz w:val="24"/>
          <w:szCs w:val="24"/>
          <w:lang w:val="fr-FR"/>
        </w:rPr>
        <w:t xml:space="preserve"> and 0.001</w:t>
      </w:r>
      <w:r w:rsidRPr="00365EEF">
        <w:rPr>
          <w:rFonts w:asciiTheme="minorHAnsi" w:hAnsiTheme="minorHAnsi" w:cstheme="minorHAnsi"/>
          <w:b/>
          <w:bCs/>
          <w:color w:val="auto"/>
          <w:sz w:val="24"/>
          <w:szCs w:val="24"/>
          <w:lang w:val="fr-FR"/>
        </w:rPr>
        <w:t xml:space="preserve"> </w:t>
      </w:r>
      <w:r w:rsidRPr="00365EEF">
        <w:rPr>
          <w:rFonts w:asciiTheme="minorHAnsi" w:hAnsiTheme="minorHAnsi" w:cstheme="minorHAnsi"/>
          <w:color w:val="auto"/>
          <w:sz w:val="24"/>
          <w:szCs w:val="24"/>
          <w:lang w:val="fr-FR"/>
        </w:rPr>
        <w:t>mol/g</w:t>
      </w:r>
      <w:r w:rsidRPr="00365EEF">
        <w:rPr>
          <w:rFonts w:asciiTheme="minorHAnsi" w:hAnsiTheme="minorHAnsi" w:cstheme="minorHAnsi"/>
          <w:bCs/>
          <w:color w:val="auto"/>
          <w:sz w:val="24"/>
          <w:szCs w:val="24"/>
          <w:lang w:val="fr-FR"/>
        </w:rPr>
        <w:t xml:space="preserve">) and formulations (1000 </w:t>
      </w:r>
      <w:r w:rsidRPr="00365EEF">
        <w:rPr>
          <w:rFonts w:asciiTheme="minorHAnsi" w:hAnsiTheme="minorHAnsi" w:cstheme="minorHAnsi"/>
          <w:color w:val="auto"/>
          <w:sz w:val="24"/>
          <w:szCs w:val="24"/>
          <w:lang w:val="fr-FR"/>
        </w:rPr>
        <w:t>g/mol</w:t>
      </w:r>
      <w:r w:rsidRPr="00365EEF">
        <w:rPr>
          <w:rFonts w:asciiTheme="minorHAnsi" w:hAnsiTheme="minorHAnsi" w:cstheme="minorHAnsi"/>
          <w:bCs/>
          <w:color w:val="auto"/>
          <w:sz w:val="24"/>
          <w:szCs w:val="24"/>
          <w:lang w:val="fr-FR"/>
        </w:rPr>
        <w:t xml:space="preserve"> and 0.001</w:t>
      </w:r>
      <w:r w:rsidRPr="00365EEF">
        <w:rPr>
          <w:rFonts w:asciiTheme="minorHAnsi" w:hAnsiTheme="minorHAnsi" w:cstheme="minorHAnsi"/>
          <w:b/>
          <w:bCs/>
          <w:color w:val="auto"/>
          <w:sz w:val="24"/>
          <w:szCs w:val="24"/>
          <w:lang w:val="fr-FR"/>
        </w:rPr>
        <w:t xml:space="preserve"> </w:t>
      </w:r>
      <w:r w:rsidRPr="00365EEF">
        <w:rPr>
          <w:rFonts w:asciiTheme="minorHAnsi" w:hAnsiTheme="minorHAnsi" w:cstheme="minorHAnsi"/>
          <w:color w:val="auto"/>
          <w:sz w:val="24"/>
          <w:szCs w:val="24"/>
          <w:lang w:val="fr-FR"/>
        </w:rPr>
        <w:t>mol/g</w:t>
      </w:r>
      <w:r w:rsidRPr="00365EEF">
        <w:rPr>
          <w:rFonts w:asciiTheme="minorHAnsi" w:hAnsiTheme="minorHAnsi" w:cstheme="minorHAnsi"/>
          <w:bCs/>
          <w:color w:val="auto"/>
          <w:sz w:val="24"/>
          <w:szCs w:val="24"/>
          <w:lang w:val="fr-FR"/>
        </w:rPr>
        <w:t xml:space="preserve">) obtained from </w:t>
      </w:r>
      <w:r w:rsidRPr="00365EEF">
        <w:rPr>
          <w:rFonts w:asciiTheme="minorHAnsi" w:hAnsiTheme="minorHAnsi" w:cstheme="minorHAnsi"/>
          <w:bCs/>
          <w:i/>
          <w:color w:val="auto"/>
          <w:sz w:val="24"/>
          <w:szCs w:val="24"/>
          <w:lang w:val="fr-FR"/>
        </w:rPr>
        <w:t>O. basilicum</w:t>
      </w:r>
      <w:r w:rsidRPr="00365EEF">
        <w:rPr>
          <w:rFonts w:asciiTheme="minorHAnsi" w:hAnsiTheme="minorHAnsi" w:cstheme="minorHAnsi"/>
          <w:bCs/>
          <w:color w:val="auto"/>
          <w:sz w:val="24"/>
          <w:szCs w:val="24"/>
          <w:lang w:val="fr-FR"/>
        </w:rPr>
        <w:t xml:space="preserve"> showed more pronounced antioxidant activity, as evidenced by their median efficient concentrations and antiradical potential.</w:t>
      </w:r>
    </w:p>
    <w:p w14:paraId="05FE66DB" w14:textId="77777777" w:rsidR="00081AB7" w:rsidRPr="00365EEF" w:rsidRDefault="00D877B4" w:rsidP="006F62DE">
      <w:pPr>
        <w:pStyle w:val="MDPI31text"/>
        <w:spacing w:line="360" w:lineRule="auto"/>
        <w:ind w:left="0" w:firstLine="0"/>
        <w:rPr>
          <w:rFonts w:asciiTheme="minorHAnsi" w:hAnsiTheme="minorHAnsi" w:cstheme="minorHAnsi"/>
          <w:b/>
          <w:color w:val="auto"/>
          <w:sz w:val="24"/>
          <w:szCs w:val="24"/>
          <w:lang w:val="fr-FR"/>
        </w:rPr>
      </w:pPr>
      <w:r w:rsidRPr="00365EEF">
        <w:rPr>
          <w:rFonts w:asciiTheme="minorHAnsi" w:hAnsiTheme="minorHAnsi" w:cstheme="minorHAnsi"/>
          <w:b/>
          <w:color w:val="auto"/>
          <w:sz w:val="24"/>
          <w:szCs w:val="24"/>
          <w:lang w:val="fr-FR"/>
        </w:rPr>
        <w:t>3</w:t>
      </w:r>
      <w:r w:rsidR="00081AB7" w:rsidRPr="00365EEF">
        <w:rPr>
          <w:rFonts w:asciiTheme="minorHAnsi" w:hAnsiTheme="minorHAnsi" w:cstheme="minorHAnsi"/>
          <w:b/>
          <w:color w:val="auto"/>
          <w:sz w:val="24"/>
          <w:szCs w:val="24"/>
          <w:lang w:val="fr-FR"/>
        </w:rPr>
        <w:t>.2. Discussion</w:t>
      </w:r>
    </w:p>
    <w:p w14:paraId="0BBC8A32" w14:textId="77777777" w:rsidR="00081AB7" w:rsidRPr="00365EEF" w:rsidRDefault="00081AB7"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Fungal pathogens have become a major threat to human health, infecting billions of people with approximat</w:t>
      </w:r>
      <w:r w:rsidR="00265253" w:rsidRPr="00365EEF">
        <w:rPr>
          <w:rFonts w:asciiTheme="minorHAnsi" w:hAnsiTheme="minorHAnsi" w:cstheme="minorHAnsi"/>
          <w:color w:val="auto"/>
          <w:sz w:val="24"/>
          <w:szCs w:val="24"/>
          <w:lang w:val="fr-FR"/>
        </w:rPr>
        <w:t>ely 1.5 million deaths annually</w:t>
      </w:r>
      <w:r w:rsidR="004252C2" w:rsidRPr="00365EEF">
        <w:rPr>
          <w:rFonts w:asciiTheme="minorHAnsi" w:hAnsiTheme="minorHAnsi" w:cstheme="minorHAnsi"/>
          <w:color w:val="auto"/>
          <w:sz w:val="24"/>
          <w:szCs w:val="24"/>
          <w:lang w:val="fr-FR"/>
        </w:rPr>
        <w:t xml:space="preserve"> [46, 47]</w:t>
      </w:r>
      <w:r w:rsidRPr="00365EEF">
        <w:rPr>
          <w:rFonts w:asciiTheme="minorHAnsi" w:hAnsiTheme="minorHAnsi" w:cstheme="minorHAnsi"/>
          <w:color w:val="auto"/>
          <w:sz w:val="24"/>
          <w:szCs w:val="24"/>
          <w:lang w:val="fr-FR"/>
        </w:rPr>
        <w:t>.</w:t>
      </w:r>
    </w:p>
    <w:p w14:paraId="5B0E6133" w14:textId="77777777" w:rsidR="00081AB7" w:rsidRPr="00365EEF" w:rsidRDefault="00081AB7"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There are several classes of azole antifungal drugs, including (i) imidazoles, such as clotrimazole, econazole, and miconazole, which are commonly used to treat skin and nail infections, (ii) triazoles, such as fluconazole, itraconazole, and voriconazole, which are used to treat systemic fungal infections and (iii) allylamines, such as terbinafine, which is used to treat dermatophyte infections </w:t>
      </w:r>
      <w:r w:rsidR="004252C2" w:rsidRPr="00365EEF">
        <w:rPr>
          <w:rFonts w:asciiTheme="minorHAnsi" w:hAnsiTheme="minorHAnsi" w:cstheme="minorHAnsi"/>
          <w:color w:val="auto"/>
          <w:sz w:val="24"/>
          <w:szCs w:val="24"/>
          <w:lang w:val="fr-FR"/>
        </w:rPr>
        <w:t>[47, 48]</w:t>
      </w:r>
      <w:r w:rsidRPr="00365EEF">
        <w:rPr>
          <w:rFonts w:asciiTheme="minorHAnsi" w:hAnsiTheme="minorHAnsi" w:cstheme="minorHAnsi"/>
          <w:color w:val="auto"/>
          <w:sz w:val="24"/>
          <w:szCs w:val="24"/>
          <w:lang w:val="fr-FR"/>
        </w:rPr>
        <w:t>. However, most of these drugs have become resistant to the majority of fungal pathogens, thus reducing their effectiveness against re-emerging fungal strains. In addition to drug resistance, a number of undesirable side effects have been documented on these antifungals. Medicinal plants, which have been traditionally used for the treatment of superficial skin infections, can afford a number of botanic</w:t>
      </w:r>
      <w:r w:rsidR="00265253" w:rsidRPr="00365EEF">
        <w:rPr>
          <w:rFonts w:asciiTheme="minorHAnsi" w:hAnsiTheme="minorHAnsi" w:cstheme="minorHAnsi"/>
          <w:color w:val="auto"/>
          <w:sz w:val="24"/>
          <w:szCs w:val="24"/>
          <w:lang w:val="fr-FR"/>
        </w:rPr>
        <w:t>als with antifungal properties</w:t>
      </w:r>
      <w:r w:rsidR="004252C2" w:rsidRPr="00365EEF">
        <w:rPr>
          <w:rFonts w:asciiTheme="minorHAnsi" w:hAnsiTheme="minorHAnsi" w:cstheme="minorHAnsi"/>
          <w:color w:val="auto"/>
          <w:sz w:val="24"/>
          <w:szCs w:val="24"/>
          <w:lang w:val="fr-FR"/>
        </w:rPr>
        <w:t xml:space="preserve"> [49, 50]</w:t>
      </w:r>
      <w:r w:rsidRPr="00365EEF">
        <w:rPr>
          <w:rFonts w:asciiTheme="minorHAnsi" w:hAnsiTheme="minorHAnsi" w:cstheme="minorHAnsi"/>
          <w:color w:val="auto"/>
          <w:sz w:val="24"/>
          <w:szCs w:val="24"/>
          <w:lang w:val="fr-FR"/>
        </w:rPr>
        <w:t xml:space="preserve">. Such plants include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which are well known for their antimicrobial properties </w:t>
      </w:r>
      <w:r w:rsidR="004252C2" w:rsidRPr="00365EEF">
        <w:rPr>
          <w:rFonts w:asciiTheme="minorHAnsi" w:hAnsiTheme="minorHAnsi" w:cstheme="minorHAnsi"/>
          <w:color w:val="auto"/>
          <w:sz w:val="24"/>
          <w:szCs w:val="24"/>
          <w:lang w:val="fr-FR"/>
        </w:rPr>
        <w:t>[51]</w:t>
      </w:r>
      <w:r w:rsidRPr="00365EEF">
        <w:rPr>
          <w:rFonts w:asciiTheme="minorHAnsi" w:hAnsiTheme="minorHAnsi" w:cstheme="minorHAnsi"/>
          <w:color w:val="auto"/>
          <w:sz w:val="24"/>
          <w:szCs w:val="24"/>
          <w:lang w:val="fr-FR"/>
        </w:rPr>
        <w:t>.</w:t>
      </w:r>
      <w:r w:rsidRPr="00365EEF">
        <w:rPr>
          <w:rFonts w:asciiTheme="minorHAnsi" w:hAnsiTheme="minorHAnsi" w:cstheme="minorHAnsi"/>
          <w:i/>
          <w:color w:val="auto"/>
          <w:sz w:val="24"/>
          <w:szCs w:val="24"/>
          <w:lang w:val="fr-FR"/>
        </w:rPr>
        <w:t xml:space="preserve"> Ocimum gratissimum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 xml:space="preserve">Ocimum basilicum </w:t>
      </w:r>
      <w:r w:rsidRPr="00365EEF">
        <w:rPr>
          <w:rFonts w:asciiTheme="minorHAnsi" w:hAnsiTheme="minorHAnsi" w:cstheme="minorHAnsi"/>
          <w:color w:val="auto"/>
          <w:sz w:val="24"/>
          <w:szCs w:val="24"/>
          <w:lang w:val="fr-FR"/>
        </w:rPr>
        <w:t>are two medicinal plants that have been extensively used</w:t>
      </w:r>
      <w:r w:rsidRPr="00365EEF">
        <w:rPr>
          <w:rFonts w:asciiTheme="minorHAnsi" w:hAnsiTheme="minorHAnsi" w:cstheme="minorHAnsi"/>
          <w:i/>
          <w:color w:val="auto"/>
          <w:sz w:val="24"/>
          <w:szCs w:val="24"/>
          <w:lang w:val="fr-FR"/>
        </w:rPr>
        <w:t xml:space="preserve"> </w:t>
      </w:r>
      <w:r w:rsidR="00265253" w:rsidRPr="00365EEF">
        <w:rPr>
          <w:rFonts w:asciiTheme="minorHAnsi" w:hAnsiTheme="minorHAnsi" w:cstheme="minorHAnsi"/>
          <w:color w:val="auto"/>
          <w:sz w:val="24"/>
          <w:szCs w:val="24"/>
          <w:lang w:val="fr-FR"/>
        </w:rPr>
        <w:t xml:space="preserve">to treat skin infections </w:t>
      </w:r>
      <w:r w:rsidR="004252C2" w:rsidRPr="00365EEF">
        <w:rPr>
          <w:rFonts w:asciiTheme="minorHAnsi" w:hAnsiTheme="minorHAnsi" w:cstheme="minorHAnsi"/>
          <w:color w:val="auto"/>
          <w:sz w:val="24"/>
          <w:szCs w:val="24"/>
          <w:lang w:val="fr-FR"/>
        </w:rPr>
        <w:t>[52]</w:t>
      </w:r>
      <w:r w:rsidRPr="00365EEF">
        <w:rPr>
          <w:rFonts w:asciiTheme="minorHAnsi" w:hAnsiTheme="minorHAnsi" w:cstheme="minorHAnsi"/>
          <w:color w:val="auto"/>
          <w:sz w:val="24"/>
          <w:szCs w:val="24"/>
          <w:lang w:val="fr-FR"/>
        </w:rPr>
        <w:t xml:space="preserve">. Thus, the scientific validation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 xml:space="preserve">Ocimum basilicum </w:t>
      </w:r>
      <w:r w:rsidRPr="00365EEF">
        <w:rPr>
          <w:rFonts w:asciiTheme="minorHAnsi" w:hAnsiTheme="minorHAnsi" w:cstheme="minorHAnsi"/>
          <w:color w:val="auto"/>
          <w:sz w:val="24"/>
          <w:szCs w:val="24"/>
          <w:lang w:val="fr-FR"/>
        </w:rPr>
        <w:t xml:space="preserve">in the treatment of certain dermatophytes, is valuable. The present study evaluated the antidermatophytic effects of essential oils from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and their formulations against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 xml:space="preserve">Trichophyton interdigitale. </w:t>
      </w:r>
      <w:r w:rsidRPr="00365EEF">
        <w:rPr>
          <w:rFonts w:asciiTheme="minorHAnsi" w:hAnsiTheme="minorHAnsi" w:cstheme="minorHAnsi"/>
          <w:color w:val="auto"/>
          <w:sz w:val="24"/>
          <w:szCs w:val="24"/>
          <w:lang w:val="fr-FR"/>
        </w:rPr>
        <w:t xml:space="preserve">Essential oils from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(yield of extraction : 1.12%) and</w:t>
      </w:r>
      <w:r w:rsidRPr="00365EEF">
        <w:rPr>
          <w:rFonts w:asciiTheme="minorHAnsi" w:hAnsiTheme="minorHAnsi" w:cstheme="minorHAnsi"/>
          <w:i/>
          <w:color w:val="auto"/>
          <w:sz w:val="24"/>
          <w:szCs w:val="24"/>
          <w:lang w:val="fr-FR"/>
        </w:rPr>
        <w:t xml:space="preserve"> Ocimum gratissimum</w:t>
      </w:r>
      <w:r w:rsidRPr="00365EEF">
        <w:rPr>
          <w:rFonts w:asciiTheme="minorHAnsi" w:hAnsiTheme="minorHAnsi" w:cstheme="minorHAnsi"/>
          <w:color w:val="auto"/>
          <w:sz w:val="24"/>
          <w:szCs w:val="24"/>
          <w:lang w:val="fr-FR"/>
        </w:rPr>
        <w:t xml:space="preserve"> (yield of extraction : 0.62 %) were obtained as light yellowish and dark yellow colour, respectively. Accumulated evidence has shown that essential oils from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and</w:t>
      </w:r>
      <w:r w:rsidRPr="00365EEF">
        <w:rPr>
          <w:rFonts w:asciiTheme="minorHAnsi" w:hAnsiTheme="minorHAnsi" w:cstheme="minorHAnsi"/>
          <w:i/>
          <w:color w:val="auto"/>
          <w:sz w:val="24"/>
          <w:szCs w:val="24"/>
          <w:lang w:val="fr-FR"/>
        </w:rPr>
        <w:t xml:space="preserve"> Ocimum gratissimum</w:t>
      </w:r>
      <w:r w:rsidRPr="00365EEF">
        <w:rPr>
          <w:rFonts w:asciiTheme="minorHAnsi" w:hAnsiTheme="minorHAnsi" w:cstheme="minorHAnsi"/>
          <w:color w:val="auto"/>
          <w:sz w:val="24"/>
          <w:szCs w:val="24"/>
          <w:lang w:val="fr-FR"/>
        </w:rPr>
        <w:t xml:space="preserve"> collected in Benin and Nigeria, exhibited yields of extractions ranging from </w:t>
      </w:r>
      <w:r w:rsidRPr="00365EEF">
        <w:rPr>
          <w:rFonts w:asciiTheme="minorHAnsi" w:hAnsiTheme="minorHAnsi" w:cstheme="minorHAnsi"/>
          <w:color w:val="auto"/>
          <w:sz w:val="24"/>
          <w:szCs w:val="24"/>
          <w:lang w:val="fr-FR"/>
        </w:rPr>
        <w:lastRenderedPageBreak/>
        <w:t>0.</w:t>
      </w:r>
      <w:r w:rsidR="00265253" w:rsidRPr="00365EEF">
        <w:rPr>
          <w:rFonts w:asciiTheme="minorHAnsi" w:hAnsiTheme="minorHAnsi" w:cstheme="minorHAnsi"/>
          <w:color w:val="auto"/>
          <w:sz w:val="24"/>
          <w:szCs w:val="24"/>
          <w:lang w:val="fr-FR"/>
        </w:rPr>
        <w:t xml:space="preserve">63%-1.25%, and from 1.07%-1.25% </w:t>
      </w:r>
      <w:r w:rsidR="004252C2" w:rsidRPr="00365EEF">
        <w:rPr>
          <w:rFonts w:asciiTheme="minorHAnsi" w:hAnsiTheme="minorHAnsi" w:cstheme="minorHAnsi"/>
          <w:color w:val="auto"/>
          <w:sz w:val="24"/>
          <w:szCs w:val="24"/>
          <w:lang w:val="fr-FR"/>
        </w:rPr>
        <w:t>[10, 53, 54]</w:t>
      </w:r>
      <w:r w:rsidRPr="00365EEF">
        <w:rPr>
          <w:rFonts w:asciiTheme="minorHAnsi" w:hAnsiTheme="minorHAnsi" w:cstheme="minorHAnsi"/>
          <w:color w:val="auto"/>
          <w:sz w:val="24"/>
          <w:szCs w:val="24"/>
          <w:lang w:val="fr-FR"/>
        </w:rPr>
        <w:t>. The slight difference in the values of yields of extraction might be attributed to the difference in the plant harvesting period ; plants’ collection in dry season might afford higher yields of essential’s oil extraction than that from pla</w:t>
      </w:r>
      <w:r w:rsidR="00265253" w:rsidRPr="00365EEF">
        <w:rPr>
          <w:rFonts w:asciiTheme="minorHAnsi" w:hAnsiTheme="minorHAnsi" w:cstheme="minorHAnsi"/>
          <w:color w:val="auto"/>
          <w:sz w:val="24"/>
          <w:szCs w:val="24"/>
          <w:lang w:val="fr-FR"/>
        </w:rPr>
        <w:t xml:space="preserve">nts collected during wet season </w:t>
      </w:r>
      <w:r w:rsidR="004252C2" w:rsidRPr="00365EEF">
        <w:rPr>
          <w:rFonts w:asciiTheme="minorHAnsi" w:hAnsiTheme="minorHAnsi" w:cstheme="minorHAnsi"/>
          <w:color w:val="auto"/>
          <w:sz w:val="24"/>
          <w:szCs w:val="24"/>
          <w:lang w:val="fr-FR"/>
        </w:rPr>
        <w:t>[55]</w:t>
      </w:r>
      <w:r w:rsidRPr="00365EEF">
        <w:rPr>
          <w:rFonts w:asciiTheme="minorHAnsi" w:hAnsiTheme="minorHAnsi" w:cstheme="minorHAnsi"/>
          <w:color w:val="auto"/>
          <w:sz w:val="24"/>
          <w:szCs w:val="24"/>
          <w:lang w:val="fr-FR"/>
        </w:rPr>
        <w:t xml:space="preserve">.  The GC-MS analysis of the essential oils from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and</w:t>
      </w:r>
      <w:r w:rsidRPr="00365EEF">
        <w:rPr>
          <w:rFonts w:asciiTheme="minorHAnsi" w:hAnsiTheme="minorHAnsi" w:cstheme="minorHAnsi"/>
          <w:i/>
          <w:color w:val="auto"/>
          <w:sz w:val="24"/>
          <w:szCs w:val="24"/>
          <w:lang w:val="fr-FR"/>
        </w:rPr>
        <w:t xml:space="preserve"> O. gratissimum</w:t>
      </w:r>
      <w:r w:rsidRPr="00365EEF">
        <w:rPr>
          <w:rFonts w:asciiTheme="minorHAnsi" w:hAnsiTheme="minorHAnsi" w:cstheme="minorHAnsi"/>
          <w:color w:val="auto"/>
          <w:sz w:val="24"/>
          <w:szCs w:val="24"/>
          <w:lang w:val="fr-FR"/>
        </w:rPr>
        <w:t xml:space="preserve"> revealed that these oils were mainly dominated by volatile compounds, such as monoterpenes and sesquiterpenes. In fact, the essential oil from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 xml:space="preserve"> was dominated by γ-terpinene (33.73%), thymol (26.44%), 1,8-cineole (16.65%) and thujene (6.05%), whereas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essential oil comprised mostly eugenol (16.78%) and linalool (55.32%). Although Fokou et al. [34] (linalool (55.32%), eucalyptol (16.78%) and eugenol (7.45%)) reported almost similar composition of the essential oil from</w:t>
      </w:r>
      <w:r w:rsidRPr="00365EEF">
        <w:rPr>
          <w:rFonts w:asciiTheme="minorHAnsi" w:hAnsiTheme="minorHAnsi" w:cstheme="minorHAnsi"/>
          <w:i/>
          <w:color w:val="auto"/>
          <w:sz w:val="24"/>
          <w:szCs w:val="24"/>
          <w:lang w:val="fr-FR"/>
        </w:rPr>
        <w:t xml:space="preserve"> O. basilicum</w:t>
      </w:r>
      <w:r w:rsidRPr="00365EEF">
        <w:rPr>
          <w:rFonts w:asciiTheme="minorHAnsi" w:hAnsiTheme="minorHAnsi" w:cstheme="minorHAnsi"/>
          <w:color w:val="auto"/>
          <w:sz w:val="24"/>
          <w:szCs w:val="24"/>
          <w:lang w:val="fr-FR"/>
        </w:rPr>
        <w:t xml:space="preserve">, another study by Kpodekon et al. [10] (estragole (31.3%), linalool (24.0%) and eugenol (21.7%)) revealed different composition for the essential oil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collected in a different country. This observation suggests that the phytochemical composition of a plant’s essential oil varies based on the place of plant’s collection. </w:t>
      </w:r>
      <w:r w:rsidRPr="00365EEF">
        <w:rPr>
          <w:rFonts w:asciiTheme="minorHAnsi" w:hAnsiTheme="minorHAnsi" w:cstheme="minorHAnsi"/>
          <w:i/>
          <w:color w:val="auto"/>
          <w:sz w:val="24"/>
          <w:szCs w:val="24"/>
          <w:lang w:val="fr-FR"/>
        </w:rPr>
        <w:t>O.</w:t>
      </w:r>
      <w:r w:rsidRPr="00365EEF">
        <w:rPr>
          <w:rFonts w:asciiTheme="minorHAnsi" w:hAnsiTheme="minorHAnsi" w:cstheme="minorHAnsi"/>
          <w:color w:val="auto"/>
          <w:sz w:val="24"/>
          <w:szCs w:val="24"/>
          <w:lang w:val="fr-FR"/>
        </w:rPr>
        <w:t xml:space="preserve"> </w:t>
      </w:r>
      <w:r w:rsidRPr="00365EEF">
        <w:rPr>
          <w:rFonts w:asciiTheme="minorHAnsi" w:hAnsiTheme="minorHAnsi" w:cstheme="minorHAnsi"/>
          <w:i/>
          <w:color w:val="auto"/>
          <w:sz w:val="24"/>
          <w:szCs w:val="24"/>
          <w:lang w:val="fr-FR"/>
        </w:rPr>
        <w:t>gratissimum’s</w:t>
      </w:r>
      <w:r w:rsidRPr="00365EEF">
        <w:rPr>
          <w:rFonts w:asciiTheme="minorHAnsi" w:hAnsiTheme="minorHAnsi" w:cstheme="minorHAnsi"/>
          <w:color w:val="auto"/>
          <w:sz w:val="24"/>
          <w:szCs w:val="24"/>
          <w:lang w:val="fr-FR"/>
        </w:rPr>
        <w:t xml:space="preserve"> essential oil, which was is</w:t>
      </w:r>
      <w:r w:rsidR="00265253" w:rsidRPr="00365EEF">
        <w:rPr>
          <w:rFonts w:asciiTheme="minorHAnsi" w:hAnsiTheme="minorHAnsi" w:cstheme="minorHAnsi"/>
          <w:color w:val="auto"/>
          <w:sz w:val="24"/>
          <w:szCs w:val="24"/>
          <w:lang w:val="fr-FR"/>
        </w:rPr>
        <w:t xml:space="preserve">olated by Tchoumbougnang et al. </w:t>
      </w:r>
      <w:r w:rsidR="004252C2" w:rsidRPr="00365EEF">
        <w:rPr>
          <w:rFonts w:asciiTheme="minorHAnsi" w:hAnsiTheme="minorHAnsi" w:cstheme="minorHAnsi"/>
          <w:color w:val="auto"/>
          <w:sz w:val="24"/>
          <w:szCs w:val="24"/>
          <w:lang w:val="fr-FR"/>
        </w:rPr>
        <w:t xml:space="preserve">[56] </w:t>
      </w:r>
      <w:r w:rsidRPr="00365EEF">
        <w:rPr>
          <w:rFonts w:asciiTheme="minorHAnsi" w:hAnsiTheme="minorHAnsi" w:cstheme="minorHAnsi"/>
          <w:color w:val="auto"/>
          <w:sz w:val="24"/>
          <w:szCs w:val="24"/>
          <w:lang w:val="fr-FR"/>
        </w:rPr>
        <w:t xml:space="preserve">from a plant collected in Douala (Cameroon), was dominated by monoterpenes, such as β-cymene (32.1%) and thymol (24.3%). The essentail oils prepared from two varieties of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 xml:space="preserve">, which were collected from Gabon by Agnaniet et al. </w:t>
      </w:r>
      <w:r w:rsidR="004252C2" w:rsidRPr="00365EEF">
        <w:rPr>
          <w:rFonts w:asciiTheme="minorHAnsi" w:hAnsiTheme="minorHAnsi" w:cstheme="minorHAnsi"/>
          <w:color w:val="auto"/>
          <w:sz w:val="24"/>
          <w:szCs w:val="24"/>
          <w:lang w:val="fr-FR"/>
        </w:rPr>
        <w:t xml:space="preserve">[57] </w:t>
      </w:r>
      <w:r w:rsidRPr="00365EEF">
        <w:rPr>
          <w:rFonts w:asciiTheme="minorHAnsi" w:hAnsiTheme="minorHAnsi" w:cstheme="minorHAnsi"/>
          <w:color w:val="auto"/>
          <w:sz w:val="24"/>
          <w:szCs w:val="24"/>
          <w:lang w:val="fr-FR"/>
        </w:rPr>
        <w:t>revealed 33.3% p-cymene and 31.5% thymol as thee main constituants for the first variety and 75.4% eugenol as the major compound of the second plant species. On the other hand, Kpodekon et al. [10] identified thymol (43.41%), as the main compound of</w:t>
      </w:r>
      <w:r w:rsidRPr="00365EEF">
        <w:rPr>
          <w:rFonts w:asciiTheme="minorHAnsi" w:hAnsiTheme="minorHAnsi" w:cstheme="minorHAnsi"/>
          <w:i/>
          <w:color w:val="auto"/>
          <w:sz w:val="24"/>
          <w:szCs w:val="24"/>
          <w:lang w:val="fr-FR"/>
        </w:rPr>
        <w:t xml:space="preserve"> O. gratissimum</w:t>
      </w:r>
      <w:r w:rsidRPr="00365EEF">
        <w:rPr>
          <w:rFonts w:asciiTheme="minorHAnsi" w:hAnsiTheme="minorHAnsi" w:cstheme="minorHAnsi"/>
          <w:color w:val="auto"/>
          <w:sz w:val="24"/>
          <w:szCs w:val="24"/>
          <w:lang w:val="fr-FR"/>
        </w:rPr>
        <w:t xml:space="preserve"> along with p-cymene (12.3%) and γ-terpinene (12.1%). The chemical variability of essential oils from each plant could be linked to the ecology and composition of the </w:t>
      </w:r>
      <w:r w:rsidR="00265253" w:rsidRPr="00365EEF">
        <w:rPr>
          <w:rFonts w:asciiTheme="minorHAnsi" w:hAnsiTheme="minorHAnsi" w:cstheme="minorHAnsi"/>
          <w:color w:val="auto"/>
          <w:sz w:val="24"/>
          <w:szCs w:val="24"/>
          <w:lang w:val="fr-FR"/>
        </w:rPr>
        <w:t xml:space="preserve">soil on which the plant grew up </w:t>
      </w:r>
      <w:r w:rsidR="004252C2" w:rsidRPr="00365EEF">
        <w:rPr>
          <w:rFonts w:asciiTheme="minorHAnsi" w:hAnsiTheme="minorHAnsi" w:cstheme="minorHAnsi"/>
          <w:color w:val="auto"/>
          <w:sz w:val="24"/>
          <w:szCs w:val="24"/>
          <w:lang w:val="fr-FR"/>
        </w:rPr>
        <w:t>[58]</w:t>
      </w:r>
      <w:r w:rsidRPr="00365EEF">
        <w:rPr>
          <w:rFonts w:asciiTheme="minorHAnsi" w:hAnsiTheme="minorHAnsi" w:cstheme="minorHAnsi"/>
          <w:color w:val="auto"/>
          <w:sz w:val="24"/>
          <w:szCs w:val="24"/>
          <w:lang w:val="fr-FR"/>
        </w:rPr>
        <w:t xml:space="preserve">. Since emulsion technology has emerged as the most promising delivery channel for lipophilic components such as nutraceuticals, flavors, antioxidants and antimicrobial agents, emulsions from essential oils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and</w:t>
      </w:r>
      <w:r w:rsidRPr="00365EEF">
        <w:rPr>
          <w:rFonts w:asciiTheme="minorHAnsi" w:hAnsiTheme="minorHAnsi" w:cstheme="minorHAnsi"/>
          <w:i/>
          <w:color w:val="auto"/>
          <w:sz w:val="24"/>
          <w:szCs w:val="24"/>
          <w:lang w:val="fr-FR"/>
        </w:rPr>
        <w:t xml:space="preserve"> O. gratissimum </w:t>
      </w:r>
      <w:r w:rsidRPr="00365EEF">
        <w:rPr>
          <w:rFonts w:asciiTheme="minorHAnsi" w:hAnsiTheme="minorHAnsi" w:cstheme="minorHAnsi"/>
          <w:color w:val="auto"/>
          <w:sz w:val="24"/>
          <w:szCs w:val="24"/>
          <w:lang w:val="fr-FR"/>
        </w:rPr>
        <w:t xml:space="preserve">were prepared and evaluated for antifungal activity against selected fungi. The essential oil from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 xml:space="preserve"> and its formulation demonstrated antifungal activity against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Trichophyton interdigitale</w:t>
      </w:r>
      <w:r w:rsidRPr="00365EEF">
        <w:rPr>
          <w:rFonts w:asciiTheme="minorHAnsi" w:hAnsiTheme="minorHAnsi" w:cstheme="minorHAnsi"/>
          <w:color w:val="auto"/>
          <w:sz w:val="24"/>
          <w:szCs w:val="24"/>
          <w:lang w:val="fr-FR"/>
        </w:rPr>
        <w:t xml:space="preserve"> with minimum inhibitory (MICs) and minimum fungicidal (MFCs) concentrations varying from 1000 to 2000 ppm. Moreover, only </w:t>
      </w:r>
      <w:r w:rsidRPr="00365EEF">
        <w:rPr>
          <w:rFonts w:asciiTheme="minorHAnsi" w:hAnsiTheme="minorHAnsi" w:cstheme="minorHAnsi"/>
          <w:i/>
          <w:color w:val="auto"/>
          <w:sz w:val="24"/>
          <w:szCs w:val="24"/>
          <w:lang w:val="fr-FR"/>
        </w:rPr>
        <w:t xml:space="preserve">Trichophyton rubrum </w:t>
      </w:r>
      <w:r w:rsidRPr="00365EEF">
        <w:rPr>
          <w:rFonts w:asciiTheme="minorHAnsi" w:hAnsiTheme="minorHAnsi" w:cstheme="minorHAnsi"/>
          <w:color w:val="auto"/>
          <w:sz w:val="24"/>
          <w:szCs w:val="24"/>
          <w:lang w:val="fr-FR"/>
        </w:rPr>
        <w:t xml:space="preserve">was inhibited by the essential oil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and its formulation, thus yielding common MIC and MFC values of 5750 and 6750 ppm, respectively. According to the MIC/MFC ratio values, which are found to be less than 2, it can </w:t>
      </w:r>
      <w:r w:rsidRPr="00365EEF">
        <w:rPr>
          <w:rFonts w:asciiTheme="minorHAnsi" w:hAnsiTheme="minorHAnsi" w:cstheme="minorHAnsi"/>
          <w:color w:val="auto"/>
          <w:sz w:val="24"/>
          <w:szCs w:val="24"/>
          <w:lang w:val="fr-FR"/>
        </w:rPr>
        <w:lastRenderedPageBreak/>
        <w:t xml:space="preserve">be speculated that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essential oils and their formulation have a fungicidal orientation. Noteworthy, </w:t>
      </w:r>
      <w:r w:rsidRPr="00365EEF">
        <w:rPr>
          <w:rFonts w:asciiTheme="minorHAnsi" w:hAnsiTheme="minorHAnsi" w:cstheme="minorHAnsi"/>
          <w:i/>
          <w:color w:val="auto"/>
          <w:sz w:val="24"/>
          <w:szCs w:val="24"/>
          <w:lang w:val="fr-FR"/>
        </w:rPr>
        <w:t xml:space="preserve">O. basilicum </w:t>
      </w:r>
      <w:r w:rsidRPr="00365EEF">
        <w:rPr>
          <w:rFonts w:asciiTheme="minorHAnsi" w:hAnsiTheme="minorHAnsi" w:cstheme="minorHAnsi"/>
          <w:color w:val="auto"/>
          <w:sz w:val="24"/>
          <w:szCs w:val="24"/>
          <w:lang w:val="fr-FR"/>
        </w:rPr>
        <w:t xml:space="preserve">was found to be less active than </w:t>
      </w:r>
      <w:r w:rsidRPr="00365EEF">
        <w:rPr>
          <w:rFonts w:asciiTheme="minorHAnsi" w:hAnsiTheme="minorHAnsi" w:cstheme="minorHAnsi"/>
          <w:i/>
          <w:color w:val="auto"/>
          <w:sz w:val="24"/>
          <w:szCs w:val="24"/>
          <w:lang w:val="fr-FR"/>
        </w:rPr>
        <w:t xml:space="preserve">O. gratissimum </w:t>
      </w:r>
      <w:r w:rsidRPr="00365EEF">
        <w:rPr>
          <w:rFonts w:asciiTheme="minorHAnsi" w:hAnsiTheme="minorHAnsi" w:cstheme="minorHAnsi"/>
          <w:color w:val="auto"/>
          <w:sz w:val="24"/>
          <w:szCs w:val="24"/>
          <w:lang w:val="fr-FR"/>
        </w:rPr>
        <w:t xml:space="preserve">; however, both the </w:t>
      </w:r>
      <w:r w:rsidRPr="00365EEF">
        <w:rPr>
          <w:rFonts w:asciiTheme="minorHAnsi" w:hAnsiTheme="minorHAnsi" w:cstheme="minorHAnsi"/>
          <w:i/>
          <w:color w:val="auto"/>
          <w:sz w:val="24"/>
          <w:szCs w:val="24"/>
          <w:lang w:val="fr-FR"/>
        </w:rPr>
        <w:t xml:space="preserve">Trichophyton </w:t>
      </w:r>
      <w:r w:rsidRPr="00365EEF">
        <w:rPr>
          <w:rFonts w:asciiTheme="minorHAnsi" w:hAnsiTheme="minorHAnsi" w:cstheme="minorHAnsi"/>
          <w:color w:val="auto"/>
          <w:sz w:val="24"/>
          <w:szCs w:val="24"/>
          <w:lang w:val="fr-FR"/>
        </w:rPr>
        <w:t>strains were found to be resistant to</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griseofulvin (MICs and MFCs ˃5000 ppm), the reference antifungal drug used. Growing evidence has shown the ant</w:t>
      </w:r>
      <w:r w:rsidR="00265253" w:rsidRPr="00365EEF">
        <w:rPr>
          <w:rFonts w:asciiTheme="minorHAnsi" w:hAnsiTheme="minorHAnsi" w:cstheme="minorHAnsi"/>
          <w:color w:val="auto"/>
          <w:sz w:val="24"/>
          <w:szCs w:val="24"/>
          <w:lang w:val="fr-FR"/>
        </w:rPr>
        <w:t xml:space="preserve">ifungal activity of 1,8-cineole </w:t>
      </w:r>
      <w:r w:rsidR="00394A6A" w:rsidRPr="00365EEF">
        <w:rPr>
          <w:rFonts w:asciiTheme="minorHAnsi" w:hAnsiTheme="minorHAnsi" w:cstheme="minorHAnsi"/>
          <w:color w:val="auto"/>
          <w:sz w:val="24"/>
          <w:szCs w:val="24"/>
          <w:lang w:val="fr-FR"/>
        </w:rPr>
        <w:t>[59, 60]</w:t>
      </w:r>
      <w:r w:rsidRPr="00365EEF">
        <w:rPr>
          <w:rFonts w:asciiTheme="minorHAnsi" w:hAnsiTheme="minorHAnsi" w:cstheme="minorHAnsi"/>
          <w:color w:val="auto"/>
          <w:sz w:val="24"/>
          <w:szCs w:val="24"/>
          <w:lang w:val="fr-FR"/>
        </w:rPr>
        <w:t xml:space="preserve">, a compound that was identified among the major constituents of the essential oil of </w:t>
      </w:r>
      <w:r w:rsidRPr="00365EEF">
        <w:rPr>
          <w:rFonts w:asciiTheme="minorHAnsi" w:hAnsiTheme="minorHAnsi" w:cstheme="minorHAnsi"/>
          <w:i/>
          <w:color w:val="auto"/>
          <w:sz w:val="24"/>
          <w:szCs w:val="24"/>
          <w:lang w:val="fr-FR"/>
        </w:rPr>
        <w:t xml:space="preserve">O. gratissimum. </w:t>
      </w:r>
      <w:r w:rsidRPr="00365EEF">
        <w:rPr>
          <w:rFonts w:asciiTheme="minorHAnsi" w:hAnsiTheme="minorHAnsi" w:cstheme="minorHAnsi"/>
          <w:color w:val="auto"/>
          <w:sz w:val="24"/>
          <w:szCs w:val="24"/>
          <w:lang w:val="fr-FR"/>
        </w:rPr>
        <w:t xml:space="preserve">Major constituents of </w:t>
      </w:r>
      <w:r w:rsidRPr="00365EEF">
        <w:rPr>
          <w:rFonts w:asciiTheme="minorHAnsi" w:hAnsiTheme="minorHAnsi" w:cstheme="minorHAnsi"/>
          <w:i/>
          <w:color w:val="auto"/>
          <w:sz w:val="24"/>
          <w:szCs w:val="24"/>
          <w:lang w:val="fr-FR"/>
        </w:rPr>
        <w:t xml:space="preserve">O. basilicum, </w:t>
      </w:r>
      <w:r w:rsidRPr="00365EEF">
        <w:rPr>
          <w:rFonts w:asciiTheme="minorHAnsi" w:hAnsiTheme="minorHAnsi" w:cstheme="minorHAnsi"/>
          <w:color w:val="auto"/>
          <w:sz w:val="24"/>
          <w:szCs w:val="24"/>
          <w:lang w:val="fr-FR"/>
        </w:rPr>
        <w:t>such as</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 xml:space="preserve">eugenol (MIC value : 256 μg/ml </w:t>
      </w:r>
      <w:r w:rsidR="00394A6A" w:rsidRPr="00365EEF">
        <w:rPr>
          <w:rFonts w:asciiTheme="minorHAnsi" w:hAnsiTheme="minorHAnsi" w:cstheme="minorHAnsi"/>
          <w:color w:val="auto"/>
          <w:sz w:val="24"/>
          <w:szCs w:val="24"/>
          <w:lang w:val="fr-FR"/>
        </w:rPr>
        <w:t>[61])</w:t>
      </w:r>
      <w:r w:rsidRPr="00365EEF">
        <w:rPr>
          <w:rFonts w:asciiTheme="minorHAnsi" w:hAnsiTheme="minorHAnsi" w:cstheme="minorHAnsi"/>
          <w:color w:val="auto"/>
          <w:sz w:val="24"/>
          <w:szCs w:val="24"/>
          <w:lang w:val="fr-FR"/>
        </w:rPr>
        <w:t xml:space="preserve"> and linalool </w:t>
      </w:r>
      <w:r w:rsidR="00265253" w:rsidRPr="00365EEF">
        <w:rPr>
          <w:rFonts w:asciiTheme="minorHAnsi" w:hAnsiTheme="minorHAnsi" w:cstheme="minorHAnsi"/>
          <w:color w:val="auto"/>
          <w:sz w:val="24"/>
          <w:szCs w:val="24"/>
          <w:lang w:val="fr-FR"/>
        </w:rPr>
        <w:t xml:space="preserve">(MIC value : ≤ 512μg/ml </w:t>
      </w:r>
      <w:r w:rsidR="00394A6A" w:rsidRPr="00365EEF">
        <w:rPr>
          <w:rFonts w:asciiTheme="minorHAnsi" w:hAnsiTheme="minorHAnsi" w:cstheme="minorHAnsi"/>
          <w:color w:val="auto"/>
          <w:sz w:val="24"/>
          <w:szCs w:val="24"/>
          <w:lang w:val="fr-FR"/>
        </w:rPr>
        <w:t>[62]</w:t>
      </w:r>
      <w:r w:rsidRPr="00365EEF">
        <w:rPr>
          <w:rFonts w:asciiTheme="minorHAnsi" w:hAnsiTheme="minorHAnsi" w:cstheme="minorHAnsi"/>
          <w:color w:val="auto"/>
          <w:sz w:val="24"/>
          <w:szCs w:val="24"/>
          <w:lang w:val="fr-FR"/>
        </w:rPr>
        <w:t xml:space="preserve">) were reported to exhibit antifungal activity against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Thus, it is not unreasonable to speculate that 1,8-cineole might be the phytochemical responsible for the antifungal activity of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 xml:space="preserve">, whereas eugenol and linalool could have compounded the antifungal effects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 recent paper published by Aliabasi et al. </w:t>
      </w:r>
      <w:r w:rsidR="00394A6A" w:rsidRPr="00365EEF">
        <w:rPr>
          <w:rFonts w:asciiTheme="minorHAnsi" w:hAnsiTheme="minorHAnsi" w:cstheme="minorHAnsi"/>
          <w:color w:val="auto"/>
          <w:sz w:val="24"/>
          <w:szCs w:val="24"/>
          <w:lang w:val="fr-FR"/>
        </w:rPr>
        <w:t xml:space="preserve">[63] </w:t>
      </w:r>
      <w:r w:rsidRPr="00365EEF">
        <w:rPr>
          <w:rFonts w:asciiTheme="minorHAnsi" w:hAnsiTheme="minorHAnsi" w:cstheme="minorHAnsi"/>
          <w:color w:val="auto"/>
          <w:sz w:val="24"/>
          <w:szCs w:val="24"/>
          <w:lang w:val="fr-FR"/>
        </w:rPr>
        <w:t>revealed that eugenol anti-</w:t>
      </w:r>
      <w:r w:rsidRPr="00365EEF">
        <w:rPr>
          <w:rFonts w:asciiTheme="minorHAnsi" w:hAnsiTheme="minorHAnsi" w:cstheme="minorHAnsi"/>
          <w:i/>
          <w:color w:val="auto"/>
          <w:sz w:val="24"/>
          <w:szCs w:val="24"/>
          <w:lang w:val="fr-FR"/>
        </w:rPr>
        <w:t>Trichophyton</w:t>
      </w:r>
      <w:r w:rsidRPr="00365EEF">
        <w:rPr>
          <w:rFonts w:asciiTheme="minorHAnsi" w:hAnsiTheme="minorHAnsi" w:cstheme="minorHAnsi"/>
          <w:color w:val="auto"/>
          <w:sz w:val="24"/>
          <w:szCs w:val="24"/>
          <w:lang w:val="fr-FR"/>
        </w:rPr>
        <w:t xml:space="preserve"> effects via inhibition of the ergosterol synthesis, or by affecting the keratinase activity, and SUB3 gene expression </w:t>
      </w:r>
      <w:r w:rsidR="00394A6A" w:rsidRPr="00365EEF">
        <w:rPr>
          <w:rFonts w:asciiTheme="minorHAnsi" w:hAnsiTheme="minorHAnsi" w:cstheme="minorHAnsi"/>
          <w:color w:val="auto"/>
          <w:sz w:val="24"/>
          <w:szCs w:val="24"/>
          <w:lang w:val="fr-FR"/>
        </w:rPr>
        <w:t>[63].</w:t>
      </w:r>
      <w:r w:rsidRPr="00365EEF">
        <w:rPr>
          <w:rFonts w:asciiTheme="minorHAnsi" w:hAnsiTheme="minorHAnsi" w:cstheme="minorHAnsi"/>
          <w:color w:val="auto"/>
          <w:sz w:val="24"/>
          <w:szCs w:val="24"/>
          <w:lang w:val="fr-FR"/>
        </w:rPr>
        <w:t xml:space="preserve"> It has also been reported that linalool exert fungicidal effects by partially interacting with 1,3-β-glucan synthase </w:t>
      </w:r>
      <w:r w:rsidR="00394A6A" w:rsidRPr="00365EEF">
        <w:rPr>
          <w:rFonts w:asciiTheme="minorHAnsi" w:hAnsiTheme="minorHAnsi" w:cstheme="minorHAnsi"/>
          <w:color w:val="auto"/>
          <w:sz w:val="24"/>
          <w:szCs w:val="24"/>
          <w:lang w:val="fr-FR"/>
        </w:rPr>
        <w:t>[64].</w:t>
      </w:r>
      <w:r w:rsidRPr="00365EEF">
        <w:rPr>
          <w:rFonts w:asciiTheme="minorHAnsi" w:hAnsiTheme="minorHAnsi" w:cstheme="minorHAnsi"/>
          <w:color w:val="auto"/>
          <w:sz w:val="24"/>
          <w:szCs w:val="24"/>
          <w:lang w:val="fr-FR"/>
        </w:rPr>
        <w:t xml:space="preserve"> On the other hand, 1,8-cineole induce ROS-dependent lethality and ROS-independent virulence </w:t>
      </w:r>
      <w:r w:rsidR="00265253" w:rsidRPr="00365EEF">
        <w:rPr>
          <w:rFonts w:asciiTheme="minorHAnsi" w:hAnsiTheme="minorHAnsi" w:cstheme="minorHAnsi"/>
          <w:color w:val="auto"/>
          <w:sz w:val="24"/>
          <w:szCs w:val="24"/>
          <w:lang w:val="fr-FR"/>
        </w:rPr>
        <w:t xml:space="preserve">inhibition in certain fungi </w:t>
      </w:r>
      <w:r w:rsidR="00394A6A" w:rsidRPr="00365EEF">
        <w:rPr>
          <w:rFonts w:asciiTheme="minorHAnsi" w:hAnsiTheme="minorHAnsi" w:cstheme="minorHAnsi"/>
          <w:color w:val="auto"/>
          <w:sz w:val="24"/>
          <w:szCs w:val="24"/>
          <w:lang w:val="fr-FR"/>
        </w:rPr>
        <w:t>[65].</w:t>
      </w:r>
      <w:r w:rsidRPr="00365EEF">
        <w:rPr>
          <w:rFonts w:asciiTheme="minorHAnsi" w:hAnsiTheme="minorHAnsi" w:cstheme="minorHAnsi"/>
          <w:color w:val="auto"/>
          <w:sz w:val="24"/>
          <w:szCs w:val="24"/>
          <w:lang w:val="fr-FR"/>
        </w:rPr>
        <w:t xml:space="preserve"> Because of their size, emulsions are thought to interact with the cell wall biosynthesis in many fungi and induce several m</w:t>
      </w:r>
      <w:r w:rsidR="00265253" w:rsidRPr="00365EEF">
        <w:rPr>
          <w:rFonts w:asciiTheme="minorHAnsi" w:hAnsiTheme="minorHAnsi" w:cstheme="minorHAnsi"/>
          <w:color w:val="auto"/>
          <w:sz w:val="24"/>
          <w:szCs w:val="24"/>
          <w:lang w:val="fr-FR"/>
        </w:rPr>
        <w:t xml:space="preserve">orphological disruption effects </w:t>
      </w:r>
      <w:r w:rsidR="00394A6A" w:rsidRPr="00365EEF">
        <w:rPr>
          <w:rFonts w:asciiTheme="minorHAnsi" w:hAnsiTheme="minorHAnsi" w:cstheme="minorHAnsi"/>
          <w:color w:val="auto"/>
          <w:sz w:val="24"/>
          <w:szCs w:val="24"/>
          <w:lang w:val="fr-FR"/>
        </w:rPr>
        <w:t>[66].</w:t>
      </w:r>
      <w:r w:rsidRPr="00365EEF">
        <w:rPr>
          <w:rFonts w:asciiTheme="minorHAnsi" w:hAnsiTheme="minorHAnsi" w:cstheme="minorHAnsi"/>
          <w:color w:val="auto"/>
          <w:sz w:val="24"/>
          <w:szCs w:val="24"/>
          <w:lang w:val="fr-FR"/>
        </w:rPr>
        <w:t xml:space="preserve"> </w:t>
      </w:r>
      <w:r w:rsidR="00265253" w:rsidRPr="00365EEF">
        <w:rPr>
          <w:rFonts w:asciiTheme="minorHAnsi" w:hAnsiTheme="minorHAnsi" w:cstheme="minorHAnsi"/>
          <w:color w:val="auto"/>
          <w:sz w:val="24"/>
          <w:szCs w:val="24"/>
          <w:lang w:val="fr-FR"/>
        </w:rPr>
        <w:t xml:space="preserve">Donsi et al. </w:t>
      </w:r>
      <w:r w:rsidR="00394A6A" w:rsidRPr="00365EEF">
        <w:rPr>
          <w:rFonts w:asciiTheme="minorHAnsi" w:hAnsiTheme="minorHAnsi" w:cstheme="minorHAnsi"/>
          <w:color w:val="auto"/>
          <w:sz w:val="24"/>
          <w:szCs w:val="24"/>
          <w:lang w:val="fr-FR"/>
        </w:rPr>
        <w:t xml:space="preserve">[67] </w:t>
      </w:r>
      <w:r w:rsidRPr="00365EEF">
        <w:rPr>
          <w:rFonts w:asciiTheme="minorHAnsi" w:hAnsiTheme="minorHAnsi" w:cstheme="minorHAnsi"/>
          <w:color w:val="auto"/>
          <w:sz w:val="24"/>
          <w:szCs w:val="24"/>
          <w:lang w:val="fr-FR"/>
        </w:rPr>
        <w:t>also demonstrated that particles with size below 200 nm activates passive transport mechanisms to easily cross the cell membrane of microorganisms.</w:t>
      </w:r>
    </w:p>
    <w:p w14:paraId="51B3D4D7" w14:textId="77777777" w:rsidR="00081AB7" w:rsidRPr="00365EEF" w:rsidRDefault="00081AB7"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Furthermore the antioxidant effects of essential oils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and</w:t>
      </w:r>
      <w:r w:rsidRPr="00365EEF">
        <w:rPr>
          <w:rFonts w:asciiTheme="minorHAnsi" w:hAnsiTheme="minorHAnsi" w:cstheme="minorHAnsi"/>
          <w:i/>
          <w:color w:val="auto"/>
          <w:sz w:val="24"/>
          <w:szCs w:val="24"/>
          <w:lang w:val="fr-FR"/>
        </w:rPr>
        <w:t xml:space="preserve"> O. gratissimum </w:t>
      </w:r>
      <w:r w:rsidRPr="00365EEF">
        <w:rPr>
          <w:rFonts w:asciiTheme="minorHAnsi" w:hAnsiTheme="minorHAnsi" w:cstheme="minorHAnsi"/>
          <w:color w:val="auto"/>
          <w:sz w:val="24"/>
          <w:szCs w:val="24"/>
          <w:lang w:val="fr-FR"/>
        </w:rPr>
        <w:t xml:space="preserve">and their formulations were also demonstrated through the DPPH assay. The major constituent of </w:t>
      </w:r>
      <w:r w:rsidRPr="00365EEF">
        <w:rPr>
          <w:rFonts w:asciiTheme="minorHAnsi" w:hAnsiTheme="minorHAnsi" w:cstheme="minorHAnsi"/>
          <w:i/>
          <w:color w:val="auto"/>
          <w:sz w:val="24"/>
          <w:szCs w:val="24"/>
          <w:lang w:val="fr-FR"/>
        </w:rPr>
        <w:t xml:space="preserve">O. basilicum </w:t>
      </w:r>
      <w:r w:rsidRPr="00365EEF">
        <w:rPr>
          <w:rFonts w:asciiTheme="minorHAnsi" w:hAnsiTheme="minorHAnsi" w:cstheme="minorHAnsi"/>
          <w:color w:val="auto"/>
          <w:sz w:val="24"/>
          <w:szCs w:val="24"/>
          <w:lang w:val="fr-FR"/>
        </w:rPr>
        <w:t>that is</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 xml:space="preserve">1,8-cineole is well known for its antioxidant properties, which is mediated, in part, by activating the Nrf2/Keap1 system, a critical regulator of cellular protective responses to oxidative stress and inflammation </w:t>
      </w:r>
      <w:r w:rsidR="00394A6A" w:rsidRPr="00365EEF">
        <w:rPr>
          <w:rFonts w:asciiTheme="minorHAnsi" w:hAnsiTheme="minorHAnsi" w:cstheme="minorHAnsi"/>
          <w:color w:val="auto"/>
          <w:sz w:val="24"/>
          <w:szCs w:val="24"/>
          <w:lang w:val="fr-FR"/>
        </w:rPr>
        <w:t>[59]</w:t>
      </w:r>
      <w:r w:rsidRPr="00365EEF">
        <w:rPr>
          <w:rFonts w:asciiTheme="minorHAnsi" w:hAnsiTheme="minorHAnsi" w:cstheme="minorHAnsi"/>
          <w:color w:val="auto"/>
          <w:sz w:val="24"/>
          <w:szCs w:val="24"/>
          <w:lang w:val="fr-FR"/>
        </w:rPr>
        <w:t xml:space="preserve">. The antioxidant activity of eugenol and linalool (major botanicals of </w:t>
      </w:r>
      <w:r w:rsidRPr="00365EEF">
        <w:rPr>
          <w:rFonts w:asciiTheme="minorHAnsi" w:hAnsiTheme="minorHAnsi" w:cstheme="minorHAnsi"/>
          <w:i/>
          <w:color w:val="auto"/>
          <w:sz w:val="24"/>
          <w:szCs w:val="24"/>
          <w:lang w:val="fr-FR"/>
        </w:rPr>
        <w:t>O. gratissimum</w:t>
      </w:r>
      <w:r w:rsidRPr="00365EEF">
        <w:rPr>
          <w:rFonts w:asciiTheme="minorHAnsi" w:hAnsiTheme="minorHAnsi" w:cstheme="minorHAnsi"/>
          <w:color w:val="auto"/>
          <w:sz w:val="24"/>
          <w:szCs w:val="24"/>
          <w:lang w:val="fr-FR"/>
        </w:rPr>
        <w:t>’s</w:t>
      </w:r>
      <w:r w:rsidRPr="00365EEF">
        <w:rPr>
          <w:rFonts w:asciiTheme="minorHAnsi" w:hAnsiTheme="minorHAnsi" w:cstheme="minorHAnsi"/>
          <w:i/>
          <w:color w:val="auto"/>
          <w:sz w:val="24"/>
          <w:szCs w:val="24"/>
          <w:lang w:val="fr-FR"/>
        </w:rPr>
        <w:t xml:space="preserve"> </w:t>
      </w:r>
      <w:r w:rsidRPr="00365EEF">
        <w:rPr>
          <w:rFonts w:asciiTheme="minorHAnsi" w:hAnsiTheme="minorHAnsi" w:cstheme="minorHAnsi"/>
          <w:color w:val="auto"/>
          <w:sz w:val="24"/>
          <w:szCs w:val="24"/>
          <w:lang w:val="fr-FR"/>
        </w:rPr>
        <w:t xml:space="preserve">essential oil) is generally attributed to the inhibition of lipid peroxidation </w:t>
      </w:r>
      <w:r w:rsidR="00394A6A" w:rsidRPr="00365EEF">
        <w:rPr>
          <w:rFonts w:asciiTheme="minorHAnsi" w:hAnsiTheme="minorHAnsi" w:cstheme="minorHAnsi"/>
          <w:color w:val="auto"/>
          <w:sz w:val="24"/>
          <w:szCs w:val="24"/>
          <w:lang w:val="fr-FR"/>
        </w:rPr>
        <w:t>[68]</w:t>
      </w:r>
      <w:r w:rsidRPr="00365EEF">
        <w:rPr>
          <w:rFonts w:asciiTheme="minorHAnsi" w:hAnsiTheme="minorHAnsi" w:cstheme="minorHAnsi"/>
          <w:color w:val="auto"/>
          <w:sz w:val="24"/>
          <w:szCs w:val="24"/>
          <w:lang w:val="fr-FR"/>
        </w:rPr>
        <w:t xml:space="preserve">. </w:t>
      </w:r>
    </w:p>
    <w:p w14:paraId="7AF92AD9" w14:textId="77777777" w:rsidR="00A56A60" w:rsidRPr="00365EEF" w:rsidRDefault="00081AB7" w:rsidP="006F62DE">
      <w:pPr>
        <w:pStyle w:val="MDPI31text"/>
        <w:spacing w:line="360" w:lineRule="auto"/>
        <w:ind w:left="0" w:firstLine="0"/>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Overall, this study demonstrates the antifungal activity of the essential oils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and</w:t>
      </w:r>
      <w:r w:rsidRPr="00365EEF">
        <w:rPr>
          <w:rFonts w:asciiTheme="minorHAnsi" w:hAnsiTheme="minorHAnsi" w:cstheme="minorHAnsi"/>
          <w:i/>
          <w:color w:val="auto"/>
          <w:sz w:val="24"/>
          <w:szCs w:val="24"/>
          <w:lang w:val="fr-FR"/>
        </w:rPr>
        <w:t xml:space="preserve"> O. gratissimum</w:t>
      </w:r>
      <w:r w:rsidRPr="00365EEF">
        <w:rPr>
          <w:rFonts w:asciiTheme="minorHAnsi" w:hAnsiTheme="minorHAnsi" w:cstheme="minorHAnsi"/>
          <w:color w:val="auto"/>
          <w:sz w:val="24"/>
          <w:szCs w:val="24"/>
          <w:lang w:val="fr-FR"/>
        </w:rPr>
        <w:t xml:space="preserve">, as well as their formulations against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Trichophyton interdigitale</w:t>
      </w:r>
      <w:r w:rsidRPr="00365EEF">
        <w:rPr>
          <w:rFonts w:asciiTheme="minorHAnsi" w:hAnsiTheme="minorHAnsi" w:cstheme="minorHAnsi"/>
          <w:color w:val="auto"/>
          <w:sz w:val="24"/>
          <w:szCs w:val="24"/>
          <w:lang w:val="fr-FR"/>
        </w:rPr>
        <w:t xml:space="preserve">, thus validating the traditional use of these plants in the treatment of certain dermatophytes. The antioxidant activity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and</w:t>
      </w:r>
      <w:r w:rsidRPr="00365EEF">
        <w:rPr>
          <w:rFonts w:asciiTheme="minorHAnsi" w:hAnsiTheme="minorHAnsi" w:cstheme="minorHAnsi"/>
          <w:i/>
          <w:color w:val="auto"/>
          <w:sz w:val="24"/>
          <w:szCs w:val="24"/>
          <w:lang w:val="fr-FR"/>
        </w:rPr>
        <w:t xml:space="preserve"> O. gratissimum </w:t>
      </w:r>
      <w:r w:rsidRPr="00365EEF">
        <w:rPr>
          <w:rFonts w:asciiTheme="minorHAnsi" w:hAnsiTheme="minorHAnsi" w:cstheme="minorHAnsi"/>
          <w:color w:val="auto"/>
          <w:sz w:val="24"/>
          <w:szCs w:val="24"/>
          <w:lang w:val="fr-FR"/>
        </w:rPr>
        <w:t xml:space="preserve">is also unveiled. Nevertheless, additional studies, including toxicity and </w:t>
      </w:r>
      <w:r w:rsidRPr="00365EEF">
        <w:rPr>
          <w:rFonts w:asciiTheme="minorHAnsi" w:hAnsiTheme="minorHAnsi" w:cstheme="minorHAnsi"/>
          <w:i/>
          <w:color w:val="auto"/>
          <w:sz w:val="24"/>
          <w:szCs w:val="24"/>
          <w:lang w:val="fr-FR"/>
        </w:rPr>
        <w:t>in vivo</w:t>
      </w:r>
      <w:r w:rsidRPr="00365EEF">
        <w:rPr>
          <w:rFonts w:asciiTheme="minorHAnsi" w:hAnsiTheme="minorHAnsi" w:cstheme="minorHAnsi"/>
          <w:color w:val="auto"/>
          <w:sz w:val="24"/>
          <w:szCs w:val="24"/>
          <w:lang w:val="fr-FR"/>
        </w:rPr>
        <w:t xml:space="preserve"> antidermatophytic tests, as well </w:t>
      </w:r>
      <w:r w:rsidRPr="00365EEF">
        <w:rPr>
          <w:rFonts w:asciiTheme="minorHAnsi" w:hAnsiTheme="minorHAnsi" w:cstheme="minorHAnsi"/>
          <w:color w:val="auto"/>
          <w:sz w:val="24"/>
          <w:szCs w:val="24"/>
          <w:lang w:val="fr-FR"/>
        </w:rPr>
        <w:lastRenderedPageBreak/>
        <w:t xml:space="preserve">as antifungal mechanisms of action are desired to support the safe use of </w:t>
      </w:r>
      <w:r w:rsidRPr="00365EEF">
        <w:rPr>
          <w:rFonts w:asciiTheme="minorHAnsi" w:hAnsiTheme="minorHAnsi" w:cstheme="minorHAnsi"/>
          <w:i/>
          <w:color w:val="auto"/>
          <w:sz w:val="24"/>
          <w:szCs w:val="24"/>
          <w:lang w:val="fr-FR"/>
        </w:rPr>
        <w:t>O. basilicum</w:t>
      </w:r>
      <w:r w:rsidRPr="00365EEF">
        <w:rPr>
          <w:rFonts w:asciiTheme="minorHAnsi" w:hAnsiTheme="minorHAnsi" w:cstheme="minorHAnsi"/>
          <w:color w:val="auto"/>
          <w:sz w:val="24"/>
          <w:szCs w:val="24"/>
          <w:lang w:val="fr-FR"/>
        </w:rPr>
        <w:t xml:space="preserve"> and</w:t>
      </w:r>
      <w:r w:rsidRPr="00365EEF">
        <w:rPr>
          <w:rFonts w:asciiTheme="minorHAnsi" w:hAnsiTheme="minorHAnsi" w:cstheme="minorHAnsi"/>
          <w:i/>
          <w:color w:val="auto"/>
          <w:sz w:val="24"/>
          <w:szCs w:val="24"/>
          <w:lang w:val="fr-FR"/>
        </w:rPr>
        <w:t xml:space="preserve"> O. gratissimum</w:t>
      </w:r>
      <w:r w:rsidRPr="00365EEF">
        <w:rPr>
          <w:rFonts w:asciiTheme="minorHAnsi" w:hAnsiTheme="minorHAnsi" w:cstheme="minorHAnsi"/>
          <w:color w:val="auto"/>
          <w:sz w:val="24"/>
          <w:szCs w:val="24"/>
          <w:lang w:val="fr-FR"/>
        </w:rPr>
        <w:t xml:space="preserve"> in ethnomedicine.</w:t>
      </w:r>
    </w:p>
    <w:p w14:paraId="43EDB281" w14:textId="77777777" w:rsidR="006F62DE" w:rsidRPr="00365EEF" w:rsidRDefault="006F62DE" w:rsidP="006F62DE">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4. Limitations and perspectives</w:t>
      </w:r>
    </w:p>
    <w:p w14:paraId="10E5D974" w14:textId="77777777" w:rsidR="006F62DE" w:rsidRPr="00365EEF" w:rsidRDefault="006F62DE" w:rsidP="006F62DE">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This preliminary study highlights the scientific validation of the use of </w:t>
      </w:r>
      <w:r w:rsidRPr="00365EEF">
        <w:rPr>
          <w:rFonts w:asciiTheme="minorHAnsi" w:hAnsiTheme="minorHAnsi" w:cstheme="minorHAnsi"/>
          <w:bCs/>
          <w:i/>
          <w:color w:val="auto"/>
          <w:sz w:val="24"/>
          <w:szCs w:val="24"/>
        </w:rPr>
        <w:t>Ocimum basilicum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Ocimum gratissimum</w:t>
      </w:r>
      <w:r w:rsidRPr="00365EEF">
        <w:rPr>
          <w:rFonts w:asciiTheme="minorHAnsi" w:hAnsiTheme="minorHAnsi" w:cstheme="minorHAnsi"/>
          <w:bCs/>
          <w:color w:val="auto"/>
          <w:sz w:val="24"/>
          <w:szCs w:val="24"/>
        </w:rPr>
        <w:t xml:space="preserve"> for the discovery of antifungal agents of natural origin. Moreover, the antioxidant potential of these plants is also revealed. The GC-MS analysis of </w:t>
      </w:r>
      <w:r w:rsidRPr="00365EEF">
        <w:rPr>
          <w:rFonts w:asciiTheme="minorHAnsi" w:hAnsiTheme="minorHAnsi" w:cstheme="minorHAnsi"/>
          <w:bCs/>
          <w:i/>
          <w:color w:val="auto"/>
          <w:sz w:val="24"/>
          <w:szCs w:val="24"/>
        </w:rPr>
        <w:t>O. gratissimum</w:t>
      </w:r>
      <w:r w:rsidRPr="00365EEF">
        <w:rPr>
          <w:rFonts w:asciiTheme="minorHAnsi" w:hAnsiTheme="minorHAnsi" w:cstheme="minorHAnsi"/>
          <w:bCs/>
          <w:color w:val="auto"/>
          <w:sz w:val="24"/>
          <w:szCs w:val="24"/>
        </w:rPr>
        <w:t xml:space="preserve">’s essential oil yielded γ-terpinene (33.73%), thymol (26.44%), 1,8-cineole (16.65%) and thujene (6.05%) as major constituents, whereas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essential oil was dominated by eugenol (16.78%) and linalool (55.32%). Centrifugation, dilution test and pH measurements of emulsions prepared from </w:t>
      </w:r>
      <w:r w:rsidRPr="00365EEF">
        <w:rPr>
          <w:rFonts w:asciiTheme="minorHAnsi" w:hAnsiTheme="minorHAnsi" w:cstheme="minorHAnsi"/>
          <w:bCs/>
          <w:i/>
          <w:color w:val="auto"/>
          <w:sz w:val="24"/>
          <w:szCs w:val="24"/>
        </w:rPr>
        <w:t>Ocimum basilicum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 xml:space="preserve">Ocimum </w:t>
      </w:r>
      <w:r w:rsidRPr="00365EEF">
        <w:rPr>
          <w:rFonts w:asciiTheme="minorHAnsi" w:hAnsiTheme="minorHAnsi" w:cstheme="minorHAnsi"/>
          <w:bCs/>
          <w:color w:val="auto"/>
          <w:sz w:val="24"/>
          <w:szCs w:val="24"/>
        </w:rPr>
        <w:t>essential oils revealed stability of the preparations under the experimental conditions. This novel contribution demonstrates the antidermatophytic activity of essential oils and emulsions from </w:t>
      </w:r>
      <w:r w:rsidRPr="00365EEF">
        <w:rPr>
          <w:rFonts w:asciiTheme="minorHAnsi" w:hAnsiTheme="minorHAnsi" w:cstheme="minorHAnsi"/>
          <w:bCs/>
          <w:i/>
          <w:iCs/>
          <w:color w:val="auto"/>
          <w:sz w:val="24"/>
          <w:szCs w:val="24"/>
        </w:rPr>
        <w:t>O. gratissimum </w:t>
      </w:r>
      <w:r w:rsidRPr="00365EEF">
        <w:rPr>
          <w:rFonts w:asciiTheme="minorHAnsi" w:hAnsiTheme="minorHAnsi" w:cstheme="minorHAnsi"/>
          <w:bCs/>
          <w:color w:val="auto"/>
          <w:sz w:val="24"/>
          <w:szCs w:val="24"/>
        </w:rPr>
        <w:t>and</w:t>
      </w:r>
      <w:r w:rsidRPr="00365EEF">
        <w:rPr>
          <w:rFonts w:asciiTheme="minorHAnsi" w:hAnsiTheme="minorHAnsi" w:cstheme="minorHAnsi"/>
          <w:bCs/>
          <w:i/>
          <w:iCs/>
          <w:color w:val="auto"/>
          <w:sz w:val="24"/>
          <w:szCs w:val="24"/>
        </w:rPr>
        <w:t> O. basilicum</w:t>
      </w:r>
      <w:r w:rsidRPr="00365EEF">
        <w:rPr>
          <w:rFonts w:asciiTheme="minorHAnsi" w:hAnsiTheme="minorHAnsi" w:cstheme="minorHAnsi"/>
          <w:bCs/>
          <w:color w:val="auto"/>
          <w:sz w:val="24"/>
          <w:szCs w:val="24"/>
        </w:rPr>
        <w:t xml:space="preserve">, thus supporting the traditional use of these plants in ethnomedicine. However, major limitations of this study include, a comprehensive assessment of the emulsion’s parameters, such as droplet size and size distribution, zeta potential, stability index, and rheological </w:t>
      </w:r>
      <w:r w:rsidR="007B2C67">
        <w:rPr>
          <w:rFonts w:asciiTheme="minorHAnsi" w:hAnsiTheme="minorHAnsi" w:cstheme="minorHAnsi"/>
          <w:bCs/>
          <w:color w:val="auto"/>
          <w:sz w:val="24"/>
          <w:szCs w:val="24"/>
        </w:rPr>
        <w:t>properties (viscosity, firmness</w:t>
      </w:r>
      <w:r w:rsidRPr="00365EEF">
        <w:rPr>
          <w:rFonts w:asciiTheme="minorHAnsi" w:hAnsiTheme="minorHAnsi" w:cstheme="minorHAnsi"/>
          <w:bCs/>
          <w:color w:val="auto"/>
          <w:sz w:val="24"/>
          <w:szCs w:val="24"/>
        </w:rPr>
        <w:t xml:space="preserve"> and elasticity). To unravel the full characterization of the as-prepared emulsions, assessment of their morphological features, such as droplet size and size distribution, zeta potential, and rheological properties, etc. using dynamic light scattering (DLS) technique, nuclear magnetic resonance (NMR), scanning electron microscopy imaging, emulsion stability meters, viscometers and rheometers, should be considered as a perspective to this work. Other shortcomings, including toxicity and </w:t>
      </w:r>
      <w:r w:rsidRPr="00365EEF">
        <w:rPr>
          <w:rFonts w:asciiTheme="minorHAnsi" w:hAnsiTheme="minorHAnsi" w:cstheme="minorHAnsi"/>
          <w:bCs/>
          <w:i/>
          <w:color w:val="auto"/>
          <w:sz w:val="24"/>
          <w:szCs w:val="24"/>
        </w:rPr>
        <w:t>in vivo</w:t>
      </w:r>
      <w:r w:rsidRPr="00365EEF">
        <w:rPr>
          <w:rFonts w:asciiTheme="minorHAnsi" w:hAnsiTheme="minorHAnsi" w:cstheme="minorHAnsi"/>
          <w:bCs/>
          <w:color w:val="auto"/>
          <w:sz w:val="24"/>
          <w:szCs w:val="24"/>
        </w:rPr>
        <w:t xml:space="preserve"> antidermatophytic effects, and pharmacokinetics of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w:t>
      </w:r>
      <w:r w:rsidRPr="00365EEF">
        <w:rPr>
          <w:rFonts w:asciiTheme="minorHAnsi" w:hAnsiTheme="minorHAnsi" w:cstheme="minorHAnsi"/>
          <w:bCs/>
          <w:i/>
          <w:color w:val="auto"/>
          <w:sz w:val="24"/>
          <w:szCs w:val="24"/>
        </w:rPr>
        <w:t xml:space="preserve"> O. gratissimum</w:t>
      </w:r>
      <w:r w:rsidRPr="00365EEF">
        <w:rPr>
          <w:rFonts w:asciiTheme="minorHAnsi" w:hAnsiTheme="minorHAnsi" w:cstheme="minorHAnsi"/>
          <w:bCs/>
          <w:color w:val="auto"/>
          <w:sz w:val="24"/>
          <w:szCs w:val="24"/>
        </w:rPr>
        <w:t xml:space="preserve"> botanicals are expected for the successful utilization of these plants in traditional medical applications.</w:t>
      </w:r>
    </w:p>
    <w:p w14:paraId="5CD401C5" w14:textId="77777777" w:rsidR="006F62DE" w:rsidRPr="00365EEF" w:rsidRDefault="006F62DE" w:rsidP="006F62DE">
      <w:pPr>
        <w:pStyle w:val="MDPI31text"/>
        <w:spacing w:line="360" w:lineRule="auto"/>
        <w:ind w:left="0" w:firstLine="0"/>
        <w:rPr>
          <w:rFonts w:asciiTheme="minorHAnsi" w:hAnsiTheme="minorHAnsi" w:cstheme="minorHAnsi"/>
          <w:b/>
          <w:bCs/>
          <w:color w:val="auto"/>
          <w:sz w:val="24"/>
          <w:szCs w:val="24"/>
        </w:rPr>
      </w:pPr>
      <w:r w:rsidRPr="00365EEF">
        <w:rPr>
          <w:rFonts w:asciiTheme="minorHAnsi" w:hAnsiTheme="minorHAnsi" w:cstheme="minorHAnsi"/>
          <w:b/>
          <w:bCs/>
          <w:color w:val="auto"/>
          <w:sz w:val="24"/>
          <w:szCs w:val="24"/>
        </w:rPr>
        <w:t>5. Conclusions</w:t>
      </w:r>
    </w:p>
    <w:p w14:paraId="4C54B91C" w14:textId="77777777" w:rsidR="006F62DE" w:rsidRPr="00365EEF" w:rsidRDefault="006F62DE" w:rsidP="006F62DE">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The present study sought to investigate anti-</w:t>
      </w:r>
      <w:r w:rsidRPr="00365EEF">
        <w:rPr>
          <w:rFonts w:asciiTheme="minorHAnsi" w:hAnsiTheme="minorHAnsi" w:cstheme="minorHAnsi"/>
          <w:bCs/>
          <w:i/>
          <w:color w:val="auto"/>
          <w:sz w:val="24"/>
          <w:szCs w:val="24"/>
        </w:rPr>
        <w:t>Trichophyton</w:t>
      </w:r>
      <w:r w:rsidRPr="00365EEF">
        <w:rPr>
          <w:rFonts w:asciiTheme="minorHAnsi" w:hAnsiTheme="minorHAnsi" w:cstheme="minorHAnsi"/>
          <w:bCs/>
          <w:color w:val="auto"/>
          <w:sz w:val="24"/>
          <w:szCs w:val="24"/>
        </w:rPr>
        <w:t xml:space="preserve"> and antioxidant activities of essential oils from</w:t>
      </w:r>
      <w:r w:rsidRPr="00365EEF">
        <w:rPr>
          <w:rFonts w:asciiTheme="minorHAnsi" w:hAnsiTheme="minorHAnsi" w:cstheme="minorHAnsi"/>
          <w:b/>
          <w:bCs/>
          <w:color w:val="auto"/>
          <w:sz w:val="24"/>
          <w:szCs w:val="24"/>
        </w:rPr>
        <w:t xml:space="preserve">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w:t>
      </w:r>
      <w:r w:rsidRPr="00365EEF">
        <w:rPr>
          <w:rFonts w:asciiTheme="minorHAnsi" w:hAnsiTheme="minorHAnsi" w:cstheme="minorHAnsi"/>
          <w:bCs/>
          <w:i/>
          <w:color w:val="auto"/>
          <w:sz w:val="24"/>
          <w:szCs w:val="24"/>
        </w:rPr>
        <w:t xml:space="preserve"> O. gratissimum</w:t>
      </w:r>
      <w:r w:rsidRPr="00365EEF">
        <w:rPr>
          <w:rFonts w:asciiTheme="minorHAnsi" w:hAnsiTheme="minorHAnsi" w:cstheme="minorHAnsi"/>
          <w:bCs/>
          <w:color w:val="auto"/>
          <w:sz w:val="24"/>
          <w:szCs w:val="24"/>
        </w:rPr>
        <w:t xml:space="preserve">, and their formulations. As a result, essential oils, which were obtained respectively as yellowish and dark yellow oily substances from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w:t>
      </w:r>
      <w:r w:rsidRPr="00365EEF">
        <w:rPr>
          <w:rFonts w:asciiTheme="minorHAnsi" w:hAnsiTheme="minorHAnsi" w:cstheme="minorHAnsi"/>
          <w:bCs/>
          <w:i/>
          <w:color w:val="auto"/>
          <w:sz w:val="24"/>
          <w:szCs w:val="24"/>
        </w:rPr>
        <w:t xml:space="preserve"> O. gratissimum</w:t>
      </w:r>
      <w:r w:rsidRPr="00365EEF">
        <w:rPr>
          <w:rFonts w:asciiTheme="minorHAnsi" w:hAnsiTheme="minorHAnsi" w:cstheme="minorHAnsi"/>
          <w:bCs/>
          <w:color w:val="auto"/>
          <w:sz w:val="24"/>
          <w:szCs w:val="24"/>
        </w:rPr>
        <w:t xml:space="preserve"> by hydrodistillation using a clevenger apparatus, were subjected to the fabrication of emulsions. These emulsions were obtained as whitist and milky substances. The GC-MS analysis of </w:t>
      </w:r>
      <w:r w:rsidRPr="00365EEF">
        <w:rPr>
          <w:rFonts w:asciiTheme="minorHAnsi" w:hAnsiTheme="minorHAnsi" w:cstheme="minorHAnsi"/>
          <w:bCs/>
          <w:i/>
          <w:color w:val="auto"/>
          <w:sz w:val="24"/>
          <w:szCs w:val="24"/>
        </w:rPr>
        <w:t>O. gratissimum</w:t>
      </w:r>
      <w:r w:rsidRPr="00365EEF">
        <w:rPr>
          <w:rFonts w:asciiTheme="minorHAnsi" w:hAnsiTheme="minorHAnsi" w:cstheme="minorHAnsi"/>
          <w:bCs/>
          <w:color w:val="auto"/>
          <w:sz w:val="24"/>
          <w:szCs w:val="24"/>
        </w:rPr>
        <w:t xml:space="preserve">’s essential oil yielded γ-terpinene (33.73%), thymol (26.44%), 1,8-cineole (16.65%) and thujene (6.05%) as its major constituents, whereas </w:t>
      </w:r>
      <w:r w:rsidRPr="00365EEF">
        <w:rPr>
          <w:rFonts w:asciiTheme="minorHAnsi" w:hAnsiTheme="minorHAnsi" w:cstheme="minorHAnsi"/>
          <w:bCs/>
          <w:i/>
          <w:color w:val="auto"/>
          <w:sz w:val="24"/>
          <w:szCs w:val="24"/>
        </w:rPr>
        <w:lastRenderedPageBreak/>
        <w:t>O. basilicum</w:t>
      </w:r>
      <w:r w:rsidRPr="00365EEF">
        <w:rPr>
          <w:rFonts w:asciiTheme="minorHAnsi" w:hAnsiTheme="minorHAnsi" w:cstheme="minorHAnsi"/>
          <w:bCs/>
          <w:color w:val="auto"/>
          <w:sz w:val="24"/>
          <w:szCs w:val="24"/>
        </w:rPr>
        <w:t xml:space="preserve"> essential oil was dominated by eugenol (16.78%) and linalool (55.32%). The characterization of stability of the as-prepared emulsions by centrifugation, dilution test and pH measurements, revealed that the preparations were stable under the experimental conditions. The incubation of </w:t>
      </w:r>
      <w:r w:rsidRPr="00365EEF">
        <w:rPr>
          <w:rFonts w:asciiTheme="minorHAnsi" w:hAnsiTheme="minorHAnsi" w:cstheme="minorHAnsi"/>
          <w:bCs/>
          <w:i/>
          <w:color w:val="auto"/>
          <w:sz w:val="24"/>
          <w:szCs w:val="24"/>
        </w:rPr>
        <w:t>Trichophyton rubrum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 xml:space="preserve">Trichophyton interdigitale </w:t>
      </w:r>
      <w:r w:rsidRPr="00365EEF">
        <w:rPr>
          <w:rFonts w:asciiTheme="minorHAnsi" w:hAnsiTheme="minorHAnsi" w:cstheme="minorHAnsi"/>
          <w:bCs/>
          <w:color w:val="auto"/>
          <w:sz w:val="24"/>
          <w:szCs w:val="24"/>
        </w:rPr>
        <w:t xml:space="preserve">with the essential oils of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w:t>
      </w:r>
      <w:r w:rsidRPr="00365EEF">
        <w:rPr>
          <w:rFonts w:asciiTheme="minorHAnsi" w:hAnsiTheme="minorHAnsi" w:cstheme="minorHAnsi"/>
          <w:bCs/>
          <w:i/>
          <w:color w:val="auto"/>
          <w:sz w:val="24"/>
          <w:szCs w:val="24"/>
        </w:rPr>
        <w:t xml:space="preserve"> O. gratissimum</w:t>
      </w:r>
      <w:r w:rsidRPr="00365EEF">
        <w:rPr>
          <w:rFonts w:asciiTheme="minorHAnsi" w:hAnsiTheme="minorHAnsi" w:cstheme="minorHAnsi"/>
          <w:bCs/>
          <w:color w:val="auto"/>
          <w:sz w:val="24"/>
          <w:szCs w:val="24"/>
        </w:rPr>
        <w:t xml:space="preserve"> and their formulations showed growth inhibition of these pathogenic fungi with MIC and MFC ranging from 1000 to 5750 ppm and 2000 to 6750 ppm, respectively. The antifungal activity was characterized as fungicidal since the MFC/MIC ratio was found to be less than 2. The antioxidant activity of essential oils and their formulations was also unveiled with median scavenging concentrations varying respectively from 100 to 500 ppm and from 100 to 4800 ppm. The antiradical potential of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 </w:t>
      </w:r>
      <w:r w:rsidRPr="00365EEF">
        <w:rPr>
          <w:rFonts w:asciiTheme="minorHAnsi" w:hAnsiTheme="minorHAnsi" w:cstheme="minorHAnsi"/>
          <w:bCs/>
          <w:i/>
          <w:color w:val="auto"/>
          <w:sz w:val="24"/>
          <w:szCs w:val="24"/>
        </w:rPr>
        <w:t>O. gratissimum</w:t>
      </w:r>
      <w:r w:rsidRPr="00365EEF">
        <w:rPr>
          <w:rFonts w:asciiTheme="minorHAnsi" w:hAnsiTheme="minorHAnsi" w:cstheme="minorHAnsi"/>
          <w:bCs/>
          <w:color w:val="auto"/>
          <w:sz w:val="24"/>
          <w:szCs w:val="24"/>
        </w:rPr>
        <w:t xml:space="preserve"> were found to be greater than that of BHT, a standard antioxidant compound.</w:t>
      </w:r>
    </w:p>
    <w:p w14:paraId="694E3924" w14:textId="77777777" w:rsidR="006F62DE" w:rsidRPr="00365EEF" w:rsidRDefault="006F62DE" w:rsidP="006F62DE">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Cs/>
          <w:color w:val="auto"/>
          <w:sz w:val="24"/>
          <w:szCs w:val="24"/>
        </w:rPr>
        <w:t xml:space="preserve">Overall, the present study demonstrates the antidermatophytic effects of essential oils of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w:t>
      </w:r>
      <w:r w:rsidRPr="00365EEF">
        <w:rPr>
          <w:rFonts w:asciiTheme="minorHAnsi" w:hAnsiTheme="minorHAnsi" w:cstheme="minorHAnsi"/>
          <w:bCs/>
          <w:i/>
          <w:color w:val="auto"/>
          <w:sz w:val="24"/>
          <w:szCs w:val="24"/>
        </w:rPr>
        <w:t xml:space="preserve"> O. gratissimum</w:t>
      </w:r>
      <w:r w:rsidRPr="00365EEF">
        <w:rPr>
          <w:rFonts w:asciiTheme="minorHAnsi" w:hAnsiTheme="minorHAnsi" w:cstheme="minorHAnsi"/>
          <w:bCs/>
          <w:color w:val="auto"/>
          <w:sz w:val="24"/>
          <w:szCs w:val="24"/>
        </w:rPr>
        <w:t xml:space="preserve"> and their formulations, thus substantiating the traditional use of these plants in the treatment of dermatophytic fungi. However, a detailed characterization of the fabricated emulsions from essential oils of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w:t>
      </w:r>
      <w:r w:rsidRPr="00365EEF">
        <w:rPr>
          <w:rFonts w:asciiTheme="minorHAnsi" w:hAnsiTheme="minorHAnsi" w:cstheme="minorHAnsi"/>
          <w:bCs/>
          <w:i/>
          <w:color w:val="auto"/>
          <w:sz w:val="24"/>
          <w:szCs w:val="24"/>
        </w:rPr>
        <w:t xml:space="preserve"> O. gratissimum </w:t>
      </w:r>
      <w:r w:rsidRPr="00365EEF">
        <w:rPr>
          <w:rFonts w:asciiTheme="minorHAnsi" w:hAnsiTheme="minorHAnsi" w:cstheme="minorHAnsi"/>
          <w:bCs/>
          <w:color w:val="auto"/>
          <w:sz w:val="24"/>
          <w:szCs w:val="24"/>
        </w:rPr>
        <w:t xml:space="preserve">is warranted. Additional studies, including toxicity, </w:t>
      </w:r>
      <w:r w:rsidRPr="00365EEF">
        <w:rPr>
          <w:rFonts w:asciiTheme="minorHAnsi" w:hAnsiTheme="minorHAnsi" w:cstheme="minorHAnsi"/>
          <w:bCs/>
          <w:i/>
          <w:color w:val="auto"/>
          <w:sz w:val="24"/>
          <w:szCs w:val="24"/>
        </w:rPr>
        <w:t>in vivo</w:t>
      </w:r>
      <w:r w:rsidRPr="00365EEF">
        <w:rPr>
          <w:rFonts w:asciiTheme="minorHAnsi" w:hAnsiTheme="minorHAnsi" w:cstheme="minorHAnsi"/>
          <w:bCs/>
          <w:color w:val="auto"/>
          <w:sz w:val="24"/>
          <w:szCs w:val="24"/>
        </w:rPr>
        <w:t xml:space="preserve"> antidermatophytic effects, and pharmacokinetics of </w:t>
      </w:r>
      <w:r w:rsidRPr="00365EEF">
        <w:rPr>
          <w:rFonts w:asciiTheme="minorHAnsi" w:hAnsiTheme="minorHAnsi" w:cstheme="minorHAnsi"/>
          <w:bCs/>
          <w:i/>
          <w:color w:val="auto"/>
          <w:sz w:val="24"/>
          <w:szCs w:val="24"/>
        </w:rPr>
        <w:t>O. basilicum</w:t>
      </w:r>
      <w:r w:rsidRPr="00365EEF">
        <w:rPr>
          <w:rFonts w:asciiTheme="minorHAnsi" w:hAnsiTheme="minorHAnsi" w:cstheme="minorHAnsi"/>
          <w:bCs/>
          <w:color w:val="auto"/>
          <w:sz w:val="24"/>
          <w:szCs w:val="24"/>
        </w:rPr>
        <w:t xml:space="preserve"> and</w:t>
      </w:r>
      <w:r w:rsidRPr="00365EEF">
        <w:rPr>
          <w:rFonts w:asciiTheme="minorHAnsi" w:hAnsiTheme="minorHAnsi" w:cstheme="minorHAnsi"/>
          <w:bCs/>
          <w:i/>
          <w:color w:val="auto"/>
          <w:sz w:val="24"/>
          <w:szCs w:val="24"/>
        </w:rPr>
        <w:t xml:space="preserve"> O. gratissimum</w:t>
      </w:r>
      <w:r w:rsidRPr="00365EEF">
        <w:rPr>
          <w:rFonts w:asciiTheme="minorHAnsi" w:hAnsiTheme="minorHAnsi" w:cstheme="minorHAnsi"/>
          <w:bCs/>
          <w:color w:val="auto"/>
          <w:sz w:val="24"/>
          <w:szCs w:val="24"/>
        </w:rPr>
        <w:t xml:space="preserve"> botanicals are expected for the successful utilization of these plants in traditional healing practices.</w:t>
      </w:r>
    </w:p>
    <w:p w14:paraId="78F30F56" w14:textId="77777777" w:rsidR="006F62DE" w:rsidRPr="00365EEF" w:rsidRDefault="006F62DE" w:rsidP="006F62DE">
      <w:pPr>
        <w:pStyle w:val="MDPI31text"/>
        <w:spacing w:line="360" w:lineRule="auto"/>
        <w:ind w:left="0" w:firstLine="0"/>
        <w:rPr>
          <w:rFonts w:asciiTheme="minorHAnsi" w:hAnsiTheme="minorHAnsi" w:cstheme="minorHAnsi"/>
          <w:bCs/>
          <w:color w:val="auto"/>
          <w:sz w:val="24"/>
          <w:szCs w:val="24"/>
        </w:rPr>
      </w:pPr>
    </w:p>
    <w:p w14:paraId="38560152" w14:textId="77777777" w:rsidR="006F62DE" w:rsidRPr="00365EEF" w:rsidRDefault="006F62DE" w:rsidP="006F62DE">
      <w:pPr>
        <w:pStyle w:val="MDPI31text"/>
        <w:spacing w:line="360" w:lineRule="auto"/>
        <w:rPr>
          <w:rFonts w:asciiTheme="minorHAnsi" w:hAnsiTheme="minorHAnsi" w:cstheme="minorHAnsi"/>
          <w:bCs/>
          <w:color w:val="auto"/>
          <w:sz w:val="24"/>
          <w:szCs w:val="24"/>
        </w:rPr>
      </w:pPr>
      <w:bookmarkStart w:id="1" w:name="_Hlk60054323"/>
    </w:p>
    <w:bookmarkEnd w:id="1"/>
    <w:p w14:paraId="567D82BA" w14:textId="77777777" w:rsidR="006F62DE" w:rsidRPr="00365EEF" w:rsidRDefault="006F62DE" w:rsidP="006F62DE">
      <w:pPr>
        <w:pStyle w:val="MDPI31text"/>
        <w:spacing w:line="360" w:lineRule="auto"/>
        <w:ind w:left="0" w:firstLine="0"/>
        <w:rPr>
          <w:rFonts w:asciiTheme="minorHAnsi" w:hAnsiTheme="minorHAnsi" w:cstheme="minorHAnsi"/>
          <w:bCs/>
          <w:color w:val="auto"/>
          <w:sz w:val="24"/>
          <w:szCs w:val="24"/>
        </w:rPr>
      </w:pPr>
      <w:r w:rsidRPr="00365EEF">
        <w:rPr>
          <w:rFonts w:asciiTheme="minorHAnsi" w:hAnsiTheme="minorHAnsi" w:cstheme="minorHAnsi"/>
          <w:b/>
          <w:bCs/>
          <w:color w:val="auto"/>
          <w:sz w:val="24"/>
          <w:szCs w:val="24"/>
        </w:rPr>
        <w:t>Data Availability Statement:</w:t>
      </w:r>
      <w:r w:rsidRPr="00365EEF">
        <w:rPr>
          <w:rFonts w:asciiTheme="minorHAnsi" w:hAnsiTheme="minorHAnsi" w:cstheme="minorHAnsi"/>
          <w:bCs/>
          <w:color w:val="auto"/>
          <w:sz w:val="24"/>
          <w:szCs w:val="24"/>
        </w:rPr>
        <w:t xml:space="preserve"> Data are available from the corresponding authors upon reasonable request. </w:t>
      </w:r>
    </w:p>
    <w:p w14:paraId="280CEE8A" w14:textId="77777777" w:rsidR="00D877B4" w:rsidRPr="00365EEF" w:rsidRDefault="00D877B4" w:rsidP="006F62DE">
      <w:pPr>
        <w:pStyle w:val="MDPI31text"/>
        <w:spacing w:line="360" w:lineRule="auto"/>
        <w:ind w:left="0" w:firstLine="0"/>
        <w:rPr>
          <w:rFonts w:asciiTheme="minorHAnsi" w:hAnsiTheme="minorHAnsi" w:cstheme="minorHAnsi"/>
          <w:bCs/>
          <w:color w:val="auto"/>
          <w:sz w:val="24"/>
          <w:szCs w:val="24"/>
        </w:rPr>
      </w:pPr>
    </w:p>
    <w:p w14:paraId="28D90096" w14:textId="77777777" w:rsidR="00DF2A05" w:rsidRPr="00DF2A05" w:rsidRDefault="00DF2A05" w:rsidP="00DF2A05">
      <w:pPr>
        <w:spacing w:after="200" w:line="276" w:lineRule="auto"/>
        <w:jc w:val="both"/>
        <w:outlineLvl w:val="0"/>
        <w:rPr>
          <w:rFonts w:ascii="Arial" w:eastAsia="Times New Roman" w:hAnsi="Arial" w:cs="Arial"/>
          <w:lang w:val="en-GB" w:eastAsia="en-GB"/>
        </w:rPr>
      </w:pPr>
      <w:r w:rsidRPr="00DF2A05">
        <w:rPr>
          <w:rFonts w:ascii="Arial" w:eastAsia="Times New Roman" w:hAnsi="Arial" w:cs="Arial"/>
          <w:b/>
          <w:bCs/>
          <w:lang w:val="en-GB" w:eastAsia="en-GB"/>
        </w:rPr>
        <w:t>COMPETING INTERESTS DISCLAIMER:</w:t>
      </w:r>
    </w:p>
    <w:p w14:paraId="27F85635" w14:textId="77777777" w:rsidR="00DF2A05" w:rsidRPr="00DF2A05" w:rsidRDefault="00DF2A05" w:rsidP="00DF2A05">
      <w:pPr>
        <w:spacing w:after="200" w:line="276" w:lineRule="auto"/>
        <w:rPr>
          <w:rFonts w:ascii="Calibri" w:eastAsia="Times New Roman" w:hAnsi="Calibri" w:cs="Times New Roman"/>
          <w:lang w:val="en-GB" w:eastAsia="en-GB"/>
        </w:rPr>
      </w:pPr>
      <w:r w:rsidRPr="004F29EA">
        <w:rPr>
          <w:rFonts w:ascii="Calibri" w:eastAsia="Times New Roman" w:hAnsi="Calibri" w:cs="Times New Roman"/>
          <w:highlight w:val="yellow"/>
          <w:lang w:val="en-GB" w:eastAsia="en-GB"/>
        </w:rPr>
        <w:t>Authors have declared that they have no known competing financial interests OR non-financial interests OR personal relationships that could have appeared to influence the work reported in this paper.</w:t>
      </w:r>
    </w:p>
    <w:p w14:paraId="2F74D951" w14:textId="77777777" w:rsidR="00DF2A05" w:rsidRPr="00365EEF" w:rsidRDefault="00DF2A05" w:rsidP="006F62DE">
      <w:pPr>
        <w:pStyle w:val="MDPI31text"/>
        <w:spacing w:line="360" w:lineRule="auto"/>
        <w:ind w:left="0" w:firstLine="0"/>
        <w:rPr>
          <w:rFonts w:asciiTheme="minorHAnsi" w:hAnsiTheme="minorHAnsi" w:cstheme="minorHAnsi"/>
          <w:bCs/>
          <w:color w:val="auto"/>
          <w:sz w:val="24"/>
          <w:szCs w:val="24"/>
        </w:rPr>
      </w:pPr>
    </w:p>
    <w:p w14:paraId="71C2A778" w14:textId="77777777" w:rsidR="006F62DE" w:rsidRPr="00365EEF" w:rsidRDefault="006F62DE" w:rsidP="006F62DE">
      <w:pPr>
        <w:pStyle w:val="MDPI31text"/>
        <w:spacing w:line="360" w:lineRule="auto"/>
        <w:ind w:left="0" w:firstLine="0"/>
        <w:rPr>
          <w:rFonts w:asciiTheme="minorHAnsi" w:hAnsiTheme="minorHAnsi" w:cstheme="minorHAnsi"/>
          <w:bCs/>
          <w:color w:val="auto"/>
          <w:sz w:val="24"/>
          <w:szCs w:val="24"/>
        </w:rPr>
      </w:pPr>
    </w:p>
    <w:p w14:paraId="539F9770" w14:textId="77777777" w:rsidR="006F62DE" w:rsidRPr="00365EEF" w:rsidRDefault="006F62DE" w:rsidP="006F62DE">
      <w:pPr>
        <w:pStyle w:val="MDPI21heading1"/>
        <w:spacing w:line="240" w:lineRule="auto"/>
        <w:ind w:left="0"/>
        <w:rPr>
          <w:rFonts w:asciiTheme="minorHAnsi" w:hAnsiTheme="minorHAnsi" w:cstheme="minorHAnsi"/>
          <w:color w:val="auto"/>
          <w:szCs w:val="24"/>
        </w:rPr>
      </w:pPr>
      <w:r w:rsidRPr="00365EEF">
        <w:rPr>
          <w:rFonts w:asciiTheme="minorHAnsi" w:hAnsiTheme="minorHAnsi" w:cstheme="minorHAnsi"/>
          <w:color w:val="auto"/>
          <w:szCs w:val="24"/>
        </w:rPr>
        <w:t>References</w:t>
      </w:r>
    </w:p>
    <w:p w14:paraId="2C817AAE" w14:textId="77777777" w:rsidR="006F62DE" w:rsidRPr="00365EEF" w:rsidRDefault="006F62DE" w:rsidP="006F62DE">
      <w:pPr>
        <w:pStyle w:val="MDPI81references"/>
        <w:numPr>
          <w:ilvl w:val="0"/>
          <w:numId w:val="0"/>
        </w:numPr>
        <w:spacing w:line="240" w:lineRule="auto"/>
        <w:ind w:left="425"/>
        <w:rPr>
          <w:rFonts w:asciiTheme="minorHAnsi" w:hAnsiTheme="minorHAnsi" w:cstheme="minorHAnsi"/>
          <w:color w:val="auto"/>
          <w:sz w:val="24"/>
          <w:szCs w:val="24"/>
        </w:rPr>
      </w:pPr>
    </w:p>
    <w:p w14:paraId="7E4C3AA0"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lastRenderedPageBreak/>
        <w:t>Smith MB, McGinnis MR. Tropical Infectious Diseases</w:t>
      </w:r>
      <w:r w:rsidR="007B2C67">
        <w:rPr>
          <w:rFonts w:asciiTheme="minorHAnsi" w:hAnsiTheme="minorHAnsi" w:cstheme="minorHAnsi"/>
          <w:color w:val="auto"/>
          <w:sz w:val="24"/>
          <w:szCs w:val="24"/>
          <w:lang w:val="fr-FR"/>
        </w:rPr>
        <w:t xml:space="preserve"> </w:t>
      </w:r>
      <w:r w:rsidRPr="00365EEF">
        <w:rPr>
          <w:rFonts w:asciiTheme="minorHAnsi" w:hAnsiTheme="minorHAnsi" w:cstheme="minorHAnsi"/>
          <w:color w:val="auto"/>
          <w:sz w:val="24"/>
          <w:szCs w:val="24"/>
          <w:lang w:val="fr-FR"/>
        </w:rPr>
        <w:t xml:space="preserve">: Principles, Pathogens and Practice (Third Edition) 2011, Pages 559-564. </w:t>
      </w:r>
      <w:hyperlink r:id="rId16" w:history="1">
        <w:r w:rsidRPr="00365EEF">
          <w:rPr>
            <w:rStyle w:val="Lienhypertexte"/>
            <w:rFonts w:asciiTheme="minorHAnsi" w:hAnsiTheme="minorHAnsi" w:cstheme="minorHAnsi"/>
            <w:color w:val="auto"/>
            <w:sz w:val="24"/>
            <w:szCs w:val="24"/>
            <w:u w:val="none"/>
            <w:lang w:val="fr-FR"/>
          </w:rPr>
          <w:t>https://doi.org/10.1016/B978-0-7020-3935-5.00082-3</w:t>
        </w:r>
      </w:hyperlink>
    </w:p>
    <w:p w14:paraId="4D720F06"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Jartarkar SR, Patil A, Goldust Y, Cockerell CJ, Schwartz RA, Grabbe S, Goldust M. Pathogenesis, immunology and management of dermatophytosis. J Fungi (Basel) 2021 ; 8(1): 39. doi: 10.3390/jof8010039. </w:t>
      </w:r>
    </w:p>
    <w:p w14:paraId="2BB73F9C"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Belmokhtar Z, Djaroud S, Matmour D, Merad Y. Atypical and unpredictable superficial mycosis presentations</w:t>
      </w:r>
      <w:r w:rsidR="007B2C67">
        <w:rPr>
          <w:rFonts w:asciiTheme="minorHAnsi" w:hAnsiTheme="minorHAnsi" w:cstheme="minorHAnsi"/>
          <w:color w:val="auto"/>
          <w:sz w:val="24"/>
          <w:szCs w:val="24"/>
          <w:lang w:val="fr-FR"/>
        </w:rPr>
        <w:t xml:space="preserve"> </w:t>
      </w:r>
      <w:r w:rsidRPr="00365EEF">
        <w:rPr>
          <w:rFonts w:asciiTheme="minorHAnsi" w:hAnsiTheme="minorHAnsi" w:cstheme="minorHAnsi"/>
          <w:color w:val="auto"/>
          <w:sz w:val="24"/>
          <w:szCs w:val="24"/>
          <w:lang w:val="fr-FR"/>
        </w:rPr>
        <w:t xml:space="preserve">: A narrative review. J Fungi (Basel) 2024 ; 10(4) 295. doi: 10.3390/jof10040295. </w:t>
      </w:r>
    </w:p>
    <w:p w14:paraId="301002C3"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Denning DW. Global incidence and mortality of severe fungal disease. Lancet Infect Dis 2024 ; 24 (7) : e428-e438. </w:t>
      </w:r>
    </w:p>
    <w:p w14:paraId="7146CA6E"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Chanyachailert P, Leeyaphan C, Bunyaratavej S. Cutaneous fungal infections caused by dermatophytes and non-dermatophytes</w:t>
      </w:r>
      <w:r w:rsidR="007B2C67">
        <w:rPr>
          <w:rFonts w:asciiTheme="minorHAnsi" w:hAnsiTheme="minorHAnsi" w:cstheme="minorHAnsi"/>
          <w:color w:val="auto"/>
          <w:sz w:val="24"/>
          <w:szCs w:val="24"/>
          <w:lang w:val="fr-FR"/>
        </w:rPr>
        <w:t xml:space="preserve"> </w:t>
      </w:r>
      <w:r w:rsidRPr="00365EEF">
        <w:rPr>
          <w:rFonts w:asciiTheme="minorHAnsi" w:hAnsiTheme="minorHAnsi" w:cstheme="minorHAnsi"/>
          <w:color w:val="auto"/>
          <w:sz w:val="24"/>
          <w:szCs w:val="24"/>
          <w:lang w:val="fr-FR"/>
        </w:rPr>
        <w:t xml:space="preserve">: An updated comprehensive review of epidemiology, clinical presentations, and diagnostic testing. J Fungi (Basel) 2023 ; 9(6) : 669. doi: 10.3390/jof9060669. </w:t>
      </w:r>
    </w:p>
    <w:p w14:paraId="43D0C4C3"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Stajich JE. Fungal genomes and insights into the evolution of the kingdom. Microbiol Spectr 2017 ; 5(4) : 10.1128/microbiolspec.FUNK-0055-2016. </w:t>
      </w:r>
    </w:p>
    <w:p w14:paraId="3B194EC6"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Gupta C, Das S, Gaurav V, Singh PK, Rai G, Datt S, Tigga RA, Pandhi D, Bhattacharya SN, Ansari MA, Dar SA. Review on host-pathogen interaction in dermatophyte infections. Med Mycol J 2023 ; 33 (1) : 101331. doi: 10.1016/j.mycmed.2022.101331. </w:t>
      </w:r>
    </w:p>
    <w:p w14:paraId="54EFC4EA"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Sonego B, Corio A, Mazzoletti V, Zerbato V, Benini A, di Meo N, Zalaudek I, Stinco G, Errichetti E, Zelin E. </w:t>
      </w:r>
      <w:r w:rsidRPr="00365EEF">
        <w:rPr>
          <w:rFonts w:asciiTheme="minorHAnsi" w:hAnsiTheme="minorHAnsi" w:cstheme="minorHAnsi"/>
          <w:i/>
          <w:color w:val="auto"/>
          <w:sz w:val="24"/>
          <w:szCs w:val="24"/>
          <w:lang w:val="fr-FR"/>
        </w:rPr>
        <w:t>Trichophyton indotineae</w:t>
      </w:r>
      <w:r w:rsidRPr="00365EEF">
        <w:rPr>
          <w:rFonts w:asciiTheme="minorHAnsi" w:hAnsiTheme="minorHAnsi" w:cstheme="minorHAnsi"/>
          <w:color w:val="auto"/>
          <w:sz w:val="24"/>
          <w:szCs w:val="24"/>
          <w:lang w:val="fr-FR"/>
        </w:rPr>
        <w:t>, an emerging drug-resistant dermatophyte : A review of the treatment options. J Clin Med 2024; 13 (12) 3558. doi: 10.3390/jcm13123558.</w:t>
      </w:r>
    </w:p>
    <w:p w14:paraId="0D622DB0"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The World Health Organization (WHO, 2024). Traditional medicine has a long history of contributing to conventional medicine and continues to hold promise. </w:t>
      </w:r>
      <w:hyperlink r:id="rId17" w:anchor=":~:text=For%20centuries%20across%20countries%2C%20people,traditional%20medicine%20by%20their%20populations" w:history="1">
        <w:r w:rsidRPr="00365EEF">
          <w:rPr>
            <w:rStyle w:val="Lienhypertexte"/>
            <w:rFonts w:asciiTheme="minorHAnsi" w:hAnsiTheme="minorHAnsi" w:cstheme="minorHAnsi"/>
            <w:color w:val="auto"/>
            <w:sz w:val="24"/>
            <w:szCs w:val="24"/>
            <w:u w:val="none"/>
            <w:lang w:val="fr-FR"/>
          </w:rPr>
          <w:t>https://www.who.int/news-room/feature-stories/detail/traditional-medicine-has-a-long-history-of-contributing-to-conventional-medicine-and-continues-to-hold-promise#:~:text=For%20centuries%20across%20countries%2C%20people,traditional%20medicine%20by%20their%20populations</w:t>
        </w:r>
      </w:hyperlink>
      <w:r w:rsidRPr="00365EEF">
        <w:rPr>
          <w:rFonts w:asciiTheme="minorHAnsi" w:hAnsiTheme="minorHAnsi" w:cstheme="minorHAnsi"/>
          <w:color w:val="auto"/>
          <w:sz w:val="24"/>
          <w:szCs w:val="24"/>
          <w:lang w:val="fr-FR"/>
        </w:rPr>
        <w:t>, Accessed on 31st October 2024.</w:t>
      </w:r>
    </w:p>
    <w:p w14:paraId="0A7F62E7"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Kpodekon M, Boko C, Mainil J, Farougou S, Sessou P, Yehouenou B, Gbenou J, Duprez J-N ; Bardiau M. « Composition chimique et test d’efficacité </w:t>
      </w:r>
      <w:r w:rsidRPr="00365EEF">
        <w:rPr>
          <w:rFonts w:asciiTheme="minorHAnsi" w:hAnsiTheme="minorHAnsi" w:cstheme="minorHAnsi"/>
          <w:i/>
          <w:color w:val="auto"/>
          <w:sz w:val="24"/>
          <w:szCs w:val="24"/>
          <w:lang w:val="fr-FR"/>
        </w:rPr>
        <w:t>in vitro</w:t>
      </w:r>
      <w:r w:rsidRPr="00365EEF">
        <w:rPr>
          <w:rFonts w:asciiTheme="minorHAnsi" w:hAnsiTheme="minorHAnsi" w:cstheme="minorHAnsi"/>
          <w:color w:val="auto"/>
          <w:sz w:val="24"/>
          <w:szCs w:val="24"/>
          <w:lang w:val="fr-FR"/>
        </w:rPr>
        <w:t xml:space="preserve"> des huiles essentielles extraites de feuilles fraîches du basilic commun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et du basilic tropical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sur </w:t>
      </w:r>
      <w:r w:rsidRPr="00365EEF">
        <w:rPr>
          <w:rFonts w:asciiTheme="minorHAnsi" w:hAnsiTheme="minorHAnsi" w:cstheme="minorHAnsi"/>
          <w:i/>
          <w:color w:val="auto"/>
          <w:sz w:val="24"/>
          <w:szCs w:val="24"/>
          <w:lang w:val="fr-FR"/>
        </w:rPr>
        <w:t xml:space="preserve">Salmonella enterica </w:t>
      </w:r>
      <w:r w:rsidRPr="00365EEF">
        <w:rPr>
          <w:rFonts w:asciiTheme="minorHAnsi" w:hAnsiTheme="minorHAnsi" w:cstheme="minorHAnsi"/>
          <w:color w:val="auto"/>
          <w:sz w:val="24"/>
          <w:szCs w:val="24"/>
          <w:lang w:val="fr-FR"/>
        </w:rPr>
        <w:t xml:space="preserve">sérotype Oakland et </w:t>
      </w:r>
      <w:r w:rsidRPr="00365EEF">
        <w:rPr>
          <w:rFonts w:asciiTheme="minorHAnsi" w:hAnsiTheme="minorHAnsi" w:cstheme="minorHAnsi"/>
          <w:i/>
          <w:color w:val="auto"/>
          <w:sz w:val="24"/>
          <w:szCs w:val="24"/>
          <w:lang w:val="fr-FR"/>
        </w:rPr>
        <w:t xml:space="preserve">Salmonella enterica </w:t>
      </w:r>
      <w:r w:rsidRPr="00365EEF">
        <w:rPr>
          <w:rFonts w:asciiTheme="minorHAnsi" w:hAnsiTheme="minorHAnsi" w:cstheme="minorHAnsi"/>
          <w:color w:val="auto"/>
          <w:sz w:val="24"/>
          <w:szCs w:val="24"/>
          <w:lang w:val="fr-FR"/>
        </w:rPr>
        <w:t>sérotype Legon » J Soc Ouest-Afr Chim 2013 ; 35 : 41–48.</w:t>
      </w:r>
    </w:p>
    <w:p w14:paraId="5401E09A"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Zhakipbekov K, Turgumbayeva A, Akhelova S, Bekmuratova K, Blinova O, Utegenova G, Shertaeva K, Sadykov N, Tastambek K, Saginbazarova A, Urazgaliyev K, Tulegenova G, Zhalimova Z, Karasova Z. Antimicrobial and other pharmacological properties of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Lamiaceae. Molecules 2024 ; 29(2) : 388. doi: 10.3390/molecules29020388. </w:t>
      </w:r>
    </w:p>
    <w:p w14:paraId="671265FC"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Thakur P, Chawla R, Chakotiya AS, Tanwar A, Goel R, Narula A, Arora R, Sharma RK. </w:t>
      </w:r>
      <w:r w:rsidRPr="00365EEF">
        <w:rPr>
          <w:rFonts w:asciiTheme="minorHAnsi" w:hAnsiTheme="minorHAnsi" w:cstheme="minorHAnsi"/>
          <w:i/>
          <w:color w:val="auto"/>
          <w:sz w:val="24"/>
          <w:szCs w:val="24"/>
          <w:lang w:val="fr-FR"/>
        </w:rPr>
        <w:t>Camellia sinensis</w:t>
      </w:r>
      <w:r w:rsidRPr="00365EEF">
        <w:rPr>
          <w:rFonts w:asciiTheme="minorHAnsi" w:hAnsiTheme="minorHAnsi" w:cstheme="minorHAnsi"/>
          <w:color w:val="auto"/>
          <w:sz w:val="24"/>
          <w:szCs w:val="24"/>
          <w:lang w:val="fr-FR"/>
        </w:rPr>
        <w:t xml:space="preserve"> ameliorates the efficacy of last line antibiotics against carbapenem resistant </w:t>
      </w:r>
      <w:r w:rsidRPr="00365EEF">
        <w:rPr>
          <w:rFonts w:asciiTheme="minorHAnsi" w:hAnsiTheme="minorHAnsi" w:cstheme="minorHAnsi"/>
          <w:i/>
          <w:color w:val="auto"/>
          <w:sz w:val="24"/>
          <w:szCs w:val="24"/>
          <w:lang w:val="fr-FR"/>
        </w:rPr>
        <w:t>Escherichia coli</w:t>
      </w:r>
      <w:r w:rsidRPr="00365EEF">
        <w:rPr>
          <w:rFonts w:asciiTheme="minorHAnsi" w:hAnsiTheme="minorHAnsi" w:cstheme="minorHAnsi"/>
          <w:color w:val="auto"/>
          <w:sz w:val="24"/>
          <w:szCs w:val="24"/>
          <w:lang w:val="fr-FR"/>
        </w:rPr>
        <w:t>. Phytother Res 2016 ; 30 : 314-322.</w:t>
      </w:r>
    </w:p>
    <w:p w14:paraId="47DF5FEB"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Kpadonou Kpoviessi BG, Kpoviessi SD, Yayi Ladekan E, Gbaguidi F, Frédérich M, Moudachirou M, Quetin-Leclercq J, Accrombessi GC, Bero J. 2014. </w:t>
      </w:r>
      <w:r w:rsidRPr="00365EEF">
        <w:rPr>
          <w:rFonts w:asciiTheme="minorHAnsi" w:hAnsiTheme="minorHAnsi" w:cstheme="minorHAnsi"/>
          <w:i/>
          <w:color w:val="auto"/>
          <w:sz w:val="24"/>
          <w:szCs w:val="24"/>
          <w:lang w:val="fr-FR"/>
        </w:rPr>
        <w:t>In vitro</w:t>
      </w:r>
      <w:r w:rsidRPr="00365EEF">
        <w:rPr>
          <w:rFonts w:asciiTheme="minorHAnsi" w:hAnsiTheme="minorHAnsi" w:cstheme="minorHAnsi"/>
          <w:color w:val="auto"/>
          <w:sz w:val="24"/>
          <w:szCs w:val="24"/>
          <w:lang w:val="fr-FR"/>
        </w:rPr>
        <w:t xml:space="preserve"> antitrypanosomal and antiplasmodial activities of crude extracts and essential oils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Linn from Benin and influence of vegetative stage. J Ethnopharmacol 2014 ; 155 (3) 1417-23. </w:t>
      </w:r>
    </w:p>
    <w:p w14:paraId="5F6F9F5F"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lastRenderedPageBreak/>
        <w:t>Ugbogu OC, Emmanuel O, Agi GO, Ibe C, Ekweogu CN, Ude VC, Uche ME, Nnanna RO, Ugbogu EA. A review on the traditional uses, phytochemistry, and pharmacological activities of clove basil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Heliyon 2021 ; 7(11) e08404. doi: 10.1016/j.heliyon.2021.e08404. </w:t>
      </w:r>
    </w:p>
    <w:p w14:paraId="5841FA05"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Aminian AR, Mohebbati R, Boskabady MH. The effect of </w:t>
      </w:r>
      <w:r w:rsidRPr="00365EEF">
        <w:rPr>
          <w:rFonts w:asciiTheme="minorHAnsi" w:hAnsiTheme="minorHAnsi" w:cstheme="minorHAnsi"/>
          <w:i/>
          <w:color w:val="auto"/>
          <w:sz w:val="24"/>
          <w:szCs w:val="24"/>
          <w:lang w:val="fr-FR"/>
        </w:rPr>
        <w:t xml:space="preserve">Ocimum basilicum </w:t>
      </w:r>
      <w:r w:rsidRPr="00365EEF">
        <w:rPr>
          <w:rFonts w:asciiTheme="minorHAnsi" w:hAnsiTheme="minorHAnsi" w:cstheme="minorHAnsi"/>
          <w:color w:val="auto"/>
          <w:sz w:val="24"/>
          <w:szCs w:val="24"/>
          <w:lang w:val="fr-FR"/>
        </w:rPr>
        <w:t>L. and its main ingredients on respiratory disorders</w:t>
      </w:r>
      <w:r w:rsidR="00C00364" w:rsidRPr="00365EEF">
        <w:rPr>
          <w:rFonts w:asciiTheme="minorHAnsi" w:hAnsiTheme="minorHAnsi" w:cstheme="minorHAnsi"/>
          <w:color w:val="auto"/>
          <w:sz w:val="24"/>
          <w:szCs w:val="24"/>
          <w:lang w:val="fr-FR"/>
        </w:rPr>
        <w:t xml:space="preserve"> </w:t>
      </w:r>
      <w:r w:rsidRPr="00365EEF">
        <w:rPr>
          <w:rFonts w:asciiTheme="minorHAnsi" w:hAnsiTheme="minorHAnsi" w:cstheme="minorHAnsi"/>
          <w:color w:val="auto"/>
          <w:sz w:val="24"/>
          <w:szCs w:val="24"/>
          <w:lang w:val="fr-FR"/>
        </w:rPr>
        <w:t xml:space="preserve">: An experimental, preclinical, and clinical review. Front Pharmacol 2022 ; 12 : 805391. doi: 10.3389/fphar.2021.805391. </w:t>
      </w:r>
    </w:p>
    <w:p w14:paraId="76216AFA"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Azizah NS, Irawan B, Kusmoro J, Safriansyah W, Farabi K, Oktavia D, Doni F, Miranti, M. Sweet Basil (</w:t>
      </w:r>
      <w:r w:rsidRPr="00365EEF">
        <w:rPr>
          <w:rFonts w:asciiTheme="minorHAnsi" w:hAnsiTheme="minorHAnsi" w:cstheme="minorHAnsi"/>
          <w:i/>
          <w:iCs/>
          <w:color w:val="auto"/>
          <w:sz w:val="24"/>
          <w:szCs w:val="24"/>
          <w:lang w:val="fr-FR"/>
        </w:rPr>
        <w:t>Ocimum basilicum</w:t>
      </w:r>
      <w:r w:rsidRPr="00365EEF">
        <w:rPr>
          <w:rFonts w:asciiTheme="minorHAnsi" w:hAnsiTheme="minorHAnsi" w:cstheme="minorHAnsi"/>
          <w:color w:val="auto"/>
          <w:sz w:val="24"/>
          <w:szCs w:val="24"/>
          <w:lang w:val="fr-FR"/>
        </w:rPr>
        <w:t xml:space="preserve"> L.)-A review of its botany, phytochemistry, pharmacological activities, and biotechnological development. Plants (Basel) 2023 ; 12(24) : 4148. doi: 10.3390/plants12244148. </w:t>
      </w:r>
    </w:p>
    <w:p w14:paraId="7B11FEDD"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Chukwuma IF, Uchendu NO, Asomadu RO, Ezeorba WFC, Prince T, Ezeorba C. African and Holy Basil-a review of ethnobotany, phytochemistry, and toxicity of their essential oil: Current trends and prospects for antimicrobial/antiparasitic pharmacology. Arab J Chem 2023 ; 16 (7) : 104870, </w:t>
      </w:r>
      <w:hyperlink r:id="rId18" w:history="1">
        <w:r w:rsidRPr="00365EEF">
          <w:rPr>
            <w:rStyle w:val="Lienhypertexte"/>
            <w:rFonts w:asciiTheme="minorHAnsi" w:hAnsiTheme="minorHAnsi" w:cstheme="minorHAnsi"/>
            <w:color w:val="auto"/>
            <w:sz w:val="24"/>
            <w:szCs w:val="24"/>
            <w:u w:val="none"/>
            <w:lang w:val="fr-FR"/>
          </w:rPr>
          <w:t>https://doi.org/10.1016/j.arabjc.2023.104870</w:t>
        </w:r>
      </w:hyperlink>
    </w:p>
    <w:p w14:paraId="7C6B62D6"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Angu TC, Ngwasiri PN, Navti LK, Yimta Y, Angaba FFA. Preservation potentials of essential oils of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from two agro-ecological zones on freshwater smoke-dried Oreochromis niloticus fish sold in some Local Markets in Cameroon. Adv Biol Chem 2023 ; 13 : 5. doi : 10.4236/abc.2023.135014</w:t>
      </w:r>
    </w:p>
    <w:p w14:paraId="3EBBA401"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Małgorzata N, Katarzyna G. 2016. Antibacterial activity of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L. essential oil against Gram-negative bacteria. Postępy Fitoterapii 2016 ; 17 (2) : 80-6.</w:t>
      </w:r>
    </w:p>
    <w:p w14:paraId="3F8F825F"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Araújo Silva V, Pereira da Sousa J, de Luna Freire Pessôa H, Fernanda Ramos de Freitas A, Douglas Melo Coutinho, H, Beuttenmuller Nogueira Alves L, Oliveira Lima E. 2016.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 Antibacterial activity and association study with antibiotics against bacteria of clinical importance. Pharm Biol 2016 ; 54(5) 863-7. </w:t>
      </w:r>
    </w:p>
    <w:p w14:paraId="7F893F57"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Mahendran G, Vimolmangkang S. Chemical compositions, antioxidant, antimicrobial, and mosquito larvicidal activity of </w:t>
      </w:r>
      <w:r w:rsidRPr="00365EEF">
        <w:rPr>
          <w:rFonts w:asciiTheme="minorHAnsi" w:hAnsiTheme="minorHAnsi" w:cstheme="minorHAnsi"/>
          <w:i/>
          <w:color w:val="auto"/>
          <w:sz w:val="24"/>
          <w:szCs w:val="24"/>
          <w:lang w:val="fr-FR"/>
        </w:rPr>
        <w:t>Ocimum americanum</w:t>
      </w:r>
      <w:r w:rsidRPr="00365EEF">
        <w:rPr>
          <w:rFonts w:asciiTheme="minorHAnsi" w:hAnsiTheme="minorHAnsi" w:cstheme="minorHAnsi"/>
          <w:color w:val="auto"/>
          <w:sz w:val="24"/>
          <w:szCs w:val="24"/>
          <w:lang w:val="fr-FR"/>
        </w:rPr>
        <w:t xml:space="preserve"> L. and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L. leaf essential oils. BMC Complement Med Ther 2023 ; 23 (1) 390. doi: 10.1186/s12906-023-04214-2. </w:t>
      </w:r>
    </w:p>
    <w:p w14:paraId="4F4FDBB9"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bCs/>
          <w:color w:val="auto"/>
          <w:sz w:val="24"/>
          <w:szCs w:val="24"/>
          <w:lang w:val="fr-FR"/>
        </w:rPr>
      </w:pPr>
      <w:r w:rsidRPr="00365EEF">
        <w:rPr>
          <w:rFonts w:asciiTheme="minorHAnsi" w:hAnsiTheme="minorHAnsi" w:cstheme="minorHAnsi"/>
          <w:bCs/>
          <w:color w:val="auto"/>
          <w:sz w:val="24"/>
          <w:szCs w:val="24"/>
          <w:lang w:val="fr-FR"/>
        </w:rPr>
        <w:t xml:space="preserve">Nakamura CV, Ueda-Nakamura T, Bando E, Melo AFN, Cortez DAG, Filho BPD. Antibacterial activity of </w:t>
      </w:r>
      <w:r w:rsidRPr="00365EEF">
        <w:rPr>
          <w:rFonts w:asciiTheme="minorHAnsi" w:hAnsiTheme="minorHAnsi" w:cstheme="minorHAnsi"/>
          <w:bCs/>
          <w:i/>
          <w:color w:val="auto"/>
          <w:sz w:val="24"/>
          <w:szCs w:val="24"/>
          <w:lang w:val="fr-FR"/>
        </w:rPr>
        <w:t>Ocimum gratissimum</w:t>
      </w:r>
      <w:r w:rsidRPr="00365EEF">
        <w:rPr>
          <w:rFonts w:asciiTheme="minorHAnsi" w:hAnsiTheme="minorHAnsi" w:cstheme="minorHAnsi"/>
          <w:bCs/>
          <w:color w:val="auto"/>
          <w:sz w:val="24"/>
          <w:szCs w:val="24"/>
          <w:lang w:val="fr-FR"/>
        </w:rPr>
        <w:t xml:space="preserve"> L. essential oil. Mem Inst Oswaldo Cruz 1999 ; 94 (5) 675-8.</w:t>
      </w:r>
    </w:p>
    <w:p w14:paraId="45AD306F"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Amengialue OO, Edobor O, Egharevba AP. 2013. Antibacterial activity of extracts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on bacteria associated with diarrhoea. BAJOPAS 2013 ; 6(2) : 143-5.</w:t>
      </w:r>
    </w:p>
    <w:p w14:paraId="2027DF34"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Melo RS, Albuquerque Azevedo ÁM, Gomes Pereira AM, Rocha RR, Bastos Cavalcante RM, Carneiro Matos MN, Ribeiro Lopes PH, Gomes GA, Soares Rodrigues, TH, Santos HSD, Ponte IL, Costa RA, Brito GS, Catunda Júnior FEA, Carneiro VA. Chemical composition and antimicrobial effectiveness of </w:t>
      </w:r>
      <w:r w:rsidRPr="00365EEF">
        <w:rPr>
          <w:rFonts w:asciiTheme="minorHAnsi" w:hAnsiTheme="minorHAnsi" w:cstheme="minorHAnsi"/>
          <w:i/>
          <w:iCs/>
          <w:color w:val="auto"/>
          <w:sz w:val="24"/>
          <w:szCs w:val="24"/>
          <w:lang w:val="fr-FR"/>
        </w:rPr>
        <w:t>Ocimum gratissimum</w:t>
      </w:r>
      <w:r w:rsidRPr="00365EEF">
        <w:rPr>
          <w:rFonts w:asciiTheme="minorHAnsi" w:hAnsiTheme="minorHAnsi" w:cstheme="minorHAnsi"/>
          <w:color w:val="auto"/>
          <w:sz w:val="24"/>
          <w:szCs w:val="24"/>
          <w:lang w:val="fr-FR"/>
        </w:rPr>
        <w:t> L. essential oil against multidrug-resistant isolates of </w:t>
      </w:r>
      <w:r w:rsidRPr="00365EEF">
        <w:rPr>
          <w:rFonts w:asciiTheme="minorHAnsi" w:hAnsiTheme="minorHAnsi" w:cstheme="minorHAnsi"/>
          <w:i/>
          <w:iCs/>
          <w:color w:val="auto"/>
          <w:sz w:val="24"/>
          <w:szCs w:val="24"/>
          <w:lang w:val="fr-FR"/>
        </w:rPr>
        <w:t>Staphylococcus aureus</w:t>
      </w:r>
      <w:r w:rsidRPr="00365EEF">
        <w:rPr>
          <w:rFonts w:asciiTheme="minorHAnsi" w:hAnsiTheme="minorHAnsi" w:cstheme="minorHAnsi"/>
          <w:color w:val="auto"/>
          <w:sz w:val="24"/>
          <w:szCs w:val="24"/>
          <w:lang w:val="fr-FR"/>
        </w:rPr>
        <w:t> and </w:t>
      </w:r>
      <w:r w:rsidRPr="00365EEF">
        <w:rPr>
          <w:rFonts w:asciiTheme="minorHAnsi" w:hAnsiTheme="minorHAnsi" w:cstheme="minorHAnsi"/>
          <w:i/>
          <w:iCs/>
          <w:color w:val="auto"/>
          <w:sz w:val="24"/>
          <w:szCs w:val="24"/>
          <w:lang w:val="fr-FR"/>
        </w:rPr>
        <w:t>Escherichia coli</w:t>
      </w:r>
      <w:r w:rsidRPr="00365EEF">
        <w:rPr>
          <w:rFonts w:asciiTheme="minorHAnsi" w:hAnsiTheme="minorHAnsi" w:cstheme="minorHAnsi"/>
          <w:color w:val="auto"/>
          <w:sz w:val="24"/>
          <w:szCs w:val="24"/>
          <w:lang w:val="fr-FR"/>
        </w:rPr>
        <w:t xml:space="preserve">. Molecules 2019 ; 24(21) : 3864. doi: 10.3390/molecules24213864. </w:t>
      </w:r>
    </w:p>
    <w:p w14:paraId="34AA8F4E"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Onaebi C, Onyeke C, Osibe D, Ugwuja F, Okoro A, Onyegirim P. Antimicrobial activity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and </w:t>
      </w:r>
      <w:r w:rsidRPr="00365EEF">
        <w:rPr>
          <w:rFonts w:asciiTheme="minorHAnsi" w:hAnsiTheme="minorHAnsi" w:cstheme="minorHAnsi"/>
          <w:i/>
          <w:color w:val="auto"/>
          <w:sz w:val="24"/>
          <w:szCs w:val="24"/>
          <w:lang w:val="fr-FR"/>
        </w:rPr>
        <w:t xml:space="preserve">Carica papaya </w:t>
      </w:r>
      <w:r w:rsidRPr="00365EEF">
        <w:rPr>
          <w:rFonts w:asciiTheme="minorHAnsi" w:hAnsiTheme="minorHAnsi" w:cstheme="minorHAnsi"/>
          <w:color w:val="auto"/>
          <w:sz w:val="24"/>
          <w:szCs w:val="24"/>
          <w:lang w:val="fr-FR"/>
        </w:rPr>
        <w:t>L. against postharvest pathogens of avocado pear (</w:t>
      </w:r>
      <w:r w:rsidRPr="00365EEF">
        <w:rPr>
          <w:rFonts w:asciiTheme="minorHAnsi" w:hAnsiTheme="minorHAnsi" w:cstheme="minorHAnsi"/>
          <w:i/>
          <w:color w:val="auto"/>
          <w:sz w:val="24"/>
          <w:szCs w:val="24"/>
          <w:lang w:val="fr-FR"/>
        </w:rPr>
        <w:t>Persea americana</w:t>
      </w:r>
      <w:r w:rsidRPr="00365EEF">
        <w:rPr>
          <w:rFonts w:asciiTheme="minorHAnsi" w:hAnsiTheme="minorHAnsi" w:cstheme="minorHAnsi"/>
          <w:color w:val="auto"/>
          <w:sz w:val="24"/>
          <w:szCs w:val="24"/>
          <w:lang w:val="fr-FR"/>
        </w:rPr>
        <w:t xml:space="preserve"> Mill.). Plant Pathol J 2020 ; 102 : 319–25.</w:t>
      </w:r>
    </w:p>
    <w:p w14:paraId="0E486CC5"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Xie Y, Zhang C, Mei J, Xie J. Antimicrobial effect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essential oil on </w:t>
      </w:r>
      <w:r w:rsidRPr="00365EEF">
        <w:rPr>
          <w:rFonts w:asciiTheme="minorHAnsi" w:hAnsiTheme="minorHAnsi" w:cstheme="minorHAnsi"/>
          <w:i/>
          <w:color w:val="auto"/>
          <w:sz w:val="24"/>
          <w:szCs w:val="24"/>
          <w:lang w:val="fr-FR"/>
        </w:rPr>
        <w:t xml:space="preserve">Shewanella putrefaciens </w:t>
      </w:r>
      <w:r w:rsidRPr="00365EEF">
        <w:rPr>
          <w:rFonts w:asciiTheme="minorHAnsi" w:hAnsiTheme="minorHAnsi" w:cstheme="minorHAnsi"/>
          <w:color w:val="auto"/>
          <w:sz w:val="24"/>
          <w:szCs w:val="24"/>
          <w:lang w:val="fr-FR"/>
        </w:rPr>
        <w:t xml:space="preserve">: Insights based on the cell membrane and external structure. Int J Mol Sci 2023 ; 24(13) 11066. doi: 10.3390/ijms241311066. </w:t>
      </w:r>
    </w:p>
    <w:p w14:paraId="0B817558"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lastRenderedPageBreak/>
        <w:t xml:space="preserve">Silva JC, Pereira RLS, de Freitas TS, Rocha JE, Macedo NS, Nonato C de FA, Linhares ML, Tavares DSA, da Cunha FAB, Coutinho HDM, de Lima SG, Pereira-Junior FN, Maia FPA, Neto ICP, Rodrigues FFG, Santos GJG. Evaluation of antibacterial and toxicological activities of essential oil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and its major constituent eugenol. Food Biosci 2022 ; 50 : Part B, 102128, https://doi.org/10.1016/j.fbio.2022.102128</w:t>
      </w:r>
    </w:p>
    <w:p w14:paraId="007F7828"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Sharma S, Rolta R, Salaria D, Dev K. </w:t>
      </w:r>
      <w:r w:rsidRPr="00365EEF">
        <w:rPr>
          <w:rFonts w:asciiTheme="minorHAnsi" w:hAnsiTheme="minorHAnsi" w:cstheme="minorHAnsi"/>
          <w:i/>
          <w:color w:val="auto"/>
          <w:sz w:val="24"/>
          <w:szCs w:val="24"/>
          <w:lang w:val="fr-FR"/>
        </w:rPr>
        <w:t>In vitro</w:t>
      </w:r>
      <w:r w:rsidRPr="00365EEF">
        <w:rPr>
          <w:rFonts w:asciiTheme="minorHAnsi" w:hAnsiTheme="minorHAnsi" w:cstheme="minorHAnsi"/>
          <w:color w:val="auto"/>
          <w:sz w:val="24"/>
          <w:szCs w:val="24"/>
          <w:lang w:val="fr-FR"/>
        </w:rPr>
        <w:t xml:space="preserve"> antibacterial and antifungal potentials of </w:t>
      </w:r>
      <w:r w:rsidRPr="00365EEF">
        <w:rPr>
          <w:rFonts w:asciiTheme="minorHAnsi" w:hAnsiTheme="minorHAnsi" w:cstheme="minorHAnsi"/>
          <w:i/>
          <w:color w:val="auto"/>
          <w:sz w:val="24"/>
          <w:szCs w:val="24"/>
          <w:lang w:val="fr-FR"/>
        </w:rPr>
        <w:t>Ocimum tenuiflorum</w:t>
      </w:r>
      <w:r w:rsidRPr="00365EEF">
        <w:rPr>
          <w:rFonts w:asciiTheme="minorHAnsi" w:hAnsiTheme="minorHAnsi" w:cstheme="minorHAnsi"/>
          <w:color w:val="auto"/>
          <w:sz w:val="24"/>
          <w:szCs w:val="24"/>
          <w:lang w:val="fr-FR"/>
        </w:rPr>
        <w:t xml:space="preserve"> and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essential oil. Pharmacological Research - Natural Products. 2024 ; Volume 4, 100065. </w:t>
      </w:r>
      <w:hyperlink r:id="rId19" w:history="1">
        <w:r w:rsidRPr="00365EEF">
          <w:rPr>
            <w:rStyle w:val="Lienhypertexte"/>
            <w:rFonts w:asciiTheme="minorHAnsi" w:hAnsiTheme="minorHAnsi" w:cstheme="minorHAnsi"/>
            <w:color w:val="auto"/>
            <w:sz w:val="24"/>
            <w:szCs w:val="24"/>
            <w:u w:val="none"/>
            <w:lang w:val="fr-FR"/>
          </w:rPr>
          <w:t>https://doi.org/10.1016/j.prenap.2024.100065</w:t>
        </w:r>
      </w:hyperlink>
    </w:p>
    <w:p w14:paraId="35313913"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Hao PM, Quoc Le PT. Chemical profile and antimicrobial activity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essential oil from Dak Lak province, Vietnam. J Plant Biotechnol 2024 ; 51: 50-4. </w:t>
      </w:r>
      <w:hyperlink r:id="rId20" w:history="1">
        <w:r w:rsidRPr="00365EEF">
          <w:rPr>
            <w:rStyle w:val="Lienhypertexte"/>
            <w:rFonts w:asciiTheme="minorHAnsi" w:hAnsiTheme="minorHAnsi" w:cstheme="minorHAnsi"/>
            <w:color w:val="auto"/>
            <w:sz w:val="24"/>
            <w:szCs w:val="24"/>
            <w:u w:val="none"/>
            <w:lang w:val="fr-FR"/>
          </w:rPr>
          <w:t>https://doi.org/10.5010/JPB.2024.51.005.050</w:t>
        </w:r>
      </w:hyperlink>
    </w:p>
    <w:p w14:paraId="3C675DA1"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Mohr FB, Lermen C, Gazim ZC, Gonçalves JE, Alberton O. Antifungal activity, yield, and composition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essential oil. Genet Mol Res 2017 ; 16 (1). doi: 10.4238/gmr16019542. </w:t>
      </w:r>
    </w:p>
    <w:p w14:paraId="647FB2A7"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Akpo AF, Silué Y, Nindjin C, Tano K, Kouamé KA, Tetchi FA, Lopez-Laur F, </w:t>
      </w:r>
      <w:r w:rsidRPr="00365EEF">
        <w:rPr>
          <w:rFonts w:asciiTheme="minorHAnsi" w:hAnsiTheme="minorHAnsi" w:cstheme="minorHAnsi"/>
          <w:i/>
          <w:color w:val="auto"/>
          <w:sz w:val="24"/>
          <w:szCs w:val="24"/>
          <w:lang w:val="fr-FR"/>
        </w:rPr>
        <w:t>In vitro</w:t>
      </w:r>
      <w:r w:rsidRPr="00365EEF">
        <w:rPr>
          <w:rFonts w:asciiTheme="minorHAnsi" w:hAnsiTheme="minorHAnsi" w:cstheme="minorHAnsi"/>
          <w:color w:val="auto"/>
          <w:sz w:val="24"/>
          <w:szCs w:val="24"/>
          <w:lang w:val="fr-FR"/>
        </w:rPr>
        <w:t xml:space="preserve"> antifungal activity of aqueous extract and essential oil of African basil (</w:t>
      </w:r>
      <w:r w:rsidRPr="00365EEF">
        <w:rPr>
          <w:rFonts w:asciiTheme="minorHAnsi" w:hAnsiTheme="minorHAnsi" w:cstheme="minorHAnsi"/>
          <w:i/>
          <w:color w:val="auto"/>
          <w:sz w:val="24"/>
          <w:szCs w:val="24"/>
          <w:lang w:val="fr-FR"/>
        </w:rPr>
        <w:t xml:space="preserve">Ocimum gratissimum </w:t>
      </w:r>
      <w:r w:rsidRPr="00365EEF">
        <w:rPr>
          <w:rFonts w:asciiTheme="minorHAnsi" w:hAnsiTheme="minorHAnsi" w:cstheme="minorHAnsi"/>
          <w:color w:val="auto"/>
          <w:sz w:val="24"/>
          <w:szCs w:val="24"/>
          <w:lang w:val="fr-FR"/>
        </w:rPr>
        <w:t xml:space="preserve">L.). NAJFNR, 2023 ; 7 (16) 136-45. </w:t>
      </w:r>
    </w:p>
    <w:p w14:paraId="11F5AC01"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Prabhu KS, Lobo R, Shirwaikar AA, Shirwaikar A.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 A review of its chemical, pharmacological and ethnomedicinal properties. Open Complement Med J 2009 ; 1: 1-15.</w:t>
      </w:r>
    </w:p>
    <w:p w14:paraId="18D45518"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Nakamura CV, Ishida K, Faccin LC, Filho BPD, Diógenes AG, Cortez DAG, Rozental S, de Souza W, Ueda-Nakamura. </w:t>
      </w:r>
      <w:r w:rsidRPr="00365EEF">
        <w:rPr>
          <w:rFonts w:asciiTheme="minorHAnsi" w:hAnsiTheme="minorHAnsi" w:cstheme="minorHAnsi"/>
          <w:i/>
          <w:color w:val="auto"/>
          <w:sz w:val="24"/>
          <w:szCs w:val="24"/>
          <w:lang w:val="fr-FR"/>
        </w:rPr>
        <w:t>In vitro</w:t>
      </w:r>
      <w:r w:rsidRPr="00365EEF">
        <w:rPr>
          <w:rFonts w:asciiTheme="minorHAnsi" w:hAnsiTheme="minorHAnsi" w:cstheme="minorHAnsi"/>
          <w:color w:val="auto"/>
          <w:sz w:val="24"/>
          <w:szCs w:val="24"/>
          <w:lang w:val="fr-FR"/>
        </w:rPr>
        <w:t xml:space="preserve"> activity of essential oil from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against four </w:t>
      </w:r>
      <w:r w:rsidRPr="00365EEF">
        <w:rPr>
          <w:rFonts w:asciiTheme="minorHAnsi" w:hAnsiTheme="minorHAnsi" w:cstheme="minorHAnsi"/>
          <w:i/>
          <w:color w:val="auto"/>
          <w:sz w:val="24"/>
          <w:szCs w:val="24"/>
          <w:lang w:val="fr-FR"/>
        </w:rPr>
        <w:t>Candida</w:t>
      </w:r>
      <w:r w:rsidRPr="00365EEF">
        <w:rPr>
          <w:rFonts w:asciiTheme="minorHAnsi" w:hAnsiTheme="minorHAnsi" w:cstheme="minorHAnsi"/>
          <w:color w:val="auto"/>
          <w:sz w:val="24"/>
          <w:szCs w:val="24"/>
          <w:lang w:val="fr-FR"/>
        </w:rPr>
        <w:t xml:space="preserve"> species. Research in Microbiology 2004 ; 155, 579-86.</w:t>
      </w:r>
    </w:p>
    <w:p w14:paraId="24D12C13"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Fokou JBH, Dongmo PMJ, Boyom FF, Menkem EZ, Bakargna-Via I, Tsague IFK, Marguerite SK, Paul Henri AZ, Chantal M. Antioxidant and antifungal activities of the essential oils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from Yaoundé and Dschang (Cameroon). J Pharm Pharmacol 2014 ; 2 : 257-68. </w:t>
      </w:r>
    </w:p>
    <w:p w14:paraId="07948AC8"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Pandey S. Antibacterial and antifungal activities of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Int J Pharm Pharm Sci 2017; 9 (12) : 26-31.</w:t>
      </w:r>
    </w:p>
    <w:p w14:paraId="689CBEC5" w14:textId="77777777" w:rsidR="000725D1" w:rsidRPr="00365EEF" w:rsidRDefault="000725D1" w:rsidP="000725D1">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Mahizan NA, Yang SK, Moo CL, Song AA, Chong CM, Chong CW, Abushelaibi A, Lim SE, Lai KS. Terpene derivatives as a potential agent against antimicrobial resistance (AMR) pathogens. Molecules 2019 ; </w:t>
      </w:r>
      <w:r w:rsidRPr="00365EEF">
        <w:rPr>
          <w:rFonts w:asciiTheme="minorHAnsi" w:hAnsiTheme="minorHAnsi" w:cstheme="minorHAnsi"/>
          <w:iCs/>
          <w:color w:val="auto"/>
          <w:sz w:val="24"/>
          <w:szCs w:val="24"/>
          <w:lang w:val="fr-FR"/>
        </w:rPr>
        <w:t>24 </w:t>
      </w:r>
      <w:r w:rsidRPr="00365EEF">
        <w:rPr>
          <w:rFonts w:asciiTheme="minorHAnsi" w:hAnsiTheme="minorHAnsi" w:cstheme="minorHAnsi"/>
          <w:color w:val="auto"/>
          <w:sz w:val="24"/>
          <w:szCs w:val="24"/>
          <w:lang w:val="fr-FR"/>
        </w:rPr>
        <w:t xml:space="preserve">: 2631. </w:t>
      </w:r>
      <w:hyperlink r:id="rId21" w:history="1">
        <w:r w:rsidRPr="00365EEF">
          <w:rPr>
            <w:rStyle w:val="Lienhypertexte"/>
            <w:rFonts w:asciiTheme="minorHAnsi" w:hAnsiTheme="minorHAnsi" w:cstheme="minorHAnsi"/>
            <w:color w:val="auto"/>
            <w:sz w:val="24"/>
            <w:szCs w:val="24"/>
            <w:u w:val="none"/>
            <w:lang w:val="fr-FR"/>
          </w:rPr>
          <w:t>https://doi.org/10.3390/molecules24142631</w:t>
        </w:r>
      </w:hyperlink>
      <w:r w:rsidRPr="00365EEF">
        <w:rPr>
          <w:rFonts w:asciiTheme="minorHAnsi" w:hAnsiTheme="minorHAnsi" w:cstheme="minorHAnsi"/>
          <w:color w:val="auto"/>
          <w:sz w:val="24"/>
          <w:szCs w:val="24"/>
          <w:lang w:val="fr-FR"/>
        </w:rPr>
        <w:t>.</w:t>
      </w:r>
    </w:p>
    <w:p w14:paraId="604F7A89" w14:textId="77777777" w:rsidR="000725D1" w:rsidRPr="00365EEF" w:rsidRDefault="000725D1" w:rsidP="000725D1">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Arbab IA, Abdul AB, Aspollah M, Abdullah R, Abdelwahab SI, Ibrahim MY, Ali LZ. A review of traditional uses, phytochemical and pharmacological aspects of selected members of </w:t>
      </w:r>
      <w:r w:rsidRPr="00365EEF">
        <w:rPr>
          <w:rFonts w:asciiTheme="minorHAnsi" w:hAnsiTheme="minorHAnsi" w:cstheme="minorHAnsi"/>
          <w:i/>
          <w:iCs/>
          <w:color w:val="auto"/>
          <w:sz w:val="24"/>
          <w:szCs w:val="24"/>
          <w:lang w:val="fr-FR"/>
        </w:rPr>
        <w:t>Clausena</w:t>
      </w:r>
      <w:r w:rsidRPr="00365EEF">
        <w:rPr>
          <w:rFonts w:asciiTheme="minorHAnsi" w:hAnsiTheme="minorHAnsi" w:cstheme="minorHAnsi"/>
          <w:color w:val="auto"/>
          <w:sz w:val="24"/>
          <w:szCs w:val="24"/>
          <w:lang w:val="fr-FR"/>
        </w:rPr>
        <w:t xml:space="preserve"> genus (Rutaceae). J Med Plants Res 2012 ; </w:t>
      </w:r>
      <w:r w:rsidRPr="00365EEF">
        <w:rPr>
          <w:rFonts w:asciiTheme="minorHAnsi" w:hAnsiTheme="minorHAnsi" w:cstheme="minorHAnsi"/>
          <w:iCs/>
          <w:color w:val="auto"/>
          <w:sz w:val="24"/>
          <w:szCs w:val="24"/>
          <w:lang w:val="fr-FR"/>
        </w:rPr>
        <w:t>6 </w:t>
      </w:r>
      <w:r w:rsidRPr="00365EEF">
        <w:rPr>
          <w:rFonts w:asciiTheme="minorHAnsi" w:hAnsiTheme="minorHAnsi" w:cstheme="minorHAnsi"/>
          <w:color w:val="auto"/>
          <w:sz w:val="24"/>
          <w:szCs w:val="24"/>
          <w:lang w:val="fr-FR"/>
        </w:rPr>
        <w:t>: 5107–18.</w:t>
      </w:r>
    </w:p>
    <w:p w14:paraId="641CB3FB" w14:textId="77777777" w:rsidR="000725D1" w:rsidRPr="00365EEF" w:rsidRDefault="000725D1" w:rsidP="000725D1">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da Silva LYS, Paulo CLR, Moura TF, Alves DS, Pessoa RT, Araújo IM, de Morais Oliveira-Tintino CD, Tintino SR, Nonato CdFA, da Costa JGM, Ribeiro-Filho J, Coutinho HDM, Kowalska G, Mitura P, Bar M, Kowalski R, Menezes IRAd. Antibacterial activity of the essential oil of </w:t>
      </w:r>
      <w:r w:rsidRPr="00365EEF">
        <w:rPr>
          <w:rFonts w:asciiTheme="minorHAnsi" w:hAnsiTheme="minorHAnsi" w:cstheme="minorHAnsi"/>
          <w:i/>
          <w:color w:val="auto"/>
          <w:sz w:val="24"/>
          <w:szCs w:val="24"/>
          <w:lang w:val="fr-FR"/>
        </w:rPr>
        <w:t>Piper tuberculatum</w:t>
      </w:r>
      <w:r w:rsidRPr="00365EEF">
        <w:rPr>
          <w:rFonts w:asciiTheme="minorHAnsi" w:hAnsiTheme="minorHAnsi" w:cstheme="minorHAnsi"/>
          <w:color w:val="auto"/>
          <w:sz w:val="24"/>
          <w:szCs w:val="24"/>
          <w:lang w:val="fr-FR"/>
        </w:rPr>
        <w:t xml:space="preserve"> Jacq. fruits against multidrug-resistant strains: Inhibition of efflux pumps and β-lactamase. Plants 2023 ; 12(12) : 2377. </w:t>
      </w:r>
      <w:hyperlink r:id="rId22" w:history="1">
        <w:r w:rsidRPr="00365EEF">
          <w:rPr>
            <w:rStyle w:val="Lienhypertexte"/>
            <w:rFonts w:asciiTheme="minorHAnsi" w:hAnsiTheme="minorHAnsi" w:cstheme="minorHAnsi"/>
            <w:color w:val="auto"/>
            <w:sz w:val="24"/>
            <w:szCs w:val="24"/>
            <w:u w:val="none"/>
            <w:lang w:val="fr-FR"/>
          </w:rPr>
          <w:t>https://doi.org/10.3390/plants12122377</w:t>
        </w:r>
      </w:hyperlink>
    </w:p>
    <w:p w14:paraId="3C3198B3" w14:textId="77777777" w:rsidR="000725D1" w:rsidRPr="00365EEF" w:rsidRDefault="000725D1" w:rsidP="000725D1">
      <w:pPr>
        <w:pStyle w:val="MDPI81references"/>
        <w:numPr>
          <w:ilvl w:val="0"/>
          <w:numId w:val="1"/>
        </w:numPr>
        <w:spacing w:line="240" w:lineRule="auto"/>
        <w:ind w:left="425" w:hanging="425"/>
        <w:rPr>
          <w:rFonts w:asciiTheme="minorHAnsi" w:hAnsiTheme="minorHAnsi" w:cstheme="minorHAnsi"/>
          <w:b/>
          <w:bCs/>
          <w:color w:val="auto"/>
          <w:sz w:val="24"/>
          <w:szCs w:val="24"/>
        </w:rPr>
      </w:pPr>
      <w:r w:rsidRPr="00365EEF">
        <w:rPr>
          <w:rFonts w:asciiTheme="minorHAnsi" w:hAnsiTheme="minorHAnsi" w:cstheme="minorHAnsi"/>
          <w:color w:val="auto"/>
          <w:sz w:val="24"/>
          <w:szCs w:val="24"/>
        </w:rPr>
        <w:t>Prinderre P, Piccerelle P, Cauture E, Kalantzis G, Reynier J, Joachim J. Formulation and evaluation of o/w emulsions using experimental design. Int J Pharm</w:t>
      </w:r>
      <w:r w:rsidRPr="00365EEF">
        <w:rPr>
          <w:rFonts w:asciiTheme="minorHAnsi" w:hAnsiTheme="minorHAnsi" w:cstheme="minorHAnsi"/>
          <w:b/>
          <w:color w:val="auto"/>
          <w:sz w:val="24"/>
          <w:szCs w:val="24"/>
        </w:rPr>
        <w:t xml:space="preserve"> </w:t>
      </w:r>
      <w:r w:rsidRPr="00365EEF">
        <w:rPr>
          <w:rFonts w:asciiTheme="minorHAnsi" w:hAnsiTheme="minorHAnsi" w:cstheme="minorHAnsi"/>
          <w:color w:val="auto"/>
          <w:sz w:val="24"/>
          <w:szCs w:val="24"/>
        </w:rPr>
        <w:t>1998;</w:t>
      </w:r>
      <w:r w:rsidRPr="00365EEF">
        <w:rPr>
          <w:rFonts w:asciiTheme="minorHAnsi" w:hAnsiTheme="minorHAnsi" w:cstheme="minorHAnsi"/>
          <w:b/>
          <w:color w:val="auto"/>
          <w:sz w:val="24"/>
          <w:szCs w:val="24"/>
        </w:rPr>
        <w:t xml:space="preserve"> </w:t>
      </w:r>
      <w:r w:rsidRPr="00365EEF">
        <w:rPr>
          <w:rFonts w:asciiTheme="minorHAnsi" w:hAnsiTheme="minorHAnsi" w:cstheme="minorHAnsi"/>
          <w:color w:val="auto"/>
          <w:sz w:val="24"/>
          <w:szCs w:val="24"/>
        </w:rPr>
        <w:t>163, 73</w:t>
      </w:r>
      <w:r w:rsidRPr="00365EEF">
        <w:rPr>
          <w:rFonts w:ascii="Cambria Math" w:hAnsi="Cambria Math" w:cs="Cambria Math"/>
          <w:color w:val="auto"/>
          <w:sz w:val="24"/>
          <w:szCs w:val="24"/>
        </w:rPr>
        <w:t>‑</w:t>
      </w:r>
      <w:r w:rsidRPr="00365EEF">
        <w:rPr>
          <w:rFonts w:asciiTheme="minorHAnsi" w:hAnsiTheme="minorHAnsi" w:cstheme="minorHAnsi"/>
          <w:color w:val="auto"/>
          <w:sz w:val="24"/>
          <w:szCs w:val="24"/>
        </w:rPr>
        <w:t>9.</w:t>
      </w:r>
      <w:r w:rsidRPr="00365EEF">
        <w:rPr>
          <w:rFonts w:asciiTheme="minorHAnsi" w:hAnsiTheme="minorHAnsi" w:cstheme="minorHAnsi"/>
          <w:color w:val="auto"/>
          <w:sz w:val="24"/>
          <w:szCs w:val="24"/>
          <w:lang w:val="fr-FR"/>
        </w:rPr>
        <w:t xml:space="preserve"> </w:t>
      </w:r>
    </w:p>
    <w:p w14:paraId="55BBCFCF" w14:textId="77777777" w:rsidR="000725D1" w:rsidRPr="00365EEF" w:rsidRDefault="000725D1" w:rsidP="000725D1">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Soussy CJ, Carret G, Cavallo JD, Chardon H, Chidiac C, Choutet P, Courvalin P, Dabernat H, Drugeon H, Dubreuil L, Goldstein F, Jarlier V, Leclercq R, Nicolas-Chanoine MH, Philippon A, Quentin C, Rouveix B, Sirot J. « Comité de l'antibiogramme de la Société française de </w:t>
      </w:r>
      <w:r w:rsidRPr="00365EEF">
        <w:rPr>
          <w:rFonts w:asciiTheme="minorHAnsi" w:hAnsiTheme="minorHAnsi" w:cstheme="minorHAnsi"/>
          <w:color w:val="auto"/>
          <w:sz w:val="24"/>
          <w:szCs w:val="24"/>
          <w:lang w:val="fr-FR"/>
        </w:rPr>
        <w:lastRenderedPageBreak/>
        <w:t xml:space="preserve">microbiologie. Communiqué 2000--2001 [Antibiogram Committee of the French Microbiology Society. Report 2000-2001] ». Pathologie Biologie (Paris) 2000 ; 48 (9) : 832-71. </w:t>
      </w:r>
    </w:p>
    <w:p w14:paraId="21202EAA" w14:textId="77777777" w:rsidR="000725D1" w:rsidRPr="00365EEF" w:rsidRDefault="000725D1" w:rsidP="000725D1">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Lahlou M. Methods to study the phytochemistry and bioactivity of essential oils. Phytother Res 2004 ; 18 (6) : 435-48. </w:t>
      </w:r>
    </w:p>
    <w:p w14:paraId="6AAAE9E6" w14:textId="77777777" w:rsidR="000725D1" w:rsidRPr="00365EEF" w:rsidRDefault="000725D1" w:rsidP="000725D1">
      <w:pPr>
        <w:pStyle w:val="MDPI81references"/>
        <w:numPr>
          <w:ilvl w:val="0"/>
          <w:numId w:val="0"/>
        </w:numPr>
        <w:spacing w:line="240" w:lineRule="auto"/>
        <w:ind w:left="425"/>
        <w:rPr>
          <w:rFonts w:asciiTheme="minorHAnsi" w:hAnsiTheme="minorHAnsi" w:cstheme="minorHAnsi"/>
          <w:color w:val="auto"/>
          <w:sz w:val="24"/>
          <w:szCs w:val="24"/>
          <w:lang w:val="fr-FR"/>
        </w:rPr>
      </w:pPr>
    </w:p>
    <w:p w14:paraId="39DC1AF6"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Lambers H, Piessens S, Bloem A, Pronk H, Finkel P. Natural skin surface pH is on average below 5, which is beneficial for its resident flora. Int J Cosmet Sci 2006 ; 28 (5) : 359-70. </w:t>
      </w:r>
    </w:p>
    <w:p w14:paraId="4C031340"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Nguyen NNT, Nguyen TTD, Vo DL, Than DTM, Tien GP, Pham DT. Microemulsion-based topical hydrogels containing lemongrass leaf essential oil (</w:t>
      </w:r>
      <w:r w:rsidRPr="00365EEF">
        <w:rPr>
          <w:rFonts w:asciiTheme="minorHAnsi" w:hAnsiTheme="minorHAnsi" w:cstheme="minorHAnsi"/>
          <w:i/>
          <w:color w:val="auto"/>
          <w:sz w:val="24"/>
          <w:szCs w:val="24"/>
          <w:lang w:val="fr-FR"/>
        </w:rPr>
        <w:t>Cymbopogon citratus</w:t>
      </w:r>
      <w:r w:rsidRPr="00365EEF">
        <w:rPr>
          <w:rFonts w:asciiTheme="minorHAnsi" w:hAnsiTheme="minorHAnsi" w:cstheme="minorHAnsi"/>
          <w:color w:val="auto"/>
          <w:sz w:val="24"/>
          <w:szCs w:val="24"/>
          <w:lang w:val="fr-FR"/>
        </w:rPr>
        <w:t xml:space="preserve"> (DC.) Stapf) and mango seed kernel extract (</w:t>
      </w:r>
      <w:r w:rsidRPr="00365EEF">
        <w:rPr>
          <w:rFonts w:asciiTheme="minorHAnsi" w:hAnsiTheme="minorHAnsi" w:cstheme="minorHAnsi"/>
          <w:i/>
          <w:color w:val="auto"/>
          <w:sz w:val="24"/>
          <w:szCs w:val="24"/>
          <w:lang w:val="fr-FR"/>
        </w:rPr>
        <w:t>Mangifera indica</w:t>
      </w:r>
      <w:r w:rsidRPr="00365EEF">
        <w:rPr>
          <w:rFonts w:asciiTheme="minorHAnsi" w:hAnsiTheme="minorHAnsi" w:cstheme="minorHAnsi"/>
          <w:color w:val="auto"/>
          <w:sz w:val="24"/>
          <w:szCs w:val="24"/>
          <w:lang w:val="fr-FR"/>
        </w:rPr>
        <w:t xml:space="preserve"> Linn) for acne treatment : Preparation and </w:t>
      </w:r>
      <w:r w:rsidRPr="00365EEF">
        <w:rPr>
          <w:rFonts w:asciiTheme="minorHAnsi" w:hAnsiTheme="minorHAnsi" w:cstheme="minorHAnsi"/>
          <w:i/>
          <w:color w:val="auto"/>
          <w:sz w:val="24"/>
          <w:szCs w:val="24"/>
          <w:lang w:val="fr-FR"/>
        </w:rPr>
        <w:t>in-vitro</w:t>
      </w:r>
      <w:r w:rsidRPr="00365EEF">
        <w:rPr>
          <w:rFonts w:asciiTheme="minorHAnsi" w:hAnsiTheme="minorHAnsi" w:cstheme="minorHAnsi"/>
          <w:color w:val="auto"/>
          <w:sz w:val="24"/>
          <w:szCs w:val="24"/>
          <w:lang w:val="fr-FR"/>
        </w:rPr>
        <w:t xml:space="preserve"> evaluations. PLoS One 2024 ; 19 (10) : e0312841. doi: 10.1371/journal.pone.0312841. </w:t>
      </w:r>
    </w:p>
    <w:p w14:paraId="2D066DD2"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Jeon JM, Park SJ, Choi TR, Park JH, Yoon JJ. Biodegradation of polyethylene and polypropylene by </w:t>
      </w:r>
      <w:r w:rsidRPr="00365EEF">
        <w:rPr>
          <w:rFonts w:asciiTheme="minorHAnsi" w:hAnsiTheme="minorHAnsi" w:cstheme="minorHAnsi"/>
          <w:i/>
          <w:color w:val="auto"/>
          <w:sz w:val="24"/>
          <w:szCs w:val="24"/>
          <w:lang w:val="fr-FR"/>
        </w:rPr>
        <w:t>Lysinibacillus</w:t>
      </w:r>
      <w:r w:rsidRPr="00365EEF">
        <w:rPr>
          <w:rFonts w:asciiTheme="minorHAnsi" w:hAnsiTheme="minorHAnsi" w:cstheme="minorHAnsi"/>
          <w:color w:val="auto"/>
          <w:sz w:val="24"/>
          <w:szCs w:val="24"/>
          <w:lang w:val="fr-FR"/>
        </w:rPr>
        <w:t xml:space="preserve"> species JJY0216 isolated from soil grove. Polym Degrad Stab 2021 ; 191 (2021), Article 109662, 10.1016/j.polymdegradstab.2021.109662</w:t>
      </w:r>
    </w:p>
    <w:p w14:paraId="6AAFD685"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Boothe WD, Tarbox JA, Tarbox MB. Atopic dermatitis : Pathophysiology. Adv Exp Med Biol. 2024 ; 1447, 21-35. </w:t>
      </w:r>
    </w:p>
    <w:p w14:paraId="76C5A639"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 Firacative C. Invasive fungal disease in humans : are we aware of the real impact? Mem Inst Oswaldo Cruz 2020 ; 115 : e200430. doi: 10.1590/0074-02760200430.</w:t>
      </w:r>
    </w:p>
    <w:p w14:paraId="1786C6DB"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Osset-Trénor P, Pascual-Ahuir A, Proft M. 2023. Fungal drug response and antimicrobial resistance. J Fungi (Basel) 2023 ; 9(5) : 565. doi: 10.3390/jof9050565. </w:t>
      </w:r>
    </w:p>
    <w:p w14:paraId="288773A3"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Kruithoff C, Gamal A, McCormick TS, Ghannoum MA. Dermatophyte infections worldwide : Increase in incidence and associated antifungal resistance. Life (Basel). 2023 ; 14(1): 1. doi: 10.3390/life14010001. </w:t>
      </w:r>
    </w:p>
    <w:p w14:paraId="6F6BF0E7"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Aschale Y, Wubetu M, Abebaw A, Yirga T, Minwuyelet A, Toru M. A systematic review on traditional medicinal plants used for the treatment of viral and fungal infections in Ethiopia. J Exp Pharmacol 2021 ; 13 : 807-15.</w:t>
      </w:r>
    </w:p>
    <w:p w14:paraId="1B05D311"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Mei A, Ricciardo B, Raby E, Kumarasinghe SP. Plant-based therapies for dermatophyte infections. Tasman Med Journal 2022 ; 3 : 21-37.</w:t>
      </w:r>
    </w:p>
    <w:p w14:paraId="497F0479"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Chanthaboury M, Choonharuangdej S, Shrestha B, Srithavaj T. Antimicrobial properties of </w:t>
      </w:r>
      <w:r w:rsidRPr="00365EEF">
        <w:rPr>
          <w:rFonts w:asciiTheme="minorHAnsi" w:hAnsiTheme="minorHAnsi" w:cstheme="minorHAnsi"/>
          <w:i/>
          <w:iCs/>
          <w:color w:val="auto"/>
          <w:sz w:val="24"/>
          <w:szCs w:val="24"/>
          <w:lang w:val="fr-FR"/>
        </w:rPr>
        <w:t>Ocimum</w:t>
      </w:r>
      <w:r w:rsidRPr="00365EEF">
        <w:rPr>
          <w:rFonts w:asciiTheme="minorHAnsi" w:hAnsiTheme="minorHAnsi" w:cstheme="minorHAnsi"/>
          <w:color w:val="auto"/>
          <w:sz w:val="24"/>
          <w:szCs w:val="24"/>
          <w:lang w:val="fr-FR"/>
        </w:rPr>
        <w:t> species : An </w:t>
      </w:r>
      <w:r w:rsidRPr="00365EEF">
        <w:rPr>
          <w:rFonts w:asciiTheme="minorHAnsi" w:hAnsiTheme="minorHAnsi" w:cstheme="minorHAnsi"/>
          <w:i/>
          <w:iCs/>
          <w:color w:val="auto"/>
          <w:sz w:val="24"/>
          <w:szCs w:val="24"/>
          <w:lang w:val="fr-FR"/>
        </w:rPr>
        <w:t>in vitro</w:t>
      </w:r>
      <w:r w:rsidRPr="00365EEF">
        <w:rPr>
          <w:rFonts w:asciiTheme="minorHAnsi" w:hAnsiTheme="minorHAnsi" w:cstheme="minorHAnsi"/>
          <w:color w:val="auto"/>
          <w:sz w:val="24"/>
          <w:szCs w:val="24"/>
          <w:lang w:val="fr-FR"/>
        </w:rPr>
        <w:t xml:space="preserve"> study. J Int Soc Prev Community Dent 2022 ; 12 (6) : 596-602. </w:t>
      </w:r>
    </w:p>
    <w:p w14:paraId="28DB72DF"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Okoye FBC, Obonga WO, Onyegbule FA, Ndu OO, Ihekwereme CP. 2014. Chemical composition and anti-inflammatory activity of essential oils from The leaves of </w:t>
      </w:r>
      <w:r w:rsidRPr="00365EEF">
        <w:rPr>
          <w:rFonts w:asciiTheme="minorHAnsi" w:hAnsiTheme="minorHAnsi" w:cstheme="minorHAnsi"/>
          <w:i/>
          <w:color w:val="auto"/>
          <w:sz w:val="24"/>
          <w:szCs w:val="24"/>
          <w:lang w:val="fr-FR"/>
        </w:rPr>
        <w:t>Ocimum basilicum</w:t>
      </w:r>
      <w:r w:rsidRPr="00365EEF">
        <w:rPr>
          <w:rFonts w:asciiTheme="minorHAnsi" w:hAnsiTheme="minorHAnsi" w:cstheme="minorHAnsi"/>
          <w:color w:val="auto"/>
          <w:sz w:val="24"/>
          <w:szCs w:val="24"/>
          <w:lang w:val="fr-FR"/>
        </w:rPr>
        <w:t xml:space="preserve"> L. and </w:t>
      </w:r>
      <w:r w:rsidRPr="00365EEF">
        <w:rPr>
          <w:rFonts w:asciiTheme="minorHAnsi" w:hAnsiTheme="minorHAnsi" w:cstheme="minorHAnsi"/>
          <w:i/>
          <w:color w:val="auto"/>
          <w:sz w:val="24"/>
          <w:szCs w:val="24"/>
          <w:lang w:val="fr-FR"/>
        </w:rPr>
        <w:t>Ocimum gratissimum</w:t>
      </w:r>
      <w:r w:rsidRPr="00365EEF">
        <w:rPr>
          <w:rFonts w:asciiTheme="minorHAnsi" w:hAnsiTheme="minorHAnsi" w:cstheme="minorHAnsi"/>
          <w:color w:val="auto"/>
          <w:sz w:val="24"/>
          <w:szCs w:val="24"/>
          <w:lang w:val="fr-FR"/>
        </w:rPr>
        <w:t xml:space="preserve"> L. (Lamiaceae). Int J Pharm Sci Res 2014 ; 5 (6) : 2174-80.</w:t>
      </w:r>
    </w:p>
    <w:p w14:paraId="05D2917C"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i/>
          <w:color w:val="auto"/>
          <w:sz w:val="24"/>
          <w:szCs w:val="24"/>
          <w:lang w:val="fr-FR"/>
        </w:rPr>
      </w:pPr>
      <w:r w:rsidRPr="00365EEF">
        <w:rPr>
          <w:rFonts w:asciiTheme="minorHAnsi" w:hAnsiTheme="minorHAnsi" w:cstheme="minorHAnsi"/>
          <w:color w:val="auto"/>
          <w:sz w:val="24"/>
          <w:szCs w:val="24"/>
        </w:rPr>
        <w:t xml:space="preserve">Dossoukpevi, R., Ahanhanzo, C., Gbaguidi, F., Agbangla, C., Agbidinoukoun, A., Cacai, G., 1997. </w:t>
      </w:r>
      <w:r w:rsidRPr="00365EEF">
        <w:rPr>
          <w:rFonts w:asciiTheme="minorHAnsi" w:hAnsiTheme="minorHAnsi" w:cstheme="minorHAnsi"/>
          <w:color w:val="auto"/>
          <w:sz w:val="24"/>
          <w:szCs w:val="24"/>
          <w:lang w:val="fr-FR"/>
        </w:rPr>
        <w:t xml:space="preserve">« Incidence des plantes régénérées in </w:t>
      </w:r>
      <w:r w:rsidRPr="00365EEF">
        <w:rPr>
          <w:rFonts w:asciiTheme="minorHAnsi" w:hAnsiTheme="minorHAnsi" w:cstheme="minorHAnsi"/>
          <w:i/>
          <w:color w:val="auto"/>
          <w:sz w:val="24"/>
          <w:szCs w:val="24"/>
          <w:lang w:val="fr-FR"/>
        </w:rPr>
        <w:t>vitro</w:t>
      </w:r>
      <w:r w:rsidRPr="00365EEF">
        <w:rPr>
          <w:rFonts w:asciiTheme="minorHAnsi" w:hAnsiTheme="minorHAnsi" w:cstheme="minorHAnsi"/>
          <w:color w:val="auto"/>
          <w:sz w:val="24"/>
          <w:szCs w:val="24"/>
          <w:lang w:val="fr-FR"/>
        </w:rPr>
        <w:t xml:space="preserve"> sur les huiles essentielles de deux espèces de </w:t>
      </w:r>
      <w:r w:rsidRPr="00365EEF">
        <w:rPr>
          <w:rFonts w:asciiTheme="minorHAnsi" w:hAnsiTheme="minorHAnsi" w:cstheme="minorHAnsi"/>
          <w:i/>
          <w:color w:val="auto"/>
          <w:sz w:val="24"/>
          <w:szCs w:val="24"/>
          <w:lang w:val="fr-FR"/>
        </w:rPr>
        <w:t xml:space="preserve">Ocimum </w:t>
      </w:r>
      <w:r w:rsidRPr="00365EEF">
        <w:rPr>
          <w:rFonts w:asciiTheme="minorHAnsi" w:hAnsiTheme="minorHAnsi" w:cstheme="minorHAnsi"/>
          <w:color w:val="auto"/>
          <w:sz w:val="24"/>
          <w:szCs w:val="24"/>
          <w:lang w:val="fr-FR"/>
        </w:rPr>
        <w:t xml:space="preserve">cultvées au Bénin. » Journal of Applied Biosciences 99, 9441-9449. </w:t>
      </w:r>
      <w:r w:rsidRPr="00365EEF">
        <w:rPr>
          <w:rFonts w:asciiTheme="minorHAnsi" w:hAnsiTheme="minorHAnsi" w:cstheme="minorHAnsi"/>
          <w:i/>
          <w:color w:val="auto"/>
          <w:sz w:val="24"/>
          <w:szCs w:val="24"/>
          <w:lang w:val="fr-FR"/>
        </w:rPr>
        <w:t xml:space="preserve"> </w:t>
      </w:r>
    </w:p>
    <w:p w14:paraId="7A23E58F"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rPr>
      </w:pPr>
      <w:r w:rsidRPr="00365EEF">
        <w:rPr>
          <w:rFonts w:asciiTheme="minorHAnsi" w:hAnsiTheme="minorHAnsi" w:cstheme="minorHAnsi"/>
          <w:color w:val="auto"/>
          <w:sz w:val="24"/>
          <w:szCs w:val="24"/>
        </w:rPr>
        <w:t>Saliu BK, Usman LA, Sani A, Muhammad NO, Akolade JO. Chemical composition and antibacterial (oral isolates) activity of leaf essential oil of</w:t>
      </w:r>
      <w:r w:rsidRPr="00365EEF">
        <w:rPr>
          <w:rFonts w:asciiTheme="minorHAnsi" w:hAnsiTheme="minorHAnsi" w:cstheme="minorHAnsi"/>
          <w:i/>
          <w:color w:val="auto"/>
          <w:sz w:val="24"/>
          <w:szCs w:val="24"/>
        </w:rPr>
        <w:t xml:space="preserve"> Ocimum gratissimum L. </w:t>
      </w:r>
      <w:r w:rsidRPr="00365EEF">
        <w:rPr>
          <w:rFonts w:asciiTheme="minorHAnsi" w:hAnsiTheme="minorHAnsi" w:cstheme="minorHAnsi"/>
          <w:color w:val="auto"/>
          <w:sz w:val="24"/>
          <w:szCs w:val="24"/>
        </w:rPr>
        <w:t xml:space="preserve">grown in north central Nigeria. Int J Curr Res 2011; 33: 22–28. </w:t>
      </w:r>
    </w:p>
    <w:p w14:paraId="4E2AA2E6"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Khalid AK, El-Gohary AE. Effect of seasonal variations on essential oil production and composition of </w:t>
      </w:r>
      <w:r w:rsidRPr="00365EEF">
        <w:rPr>
          <w:rFonts w:asciiTheme="minorHAnsi" w:hAnsiTheme="minorHAnsi" w:cstheme="minorHAnsi"/>
          <w:i/>
          <w:color w:val="auto"/>
          <w:sz w:val="24"/>
          <w:szCs w:val="24"/>
          <w:lang w:val="fr-FR"/>
        </w:rPr>
        <w:t>Plectranthus amboinicus</w:t>
      </w:r>
      <w:r w:rsidRPr="00365EEF">
        <w:rPr>
          <w:rFonts w:asciiTheme="minorHAnsi" w:hAnsiTheme="minorHAnsi" w:cstheme="minorHAnsi"/>
          <w:color w:val="auto"/>
          <w:sz w:val="24"/>
          <w:szCs w:val="24"/>
          <w:lang w:val="fr-FR"/>
        </w:rPr>
        <w:t xml:space="preserve"> (Lour.) grow in Egypt. Int Food Res J 2014 ; 21(5) 1859-62.</w:t>
      </w:r>
    </w:p>
    <w:p w14:paraId="54B82673"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lastRenderedPageBreak/>
        <w:t xml:space="preserve">Tchoumbougnang F, Jazet DPM, Sameza ML, Mbanjo EGN, Fotso GBT, Amvam-Zollo PH, Menut C. « Activité larvicide sur </w:t>
      </w:r>
      <w:r w:rsidRPr="00365EEF">
        <w:rPr>
          <w:rFonts w:asciiTheme="minorHAnsi" w:hAnsiTheme="minorHAnsi" w:cstheme="minorHAnsi"/>
          <w:i/>
          <w:color w:val="auto"/>
          <w:sz w:val="24"/>
          <w:szCs w:val="24"/>
          <w:lang w:val="fr-FR"/>
        </w:rPr>
        <w:t>Anopheles gambiae</w:t>
      </w:r>
      <w:r w:rsidRPr="00365EEF">
        <w:rPr>
          <w:rFonts w:asciiTheme="minorHAnsi" w:hAnsiTheme="minorHAnsi" w:cstheme="minorHAnsi"/>
          <w:color w:val="auto"/>
          <w:sz w:val="24"/>
          <w:szCs w:val="24"/>
          <w:lang w:val="fr-FR"/>
        </w:rPr>
        <w:t xml:space="preserve"> Giles et composition chimique des huiles essentielles extraites de quatre plantes cultivées au Cameroun ». Biotechnology, Agronomy, Society and Environment 2009 ; 13 (1) : 77-84.</w:t>
      </w:r>
    </w:p>
    <w:p w14:paraId="37A7DBE6"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Agnaniet A, Mounzeo H, Menut C, Bessiere JM, Criton M. The essential oils of </w:t>
      </w:r>
      <w:r w:rsidRPr="00365EEF">
        <w:rPr>
          <w:rFonts w:asciiTheme="minorHAnsi" w:hAnsiTheme="minorHAnsi" w:cstheme="minorHAnsi"/>
          <w:i/>
          <w:color w:val="auto"/>
          <w:sz w:val="24"/>
          <w:szCs w:val="24"/>
          <w:lang w:val="fr-FR"/>
        </w:rPr>
        <w:t>Rinorea subintegrifolia</w:t>
      </w:r>
      <w:r w:rsidRPr="00365EEF">
        <w:rPr>
          <w:rFonts w:asciiTheme="minorHAnsi" w:hAnsiTheme="minorHAnsi" w:cstheme="minorHAnsi"/>
          <w:color w:val="auto"/>
          <w:sz w:val="24"/>
          <w:szCs w:val="24"/>
          <w:lang w:val="fr-FR"/>
        </w:rPr>
        <w:t xml:space="preserve"> O ktze and </w:t>
      </w:r>
      <w:r w:rsidRPr="00365EEF">
        <w:rPr>
          <w:rFonts w:asciiTheme="minorHAnsi" w:hAnsiTheme="minorHAnsi" w:cstheme="minorHAnsi"/>
          <w:i/>
          <w:color w:val="auto"/>
          <w:sz w:val="24"/>
          <w:szCs w:val="24"/>
          <w:lang w:val="fr-FR"/>
        </w:rPr>
        <w:t>Drypetes gosweileri</w:t>
      </w:r>
      <w:r w:rsidRPr="00365EEF">
        <w:rPr>
          <w:rFonts w:asciiTheme="minorHAnsi" w:hAnsiTheme="minorHAnsi" w:cstheme="minorHAnsi"/>
          <w:color w:val="auto"/>
          <w:sz w:val="24"/>
          <w:szCs w:val="24"/>
          <w:lang w:val="fr-FR"/>
        </w:rPr>
        <w:t xml:space="preserve"> S Moore occurring in Gabon. Flavour Fragr J 2003 ; 18 (3):207–10. </w:t>
      </w:r>
    </w:p>
    <w:p w14:paraId="3DABE364"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Tursun AO. 2022. </w:t>
      </w:r>
      <w:r w:rsidRPr="00365EEF">
        <w:rPr>
          <w:rFonts w:asciiTheme="minorHAnsi" w:hAnsiTheme="minorHAnsi" w:cstheme="minorHAnsi"/>
          <w:bCs/>
          <w:color w:val="auto"/>
          <w:sz w:val="24"/>
          <w:szCs w:val="24"/>
          <w:lang w:val="fr-FR"/>
        </w:rPr>
        <w:t>Impact of soil types on chemical composition of essential oil of purple basil.</w:t>
      </w:r>
      <w:r w:rsidRPr="00365EEF">
        <w:rPr>
          <w:rFonts w:asciiTheme="minorHAnsi" w:hAnsiTheme="minorHAnsi" w:cstheme="minorHAnsi"/>
          <w:color w:val="auto"/>
          <w:sz w:val="24"/>
          <w:szCs w:val="24"/>
          <w:lang w:val="fr-FR"/>
        </w:rPr>
        <w:t xml:space="preserve"> Saudi J Biol Sci 2022 ; 29(7) : 103314. https://doi.org/10.1016/j.sjbs.2022.103314</w:t>
      </w:r>
    </w:p>
    <w:p w14:paraId="063F4F32"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Hoch CC, Petry J, Griesbaum L, Weiser T, Werner K, Ploch M, Verschoor A, Multhoff G, Bashiri Dezfouli A, Wollenberg B. 2023. 1,8-cineole (eucalyptol) : A versatile phytochemical with therapeutic applications across multiple diseases. Biomed Pharmacother 2023 ; 167 : 115467. doi: 10.1016/j.biopha.2023.115467. </w:t>
      </w:r>
    </w:p>
    <w:p w14:paraId="45CDD8CD"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Ghazi Mirsaid, R., Falahati, M., Farahyar, S., Ghasemi, Z., Roudbary, M., Mahmoudi, S., 2024. </w:t>
      </w:r>
      <w:r w:rsidRPr="00365EEF">
        <w:rPr>
          <w:rFonts w:asciiTheme="minorHAnsi" w:hAnsiTheme="minorHAnsi" w:cstheme="minorHAnsi"/>
          <w:i/>
          <w:color w:val="auto"/>
          <w:sz w:val="24"/>
          <w:szCs w:val="24"/>
          <w:lang w:val="fr-FR"/>
        </w:rPr>
        <w:t>In vitro</w:t>
      </w:r>
      <w:r w:rsidRPr="00365EEF">
        <w:rPr>
          <w:rFonts w:asciiTheme="minorHAnsi" w:hAnsiTheme="minorHAnsi" w:cstheme="minorHAnsi"/>
          <w:color w:val="auto"/>
          <w:sz w:val="24"/>
          <w:szCs w:val="24"/>
          <w:lang w:val="fr-FR"/>
        </w:rPr>
        <w:t xml:space="preserve"> antifungal activity of eucalyptol and its interaction with antifungal drugs against clinical dermatophyte isolates including </w:t>
      </w:r>
      <w:r w:rsidRPr="00365EEF">
        <w:rPr>
          <w:rFonts w:asciiTheme="minorHAnsi" w:hAnsiTheme="minorHAnsi" w:cstheme="minorHAnsi"/>
          <w:i/>
          <w:iCs/>
          <w:color w:val="auto"/>
          <w:sz w:val="24"/>
          <w:szCs w:val="24"/>
          <w:lang w:val="fr-FR"/>
        </w:rPr>
        <w:t>Trichophyton indotineae</w:t>
      </w:r>
      <w:r w:rsidRPr="00365EEF">
        <w:rPr>
          <w:rFonts w:asciiTheme="minorHAnsi" w:hAnsiTheme="minorHAnsi" w:cstheme="minorHAnsi"/>
          <w:color w:val="auto"/>
          <w:sz w:val="24"/>
          <w:szCs w:val="24"/>
          <w:lang w:val="fr-FR"/>
        </w:rPr>
        <w:t>. </w:t>
      </w:r>
      <w:r w:rsidRPr="00365EEF">
        <w:rPr>
          <w:rFonts w:asciiTheme="minorHAnsi" w:hAnsiTheme="minorHAnsi" w:cstheme="minorHAnsi"/>
          <w:iCs/>
          <w:color w:val="auto"/>
          <w:sz w:val="24"/>
          <w:szCs w:val="24"/>
          <w:lang w:val="fr-FR"/>
        </w:rPr>
        <w:t>Discover Public Health</w:t>
      </w:r>
      <w:r w:rsidRPr="00365EEF">
        <w:rPr>
          <w:rFonts w:asciiTheme="minorHAnsi" w:hAnsiTheme="minorHAnsi" w:cstheme="minorHAnsi"/>
          <w:color w:val="auto"/>
          <w:sz w:val="24"/>
          <w:szCs w:val="24"/>
          <w:lang w:val="fr-FR"/>
        </w:rPr>
        <w:t> </w:t>
      </w:r>
      <w:r w:rsidRPr="00365EEF">
        <w:rPr>
          <w:rFonts w:asciiTheme="minorHAnsi" w:hAnsiTheme="minorHAnsi" w:cstheme="minorHAnsi"/>
          <w:bCs/>
          <w:color w:val="auto"/>
          <w:sz w:val="24"/>
          <w:szCs w:val="24"/>
          <w:lang w:val="fr-FR"/>
        </w:rPr>
        <w:t>21</w:t>
      </w:r>
      <w:r w:rsidRPr="00365EEF">
        <w:rPr>
          <w:rFonts w:asciiTheme="minorHAnsi" w:hAnsiTheme="minorHAnsi" w:cstheme="minorHAnsi"/>
          <w:color w:val="auto"/>
          <w:sz w:val="24"/>
          <w:szCs w:val="24"/>
          <w:lang w:val="fr-FR"/>
        </w:rPr>
        <w:t xml:space="preserve">, 73. </w:t>
      </w:r>
      <w:hyperlink r:id="rId23" w:history="1">
        <w:r w:rsidRPr="00365EEF">
          <w:rPr>
            <w:rStyle w:val="Lienhypertexte"/>
            <w:rFonts w:asciiTheme="minorHAnsi" w:hAnsiTheme="minorHAnsi" w:cstheme="minorHAnsi"/>
            <w:color w:val="auto"/>
            <w:sz w:val="24"/>
            <w:szCs w:val="24"/>
            <w:u w:val="none"/>
            <w:lang w:val="fr-FR"/>
          </w:rPr>
          <w:t>https://doi.org/10.1186/s12982-024-00197-8</w:t>
        </w:r>
      </w:hyperlink>
    </w:p>
    <w:p w14:paraId="05030DB0"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de Oliveira Pereira, F., Mendes, J.M., de Oliveira Lima, E., 2013. Investigation on mechanism of antifungal activity of eugenol against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Med Mycol J 2013 ; 51 (5) : 507-13. </w:t>
      </w:r>
    </w:p>
    <w:p w14:paraId="6130CAEA"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de Oliveira Lima MI, Araújo de Medeiros AC, Souza Silva KV, Cardoso GN, de Oliveira Lima E, de Oliveira Pereira F. Investigation of the antifungal potential of linalool against clinical isolates of fluconazole resistant </w:t>
      </w:r>
      <w:r w:rsidRPr="00365EEF">
        <w:rPr>
          <w:rFonts w:asciiTheme="minorHAnsi" w:hAnsiTheme="minorHAnsi" w:cstheme="minorHAnsi"/>
          <w:i/>
          <w:color w:val="auto"/>
          <w:sz w:val="24"/>
          <w:szCs w:val="24"/>
          <w:lang w:val="fr-FR"/>
        </w:rPr>
        <w:t>Trichophyton rubrum</w:t>
      </w:r>
      <w:r w:rsidRPr="00365EEF">
        <w:rPr>
          <w:rFonts w:asciiTheme="minorHAnsi" w:hAnsiTheme="minorHAnsi" w:cstheme="minorHAnsi"/>
          <w:color w:val="auto"/>
          <w:sz w:val="24"/>
          <w:szCs w:val="24"/>
          <w:lang w:val="fr-FR"/>
        </w:rPr>
        <w:t xml:space="preserve">. Med Mycol J 2017 ; 27 (2) : 195-202. </w:t>
      </w:r>
    </w:p>
    <w:p w14:paraId="27E552C5"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bCs/>
          <w:color w:val="auto"/>
          <w:sz w:val="24"/>
          <w:szCs w:val="24"/>
          <w:lang w:val="fr-FR"/>
        </w:rPr>
      </w:pPr>
      <w:r w:rsidRPr="00365EEF">
        <w:rPr>
          <w:rFonts w:asciiTheme="minorHAnsi" w:hAnsiTheme="minorHAnsi" w:cstheme="minorHAnsi"/>
          <w:color w:val="auto"/>
          <w:sz w:val="24"/>
          <w:szCs w:val="24"/>
          <w:lang w:val="fr-FR"/>
        </w:rPr>
        <w:t>Aliabasi S, Shams-Ghahfarokhi M, Razzaghi-Abyaneh M. 2023.</w:t>
      </w:r>
      <w:r w:rsidRPr="00365EEF">
        <w:rPr>
          <w:rFonts w:asciiTheme="minorHAnsi" w:hAnsiTheme="minorHAnsi" w:cstheme="minorHAnsi"/>
          <w:bCs/>
          <w:color w:val="auto"/>
          <w:sz w:val="24"/>
          <w:szCs w:val="24"/>
          <w:lang w:val="fr-FR"/>
        </w:rPr>
        <w:t xml:space="preserve"> Eugenol effectively inhibits </w:t>
      </w:r>
      <w:r w:rsidRPr="00365EEF">
        <w:rPr>
          <w:rFonts w:asciiTheme="minorHAnsi" w:hAnsiTheme="minorHAnsi" w:cstheme="minorHAnsi"/>
          <w:bCs/>
          <w:i/>
          <w:iCs/>
          <w:color w:val="auto"/>
          <w:sz w:val="24"/>
          <w:szCs w:val="24"/>
          <w:lang w:val="fr-FR"/>
        </w:rPr>
        <w:t>Trichophyton rubrum</w:t>
      </w:r>
      <w:r w:rsidRPr="00365EEF">
        <w:rPr>
          <w:rFonts w:asciiTheme="minorHAnsi" w:hAnsiTheme="minorHAnsi" w:cstheme="minorHAnsi"/>
          <w:bCs/>
          <w:color w:val="auto"/>
          <w:sz w:val="24"/>
          <w:szCs w:val="24"/>
          <w:lang w:val="fr-FR"/>
        </w:rPr>
        <w:t> growth via affecting ergosterol synthesis, keratinase activity, and </w:t>
      </w:r>
      <w:r w:rsidRPr="00365EEF">
        <w:rPr>
          <w:rFonts w:asciiTheme="minorHAnsi" w:hAnsiTheme="minorHAnsi" w:cstheme="minorHAnsi"/>
          <w:bCs/>
          <w:i/>
          <w:iCs/>
          <w:color w:val="auto"/>
          <w:sz w:val="24"/>
          <w:szCs w:val="24"/>
          <w:lang w:val="fr-FR"/>
        </w:rPr>
        <w:t>SUB3</w:t>
      </w:r>
      <w:r w:rsidRPr="00365EEF">
        <w:rPr>
          <w:rFonts w:asciiTheme="minorHAnsi" w:hAnsiTheme="minorHAnsi" w:cstheme="minorHAnsi"/>
          <w:bCs/>
          <w:color w:val="auto"/>
          <w:sz w:val="24"/>
          <w:szCs w:val="24"/>
          <w:lang w:val="fr-FR"/>
        </w:rPr>
        <w:t> gene expression.</w:t>
      </w:r>
      <w:r w:rsidRPr="00365EEF">
        <w:rPr>
          <w:rFonts w:asciiTheme="minorHAnsi" w:hAnsiTheme="minorHAnsi" w:cstheme="minorHAnsi"/>
          <w:color w:val="auto"/>
          <w:sz w:val="24"/>
          <w:szCs w:val="24"/>
          <w:lang w:val="fr-FR"/>
        </w:rPr>
        <w:t xml:space="preserve"> </w:t>
      </w:r>
      <w:r w:rsidRPr="00365EEF">
        <w:rPr>
          <w:rFonts w:asciiTheme="minorHAnsi" w:hAnsiTheme="minorHAnsi" w:cstheme="minorHAnsi"/>
          <w:bCs/>
          <w:color w:val="auto"/>
          <w:sz w:val="24"/>
          <w:szCs w:val="24"/>
          <w:lang w:val="fr-FR"/>
        </w:rPr>
        <w:t>J Herb Med 2023 ; 42 :100768.</w:t>
      </w:r>
      <w:r w:rsidRPr="00365EEF">
        <w:rPr>
          <w:rFonts w:asciiTheme="minorHAnsi" w:hAnsiTheme="minorHAnsi" w:cstheme="minorHAnsi"/>
          <w:color w:val="auto"/>
          <w:sz w:val="24"/>
          <w:szCs w:val="24"/>
          <w:lang w:val="fr-FR"/>
        </w:rPr>
        <w:t xml:space="preserve"> </w:t>
      </w:r>
      <w:r w:rsidRPr="00365EEF">
        <w:rPr>
          <w:rFonts w:asciiTheme="minorHAnsi" w:hAnsiTheme="minorHAnsi" w:cstheme="minorHAnsi"/>
          <w:bCs/>
          <w:color w:val="auto"/>
          <w:sz w:val="24"/>
          <w:szCs w:val="24"/>
          <w:lang w:val="fr-FR"/>
        </w:rPr>
        <w:t>https://doi.org/10.1016/j.hermed.2023.100768</w:t>
      </w:r>
    </w:p>
    <w:p w14:paraId="23A5084A"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Medeiros CIS, Sousa MNA, Filho GGA, Freitas FOR, Uchoa DPL, Nobre MSC, Bezerra ALD, Rolim LADMM, Morais AMB, Nogueira TBSS, Nogueira RBSS, Filho AAO, Lima EO. Antifungal activity of linalool against fluconazole-resistant clinical strains of vulvovaginal </w:t>
      </w:r>
      <w:r w:rsidRPr="00365EEF">
        <w:rPr>
          <w:rFonts w:asciiTheme="minorHAnsi" w:hAnsiTheme="minorHAnsi" w:cstheme="minorHAnsi"/>
          <w:i/>
          <w:color w:val="auto"/>
          <w:sz w:val="24"/>
          <w:szCs w:val="24"/>
          <w:lang w:val="fr-FR"/>
        </w:rPr>
        <w:t>Candida albicans</w:t>
      </w:r>
      <w:r w:rsidRPr="00365EEF">
        <w:rPr>
          <w:rFonts w:asciiTheme="minorHAnsi" w:hAnsiTheme="minorHAnsi" w:cstheme="minorHAnsi"/>
          <w:color w:val="auto"/>
          <w:sz w:val="24"/>
          <w:szCs w:val="24"/>
          <w:lang w:val="fr-FR"/>
        </w:rPr>
        <w:t xml:space="preserve"> and its predictive mechanism of action. Braz J Med Biol Res 2022 ; 5 : e11831. doi: 10.1590/1414-431X2022e11831. </w:t>
      </w:r>
    </w:p>
    <w:p w14:paraId="0D3BC59E"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Shahina Z, Al Homsi R, Price JDW, Whiteway M, Sultana T, Dahms TES. Rosemary essential oil and its components 1,8-cineole and α-pinene induce ROS-dependent lethality and ROS-independent virulence inhibition in </w:t>
      </w:r>
      <w:r w:rsidRPr="00365EEF">
        <w:rPr>
          <w:rFonts w:asciiTheme="minorHAnsi" w:hAnsiTheme="minorHAnsi" w:cstheme="minorHAnsi"/>
          <w:i/>
          <w:color w:val="auto"/>
          <w:sz w:val="24"/>
          <w:szCs w:val="24"/>
          <w:lang w:val="fr-FR"/>
        </w:rPr>
        <w:t>Candida albicans</w:t>
      </w:r>
      <w:r w:rsidRPr="00365EEF">
        <w:rPr>
          <w:rFonts w:asciiTheme="minorHAnsi" w:hAnsiTheme="minorHAnsi" w:cstheme="minorHAnsi"/>
          <w:color w:val="auto"/>
          <w:sz w:val="24"/>
          <w:szCs w:val="24"/>
          <w:lang w:val="fr-FR"/>
        </w:rPr>
        <w:t>. PLoS ONE 2022 ; 17 : e0277097. https://doi.org/10.1371/journal.pone.0277097.</w:t>
      </w:r>
    </w:p>
    <w:p w14:paraId="491903DB"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 xml:space="preserve">Krishnamoorthy R, Gassem MA, Athinarayanan J, Periyasamy VS, Prasad S, Alshatwi AA. Antifungal activity of nanoemulsion from </w:t>
      </w:r>
      <w:r w:rsidRPr="00365EEF">
        <w:rPr>
          <w:rFonts w:asciiTheme="minorHAnsi" w:hAnsiTheme="minorHAnsi" w:cstheme="minorHAnsi"/>
          <w:i/>
          <w:color w:val="auto"/>
          <w:sz w:val="24"/>
          <w:szCs w:val="24"/>
          <w:lang w:val="fr-FR"/>
        </w:rPr>
        <w:t>Cleome viscosa</w:t>
      </w:r>
      <w:r w:rsidRPr="00365EEF">
        <w:rPr>
          <w:rFonts w:asciiTheme="minorHAnsi" w:hAnsiTheme="minorHAnsi" w:cstheme="minorHAnsi"/>
          <w:color w:val="auto"/>
          <w:sz w:val="24"/>
          <w:szCs w:val="24"/>
          <w:lang w:val="fr-FR"/>
        </w:rPr>
        <w:t xml:space="preserve"> essential oil against food-borne pathogenic </w:t>
      </w:r>
      <w:r w:rsidRPr="00365EEF">
        <w:rPr>
          <w:rFonts w:asciiTheme="minorHAnsi" w:hAnsiTheme="minorHAnsi" w:cstheme="minorHAnsi"/>
          <w:i/>
          <w:color w:val="auto"/>
          <w:sz w:val="24"/>
          <w:szCs w:val="24"/>
          <w:lang w:val="fr-FR"/>
        </w:rPr>
        <w:t>Candida albicans</w:t>
      </w:r>
      <w:r w:rsidRPr="00365EEF">
        <w:rPr>
          <w:rFonts w:asciiTheme="minorHAnsi" w:hAnsiTheme="minorHAnsi" w:cstheme="minorHAnsi"/>
          <w:color w:val="auto"/>
          <w:sz w:val="24"/>
          <w:szCs w:val="24"/>
          <w:lang w:val="fr-FR"/>
        </w:rPr>
        <w:t xml:space="preserve">. Saudi J Biol Sci 2021 ; 28 (1) : 286-93. </w:t>
      </w:r>
    </w:p>
    <w:p w14:paraId="5FB5D102" w14:textId="77777777" w:rsidR="006F62DE" w:rsidRPr="00365EEF"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365EEF">
        <w:rPr>
          <w:rFonts w:asciiTheme="minorHAnsi" w:hAnsiTheme="minorHAnsi" w:cstheme="minorHAnsi"/>
          <w:color w:val="auto"/>
          <w:sz w:val="24"/>
          <w:szCs w:val="24"/>
          <w:lang w:val="fr-FR"/>
        </w:rPr>
        <w:t>Donsi F, Sessa M, Ferrari G. Nanoencapsulation of essential oils to enhance their antimicrobial activity in foods. LWT-Food Sci Technol 2011 ; 44 (9) : 1908-14.</w:t>
      </w:r>
    </w:p>
    <w:p w14:paraId="5D201B82" w14:textId="77777777" w:rsidR="00AA469B" w:rsidRPr="00365EEF" w:rsidRDefault="006F62DE" w:rsidP="00780075">
      <w:pPr>
        <w:pStyle w:val="MDPI81references"/>
        <w:numPr>
          <w:ilvl w:val="0"/>
          <w:numId w:val="1"/>
        </w:numPr>
        <w:spacing w:line="240" w:lineRule="auto"/>
        <w:ind w:left="425" w:hanging="425"/>
        <w:rPr>
          <w:rFonts w:asciiTheme="minorHAnsi" w:hAnsiTheme="minorHAnsi" w:cstheme="minorHAnsi"/>
          <w:bCs/>
          <w:color w:val="auto"/>
          <w:sz w:val="24"/>
          <w:szCs w:val="24"/>
          <w:lang w:val="fr-FR"/>
        </w:rPr>
      </w:pPr>
      <w:r w:rsidRPr="00365EEF">
        <w:rPr>
          <w:rFonts w:asciiTheme="minorHAnsi" w:hAnsiTheme="minorHAnsi" w:cstheme="minorHAnsi"/>
          <w:bCs/>
          <w:color w:val="auto"/>
          <w:sz w:val="24"/>
          <w:szCs w:val="24"/>
          <w:lang w:val="fr-FR"/>
        </w:rPr>
        <w:t xml:space="preserve">Gülçin İ. Antioxidant activity of eugenol : a structure-activity relationship study. Journal of Medicinal Food 2011 ; 14 (9) : 975-85. </w:t>
      </w:r>
    </w:p>
    <w:p w14:paraId="33CC25A4" w14:textId="77777777" w:rsidR="00AA469B" w:rsidRPr="00365EEF" w:rsidRDefault="00AA469B" w:rsidP="006F62DE">
      <w:pPr>
        <w:spacing w:line="360" w:lineRule="auto"/>
        <w:jc w:val="both"/>
        <w:rPr>
          <w:rFonts w:cstheme="minorHAnsi"/>
          <w:sz w:val="24"/>
          <w:szCs w:val="24"/>
          <w:lang w:bidi="en-US"/>
        </w:rPr>
      </w:pPr>
    </w:p>
    <w:p w14:paraId="39CCCF22" w14:textId="77777777" w:rsidR="00AA469B" w:rsidRPr="00365EEF" w:rsidRDefault="00AA469B" w:rsidP="006F62DE">
      <w:pPr>
        <w:spacing w:line="360" w:lineRule="auto"/>
        <w:jc w:val="both"/>
        <w:rPr>
          <w:rFonts w:cstheme="minorHAnsi"/>
          <w:sz w:val="24"/>
          <w:szCs w:val="24"/>
          <w:lang w:val="en-US" w:bidi="en-US"/>
        </w:rPr>
      </w:pPr>
    </w:p>
    <w:p w14:paraId="01331AEE" w14:textId="77777777" w:rsidR="002C75C3" w:rsidRPr="00365EEF" w:rsidRDefault="002C75C3" w:rsidP="006F62DE">
      <w:pPr>
        <w:spacing w:line="360" w:lineRule="auto"/>
        <w:jc w:val="both"/>
        <w:rPr>
          <w:rFonts w:cstheme="minorHAnsi"/>
          <w:sz w:val="24"/>
          <w:szCs w:val="24"/>
          <w:lang w:bidi="en-US"/>
        </w:rPr>
      </w:pPr>
    </w:p>
    <w:p w14:paraId="209CCC31" w14:textId="77777777" w:rsidR="00531085" w:rsidRPr="00365EEF" w:rsidRDefault="00531085" w:rsidP="006F62DE">
      <w:pPr>
        <w:spacing w:line="360" w:lineRule="auto"/>
        <w:jc w:val="both"/>
        <w:rPr>
          <w:rFonts w:cstheme="minorHAnsi"/>
          <w:sz w:val="24"/>
          <w:szCs w:val="24"/>
        </w:rPr>
      </w:pPr>
    </w:p>
    <w:p w14:paraId="3A524254" w14:textId="77777777" w:rsidR="00531085" w:rsidRPr="00365EEF" w:rsidRDefault="00531085" w:rsidP="006F62DE">
      <w:pPr>
        <w:spacing w:line="360" w:lineRule="auto"/>
        <w:jc w:val="both"/>
        <w:rPr>
          <w:rFonts w:cstheme="minorHAnsi"/>
          <w:sz w:val="24"/>
          <w:szCs w:val="24"/>
        </w:rPr>
      </w:pPr>
    </w:p>
    <w:sectPr w:rsidR="00531085" w:rsidRPr="00365EEF">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soh Ayimba" w:date="2025-08-06T11:23:00Z" w:initials="EA">
    <w:p w14:paraId="416B9523" w14:textId="108AD94B" w:rsidR="00AB30B9" w:rsidRDefault="00AB30B9">
      <w:pPr>
        <w:pStyle w:val="Commentaire"/>
      </w:pPr>
      <w:r>
        <w:rPr>
          <w:rStyle w:val="Marquedecommentaire"/>
        </w:rPr>
        <w:annotationRef/>
      </w:r>
      <w:r>
        <w:t>was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6B95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41C52E" w16cex:dateUtc="2025-08-06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6B9523" w16cid:durableId="2041C5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A5C6" w14:textId="77777777" w:rsidR="0059128A" w:rsidRDefault="0059128A" w:rsidP="001836AF">
      <w:pPr>
        <w:spacing w:after="0" w:line="240" w:lineRule="auto"/>
      </w:pPr>
      <w:r>
        <w:separator/>
      </w:r>
    </w:p>
  </w:endnote>
  <w:endnote w:type="continuationSeparator" w:id="0">
    <w:p w14:paraId="53362CD9" w14:textId="77777777" w:rsidR="0059128A" w:rsidRDefault="0059128A" w:rsidP="0018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5B89" w14:textId="77777777" w:rsidR="00D61D19" w:rsidRDefault="00D61D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B499" w14:textId="77777777" w:rsidR="00D61D19" w:rsidRDefault="00D61D1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8CED" w14:textId="77777777" w:rsidR="00D61D19" w:rsidRDefault="00D61D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159F" w14:textId="77777777" w:rsidR="0059128A" w:rsidRDefault="0059128A" w:rsidP="001836AF">
      <w:pPr>
        <w:spacing w:after="0" w:line="240" w:lineRule="auto"/>
      </w:pPr>
      <w:r>
        <w:separator/>
      </w:r>
    </w:p>
  </w:footnote>
  <w:footnote w:type="continuationSeparator" w:id="0">
    <w:p w14:paraId="43A0493D" w14:textId="77777777" w:rsidR="0059128A" w:rsidRDefault="0059128A" w:rsidP="00183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CD09" w14:textId="2671F6D3" w:rsidR="00D61D19" w:rsidRDefault="00000000">
    <w:pPr>
      <w:pStyle w:val="En-tte"/>
    </w:pPr>
    <w:r>
      <w:rPr>
        <w:noProof/>
      </w:rPr>
      <w:pict w14:anchorId="4D49E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614563"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93CC" w14:textId="0C726C4D" w:rsidR="00D61D19" w:rsidRDefault="00000000">
    <w:pPr>
      <w:pStyle w:val="En-tte"/>
    </w:pPr>
    <w:r>
      <w:rPr>
        <w:noProof/>
      </w:rPr>
      <w:pict w14:anchorId="30461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614564"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0DB1" w14:textId="0344082C" w:rsidR="00D61D19" w:rsidRDefault="00000000">
    <w:pPr>
      <w:pStyle w:val="En-tte"/>
    </w:pPr>
    <w:r>
      <w:rPr>
        <w:noProof/>
      </w:rPr>
      <w:pict w14:anchorId="6756A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614562"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C040DD0A"/>
    <w:lvl w:ilvl="0" w:tplc="63A0667A">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72049ED0"/>
    <w:lvl w:ilvl="0" w:tplc="19B0BF8C">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861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82670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soh Ayimba">
    <w15:presenceInfo w15:providerId="Windows Live" w15:userId="8e7b462b6adaf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085"/>
    <w:rsid w:val="000725D1"/>
    <w:rsid w:val="00081AB7"/>
    <w:rsid w:val="00141F30"/>
    <w:rsid w:val="001836AF"/>
    <w:rsid w:val="001A118A"/>
    <w:rsid w:val="002633E8"/>
    <w:rsid w:val="00265253"/>
    <w:rsid w:val="002C75C3"/>
    <w:rsid w:val="002D18E0"/>
    <w:rsid w:val="00365EEF"/>
    <w:rsid w:val="00394A6A"/>
    <w:rsid w:val="003A7A6D"/>
    <w:rsid w:val="004050F5"/>
    <w:rsid w:val="004252C2"/>
    <w:rsid w:val="004532AF"/>
    <w:rsid w:val="0048141A"/>
    <w:rsid w:val="004F29EA"/>
    <w:rsid w:val="00531085"/>
    <w:rsid w:val="00553F6D"/>
    <w:rsid w:val="0059128A"/>
    <w:rsid w:val="005F2104"/>
    <w:rsid w:val="006A3134"/>
    <w:rsid w:val="006F62DE"/>
    <w:rsid w:val="006F71A5"/>
    <w:rsid w:val="00750F33"/>
    <w:rsid w:val="00780075"/>
    <w:rsid w:val="007B2C67"/>
    <w:rsid w:val="00814112"/>
    <w:rsid w:val="00823BD1"/>
    <w:rsid w:val="00862E1B"/>
    <w:rsid w:val="00932BB8"/>
    <w:rsid w:val="009768E7"/>
    <w:rsid w:val="009B2EF9"/>
    <w:rsid w:val="009E1332"/>
    <w:rsid w:val="009F6AE1"/>
    <w:rsid w:val="00A30E3A"/>
    <w:rsid w:val="00A56A60"/>
    <w:rsid w:val="00AA368C"/>
    <w:rsid w:val="00AA469B"/>
    <w:rsid w:val="00AB30B9"/>
    <w:rsid w:val="00B85F22"/>
    <w:rsid w:val="00C00364"/>
    <w:rsid w:val="00CC10C8"/>
    <w:rsid w:val="00CD3265"/>
    <w:rsid w:val="00D25334"/>
    <w:rsid w:val="00D61D19"/>
    <w:rsid w:val="00D877B4"/>
    <w:rsid w:val="00DD53E7"/>
    <w:rsid w:val="00DF2A05"/>
    <w:rsid w:val="00E008A4"/>
    <w:rsid w:val="00E206F1"/>
    <w:rsid w:val="00EB1C04"/>
    <w:rsid w:val="00ED0A85"/>
    <w:rsid w:val="00F27DE6"/>
    <w:rsid w:val="00F5169A"/>
    <w:rsid w:val="00FA47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384CE"/>
  <w15:chartTrackingRefBased/>
  <w15:docId w15:val="{7AE996D2-5E07-4732-83B1-6F4842C6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31085"/>
    <w:rPr>
      <w:color w:val="0563C1" w:themeColor="hyperlink"/>
      <w:u w:val="single"/>
    </w:rPr>
  </w:style>
  <w:style w:type="paragraph" w:customStyle="1" w:styleId="MDPI51figurecaption">
    <w:name w:val="MDPI_5.1_figure_caption"/>
    <w:qFormat/>
    <w:rsid w:val="00AA469B"/>
    <w:pPr>
      <w:adjustRightInd w:val="0"/>
      <w:snapToGrid w:val="0"/>
      <w:spacing w:before="120" w:after="240" w:line="280" w:lineRule="atLeast"/>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31text">
    <w:name w:val="MDPI_3.1_text"/>
    <w:qFormat/>
    <w:rsid w:val="005F2104"/>
    <w:pPr>
      <w:adjustRightInd w:val="0"/>
      <w:snapToGrid w:val="0"/>
      <w:spacing w:after="0" w:line="280" w:lineRule="atLeast"/>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qFormat/>
    <w:rsid w:val="006F62DE"/>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sz w:val="24"/>
      <w:lang w:val="en-US" w:eastAsia="de-DE" w:bidi="en-US"/>
    </w:rPr>
  </w:style>
  <w:style w:type="paragraph" w:customStyle="1" w:styleId="MDPI81references">
    <w:name w:val="MDPI_8.1_references"/>
    <w:qFormat/>
    <w:rsid w:val="006F62DE"/>
    <w:pPr>
      <w:numPr>
        <w:numId w:val="2"/>
      </w:numPr>
      <w:adjustRightInd w:val="0"/>
      <w:snapToGrid w:val="0"/>
      <w:spacing w:after="0" w:line="280" w:lineRule="atLeast"/>
      <w:jc w:val="both"/>
    </w:pPr>
    <w:rPr>
      <w:rFonts w:ascii="Palatino Linotype" w:eastAsia="Times New Roman" w:hAnsi="Palatino Linotype" w:cs="Times New Roman"/>
      <w:color w:val="000000"/>
      <w:sz w:val="18"/>
      <w:szCs w:val="20"/>
      <w:lang w:val="en-US" w:eastAsia="de-DE" w:bidi="en-US"/>
    </w:rPr>
  </w:style>
  <w:style w:type="paragraph" w:customStyle="1" w:styleId="MDPI63notes">
    <w:name w:val="MDPI_6.3_notes"/>
    <w:qFormat/>
    <w:rsid w:val="006F62DE"/>
    <w:pPr>
      <w:adjustRightInd w:val="0"/>
      <w:snapToGrid w:val="0"/>
      <w:spacing w:before="240" w:after="0" w:line="280" w:lineRule="atLeast"/>
      <w:jc w:val="both"/>
    </w:pPr>
    <w:rPr>
      <w:rFonts w:ascii="Palatino Linotype" w:eastAsia="SimSun" w:hAnsi="Palatino Linotype" w:cs="Times New Roman"/>
      <w:snapToGrid w:val="0"/>
      <w:color w:val="000000" w:themeColor="text1"/>
      <w:sz w:val="18"/>
      <w:szCs w:val="20"/>
      <w:lang w:val="en-US" w:bidi="en-US"/>
    </w:rPr>
  </w:style>
  <w:style w:type="paragraph" w:styleId="En-tte">
    <w:name w:val="header"/>
    <w:basedOn w:val="Normal"/>
    <w:link w:val="En-tteCar"/>
    <w:uiPriority w:val="99"/>
    <w:unhideWhenUsed/>
    <w:rsid w:val="001836AF"/>
    <w:pPr>
      <w:tabs>
        <w:tab w:val="center" w:pos="4680"/>
        <w:tab w:val="right" w:pos="9360"/>
      </w:tabs>
      <w:spacing w:after="0" w:line="240" w:lineRule="auto"/>
    </w:pPr>
  </w:style>
  <w:style w:type="character" w:customStyle="1" w:styleId="En-tteCar">
    <w:name w:val="En-tête Car"/>
    <w:basedOn w:val="Policepardfaut"/>
    <w:link w:val="En-tte"/>
    <w:uiPriority w:val="99"/>
    <w:rsid w:val="001836AF"/>
  </w:style>
  <w:style w:type="paragraph" w:styleId="Pieddepage">
    <w:name w:val="footer"/>
    <w:basedOn w:val="Normal"/>
    <w:link w:val="PieddepageCar"/>
    <w:uiPriority w:val="99"/>
    <w:unhideWhenUsed/>
    <w:rsid w:val="001836A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836AF"/>
  </w:style>
  <w:style w:type="character" w:styleId="Mentionnonrsolue">
    <w:name w:val="Unresolved Mention"/>
    <w:basedOn w:val="Policepardfaut"/>
    <w:uiPriority w:val="99"/>
    <w:semiHidden/>
    <w:unhideWhenUsed/>
    <w:rsid w:val="00E206F1"/>
    <w:rPr>
      <w:color w:val="605E5C"/>
      <w:shd w:val="clear" w:color="auto" w:fill="E1DFDD"/>
    </w:rPr>
  </w:style>
  <w:style w:type="character" w:styleId="Marquedecommentaire">
    <w:name w:val="annotation reference"/>
    <w:basedOn w:val="Policepardfaut"/>
    <w:uiPriority w:val="99"/>
    <w:semiHidden/>
    <w:unhideWhenUsed/>
    <w:rsid w:val="00AB30B9"/>
    <w:rPr>
      <w:sz w:val="16"/>
      <w:szCs w:val="16"/>
    </w:rPr>
  </w:style>
  <w:style w:type="paragraph" w:styleId="Commentaire">
    <w:name w:val="annotation text"/>
    <w:basedOn w:val="Normal"/>
    <w:link w:val="CommentaireCar"/>
    <w:uiPriority w:val="99"/>
    <w:semiHidden/>
    <w:unhideWhenUsed/>
    <w:rsid w:val="00AB30B9"/>
    <w:pPr>
      <w:spacing w:line="240" w:lineRule="auto"/>
    </w:pPr>
    <w:rPr>
      <w:sz w:val="20"/>
      <w:szCs w:val="20"/>
    </w:rPr>
  </w:style>
  <w:style w:type="character" w:customStyle="1" w:styleId="CommentaireCar">
    <w:name w:val="Commentaire Car"/>
    <w:basedOn w:val="Policepardfaut"/>
    <w:link w:val="Commentaire"/>
    <w:uiPriority w:val="99"/>
    <w:semiHidden/>
    <w:rsid w:val="00AB30B9"/>
    <w:rPr>
      <w:sz w:val="20"/>
      <w:szCs w:val="20"/>
    </w:rPr>
  </w:style>
  <w:style w:type="paragraph" w:styleId="Objetducommentaire">
    <w:name w:val="annotation subject"/>
    <w:basedOn w:val="Commentaire"/>
    <w:next w:val="Commentaire"/>
    <w:link w:val="ObjetducommentaireCar"/>
    <w:uiPriority w:val="99"/>
    <w:semiHidden/>
    <w:unhideWhenUsed/>
    <w:rsid w:val="00AB30B9"/>
    <w:rPr>
      <w:b/>
      <w:bCs/>
    </w:rPr>
  </w:style>
  <w:style w:type="character" w:customStyle="1" w:styleId="ObjetducommentaireCar">
    <w:name w:val="Objet du commentaire Car"/>
    <w:basedOn w:val="CommentaireCar"/>
    <w:link w:val="Objetducommentaire"/>
    <w:uiPriority w:val="99"/>
    <w:semiHidden/>
    <w:rsid w:val="00AB30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yperlink" Target="https://doi.org/10.1016/j.arabjc.2023.10487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390/molecules24142631" TargetMode="Externa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www.who.int/news-room/feature-stories/detail/traditional-medicine-has-a-long-history-of-contributing-to-conventional-medicine-and-continues-to-hold-promis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B978-0-7020-3935-5.00082-3" TargetMode="External"/><Relationship Id="rId20" Type="http://schemas.openxmlformats.org/officeDocument/2006/relationships/hyperlink" Target="https://doi.org/10.5010/JPB.2024.51.005.05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tiff"/><Relationship Id="rId23" Type="http://schemas.openxmlformats.org/officeDocument/2006/relationships/hyperlink" Target="https://doi.org/10.1186/s12982-024-00197-8" TargetMode="External"/><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hyperlink" Target="https://doi.org/10.1016/j.prenap.2024.100065" TargetMode="External"/><Relationship Id="rId31"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4.tiff"/><Relationship Id="rId22" Type="http://schemas.openxmlformats.org/officeDocument/2006/relationships/hyperlink" Target="https://doi.org/10.3390/plants1212237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27</Pages>
  <Words>8774</Words>
  <Characters>48259</Characters>
  <Application>Microsoft Office Word</Application>
  <DocSecurity>0</DocSecurity>
  <Lines>402</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dc:creator>
  <cp:keywords/>
  <dc:description/>
  <cp:lastModifiedBy>Essoh Ayimba</cp:lastModifiedBy>
  <cp:revision>5</cp:revision>
  <dcterms:created xsi:type="dcterms:W3CDTF">2025-08-06T07:47:00Z</dcterms:created>
  <dcterms:modified xsi:type="dcterms:W3CDTF">2025-08-06T10:29:00Z</dcterms:modified>
</cp:coreProperties>
</file>