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3DF59" w14:textId="77777777" w:rsidR="00387345" w:rsidRPr="00387345" w:rsidRDefault="00387345" w:rsidP="00387345">
      <w:pPr>
        <w:widowControl w:val="0"/>
        <w:autoSpaceDE w:val="0"/>
        <w:autoSpaceDN w:val="0"/>
        <w:adjustRightInd w:val="0"/>
        <w:spacing w:line="360" w:lineRule="auto"/>
        <w:ind w:left="-567" w:right="-472"/>
        <w:rPr>
          <w:rStyle w:val="Strong"/>
          <w:rFonts w:ascii="Times New Roman" w:eastAsia="Times New Roman" w:hAnsi="Times New Roman" w:cs="Times New Roman"/>
          <w:b w:val="0"/>
          <w:sz w:val="24"/>
          <w:szCs w:val="24"/>
          <w:u w:val="single"/>
          <w:lang w:eastAsia="en-IN"/>
        </w:rPr>
      </w:pPr>
      <w:r w:rsidRPr="00387345">
        <w:rPr>
          <w:rStyle w:val="Strong"/>
          <w:rFonts w:ascii="Times New Roman" w:eastAsia="Times New Roman" w:hAnsi="Times New Roman" w:cs="Times New Roman"/>
          <w:b w:val="0"/>
          <w:sz w:val="24"/>
          <w:szCs w:val="24"/>
          <w:u w:val="single"/>
          <w:lang w:eastAsia="en-IN"/>
        </w:rPr>
        <w:t xml:space="preserve">Original Research Article </w:t>
      </w:r>
    </w:p>
    <w:p w14:paraId="04B1E8F3" w14:textId="129CA007" w:rsidR="001C26AF" w:rsidRDefault="001C26AF" w:rsidP="001C26AF">
      <w:pPr>
        <w:widowControl w:val="0"/>
        <w:autoSpaceDE w:val="0"/>
        <w:autoSpaceDN w:val="0"/>
        <w:adjustRightInd w:val="0"/>
        <w:spacing w:line="360" w:lineRule="auto"/>
        <w:ind w:left="-567" w:right="-472"/>
        <w:jc w:val="center"/>
        <w:rPr>
          <w:rFonts w:ascii="Times New Roman" w:hAnsi="Times New Roman"/>
          <w:b/>
          <w:bCs/>
          <w:color w:val="000000"/>
          <w:sz w:val="24"/>
          <w:szCs w:val="24"/>
        </w:rPr>
      </w:pPr>
      <w:r w:rsidRPr="00FE4098">
        <w:rPr>
          <w:rFonts w:ascii="Times New Roman" w:hAnsi="Times New Roman"/>
          <w:b/>
          <w:bCs/>
          <w:color w:val="000000"/>
          <w:sz w:val="24"/>
          <w:szCs w:val="24"/>
        </w:rPr>
        <w:t>RELATIONSHIP BETWEEN EYE-FOOT COORDINATION AND LOWER ABDOMINAL CORE STABILITY AMONG YOUNG INDIVIDUALS BASED ON BMI</w:t>
      </w:r>
    </w:p>
    <w:p w14:paraId="5B3E4D94" w14:textId="28642170" w:rsidR="008618CE" w:rsidRDefault="008618CE"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246388E6" w14:textId="77777777" w:rsidR="00300D39" w:rsidRPr="008618CE" w:rsidRDefault="00300D39"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00330DCC" w14:textId="77777777" w:rsidR="008618CE" w:rsidRPr="008618CE" w:rsidRDefault="008618CE" w:rsidP="008618CE">
      <w:pPr>
        <w:widowControl w:val="0"/>
        <w:autoSpaceDE w:val="0"/>
        <w:autoSpaceDN w:val="0"/>
        <w:adjustRightInd w:val="0"/>
        <w:spacing w:after="0" w:line="360" w:lineRule="auto"/>
        <w:ind w:left="-567" w:right="-472"/>
        <w:jc w:val="center"/>
        <w:rPr>
          <w:rFonts w:ascii="Times New Roman" w:hAnsi="Times New Roman"/>
          <w:b/>
          <w:bCs/>
          <w:color w:val="000000"/>
          <w:kern w:val="2"/>
          <w:sz w:val="24"/>
          <w:szCs w:val="24"/>
          <w:u w:val="single"/>
          <w14:ligatures w14:val="standardContextual"/>
        </w:rPr>
      </w:pPr>
      <w:r w:rsidRPr="008618CE">
        <w:rPr>
          <w:rFonts w:ascii="Times New Roman" w:hAnsi="Times New Roman"/>
          <w:b/>
          <w:bCs/>
          <w:color w:val="000000"/>
          <w:kern w:val="2"/>
          <w:sz w:val="24"/>
          <w:szCs w:val="24"/>
          <w:u w:val="single"/>
          <w14:ligatures w14:val="standardContextual"/>
        </w:rPr>
        <w:t>ABSTRACT</w:t>
      </w:r>
    </w:p>
    <w:p w14:paraId="41A4F538"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618CE">
        <w:rPr>
          <w:rFonts w:ascii="Times New Roman" w:eastAsia="Times New Roman" w:hAnsi="Times New Roman" w:cs="Times New Roman"/>
          <w:b/>
          <w:bCs/>
          <w:sz w:val="24"/>
          <w:szCs w:val="24"/>
          <w:lang w:eastAsia="en-IN"/>
        </w:rPr>
        <w:t>Background</w:t>
      </w:r>
      <w:r w:rsidRPr="008618CE">
        <w:rPr>
          <w:rFonts w:ascii="Times New Roman" w:eastAsia="Times New Roman" w:hAnsi="Times New Roman" w:cs="Times New Roman"/>
          <w:sz w:val="24"/>
          <w:szCs w:val="24"/>
          <w:lang w:eastAsia="en-IN"/>
        </w:rPr>
        <w:t>: Eye-foot coordination and core stability are essential components of functional movement and athletic performance, yet their interrelationship across varying Body Mass Index (BMI) categories remains underexplored. This study investigates the correlation between eye-foot coordination and lower abdominal core stability in young individuals based on BMI classification.</w:t>
      </w:r>
    </w:p>
    <w:p w14:paraId="70604254"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618CE">
        <w:rPr>
          <w:rFonts w:ascii="Times New Roman" w:eastAsia="Times New Roman" w:hAnsi="Times New Roman" w:cs="Times New Roman"/>
          <w:b/>
          <w:bCs/>
          <w:sz w:val="24"/>
          <w:szCs w:val="24"/>
          <w:lang w:eastAsia="en-IN"/>
        </w:rPr>
        <w:t>Methods</w:t>
      </w:r>
      <w:r w:rsidRPr="008618CE">
        <w:rPr>
          <w:rFonts w:ascii="Times New Roman" w:eastAsia="Times New Roman" w:hAnsi="Times New Roman" w:cs="Times New Roman"/>
          <w:sz w:val="24"/>
          <w:szCs w:val="24"/>
          <w:lang w:eastAsia="en-IN"/>
        </w:rPr>
        <w:t xml:space="preserve">: An observational study was conducted among 108 participants aged 18–25 years. Core stability was evaluated using the </w:t>
      </w:r>
      <w:proofErr w:type="spellStart"/>
      <w:r w:rsidRPr="008618CE">
        <w:rPr>
          <w:rFonts w:ascii="Times New Roman" w:eastAsia="Times New Roman" w:hAnsi="Times New Roman" w:cs="Times New Roman"/>
          <w:sz w:val="24"/>
          <w:szCs w:val="24"/>
          <w:lang w:eastAsia="en-IN"/>
        </w:rPr>
        <w:t>Sahrmann</w:t>
      </w:r>
      <w:proofErr w:type="spellEnd"/>
      <w:r w:rsidRPr="008618CE">
        <w:rPr>
          <w:rFonts w:ascii="Times New Roman" w:eastAsia="Times New Roman" w:hAnsi="Times New Roman" w:cs="Times New Roman"/>
          <w:sz w:val="24"/>
          <w:szCs w:val="24"/>
          <w:lang w:eastAsia="en-IN"/>
        </w:rPr>
        <w:t xml:space="preserve"> Five-Level Core Stability Test, while eye-foot coordination was measured using the Soccer Wall Volley Test. Pearson correlation analysis was performed across BMI categories to assess associations.</w:t>
      </w:r>
    </w:p>
    <w:p w14:paraId="37DD88B4"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618CE">
        <w:rPr>
          <w:rFonts w:ascii="Times New Roman" w:eastAsia="Times New Roman" w:hAnsi="Times New Roman" w:cs="Times New Roman"/>
          <w:b/>
          <w:bCs/>
          <w:sz w:val="24"/>
          <w:szCs w:val="24"/>
          <w:lang w:eastAsia="en-IN"/>
        </w:rPr>
        <w:t>Results</w:t>
      </w:r>
      <w:r w:rsidRPr="008618CE">
        <w:rPr>
          <w:rFonts w:ascii="Times New Roman" w:eastAsia="Times New Roman" w:hAnsi="Times New Roman" w:cs="Times New Roman"/>
          <w:sz w:val="24"/>
          <w:szCs w:val="24"/>
          <w:lang w:eastAsia="en-IN"/>
        </w:rPr>
        <w:t>: A significant positive correlation was found between eye-foot coordination and core stability (r = 0.800, p &lt; 0.001), with consistent findings across BMI groups, underweight (r = 0.791), normal (r = 0.791), and overweight (r = 0.821). Overweight individuals demonstrated slightly higher coordination and stability levels.</w:t>
      </w:r>
    </w:p>
    <w:p w14:paraId="48D2225A"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618CE">
        <w:rPr>
          <w:rFonts w:ascii="Times New Roman" w:eastAsia="Times New Roman" w:hAnsi="Times New Roman" w:cs="Times New Roman"/>
          <w:b/>
          <w:bCs/>
          <w:sz w:val="24"/>
          <w:szCs w:val="24"/>
          <w:lang w:eastAsia="en-IN"/>
        </w:rPr>
        <w:t>Conclusion</w:t>
      </w:r>
      <w:r w:rsidRPr="008618CE">
        <w:rPr>
          <w:rFonts w:ascii="Times New Roman" w:eastAsia="Times New Roman" w:hAnsi="Times New Roman" w:cs="Times New Roman"/>
          <w:sz w:val="24"/>
          <w:szCs w:val="24"/>
          <w:lang w:eastAsia="en-IN"/>
        </w:rPr>
        <w:t>: These findings highlight the synergistic role of neuromuscular coordination and abdominal control in enhancing movement efficiency, irrespective of BMI. Targeted interventions integrating core strengthening and coordination training may improve functional performance among young adults.</w:t>
      </w:r>
    </w:p>
    <w:p w14:paraId="407CC30B" w14:textId="77777777" w:rsidR="008618CE" w:rsidRPr="008618CE" w:rsidRDefault="008618CE" w:rsidP="008618CE">
      <w:pPr>
        <w:spacing w:after="0" w:line="360" w:lineRule="auto"/>
        <w:rPr>
          <w:rFonts w:ascii="Times New Roman" w:hAnsi="Times New Roman" w:cs="Times New Roman"/>
          <w:i/>
          <w:kern w:val="2"/>
          <w:sz w:val="24"/>
          <w:szCs w:val="24"/>
          <w14:ligatures w14:val="standardContextual"/>
        </w:rPr>
      </w:pPr>
      <w:r w:rsidRPr="008618CE">
        <w:rPr>
          <w:rFonts w:ascii="Times New Roman" w:hAnsi="Times New Roman" w:cs="Times New Roman"/>
          <w:b/>
          <w:i/>
          <w:kern w:val="2"/>
          <w:sz w:val="24"/>
          <w:szCs w:val="24"/>
          <w14:ligatures w14:val="standardContextual"/>
        </w:rPr>
        <w:t>Keywords:</w:t>
      </w:r>
      <w:r w:rsidRPr="008618CE">
        <w:rPr>
          <w:rFonts w:ascii="Times New Roman" w:hAnsi="Times New Roman" w:cs="Times New Roman"/>
          <w:i/>
          <w:kern w:val="2"/>
          <w:sz w:val="24"/>
          <w:szCs w:val="24"/>
          <w14:ligatures w14:val="standardContextual"/>
        </w:rPr>
        <w:t xml:space="preserve"> Core Stability, Eye-foot Coordination, Body Mass Index, Neuromuscular Control, Motor Performance, </w:t>
      </w:r>
      <w:proofErr w:type="spellStart"/>
      <w:r w:rsidRPr="008618CE">
        <w:rPr>
          <w:rFonts w:ascii="Times New Roman" w:hAnsi="Times New Roman" w:cs="Times New Roman"/>
          <w:i/>
          <w:kern w:val="2"/>
          <w:sz w:val="24"/>
          <w:szCs w:val="24"/>
          <w14:ligatures w14:val="standardContextual"/>
        </w:rPr>
        <w:t>Sahrmann</w:t>
      </w:r>
      <w:proofErr w:type="spellEnd"/>
      <w:r w:rsidRPr="008618CE">
        <w:rPr>
          <w:rFonts w:ascii="Times New Roman" w:hAnsi="Times New Roman" w:cs="Times New Roman"/>
          <w:i/>
          <w:kern w:val="2"/>
          <w:sz w:val="24"/>
          <w:szCs w:val="24"/>
          <w14:ligatures w14:val="standardContextual"/>
        </w:rPr>
        <w:t xml:space="preserve"> Core Stability Test, Soccer Wall Volley Test.</w:t>
      </w:r>
    </w:p>
    <w:p w14:paraId="0D534980" w14:textId="77777777" w:rsidR="008618CE" w:rsidRPr="008618CE" w:rsidRDefault="008618CE"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4F37786F" w14:textId="77777777" w:rsidR="008618CE" w:rsidRPr="008618CE" w:rsidRDefault="008618CE"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03F759B1" w14:textId="1987B6C6" w:rsidR="008618CE" w:rsidRDefault="008618CE"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067B8DE5" w14:textId="4CFF3400" w:rsidR="00300D39" w:rsidRDefault="00300D39"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757ACB79" w14:textId="77777777" w:rsidR="00300D39" w:rsidRPr="008618CE" w:rsidRDefault="00300D39" w:rsidP="008618CE">
      <w:pPr>
        <w:widowControl w:val="0"/>
        <w:autoSpaceDE w:val="0"/>
        <w:autoSpaceDN w:val="0"/>
        <w:adjustRightInd w:val="0"/>
        <w:spacing w:after="0" w:line="360" w:lineRule="auto"/>
        <w:ind w:left="-567" w:right="-472"/>
        <w:rPr>
          <w:rFonts w:ascii="Times New Roman" w:hAnsi="Times New Roman"/>
          <w:bCs/>
          <w:color w:val="000000"/>
          <w:kern w:val="2"/>
          <w:sz w:val="24"/>
          <w:szCs w:val="24"/>
          <w14:ligatures w14:val="standardContextual"/>
        </w:rPr>
      </w:pPr>
    </w:p>
    <w:p w14:paraId="43388DBA" w14:textId="77777777" w:rsidR="008618CE" w:rsidRPr="008618CE" w:rsidRDefault="008618CE" w:rsidP="008618CE">
      <w:pPr>
        <w:widowControl w:val="0"/>
        <w:autoSpaceDE w:val="0"/>
        <w:autoSpaceDN w:val="0"/>
        <w:adjustRightInd w:val="0"/>
        <w:spacing w:after="240" w:line="360" w:lineRule="auto"/>
        <w:ind w:left="-567" w:right="-472"/>
        <w:rPr>
          <w:rFonts w:ascii="Times New Roman" w:hAnsi="Times New Roman"/>
          <w:b/>
          <w:bCs/>
          <w:color w:val="000000"/>
          <w:kern w:val="2"/>
          <w:sz w:val="24"/>
          <w:szCs w:val="24"/>
          <w14:ligatures w14:val="standardContextual"/>
        </w:rPr>
      </w:pPr>
      <w:r w:rsidRPr="008618CE">
        <w:rPr>
          <w:rFonts w:ascii="Times New Roman" w:hAnsi="Times New Roman"/>
          <w:b/>
          <w:bCs/>
          <w:color w:val="000000"/>
          <w:kern w:val="2"/>
          <w:sz w:val="24"/>
          <w:szCs w:val="24"/>
          <w14:ligatures w14:val="standardContextual"/>
        </w:rPr>
        <w:t>INTRODUCTION</w:t>
      </w:r>
    </w:p>
    <w:p w14:paraId="6BA1FBC6"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The lumbopelvic-hip complex commonly referred to as the “core” includes the lumbar vertebrae, pelvis, hip joints, and the surrounding musculoskeletal and ligamentous structures that contribute to movement control and restriction. Core stability is defined as the ability of this complex to resist perturbations, prevent vertebral buckling, and restore equilibrium following dynamic challenges.</w:t>
      </w:r>
      <w:r w:rsidRPr="008618CE">
        <w:rPr>
          <w:rFonts w:ascii="Times New Roman" w:eastAsia="Times New Roman" w:hAnsi="Times New Roman" w:cs="Times New Roman"/>
          <w:kern w:val="2"/>
          <w:sz w:val="24"/>
          <w:szCs w:val="24"/>
          <w:vertAlign w:val="superscript"/>
          <w:lang w:eastAsia="en-IN"/>
          <w14:ligatures w14:val="standardContextual"/>
        </w:rPr>
        <w:t>1</w:t>
      </w:r>
      <w:r w:rsidRPr="008618CE">
        <w:rPr>
          <w:rFonts w:ascii="Times New Roman" w:eastAsia="Times New Roman" w:hAnsi="Times New Roman" w:cs="Times New Roman"/>
          <w:kern w:val="2"/>
          <w:sz w:val="24"/>
          <w:szCs w:val="24"/>
          <w:lang w:eastAsia="en-IN"/>
          <w14:ligatures w14:val="standardContextual"/>
        </w:rPr>
        <w:t xml:space="preserve"> Originally described by Kibler as “the ability to control the position and movement of the pelvis and trunk to allow optimum development, transmission, and control of force and motion at the limb,” core stability has emerged as a foundational component of athletic performance and motor control.</w:t>
      </w:r>
      <w:r w:rsidRPr="008618CE">
        <w:rPr>
          <w:rFonts w:ascii="Times New Roman" w:eastAsia="Times New Roman" w:hAnsi="Times New Roman" w:cs="Times New Roman"/>
          <w:kern w:val="2"/>
          <w:sz w:val="24"/>
          <w:szCs w:val="24"/>
          <w:vertAlign w:val="superscript"/>
          <w:lang w:eastAsia="en-IN"/>
          <w14:ligatures w14:val="standardContextual"/>
        </w:rPr>
        <w:t>2,3</w:t>
      </w:r>
    </w:p>
    <w:p w14:paraId="4044C7A7"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Core musculature must continually adapt to shifts in posture and varying biomechanical loads, enabling efficient movement and reducing the risk of injury. This adaptability ensures spinal integrity while providing a stable platform for limb function, exemplifying the principle of “proximal stability for distal mobility.”</w:t>
      </w:r>
      <w:r w:rsidRPr="008618CE">
        <w:rPr>
          <w:rFonts w:ascii="Times New Roman" w:eastAsia="Times New Roman" w:hAnsi="Times New Roman" w:cs="Times New Roman"/>
          <w:kern w:val="2"/>
          <w:sz w:val="24"/>
          <w:szCs w:val="24"/>
          <w:vertAlign w:val="superscript"/>
          <w:lang w:eastAsia="en-IN"/>
          <w14:ligatures w14:val="standardContextual"/>
        </w:rPr>
        <w:t>3</w:t>
      </w:r>
    </w:p>
    <w:p w14:paraId="29AC1ABA"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Effective force generation and motion in the distal segments such as the arms and legs are largely governed by the dynamic support provided by core structures. Key mover muscles (e.g., latissimus dorsi, pectoralis major, quadriceps, hamstrings) and stabilizers (e.g., trapezius, </w:t>
      </w:r>
      <w:proofErr w:type="spellStart"/>
      <w:r w:rsidRPr="008618CE">
        <w:rPr>
          <w:rFonts w:ascii="Times New Roman" w:eastAsia="Times New Roman" w:hAnsi="Times New Roman" w:cs="Times New Roman"/>
          <w:kern w:val="2"/>
          <w:sz w:val="24"/>
          <w:szCs w:val="24"/>
          <w:lang w:eastAsia="en-IN"/>
          <w14:ligatures w14:val="standardContextual"/>
        </w:rPr>
        <w:t>gluteals</w:t>
      </w:r>
      <w:proofErr w:type="spellEnd"/>
      <w:r w:rsidRPr="008618CE">
        <w:rPr>
          <w:rFonts w:ascii="Times New Roman" w:eastAsia="Times New Roman" w:hAnsi="Times New Roman" w:cs="Times New Roman"/>
          <w:kern w:val="2"/>
          <w:sz w:val="24"/>
          <w:szCs w:val="24"/>
          <w:lang w:eastAsia="en-IN"/>
          <w14:ligatures w14:val="standardContextual"/>
        </w:rPr>
        <w:t>, hip rotators) are anchored at the spine and pelvis, underscoring the biomechanical significance of core stability in facilitating high-level performance and movement precision.</w:t>
      </w:r>
      <w:r w:rsidRPr="008618CE">
        <w:rPr>
          <w:rFonts w:ascii="Times New Roman" w:eastAsia="Times New Roman" w:hAnsi="Times New Roman" w:cs="Times New Roman"/>
          <w:kern w:val="2"/>
          <w:sz w:val="24"/>
          <w:szCs w:val="24"/>
          <w:vertAlign w:val="superscript"/>
          <w:lang w:eastAsia="en-IN"/>
          <w14:ligatures w14:val="standardContextual"/>
        </w:rPr>
        <w:t>3</w:t>
      </w:r>
    </w:p>
    <w:p w14:paraId="4A8A08DE"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The kinetic chain concept further highlights this connection: optimal athletic movement is achieved through synchronized activation of body segments, with core strength playing a pivotal role in ensuring velocity, timing, and coordination throughout these chains.</w:t>
      </w:r>
      <w:r w:rsidRPr="008618CE">
        <w:rPr>
          <w:rFonts w:ascii="Times New Roman" w:eastAsia="Times New Roman" w:hAnsi="Times New Roman" w:cs="Times New Roman"/>
          <w:kern w:val="2"/>
          <w:sz w:val="24"/>
          <w:szCs w:val="24"/>
          <w:vertAlign w:val="superscript"/>
          <w:lang w:eastAsia="en-IN"/>
          <w14:ligatures w14:val="standardContextual"/>
        </w:rPr>
        <w:t>3</w:t>
      </w:r>
    </w:p>
    <w:p w14:paraId="2C830870"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Coordination refers to the harmonious activation of muscles to execute controlled, efficient movements. High levels of coordination result in fluid, rapid, and accurate motor execution critical for both athletic endeavours and functional daily tasks.</w:t>
      </w:r>
      <w:r w:rsidRPr="008618CE">
        <w:rPr>
          <w:rFonts w:ascii="Times New Roman" w:eastAsia="Times New Roman" w:hAnsi="Times New Roman" w:cs="Times New Roman"/>
          <w:kern w:val="2"/>
          <w:sz w:val="24"/>
          <w:szCs w:val="24"/>
          <w:vertAlign w:val="superscript"/>
          <w:lang w:eastAsia="en-IN"/>
          <w14:ligatures w14:val="standardContextual"/>
        </w:rPr>
        <w:t>4</w:t>
      </w:r>
    </w:p>
    <w:p w14:paraId="39E777B8"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Eye-foot coordination is a specialized form of neuromuscular integration, allowing precise lower limb movement in response to visual stimuli. In sports such as soccer, basketball, and tennis, this ability is essential for anticipating trajectories, adjusting positioning, and executing complex footwork. Beyond athletics, eye-foot coordination supports safe and adaptive locomotion in everyday environments, contributing to fall prevention and postural stability.</w:t>
      </w:r>
      <w:r w:rsidRPr="008618CE">
        <w:rPr>
          <w:rFonts w:ascii="Times New Roman" w:eastAsia="Times New Roman" w:hAnsi="Times New Roman" w:cs="Times New Roman"/>
          <w:kern w:val="2"/>
          <w:sz w:val="24"/>
          <w:szCs w:val="24"/>
          <w:vertAlign w:val="superscript"/>
          <w:lang w:eastAsia="en-IN"/>
          <w14:ligatures w14:val="standardContextual"/>
        </w:rPr>
        <w:t>5</w:t>
      </w:r>
    </w:p>
    <w:p w14:paraId="7FE8AF2C"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lastRenderedPageBreak/>
        <w:t xml:space="preserve">The </w:t>
      </w:r>
      <w:proofErr w:type="spellStart"/>
      <w:r w:rsidRPr="008618CE">
        <w:rPr>
          <w:rFonts w:ascii="Times New Roman" w:eastAsia="Times New Roman" w:hAnsi="Times New Roman" w:cs="Times New Roman"/>
          <w:bCs/>
          <w:kern w:val="2"/>
          <w:sz w:val="24"/>
          <w:szCs w:val="24"/>
          <w:lang w:eastAsia="en-IN"/>
          <w14:ligatures w14:val="standardContextual"/>
        </w:rPr>
        <w:t>Sahrmann</w:t>
      </w:r>
      <w:proofErr w:type="spellEnd"/>
      <w:r w:rsidRPr="008618CE">
        <w:rPr>
          <w:rFonts w:ascii="Times New Roman" w:eastAsia="Times New Roman" w:hAnsi="Times New Roman" w:cs="Times New Roman"/>
          <w:bCs/>
          <w:kern w:val="2"/>
          <w:sz w:val="24"/>
          <w:szCs w:val="24"/>
          <w:lang w:eastAsia="en-IN"/>
          <w14:ligatures w14:val="standardContextual"/>
        </w:rPr>
        <w:t xml:space="preserve"> Five-Level Core Stability Test (SCST)</w:t>
      </w:r>
      <w:r w:rsidRPr="008618CE">
        <w:rPr>
          <w:rFonts w:ascii="Times New Roman" w:eastAsia="Times New Roman" w:hAnsi="Times New Roman" w:cs="Times New Roman"/>
          <w:kern w:val="2"/>
          <w:sz w:val="24"/>
          <w:szCs w:val="24"/>
          <w:lang w:eastAsia="en-IN"/>
          <w14:ligatures w14:val="standardContextual"/>
        </w:rPr>
        <w:t xml:space="preserve"> provides a progressive evaluation of abdominal muscle function and spinal stabilization. It has shown moderate to high reliability across different populations, serving as both a diagnostic tool and a training protocol.</w:t>
      </w:r>
      <w:r w:rsidRPr="008618CE">
        <w:rPr>
          <w:rFonts w:ascii="Times New Roman" w:eastAsia="Times New Roman" w:hAnsi="Times New Roman" w:cs="Times New Roman"/>
          <w:kern w:val="2"/>
          <w:sz w:val="24"/>
          <w:szCs w:val="24"/>
          <w:vertAlign w:val="superscript"/>
          <w:lang w:eastAsia="en-IN"/>
          <w14:ligatures w14:val="standardContextual"/>
        </w:rPr>
        <w:t>6,7,8</w:t>
      </w:r>
    </w:p>
    <w:p w14:paraId="1C952951"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Meanwhile, the </w:t>
      </w:r>
      <w:r w:rsidRPr="008618CE">
        <w:rPr>
          <w:rFonts w:ascii="Times New Roman" w:eastAsia="Times New Roman" w:hAnsi="Times New Roman" w:cs="Times New Roman"/>
          <w:bCs/>
          <w:kern w:val="2"/>
          <w:sz w:val="24"/>
          <w:szCs w:val="24"/>
          <w:lang w:eastAsia="en-IN"/>
          <w14:ligatures w14:val="standardContextual"/>
        </w:rPr>
        <w:t>Soccer Wall Volley Test (SWVT)</w:t>
      </w:r>
      <w:r w:rsidRPr="008618CE">
        <w:rPr>
          <w:rFonts w:ascii="Times New Roman" w:eastAsia="Times New Roman" w:hAnsi="Times New Roman" w:cs="Times New Roman"/>
          <w:kern w:val="2"/>
          <w:sz w:val="24"/>
          <w:szCs w:val="24"/>
          <w:lang w:eastAsia="en-IN"/>
          <w14:ligatures w14:val="standardContextual"/>
        </w:rPr>
        <w:t xml:space="preserve"> is a validated and reliable measure of eye-foot coordination. With established validity and reliability coefficients, it is broadly utilized in assessing neuromotor responsiveness and skill execution.</w:t>
      </w:r>
      <w:r w:rsidRPr="008618CE">
        <w:rPr>
          <w:rFonts w:ascii="Times New Roman" w:eastAsia="Times New Roman" w:hAnsi="Times New Roman" w:cs="Times New Roman"/>
          <w:kern w:val="2"/>
          <w:sz w:val="24"/>
          <w:szCs w:val="24"/>
          <w:vertAlign w:val="superscript"/>
          <w:lang w:eastAsia="en-IN"/>
          <w14:ligatures w14:val="standardContextual"/>
        </w:rPr>
        <w:t>9</w:t>
      </w:r>
    </w:p>
    <w:p w14:paraId="215EC57F"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Body Mass Index (BMI) is an important modifier of neuromuscular performance. Elevated BMI levels can influence balance, coordination, and core activation, possibly leading to compensatory movement patterns or reduced efficiency.</w:t>
      </w:r>
      <w:r w:rsidRPr="008618CE">
        <w:rPr>
          <w:rFonts w:ascii="Times New Roman" w:eastAsia="Times New Roman" w:hAnsi="Times New Roman" w:cs="Times New Roman"/>
          <w:kern w:val="2"/>
          <w:sz w:val="24"/>
          <w:szCs w:val="24"/>
          <w:vertAlign w:val="superscript"/>
          <w:lang w:eastAsia="en-IN"/>
          <w14:ligatures w14:val="standardContextual"/>
        </w:rPr>
        <w:t>10</w:t>
      </w:r>
      <w:r w:rsidRPr="008618CE">
        <w:rPr>
          <w:rFonts w:ascii="Times New Roman" w:eastAsia="Times New Roman" w:hAnsi="Times New Roman" w:cs="Times New Roman"/>
          <w:kern w:val="2"/>
          <w:sz w:val="24"/>
          <w:szCs w:val="24"/>
          <w:lang w:eastAsia="en-IN"/>
          <w14:ligatures w14:val="standardContextual"/>
        </w:rPr>
        <w:t xml:space="preserve"> Despite increasing research into core stability and coordination, the relationship between eye-foot coordination and lower abdominal core control across BMI categories in young individuals remains inadequately explored.</w:t>
      </w:r>
    </w:p>
    <w:p w14:paraId="4BCB4E09"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kern w:val="2"/>
          <w:sz w:val="24"/>
          <w:szCs w:val="24"/>
          <w14:ligatures w14:val="standardContextual"/>
        </w:rPr>
      </w:pPr>
      <w:r w:rsidRPr="008618CE">
        <w:rPr>
          <w:rFonts w:ascii="Times New Roman" w:hAnsi="Times New Roman" w:cs="Times New Roman"/>
          <w:kern w:val="2"/>
          <w:sz w:val="24"/>
          <w:szCs w:val="24"/>
          <w14:ligatures w14:val="standardContextual"/>
        </w:rPr>
        <w:t xml:space="preserve">Understanding the intricate relationship between </w:t>
      </w:r>
      <w:r w:rsidRPr="008618CE">
        <w:rPr>
          <w:rFonts w:ascii="Times New Roman" w:hAnsi="Times New Roman" w:cs="Times New Roman"/>
          <w:bCs/>
          <w:kern w:val="2"/>
          <w:sz w:val="24"/>
          <w:szCs w:val="24"/>
          <w14:ligatures w14:val="standardContextual"/>
        </w:rPr>
        <w:t>eye-foot coordination</w:t>
      </w:r>
      <w:r w:rsidRPr="008618CE">
        <w:rPr>
          <w:rFonts w:ascii="Times New Roman" w:hAnsi="Times New Roman" w:cs="Times New Roman"/>
          <w:kern w:val="2"/>
          <w:sz w:val="24"/>
          <w:szCs w:val="24"/>
          <w14:ligatures w14:val="standardContextual"/>
        </w:rPr>
        <w:t xml:space="preserve"> and </w:t>
      </w:r>
      <w:r w:rsidRPr="008618CE">
        <w:rPr>
          <w:rFonts w:ascii="Times New Roman" w:hAnsi="Times New Roman" w:cs="Times New Roman"/>
          <w:bCs/>
          <w:kern w:val="2"/>
          <w:sz w:val="24"/>
          <w:szCs w:val="24"/>
          <w14:ligatures w14:val="standardContextual"/>
        </w:rPr>
        <w:t>lower abdominal core stability</w:t>
      </w:r>
      <w:r w:rsidRPr="008618CE">
        <w:rPr>
          <w:rFonts w:ascii="Times New Roman" w:hAnsi="Times New Roman" w:cs="Times New Roman"/>
          <w:kern w:val="2"/>
          <w:sz w:val="24"/>
          <w:szCs w:val="24"/>
          <w14:ligatures w14:val="standardContextual"/>
        </w:rPr>
        <w:t xml:space="preserve"> in young individuals across different </w:t>
      </w:r>
      <w:r w:rsidRPr="008618CE">
        <w:rPr>
          <w:rFonts w:ascii="Times New Roman" w:hAnsi="Times New Roman" w:cs="Times New Roman"/>
          <w:bCs/>
          <w:kern w:val="2"/>
          <w:sz w:val="24"/>
          <w:szCs w:val="24"/>
          <w14:ligatures w14:val="standardContextual"/>
        </w:rPr>
        <w:t>BMI categories</w:t>
      </w:r>
      <w:r w:rsidRPr="008618CE">
        <w:rPr>
          <w:rFonts w:ascii="Times New Roman" w:hAnsi="Times New Roman" w:cs="Times New Roman"/>
          <w:kern w:val="2"/>
          <w:sz w:val="24"/>
          <w:szCs w:val="24"/>
          <w14:ligatures w14:val="standardContextual"/>
        </w:rPr>
        <w:t xml:space="preserve"> is vital for advancing performance-based interventions. These two components; visual-motor responsiveness and core control play a critical role in executing functional and athletic tasks with precision, balance, and efficiency.</w:t>
      </w:r>
    </w:p>
    <w:p w14:paraId="517D9240"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kern w:val="2"/>
          <w:sz w:val="24"/>
          <w:szCs w:val="24"/>
          <w14:ligatures w14:val="standardContextual"/>
        </w:rPr>
      </w:pPr>
      <w:r w:rsidRPr="008618CE">
        <w:rPr>
          <w:rFonts w:ascii="Times New Roman" w:hAnsi="Times New Roman" w:cs="Times New Roman"/>
          <w:kern w:val="2"/>
          <w:sz w:val="24"/>
          <w:szCs w:val="24"/>
          <w14:ligatures w14:val="standardContextual"/>
        </w:rPr>
        <w:t xml:space="preserve">Given that core stability influences postural control and limb dynamics, while eye-foot coordination governs spatial responsiveness and neuromotor timing, exploring their interaction provides valuable insights into physical competence in youth populations. Moreover, </w:t>
      </w:r>
      <w:r w:rsidRPr="008618CE">
        <w:rPr>
          <w:rFonts w:ascii="Times New Roman" w:hAnsi="Times New Roman" w:cs="Times New Roman"/>
          <w:bCs/>
          <w:kern w:val="2"/>
          <w:sz w:val="24"/>
          <w:szCs w:val="24"/>
          <w14:ligatures w14:val="standardContextual"/>
        </w:rPr>
        <w:t>BMI</w:t>
      </w:r>
      <w:r w:rsidRPr="008618CE">
        <w:rPr>
          <w:rFonts w:ascii="Times New Roman" w:hAnsi="Times New Roman" w:cs="Times New Roman"/>
          <w:b/>
          <w:kern w:val="2"/>
          <w:sz w:val="24"/>
          <w:szCs w:val="24"/>
          <w14:ligatures w14:val="standardContextual"/>
        </w:rPr>
        <w:t xml:space="preserve"> </w:t>
      </w:r>
      <w:r w:rsidRPr="008618CE">
        <w:rPr>
          <w:rFonts w:ascii="Times New Roman" w:hAnsi="Times New Roman" w:cs="Times New Roman"/>
          <w:kern w:val="2"/>
          <w:sz w:val="24"/>
          <w:szCs w:val="24"/>
          <w14:ligatures w14:val="standardContextual"/>
        </w:rPr>
        <w:t>serves as a modulating factor, potentially affecting muscular activation patterns, coordination accuracy, and core function.</w:t>
      </w:r>
    </w:p>
    <w:p w14:paraId="59607911"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kern w:val="2"/>
          <w:sz w:val="24"/>
          <w:szCs w:val="24"/>
          <w14:ligatures w14:val="standardContextual"/>
        </w:rPr>
      </w:pPr>
      <w:r w:rsidRPr="008618CE">
        <w:rPr>
          <w:rFonts w:ascii="Times New Roman" w:hAnsi="Times New Roman" w:cs="Times New Roman"/>
          <w:kern w:val="2"/>
          <w:sz w:val="24"/>
          <w:szCs w:val="24"/>
          <w14:ligatures w14:val="standardContextual"/>
        </w:rPr>
        <w:t>This study is essential for identifying targeted approaches in i</w:t>
      </w:r>
      <w:r w:rsidRPr="008618CE">
        <w:rPr>
          <w:rFonts w:ascii="Times New Roman" w:hAnsi="Times New Roman" w:cs="Times New Roman"/>
          <w:bCs/>
          <w:kern w:val="2"/>
          <w:sz w:val="24"/>
          <w:szCs w:val="24"/>
          <w14:ligatures w14:val="standardContextual"/>
        </w:rPr>
        <w:t>njury prevention</w:t>
      </w:r>
      <w:r w:rsidRPr="008618CE">
        <w:rPr>
          <w:rFonts w:ascii="Times New Roman" w:hAnsi="Times New Roman" w:cs="Times New Roman"/>
          <w:kern w:val="2"/>
          <w:sz w:val="24"/>
          <w:szCs w:val="24"/>
          <w14:ligatures w14:val="standardContextual"/>
        </w:rPr>
        <w:t xml:space="preserve"> by reducing compensatory movement risks, p</w:t>
      </w:r>
      <w:r w:rsidRPr="008618CE">
        <w:rPr>
          <w:rFonts w:ascii="Times New Roman" w:hAnsi="Times New Roman" w:cs="Times New Roman"/>
          <w:bCs/>
          <w:kern w:val="2"/>
          <w:sz w:val="24"/>
          <w:szCs w:val="24"/>
          <w14:ligatures w14:val="standardContextual"/>
        </w:rPr>
        <w:t>hysical therapy and rehabilitation</w:t>
      </w:r>
      <w:r w:rsidRPr="008618CE">
        <w:rPr>
          <w:rFonts w:ascii="Times New Roman" w:hAnsi="Times New Roman" w:cs="Times New Roman"/>
          <w:kern w:val="2"/>
          <w:sz w:val="24"/>
          <w:szCs w:val="24"/>
          <w14:ligatures w14:val="standardContextual"/>
        </w:rPr>
        <w:t xml:space="preserve"> through improved protocol design and s</w:t>
      </w:r>
      <w:r w:rsidRPr="008618CE">
        <w:rPr>
          <w:rFonts w:ascii="Times New Roman" w:hAnsi="Times New Roman" w:cs="Times New Roman"/>
          <w:bCs/>
          <w:kern w:val="2"/>
          <w:sz w:val="24"/>
          <w:szCs w:val="24"/>
          <w14:ligatures w14:val="standardContextual"/>
        </w:rPr>
        <w:t>ports conditioning</w:t>
      </w:r>
      <w:r w:rsidRPr="008618CE">
        <w:rPr>
          <w:rFonts w:ascii="Times New Roman" w:hAnsi="Times New Roman" w:cs="Times New Roman"/>
          <w:kern w:val="2"/>
          <w:sz w:val="24"/>
          <w:szCs w:val="24"/>
          <w14:ligatures w14:val="standardContextual"/>
        </w:rPr>
        <w:t xml:space="preserve"> by enhancing movement economy and performance reliability. Findings may inform the development of</w:t>
      </w:r>
      <w:r w:rsidRPr="008618CE">
        <w:rPr>
          <w:rFonts w:ascii="Times New Roman" w:hAnsi="Times New Roman" w:cs="Times New Roman"/>
          <w:b/>
          <w:kern w:val="2"/>
          <w:sz w:val="24"/>
          <w:szCs w:val="24"/>
          <w14:ligatures w14:val="standardContextual"/>
        </w:rPr>
        <w:t xml:space="preserve"> </w:t>
      </w:r>
      <w:r w:rsidRPr="008618CE">
        <w:rPr>
          <w:rFonts w:ascii="Times New Roman" w:hAnsi="Times New Roman" w:cs="Times New Roman"/>
          <w:bCs/>
          <w:kern w:val="2"/>
          <w:sz w:val="24"/>
          <w:szCs w:val="24"/>
          <w14:ligatures w14:val="standardContextual"/>
        </w:rPr>
        <w:t>BMI-specific training models</w:t>
      </w:r>
      <w:r w:rsidRPr="008618CE">
        <w:rPr>
          <w:rFonts w:ascii="Times New Roman" w:hAnsi="Times New Roman" w:cs="Times New Roman"/>
          <w:kern w:val="2"/>
          <w:sz w:val="24"/>
          <w:szCs w:val="24"/>
          <w14:ligatures w14:val="standardContextual"/>
        </w:rPr>
        <w:t xml:space="preserve"> to reinforce stability and coordination, contributing to improved athletic performance and safer, more effective movement in daily life.</w:t>
      </w:r>
    </w:p>
    <w:p w14:paraId="65115684"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
          <w:bCs/>
          <w:color w:val="000000"/>
          <w:kern w:val="2"/>
          <w:sz w:val="24"/>
          <w:szCs w:val="24"/>
          <w14:ligatures w14:val="standardContextual"/>
        </w:rPr>
      </w:pPr>
      <w:r w:rsidRPr="008618CE">
        <w:rPr>
          <w:rFonts w:ascii="Times New Roman" w:hAnsi="Times New Roman" w:cs="Times New Roman"/>
          <w:b/>
          <w:bCs/>
          <w:color w:val="000000"/>
          <w:kern w:val="2"/>
          <w:sz w:val="24"/>
          <w:szCs w:val="24"/>
          <w14:ligatures w14:val="standardContextual"/>
        </w:rPr>
        <w:t>METHODOLOGY</w:t>
      </w:r>
    </w:p>
    <w:p w14:paraId="653101E2"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bCs/>
          <w:kern w:val="2"/>
          <w:sz w:val="24"/>
          <w:szCs w:val="36"/>
          <w:lang w:eastAsia="en-IN"/>
          <w14:ligatures w14:val="standardContextual"/>
        </w:rPr>
        <w:t>Study Design and Setting:</w:t>
      </w:r>
      <w:r w:rsidRPr="008618CE">
        <w:rPr>
          <w:rFonts w:ascii="Times New Roman" w:eastAsia="Times New Roman" w:hAnsi="Times New Roman" w:cs="Times New Roman"/>
          <w:bCs/>
          <w:kern w:val="2"/>
          <w:sz w:val="24"/>
          <w:szCs w:val="36"/>
          <w:lang w:eastAsia="en-IN"/>
          <w14:ligatures w14:val="standardContextual"/>
        </w:rPr>
        <w:t xml:space="preserve"> </w:t>
      </w:r>
      <w:r w:rsidRPr="008618CE">
        <w:rPr>
          <w:rFonts w:ascii="Times New Roman" w:eastAsia="Times New Roman" w:hAnsi="Times New Roman" w:cs="Times New Roman"/>
          <w:kern w:val="2"/>
          <w:sz w:val="24"/>
          <w:szCs w:val="24"/>
          <w:lang w:eastAsia="en-IN"/>
          <w14:ligatures w14:val="standardContextual"/>
        </w:rPr>
        <w:t xml:space="preserve">This observational study was conducted at Tejasvini Hospital Group of Institutions, Mangalore. The primary objective was to explore the association between eye-foot coordination and lower abdominal core stability among young adults, categorized based on their Body Mass Index (BMI). The setting provided access to a diverse group of participants aged 18–25 years, </w:t>
      </w:r>
      <w:r w:rsidRPr="008618CE">
        <w:rPr>
          <w:rFonts w:ascii="Times New Roman" w:eastAsia="Times New Roman" w:hAnsi="Times New Roman" w:cs="Times New Roman"/>
          <w:kern w:val="2"/>
          <w:sz w:val="24"/>
          <w:szCs w:val="24"/>
          <w:lang w:eastAsia="en-IN"/>
          <w14:ligatures w14:val="standardContextual"/>
        </w:rPr>
        <w:lastRenderedPageBreak/>
        <w:t>allowing for meaningful data collection under controlled clinical conditions.</w:t>
      </w:r>
    </w:p>
    <w:p w14:paraId="24222594"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kern w:val="2"/>
          <w:sz w:val="24"/>
          <w:szCs w:val="24"/>
          <w:lang w:eastAsia="en-IN"/>
          <w14:ligatures w14:val="standardContextual"/>
        </w:rPr>
        <w:t>Sample Size estimation:</w:t>
      </w:r>
      <w:r w:rsidRPr="008618CE">
        <w:rPr>
          <w:rFonts w:ascii="Times New Roman" w:eastAsia="Times New Roman" w:hAnsi="Times New Roman" w:cs="Times New Roman"/>
          <w:kern w:val="2"/>
          <w:sz w:val="24"/>
          <w:szCs w:val="24"/>
          <w:lang w:eastAsia="en-IN"/>
          <w14:ligatures w14:val="standardContextual"/>
        </w:rPr>
        <w:t xml:space="preserve"> A sample size of 108 participants was estimated using the formula n = (Z</w:t>
      </w:r>
      <w:r w:rsidRPr="008618CE">
        <w:rPr>
          <w:rFonts w:ascii="Times New Roman" w:eastAsia="Times New Roman" w:hAnsi="Times New Roman" w:cs="Times New Roman"/>
          <w:kern w:val="2"/>
          <w:sz w:val="24"/>
          <w:szCs w:val="24"/>
          <w:vertAlign w:val="subscript"/>
          <w:lang w:eastAsia="en-IN"/>
          <w14:ligatures w14:val="standardContextual"/>
        </w:rPr>
        <w:t>α/2</w:t>
      </w:r>
      <w:r w:rsidRPr="008618CE">
        <w:rPr>
          <w:rFonts w:ascii="Times New Roman" w:eastAsia="Times New Roman" w:hAnsi="Times New Roman" w:cs="Times New Roman"/>
          <w:kern w:val="2"/>
          <w:sz w:val="24"/>
          <w:szCs w:val="24"/>
          <w:lang w:eastAsia="en-IN"/>
          <w14:ligatures w14:val="standardContextual"/>
        </w:rPr>
        <w:t>)</w:t>
      </w:r>
      <w:r w:rsidRPr="008618CE">
        <w:rPr>
          <w:rFonts w:ascii="Times New Roman" w:eastAsia="Times New Roman" w:hAnsi="Times New Roman" w:cs="Times New Roman"/>
          <w:kern w:val="2"/>
          <w:sz w:val="24"/>
          <w:szCs w:val="24"/>
          <w:vertAlign w:val="superscript"/>
          <w:lang w:eastAsia="en-IN"/>
          <w14:ligatures w14:val="standardContextual"/>
        </w:rPr>
        <w:t>2</w:t>
      </w:r>
      <w:r w:rsidRPr="008618CE">
        <w:rPr>
          <w:rFonts w:ascii="Times New Roman" w:eastAsia="Times New Roman" w:hAnsi="Times New Roman" w:cs="Times New Roman"/>
          <w:kern w:val="2"/>
          <w:sz w:val="24"/>
          <w:szCs w:val="24"/>
          <w:lang w:eastAsia="en-IN"/>
          <w14:ligatures w14:val="standardContextual"/>
        </w:rPr>
        <w:t xml:space="preserve"> x σ</w:t>
      </w:r>
      <w:r w:rsidRPr="008618CE">
        <w:rPr>
          <w:rFonts w:ascii="Times New Roman" w:eastAsia="Times New Roman" w:hAnsi="Times New Roman" w:cs="Times New Roman"/>
          <w:kern w:val="2"/>
          <w:sz w:val="24"/>
          <w:szCs w:val="24"/>
          <w:vertAlign w:val="superscript"/>
          <w:lang w:eastAsia="en-IN"/>
          <w14:ligatures w14:val="standardContextual"/>
        </w:rPr>
        <w:t>2</w:t>
      </w:r>
      <w:r w:rsidRPr="008618CE">
        <w:rPr>
          <w:rFonts w:ascii="Times New Roman" w:eastAsia="Times New Roman" w:hAnsi="Times New Roman" w:cs="Times New Roman"/>
          <w:kern w:val="2"/>
          <w:sz w:val="24"/>
          <w:szCs w:val="24"/>
          <w:lang w:eastAsia="en-IN"/>
          <w14:ligatures w14:val="standardContextual"/>
        </w:rPr>
        <w:t xml:space="preserve"> / E</w:t>
      </w:r>
      <w:r w:rsidRPr="008618CE">
        <w:rPr>
          <w:rFonts w:ascii="Times New Roman" w:eastAsia="Times New Roman" w:hAnsi="Times New Roman" w:cs="Times New Roman"/>
          <w:kern w:val="2"/>
          <w:sz w:val="24"/>
          <w:szCs w:val="24"/>
          <w:vertAlign w:val="superscript"/>
          <w:lang w:eastAsia="en-IN"/>
          <w14:ligatures w14:val="standardContextual"/>
        </w:rPr>
        <w:t>2</w:t>
      </w:r>
      <w:r w:rsidRPr="008618CE">
        <w:rPr>
          <w:rFonts w:ascii="Times New Roman" w:eastAsia="Times New Roman" w:hAnsi="Times New Roman" w:cs="Times New Roman"/>
          <w:kern w:val="2"/>
          <w:sz w:val="24"/>
          <w:szCs w:val="24"/>
          <w:lang w:eastAsia="en-IN"/>
          <w14:ligatures w14:val="standardContextual"/>
        </w:rPr>
        <w:t>, where Z</w:t>
      </w:r>
      <w:r w:rsidRPr="008618CE">
        <w:rPr>
          <w:rFonts w:ascii="Times New Roman" w:eastAsia="Times New Roman" w:hAnsi="Times New Roman" w:cs="Times New Roman"/>
          <w:kern w:val="2"/>
          <w:sz w:val="24"/>
          <w:szCs w:val="24"/>
          <w:vertAlign w:val="subscript"/>
          <w:lang w:eastAsia="en-IN"/>
          <w14:ligatures w14:val="standardContextual"/>
        </w:rPr>
        <w:t>α/2</w:t>
      </w:r>
      <w:r w:rsidRPr="008618CE">
        <w:rPr>
          <w:rFonts w:ascii="Times New Roman" w:eastAsia="Times New Roman" w:hAnsi="Times New Roman" w:cs="Times New Roman"/>
          <w:kern w:val="2"/>
          <w:sz w:val="24"/>
          <w:szCs w:val="24"/>
          <w:lang w:eastAsia="en-IN"/>
          <w14:ligatures w14:val="standardContextual"/>
        </w:rPr>
        <w:t xml:space="preserve"> = 1.96, σ = 49.43, and E = 7, as referenced in prior research by Vidhi Rajani and Dr. Chintan Solanki (2023).</w:t>
      </w:r>
      <w:r w:rsidRPr="008618CE">
        <w:rPr>
          <w:rFonts w:ascii="Times New Roman" w:eastAsia="Times New Roman" w:hAnsi="Times New Roman" w:cs="Times New Roman"/>
          <w:kern w:val="2"/>
          <w:sz w:val="24"/>
          <w:szCs w:val="24"/>
          <w:vertAlign w:val="superscript"/>
          <w:lang w:eastAsia="en-IN"/>
          <w14:ligatures w14:val="standardContextual"/>
        </w:rPr>
        <w:t>11</w:t>
      </w:r>
      <w:r w:rsidRPr="008618CE">
        <w:rPr>
          <w:rFonts w:ascii="Times New Roman" w:eastAsia="Times New Roman" w:hAnsi="Times New Roman" w:cs="Times New Roman"/>
          <w:kern w:val="2"/>
          <w:sz w:val="24"/>
          <w:szCs w:val="24"/>
          <w:lang w:eastAsia="en-IN"/>
          <w14:ligatures w14:val="standardContextual"/>
        </w:rPr>
        <w:t xml:space="preserve"> Based on this calculation, a sample size of 108 participants was required to ensure sufficient statistical power.</w:t>
      </w:r>
    </w:p>
    <w:p w14:paraId="4D085683"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kern w:val="2"/>
          <w:sz w:val="24"/>
          <w:szCs w:val="24"/>
          <w:lang w:eastAsia="en-IN"/>
          <w14:ligatures w14:val="standardContextual"/>
        </w:rPr>
        <w:t>Inclusion and Exclusion Criteria:</w:t>
      </w:r>
      <w:r w:rsidRPr="008618CE">
        <w:rPr>
          <w:rFonts w:ascii="Times New Roman" w:eastAsia="Times New Roman" w:hAnsi="Times New Roman" w:cs="Times New Roman"/>
          <w:kern w:val="2"/>
          <w:sz w:val="24"/>
          <w:szCs w:val="24"/>
          <w:lang w:eastAsia="en-IN"/>
          <w14:ligatures w14:val="standardContextual"/>
        </w:rPr>
        <w:t xml:space="preserve"> Participants aged 18–25 years of any gender were considered eligible for inclusion. However, individuals presenting vestibulocochlear disorders, a history of lower limb fractures, recent ligament injuries, or meniscal tears were excluded. This criteria ensured selection of a homogeneous population free from confounding clinical conditions affecting movement or coordination.</w:t>
      </w:r>
      <w:r w:rsidRPr="008618CE">
        <w:rPr>
          <w:rFonts w:ascii="Times New Roman" w:eastAsia="Times New Roman" w:hAnsi="Times New Roman" w:cs="Times New Roman"/>
          <w:kern w:val="2"/>
          <w:sz w:val="24"/>
          <w:szCs w:val="24"/>
          <w:vertAlign w:val="superscript"/>
          <w:lang w:eastAsia="en-IN"/>
          <w14:ligatures w14:val="standardContextual"/>
        </w:rPr>
        <w:t>12</w:t>
      </w:r>
      <w:proofErr w:type="gramStart"/>
      <w:r w:rsidRPr="008618CE">
        <w:rPr>
          <w:rFonts w:ascii="Times New Roman" w:eastAsia="Times New Roman" w:hAnsi="Times New Roman" w:cs="Times New Roman"/>
          <w:kern w:val="2"/>
          <w:sz w:val="24"/>
          <w:szCs w:val="24"/>
          <w:vertAlign w:val="superscript"/>
          <w:lang w:eastAsia="en-IN"/>
          <w14:ligatures w14:val="standardContextual"/>
        </w:rPr>
        <w:t>,13</w:t>
      </w:r>
      <w:proofErr w:type="gramEnd"/>
    </w:p>
    <w:p w14:paraId="53EBBED3"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kern w:val="2"/>
          <w:sz w:val="24"/>
          <w:szCs w:val="24"/>
          <w:lang w:eastAsia="en-IN"/>
          <w14:ligatures w14:val="standardContextual"/>
        </w:rPr>
        <w:t>Participant Recruitment and Consent:</w:t>
      </w:r>
      <w:r w:rsidRPr="008618CE">
        <w:rPr>
          <w:rFonts w:ascii="Times New Roman" w:eastAsia="Times New Roman" w:hAnsi="Times New Roman" w:cs="Times New Roman"/>
          <w:kern w:val="2"/>
          <w:sz w:val="24"/>
          <w:szCs w:val="24"/>
          <w:lang w:eastAsia="en-IN"/>
          <w14:ligatures w14:val="standardContextual"/>
        </w:rPr>
        <w:t xml:space="preserve"> A total of 108 volunteers who met the eligibility criteria were recruited. Prior to participation, all individuals were provided with detailed information regarding the purpose, methods, and ethical implications of the study. Written informed consent was obtained from each participant in compliance with institutional ethical standards. </w:t>
      </w:r>
    </w:p>
    <w:p w14:paraId="16047953"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kern w:val="2"/>
          <w:sz w:val="24"/>
          <w:szCs w:val="24"/>
          <w:lang w:eastAsia="en-IN"/>
          <w14:ligatures w14:val="standardContextual"/>
        </w:rPr>
        <w:t>Study Procedure:</w:t>
      </w:r>
      <w:r w:rsidRPr="008618CE">
        <w:rPr>
          <w:rFonts w:ascii="Times New Roman" w:eastAsia="Times New Roman" w:hAnsi="Times New Roman" w:cs="Times New Roman"/>
          <w:kern w:val="2"/>
          <w:sz w:val="24"/>
          <w:szCs w:val="24"/>
          <w:lang w:eastAsia="en-IN"/>
          <w14:ligatures w14:val="standardContextual"/>
        </w:rPr>
        <w:t xml:space="preserve"> Upon recording demographic variables such as age, height, and weight, participants underwent two primary evaluations. Key equipment used during the assessments included a football, a flat wall for the Soccer Wall Volley Test (SWVT), a measuring tape, stopwatch, treatment table, and a blood pressure cuff for the </w:t>
      </w:r>
      <w:proofErr w:type="spellStart"/>
      <w:r w:rsidRPr="008618CE">
        <w:rPr>
          <w:rFonts w:ascii="Times New Roman" w:eastAsia="Times New Roman" w:hAnsi="Times New Roman" w:cs="Times New Roman"/>
          <w:kern w:val="2"/>
          <w:sz w:val="24"/>
          <w:szCs w:val="24"/>
          <w:lang w:eastAsia="en-IN"/>
          <w14:ligatures w14:val="standardContextual"/>
        </w:rPr>
        <w:t>Sahrmann</w:t>
      </w:r>
      <w:proofErr w:type="spellEnd"/>
      <w:r w:rsidRPr="008618CE">
        <w:rPr>
          <w:rFonts w:ascii="Times New Roman" w:eastAsia="Times New Roman" w:hAnsi="Times New Roman" w:cs="Times New Roman"/>
          <w:kern w:val="2"/>
          <w:sz w:val="24"/>
          <w:szCs w:val="24"/>
          <w:lang w:eastAsia="en-IN"/>
          <w14:ligatures w14:val="standardContextual"/>
        </w:rPr>
        <w:t xml:space="preserve"> Core Stability Test (SCST). These tools enabled accurate measurement of core stability and coordination parameters under consistent testing conditions. The SCST was conducted with individuals lying supine in a hook-lying position, with a neutral spine alignment. A blood pressure cuff was placed beneath the lumbar spine and inflated to 60 mmHg, which participants were required to maintain within ±10 mmHg during leg movements. This five-level test assessed lower abdominal control through progressive difficulty, providing a reliable measure of core stability.</w:t>
      </w:r>
      <w:r w:rsidRPr="008618CE">
        <w:rPr>
          <w:rFonts w:ascii="Times New Roman" w:eastAsia="Times New Roman" w:hAnsi="Times New Roman" w:cs="Times New Roman"/>
          <w:kern w:val="2"/>
          <w:sz w:val="24"/>
          <w:szCs w:val="24"/>
          <w:vertAlign w:val="superscript"/>
          <w:lang w:eastAsia="en-IN"/>
          <w14:ligatures w14:val="standardContextual"/>
        </w:rPr>
        <w:t>7</w:t>
      </w:r>
      <w:r w:rsidRPr="008618CE">
        <w:rPr>
          <w:rFonts w:ascii="Times New Roman" w:eastAsia="Times New Roman" w:hAnsi="Times New Roman" w:cs="Times New Roman"/>
          <w:kern w:val="2"/>
          <w:sz w:val="24"/>
          <w:szCs w:val="24"/>
          <w:lang w:eastAsia="en-IN"/>
          <w14:ligatures w14:val="standardContextual"/>
        </w:rPr>
        <w:t xml:space="preserve"> In the SWVT, participants stood 6 feet from a wall target and were instructed to volley a football continuously for 30 seconds, without using their hands. The highest score across three trials was selected for analysis, representing eye-foot coordination performance.</w:t>
      </w:r>
      <w:r w:rsidRPr="008618CE">
        <w:rPr>
          <w:rFonts w:ascii="Times New Roman" w:eastAsia="Times New Roman" w:hAnsi="Times New Roman" w:cs="Times New Roman"/>
          <w:kern w:val="2"/>
          <w:sz w:val="24"/>
          <w:szCs w:val="24"/>
          <w:vertAlign w:val="superscript"/>
          <w:lang w:eastAsia="en-IN"/>
          <w14:ligatures w14:val="standardContextual"/>
        </w:rPr>
        <w:t>6</w:t>
      </w:r>
    </w:p>
    <w:p w14:paraId="44AF225E"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eastAsia="Times New Roman" w:hAnsi="Times New Roman" w:cs="Times New Roman"/>
          <w:b/>
          <w:kern w:val="2"/>
          <w:sz w:val="24"/>
          <w:szCs w:val="24"/>
          <w:lang w:eastAsia="en-IN"/>
          <w14:ligatures w14:val="standardContextual"/>
        </w:rPr>
        <w:t>Outcome Measures:</w:t>
      </w:r>
      <w:r w:rsidRPr="008618CE">
        <w:rPr>
          <w:rFonts w:ascii="Times New Roman" w:eastAsia="Times New Roman" w:hAnsi="Times New Roman" w:cs="Times New Roman"/>
          <w:kern w:val="2"/>
          <w:sz w:val="24"/>
          <w:szCs w:val="24"/>
          <w:lang w:eastAsia="en-IN"/>
          <w14:ligatures w14:val="standardContextual"/>
        </w:rPr>
        <w:t xml:space="preserve"> Core stability was assessed using the SCST, while eye-foot coordination was evaluated through performance on the SWVT. These outcome measures were chosen for their relevance and reliability in quantifying motor control functions pertinent to the study’s objectives.</w:t>
      </w:r>
      <w:r w:rsidRPr="008618CE">
        <w:rPr>
          <w:rFonts w:ascii="Times New Roman" w:eastAsia="Times New Roman" w:hAnsi="Times New Roman" w:cs="Times New Roman"/>
          <w:kern w:val="2"/>
          <w:sz w:val="24"/>
          <w:szCs w:val="24"/>
          <w:vertAlign w:val="superscript"/>
          <w:lang w:eastAsia="en-IN"/>
          <w14:ligatures w14:val="standardContextual"/>
        </w:rPr>
        <w:t>6,7</w:t>
      </w:r>
    </w:p>
    <w:p w14:paraId="0DC6595A"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b/>
          <w:kern w:val="2"/>
          <w:sz w:val="24"/>
          <w:szCs w:val="24"/>
          <w:lang w:eastAsia="en-IN"/>
          <w14:ligatures w14:val="standardContextual"/>
        </w:rPr>
        <w:t>Statistical Analysis:</w:t>
      </w:r>
      <w:r w:rsidRPr="008618CE">
        <w:rPr>
          <w:rFonts w:ascii="Times New Roman" w:eastAsia="Times New Roman" w:hAnsi="Times New Roman" w:cs="Times New Roman"/>
          <w:kern w:val="2"/>
          <w:sz w:val="24"/>
          <w:szCs w:val="24"/>
          <w:lang w:eastAsia="en-IN"/>
          <w14:ligatures w14:val="standardContextual"/>
        </w:rPr>
        <w:t xml:space="preserve"> Data normality was assessed using the Kolmogorov–Smirnov test. Demographic </w:t>
      </w:r>
      <w:r w:rsidRPr="008618CE">
        <w:rPr>
          <w:rFonts w:ascii="Times New Roman" w:eastAsia="Times New Roman" w:hAnsi="Times New Roman" w:cs="Times New Roman"/>
          <w:kern w:val="2"/>
          <w:sz w:val="24"/>
          <w:szCs w:val="24"/>
          <w:lang w:eastAsia="en-IN"/>
          <w14:ligatures w14:val="standardContextual"/>
        </w:rPr>
        <w:lastRenderedPageBreak/>
        <w:t>data were expressed as mean ± standard deviation for normally distributed variables and as median with interquartile range for skewed variables. Depending on the data distribution, the association between eye-foot coordination and core stability was examined using Pearson’s correlation for parametric data and Spearman’s rank correlation for non-parametric data. The significance level was set at p ≤ 0.05, with a 95% confidence interval applied for hypothesis testing.</w:t>
      </w:r>
    </w:p>
    <w:p w14:paraId="0D5E8613"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
          <w:bCs/>
          <w:color w:val="000000"/>
          <w:kern w:val="2"/>
          <w:sz w:val="24"/>
          <w:szCs w:val="24"/>
          <w14:ligatures w14:val="standardContextual"/>
        </w:rPr>
      </w:pPr>
      <w:r w:rsidRPr="008618CE">
        <w:rPr>
          <w:rFonts w:ascii="Times New Roman" w:hAnsi="Times New Roman" w:cs="Times New Roman"/>
          <w:b/>
          <w:bCs/>
          <w:color w:val="000000"/>
          <w:kern w:val="2"/>
          <w:sz w:val="24"/>
          <w:szCs w:val="24"/>
          <w14:ligatures w14:val="standardContextual"/>
        </w:rPr>
        <w:t>RESULTS</w:t>
      </w:r>
    </w:p>
    <w:p w14:paraId="7E4A391A"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bCs/>
          <w:color w:val="000000"/>
          <w:kern w:val="2"/>
          <w:sz w:val="24"/>
          <w:szCs w:val="24"/>
          <w14:ligatures w14:val="standardContextual"/>
        </w:rPr>
      </w:pPr>
      <w:r w:rsidRPr="008618CE">
        <w:rPr>
          <w:rFonts w:ascii="Times New Roman" w:hAnsi="Times New Roman" w:cs="Times New Roman"/>
          <w:bCs/>
          <w:color w:val="000000"/>
          <w:kern w:val="2"/>
          <w:sz w:val="24"/>
          <w:szCs w:val="24"/>
          <w14:ligatures w14:val="standardContextual"/>
        </w:rPr>
        <w:t>A total of 108 participants (54 males &amp; 54 females) aged between 18-25 years were enrolled in the study. Table 1 summarizes the descriptive statistics for demographic and performance related variables. Equal representation was maintained across gender and BMI categories. Table 2 outlines the frequency distribution, including classifications from the SCST.</w:t>
      </w:r>
    </w:p>
    <w:p w14:paraId="007D8F1D"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cs="Times New Roman"/>
          <w:noProof/>
          <w:kern w:val="2"/>
          <w:sz w:val="24"/>
          <w:szCs w:val="24"/>
          <w14:ligatures w14:val="standardContextual"/>
        </w:rPr>
      </w:pPr>
      <w:r w:rsidRPr="008618CE">
        <w:rPr>
          <w:rFonts w:ascii="Times New Roman" w:hAnsi="Times New Roman"/>
          <w:bCs/>
          <w:color w:val="000000"/>
          <w:kern w:val="2"/>
          <w:sz w:val="24"/>
          <w:szCs w:val="24"/>
          <w14:ligatures w14:val="standardContextual"/>
        </w:rPr>
        <w:t xml:space="preserve">Figure 1 illustrates the variation in eye-foot coordination scores across BMI groups. Individuals with normal and overweight BMI scores demonstrated higher coordination than those classified as underweight. </w:t>
      </w:r>
      <w:r w:rsidRPr="008618CE">
        <w:rPr>
          <w:rFonts w:ascii="Times New Roman" w:hAnsi="Times New Roman" w:cs="Times New Roman"/>
          <w:noProof/>
          <w:kern w:val="2"/>
          <w:sz w:val="24"/>
          <w:szCs w:val="24"/>
          <w14:ligatures w14:val="standardContextual"/>
        </w:rPr>
        <w:t>These findings suggest a positive correlation between BMI and eye-foot coordination, with performance improving as BMI increases.</w:t>
      </w:r>
      <w:r w:rsidRPr="008618CE">
        <w:rPr>
          <w:kern w:val="2"/>
          <w14:ligatures w14:val="standardContextual"/>
        </w:rPr>
        <w:t xml:space="preserve"> </w:t>
      </w:r>
      <w:r w:rsidRPr="008618CE">
        <w:rPr>
          <w:rFonts w:ascii="Times New Roman" w:hAnsi="Times New Roman" w:cs="Times New Roman"/>
          <w:noProof/>
          <w:kern w:val="2"/>
          <w:sz w:val="24"/>
          <w:szCs w:val="24"/>
          <w14:ligatures w14:val="standardContextual"/>
        </w:rPr>
        <w:t>However, the difference between individuals with a normal BMI and those in the overweight category is minimal.</w:t>
      </w:r>
    </w:p>
    <w:p w14:paraId="6BE7F7F7"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Core stability levels, as per SCST, varied across BMI groups (Figure 2). While Level 2 was predominant across categories, overweight individuals showed a slightly higher proportion at the highest stability level (Level 5).</w:t>
      </w:r>
    </w:p>
    <w:p w14:paraId="3D20B3EC"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Pearson correlation analysis revealed a </w:t>
      </w:r>
      <w:r w:rsidRPr="008618CE">
        <w:rPr>
          <w:rFonts w:ascii="Times New Roman" w:eastAsia="Times New Roman" w:hAnsi="Times New Roman" w:cs="Times New Roman"/>
          <w:bCs/>
          <w:kern w:val="2"/>
          <w:sz w:val="24"/>
          <w:szCs w:val="24"/>
          <w:lang w:eastAsia="en-IN"/>
          <w14:ligatures w14:val="standardContextual"/>
        </w:rPr>
        <w:t>strong positive correlation</w:t>
      </w:r>
      <w:r w:rsidRPr="008618CE">
        <w:rPr>
          <w:rFonts w:ascii="Times New Roman" w:eastAsia="Times New Roman" w:hAnsi="Times New Roman" w:cs="Times New Roman"/>
          <w:kern w:val="2"/>
          <w:sz w:val="24"/>
          <w:szCs w:val="24"/>
          <w:lang w:eastAsia="en-IN"/>
          <w14:ligatures w14:val="standardContextual"/>
        </w:rPr>
        <w:t xml:space="preserve"> between eye-foot coordination and lower abdominal core stability (</w:t>
      </w:r>
      <w:r w:rsidRPr="008618CE">
        <w:rPr>
          <w:rFonts w:ascii="Times New Roman" w:eastAsia="Times New Roman" w:hAnsi="Times New Roman" w:cs="Times New Roman"/>
          <w:bCs/>
          <w:kern w:val="2"/>
          <w:sz w:val="24"/>
          <w:szCs w:val="24"/>
          <w:lang w:eastAsia="en-IN"/>
          <w14:ligatures w14:val="standardContextual"/>
        </w:rPr>
        <w:t>r = 0.800, p &lt; 0.001</w:t>
      </w:r>
      <w:r w:rsidRPr="008618CE">
        <w:rPr>
          <w:rFonts w:ascii="Times New Roman" w:eastAsia="Times New Roman" w:hAnsi="Times New Roman" w:cs="Times New Roman"/>
          <w:kern w:val="2"/>
          <w:sz w:val="24"/>
          <w:szCs w:val="24"/>
          <w:lang w:eastAsia="en-IN"/>
          <w14:ligatures w14:val="standardContextual"/>
        </w:rPr>
        <w:t xml:space="preserve">), indicating that individuals with greater core stability also tended to exhibit better coordination (Table 3). When </w:t>
      </w:r>
      <w:proofErr w:type="spellStart"/>
      <w:r w:rsidRPr="008618CE">
        <w:rPr>
          <w:rFonts w:ascii="Times New Roman" w:eastAsia="Times New Roman" w:hAnsi="Times New Roman" w:cs="Times New Roman"/>
          <w:kern w:val="2"/>
          <w:sz w:val="24"/>
          <w:szCs w:val="24"/>
          <w:lang w:eastAsia="en-IN"/>
          <w14:ligatures w14:val="standardContextual"/>
        </w:rPr>
        <w:t>analyzed</w:t>
      </w:r>
      <w:proofErr w:type="spellEnd"/>
      <w:r w:rsidRPr="008618CE">
        <w:rPr>
          <w:rFonts w:ascii="Times New Roman" w:eastAsia="Times New Roman" w:hAnsi="Times New Roman" w:cs="Times New Roman"/>
          <w:kern w:val="2"/>
          <w:sz w:val="24"/>
          <w:szCs w:val="24"/>
          <w:lang w:eastAsia="en-IN"/>
          <w14:ligatures w14:val="standardContextual"/>
        </w:rPr>
        <w:t xml:space="preserve"> across BMI subgroups, all categories showed statistically significant correlations (Table 4).</w:t>
      </w:r>
      <w:r w:rsidRPr="008618CE">
        <w:rPr>
          <w:rFonts w:ascii="Times New Roman" w:hAnsi="Times New Roman" w:cs="Times New Roman"/>
          <w:noProof/>
          <w:kern w:val="2"/>
          <w:sz w:val="24"/>
          <w:szCs w:val="24"/>
          <w14:ligatures w14:val="standardContextual"/>
        </w:rPr>
        <w:t xml:space="preserve"> These findings suggest that individuals with better lower abdominal core stability has greater eye-foot coordination, regardless of their BMI classification.</w:t>
      </w:r>
    </w:p>
    <w:tbl>
      <w:tblPr>
        <w:tblStyle w:val="TableGrid"/>
        <w:tblW w:w="0" w:type="auto"/>
        <w:jc w:val="center"/>
        <w:tblLook w:val="04A0" w:firstRow="1" w:lastRow="0" w:firstColumn="1" w:lastColumn="0" w:noHBand="0" w:noVBand="1"/>
      </w:tblPr>
      <w:tblGrid>
        <w:gridCol w:w="3091"/>
        <w:gridCol w:w="2367"/>
      </w:tblGrid>
      <w:tr w:rsidR="008618CE" w:rsidRPr="008618CE" w14:paraId="218253A0" w14:textId="77777777" w:rsidTr="001D60C1">
        <w:trPr>
          <w:trHeight w:val="355"/>
          <w:jc w:val="center"/>
        </w:trPr>
        <w:tc>
          <w:tcPr>
            <w:tcW w:w="3091" w:type="dxa"/>
            <w:vAlign w:val="center"/>
          </w:tcPr>
          <w:p w14:paraId="2AA3270C" w14:textId="77777777" w:rsidR="008618CE" w:rsidRPr="008618CE" w:rsidRDefault="008618CE" w:rsidP="008618CE">
            <w:pPr>
              <w:spacing w:line="360" w:lineRule="auto"/>
              <w:ind w:left="-536" w:firstLine="425"/>
              <w:jc w:val="center"/>
              <w:rPr>
                <w:rFonts w:ascii="Times New Roman" w:hAnsi="Times New Roman" w:cs="Times New Roman"/>
                <w:b/>
                <w:bCs/>
                <w:kern w:val="2"/>
                <w:sz w:val="24"/>
                <w:szCs w:val="24"/>
                <w:lang w:val="en-US"/>
                <w14:ligatures w14:val="standardContextual"/>
              </w:rPr>
            </w:pPr>
            <w:r w:rsidRPr="008618CE">
              <w:rPr>
                <w:rFonts w:ascii="Times New Roman" w:hAnsi="Times New Roman" w:cs="Times New Roman"/>
                <w:b/>
                <w:bCs/>
                <w:kern w:val="2"/>
                <w:sz w:val="24"/>
                <w:szCs w:val="24"/>
                <w:lang w:val="en-US"/>
                <w14:ligatures w14:val="standardContextual"/>
              </w:rPr>
              <w:t>Variables</w:t>
            </w:r>
          </w:p>
        </w:tc>
        <w:tc>
          <w:tcPr>
            <w:tcW w:w="2367" w:type="dxa"/>
            <w:vAlign w:val="center"/>
          </w:tcPr>
          <w:p w14:paraId="501DC7AF" w14:textId="77777777" w:rsidR="008618CE" w:rsidRPr="008618CE" w:rsidRDefault="008618CE" w:rsidP="008618CE">
            <w:pPr>
              <w:spacing w:line="360" w:lineRule="auto"/>
              <w:ind w:left="-536" w:firstLine="425"/>
              <w:jc w:val="center"/>
              <w:rPr>
                <w:rFonts w:ascii="Times New Roman" w:hAnsi="Times New Roman" w:cs="Times New Roman"/>
                <w:b/>
                <w:bCs/>
                <w:kern w:val="2"/>
                <w:sz w:val="24"/>
                <w:szCs w:val="24"/>
                <w:lang w:val="en-US"/>
                <w14:ligatures w14:val="standardContextual"/>
              </w:rPr>
            </w:pPr>
            <w:r w:rsidRPr="008618CE">
              <w:rPr>
                <w:rFonts w:ascii="Times New Roman" w:hAnsi="Times New Roman" w:cs="Times New Roman"/>
                <w:b/>
                <w:bCs/>
                <w:kern w:val="2"/>
                <w:sz w:val="24"/>
                <w:szCs w:val="24"/>
                <w:lang w:val="en-US"/>
                <w14:ligatures w14:val="standardContextual"/>
              </w:rPr>
              <w:t>Mean ± SD</w:t>
            </w:r>
          </w:p>
        </w:tc>
      </w:tr>
      <w:tr w:rsidR="008618CE" w:rsidRPr="008618CE" w14:paraId="45ECC679" w14:textId="77777777" w:rsidTr="001D60C1">
        <w:trPr>
          <w:trHeight w:val="358"/>
          <w:jc w:val="center"/>
        </w:trPr>
        <w:tc>
          <w:tcPr>
            <w:tcW w:w="3091" w:type="dxa"/>
            <w:vAlign w:val="center"/>
          </w:tcPr>
          <w:p w14:paraId="1FCEECCE"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Age (years)</w:t>
            </w:r>
          </w:p>
        </w:tc>
        <w:tc>
          <w:tcPr>
            <w:tcW w:w="2367" w:type="dxa"/>
            <w:vAlign w:val="center"/>
          </w:tcPr>
          <w:p w14:paraId="605F5FD8"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20.52 ± 1.86</w:t>
            </w:r>
          </w:p>
        </w:tc>
      </w:tr>
      <w:tr w:rsidR="008618CE" w:rsidRPr="008618CE" w14:paraId="27AA4A5B" w14:textId="77777777" w:rsidTr="001D60C1">
        <w:trPr>
          <w:trHeight w:val="361"/>
          <w:jc w:val="center"/>
        </w:trPr>
        <w:tc>
          <w:tcPr>
            <w:tcW w:w="3091" w:type="dxa"/>
            <w:vAlign w:val="center"/>
          </w:tcPr>
          <w:p w14:paraId="2786E41A"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Height (cm)</w:t>
            </w:r>
          </w:p>
        </w:tc>
        <w:tc>
          <w:tcPr>
            <w:tcW w:w="2367" w:type="dxa"/>
            <w:vAlign w:val="center"/>
          </w:tcPr>
          <w:p w14:paraId="7CE9929B"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165.52 ± 9.87</w:t>
            </w:r>
          </w:p>
        </w:tc>
      </w:tr>
      <w:tr w:rsidR="008618CE" w:rsidRPr="008618CE" w14:paraId="2D86C3DE" w14:textId="77777777" w:rsidTr="001D60C1">
        <w:trPr>
          <w:trHeight w:val="353"/>
          <w:jc w:val="center"/>
        </w:trPr>
        <w:tc>
          <w:tcPr>
            <w:tcW w:w="3091" w:type="dxa"/>
            <w:vAlign w:val="center"/>
          </w:tcPr>
          <w:p w14:paraId="4AF35D40"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Weight (Kg)</w:t>
            </w:r>
          </w:p>
        </w:tc>
        <w:tc>
          <w:tcPr>
            <w:tcW w:w="2367" w:type="dxa"/>
            <w:vAlign w:val="center"/>
          </w:tcPr>
          <w:p w14:paraId="754D3212"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59.17 ± 13.22</w:t>
            </w:r>
          </w:p>
        </w:tc>
      </w:tr>
      <w:tr w:rsidR="008618CE" w:rsidRPr="008618CE" w14:paraId="162C61E3" w14:textId="77777777" w:rsidTr="001D60C1">
        <w:trPr>
          <w:trHeight w:val="356"/>
          <w:jc w:val="center"/>
        </w:trPr>
        <w:tc>
          <w:tcPr>
            <w:tcW w:w="3091" w:type="dxa"/>
            <w:vAlign w:val="center"/>
          </w:tcPr>
          <w:p w14:paraId="2614E1B5"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BMI (Kg/M</w:t>
            </w:r>
            <w:r w:rsidRPr="008618CE">
              <w:rPr>
                <w:rFonts w:ascii="Times New Roman" w:hAnsi="Times New Roman" w:cs="Times New Roman"/>
                <w:kern w:val="2"/>
                <w:sz w:val="24"/>
                <w:szCs w:val="24"/>
                <w:vertAlign w:val="superscript"/>
                <w:lang w:val="en-US"/>
                <w14:ligatures w14:val="standardContextual"/>
              </w:rPr>
              <w:t>2</w:t>
            </w:r>
            <w:r w:rsidRPr="008618CE">
              <w:rPr>
                <w:rFonts w:ascii="Times New Roman" w:hAnsi="Times New Roman" w:cs="Times New Roman"/>
                <w:kern w:val="2"/>
                <w:sz w:val="24"/>
                <w:szCs w:val="24"/>
                <w:lang w:val="en-US"/>
                <w14:ligatures w14:val="standardContextual"/>
              </w:rPr>
              <w:t>)</w:t>
            </w:r>
          </w:p>
        </w:tc>
        <w:tc>
          <w:tcPr>
            <w:tcW w:w="2367" w:type="dxa"/>
            <w:vAlign w:val="center"/>
          </w:tcPr>
          <w:p w14:paraId="0A23B03A"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21.56 ± 4.24</w:t>
            </w:r>
          </w:p>
        </w:tc>
      </w:tr>
      <w:tr w:rsidR="008618CE" w:rsidRPr="008618CE" w14:paraId="718C066D" w14:textId="77777777" w:rsidTr="001D60C1">
        <w:trPr>
          <w:trHeight w:val="349"/>
          <w:jc w:val="center"/>
        </w:trPr>
        <w:tc>
          <w:tcPr>
            <w:tcW w:w="3091" w:type="dxa"/>
            <w:vAlign w:val="center"/>
          </w:tcPr>
          <w:p w14:paraId="3FB3F983" w14:textId="77777777" w:rsidR="008618CE" w:rsidRPr="008618CE" w:rsidRDefault="008618CE" w:rsidP="008618CE">
            <w:pPr>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 xml:space="preserve">Eye Foot Coordination </w:t>
            </w:r>
            <w:r w:rsidRPr="008618CE">
              <w:rPr>
                <w:rFonts w:ascii="Times New Roman" w:hAnsi="Times New Roman" w:cs="Times New Roman"/>
                <w:kern w:val="2"/>
                <w:sz w:val="24"/>
                <w:szCs w:val="24"/>
                <w:lang w:val="en-US"/>
                <w14:ligatures w14:val="standardContextual"/>
              </w:rPr>
              <w:lastRenderedPageBreak/>
              <w:t>(Count)</w:t>
            </w:r>
          </w:p>
        </w:tc>
        <w:tc>
          <w:tcPr>
            <w:tcW w:w="2367" w:type="dxa"/>
            <w:vAlign w:val="center"/>
          </w:tcPr>
          <w:p w14:paraId="7677EB55" w14:textId="77777777" w:rsidR="008618CE" w:rsidRPr="008618CE" w:rsidRDefault="008618CE" w:rsidP="008618CE">
            <w:pPr>
              <w:keepNext/>
              <w:spacing w:line="360" w:lineRule="auto"/>
              <w:ind w:left="-536" w:firstLine="425"/>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lastRenderedPageBreak/>
              <w:t>12.83 ± 5.74</w:t>
            </w:r>
          </w:p>
        </w:tc>
      </w:tr>
    </w:tbl>
    <w:p w14:paraId="23DF68D4" w14:textId="77777777" w:rsidR="008618CE" w:rsidRPr="008618CE" w:rsidRDefault="008618CE" w:rsidP="008618CE">
      <w:pPr>
        <w:spacing w:after="200" w:line="360" w:lineRule="auto"/>
        <w:jc w:val="center"/>
        <w:rPr>
          <w:rFonts w:ascii="Times New Roman" w:hAnsi="Times New Roman" w:cs="Times New Roman"/>
          <w:bCs/>
          <w:i/>
          <w:iCs/>
          <w:color w:val="000000"/>
          <w:kern w:val="2"/>
          <w:sz w:val="24"/>
          <w:szCs w:val="24"/>
          <w14:ligatures w14:val="standardContextual"/>
        </w:rPr>
      </w:pPr>
      <w:commentRangeStart w:id="0"/>
      <w:r w:rsidRPr="008618CE">
        <w:rPr>
          <w:rFonts w:ascii="Times New Roman" w:hAnsi="Times New Roman" w:cs="Times New Roman"/>
          <w:i/>
          <w:iCs/>
          <w:color w:val="44546A" w:themeColor="text2"/>
          <w:kern w:val="2"/>
          <w:sz w:val="18"/>
          <w:szCs w:val="18"/>
          <w14:ligatures w14:val="standardContextual"/>
        </w:rPr>
        <w:lastRenderedPageBreak/>
        <w:t xml:space="preserve">Table </w:t>
      </w:r>
      <w:r w:rsidRPr="008618CE">
        <w:rPr>
          <w:rFonts w:ascii="Times New Roman" w:hAnsi="Times New Roman" w:cs="Times New Roman"/>
          <w:i/>
          <w:iCs/>
          <w:color w:val="44546A" w:themeColor="text2"/>
          <w:kern w:val="2"/>
          <w:sz w:val="18"/>
          <w:szCs w:val="18"/>
          <w14:ligatures w14:val="standardContextual"/>
        </w:rPr>
        <w:fldChar w:fldCharType="begin"/>
      </w:r>
      <w:r w:rsidRPr="008618CE">
        <w:rPr>
          <w:rFonts w:ascii="Times New Roman" w:hAnsi="Times New Roman" w:cs="Times New Roman"/>
          <w:i/>
          <w:iCs/>
          <w:color w:val="44546A" w:themeColor="text2"/>
          <w:kern w:val="2"/>
          <w:sz w:val="18"/>
          <w:szCs w:val="18"/>
          <w14:ligatures w14:val="standardContextual"/>
        </w:rPr>
        <w:instrText xml:space="preserve"> SEQ Table \* ARABIC </w:instrText>
      </w:r>
      <w:r w:rsidRPr="008618CE">
        <w:rPr>
          <w:rFonts w:ascii="Times New Roman" w:hAnsi="Times New Roman" w:cs="Times New Roman"/>
          <w:i/>
          <w:iCs/>
          <w:color w:val="44546A" w:themeColor="text2"/>
          <w:kern w:val="2"/>
          <w:sz w:val="18"/>
          <w:szCs w:val="18"/>
          <w14:ligatures w14:val="standardContextual"/>
        </w:rPr>
        <w:fldChar w:fldCharType="separate"/>
      </w:r>
      <w:r w:rsidRPr="008618CE">
        <w:rPr>
          <w:rFonts w:ascii="Times New Roman" w:hAnsi="Times New Roman" w:cs="Times New Roman"/>
          <w:i/>
          <w:iCs/>
          <w:noProof/>
          <w:color w:val="44546A" w:themeColor="text2"/>
          <w:kern w:val="2"/>
          <w:sz w:val="18"/>
          <w:szCs w:val="18"/>
          <w14:ligatures w14:val="standardContextual"/>
        </w:rPr>
        <w:t>1</w:t>
      </w:r>
      <w:r w:rsidRPr="008618CE">
        <w:rPr>
          <w:rFonts w:ascii="Times New Roman" w:hAnsi="Times New Roman" w:cs="Times New Roman"/>
          <w:i/>
          <w:iCs/>
          <w:color w:val="44546A" w:themeColor="text2"/>
          <w:kern w:val="2"/>
          <w:sz w:val="18"/>
          <w:szCs w:val="18"/>
          <w14:ligatures w14:val="standardContextual"/>
        </w:rPr>
        <w:fldChar w:fldCharType="end"/>
      </w:r>
      <w:r w:rsidRPr="008618CE">
        <w:rPr>
          <w:rFonts w:ascii="Times New Roman" w:hAnsi="Times New Roman" w:cs="Times New Roman"/>
          <w:i/>
          <w:iCs/>
          <w:color w:val="44546A" w:themeColor="text2"/>
          <w:kern w:val="2"/>
          <w:sz w:val="18"/>
          <w:szCs w:val="18"/>
          <w14:ligatures w14:val="standardContextual"/>
        </w:rPr>
        <w:t>: Demographic Data</w:t>
      </w:r>
      <w:commentRangeEnd w:id="0"/>
      <w:r w:rsidR="00076BDC">
        <w:rPr>
          <w:rStyle w:val="CommentReference"/>
        </w:rPr>
        <w:commentReference w:id="0"/>
      </w:r>
    </w:p>
    <w:tbl>
      <w:tblPr>
        <w:tblStyle w:val="TableGrid"/>
        <w:tblW w:w="0" w:type="auto"/>
        <w:jc w:val="center"/>
        <w:tblLook w:val="04A0" w:firstRow="1" w:lastRow="0" w:firstColumn="1" w:lastColumn="0" w:noHBand="0" w:noVBand="1"/>
      </w:tblPr>
      <w:tblGrid>
        <w:gridCol w:w="2416"/>
        <w:gridCol w:w="2041"/>
        <w:gridCol w:w="2027"/>
      </w:tblGrid>
      <w:tr w:rsidR="008618CE" w:rsidRPr="008618CE" w14:paraId="316F9780" w14:textId="77777777" w:rsidTr="001D60C1">
        <w:trPr>
          <w:trHeight w:val="255"/>
          <w:jc w:val="center"/>
        </w:trPr>
        <w:tc>
          <w:tcPr>
            <w:tcW w:w="4457" w:type="dxa"/>
            <w:gridSpan w:val="2"/>
            <w:vAlign w:val="center"/>
          </w:tcPr>
          <w:p w14:paraId="4CC54FC7" w14:textId="77777777" w:rsidR="008618CE" w:rsidRPr="008618CE" w:rsidRDefault="008618CE" w:rsidP="008618CE">
            <w:pPr>
              <w:spacing w:line="360" w:lineRule="auto"/>
              <w:jc w:val="center"/>
              <w:rPr>
                <w:rFonts w:ascii="Times New Roman" w:hAnsi="Times New Roman" w:cs="Times New Roman"/>
                <w:b/>
                <w:bCs/>
                <w:kern w:val="2"/>
                <w:sz w:val="24"/>
                <w:szCs w:val="24"/>
                <w:lang w:val="en-US"/>
                <w14:ligatures w14:val="standardContextual"/>
              </w:rPr>
            </w:pPr>
            <w:r w:rsidRPr="008618CE">
              <w:rPr>
                <w:rFonts w:ascii="Times New Roman" w:hAnsi="Times New Roman" w:cs="Times New Roman"/>
                <w:b/>
                <w:bCs/>
                <w:kern w:val="2"/>
                <w:sz w:val="24"/>
                <w:szCs w:val="24"/>
                <w:lang w:val="en-US"/>
                <w14:ligatures w14:val="standardContextual"/>
              </w:rPr>
              <w:t>Variables</w:t>
            </w:r>
          </w:p>
        </w:tc>
        <w:tc>
          <w:tcPr>
            <w:tcW w:w="2027" w:type="dxa"/>
            <w:vAlign w:val="center"/>
          </w:tcPr>
          <w:p w14:paraId="48925910" w14:textId="77777777" w:rsidR="008618CE" w:rsidRPr="008618CE" w:rsidRDefault="008618CE" w:rsidP="008618CE">
            <w:pPr>
              <w:spacing w:line="360" w:lineRule="auto"/>
              <w:jc w:val="center"/>
              <w:rPr>
                <w:rFonts w:ascii="Times New Roman" w:hAnsi="Times New Roman" w:cs="Times New Roman"/>
                <w:b/>
                <w:bCs/>
                <w:kern w:val="2"/>
                <w:sz w:val="24"/>
                <w:szCs w:val="24"/>
                <w:lang w:val="en-US"/>
                <w14:ligatures w14:val="standardContextual"/>
              </w:rPr>
            </w:pPr>
            <w:r w:rsidRPr="008618CE">
              <w:rPr>
                <w:rFonts w:ascii="Times New Roman" w:hAnsi="Times New Roman" w:cs="Times New Roman"/>
                <w:b/>
                <w:bCs/>
                <w:kern w:val="2"/>
                <w:sz w:val="24"/>
                <w:szCs w:val="24"/>
                <w:lang w:val="en-US"/>
                <w14:ligatures w14:val="standardContextual"/>
              </w:rPr>
              <w:t>Frequency (%)</w:t>
            </w:r>
          </w:p>
        </w:tc>
      </w:tr>
      <w:tr w:rsidR="008618CE" w:rsidRPr="008618CE" w14:paraId="6D7BD40F" w14:textId="77777777" w:rsidTr="001D60C1">
        <w:trPr>
          <w:trHeight w:val="255"/>
          <w:jc w:val="center"/>
        </w:trPr>
        <w:tc>
          <w:tcPr>
            <w:tcW w:w="2416" w:type="dxa"/>
            <w:vMerge w:val="restart"/>
            <w:vAlign w:val="center"/>
          </w:tcPr>
          <w:p w14:paraId="2113D76D"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Gender</w:t>
            </w:r>
          </w:p>
        </w:tc>
        <w:tc>
          <w:tcPr>
            <w:tcW w:w="2041" w:type="dxa"/>
            <w:vAlign w:val="center"/>
          </w:tcPr>
          <w:p w14:paraId="113C46D8"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Males</w:t>
            </w:r>
          </w:p>
        </w:tc>
        <w:tc>
          <w:tcPr>
            <w:tcW w:w="2027" w:type="dxa"/>
            <w:vAlign w:val="center"/>
          </w:tcPr>
          <w:p w14:paraId="50768291"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54 (50%)</w:t>
            </w:r>
          </w:p>
        </w:tc>
      </w:tr>
      <w:tr w:rsidR="008618CE" w:rsidRPr="008618CE" w14:paraId="2F7D45C5" w14:textId="77777777" w:rsidTr="001D60C1">
        <w:trPr>
          <w:trHeight w:val="269"/>
          <w:jc w:val="center"/>
        </w:trPr>
        <w:tc>
          <w:tcPr>
            <w:tcW w:w="2416" w:type="dxa"/>
            <w:vMerge/>
            <w:vAlign w:val="center"/>
          </w:tcPr>
          <w:p w14:paraId="4283260E"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3C57C26D"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Females</w:t>
            </w:r>
          </w:p>
        </w:tc>
        <w:tc>
          <w:tcPr>
            <w:tcW w:w="2027" w:type="dxa"/>
            <w:vAlign w:val="center"/>
          </w:tcPr>
          <w:p w14:paraId="0DCA9330"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54 (50%)</w:t>
            </w:r>
          </w:p>
        </w:tc>
      </w:tr>
      <w:tr w:rsidR="008618CE" w:rsidRPr="008618CE" w14:paraId="11E8525B" w14:textId="77777777" w:rsidTr="001D60C1">
        <w:trPr>
          <w:trHeight w:val="255"/>
          <w:jc w:val="center"/>
        </w:trPr>
        <w:tc>
          <w:tcPr>
            <w:tcW w:w="2416" w:type="dxa"/>
            <w:vMerge w:val="restart"/>
            <w:vAlign w:val="center"/>
          </w:tcPr>
          <w:p w14:paraId="73EA6C48"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BMI Category</w:t>
            </w:r>
          </w:p>
        </w:tc>
        <w:tc>
          <w:tcPr>
            <w:tcW w:w="2041" w:type="dxa"/>
            <w:vAlign w:val="center"/>
          </w:tcPr>
          <w:p w14:paraId="0348FE92"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Underweight</w:t>
            </w:r>
          </w:p>
        </w:tc>
        <w:tc>
          <w:tcPr>
            <w:tcW w:w="2027" w:type="dxa"/>
            <w:vAlign w:val="center"/>
          </w:tcPr>
          <w:p w14:paraId="225AD69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36 (33.3%)</w:t>
            </w:r>
          </w:p>
        </w:tc>
      </w:tr>
      <w:tr w:rsidR="008618CE" w:rsidRPr="008618CE" w14:paraId="2D67C853" w14:textId="77777777" w:rsidTr="001D60C1">
        <w:trPr>
          <w:trHeight w:val="269"/>
          <w:jc w:val="center"/>
        </w:trPr>
        <w:tc>
          <w:tcPr>
            <w:tcW w:w="2416" w:type="dxa"/>
            <w:vMerge/>
            <w:vAlign w:val="center"/>
          </w:tcPr>
          <w:p w14:paraId="18AC2735"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1F68CDE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Normal</w:t>
            </w:r>
          </w:p>
        </w:tc>
        <w:tc>
          <w:tcPr>
            <w:tcW w:w="2027" w:type="dxa"/>
            <w:vAlign w:val="center"/>
          </w:tcPr>
          <w:p w14:paraId="12B10DB6"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36 (33.3%)</w:t>
            </w:r>
          </w:p>
        </w:tc>
      </w:tr>
      <w:tr w:rsidR="008618CE" w:rsidRPr="008618CE" w14:paraId="4C0C494D" w14:textId="77777777" w:rsidTr="001D60C1">
        <w:trPr>
          <w:trHeight w:val="269"/>
          <w:jc w:val="center"/>
        </w:trPr>
        <w:tc>
          <w:tcPr>
            <w:tcW w:w="2416" w:type="dxa"/>
            <w:vMerge/>
            <w:vAlign w:val="center"/>
          </w:tcPr>
          <w:p w14:paraId="017CDD64"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2E45F283"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Overweight</w:t>
            </w:r>
          </w:p>
        </w:tc>
        <w:tc>
          <w:tcPr>
            <w:tcW w:w="2027" w:type="dxa"/>
            <w:vAlign w:val="center"/>
          </w:tcPr>
          <w:p w14:paraId="4C75535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36 (33.3%)</w:t>
            </w:r>
          </w:p>
        </w:tc>
      </w:tr>
      <w:tr w:rsidR="008618CE" w:rsidRPr="008618CE" w14:paraId="4E1DF2A1" w14:textId="77777777" w:rsidTr="001D60C1">
        <w:trPr>
          <w:trHeight w:val="255"/>
          <w:jc w:val="center"/>
        </w:trPr>
        <w:tc>
          <w:tcPr>
            <w:tcW w:w="2416" w:type="dxa"/>
            <w:vMerge w:val="restart"/>
            <w:vAlign w:val="center"/>
          </w:tcPr>
          <w:p w14:paraId="0E64F2C8"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roofErr w:type="spellStart"/>
            <w:r w:rsidRPr="008618CE">
              <w:rPr>
                <w:rFonts w:ascii="Times New Roman" w:hAnsi="Times New Roman" w:cs="Times New Roman"/>
                <w:kern w:val="2"/>
                <w:sz w:val="24"/>
                <w:szCs w:val="24"/>
                <w:lang w:val="en-US"/>
                <w14:ligatures w14:val="standardContextual"/>
              </w:rPr>
              <w:t>Sahrmann</w:t>
            </w:r>
            <w:proofErr w:type="spellEnd"/>
            <w:r w:rsidRPr="008618CE">
              <w:rPr>
                <w:rFonts w:ascii="Times New Roman" w:hAnsi="Times New Roman" w:cs="Times New Roman"/>
                <w:kern w:val="2"/>
                <w:sz w:val="24"/>
                <w:szCs w:val="24"/>
                <w:lang w:val="en-US"/>
                <w14:ligatures w14:val="standardContextual"/>
              </w:rPr>
              <w:t xml:space="preserve"> Lower Abdominal Core Stability Test</w:t>
            </w:r>
          </w:p>
        </w:tc>
        <w:tc>
          <w:tcPr>
            <w:tcW w:w="2041" w:type="dxa"/>
            <w:vAlign w:val="center"/>
          </w:tcPr>
          <w:p w14:paraId="51C29409"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Level 1</w:t>
            </w:r>
          </w:p>
        </w:tc>
        <w:tc>
          <w:tcPr>
            <w:tcW w:w="2027" w:type="dxa"/>
            <w:vAlign w:val="center"/>
          </w:tcPr>
          <w:p w14:paraId="30B5EBA5"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4 (3.7%)</w:t>
            </w:r>
          </w:p>
        </w:tc>
      </w:tr>
      <w:tr w:rsidR="008618CE" w:rsidRPr="008618CE" w14:paraId="63372D2F" w14:textId="77777777" w:rsidTr="001D60C1">
        <w:trPr>
          <w:trHeight w:val="284"/>
          <w:jc w:val="center"/>
        </w:trPr>
        <w:tc>
          <w:tcPr>
            <w:tcW w:w="2416" w:type="dxa"/>
            <w:vMerge/>
            <w:vAlign w:val="center"/>
          </w:tcPr>
          <w:p w14:paraId="6DF1F496"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7641001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Level 2</w:t>
            </w:r>
          </w:p>
        </w:tc>
        <w:tc>
          <w:tcPr>
            <w:tcW w:w="2027" w:type="dxa"/>
            <w:vAlign w:val="center"/>
          </w:tcPr>
          <w:p w14:paraId="36AE992D"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37 (34.3%)</w:t>
            </w:r>
          </w:p>
        </w:tc>
      </w:tr>
      <w:tr w:rsidR="008618CE" w:rsidRPr="008618CE" w14:paraId="118E82E3" w14:textId="77777777" w:rsidTr="001D60C1">
        <w:trPr>
          <w:trHeight w:val="269"/>
          <w:jc w:val="center"/>
        </w:trPr>
        <w:tc>
          <w:tcPr>
            <w:tcW w:w="2416" w:type="dxa"/>
            <w:vMerge/>
            <w:vAlign w:val="center"/>
          </w:tcPr>
          <w:p w14:paraId="56CD5C1C"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1F537790"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Level 3</w:t>
            </w:r>
          </w:p>
        </w:tc>
        <w:tc>
          <w:tcPr>
            <w:tcW w:w="2027" w:type="dxa"/>
            <w:vAlign w:val="center"/>
          </w:tcPr>
          <w:p w14:paraId="601E9D89"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30 (27.8%)</w:t>
            </w:r>
          </w:p>
        </w:tc>
      </w:tr>
      <w:tr w:rsidR="008618CE" w:rsidRPr="008618CE" w14:paraId="678EAF9C" w14:textId="77777777" w:rsidTr="001D60C1">
        <w:trPr>
          <w:trHeight w:val="269"/>
          <w:jc w:val="center"/>
        </w:trPr>
        <w:tc>
          <w:tcPr>
            <w:tcW w:w="2416" w:type="dxa"/>
            <w:vMerge/>
            <w:vAlign w:val="center"/>
          </w:tcPr>
          <w:p w14:paraId="23400A72"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6ADD71EE"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Level 4</w:t>
            </w:r>
          </w:p>
        </w:tc>
        <w:tc>
          <w:tcPr>
            <w:tcW w:w="2027" w:type="dxa"/>
            <w:vAlign w:val="center"/>
          </w:tcPr>
          <w:p w14:paraId="4C68B258"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27 (25%)</w:t>
            </w:r>
          </w:p>
        </w:tc>
      </w:tr>
      <w:tr w:rsidR="008618CE" w:rsidRPr="008618CE" w14:paraId="6C5E4707" w14:textId="77777777" w:rsidTr="001D60C1">
        <w:trPr>
          <w:trHeight w:val="255"/>
          <w:jc w:val="center"/>
        </w:trPr>
        <w:tc>
          <w:tcPr>
            <w:tcW w:w="2416" w:type="dxa"/>
            <w:vMerge/>
            <w:vAlign w:val="center"/>
          </w:tcPr>
          <w:p w14:paraId="67F3E51C"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41" w:type="dxa"/>
            <w:vAlign w:val="center"/>
          </w:tcPr>
          <w:p w14:paraId="12A96387"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Level 5</w:t>
            </w:r>
          </w:p>
        </w:tc>
        <w:tc>
          <w:tcPr>
            <w:tcW w:w="2027" w:type="dxa"/>
            <w:vAlign w:val="center"/>
          </w:tcPr>
          <w:p w14:paraId="075BEB4B" w14:textId="77777777" w:rsidR="008618CE" w:rsidRPr="008618CE" w:rsidRDefault="008618CE" w:rsidP="008618CE">
            <w:pPr>
              <w:keepNext/>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10 (9.3%)</w:t>
            </w:r>
          </w:p>
        </w:tc>
      </w:tr>
    </w:tbl>
    <w:p w14:paraId="77D7CCE1" w14:textId="77777777" w:rsidR="008618CE" w:rsidRPr="008618CE" w:rsidRDefault="008618CE" w:rsidP="008618CE">
      <w:pPr>
        <w:spacing w:after="200" w:line="360" w:lineRule="auto"/>
        <w:jc w:val="center"/>
        <w:rPr>
          <w:rFonts w:ascii="Times New Roman" w:hAnsi="Times New Roman" w:cs="Times New Roman"/>
          <w:bCs/>
          <w:i/>
          <w:iCs/>
          <w:color w:val="000000"/>
          <w:kern w:val="2"/>
          <w:sz w:val="24"/>
          <w:szCs w:val="24"/>
          <w14:ligatures w14:val="standardContextual"/>
        </w:rPr>
      </w:pPr>
      <w:r w:rsidRPr="008618CE">
        <w:rPr>
          <w:rFonts w:ascii="Times New Roman" w:hAnsi="Times New Roman" w:cs="Times New Roman"/>
          <w:i/>
          <w:iCs/>
          <w:color w:val="44546A" w:themeColor="text2"/>
          <w:kern w:val="2"/>
          <w:sz w:val="18"/>
          <w:szCs w:val="18"/>
          <w14:ligatures w14:val="standardContextual"/>
        </w:rPr>
        <w:t xml:space="preserve">Table </w:t>
      </w:r>
      <w:r w:rsidRPr="008618CE">
        <w:rPr>
          <w:rFonts w:ascii="Times New Roman" w:hAnsi="Times New Roman" w:cs="Times New Roman"/>
          <w:i/>
          <w:iCs/>
          <w:color w:val="44546A" w:themeColor="text2"/>
          <w:kern w:val="2"/>
          <w:sz w:val="18"/>
          <w:szCs w:val="18"/>
          <w14:ligatures w14:val="standardContextual"/>
        </w:rPr>
        <w:fldChar w:fldCharType="begin"/>
      </w:r>
      <w:r w:rsidRPr="008618CE">
        <w:rPr>
          <w:rFonts w:ascii="Times New Roman" w:hAnsi="Times New Roman" w:cs="Times New Roman"/>
          <w:i/>
          <w:iCs/>
          <w:color w:val="44546A" w:themeColor="text2"/>
          <w:kern w:val="2"/>
          <w:sz w:val="18"/>
          <w:szCs w:val="18"/>
          <w14:ligatures w14:val="standardContextual"/>
        </w:rPr>
        <w:instrText xml:space="preserve"> SEQ Table \* ARABIC </w:instrText>
      </w:r>
      <w:r w:rsidRPr="008618CE">
        <w:rPr>
          <w:rFonts w:ascii="Times New Roman" w:hAnsi="Times New Roman" w:cs="Times New Roman"/>
          <w:i/>
          <w:iCs/>
          <w:color w:val="44546A" w:themeColor="text2"/>
          <w:kern w:val="2"/>
          <w:sz w:val="18"/>
          <w:szCs w:val="18"/>
          <w14:ligatures w14:val="standardContextual"/>
        </w:rPr>
        <w:fldChar w:fldCharType="separate"/>
      </w:r>
      <w:r w:rsidRPr="008618CE">
        <w:rPr>
          <w:rFonts w:ascii="Times New Roman" w:hAnsi="Times New Roman" w:cs="Times New Roman"/>
          <w:i/>
          <w:iCs/>
          <w:noProof/>
          <w:color w:val="44546A" w:themeColor="text2"/>
          <w:kern w:val="2"/>
          <w:sz w:val="18"/>
          <w:szCs w:val="18"/>
          <w14:ligatures w14:val="standardContextual"/>
        </w:rPr>
        <w:t>2</w:t>
      </w:r>
      <w:r w:rsidRPr="008618CE">
        <w:rPr>
          <w:rFonts w:ascii="Times New Roman" w:hAnsi="Times New Roman" w:cs="Times New Roman"/>
          <w:i/>
          <w:iCs/>
          <w:color w:val="44546A" w:themeColor="text2"/>
          <w:kern w:val="2"/>
          <w:sz w:val="18"/>
          <w:szCs w:val="18"/>
          <w14:ligatures w14:val="standardContextual"/>
        </w:rPr>
        <w:fldChar w:fldCharType="end"/>
      </w:r>
      <w:r w:rsidRPr="008618CE">
        <w:rPr>
          <w:rFonts w:ascii="Times New Roman" w:hAnsi="Times New Roman" w:cs="Times New Roman"/>
          <w:i/>
          <w:iCs/>
          <w:color w:val="44546A" w:themeColor="text2"/>
          <w:kern w:val="2"/>
          <w:sz w:val="18"/>
          <w:szCs w:val="18"/>
          <w14:ligatures w14:val="standardContextual"/>
        </w:rPr>
        <w:t>: Frequency Distribution of Sample</w:t>
      </w:r>
    </w:p>
    <w:p w14:paraId="2CDBBEF6" w14:textId="77777777" w:rsidR="008618CE" w:rsidRPr="008618CE" w:rsidRDefault="008618CE" w:rsidP="008618CE">
      <w:pPr>
        <w:widowControl w:val="0"/>
        <w:autoSpaceDE w:val="0"/>
        <w:autoSpaceDN w:val="0"/>
        <w:adjustRightInd w:val="0"/>
        <w:spacing w:after="240" w:line="360" w:lineRule="auto"/>
        <w:ind w:left="-567" w:right="-472"/>
        <w:jc w:val="both"/>
        <w:rPr>
          <w:rFonts w:ascii="Times New Roman" w:hAnsi="Times New Roman"/>
          <w:bCs/>
          <w:color w:val="000000"/>
          <w:kern w:val="2"/>
          <w:sz w:val="24"/>
          <w:szCs w:val="24"/>
          <w14:ligatures w14:val="standardContextual"/>
        </w:rPr>
      </w:pPr>
    </w:p>
    <w:p w14:paraId="0539BA83" w14:textId="77777777" w:rsidR="008618CE" w:rsidRPr="008618CE" w:rsidRDefault="008618CE" w:rsidP="008618CE">
      <w:pPr>
        <w:keepNext/>
        <w:widowControl w:val="0"/>
        <w:autoSpaceDE w:val="0"/>
        <w:autoSpaceDN w:val="0"/>
        <w:adjustRightInd w:val="0"/>
        <w:spacing w:after="0" w:line="360" w:lineRule="auto"/>
        <w:ind w:left="-567" w:right="-472"/>
        <w:jc w:val="center"/>
        <w:rPr>
          <w:kern w:val="2"/>
          <w14:ligatures w14:val="standardContextual"/>
        </w:rPr>
      </w:pPr>
      <w:r w:rsidRPr="008618CE">
        <w:rPr>
          <w:rFonts w:ascii="Times New Roman" w:hAnsi="Times New Roman" w:cs="Times New Roman"/>
          <w:noProof/>
          <w:kern w:val="2"/>
          <w:sz w:val="24"/>
          <w:szCs w:val="24"/>
          <w:lang w:val="bg-BG" w:eastAsia="bg-BG"/>
          <w14:ligatures w14:val="standardContextual"/>
        </w:rPr>
        <w:drawing>
          <wp:inline distT="0" distB="0" distL="0" distR="0" wp14:anchorId="49C56869" wp14:editId="35435585">
            <wp:extent cx="4305300" cy="19145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B4F096" w14:textId="77777777" w:rsidR="008618CE" w:rsidRPr="008618CE" w:rsidRDefault="008618CE" w:rsidP="008618CE">
      <w:pPr>
        <w:spacing w:after="200" w:line="360" w:lineRule="auto"/>
        <w:jc w:val="center"/>
        <w:rPr>
          <w:rFonts w:ascii="Times New Roman" w:hAnsi="Times New Roman" w:cs="Times New Roman"/>
          <w:bCs/>
          <w:i/>
          <w:iCs/>
          <w:color w:val="000000"/>
          <w:kern w:val="2"/>
          <w:sz w:val="24"/>
          <w:szCs w:val="24"/>
          <w14:ligatures w14:val="standardContextual"/>
        </w:rPr>
      </w:pPr>
      <w:r w:rsidRPr="008618CE">
        <w:rPr>
          <w:rFonts w:ascii="Times New Roman" w:hAnsi="Times New Roman" w:cs="Times New Roman"/>
          <w:i/>
          <w:iCs/>
          <w:color w:val="44546A" w:themeColor="text2"/>
          <w:kern w:val="2"/>
          <w:sz w:val="18"/>
          <w:szCs w:val="18"/>
          <w14:ligatures w14:val="standardContextual"/>
        </w:rPr>
        <w:t xml:space="preserve">Figure </w:t>
      </w:r>
      <w:r w:rsidRPr="008618CE">
        <w:rPr>
          <w:rFonts w:ascii="Times New Roman" w:hAnsi="Times New Roman" w:cs="Times New Roman"/>
          <w:i/>
          <w:iCs/>
          <w:color w:val="44546A" w:themeColor="text2"/>
          <w:kern w:val="2"/>
          <w:sz w:val="18"/>
          <w:szCs w:val="18"/>
          <w14:ligatures w14:val="standardContextual"/>
        </w:rPr>
        <w:fldChar w:fldCharType="begin"/>
      </w:r>
      <w:r w:rsidRPr="008618CE">
        <w:rPr>
          <w:rFonts w:ascii="Times New Roman" w:hAnsi="Times New Roman" w:cs="Times New Roman"/>
          <w:i/>
          <w:iCs/>
          <w:color w:val="44546A" w:themeColor="text2"/>
          <w:kern w:val="2"/>
          <w:sz w:val="18"/>
          <w:szCs w:val="18"/>
          <w14:ligatures w14:val="standardContextual"/>
        </w:rPr>
        <w:instrText xml:space="preserve"> SEQ Figure \* ARABIC </w:instrText>
      </w:r>
      <w:r w:rsidRPr="008618CE">
        <w:rPr>
          <w:rFonts w:ascii="Times New Roman" w:hAnsi="Times New Roman" w:cs="Times New Roman"/>
          <w:i/>
          <w:iCs/>
          <w:color w:val="44546A" w:themeColor="text2"/>
          <w:kern w:val="2"/>
          <w:sz w:val="18"/>
          <w:szCs w:val="18"/>
          <w14:ligatures w14:val="standardContextual"/>
        </w:rPr>
        <w:fldChar w:fldCharType="separate"/>
      </w:r>
      <w:r w:rsidRPr="008618CE">
        <w:rPr>
          <w:rFonts w:ascii="Times New Roman" w:hAnsi="Times New Roman" w:cs="Times New Roman"/>
          <w:i/>
          <w:iCs/>
          <w:noProof/>
          <w:color w:val="44546A" w:themeColor="text2"/>
          <w:kern w:val="2"/>
          <w:sz w:val="18"/>
          <w:szCs w:val="18"/>
          <w14:ligatures w14:val="standardContextual"/>
        </w:rPr>
        <w:t>1</w:t>
      </w:r>
      <w:r w:rsidRPr="008618CE">
        <w:rPr>
          <w:rFonts w:ascii="Times New Roman" w:hAnsi="Times New Roman" w:cs="Times New Roman"/>
          <w:i/>
          <w:iCs/>
          <w:color w:val="44546A" w:themeColor="text2"/>
          <w:kern w:val="2"/>
          <w:sz w:val="18"/>
          <w:szCs w:val="18"/>
          <w14:ligatures w14:val="standardContextual"/>
        </w:rPr>
        <w:fldChar w:fldCharType="end"/>
      </w:r>
      <w:r w:rsidRPr="008618CE">
        <w:rPr>
          <w:rFonts w:ascii="Times New Roman" w:hAnsi="Times New Roman" w:cs="Times New Roman"/>
          <w:i/>
          <w:iCs/>
          <w:color w:val="44546A" w:themeColor="text2"/>
          <w:kern w:val="2"/>
          <w:sz w:val="18"/>
          <w:szCs w:val="18"/>
          <w14:ligatures w14:val="standardContextual"/>
        </w:rPr>
        <w:t>: Relationship Between BMI and eye foot coordination scores</w:t>
      </w:r>
    </w:p>
    <w:p w14:paraId="427E586C" w14:textId="77777777" w:rsidR="008618CE" w:rsidRPr="008618CE" w:rsidRDefault="008618CE" w:rsidP="008618CE">
      <w:pPr>
        <w:keepNext/>
        <w:widowControl w:val="0"/>
        <w:autoSpaceDE w:val="0"/>
        <w:autoSpaceDN w:val="0"/>
        <w:adjustRightInd w:val="0"/>
        <w:spacing w:after="0" w:line="360" w:lineRule="auto"/>
        <w:ind w:left="-567" w:right="-472"/>
        <w:jc w:val="center"/>
        <w:rPr>
          <w:kern w:val="2"/>
          <w14:ligatures w14:val="standardContextual"/>
        </w:rPr>
      </w:pPr>
      <w:r w:rsidRPr="008618CE">
        <w:rPr>
          <w:rFonts w:ascii="Times New Roman" w:hAnsi="Times New Roman" w:cs="Times New Roman"/>
          <w:noProof/>
          <w:kern w:val="2"/>
          <w:sz w:val="24"/>
          <w:szCs w:val="24"/>
          <w:lang w:val="bg-BG" w:eastAsia="bg-BG"/>
          <w14:ligatures w14:val="standardContextual"/>
        </w:rPr>
        <w:lastRenderedPageBreak/>
        <w:drawing>
          <wp:inline distT="0" distB="0" distL="0" distR="0" wp14:anchorId="73348CD4" wp14:editId="420BA617">
            <wp:extent cx="5486400" cy="3200400"/>
            <wp:effectExtent l="0" t="0" r="0" b="0"/>
            <wp:docPr id="1233537575" name="Chart 12335375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130E57" w14:textId="77777777" w:rsidR="008618CE" w:rsidRPr="008618CE" w:rsidRDefault="008618CE" w:rsidP="008618CE">
      <w:pPr>
        <w:spacing w:after="200" w:line="360" w:lineRule="auto"/>
        <w:jc w:val="center"/>
        <w:rPr>
          <w:rFonts w:ascii="Times New Roman" w:hAnsi="Times New Roman" w:cs="Times New Roman"/>
          <w:i/>
          <w:iCs/>
          <w:color w:val="44546A" w:themeColor="text2"/>
          <w:kern w:val="2"/>
          <w:sz w:val="18"/>
          <w:szCs w:val="18"/>
          <w14:ligatures w14:val="standardContextual"/>
        </w:rPr>
      </w:pPr>
      <w:r w:rsidRPr="008618CE">
        <w:rPr>
          <w:rFonts w:ascii="Times New Roman" w:hAnsi="Times New Roman" w:cs="Times New Roman"/>
          <w:i/>
          <w:iCs/>
          <w:color w:val="44546A" w:themeColor="text2"/>
          <w:kern w:val="2"/>
          <w:sz w:val="18"/>
          <w:szCs w:val="18"/>
          <w14:ligatures w14:val="standardContextual"/>
        </w:rPr>
        <w:t xml:space="preserve">Figure </w:t>
      </w:r>
      <w:r w:rsidRPr="008618CE">
        <w:rPr>
          <w:rFonts w:ascii="Times New Roman" w:hAnsi="Times New Roman" w:cs="Times New Roman"/>
          <w:i/>
          <w:iCs/>
          <w:color w:val="44546A" w:themeColor="text2"/>
          <w:kern w:val="2"/>
          <w:sz w:val="18"/>
          <w:szCs w:val="18"/>
          <w14:ligatures w14:val="standardContextual"/>
        </w:rPr>
        <w:fldChar w:fldCharType="begin"/>
      </w:r>
      <w:r w:rsidRPr="008618CE">
        <w:rPr>
          <w:rFonts w:ascii="Times New Roman" w:hAnsi="Times New Roman" w:cs="Times New Roman"/>
          <w:i/>
          <w:iCs/>
          <w:color w:val="44546A" w:themeColor="text2"/>
          <w:kern w:val="2"/>
          <w:sz w:val="18"/>
          <w:szCs w:val="18"/>
          <w14:ligatures w14:val="standardContextual"/>
        </w:rPr>
        <w:instrText xml:space="preserve"> SEQ Figure \* ARABIC </w:instrText>
      </w:r>
      <w:r w:rsidRPr="008618CE">
        <w:rPr>
          <w:rFonts w:ascii="Times New Roman" w:hAnsi="Times New Roman" w:cs="Times New Roman"/>
          <w:i/>
          <w:iCs/>
          <w:color w:val="44546A" w:themeColor="text2"/>
          <w:kern w:val="2"/>
          <w:sz w:val="18"/>
          <w:szCs w:val="18"/>
          <w14:ligatures w14:val="standardContextual"/>
        </w:rPr>
        <w:fldChar w:fldCharType="separate"/>
      </w:r>
      <w:r w:rsidRPr="008618CE">
        <w:rPr>
          <w:rFonts w:ascii="Times New Roman" w:hAnsi="Times New Roman" w:cs="Times New Roman"/>
          <w:i/>
          <w:iCs/>
          <w:noProof/>
          <w:color w:val="44546A" w:themeColor="text2"/>
          <w:kern w:val="2"/>
          <w:sz w:val="18"/>
          <w:szCs w:val="18"/>
          <w14:ligatures w14:val="standardContextual"/>
        </w:rPr>
        <w:t>2</w:t>
      </w:r>
      <w:r w:rsidRPr="008618CE">
        <w:rPr>
          <w:rFonts w:ascii="Times New Roman" w:hAnsi="Times New Roman" w:cs="Times New Roman"/>
          <w:i/>
          <w:iCs/>
          <w:color w:val="44546A" w:themeColor="text2"/>
          <w:kern w:val="2"/>
          <w:sz w:val="18"/>
          <w:szCs w:val="18"/>
          <w14:ligatures w14:val="standardContextual"/>
        </w:rPr>
        <w:fldChar w:fldCharType="end"/>
      </w:r>
      <w:r w:rsidRPr="008618CE">
        <w:rPr>
          <w:rFonts w:ascii="Times New Roman" w:hAnsi="Times New Roman" w:cs="Times New Roman"/>
          <w:i/>
          <w:iCs/>
          <w:color w:val="44546A" w:themeColor="text2"/>
          <w:kern w:val="2"/>
          <w:sz w:val="18"/>
          <w:szCs w:val="18"/>
          <w14:ligatures w14:val="standardContextual"/>
        </w:rPr>
        <w:t>: Lower Abdominal Core Stability Based on BMI</w:t>
      </w:r>
    </w:p>
    <w:p w14:paraId="6A19D0AE" w14:textId="77777777" w:rsidR="008618CE" w:rsidRPr="008618CE" w:rsidRDefault="008618CE" w:rsidP="008618CE">
      <w:pPr>
        <w:spacing w:after="0" w:line="360" w:lineRule="auto"/>
        <w:rPr>
          <w:kern w:val="2"/>
          <w14:ligatures w14:val="standardContextual"/>
        </w:rPr>
      </w:pPr>
    </w:p>
    <w:tbl>
      <w:tblPr>
        <w:tblStyle w:val="TableGrid"/>
        <w:tblW w:w="0" w:type="auto"/>
        <w:jc w:val="center"/>
        <w:tblLook w:val="04A0" w:firstRow="1" w:lastRow="0" w:firstColumn="1" w:lastColumn="0" w:noHBand="0" w:noVBand="1"/>
      </w:tblPr>
      <w:tblGrid>
        <w:gridCol w:w="4150"/>
        <w:gridCol w:w="2010"/>
        <w:gridCol w:w="2110"/>
      </w:tblGrid>
      <w:tr w:rsidR="008618CE" w:rsidRPr="008618CE" w14:paraId="225BBC99" w14:textId="77777777" w:rsidTr="001D60C1">
        <w:trPr>
          <w:jc w:val="center"/>
        </w:trPr>
        <w:tc>
          <w:tcPr>
            <w:tcW w:w="4150" w:type="dxa"/>
            <w:vAlign w:val="center"/>
          </w:tcPr>
          <w:p w14:paraId="7B67A270"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Pearson Correlation</w:t>
            </w:r>
          </w:p>
        </w:tc>
        <w:tc>
          <w:tcPr>
            <w:tcW w:w="4120" w:type="dxa"/>
            <w:gridSpan w:val="2"/>
            <w:vAlign w:val="center"/>
          </w:tcPr>
          <w:p w14:paraId="51CF8CDC"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Lower Abdominal Core Stability</w:t>
            </w:r>
          </w:p>
        </w:tc>
      </w:tr>
      <w:tr w:rsidR="008618CE" w:rsidRPr="008618CE" w14:paraId="125D32F6" w14:textId="77777777" w:rsidTr="001D60C1">
        <w:trPr>
          <w:jc w:val="center"/>
        </w:trPr>
        <w:tc>
          <w:tcPr>
            <w:tcW w:w="4150" w:type="dxa"/>
            <w:vMerge w:val="restart"/>
            <w:vAlign w:val="center"/>
          </w:tcPr>
          <w:p w14:paraId="345F09E8"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Eye Foot Coordination</w:t>
            </w:r>
          </w:p>
        </w:tc>
        <w:tc>
          <w:tcPr>
            <w:tcW w:w="2010" w:type="dxa"/>
            <w:vAlign w:val="center"/>
          </w:tcPr>
          <w:p w14:paraId="3D0BD855"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r Value</w:t>
            </w:r>
          </w:p>
        </w:tc>
        <w:tc>
          <w:tcPr>
            <w:tcW w:w="2110" w:type="dxa"/>
            <w:vAlign w:val="center"/>
          </w:tcPr>
          <w:p w14:paraId="0A77008F"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Sig. (2-tailed)</w:t>
            </w:r>
          </w:p>
        </w:tc>
      </w:tr>
      <w:tr w:rsidR="008618CE" w:rsidRPr="008618CE" w14:paraId="41F45008" w14:textId="77777777" w:rsidTr="001D60C1">
        <w:trPr>
          <w:jc w:val="center"/>
        </w:trPr>
        <w:tc>
          <w:tcPr>
            <w:tcW w:w="4150" w:type="dxa"/>
            <w:vMerge/>
            <w:vAlign w:val="center"/>
          </w:tcPr>
          <w:p w14:paraId="1C78C602"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2010" w:type="dxa"/>
            <w:vAlign w:val="center"/>
          </w:tcPr>
          <w:p w14:paraId="60510ED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0.80</w:t>
            </w:r>
          </w:p>
        </w:tc>
        <w:tc>
          <w:tcPr>
            <w:tcW w:w="2110" w:type="dxa"/>
            <w:vAlign w:val="center"/>
          </w:tcPr>
          <w:p w14:paraId="20B45A2E"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0.000*</w:t>
            </w:r>
          </w:p>
        </w:tc>
      </w:tr>
      <w:tr w:rsidR="008618CE" w:rsidRPr="008618CE" w14:paraId="5CAC8008" w14:textId="77777777" w:rsidTr="001D60C1">
        <w:trPr>
          <w:jc w:val="center"/>
        </w:trPr>
        <w:tc>
          <w:tcPr>
            <w:tcW w:w="8270" w:type="dxa"/>
            <w:gridSpan w:val="3"/>
            <w:vAlign w:val="center"/>
          </w:tcPr>
          <w:p w14:paraId="54AF1B05" w14:textId="77777777" w:rsidR="008618CE" w:rsidRPr="008618CE" w:rsidRDefault="008618CE" w:rsidP="008618CE">
            <w:pPr>
              <w:keepNext/>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*Statistically significant positive correlation</w:t>
            </w:r>
          </w:p>
        </w:tc>
      </w:tr>
    </w:tbl>
    <w:p w14:paraId="60B89E5A" w14:textId="77777777" w:rsidR="008618CE" w:rsidRPr="008618CE" w:rsidRDefault="008618CE" w:rsidP="008618CE">
      <w:pPr>
        <w:spacing w:after="200" w:line="360" w:lineRule="auto"/>
        <w:jc w:val="center"/>
        <w:rPr>
          <w:i/>
          <w:iCs/>
          <w:color w:val="44546A" w:themeColor="text2"/>
          <w:kern w:val="2"/>
          <w:sz w:val="18"/>
          <w:szCs w:val="18"/>
          <w14:ligatures w14:val="standardContextual"/>
        </w:rPr>
      </w:pPr>
      <w:r w:rsidRPr="008618CE">
        <w:rPr>
          <w:i/>
          <w:iCs/>
          <w:color w:val="44546A" w:themeColor="text2"/>
          <w:kern w:val="2"/>
          <w:sz w:val="18"/>
          <w:szCs w:val="18"/>
          <w14:ligatures w14:val="standardContextual"/>
        </w:rPr>
        <w:t xml:space="preserve">Table </w:t>
      </w:r>
      <w:r w:rsidRPr="008618CE">
        <w:rPr>
          <w:i/>
          <w:iCs/>
          <w:color w:val="44546A" w:themeColor="text2"/>
          <w:kern w:val="2"/>
          <w:sz w:val="18"/>
          <w:szCs w:val="18"/>
          <w14:ligatures w14:val="standardContextual"/>
        </w:rPr>
        <w:fldChar w:fldCharType="begin"/>
      </w:r>
      <w:r w:rsidRPr="008618CE">
        <w:rPr>
          <w:i/>
          <w:iCs/>
          <w:color w:val="44546A" w:themeColor="text2"/>
          <w:kern w:val="2"/>
          <w:sz w:val="18"/>
          <w:szCs w:val="18"/>
          <w14:ligatures w14:val="standardContextual"/>
        </w:rPr>
        <w:instrText xml:space="preserve"> SEQ Table \* ARABIC </w:instrText>
      </w:r>
      <w:r w:rsidRPr="008618CE">
        <w:rPr>
          <w:i/>
          <w:iCs/>
          <w:color w:val="44546A" w:themeColor="text2"/>
          <w:kern w:val="2"/>
          <w:sz w:val="18"/>
          <w:szCs w:val="18"/>
          <w14:ligatures w14:val="standardContextual"/>
        </w:rPr>
        <w:fldChar w:fldCharType="separate"/>
      </w:r>
      <w:r w:rsidRPr="008618CE">
        <w:rPr>
          <w:i/>
          <w:iCs/>
          <w:noProof/>
          <w:color w:val="44546A" w:themeColor="text2"/>
          <w:kern w:val="2"/>
          <w:sz w:val="18"/>
          <w:szCs w:val="18"/>
          <w14:ligatures w14:val="standardContextual"/>
        </w:rPr>
        <w:t>3</w:t>
      </w:r>
      <w:r w:rsidRPr="008618CE">
        <w:rPr>
          <w:i/>
          <w:iCs/>
          <w:noProof/>
          <w:color w:val="44546A" w:themeColor="text2"/>
          <w:kern w:val="2"/>
          <w:sz w:val="18"/>
          <w:szCs w:val="18"/>
          <w14:ligatures w14:val="standardContextual"/>
        </w:rPr>
        <w:fldChar w:fldCharType="end"/>
      </w:r>
      <w:r w:rsidRPr="008618CE">
        <w:rPr>
          <w:i/>
          <w:iCs/>
          <w:color w:val="44546A" w:themeColor="text2"/>
          <w:kern w:val="2"/>
          <w:sz w:val="18"/>
          <w:szCs w:val="18"/>
          <w14:ligatures w14:val="standardContextual"/>
        </w:rPr>
        <w:t>: Relationship between SWVT and SCST</w:t>
      </w:r>
    </w:p>
    <w:tbl>
      <w:tblPr>
        <w:tblStyle w:val="TableGrid"/>
        <w:tblW w:w="0" w:type="auto"/>
        <w:jc w:val="center"/>
        <w:tblLook w:val="04A0" w:firstRow="1" w:lastRow="0" w:firstColumn="1" w:lastColumn="0" w:noHBand="0" w:noVBand="1"/>
      </w:tblPr>
      <w:tblGrid>
        <w:gridCol w:w="2205"/>
        <w:gridCol w:w="1945"/>
        <w:gridCol w:w="2010"/>
        <w:gridCol w:w="2110"/>
      </w:tblGrid>
      <w:tr w:rsidR="008618CE" w:rsidRPr="008618CE" w14:paraId="6437D2FB" w14:textId="77777777" w:rsidTr="001D60C1">
        <w:trPr>
          <w:jc w:val="center"/>
        </w:trPr>
        <w:tc>
          <w:tcPr>
            <w:tcW w:w="4150" w:type="dxa"/>
            <w:gridSpan w:val="2"/>
            <w:vAlign w:val="center"/>
          </w:tcPr>
          <w:p w14:paraId="259FCEAB" w14:textId="77777777" w:rsidR="008618CE" w:rsidRPr="008618CE" w:rsidRDefault="008618CE" w:rsidP="008618CE">
            <w:pPr>
              <w:spacing w:line="360" w:lineRule="auto"/>
              <w:ind w:left="360"/>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 xml:space="preserve">         Pearson Correlation</w:t>
            </w:r>
          </w:p>
        </w:tc>
        <w:tc>
          <w:tcPr>
            <w:tcW w:w="4120" w:type="dxa"/>
            <w:gridSpan w:val="2"/>
            <w:vAlign w:val="center"/>
          </w:tcPr>
          <w:p w14:paraId="7EC84624"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Lower Abdominal Core Stability</w:t>
            </w:r>
          </w:p>
        </w:tc>
      </w:tr>
      <w:tr w:rsidR="008618CE" w:rsidRPr="008618CE" w14:paraId="6C2B3A67" w14:textId="77777777" w:rsidTr="001D60C1">
        <w:trPr>
          <w:trHeight w:val="562"/>
          <w:jc w:val="center"/>
        </w:trPr>
        <w:tc>
          <w:tcPr>
            <w:tcW w:w="2205" w:type="dxa"/>
            <w:vMerge w:val="restart"/>
            <w:vAlign w:val="center"/>
          </w:tcPr>
          <w:p w14:paraId="4CA5C36B"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Eye Foot Coordination</w:t>
            </w:r>
          </w:p>
        </w:tc>
        <w:tc>
          <w:tcPr>
            <w:tcW w:w="1945" w:type="dxa"/>
            <w:vAlign w:val="center"/>
          </w:tcPr>
          <w:p w14:paraId="0E46D0B7"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Category of BMI</w:t>
            </w:r>
          </w:p>
        </w:tc>
        <w:tc>
          <w:tcPr>
            <w:tcW w:w="2010" w:type="dxa"/>
            <w:vAlign w:val="center"/>
          </w:tcPr>
          <w:p w14:paraId="4DC1C516"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r Value</w:t>
            </w:r>
          </w:p>
        </w:tc>
        <w:tc>
          <w:tcPr>
            <w:tcW w:w="2110" w:type="dxa"/>
            <w:vAlign w:val="center"/>
          </w:tcPr>
          <w:p w14:paraId="1DB2B735" w14:textId="77777777" w:rsidR="008618CE" w:rsidRPr="008618CE" w:rsidRDefault="008618CE" w:rsidP="008618CE">
            <w:pPr>
              <w:spacing w:line="360" w:lineRule="auto"/>
              <w:jc w:val="center"/>
              <w:rPr>
                <w:rFonts w:ascii="Times New Roman" w:hAnsi="Times New Roman" w:cs="Times New Roman"/>
                <w:b/>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Sig. (2-tailed)</w:t>
            </w:r>
          </w:p>
        </w:tc>
      </w:tr>
      <w:tr w:rsidR="008618CE" w:rsidRPr="008618CE" w14:paraId="6D7D5439" w14:textId="77777777" w:rsidTr="001D60C1">
        <w:trPr>
          <w:jc w:val="center"/>
        </w:trPr>
        <w:tc>
          <w:tcPr>
            <w:tcW w:w="2205" w:type="dxa"/>
            <w:vMerge/>
            <w:vAlign w:val="center"/>
          </w:tcPr>
          <w:p w14:paraId="516C6C91"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1945" w:type="dxa"/>
            <w:vAlign w:val="center"/>
          </w:tcPr>
          <w:p w14:paraId="478DC6ED"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Underweight</w:t>
            </w:r>
          </w:p>
        </w:tc>
        <w:tc>
          <w:tcPr>
            <w:tcW w:w="2010" w:type="dxa"/>
            <w:vAlign w:val="center"/>
          </w:tcPr>
          <w:p w14:paraId="25153A2E"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0.791</w:t>
            </w:r>
          </w:p>
        </w:tc>
        <w:tc>
          <w:tcPr>
            <w:tcW w:w="2110" w:type="dxa"/>
            <w:vAlign w:val="center"/>
          </w:tcPr>
          <w:p w14:paraId="3A65C683"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0.000*</w:t>
            </w:r>
          </w:p>
        </w:tc>
      </w:tr>
      <w:tr w:rsidR="008618CE" w:rsidRPr="008618CE" w14:paraId="532E1B69" w14:textId="77777777" w:rsidTr="001D60C1">
        <w:trPr>
          <w:jc w:val="center"/>
        </w:trPr>
        <w:tc>
          <w:tcPr>
            <w:tcW w:w="2205" w:type="dxa"/>
            <w:vMerge/>
            <w:vAlign w:val="center"/>
          </w:tcPr>
          <w:p w14:paraId="7C14F73B"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1945" w:type="dxa"/>
            <w:vAlign w:val="center"/>
          </w:tcPr>
          <w:p w14:paraId="4B5D7B42"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Normal</w:t>
            </w:r>
          </w:p>
        </w:tc>
        <w:tc>
          <w:tcPr>
            <w:tcW w:w="2010" w:type="dxa"/>
            <w:vAlign w:val="center"/>
          </w:tcPr>
          <w:p w14:paraId="5C4E714F"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0.791</w:t>
            </w:r>
          </w:p>
        </w:tc>
        <w:tc>
          <w:tcPr>
            <w:tcW w:w="2110" w:type="dxa"/>
            <w:vAlign w:val="center"/>
          </w:tcPr>
          <w:p w14:paraId="485DD7D6"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0.000*</w:t>
            </w:r>
          </w:p>
        </w:tc>
      </w:tr>
      <w:tr w:rsidR="008618CE" w:rsidRPr="008618CE" w14:paraId="192020F0" w14:textId="77777777" w:rsidTr="001D60C1">
        <w:trPr>
          <w:jc w:val="center"/>
        </w:trPr>
        <w:tc>
          <w:tcPr>
            <w:tcW w:w="2205" w:type="dxa"/>
            <w:vMerge/>
            <w:vAlign w:val="center"/>
          </w:tcPr>
          <w:p w14:paraId="2ADE6FDA"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p>
        </w:tc>
        <w:tc>
          <w:tcPr>
            <w:tcW w:w="1945" w:type="dxa"/>
            <w:vAlign w:val="center"/>
          </w:tcPr>
          <w:p w14:paraId="3275B678"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Overweight</w:t>
            </w:r>
          </w:p>
        </w:tc>
        <w:tc>
          <w:tcPr>
            <w:tcW w:w="2010" w:type="dxa"/>
            <w:vAlign w:val="center"/>
          </w:tcPr>
          <w:p w14:paraId="68E5DCE1"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0.821</w:t>
            </w:r>
          </w:p>
        </w:tc>
        <w:tc>
          <w:tcPr>
            <w:tcW w:w="2110" w:type="dxa"/>
            <w:vAlign w:val="center"/>
          </w:tcPr>
          <w:p w14:paraId="555781EC" w14:textId="77777777" w:rsidR="008618CE" w:rsidRPr="008618CE" w:rsidRDefault="008618CE" w:rsidP="008618CE">
            <w:pPr>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0.000*</w:t>
            </w:r>
          </w:p>
        </w:tc>
      </w:tr>
      <w:tr w:rsidR="008618CE" w:rsidRPr="008618CE" w14:paraId="0B447B41" w14:textId="77777777" w:rsidTr="001D60C1">
        <w:trPr>
          <w:jc w:val="center"/>
        </w:trPr>
        <w:tc>
          <w:tcPr>
            <w:tcW w:w="8270" w:type="dxa"/>
            <w:gridSpan w:val="4"/>
            <w:vAlign w:val="center"/>
          </w:tcPr>
          <w:p w14:paraId="009C67BD" w14:textId="77777777" w:rsidR="008618CE" w:rsidRPr="008618CE" w:rsidRDefault="008618CE" w:rsidP="008618CE">
            <w:pPr>
              <w:keepNext/>
              <w:spacing w:line="360" w:lineRule="auto"/>
              <w:jc w:val="center"/>
              <w:rPr>
                <w:rFonts w:ascii="Times New Roman" w:hAnsi="Times New Roman" w:cs="Times New Roman"/>
                <w:kern w:val="2"/>
                <w:sz w:val="24"/>
                <w:szCs w:val="24"/>
                <w:lang w:val="en-US"/>
                <w14:ligatures w14:val="standardContextual"/>
              </w:rPr>
            </w:pPr>
            <w:r w:rsidRPr="008618CE">
              <w:rPr>
                <w:rFonts w:ascii="Times New Roman" w:hAnsi="Times New Roman" w:cs="Times New Roman"/>
                <w:kern w:val="2"/>
                <w:sz w:val="24"/>
                <w:szCs w:val="24"/>
                <w:lang w:val="en-US"/>
                <w14:ligatures w14:val="standardContextual"/>
              </w:rPr>
              <w:t>*Statistically significant positive correlation</w:t>
            </w:r>
          </w:p>
        </w:tc>
      </w:tr>
    </w:tbl>
    <w:p w14:paraId="5D392BED" w14:textId="77777777" w:rsidR="008618CE" w:rsidRPr="008618CE" w:rsidRDefault="008618CE" w:rsidP="008618CE">
      <w:pPr>
        <w:spacing w:after="200" w:line="360" w:lineRule="auto"/>
        <w:jc w:val="center"/>
        <w:rPr>
          <w:rFonts w:ascii="Times New Roman" w:eastAsia="Times New Roman" w:hAnsi="Times New Roman" w:cs="Times New Roman"/>
          <w:i/>
          <w:iCs/>
          <w:color w:val="44546A" w:themeColor="text2"/>
          <w:kern w:val="2"/>
          <w:sz w:val="24"/>
          <w:szCs w:val="24"/>
          <w:lang w:eastAsia="en-IN"/>
          <w14:ligatures w14:val="standardContextual"/>
        </w:rPr>
      </w:pPr>
      <w:r w:rsidRPr="008618CE">
        <w:rPr>
          <w:i/>
          <w:iCs/>
          <w:color w:val="44546A" w:themeColor="text2"/>
          <w:kern w:val="2"/>
          <w:sz w:val="18"/>
          <w:szCs w:val="18"/>
          <w14:ligatures w14:val="standardContextual"/>
        </w:rPr>
        <w:t xml:space="preserve">Table </w:t>
      </w:r>
      <w:r w:rsidRPr="008618CE">
        <w:rPr>
          <w:i/>
          <w:iCs/>
          <w:color w:val="44546A" w:themeColor="text2"/>
          <w:kern w:val="2"/>
          <w:sz w:val="18"/>
          <w:szCs w:val="18"/>
          <w14:ligatures w14:val="standardContextual"/>
        </w:rPr>
        <w:fldChar w:fldCharType="begin"/>
      </w:r>
      <w:r w:rsidRPr="008618CE">
        <w:rPr>
          <w:i/>
          <w:iCs/>
          <w:color w:val="44546A" w:themeColor="text2"/>
          <w:kern w:val="2"/>
          <w:sz w:val="18"/>
          <w:szCs w:val="18"/>
          <w14:ligatures w14:val="standardContextual"/>
        </w:rPr>
        <w:instrText xml:space="preserve"> SEQ Table \* ARABIC </w:instrText>
      </w:r>
      <w:r w:rsidRPr="008618CE">
        <w:rPr>
          <w:i/>
          <w:iCs/>
          <w:color w:val="44546A" w:themeColor="text2"/>
          <w:kern w:val="2"/>
          <w:sz w:val="18"/>
          <w:szCs w:val="18"/>
          <w14:ligatures w14:val="standardContextual"/>
        </w:rPr>
        <w:fldChar w:fldCharType="separate"/>
      </w:r>
      <w:r w:rsidRPr="008618CE">
        <w:rPr>
          <w:i/>
          <w:iCs/>
          <w:noProof/>
          <w:color w:val="44546A" w:themeColor="text2"/>
          <w:kern w:val="2"/>
          <w:sz w:val="18"/>
          <w:szCs w:val="18"/>
          <w14:ligatures w14:val="standardContextual"/>
        </w:rPr>
        <w:t>4</w:t>
      </w:r>
      <w:r w:rsidRPr="008618CE">
        <w:rPr>
          <w:i/>
          <w:iCs/>
          <w:noProof/>
          <w:color w:val="44546A" w:themeColor="text2"/>
          <w:kern w:val="2"/>
          <w:sz w:val="18"/>
          <w:szCs w:val="18"/>
          <w14:ligatures w14:val="standardContextual"/>
        </w:rPr>
        <w:fldChar w:fldCharType="end"/>
      </w:r>
      <w:r w:rsidRPr="008618CE">
        <w:rPr>
          <w:i/>
          <w:iCs/>
          <w:color w:val="44546A" w:themeColor="text2"/>
          <w:kern w:val="2"/>
          <w:sz w:val="18"/>
          <w:szCs w:val="18"/>
          <w14:ligatures w14:val="standardContextual"/>
        </w:rPr>
        <w:t>: Relationship between SWVT and SCST based on BMI</w:t>
      </w:r>
    </w:p>
    <w:p w14:paraId="75571B18" w14:textId="77777777" w:rsidR="008618CE" w:rsidRPr="008618CE" w:rsidRDefault="008618CE" w:rsidP="008618CE">
      <w:pPr>
        <w:spacing w:after="240" w:line="360" w:lineRule="auto"/>
        <w:rPr>
          <w:rFonts w:ascii="Times New Roman" w:eastAsia="Times New Roman" w:hAnsi="Times New Roman" w:cs="Times New Roman"/>
          <w:b/>
          <w:kern w:val="2"/>
          <w:sz w:val="24"/>
          <w:szCs w:val="24"/>
          <w:lang w:eastAsia="en-IN"/>
          <w14:ligatures w14:val="standardContextual"/>
        </w:rPr>
      </w:pPr>
      <w:r w:rsidRPr="008618CE">
        <w:rPr>
          <w:rFonts w:ascii="Times New Roman" w:eastAsia="Times New Roman" w:hAnsi="Times New Roman" w:cs="Times New Roman"/>
          <w:b/>
          <w:kern w:val="2"/>
          <w:sz w:val="24"/>
          <w:szCs w:val="24"/>
          <w:lang w:eastAsia="en-IN"/>
          <w14:ligatures w14:val="standardContextual"/>
        </w:rPr>
        <w:t>DISCUSSION</w:t>
      </w:r>
    </w:p>
    <w:p w14:paraId="29B750C5"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This study explored the association between </w:t>
      </w:r>
      <w:r w:rsidRPr="008618CE">
        <w:rPr>
          <w:rFonts w:ascii="Times New Roman" w:eastAsia="Times New Roman" w:hAnsi="Times New Roman" w:cs="Times New Roman"/>
          <w:bCs/>
          <w:kern w:val="2"/>
          <w:sz w:val="24"/>
          <w:szCs w:val="24"/>
          <w:lang w:eastAsia="en-IN"/>
          <w14:ligatures w14:val="standardContextual"/>
        </w:rPr>
        <w:t>eye-foot coordination</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lower abdominal core stability</w:t>
      </w:r>
      <w:r w:rsidRPr="008618CE">
        <w:rPr>
          <w:rFonts w:ascii="Times New Roman" w:eastAsia="Times New Roman" w:hAnsi="Times New Roman" w:cs="Times New Roman"/>
          <w:kern w:val="2"/>
          <w:sz w:val="24"/>
          <w:szCs w:val="24"/>
          <w:lang w:eastAsia="en-IN"/>
          <w14:ligatures w14:val="standardContextual"/>
        </w:rPr>
        <w:t xml:space="preserve"> among young adults categorized by </w:t>
      </w:r>
      <w:r w:rsidRPr="008618CE">
        <w:rPr>
          <w:rFonts w:ascii="Times New Roman" w:eastAsia="Times New Roman" w:hAnsi="Times New Roman" w:cs="Times New Roman"/>
          <w:bCs/>
          <w:kern w:val="2"/>
          <w:sz w:val="24"/>
          <w:szCs w:val="24"/>
          <w:lang w:eastAsia="en-IN"/>
          <w14:ligatures w14:val="standardContextual"/>
        </w:rPr>
        <w:t>Body Mass Index (BMI)</w:t>
      </w:r>
      <w:r w:rsidRPr="008618CE">
        <w:rPr>
          <w:rFonts w:ascii="Times New Roman" w:eastAsia="Times New Roman" w:hAnsi="Times New Roman" w:cs="Times New Roman"/>
          <w:kern w:val="2"/>
          <w:sz w:val="24"/>
          <w:szCs w:val="24"/>
          <w:lang w:eastAsia="en-IN"/>
          <w14:ligatures w14:val="standardContextual"/>
        </w:rPr>
        <w:t xml:space="preserve">. The findings reveal a strong positive correlation between these two components of motor control, highlighting their </w:t>
      </w:r>
      <w:r w:rsidRPr="008618CE">
        <w:rPr>
          <w:rFonts w:ascii="Times New Roman" w:eastAsia="Times New Roman" w:hAnsi="Times New Roman" w:cs="Times New Roman"/>
          <w:kern w:val="2"/>
          <w:sz w:val="24"/>
          <w:szCs w:val="24"/>
          <w:lang w:eastAsia="en-IN"/>
          <w14:ligatures w14:val="standardContextual"/>
        </w:rPr>
        <w:lastRenderedPageBreak/>
        <w:t xml:space="preserve">mutual contribution to efficient functional and athletic performance. Understanding this relationship is essential for designing targeted interventions aimed at optimizing physical competence, especially in fields such as </w:t>
      </w:r>
      <w:r w:rsidRPr="008618CE">
        <w:rPr>
          <w:rFonts w:ascii="Times New Roman" w:eastAsia="Times New Roman" w:hAnsi="Times New Roman" w:cs="Times New Roman"/>
          <w:bCs/>
          <w:kern w:val="2"/>
          <w:sz w:val="24"/>
          <w:szCs w:val="24"/>
          <w:lang w:eastAsia="en-IN"/>
          <w14:ligatures w14:val="standardContextual"/>
        </w:rPr>
        <w:t>injury prevention</w:t>
      </w:r>
      <w:r w:rsidRPr="008618CE">
        <w:rPr>
          <w:rFonts w:ascii="Times New Roman" w:eastAsia="Times New Roman" w:hAnsi="Times New Roman" w:cs="Times New Roman"/>
          <w:kern w:val="2"/>
          <w:sz w:val="24"/>
          <w:szCs w:val="24"/>
          <w:lang w:eastAsia="en-IN"/>
          <w14:ligatures w14:val="standardContextual"/>
        </w:rPr>
        <w:t xml:space="preserve">, </w:t>
      </w:r>
      <w:r w:rsidRPr="008618CE">
        <w:rPr>
          <w:rFonts w:ascii="Times New Roman" w:eastAsia="Times New Roman" w:hAnsi="Times New Roman" w:cs="Times New Roman"/>
          <w:bCs/>
          <w:kern w:val="2"/>
          <w:sz w:val="24"/>
          <w:szCs w:val="24"/>
          <w:lang w:eastAsia="en-IN"/>
          <w14:ligatures w14:val="standardContextual"/>
        </w:rPr>
        <w:t>sports rehabilitation</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clinical physiotherapy</w:t>
      </w:r>
      <w:r w:rsidRPr="008618CE">
        <w:rPr>
          <w:rFonts w:ascii="Times New Roman" w:eastAsia="Times New Roman" w:hAnsi="Times New Roman" w:cs="Times New Roman"/>
          <w:kern w:val="2"/>
          <w:sz w:val="24"/>
          <w:szCs w:val="24"/>
          <w:lang w:eastAsia="en-IN"/>
          <w14:ligatures w14:val="standardContextual"/>
        </w:rPr>
        <w:t>.</w:t>
      </w:r>
    </w:p>
    <w:p w14:paraId="78A26284"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The correlation remained statistically significant across all BMI categories underweight, normal weight, and overweight with respective </w:t>
      </w:r>
      <w:proofErr w:type="spellStart"/>
      <w:r w:rsidRPr="008618CE">
        <w:rPr>
          <w:rFonts w:ascii="Times New Roman" w:eastAsia="Times New Roman" w:hAnsi="Times New Roman" w:cs="Times New Roman"/>
          <w:kern w:val="2"/>
          <w:sz w:val="24"/>
          <w:szCs w:val="24"/>
          <w:lang w:eastAsia="en-IN"/>
          <w14:ligatures w14:val="standardContextual"/>
        </w:rPr>
        <w:t>r-values</w:t>
      </w:r>
      <w:proofErr w:type="spellEnd"/>
      <w:r w:rsidRPr="008618CE">
        <w:rPr>
          <w:rFonts w:ascii="Times New Roman" w:eastAsia="Times New Roman" w:hAnsi="Times New Roman" w:cs="Times New Roman"/>
          <w:kern w:val="2"/>
          <w:sz w:val="24"/>
          <w:szCs w:val="24"/>
          <w:lang w:eastAsia="en-IN"/>
          <w14:ligatures w14:val="standardContextual"/>
        </w:rPr>
        <w:t xml:space="preserve"> of 0.791, 0.791, and 0.821. These consistent values suggest that the synergy between eye-foot coordination and core stability is independent of body composition. Participants with superior visual-motor responsiveness tended to exhibit greater abdominal control, reinforcing the notion that </w:t>
      </w:r>
      <w:r w:rsidRPr="008618CE">
        <w:rPr>
          <w:rFonts w:ascii="Times New Roman" w:eastAsia="Times New Roman" w:hAnsi="Times New Roman" w:cs="Times New Roman"/>
          <w:bCs/>
          <w:kern w:val="2"/>
          <w:sz w:val="24"/>
          <w:szCs w:val="24"/>
          <w:lang w:eastAsia="en-IN"/>
          <w14:ligatures w14:val="standardContextual"/>
        </w:rPr>
        <w:t>motor precision and proximal stability are interlinked</w:t>
      </w:r>
      <w:r w:rsidRPr="008618CE">
        <w:rPr>
          <w:rFonts w:ascii="Times New Roman" w:eastAsia="Times New Roman" w:hAnsi="Times New Roman" w:cs="Times New Roman"/>
          <w:kern w:val="2"/>
          <w:sz w:val="24"/>
          <w:szCs w:val="24"/>
          <w:lang w:eastAsia="en-IN"/>
          <w14:ligatures w14:val="standardContextual"/>
        </w:rPr>
        <w:t>.</w:t>
      </w:r>
      <w:r w:rsidRPr="008618CE">
        <w:rPr>
          <w:rFonts w:ascii="Times New Roman" w:eastAsia="Times New Roman" w:hAnsi="Times New Roman" w:cs="Times New Roman"/>
          <w:kern w:val="2"/>
          <w:sz w:val="24"/>
          <w:szCs w:val="24"/>
          <w:vertAlign w:val="superscript"/>
          <w:lang w:eastAsia="en-IN"/>
          <w14:ligatures w14:val="standardContextual"/>
        </w:rPr>
        <w:t>14</w:t>
      </w:r>
    </w:p>
    <w:p w14:paraId="08AA50B3"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Further analysis of core stability levels revealed BMI-dependent variation. Overweight individuals demonstrated the highest proportion at </w:t>
      </w:r>
      <w:r w:rsidRPr="008618CE">
        <w:rPr>
          <w:rFonts w:ascii="Times New Roman" w:eastAsia="Times New Roman" w:hAnsi="Times New Roman" w:cs="Times New Roman"/>
          <w:bCs/>
          <w:kern w:val="2"/>
          <w:sz w:val="24"/>
          <w:szCs w:val="24"/>
          <w:lang w:eastAsia="en-IN"/>
          <w14:ligatures w14:val="standardContextual"/>
        </w:rPr>
        <w:t>Level 5 stability (13.9%)</w:t>
      </w:r>
      <w:r w:rsidRPr="008618CE">
        <w:rPr>
          <w:rFonts w:ascii="Times New Roman" w:eastAsia="Times New Roman" w:hAnsi="Times New Roman" w:cs="Times New Roman"/>
          <w:kern w:val="2"/>
          <w:sz w:val="24"/>
          <w:szCs w:val="24"/>
          <w:lang w:eastAsia="en-IN"/>
          <w14:ligatures w14:val="standardContextual"/>
        </w:rPr>
        <w:t xml:space="preserve">, while underweight individuals predominantly clustered in lower levels (Level 2: 44.4%, Level 1: 8.3%). This may indicate that </w:t>
      </w:r>
      <w:r w:rsidRPr="008618CE">
        <w:rPr>
          <w:rFonts w:ascii="Times New Roman" w:eastAsia="Times New Roman" w:hAnsi="Times New Roman" w:cs="Times New Roman"/>
          <w:bCs/>
          <w:kern w:val="2"/>
          <w:sz w:val="24"/>
          <w:szCs w:val="24"/>
          <w:lang w:eastAsia="en-IN"/>
          <w14:ligatures w14:val="standardContextual"/>
        </w:rPr>
        <w:t>increased body mass prompts compensatory neuromuscular adaptations</w:t>
      </w:r>
      <w:r w:rsidRPr="008618CE">
        <w:rPr>
          <w:rFonts w:ascii="Times New Roman" w:eastAsia="Times New Roman" w:hAnsi="Times New Roman" w:cs="Times New Roman"/>
          <w:kern w:val="2"/>
          <w:sz w:val="24"/>
          <w:szCs w:val="24"/>
          <w:lang w:eastAsia="en-IN"/>
          <w14:ligatures w14:val="standardContextual"/>
        </w:rPr>
        <w:t xml:space="preserve">, thereby enhancing abdominal engagement and postural control. Previous studies by </w:t>
      </w:r>
      <w:r w:rsidRPr="008618CE">
        <w:rPr>
          <w:rFonts w:ascii="Times New Roman" w:eastAsia="Times New Roman" w:hAnsi="Times New Roman" w:cs="Times New Roman"/>
          <w:bCs/>
          <w:kern w:val="2"/>
          <w:sz w:val="24"/>
          <w:szCs w:val="24"/>
          <w:lang w:eastAsia="en-IN"/>
          <w14:ligatures w14:val="standardContextual"/>
        </w:rPr>
        <w:t>Stodden et al. (2008)</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Hue et al. (2007)</w:t>
      </w:r>
      <w:r w:rsidRPr="008618CE">
        <w:rPr>
          <w:rFonts w:ascii="Times New Roman" w:eastAsia="Times New Roman" w:hAnsi="Times New Roman" w:cs="Times New Roman"/>
          <w:kern w:val="2"/>
          <w:sz w:val="24"/>
          <w:szCs w:val="24"/>
          <w:lang w:eastAsia="en-IN"/>
          <w14:ligatures w14:val="standardContextual"/>
        </w:rPr>
        <w:t xml:space="preserve"> support this interpretation, attributing improved stability in higher BMI individuals to greater muscle mass and active core recruitment to counterbalance load.</w:t>
      </w:r>
      <w:r w:rsidRPr="008618CE">
        <w:rPr>
          <w:rFonts w:ascii="Times New Roman" w:eastAsia="Times New Roman" w:hAnsi="Times New Roman" w:cs="Times New Roman"/>
          <w:kern w:val="2"/>
          <w:sz w:val="24"/>
          <w:szCs w:val="24"/>
          <w:vertAlign w:val="superscript"/>
          <w:lang w:eastAsia="en-IN"/>
          <w14:ligatures w14:val="standardContextual"/>
        </w:rPr>
        <w:t>15,16</w:t>
      </w:r>
      <w:r w:rsidRPr="008618CE">
        <w:rPr>
          <w:rFonts w:ascii="Times New Roman" w:eastAsia="Times New Roman" w:hAnsi="Times New Roman" w:cs="Times New Roman"/>
          <w:kern w:val="2"/>
          <w:sz w:val="24"/>
          <w:szCs w:val="24"/>
          <w:lang w:eastAsia="en-IN"/>
          <w14:ligatures w14:val="standardContextual"/>
        </w:rPr>
        <w:t xml:space="preserve"> Similarly, </w:t>
      </w:r>
      <w:r w:rsidRPr="008618CE">
        <w:rPr>
          <w:rFonts w:ascii="Times New Roman" w:eastAsia="Times New Roman" w:hAnsi="Times New Roman" w:cs="Times New Roman"/>
          <w:bCs/>
          <w:kern w:val="2"/>
          <w:sz w:val="24"/>
          <w:szCs w:val="24"/>
          <w:lang w:eastAsia="en-IN"/>
          <w14:ligatures w14:val="standardContextual"/>
        </w:rPr>
        <w:t>Greve et al. (2007)</w:t>
      </w:r>
      <w:r w:rsidRPr="008618CE">
        <w:rPr>
          <w:rFonts w:ascii="Times New Roman" w:eastAsia="Times New Roman" w:hAnsi="Times New Roman" w:cs="Times New Roman"/>
          <w:kern w:val="2"/>
          <w:sz w:val="24"/>
          <w:szCs w:val="24"/>
          <w:lang w:eastAsia="en-IN"/>
          <w14:ligatures w14:val="standardContextual"/>
        </w:rPr>
        <w:t xml:space="preserve"> highlighted the role of adaptive neuromotor mechanisms in maintaining balance and coordination in individuals with elevated body weight.</w:t>
      </w:r>
      <w:r w:rsidRPr="008618CE">
        <w:rPr>
          <w:rFonts w:ascii="Times New Roman" w:eastAsia="Times New Roman" w:hAnsi="Times New Roman" w:cs="Times New Roman"/>
          <w:kern w:val="2"/>
          <w:sz w:val="24"/>
          <w:szCs w:val="24"/>
          <w:vertAlign w:val="superscript"/>
          <w:lang w:eastAsia="en-IN"/>
          <w14:ligatures w14:val="standardContextual"/>
        </w:rPr>
        <w:t>17</w:t>
      </w:r>
    </w:p>
    <w:p w14:paraId="08E6A87D"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Eye-foot coordination scores also followed a similar trend, with overweight individuals slightly outperforming their normal and underweight peers. Although the difference between the normal and overweight categories was marginal, this finding suggests that </w:t>
      </w:r>
      <w:r w:rsidRPr="008618CE">
        <w:rPr>
          <w:rFonts w:ascii="Times New Roman" w:eastAsia="Times New Roman" w:hAnsi="Times New Roman" w:cs="Times New Roman"/>
          <w:bCs/>
          <w:kern w:val="2"/>
          <w:sz w:val="24"/>
          <w:szCs w:val="24"/>
          <w:lang w:eastAsia="en-IN"/>
          <w14:ligatures w14:val="standardContextual"/>
        </w:rPr>
        <w:t>neuromuscular efficiency, training exposure, and proprioceptive refinement</w:t>
      </w:r>
      <w:r w:rsidRPr="008618CE">
        <w:rPr>
          <w:rFonts w:ascii="Times New Roman" w:eastAsia="Times New Roman" w:hAnsi="Times New Roman" w:cs="Times New Roman"/>
          <w:kern w:val="2"/>
          <w:sz w:val="24"/>
          <w:szCs w:val="24"/>
          <w:lang w:eastAsia="en-IN"/>
          <w14:ligatures w14:val="standardContextual"/>
        </w:rPr>
        <w:t xml:space="preserve"> may serve as more influential predictors of coordination ability than BMI alone.</w:t>
      </w:r>
      <w:r w:rsidRPr="008618CE">
        <w:rPr>
          <w:rFonts w:ascii="Times New Roman" w:eastAsia="Times New Roman" w:hAnsi="Times New Roman" w:cs="Times New Roman"/>
          <w:kern w:val="2"/>
          <w:sz w:val="24"/>
          <w:szCs w:val="24"/>
          <w:vertAlign w:val="superscript"/>
          <w:lang w:eastAsia="en-IN"/>
          <w14:ligatures w14:val="standardContextual"/>
        </w:rPr>
        <w:t>13</w:t>
      </w:r>
    </w:p>
    <w:p w14:paraId="13DA8580"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These insights align with prior investigations demonstrating the integral role of core strength in facilitating precise motor actions, particularly of the lower limbs. The concept of “proximal stability for distal mobility,” emphasized by </w:t>
      </w:r>
      <w:r w:rsidRPr="008618CE">
        <w:rPr>
          <w:rFonts w:ascii="Times New Roman" w:eastAsia="Times New Roman" w:hAnsi="Times New Roman" w:cs="Times New Roman"/>
          <w:bCs/>
          <w:kern w:val="2"/>
          <w:sz w:val="24"/>
          <w:szCs w:val="24"/>
          <w:lang w:eastAsia="en-IN"/>
          <w14:ligatures w14:val="standardContextual"/>
        </w:rPr>
        <w:t>Kibler et al. (2006)</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Willardson et al. (2007)</w:t>
      </w:r>
      <w:r w:rsidRPr="008618CE">
        <w:rPr>
          <w:rFonts w:ascii="Times New Roman" w:eastAsia="Times New Roman" w:hAnsi="Times New Roman" w:cs="Times New Roman"/>
          <w:kern w:val="2"/>
          <w:sz w:val="24"/>
          <w:szCs w:val="24"/>
          <w:lang w:eastAsia="en-IN"/>
          <w14:ligatures w14:val="standardContextual"/>
        </w:rPr>
        <w:t>, remains highly relevant.</w:t>
      </w:r>
      <w:r w:rsidRPr="008618CE">
        <w:rPr>
          <w:rFonts w:ascii="Times New Roman" w:eastAsia="Times New Roman" w:hAnsi="Times New Roman" w:cs="Times New Roman"/>
          <w:kern w:val="2"/>
          <w:sz w:val="24"/>
          <w:szCs w:val="24"/>
          <w:vertAlign w:val="superscript"/>
          <w:lang w:eastAsia="en-IN"/>
          <w14:ligatures w14:val="standardContextual"/>
        </w:rPr>
        <w:t>3,18</w:t>
      </w:r>
      <w:r w:rsidRPr="008618CE">
        <w:rPr>
          <w:rFonts w:ascii="Times New Roman" w:eastAsia="Times New Roman" w:hAnsi="Times New Roman" w:cs="Times New Roman"/>
          <w:kern w:val="2"/>
          <w:sz w:val="24"/>
          <w:szCs w:val="24"/>
          <w:lang w:eastAsia="en-IN"/>
          <w14:ligatures w14:val="standardContextual"/>
        </w:rPr>
        <w:t xml:space="preserve"> Enhanced core function allows for better force transmission, postural alignment, and kinetic control, all of which support dynamic movement tasks. Research by </w:t>
      </w:r>
      <w:proofErr w:type="spellStart"/>
      <w:r w:rsidRPr="008618CE">
        <w:rPr>
          <w:rFonts w:ascii="Times New Roman" w:eastAsia="Times New Roman" w:hAnsi="Times New Roman" w:cs="Times New Roman"/>
          <w:bCs/>
          <w:kern w:val="2"/>
          <w:sz w:val="24"/>
          <w:szCs w:val="24"/>
          <w:lang w:eastAsia="en-IN"/>
          <w14:ligatures w14:val="standardContextual"/>
        </w:rPr>
        <w:t>Leetun</w:t>
      </w:r>
      <w:proofErr w:type="spellEnd"/>
      <w:r w:rsidRPr="008618CE">
        <w:rPr>
          <w:rFonts w:ascii="Times New Roman" w:eastAsia="Times New Roman" w:hAnsi="Times New Roman" w:cs="Times New Roman"/>
          <w:bCs/>
          <w:kern w:val="2"/>
          <w:sz w:val="24"/>
          <w:szCs w:val="24"/>
          <w:lang w:eastAsia="en-IN"/>
          <w14:ligatures w14:val="standardContextual"/>
        </w:rPr>
        <w:t xml:space="preserve"> et al. (2004)</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Hibbs et al. (2008)</w:t>
      </w:r>
      <w:r w:rsidRPr="008618CE">
        <w:rPr>
          <w:rFonts w:ascii="Times New Roman" w:eastAsia="Times New Roman" w:hAnsi="Times New Roman" w:cs="Times New Roman"/>
          <w:kern w:val="2"/>
          <w:sz w:val="24"/>
          <w:szCs w:val="24"/>
          <w:lang w:eastAsia="en-IN"/>
          <w14:ligatures w14:val="standardContextual"/>
        </w:rPr>
        <w:t xml:space="preserve"> further underscores </w:t>
      </w:r>
      <w:r w:rsidRPr="008618CE">
        <w:rPr>
          <w:rFonts w:ascii="Times New Roman" w:eastAsia="Times New Roman" w:hAnsi="Times New Roman" w:cs="Times New Roman"/>
          <w:kern w:val="2"/>
          <w:sz w:val="24"/>
          <w:szCs w:val="24"/>
          <w:lang w:eastAsia="en-IN"/>
          <w14:ligatures w14:val="standardContextual"/>
        </w:rPr>
        <w:lastRenderedPageBreak/>
        <w:t>the link between core stability and optimal performance across athletic and rehabilitative domains.</w:t>
      </w:r>
      <w:r w:rsidRPr="008618CE">
        <w:rPr>
          <w:rFonts w:ascii="Times New Roman" w:eastAsia="Times New Roman" w:hAnsi="Times New Roman" w:cs="Times New Roman"/>
          <w:kern w:val="2"/>
          <w:sz w:val="24"/>
          <w:szCs w:val="24"/>
          <w:vertAlign w:val="superscript"/>
          <w:lang w:eastAsia="en-IN"/>
          <w14:ligatures w14:val="standardContextual"/>
        </w:rPr>
        <w:t>13,19</w:t>
      </w:r>
    </w:p>
    <w:p w14:paraId="41403AEB"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The synergy between core stability and eye-foot coordination opens pathways for </w:t>
      </w:r>
      <w:r w:rsidRPr="008618CE">
        <w:rPr>
          <w:rFonts w:ascii="Times New Roman" w:eastAsia="Times New Roman" w:hAnsi="Times New Roman" w:cs="Times New Roman"/>
          <w:bCs/>
          <w:kern w:val="2"/>
          <w:sz w:val="24"/>
          <w:szCs w:val="24"/>
          <w:lang w:eastAsia="en-IN"/>
          <w14:ligatures w14:val="standardContextual"/>
        </w:rPr>
        <w:t>holistic training strategies</w:t>
      </w:r>
      <w:r w:rsidRPr="008618CE">
        <w:rPr>
          <w:rFonts w:ascii="Times New Roman" w:eastAsia="Times New Roman" w:hAnsi="Times New Roman" w:cs="Times New Roman"/>
          <w:kern w:val="2"/>
          <w:sz w:val="24"/>
          <w:szCs w:val="24"/>
          <w:lang w:eastAsia="en-IN"/>
          <w14:ligatures w14:val="standardContextual"/>
        </w:rPr>
        <w:t xml:space="preserve">. Programs integrating </w:t>
      </w:r>
      <w:r w:rsidRPr="008618CE">
        <w:rPr>
          <w:rFonts w:ascii="Times New Roman" w:eastAsia="Times New Roman" w:hAnsi="Times New Roman" w:cs="Times New Roman"/>
          <w:bCs/>
          <w:kern w:val="2"/>
          <w:sz w:val="24"/>
          <w:szCs w:val="24"/>
          <w:lang w:eastAsia="en-IN"/>
          <w14:ligatures w14:val="standardContextual"/>
        </w:rPr>
        <w:t>core strengthening</w:t>
      </w:r>
      <w:r w:rsidRPr="008618CE">
        <w:rPr>
          <w:rFonts w:ascii="Times New Roman" w:eastAsia="Times New Roman" w:hAnsi="Times New Roman" w:cs="Times New Roman"/>
          <w:kern w:val="2"/>
          <w:sz w:val="24"/>
          <w:szCs w:val="24"/>
          <w:lang w:eastAsia="en-IN"/>
          <w14:ligatures w14:val="standardContextual"/>
        </w:rPr>
        <w:t xml:space="preserve">, </w:t>
      </w:r>
      <w:r w:rsidRPr="008618CE">
        <w:rPr>
          <w:rFonts w:ascii="Times New Roman" w:eastAsia="Times New Roman" w:hAnsi="Times New Roman" w:cs="Times New Roman"/>
          <w:bCs/>
          <w:kern w:val="2"/>
          <w:sz w:val="24"/>
          <w:szCs w:val="24"/>
          <w:lang w:eastAsia="en-IN"/>
          <w14:ligatures w14:val="standardContextual"/>
        </w:rPr>
        <w:t>balance exercises</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agility drills</w:t>
      </w:r>
      <w:r w:rsidRPr="008618CE">
        <w:rPr>
          <w:rFonts w:ascii="Times New Roman" w:eastAsia="Times New Roman" w:hAnsi="Times New Roman" w:cs="Times New Roman"/>
          <w:kern w:val="2"/>
          <w:sz w:val="24"/>
          <w:szCs w:val="24"/>
          <w:lang w:eastAsia="en-IN"/>
          <w14:ligatures w14:val="standardContextual"/>
        </w:rPr>
        <w:t xml:space="preserve"> have shown promise in enhancing both static and dynamic control, minimizing injury risk, and promoting functional movement efficiency. Studies by </w:t>
      </w:r>
      <w:r w:rsidRPr="008618CE">
        <w:rPr>
          <w:rFonts w:ascii="Times New Roman" w:eastAsia="Times New Roman" w:hAnsi="Times New Roman" w:cs="Times New Roman"/>
          <w:bCs/>
          <w:kern w:val="2"/>
          <w:sz w:val="24"/>
          <w:szCs w:val="24"/>
          <w:lang w:eastAsia="en-IN"/>
          <w14:ligatures w14:val="standardContextual"/>
        </w:rPr>
        <w:t>Behm et al. (2010)</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Paillard et al. (2006)</w:t>
      </w:r>
      <w:r w:rsidRPr="008618CE">
        <w:rPr>
          <w:rFonts w:ascii="Times New Roman" w:eastAsia="Times New Roman" w:hAnsi="Times New Roman" w:cs="Times New Roman"/>
          <w:kern w:val="2"/>
          <w:sz w:val="24"/>
          <w:szCs w:val="24"/>
          <w:lang w:eastAsia="en-IN"/>
          <w14:ligatures w14:val="standardContextual"/>
        </w:rPr>
        <w:t xml:space="preserve"> advocate for tailored neuromuscular conditioning in individuals with compromised coordination, emphasizing the role of proprioceptive stimuli in refining motor execution.</w:t>
      </w:r>
      <w:r w:rsidRPr="008618CE">
        <w:rPr>
          <w:rFonts w:ascii="Times New Roman" w:eastAsia="Times New Roman" w:hAnsi="Times New Roman" w:cs="Times New Roman"/>
          <w:kern w:val="2"/>
          <w:sz w:val="24"/>
          <w:szCs w:val="24"/>
          <w:vertAlign w:val="superscript"/>
          <w:lang w:eastAsia="en-IN"/>
          <w14:ligatures w14:val="standardContextual"/>
        </w:rPr>
        <w:t>20,21</w:t>
      </w:r>
    </w:p>
    <w:p w14:paraId="582124C8"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Importantly, this study fills a notable research gap by directly linking eye-foot coordination and lower abdominal core stability in a young population. While much of the literature has addressed these elements independently, their interconnected assessment provides a foundation for future inquiry. Expanding the scope to include variables such as </w:t>
      </w:r>
      <w:r w:rsidRPr="008618CE">
        <w:rPr>
          <w:rFonts w:ascii="Times New Roman" w:eastAsia="Times New Roman" w:hAnsi="Times New Roman" w:cs="Times New Roman"/>
          <w:bCs/>
          <w:kern w:val="2"/>
          <w:sz w:val="24"/>
          <w:szCs w:val="24"/>
          <w:lang w:eastAsia="en-IN"/>
          <w14:ligatures w14:val="standardContextual"/>
        </w:rPr>
        <w:t>physical activity levels</w:t>
      </w:r>
      <w:r w:rsidRPr="008618CE">
        <w:rPr>
          <w:rFonts w:ascii="Times New Roman" w:eastAsia="Times New Roman" w:hAnsi="Times New Roman" w:cs="Times New Roman"/>
          <w:kern w:val="2"/>
          <w:sz w:val="24"/>
          <w:szCs w:val="24"/>
          <w:lang w:eastAsia="en-IN"/>
          <w14:ligatures w14:val="standardContextual"/>
        </w:rPr>
        <w:t xml:space="preserve">, </w:t>
      </w:r>
      <w:r w:rsidRPr="008618CE">
        <w:rPr>
          <w:rFonts w:ascii="Times New Roman" w:eastAsia="Times New Roman" w:hAnsi="Times New Roman" w:cs="Times New Roman"/>
          <w:bCs/>
          <w:kern w:val="2"/>
          <w:sz w:val="24"/>
          <w:szCs w:val="24"/>
          <w:lang w:eastAsia="en-IN"/>
          <w14:ligatures w14:val="standardContextual"/>
        </w:rPr>
        <w:t>training history</w:t>
      </w:r>
      <w:r w:rsidRPr="008618CE">
        <w:rPr>
          <w:rFonts w:ascii="Times New Roman" w:eastAsia="Times New Roman" w:hAnsi="Times New Roman" w:cs="Times New Roman"/>
          <w:kern w:val="2"/>
          <w:sz w:val="24"/>
          <w:szCs w:val="24"/>
          <w:lang w:eastAsia="en-IN"/>
          <w14:ligatures w14:val="standardContextual"/>
        </w:rPr>
        <w:t xml:space="preserve">, and </w:t>
      </w:r>
      <w:r w:rsidRPr="008618CE">
        <w:rPr>
          <w:rFonts w:ascii="Times New Roman" w:eastAsia="Times New Roman" w:hAnsi="Times New Roman" w:cs="Times New Roman"/>
          <w:bCs/>
          <w:kern w:val="2"/>
          <w:sz w:val="24"/>
          <w:szCs w:val="24"/>
          <w:lang w:eastAsia="en-IN"/>
          <w14:ligatures w14:val="standardContextual"/>
        </w:rPr>
        <w:t>biomechanical analysis</w:t>
      </w:r>
      <w:r w:rsidRPr="008618CE">
        <w:rPr>
          <w:rFonts w:ascii="Times New Roman" w:eastAsia="Times New Roman" w:hAnsi="Times New Roman" w:cs="Times New Roman"/>
          <w:kern w:val="2"/>
          <w:sz w:val="24"/>
          <w:szCs w:val="24"/>
          <w:lang w:eastAsia="en-IN"/>
          <w14:ligatures w14:val="standardContextual"/>
        </w:rPr>
        <w:t xml:space="preserve"> could further elucidate causative pathways and enhance evidence-based intervention models.</w:t>
      </w:r>
    </w:p>
    <w:p w14:paraId="0A8CFD94"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While the present study provides valuable insights into the relationship between eye-foot coordination and lower abdominal core stability, several limitations must be acknowledged. First, the investigation was conducted on a relatively limited sample size, potentially affecting the generalizability of the findings. Expanding the study to include a broader and more diverse age range could strengthen external validity and ensure wider applicability across varying developmental stages and activity levels. Secondly, the use of BMI as the sole measure of body composition presents inherent limitations. BMI does not account for muscle mass, fat distribution, or metabolic efficiency variables that could significantly influence neuromuscular coordination and core performance. Future research should consider employing more precise anthropometric indices, such as body fat percentage, lean mass measurements, and muscle-to-fat ratios to enhance the interpretability of results.</w:t>
      </w:r>
    </w:p>
    <w:p w14:paraId="5DE8BFFA"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 xml:space="preserve">Moreover, the current study primarily focused on core stability and coordination, excluding other potentially influential variables that might have contributed to the observed outcomes. Environmental and psychological factors such as participant fatigue, motivational states, comprehension of tasks, type of footwear, and surface stability were not systematically </w:t>
      </w:r>
      <w:r w:rsidRPr="008618CE">
        <w:rPr>
          <w:rFonts w:ascii="Times New Roman" w:eastAsia="Times New Roman" w:hAnsi="Times New Roman" w:cs="Times New Roman"/>
          <w:kern w:val="2"/>
          <w:sz w:val="24"/>
          <w:szCs w:val="24"/>
          <w:lang w:eastAsia="en-IN"/>
          <w14:ligatures w14:val="standardContextual"/>
        </w:rPr>
        <w:lastRenderedPageBreak/>
        <w:t>controlled and may have affected test performance. Addressing these factors in future protocols could minimize bias and improve reliability.</w:t>
      </w:r>
    </w:p>
    <w:p w14:paraId="4519AFEA" w14:textId="77777777" w:rsidR="008618CE" w:rsidRPr="008618CE" w:rsidRDefault="008618CE" w:rsidP="008618CE">
      <w:pPr>
        <w:spacing w:before="100" w:beforeAutospacing="1" w:after="100" w:afterAutospacing="1" w:line="360" w:lineRule="auto"/>
        <w:jc w:val="both"/>
        <w:rPr>
          <w:rFonts w:ascii="Times New Roman" w:eastAsia="Times New Roman" w:hAnsi="Times New Roman" w:cs="Times New Roman"/>
          <w:kern w:val="2"/>
          <w:sz w:val="24"/>
          <w:szCs w:val="24"/>
          <w:lang w:eastAsia="en-IN"/>
          <w14:ligatures w14:val="standardContextual"/>
        </w:rPr>
      </w:pPr>
      <w:r w:rsidRPr="008618CE">
        <w:rPr>
          <w:rFonts w:ascii="Times New Roman" w:eastAsia="Times New Roman" w:hAnsi="Times New Roman" w:cs="Times New Roman"/>
          <w:kern w:val="2"/>
          <w:sz w:val="24"/>
          <w:szCs w:val="24"/>
          <w:lang w:eastAsia="en-IN"/>
          <w14:ligatures w14:val="standardContextual"/>
        </w:rPr>
        <w:t>The influence of prior physical activity and sports experience also warrants attention. Participants' training backgrounds, movement habits, and exposure to structured exercise regimens were not documented or categorized, which could have had a substantial impact on their neuromuscular and core stability profiles. It is recommended that subsequent studies stratify participants based on athletic engagement and training history to offer a more nuanced understanding of contributing factors. By recognizing and addressing these limitations, future investigations can better delineate the interplay between coordination and core function, enabling the development of evidence-based interventions tailored to specific subpopulations.</w:t>
      </w:r>
    </w:p>
    <w:p w14:paraId="057E7289" w14:textId="77777777" w:rsidR="008618CE" w:rsidRPr="008618CE" w:rsidRDefault="008618CE" w:rsidP="008618CE">
      <w:pPr>
        <w:spacing w:after="240" w:line="360" w:lineRule="auto"/>
        <w:rPr>
          <w:rFonts w:ascii="Times New Roman" w:eastAsia="Times New Roman" w:hAnsi="Times New Roman" w:cs="Times New Roman"/>
          <w:b/>
          <w:kern w:val="2"/>
          <w:sz w:val="24"/>
          <w:szCs w:val="24"/>
          <w:lang w:eastAsia="en-IN"/>
          <w14:ligatures w14:val="standardContextual"/>
        </w:rPr>
      </w:pPr>
      <w:r w:rsidRPr="008618CE">
        <w:rPr>
          <w:rFonts w:ascii="Times New Roman" w:eastAsia="Times New Roman" w:hAnsi="Times New Roman" w:cs="Times New Roman"/>
          <w:b/>
          <w:kern w:val="2"/>
          <w:sz w:val="24"/>
          <w:szCs w:val="24"/>
          <w:lang w:eastAsia="en-IN"/>
          <w14:ligatures w14:val="standardContextual"/>
        </w:rPr>
        <w:t>CONCLUSION</w:t>
      </w:r>
    </w:p>
    <w:p w14:paraId="5EFCB308" w14:textId="77777777" w:rsidR="008618CE" w:rsidRPr="008618CE" w:rsidRDefault="008618CE" w:rsidP="008618CE">
      <w:pPr>
        <w:spacing w:after="240" w:line="360" w:lineRule="auto"/>
        <w:jc w:val="both"/>
        <w:rPr>
          <w:rFonts w:ascii="Times New Roman" w:hAnsi="Times New Roman" w:cs="Times New Roman"/>
          <w:kern w:val="2"/>
          <w:sz w:val="24"/>
          <w:szCs w:val="24"/>
          <w14:ligatures w14:val="standardContextual"/>
        </w:rPr>
      </w:pPr>
      <w:r w:rsidRPr="008618CE">
        <w:rPr>
          <w:rFonts w:ascii="Times New Roman" w:hAnsi="Times New Roman" w:cs="Times New Roman"/>
          <w:kern w:val="2"/>
          <w:sz w:val="24"/>
          <w:szCs w:val="24"/>
          <w14:ligatures w14:val="standardContextual"/>
        </w:rPr>
        <w:t>Individuals with superior core strength consistently displayed better coordination, suggesting the importance of neuromuscular efficiency. BMI appeared to influence the relationship, with overweight participants showing slightly enhanced stability and coordination. These findings support the implementation of targeted training programs focusing on core strengthening and coordination to improve functional performance and reduce injury risks.</w:t>
      </w:r>
    </w:p>
    <w:p w14:paraId="6DD39DC8" w14:textId="77777777" w:rsidR="00300D39" w:rsidRDefault="00300D39" w:rsidP="008618CE">
      <w:pPr>
        <w:spacing w:after="0" w:line="240" w:lineRule="auto"/>
        <w:jc w:val="both"/>
        <w:rPr>
          <w:rFonts w:ascii="Times New Roman" w:hAnsi="Times New Roman" w:cs="Times New Roman"/>
          <w:b/>
          <w:kern w:val="2"/>
          <w:sz w:val="24"/>
          <w:szCs w:val="24"/>
          <w:lang w:val="en-US"/>
          <w14:ligatures w14:val="standardContextual"/>
        </w:rPr>
      </w:pPr>
    </w:p>
    <w:p w14:paraId="2FED4B1E" w14:textId="02DCDB3E" w:rsidR="008618CE" w:rsidRPr="008618CE" w:rsidRDefault="008618CE" w:rsidP="008618CE">
      <w:pPr>
        <w:spacing w:after="0" w:line="240" w:lineRule="auto"/>
        <w:jc w:val="both"/>
        <w:rPr>
          <w:rFonts w:ascii="Times New Roman" w:hAnsi="Times New Roman" w:cs="Times New Roman"/>
          <w:kern w:val="2"/>
          <w:sz w:val="24"/>
          <w:szCs w:val="24"/>
          <w14:ligatures w14:val="standardContextual"/>
        </w:rPr>
      </w:pPr>
      <w:r w:rsidRPr="008618CE">
        <w:rPr>
          <w:rFonts w:ascii="Times New Roman" w:hAnsi="Times New Roman" w:cs="Times New Roman"/>
          <w:b/>
          <w:kern w:val="2"/>
          <w:sz w:val="24"/>
          <w:szCs w:val="24"/>
          <w:lang w:val="en-US"/>
          <w14:ligatures w14:val="standardContextual"/>
        </w:rPr>
        <w:t xml:space="preserve">Ethical Approval: </w:t>
      </w:r>
      <w:r w:rsidRPr="008618CE">
        <w:rPr>
          <w:rFonts w:ascii="Times New Roman" w:hAnsi="Times New Roman" w:cs="Times New Roman"/>
          <w:kern w:val="2"/>
          <w:sz w:val="24"/>
          <w:szCs w:val="24"/>
          <w14:ligatures w14:val="standardContextual"/>
        </w:rPr>
        <w:t>TPC/IRB/BPT/2024/09</w:t>
      </w:r>
    </w:p>
    <w:p w14:paraId="3D6777D2" w14:textId="77777777" w:rsidR="008618CE" w:rsidRPr="008618CE" w:rsidRDefault="008618CE" w:rsidP="008618CE">
      <w:pPr>
        <w:spacing w:after="0" w:line="240" w:lineRule="auto"/>
        <w:jc w:val="both"/>
        <w:rPr>
          <w:rFonts w:ascii="Times New Roman" w:hAnsi="Times New Roman" w:cs="Times New Roman"/>
          <w:kern w:val="2"/>
          <w:sz w:val="24"/>
          <w:szCs w:val="24"/>
          <w:lang w:val="en-US"/>
          <w14:ligatures w14:val="standardContextual"/>
        </w:rPr>
      </w:pPr>
    </w:p>
    <w:p w14:paraId="456C766D" w14:textId="77777777" w:rsidR="008618CE" w:rsidRDefault="008618CE" w:rsidP="008618CE">
      <w:pPr>
        <w:spacing w:after="0" w:line="360" w:lineRule="auto"/>
        <w:jc w:val="both"/>
        <w:rPr>
          <w:rFonts w:ascii="Times New Roman" w:hAnsi="Times New Roman" w:cs="Times New Roman"/>
          <w:kern w:val="2"/>
          <w:sz w:val="24"/>
          <w:szCs w:val="24"/>
          <w:lang w:val="en-US"/>
          <w14:ligatures w14:val="standardContextual"/>
        </w:rPr>
      </w:pPr>
      <w:r w:rsidRPr="008618CE">
        <w:rPr>
          <w:rFonts w:ascii="Times New Roman" w:hAnsi="Times New Roman" w:cs="Times New Roman"/>
          <w:b/>
          <w:kern w:val="2"/>
          <w:sz w:val="24"/>
          <w:szCs w:val="24"/>
          <w:lang w:val="en-US"/>
          <w14:ligatures w14:val="standardContextual"/>
        </w:rPr>
        <w:t xml:space="preserve">Guardian/ Parent’s consent:  </w:t>
      </w:r>
      <w:r w:rsidRPr="008618CE">
        <w:rPr>
          <w:rFonts w:ascii="Times New Roman" w:hAnsi="Times New Roman" w:cs="Times New Roman"/>
          <w:kern w:val="2"/>
          <w:sz w:val="24"/>
          <w:szCs w:val="24"/>
          <w:lang w:val="en-US"/>
          <w14:ligatures w14:val="standardContextual"/>
        </w:rPr>
        <w:t>Each participant was provided with a brief explanation of the study prior to data collection. Participants those willing to participate and given the consent were included in the study.</w:t>
      </w:r>
    </w:p>
    <w:p w14:paraId="3D8B3745" w14:textId="77777777" w:rsidR="00F14346" w:rsidRDefault="00F14346" w:rsidP="008618CE">
      <w:pPr>
        <w:spacing w:after="0" w:line="360" w:lineRule="auto"/>
        <w:jc w:val="both"/>
        <w:rPr>
          <w:rFonts w:ascii="Times New Roman" w:hAnsi="Times New Roman" w:cs="Times New Roman"/>
          <w:kern w:val="2"/>
          <w:sz w:val="24"/>
          <w:szCs w:val="24"/>
          <w:lang w:val="en-US"/>
          <w14:ligatures w14:val="standardContextual"/>
        </w:rPr>
      </w:pPr>
    </w:p>
    <w:p w14:paraId="7E0CB797" w14:textId="77777777" w:rsidR="00F14346" w:rsidRPr="00F14346" w:rsidRDefault="00F14346" w:rsidP="00F14346">
      <w:pPr>
        <w:spacing w:after="0" w:line="360" w:lineRule="auto"/>
        <w:jc w:val="both"/>
        <w:rPr>
          <w:rFonts w:ascii="Times New Roman" w:hAnsi="Times New Roman" w:cs="Times New Roman"/>
          <w:kern w:val="2"/>
          <w:sz w:val="24"/>
          <w:szCs w:val="24"/>
          <w:lang w:val="en-US"/>
          <w14:ligatures w14:val="standardContextual"/>
        </w:rPr>
      </w:pPr>
      <w:r w:rsidRPr="00F14346">
        <w:rPr>
          <w:rFonts w:ascii="Times New Roman" w:hAnsi="Times New Roman" w:cs="Times New Roman"/>
          <w:kern w:val="2"/>
          <w:sz w:val="24"/>
          <w:szCs w:val="24"/>
          <w:lang w:val="en-US"/>
          <w14:ligatures w14:val="standardContextual"/>
        </w:rPr>
        <w:t>COMPETING INTERESTS DISCLAIMER:</w:t>
      </w:r>
    </w:p>
    <w:p w14:paraId="04BC9954" w14:textId="48EC11F1" w:rsidR="00F14346" w:rsidRPr="008618CE" w:rsidRDefault="00F14346" w:rsidP="00F14346">
      <w:pPr>
        <w:spacing w:after="0" w:line="360" w:lineRule="auto"/>
        <w:jc w:val="both"/>
        <w:rPr>
          <w:rFonts w:ascii="Times New Roman" w:hAnsi="Times New Roman" w:cs="Times New Roman"/>
          <w:kern w:val="2"/>
          <w:sz w:val="24"/>
          <w:szCs w:val="24"/>
          <w:lang w:val="en-US"/>
          <w14:ligatures w14:val="standardContextual"/>
        </w:rPr>
      </w:pPr>
      <w:r w:rsidRPr="00F14346">
        <w:rPr>
          <w:rFonts w:ascii="Times New Roman" w:hAnsi="Times New Roman" w:cs="Times New Roman"/>
          <w:kern w:val="2"/>
          <w:sz w:val="24"/>
          <w:szCs w:val="24"/>
          <w:lang w:val="en-US"/>
          <w14:ligatures w14:val="standardContextual"/>
        </w:rPr>
        <w:t>Authors have declared that they have no known competing financial interests OR non-financial interests OR personal relationships that could have appeared to influence the work reported in this paper.</w:t>
      </w:r>
    </w:p>
    <w:p w14:paraId="6D0803D8" w14:textId="77777777" w:rsidR="008618CE" w:rsidRPr="008618CE" w:rsidRDefault="008618CE" w:rsidP="008618CE">
      <w:pPr>
        <w:spacing w:after="240" w:line="360" w:lineRule="auto"/>
        <w:jc w:val="both"/>
        <w:rPr>
          <w:rFonts w:ascii="Times New Roman" w:hAnsi="Times New Roman" w:cs="Times New Roman"/>
          <w:kern w:val="2"/>
          <w:sz w:val="24"/>
          <w:szCs w:val="24"/>
          <w14:ligatures w14:val="standardContextual"/>
        </w:rPr>
      </w:pPr>
    </w:p>
    <w:p w14:paraId="678863E9" w14:textId="77777777" w:rsidR="008618CE" w:rsidRPr="008618CE" w:rsidRDefault="008618CE" w:rsidP="008618CE">
      <w:pPr>
        <w:spacing w:after="240" w:line="360" w:lineRule="auto"/>
        <w:jc w:val="both"/>
        <w:rPr>
          <w:rFonts w:ascii="Times New Roman" w:hAnsi="Times New Roman" w:cs="Times New Roman"/>
          <w:b/>
          <w:kern w:val="2"/>
          <w:sz w:val="24"/>
          <w:szCs w:val="24"/>
          <w14:ligatures w14:val="standardContextual"/>
        </w:rPr>
      </w:pPr>
      <w:r w:rsidRPr="008618CE">
        <w:rPr>
          <w:rFonts w:ascii="Times New Roman" w:hAnsi="Times New Roman" w:cs="Times New Roman"/>
          <w:b/>
          <w:kern w:val="2"/>
          <w:sz w:val="24"/>
          <w:szCs w:val="24"/>
          <w14:ligatures w14:val="standardContextual"/>
        </w:rPr>
        <w:t>REFERENCES</w:t>
      </w:r>
    </w:p>
    <w:p w14:paraId="766DD7F4"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lastRenderedPageBreak/>
        <w:t>Willson J D, Dougherty C P, Ireland M L, Davis I M. Core stability and its relationship to lower extremity function and injury. Journal of the American Academy of Orthopaedic Surgeons. 2005; 13(5):316-25.</w:t>
      </w:r>
    </w:p>
    <w:p w14:paraId="6F02A493"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Mohammed A, Arulsingh W, Kandakurti P K. The effectiveness of core stability exercise program on lower limb performance in athletes− a scoping review. Critical Reviews™ in Physical and Rehabilitation Medicine. 2022; 34(1):57-67.</w:t>
      </w:r>
    </w:p>
    <w:p w14:paraId="53707BD6"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Kibler W B, Press J, Sciascia A. The role of core stability in athletic function. Sports Medicine. 2006; 36:189-98.</w:t>
      </w:r>
    </w:p>
    <w:p w14:paraId="1D4B91E4"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Ashidiq M O, Sabarini S S, Riyadi S, Hidayatullah M F, Doewes M. The difference of the effects of regular strength and core strength training programs on the biomechanics of football long pass judging from eye-foot coordination. Revista iberoamericana de psicología del ejercicio y el deporte. 2024; 19(3):303-12.</w:t>
      </w:r>
    </w:p>
    <w:p w14:paraId="7728A6CD"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Thomas A, Rustiadi T, Hartono M. The effect of training methods and eye-foot coordination on football passing accuracy. Journal of Physical Education and Sports. 2021; 10(3):272-6.</w:t>
      </w:r>
    </w:p>
    <w:p w14:paraId="6D93F18B"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Stifter S, McCaffrey J, Nichols T, Edeer A O, Ward J. Effect of external and internal cues on core muscle activation during the Sahrmann five-level core stability test. World Journal of Methodology. 2025; 15(1):92943.</w:t>
      </w:r>
    </w:p>
    <w:p w14:paraId="5FA65110"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Dekart K Q. Test-re-test reliability of Sahrmann lower abdominal core stability test for DII baseball athletes. West Virginia University. 2014; 1-57.</w:t>
      </w:r>
    </w:p>
    <w:p w14:paraId="0A80BE7D"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Sato K, Mokha M. Does core strength training influence running kinetics, lower-extremity stability, and 5000-m performance in runners? J Strength Cond Res. 2009; 23(1):133-40.</w:t>
      </w:r>
    </w:p>
    <w:p w14:paraId="08187590"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Armando D, Rahman H A. The Effect of Training Methods and Eye-Foot Coordination on Dribbling Abilities in Students Aged 12–13 Year</w:t>
      </w:r>
      <w:bookmarkStart w:id="1" w:name="_GoBack"/>
      <w:bookmarkEnd w:id="1"/>
      <w:r w:rsidRPr="008618CE">
        <w:rPr>
          <w:rFonts w:ascii="Times New Roman" w:hAnsi="Times New Roman" w:cs="Times New Roman"/>
          <w:noProof/>
          <w:kern w:val="2"/>
          <w:sz w:val="24"/>
          <w:szCs w:val="24"/>
          <w14:ligatures w14:val="standardContextual"/>
        </w:rPr>
        <w:t>s. Acta Facultatis Educationis Physicae Universitatis Comenianae. 2020; 60(1).</w:t>
      </w:r>
    </w:p>
    <w:p w14:paraId="2D62D8F9"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Debnath A, Kumar M, Dagar M, Trivedi V, Tyagi A, Moorthy A S.Impact of Body Mass Index on Coordination, Static and Dynamic Balance in Young Adults: A Case-control Study J Clin of Diagn Res. 2024; 18(11):14-18.</w:t>
      </w:r>
    </w:p>
    <w:p w14:paraId="442AA31F"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eastAsia="Times New Roman" w:hAnsi="Times New Roman" w:cs="Times New Roman"/>
          <w:sz w:val="24"/>
          <w:szCs w:val="24"/>
          <w:lang w:eastAsia="en-IN"/>
        </w:rPr>
        <w:t>Hodges P W, Richardson C A. Contraction of the abdominal muscles associated with movement of the lower limb. Phys Ther. 1997; 77(2):132-42.</w:t>
      </w:r>
    </w:p>
    <w:p w14:paraId="32C0ADDC"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Jeong S, Kim S H, Park K N. Is lumbopelvic motor control associated with dynamic stability during gait, strength, and endurance of core musculatures? The STROBE study. Medicine. 2022; 101(46):e31025.</w:t>
      </w:r>
    </w:p>
    <w:p w14:paraId="24DAA358"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lastRenderedPageBreak/>
        <w:t>Leetun D T, Ireland M L, Willson J D, Ballantyne B T, Davis I M. Core stability measures as risk factors for lower extremity injury in athletes. Medicine &amp; Science in Sports &amp; Exercise. 2004; 36(6):926-34.</w:t>
      </w:r>
    </w:p>
    <w:p w14:paraId="72B93950"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Zazulak B T, Hewett T E, Reeves N P, Goldberg B, Cholewicki J. Deficits in neuromuscular control of the trunk predict knee injury risk: prospective biomechanical-epidemiologic study. The American Journal of Sports Medicine. 2007; 35(7):1123-30.</w:t>
      </w:r>
    </w:p>
    <w:p w14:paraId="46D8A3CE"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Stodden D F, Goodway J D, Langendorfer S J, Roberton M A, Rudisill M E, et al. A developmental perspective on the role of motor skill competence in physical activity: an emergent relationship. Quest. 2008; 60(2):290–306.</w:t>
      </w:r>
    </w:p>
    <w:p w14:paraId="0010E57D"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Hue O, Simoneau M, Marcotte J, Berrigan F, Doré J, Marceau P, et al. Body weight is a strong predictor of postural stability. Gait Posture. 2007; 26(1):32–8.</w:t>
      </w:r>
    </w:p>
    <w:p w14:paraId="2340A31C"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Greve J M, Alonso A C, Bordini A C P, Camanho G L. Correlation between body mass index and postural balance. Clinics (Sao Paulo). 2007; 62(6):717–20.</w:t>
      </w:r>
    </w:p>
    <w:p w14:paraId="01BE3395"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Willardson J M. Core stability training: applications to sports conditioning programs. The Journal of Strength &amp; Conditioning Research. 2007; 21(3):979-85.</w:t>
      </w:r>
    </w:p>
    <w:p w14:paraId="78CD8409"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Hibbs A E, Thompson K G, French D, Wrigley A, Spears I. Optimizing performance by improving core stability and core strength. Sports Medicine. 2008; 38:995-1008.</w:t>
      </w:r>
    </w:p>
    <w:p w14:paraId="7F4F5437" w14:textId="77777777" w:rsidR="008618CE" w:rsidRPr="008618CE" w:rsidRDefault="008618CE" w:rsidP="008618CE">
      <w:pPr>
        <w:numPr>
          <w:ilvl w:val="0"/>
          <w:numId w:val="2"/>
        </w:numPr>
        <w:spacing w:after="0" w:line="360" w:lineRule="auto"/>
        <w:ind w:left="142" w:right="-4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Behm D G, Drinkwater E J, Willardson J M, Cowley P M. The use of instability to train the core musculature. Applied Physiology, Nutrition, and Metabolism. 2010; 35(1):91-108.</w:t>
      </w:r>
    </w:p>
    <w:p w14:paraId="215EB7FF" w14:textId="77777777" w:rsidR="008618CE" w:rsidRPr="008618CE" w:rsidRDefault="008618CE" w:rsidP="008618CE">
      <w:pPr>
        <w:numPr>
          <w:ilvl w:val="0"/>
          <w:numId w:val="2"/>
        </w:numPr>
        <w:spacing w:after="0" w:line="360" w:lineRule="auto"/>
        <w:ind w:left="142" w:right="-46" w:hanging="426"/>
        <w:contextualSpacing/>
        <w:jc w:val="both"/>
        <w:rPr>
          <w:rFonts w:ascii="Times New Roman" w:hAnsi="Times New Roman" w:cs="Times New Roman"/>
          <w:noProof/>
          <w:kern w:val="2"/>
          <w:sz w:val="24"/>
          <w:szCs w:val="24"/>
          <w14:ligatures w14:val="standardContextual"/>
        </w:rPr>
      </w:pPr>
      <w:r w:rsidRPr="008618CE">
        <w:rPr>
          <w:rFonts w:ascii="Times New Roman" w:hAnsi="Times New Roman" w:cs="Times New Roman"/>
          <w:noProof/>
          <w:kern w:val="2"/>
          <w:sz w:val="24"/>
          <w:szCs w:val="24"/>
          <w14:ligatures w14:val="standardContextual"/>
        </w:rPr>
        <w:t>Paillard T H, Noé F. Effect of expertise and visual contribution on postural control in soccer. Scandinavian Journal of Medicine &amp; Science in Sports. 2006; 16(5):345-8.</w:t>
      </w:r>
    </w:p>
    <w:p w14:paraId="7B8ADA90" w14:textId="77777777" w:rsidR="008618CE" w:rsidRPr="001C26AF" w:rsidRDefault="008618CE" w:rsidP="001C26AF">
      <w:pPr>
        <w:pStyle w:val="NormalWeb"/>
        <w:rPr>
          <w:b/>
        </w:rPr>
      </w:pPr>
    </w:p>
    <w:p w14:paraId="4F850CF3" w14:textId="77777777" w:rsidR="00BF6BF7" w:rsidRDefault="00BF6BF7"/>
    <w:sectPr w:rsidR="00BF6B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08-14T17:22:00Z" w:initials="D">
    <w:p w14:paraId="7A2DCCDA" w14:textId="18B04195" w:rsidR="00076BDC" w:rsidRDefault="00076BDC">
      <w:pPr>
        <w:pStyle w:val="CommentText"/>
      </w:pPr>
      <w:r>
        <w:rPr>
          <w:rStyle w:val="CommentReference"/>
        </w:rPr>
        <w:annotationRef/>
      </w:r>
      <w:r>
        <w:t>Should write the text above the table.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30A99" w14:textId="77777777" w:rsidR="00EE22D3" w:rsidRDefault="00EE22D3" w:rsidP="00300D39">
      <w:pPr>
        <w:spacing w:after="0" w:line="240" w:lineRule="auto"/>
      </w:pPr>
      <w:r>
        <w:separator/>
      </w:r>
    </w:p>
  </w:endnote>
  <w:endnote w:type="continuationSeparator" w:id="0">
    <w:p w14:paraId="1E85B709" w14:textId="77777777" w:rsidR="00EE22D3" w:rsidRDefault="00EE22D3" w:rsidP="0030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96DA6" w14:textId="77777777" w:rsidR="00300D39" w:rsidRDefault="00300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88A53" w14:textId="77777777" w:rsidR="00300D39" w:rsidRDefault="00300D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18EC0" w14:textId="77777777" w:rsidR="00300D39" w:rsidRDefault="00300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FAE99" w14:textId="77777777" w:rsidR="00EE22D3" w:rsidRDefault="00EE22D3" w:rsidP="00300D39">
      <w:pPr>
        <w:spacing w:after="0" w:line="240" w:lineRule="auto"/>
      </w:pPr>
      <w:r>
        <w:separator/>
      </w:r>
    </w:p>
  </w:footnote>
  <w:footnote w:type="continuationSeparator" w:id="0">
    <w:p w14:paraId="7F792B24" w14:textId="77777777" w:rsidR="00EE22D3" w:rsidRDefault="00EE22D3" w:rsidP="00300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32F6B" w14:textId="1F1D10C6" w:rsidR="00300D39" w:rsidRDefault="00EE22D3">
    <w:pPr>
      <w:pStyle w:val="Header"/>
    </w:pPr>
    <w:r>
      <w:rPr>
        <w:noProof/>
      </w:rPr>
      <w:pict w14:anchorId="5DB26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58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5CB14" w14:textId="333F35DE" w:rsidR="00300D39" w:rsidRDefault="00EE22D3">
    <w:pPr>
      <w:pStyle w:val="Header"/>
    </w:pPr>
    <w:r>
      <w:rPr>
        <w:noProof/>
      </w:rPr>
      <w:pict w14:anchorId="328F0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58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3B998" w14:textId="611E21F1" w:rsidR="00300D39" w:rsidRDefault="00EE22D3">
    <w:pPr>
      <w:pStyle w:val="Header"/>
    </w:pPr>
    <w:r>
      <w:rPr>
        <w:noProof/>
      </w:rPr>
      <w:pict w14:anchorId="6517E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58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C6265"/>
    <w:multiLevelType w:val="hybridMultilevel"/>
    <w:tmpl w:val="ABEC20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41E2D40"/>
    <w:multiLevelType w:val="hybridMultilevel"/>
    <w:tmpl w:val="8A0088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475"/>
    <w:rsid w:val="00063DAF"/>
    <w:rsid w:val="00076BDC"/>
    <w:rsid w:val="0011152D"/>
    <w:rsid w:val="001C26AF"/>
    <w:rsid w:val="00300D39"/>
    <w:rsid w:val="0035161D"/>
    <w:rsid w:val="00387345"/>
    <w:rsid w:val="004E6689"/>
    <w:rsid w:val="008618CE"/>
    <w:rsid w:val="009E5475"/>
    <w:rsid w:val="00A6042A"/>
    <w:rsid w:val="00BF6BF7"/>
    <w:rsid w:val="00D30F13"/>
    <w:rsid w:val="00EE22D3"/>
    <w:rsid w:val="00F14346"/>
    <w:rsid w:val="00F777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D5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26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C26AF"/>
    <w:rPr>
      <w:b/>
      <w:bCs/>
    </w:rPr>
  </w:style>
  <w:style w:type="paragraph" w:styleId="ListParagraph">
    <w:name w:val="List Paragraph"/>
    <w:basedOn w:val="Normal"/>
    <w:uiPriority w:val="34"/>
    <w:qFormat/>
    <w:rsid w:val="001C26AF"/>
    <w:pPr>
      <w:ind w:left="720"/>
      <w:contextualSpacing/>
    </w:pPr>
  </w:style>
  <w:style w:type="table" w:styleId="TableGrid">
    <w:name w:val="Table Grid"/>
    <w:basedOn w:val="TableNormal"/>
    <w:uiPriority w:val="59"/>
    <w:rsid w:val="0086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8CE"/>
    <w:rPr>
      <w:color w:val="0563C1" w:themeColor="hyperlink"/>
      <w:u w:val="single"/>
    </w:rPr>
  </w:style>
  <w:style w:type="character" w:customStyle="1" w:styleId="UnresolvedMention">
    <w:name w:val="Unresolved Mention"/>
    <w:basedOn w:val="DefaultParagraphFont"/>
    <w:uiPriority w:val="99"/>
    <w:semiHidden/>
    <w:unhideWhenUsed/>
    <w:rsid w:val="008618CE"/>
    <w:rPr>
      <w:color w:val="605E5C"/>
      <w:shd w:val="clear" w:color="auto" w:fill="E1DFDD"/>
    </w:rPr>
  </w:style>
  <w:style w:type="paragraph" w:styleId="Header">
    <w:name w:val="header"/>
    <w:basedOn w:val="Normal"/>
    <w:link w:val="HeaderChar"/>
    <w:uiPriority w:val="99"/>
    <w:unhideWhenUsed/>
    <w:rsid w:val="00300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39"/>
  </w:style>
  <w:style w:type="paragraph" w:styleId="Footer">
    <w:name w:val="footer"/>
    <w:basedOn w:val="Normal"/>
    <w:link w:val="FooterChar"/>
    <w:uiPriority w:val="99"/>
    <w:unhideWhenUsed/>
    <w:rsid w:val="00300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39"/>
  </w:style>
  <w:style w:type="paragraph" w:styleId="BalloonText">
    <w:name w:val="Balloon Text"/>
    <w:basedOn w:val="Normal"/>
    <w:link w:val="BalloonTextChar"/>
    <w:uiPriority w:val="99"/>
    <w:semiHidden/>
    <w:unhideWhenUsed/>
    <w:rsid w:val="00076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BDC"/>
    <w:rPr>
      <w:rFonts w:ascii="Tahoma" w:hAnsi="Tahoma" w:cs="Tahoma"/>
      <w:sz w:val="16"/>
      <w:szCs w:val="16"/>
    </w:rPr>
  </w:style>
  <w:style w:type="character" w:styleId="CommentReference">
    <w:name w:val="annotation reference"/>
    <w:basedOn w:val="DefaultParagraphFont"/>
    <w:uiPriority w:val="99"/>
    <w:semiHidden/>
    <w:unhideWhenUsed/>
    <w:rsid w:val="00076BDC"/>
    <w:rPr>
      <w:sz w:val="16"/>
      <w:szCs w:val="16"/>
    </w:rPr>
  </w:style>
  <w:style w:type="paragraph" w:styleId="CommentText">
    <w:name w:val="annotation text"/>
    <w:basedOn w:val="Normal"/>
    <w:link w:val="CommentTextChar"/>
    <w:uiPriority w:val="99"/>
    <w:semiHidden/>
    <w:unhideWhenUsed/>
    <w:rsid w:val="00076BDC"/>
    <w:pPr>
      <w:spacing w:line="240" w:lineRule="auto"/>
    </w:pPr>
    <w:rPr>
      <w:sz w:val="20"/>
      <w:szCs w:val="20"/>
    </w:rPr>
  </w:style>
  <w:style w:type="character" w:customStyle="1" w:styleId="CommentTextChar">
    <w:name w:val="Comment Text Char"/>
    <w:basedOn w:val="DefaultParagraphFont"/>
    <w:link w:val="CommentText"/>
    <w:uiPriority w:val="99"/>
    <w:semiHidden/>
    <w:rsid w:val="00076BDC"/>
    <w:rPr>
      <w:sz w:val="20"/>
      <w:szCs w:val="20"/>
    </w:rPr>
  </w:style>
  <w:style w:type="paragraph" w:styleId="CommentSubject">
    <w:name w:val="annotation subject"/>
    <w:basedOn w:val="CommentText"/>
    <w:next w:val="CommentText"/>
    <w:link w:val="CommentSubjectChar"/>
    <w:uiPriority w:val="99"/>
    <w:semiHidden/>
    <w:unhideWhenUsed/>
    <w:rsid w:val="00076BDC"/>
    <w:rPr>
      <w:b/>
      <w:bCs/>
    </w:rPr>
  </w:style>
  <w:style w:type="character" w:customStyle="1" w:styleId="CommentSubjectChar">
    <w:name w:val="Comment Subject Char"/>
    <w:basedOn w:val="CommentTextChar"/>
    <w:link w:val="CommentSubject"/>
    <w:uiPriority w:val="99"/>
    <w:semiHidden/>
    <w:rsid w:val="00076B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26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C26AF"/>
    <w:rPr>
      <w:b/>
      <w:bCs/>
    </w:rPr>
  </w:style>
  <w:style w:type="paragraph" w:styleId="ListParagraph">
    <w:name w:val="List Paragraph"/>
    <w:basedOn w:val="Normal"/>
    <w:uiPriority w:val="34"/>
    <w:qFormat/>
    <w:rsid w:val="001C26AF"/>
    <w:pPr>
      <w:ind w:left="720"/>
      <w:contextualSpacing/>
    </w:pPr>
  </w:style>
  <w:style w:type="table" w:styleId="TableGrid">
    <w:name w:val="Table Grid"/>
    <w:basedOn w:val="TableNormal"/>
    <w:uiPriority w:val="59"/>
    <w:rsid w:val="0086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8CE"/>
    <w:rPr>
      <w:color w:val="0563C1" w:themeColor="hyperlink"/>
      <w:u w:val="single"/>
    </w:rPr>
  </w:style>
  <w:style w:type="character" w:customStyle="1" w:styleId="UnresolvedMention">
    <w:name w:val="Unresolved Mention"/>
    <w:basedOn w:val="DefaultParagraphFont"/>
    <w:uiPriority w:val="99"/>
    <w:semiHidden/>
    <w:unhideWhenUsed/>
    <w:rsid w:val="008618CE"/>
    <w:rPr>
      <w:color w:val="605E5C"/>
      <w:shd w:val="clear" w:color="auto" w:fill="E1DFDD"/>
    </w:rPr>
  </w:style>
  <w:style w:type="paragraph" w:styleId="Header">
    <w:name w:val="header"/>
    <w:basedOn w:val="Normal"/>
    <w:link w:val="HeaderChar"/>
    <w:uiPriority w:val="99"/>
    <w:unhideWhenUsed/>
    <w:rsid w:val="00300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39"/>
  </w:style>
  <w:style w:type="paragraph" w:styleId="Footer">
    <w:name w:val="footer"/>
    <w:basedOn w:val="Normal"/>
    <w:link w:val="FooterChar"/>
    <w:uiPriority w:val="99"/>
    <w:unhideWhenUsed/>
    <w:rsid w:val="00300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39"/>
  </w:style>
  <w:style w:type="paragraph" w:styleId="BalloonText">
    <w:name w:val="Balloon Text"/>
    <w:basedOn w:val="Normal"/>
    <w:link w:val="BalloonTextChar"/>
    <w:uiPriority w:val="99"/>
    <w:semiHidden/>
    <w:unhideWhenUsed/>
    <w:rsid w:val="00076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BDC"/>
    <w:rPr>
      <w:rFonts w:ascii="Tahoma" w:hAnsi="Tahoma" w:cs="Tahoma"/>
      <w:sz w:val="16"/>
      <w:szCs w:val="16"/>
    </w:rPr>
  </w:style>
  <w:style w:type="character" w:styleId="CommentReference">
    <w:name w:val="annotation reference"/>
    <w:basedOn w:val="DefaultParagraphFont"/>
    <w:uiPriority w:val="99"/>
    <w:semiHidden/>
    <w:unhideWhenUsed/>
    <w:rsid w:val="00076BDC"/>
    <w:rPr>
      <w:sz w:val="16"/>
      <w:szCs w:val="16"/>
    </w:rPr>
  </w:style>
  <w:style w:type="paragraph" w:styleId="CommentText">
    <w:name w:val="annotation text"/>
    <w:basedOn w:val="Normal"/>
    <w:link w:val="CommentTextChar"/>
    <w:uiPriority w:val="99"/>
    <w:semiHidden/>
    <w:unhideWhenUsed/>
    <w:rsid w:val="00076BDC"/>
    <w:pPr>
      <w:spacing w:line="240" w:lineRule="auto"/>
    </w:pPr>
    <w:rPr>
      <w:sz w:val="20"/>
      <w:szCs w:val="20"/>
    </w:rPr>
  </w:style>
  <w:style w:type="character" w:customStyle="1" w:styleId="CommentTextChar">
    <w:name w:val="Comment Text Char"/>
    <w:basedOn w:val="DefaultParagraphFont"/>
    <w:link w:val="CommentText"/>
    <w:uiPriority w:val="99"/>
    <w:semiHidden/>
    <w:rsid w:val="00076BDC"/>
    <w:rPr>
      <w:sz w:val="20"/>
      <w:szCs w:val="20"/>
    </w:rPr>
  </w:style>
  <w:style w:type="paragraph" w:styleId="CommentSubject">
    <w:name w:val="annotation subject"/>
    <w:basedOn w:val="CommentText"/>
    <w:next w:val="CommentText"/>
    <w:link w:val="CommentSubjectChar"/>
    <w:uiPriority w:val="99"/>
    <w:semiHidden/>
    <w:unhideWhenUsed/>
    <w:rsid w:val="00076BDC"/>
    <w:rPr>
      <w:b/>
      <w:bCs/>
    </w:rPr>
  </w:style>
  <w:style w:type="character" w:customStyle="1" w:styleId="CommentSubjectChar">
    <w:name w:val="Comment Subject Char"/>
    <w:basedOn w:val="CommentTextChar"/>
    <w:link w:val="CommentSubject"/>
    <w:uiPriority w:val="99"/>
    <w:semiHidden/>
    <w:rsid w:val="00076B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Sheet1!$B$2:$B$4</c:f>
              <c:numCache>
                <c:formatCode>General</c:formatCode>
                <c:ptCount val="3"/>
                <c:pt idx="0">
                  <c:v>11.97</c:v>
                </c:pt>
                <c:pt idx="1">
                  <c:v>13.25</c:v>
                </c:pt>
                <c:pt idx="2">
                  <c:v>13.27</c:v>
                </c:pt>
              </c:numCache>
            </c:numRef>
          </c:val>
          <c:extLst xmlns:c16r2="http://schemas.microsoft.com/office/drawing/2015/06/chart">
            <c:ext xmlns:c16="http://schemas.microsoft.com/office/drawing/2014/chart" uri="{C3380CC4-5D6E-409C-BE32-E72D297353CC}">
              <c16:uniqueId val="{00000000-0F2B-4CA1-B4DC-323C1F0B3B79}"/>
            </c:ext>
          </c:extLst>
        </c:ser>
        <c:dLbls>
          <c:showLegendKey val="0"/>
          <c:showVal val="0"/>
          <c:showCatName val="0"/>
          <c:showSerName val="0"/>
          <c:showPercent val="0"/>
          <c:showBubbleSize val="0"/>
        </c:dLbls>
        <c:gapWidth val="219"/>
        <c:overlap val="-27"/>
        <c:axId val="133931520"/>
        <c:axId val="148917632"/>
      </c:barChart>
      <c:catAx>
        <c:axId val="13393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148917632"/>
        <c:crosses val="autoZero"/>
        <c:auto val="1"/>
        <c:lblAlgn val="ctr"/>
        <c:lblOffset val="100"/>
        <c:noMultiLvlLbl val="0"/>
      </c:catAx>
      <c:valAx>
        <c:axId val="1489176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33931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Level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Sheet1!$B$2:$B$4</c:f>
              <c:numCache>
                <c:formatCode>0.00%</c:formatCode>
                <c:ptCount val="3"/>
                <c:pt idx="0">
                  <c:v>8.3000000000000004E-2</c:v>
                </c:pt>
                <c:pt idx="1">
                  <c:v>2.8000000000000001E-2</c:v>
                </c:pt>
              </c:numCache>
            </c:numRef>
          </c:val>
          <c:extLst xmlns:c16r2="http://schemas.microsoft.com/office/drawing/2015/06/chart">
            <c:ext xmlns:c16="http://schemas.microsoft.com/office/drawing/2014/chart" uri="{C3380CC4-5D6E-409C-BE32-E72D297353CC}">
              <c16:uniqueId val="{00000000-5E37-4B85-83CB-CBEA9D7099A2}"/>
            </c:ext>
          </c:extLst>
        </c:ser>
        <c:ser>
          <c:idx val="1"/>
          <c:order val="1"/>
          <c:tx>
            <c:strRef>
              <c:f>Sheet1!$C$1</c:f>
              <c:strCache>
                <c:ptCount val="1"/>
                <c:pt idx="0">
                  <c:v>Level2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Sheet1!$C$2:$C$4</c:f>
              <c:numCache>
                <c:formatCode>0.00%</c:formatCode>
                <c:ptCount val="3"/>
                <c:pt idx="0">
                  <c:v>0.44400000000000001</c:v>
                </c:pt>
                <c:pt idx="1">
                  <c:v>0.27800000000000002</c:v>
                </c:pt>
                <c:pt idx="2">
                  <c:v>0.30599999999999999</c:v>
                </c:pt>
              </c:numCache>
            </c:numRef>
          </c:val>
          <c:extLst xmlns:c16r2="http://schemas.microsoft.com/office/drawing/2015/06/chart">
            <c:ext xmlns:c16="http://schemas.microsoft.com/office/drawing/2014/chart" uri="{C3380CC4-5D6E-409C-BE32-E72D297353CC}">
              <c16:uniqueId val="{00000001-5E37-4B85-83CB-CBEA9D7099A2}"/>
            </c:ext>
          </c:extLst>
        </c:ser>
        <c:ser>
          <c:idx val="2"/>
          <c:order val="2"/>
          <c:tx>
            <c:strRef>
              <c:f>Sheet1!$D$1</c:f>
              <c:strCache>
                <c:ptCount val="1"/>
                <c:pt idx="0">
                  <c:v>Level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Sheet1!$D$2:$D$4</c:f>
              <c:numCache>
                <c:formatCode>0.00%</c:formatCode>
                <c:ptCount val="3"/>
                <c:pt idx="0">
                  <c:v>0.16700000000000001</c:v>
                </c:pt>
                <c:pt idx="1">
                  <c:v>0.33300000000000002</c:v>
                </c:pt>
                <c:pt idx="2">
                  <c:v>0.33300000000000002</c:v>
                </c:pt>
              </c:numCache>
            </c:numRef>
          </c:val>
          <c:extLst xmlns:c16r2="http://schemas.microsoft.com/office/drawing/2015/06/chart">
            <c:ext xmlns:c16="http://schemas.microsoft.com/office/drawing/2014/chart" uri="{C3380CC4-5D6E-409C-BE32-E72D297353CC}">
              <c16:uniqueId val="{00000002-5E37-4B85-83CB-CBEA9D7099A2}"/>
            </c:ext>
          </c:extLst>
        </c:ser>
        <c:ser>
          <c:idx val="3"/>
          <c:order val="3"/>
          <c:tx>
            <c:strRef>
              <c:f>Sheet1!$E$1</c:f>
              <c:strCache>
                <c:ptCount val="1"/>
                <c:pt idx="0">
                  <c:v>Level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Sheet1!$E$2:$E$4</c:f>
              <c:numCache>
                <c:formatCode>0.00%</c:formatCode>
                <c:ptCount val="3"/>
                <c:pt idx="0" formatCode="0%">
                  <c:v>0.25</c:v>
                </c:pt>
                <c:pt idx="1">
                  <c:v>0.27800000000000002</c:v>
                </c:pt>
                <c:pt idx="2">
                  <c:v>0.222</c:v>
                </c:pt>
              </c:numCache>
            </c:numRef>
          </c:val>
          <c:extLst xmlns:c16r2="http://schemas.microsoft.com/office/drawing/2015/06/chart">
            <c:ext xmlns:c16="http://schemas.microsoft.com/office/drawing/2014/chart" uri="{C3380CC4-5D6E-409C-BE32-E72D297353CC}">
              <c16:uniqueId val="{00000003-5E37-4B85-83CB-CBEA9D7099A2}"/>
            </c:ext>
          </c:extLst>
        </c:ser>
        <c:ser>
          <c:idx val="4"/>
          <c:order val="4"/>
          <c:tx>
            <c:strRef>
              <c:f>Sheet1!$F$1</c:f>
              <c:strCache>
                <c:ptCount val="1"/>
                <c:pt idx="0">
                  <c:v>Level 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Sheet1!$F$2:$F$4</c:f>
              <c:numCache>
                <c:formatCode>0.00%</c:formatCode>
                <c:ptCount val="3"/>
                <c:pt idx="0">
                  <c:v>5.6000000000000001E-2</c:v>
                </c:pt>
                <c:pt idx="1">
                  <c:v>8.3000000000000004E-2</c:v>
                </c:pt>
                <c:pt idx="2">
                  <c:v>0.13900000000000001</c:v>
                </c:pt>
              </c:numCache>
            </c:numRef>
          </c:val>
          <c:extLst xmlns:c16r2="http://schemas.microsoft.com/office/drawing/2015/06/chart">
            <c:ext xmlns:c16="http://schemas.microsoft.com/office/drawing/2014/chart" uri="{C3380CC4-5D6E-409C-BE32-E72D297353CC}">
              <c16:uniqueId val="{00000004-5E37-4B85-83CB-CBEA9D7099A2}"/>
            </c:ext>
          </c:extLst>
        </c:ser>
        <c:dLbls>
          <c:showLegendKey val="0"/>
          <c:showVal val="0"/>
          <c:showCatName val="0"/>
          <c:showSerName val="0"/>
          <c:showPercent val="0"/>
          <c:showBubbleSize val="0"/>
        </c:dLbls>
        <c:gapWidth val="219"/>
        <c:overlap val="-27"/>
        <c:axId val="138440704"/>
        <c:axId val="148915904"/>
      </c:barChart>
      <c:catAx>
        <c:axId val="13844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148915904"/>
        <c:crosses val="autoZero"/>
        <c:auto val="1"/>
        <c:lblAlgn val="ctr"/>
        <c:lblOffset val="100"/>
        <c:noMultiLvlLbl val="0"/>
      </c:catAx>
      <c:valAx>
        <c:axId val="148915904"/>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3844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62</TotalTime>
  <Pages>1</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15</cp:revision>
  <dcterms:created xsi:type="dcterms:W3CDTF">2025-07-28T10:34:00Z</dcterms:created>
  <dcterms:modified xsi:type="dcterms:W3CDTF">2025-08-14T15:16:00Z</dcterms:modified>
</cp:coreProperties>
</file>