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ABA9" w14:textId="7100EDD9" w:rsidR="000C6C14" w:rsidRPr="009E58BE" w:rsidRDefault="000C6C14" w:rsidP="000C6C14">
      <w:pPr>
        <w:jc w:val="right"/>
        <w:rPr>
          <w:rFonts w:ascii="Arial" w:hAnsi="Arial" w:cs="Arial"/>
          <w:b/>
          <w:bCs/>
          <w:sz w:val="36"/>
          <w:szCs w:val="36"/>
        </w:rPr>
      </w:pPr>
      <w:r w:rsidRPr="009E58BE">
        <w:rPr>
          <w:rFonts w:ascii="Arial" w:hAnsi="Arial" w:cs="Arial"/>
          <w:b/>
          <w:bCs/>
          <w:sz w:val="36"/>
          <w:szCs w:val="36"/>
        </w:rPr>
        <w:t xml:space="preserve">THE ROLE OF SALINITY GRADIENT IN REGULATING BIOMASS YIELD AND LIPID BIOSYNTHESIS OF </w:t>
      </w:r>
      <w:r w:rsidRPr="009E58BE">
        <w:rPr>
          <w:rFonts w:ascii="Arial" w:hAnsi="Arial" w:cs="Arial"/>
          <w:b/>
          <w:bCs/>
          <w:i/>
          <w:iCs/>
          <w:sz w:val="36"/>
          <w:szCs w:val="36"/>
        </w:rPr>
        <w:t>Chlorella vulgaris</w:t>
      </w:r>
      <w:r w:rsidRPr="009E58BE">
        <w:rPr>
          <w:rFonts w:ascii="Arial" w:hAnsi="Arial" w:cs="Arial"/>
          <w:b/>
          <w:bCs/>
          <w:sz w:val="36"/>
          <w:szCs w:val="36"/>
        </w:rPr>
        <w:t xml:space="preserve"> FOR BIOFUNCTIONAL FEED</w:t>
      </w:r>
    </w:p>
    <w:p w14:paraId="4E343B72" w14:textId="3D6BA7ED" w:rsidR="00163BC4" w:rsidRPr="009E58BE" w:rsidRDefault="00163BC4" w:rsidP="000C6C14">
      <w:pPr>
        <w:pStyle w:val="Author"/>
        <w:spacing w:line="240" w:lineRule="auto"/>
        <w:rPr>
          <w:rFonts w:ascii="Arial" w:hAnsi="Arial" w:cs="Arial"/>
          <w:bCs/>
          <w:iCs/>
          <w:kern w:val="28"/>
          <w:sz w:val="20"/>
          <w:lang w:val="id-ID"/>
        </w:rPr>
      </w:pPr>
    </w:p>
    <w:p w14:paraId="44D96E23" w14:textId="77777777" w:rsidR="00A258C3" w:rsidRPr="009E58BE" w:rsidRDefault="00A258C3" w:rsidP="00CE4EFB">
      <w:pPr>
        <w:pStyle w:val="Author"/>
        <w:spacing w:line="240" w:lineRule="auto"/>
        <w:rPr>
          <w:rFonts w:ascii="Arial" w:hAnsi="Arial" w:cs="Arial"/>
          <w:sz w:val="20"/>
        </w:rPr>
      </w:pPr>
    </w:p>
    <w:p w14:paraId="32990D36" w14:textId="77777777" w:rsidR="00790ADA" w:rsidRPr="009E58BE" w:rsidRDefault="00790ADA" w:rsidP="00CE4EFB">
      <w:pPr>
        <w:pStyle w:val="Affiliation"/>
        <w:spacing w:after="0" w:line="240" w:lineRule="auto"/>
        <w:rPr>
          <w:rFonts w:ascii="Arial" w:hAnsi="Arial" w:cs="Arial"/>
        </w:rPr>
      </w:pPr>
    </w:p>
    <w:p w14:paraId="349C9554" w14:textId="77777777" w:rsidR="002C57D2" w:rsidRPr="009E58BE" w:rsidRDefault="002C57D2" w:rsidP="00CE4EFB">
      <w:pPr>
        <w:pStyle w:val="Affiliation"/>
        <w:spacing w:after="0" w:line="240" w:lineRule="auto"/>
        <w:jc w:val="both"/>
        <w:rPr>
          <w:rFonts w:ascii="Arial" w:hAnsi="Arial" w:cs="Arial"/>
        </w:rPr>
      </w:pPr>
    </w:p>
    <w:p w14:paraId="761980A5" w14:textId="1B5974E5" w:rsidR="00B01FCD" w:rsidRPr="009E58BE" w:rsidRDefault="00AB3094" w:rsidP="00CE4EFB">
      <w:pPr>
        <w:pStyle w:val="Copyright"/>
        <w:spacing w:after="0" w:line="240" w:lineRule="auto"/>
        <w:jc w:val="both"/>
        <w:rPr>
          <w:rFonts w:ascii="Arial" w:hAnsi="Arial" w:cs="Arial"/>
          <w:sz w:val="20"/>
        </w:rPr>
        <w:sectPr w:rsidR="00B01FCD" w:rsidRPr="009E58BE" w:rsidSect="008036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E58BE">
        <w:rPr>
          <w:rFonts w:ascii="Arial" w:hAnsi="Arial" w:cs="Arial"/>
          <w:noProof/>
          <w:sz w:val="20"/>
        </w:rPr>
        <mc:AlternateContent>
          <mc:Choice Requires="wps">
            <w:drawing>
              <wp:inline distT="0" distB="0" distL="0" distR="0" wp14:anchorId="45DA86FF" wp14:editId="15272F97">
                <wp:extent cx="5303520" cy="635"/>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728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E58BE">
        <w:rPr>
          <w:rFonts w:ascii="Arial" w:hAnsi="Arial" w:cs="Arial"/>
          <w:sz w:val="20"/>
        </w:rPr>
        <w:t>.</w:t>
      </w:r>
    </w:p>
    <w:p w14:paraId="4B691E92" w14:textId="53F30586" w:rsidR="00B01FCD" w:rsidRPr="009E58BE" w:rsidRDefault="00B01FCD" w:rsidP="00CE4EFB">
      <w:pPr>
        <w:pStyle w:val="AbstHead"/>
        <w:spacing w:after="0"/>
        <w:jc w:val="both"/>
        <w:rPr>
          <w:rFonts w:ascii="Arial" w:hAnsi="Arial" w:cs="Arial"/>
          <w:sz w:val="20"/>
        </w:rPr>
      </w:pPr>
      <w:r w:rsidRPr="009E58BE">
        <w:rPr>
          <w:rFonts w:ascii="Arial" w:hAnsi="Arial" w:cs="Arial"/>
          <w:sz w:val="20"/>
        </w:rPr>
        <w:t>ABSTRACT</w:t>
      </w:r>
      <w:r w:rsidR="0066510A" w:rsidRPr="009E58BE">
        <w:rPr>
          <w:rFonts w:ascii="Arial" w:hAnsi="Arial" w:cs="Arial"/>
          <w:sz w:val="20"/>
        </w:rPr>
        <w:t xml:space="preserve"> </w:t>
      </w:r>
    </w:p>
    <w:p w14:paraId="1AC69EC8" w14:textId="77777777" w:rsidR="00790ADA" w:rsidRPr="009E58BE" w:rsidRDefault="00790ADA" w:rsidP="00CE4EF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E58BE" w14:paraId="47F8EC15" w14:textId="77777777" w:rsidTr="001E44FE">
        <w:tc>
          <w:tcPr>
            <w:tcW w:w="9576" w:type="dxa"/>
            <w:shd w:val="clear" w:color="auto" w:fill="F2F2F2"/>
          </w:tcPr>
          <w:p w14:paraId="60AF811C" w14:textId="68CCBBA9" w:rsidR="00505F06" w:rsidRPr="009E58BE" w:rsidRDefault="000C6C14" w:rsidP="00CE4EFB">
            <w:pPr>
              <w:jc w:val="both"/>
              <w:rPr>
                <w:rFonts w:ascii="Arial" w:hAnsi="Arial" w:cs="Arial"/>
              </w:rPr>
            </w:pPr>
            <w:commentRangeStart w:id="0"/>
            <w:r w:rsidRPr="009E58BE">
              <w:rPr>
                <w:rFonts w:ascii="Arial" w:hAnsi="Arial" w:cs="Arial"/>
              </w:rPr>
              <w:t xml:space="preserve">Salinity is a pivotal abiotic factor influencing microalgal physiology, with direct implications for biomass productivity and biochemical composition. This study investigated the effects of four salinity gradients (25, 28, 31, and 34 ppt) on the growth performance, biomass yield, chlorophyll a content, and lipid accumulation of </w:t>
            </w:r>
            <w:r w:rsidRPr="009E58BE">
              <w:rPr>
                <w:rFonts w:ascii="Arial" w:hAnsi="Arial" w:cs="Arial"/>
                <w:i/>
                <w:iCs/>
              </w:rPr>
              <w:t>Chlorella vulgaris</w:t>
            </w:r>
            <w:r w:rsidRPr="009E58BE">
              <w:rPr>
                <w:rFonts w:ascii="Arial" w:hAnsi="Arial" w:cs="Arial"/>
              </w:rPr>
              <w:t xml:space="preserve"> under controlled laboratory conditions. Cultures were maintained for seven days in a completely randomized design with three replicates per treatment. Results revealed significant (p &lt; 0.05) differences among treatments, with the highest cell density (110.5 × 10⁶ cells/mL), biomass yield (10.25 g), chlorophyll-a concentration (3.38 mg/L), and lipid content (43.07%) observed at 34 ppt, closely followed by 31 ppt. Increased salinity within this optimal range appeared to induce moderate osmotic stress, enhancing photosynthetic pigment synthesis and redirecting metabolic flux toward lipid biosynthesis without severely compromising growth. Water quality parameters remained within optimal limits across treatments, ensuring that salinity was the primary driver of observed physiological differences. The parallel enhancement of biomass quantity and lipid quality under higher salinity conditions underscores the potential of salinity modulation as a cost-effective strategy for improving the nutritional and commercial value of </w:t>
            </w:r>
            <w:r w:rsidRPr="009E58BE">
              <w:rPr>
                <w:rFonts w:ascii="Arial" w:hAnsi="Arial" w:cs="Arial"/>
                <w:i/>
                <w:iCs/>
              </w:rPr>
              <w:t>C. vulgaris</w:t>
            </w:r>
            <w:r w:rsidRPr="009E58BE">
              <w:rPr>
                <w:rFonts w:ascii="Arial" w:hAnsi="Arial" w:cs="Arial"/>
              </w:rPr>
              <w:t xml:space="preserve"> biomass. These findings provide a robust foundation for the development of optimized cultivation protocols in aquaculture and </w:t>
            </w:r>
            <w:proofErr w:type="spellStart"/>
            <w:r w:rsidRPr="009E58BE">
              <w:rPr>
                <w:rFonts w:ascii="Arial" w:hAnsi="Arial" w:cs="Arial"/>
              </w:rPr>
              <w:t>biofunctional</w:t>
            </w:r>
            <w:proofErr w:type="spellEnd"/>
            <w:r w:rsidRPr="009E58BE">
              <w:rPr>
                <w:rFonts w:ascii="Arial" w:hAnsi="Arial" w:cs="Arial"/>
              </w:rPr>
              <w:t xml:space="preserve"> feed production, particularly in saline or brackish water systems, contributing to sustainable microalgal biotechnology and the circular bioeconomy.</w:t>
            </w:r>
            <w:commentRangeEnd w:id="0"/>
            <w:r w:rsidR="00E87587">
              <w:rPr>
                <w:rStyle w:val="CommentReference"/>
                <w:rFonts w:ascii="Times New Roman" w:hAnsi="Times New Roman"/>
                <w:lang w:val="nb-NO" w:eastAsia="nb-NO"/>
              </w:rPr>
              <w:commentReference w:id="0"/>
            </w:r>
          </w:p>
        </w:tc>
      </w:tr>
      <w:tr w:rsidR="00553D2B" w:rsidRPr="009E58BE" w14:paraId="1D9A27C0" w14:textId="77777777" w:rsidTr="001E44FE">
        <w:tc>
          <w:tcPr>
            <w:tcW w:w="9576" w:type="dxa"/>
            <w:shd w:val="clear" w:color="auto" w:fill="F2F2F2"/>
          </w:tcPr>
          <w:p w14:paraId="0FD5F163" w14:textId="77777777" w:rsidR="00553D2B" w:rsidRPr="009E58BE" w:rsidRDefault="00553D2B" w:rsidP="00CE4EFB">
            <w:pPr>
              <w:pStyle w:val="NormalWeb"/>
              <w:jc w:val="both"/>
              <w:rPr>
                <w:rFonts w:ascii="Arial" w:hAnsi="Arial" w:cs="Arial"/>
                <w:sz w:val="20"/>
                <w:szCs w:val="20"/>
              </w:rPr>
            </w:pPr>
          </w:p>
        </w:tc>
      </w:tr>
    </w:tbl>
    <w:p w14:paraId="3385C476" w14:textId="77777777" w:rsidR="00636EB2" w:rsidRPr="009E58BE" w:rsidRDefault="00636EB2" w:rsidP="00CE4EFB">
      <w:pPr>
        <w:pStyle w:val="Body"/>
        <w:spacing w:after="0"/>
        <w:rPr>
          <w:rFonts w:ascii="Arial" w:hAnsi="Arial" w:cs="Arial"/>
          <w:i/>
        </w:rPr>
      </w:pPr>
    </w:p>
    <w:p w14:paraId="7F8DC157" w14:textId="056DF779" w:rsidR="00505F06" w:rsidRPr="009E58BE" w:rsidRDefault="00113AF3" w:rsidP="000C6C14">
      <w:pPr>
        <w:jc w:val="both"/>
        <w:rPr>
          <w:rFonts w:ascii="Arial" w:hAnsi="Arial" w:cs="Arial"/>
        </w:rPr>
      </w:pPr>
      <w:r w:rsidRPr="009E58BE">
        <w:rPr>
          <w:rFonts w:ascii="Arial" w:hAnsi="Arial" w:cs="Arial"/>
          <w:i/>
          <w:iCs/>
        </w:rPr>
        <w:t xml:space="preserve">Keywords: </w:t>
      </w:r>
      <w:r w:rsidR="000C6C14" w:rsidRPr="009E58BE">
        <w:rPr>
          <w:rFonts w:ascii="Arial" w:hAnsi="Arial" w:cs="Arial"/>
          <w:i/>
          <w:iCs/>
        </w:rPr>
        <w:t>Chlorella vulgaris</w:t>
      </w:r>
      <w:r w:rsidR="000C6C14" w:rsidRPr="009E58BE">
        <w:rPr>
          <w:rFonts w:ascii="Arial" w:hAnsi="Arial" w:cs="Arial"/>
        </w:rPr>
        <w:t xml:space="preserve">, salinity gradient, biomass productivity, chlorophyll a, lipid biosynthesis, </w:t>
      </w:r>
      <w:proofErr w:type="spellStart"/>
      <w:r w:rsidR="000C6C14" w:rsidRPr="009E58BE">
        <w:rPr>
          <w:rFonts w:ascii="Arial" w:hAnsi="Arial" w:cs="Arial"/>
        </w:rPr>
        <w:t>biofunctional</w:t>
      </w:r>
      <w:proofErr w:type="spellEnd"/>
      <w:r w:rsidR="000C6C14" w:rsidRPr="009E58BE">
        <w:rPr>
          <w:rFonts w:ascii="Arial" w:hAnsi="Arial" w:cs="Arial"/>
        </w:rPr>
        <w:t xml:space="preserve"> feed</w:t>
      </w:r>
    </w:p>
    <w:p w14:paraId="70B4967F" w14:textId="77777777" w:rsidR="000C6C14" w:rsidRPr="009E58BE" w:rsidRDefault="000C6C14" w:rsidP="000C6C14">
      <w:pPr>
        <w:jc w:val="both"/>
        <w:rPr>
          <w:rFonts w:ascii="Arial" w:hAnsi="Arial" w:cs="Arial"/>
        </w:rPr>
      </w:pPr>
    </w:p>
    <w:p w14:paraId="7C3F2DCF" w14:textId="15958207" w:rsidR="007F7B32" w:rsidRPr="009E58BE" w:rsidRDefault="00902823" w:rsidP="00AC5A57">
      <w:pPr>
        <w:pStyle w:val="AbstHead"/>
        <w:jc w:val="both"/>
        <w:rPr>
          <w:rFonts w:ascii="Arial" w:hAnsi="Arial" w:cs="Arial"/>
          <w:sz w:val="20"/>
        </w:rPr>
      </w:pPr>
      <w:r w:rsidRPr="009E58BE">
        <w:rPr>
          <w:rFonts w:ascii="Arial" w:hAnsi="Arial" w:cs="Arial"/>
          <w:sz w:val="20"/>
        </w:rPr>
        <w:t xml:space="preserve">1. </w:t>
      </w:r>
      <w:r w:rsidR="00B01FCD" w:rsidRPr="009E58BE">
        <w:rPr>
          <w:rFonts w:ascii="Arial" w:hAnsi="Arial" w:cs="Arial"/>
          <w:sz w:val="20"/>
        </w:rPr>
        <w:t>INTRODUCTION</w:t>
      </w:r>
      <w:r w:rsidR="007F7B32" w:rsidRPr="009E58BE">
        <w:rPr>
          <w:rFonts w:ascii="Arial" w:hAnsi="Arial" w:cs="Arial"/>
          <w:sz w:val="20"/>
        </w:rPr>
        <w:t xml:space="preserve"> </w:t>
      </w:r>
    </w:p>
    <w:p w14:paraId="2A37F8D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Microalgae, particularly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have emerged as highly valuable biological resources due to their rich biochemical composition and promising applications in nutraceuticals, aquaculture, and functional feed formulations.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especially noted for its high protein content, reaching up to 52.2% of dry weight, and its abundance of essential polyunsaturated fatty acids such as omega-3 and omega-6, which are crucial for cardiovascular and neural health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{"citationItems":[{"id":"ITEM-1","itemData":{"DOI":"10.3390/molecules27082505","ISSN":"1420-3049","abstract":"Microalgae have been described as a source of bioactive compounds, such as peptides. Microalgae are easy to produce, making them a sustainable resource for extracting active ingredients for industrial applications. Several microalgae species have interesting protein content, such as Chlorella vulgaris with around 52.2% of protein, making it promising for peptide hydrolysate production. Therefore, this work focused on the production of water-soluble hydrolysates rich in proteins/peptides from the microalgae C. vulgaris and studied bioactive properties. For that, a design of experiments (DOE) was performed to establish the optimal conditions to produce hydrolysates with higher levels of protein, as well as antioxidant and antihypertensive properties. Four experimental factors were considered (cellulase percentage, protease percentage, hydrolysis temperature, and hydrolysis duration) for three responses (protein content, antioxidant activity, and antihypertensive activity). The optimal conditions determined by the DOE allowed producing a scaled-up hydrolysate with 45% protein, with antioxidant activity, measured by oxygen radical absorbance capacity assay, of 1035 µmol TE/g protein, IC50 for angiotensin-converting enzyme inhibition activity of 286 µg protein/mL, and α-glucosidase inhibition of 31% (30 mg hydrolysate/mL). The obtained hydrolysates can be used as functional ingredients for food and nutraceuticals due to their antioxidant, antihypertensive, and antidiabetic potential. Moreover, the antioxidant potential of the extracts may be relevant for the cosmetic industry, especially in antiaging formulations.","author":[{"dropping-particle":"","family":"Cunha","given":"Sara A.","non-dropping-particle":"","parse-names":false,"suffix":""},{"dropping-particle":"","family":"Coscueta","given":"Ezequiel R.","non-dropping-particle":"","parse-names":false,"suffix":""},{"dropping-particle":"","family":"Nova","given":"Paulo","non-dropping-particle":"","parse-names":false,"suffix":""},{"dropping-particle":"","family":"Silva","given":"Joana Laranjeira","non-dropping-particle":"","parse-names":false,"suffix":""},{"dropping-particle":"","family":"Pintado","given":"Maria Manuela","non-dropping-particle":"","parse-names":false,"suffix":""}],"container-title":"Molecules","id":"ITEM-1","issue":"8","issued":{"date-parts":[["2022","4"]]},"page":"2505","title":"Bioactive Hydrolysates from Chlorella vulgaris: Optimal Process and Bioactive Properties","type":"article-journal","volume":"27"},"uris":["http://www.mendeley.com/documents/?uuid=27fcf734-5980-4fcb-90ca-c102f6fd2073","http://www.mendeley.com/documents/?uuid=c58b77d4-449e-493d-a097-10d7c38ca650"]},{"id":"ITEM-2","itemData":{"DOI":"10.3390/foods10071516","ISSN":"2304-8158","abstract":"This study aimed to map the nutritional profile and bioactivities of five microalgae that can be grown in Northwest Europe or areas with similar cultivation conditions. Next to the biochemical composition, the in vitro digestibility of carbohydrates, proteins, and lipids was studied for Chlamydomonas nivalis, Porphyridium purpureum, Chlorella vulgaris, Nannochloropsis gaditana, and Scenedesmus species biomass. These microalgae were also assessed for their ability to inhibit the angiotensin-1-converting enzyme (ACE-1, EC 3.4.15.1), which is known to play a role in the control of blood pressure in mammals. Large differences in organic matter solubility after digestion suggested that a cell disruption step is needed to unlock the majority of the nutrients from N. gaditana and Scenedesmus species biomass. Significant amounts of free glucose (16.4–25.5 g glucose/100 g dry algae) were detected after the digestion of C. nivalis, P. purpureum, and disrupted Scenedesmus. The fatty acid profiles showed major variations, with particularly high Ω-3 fatty acid levels found in N. gaditana (5.5 ± 0.5 g/100 g dry algae), while lipid digestibility ranged from 33.3 ± 6.5% (disrupted N. gaditana) to 67.1 ± 11.2% (P. purpureum). C. vulgaris and disrupted N. gaditana had the highest protein content (45–46% of dry matter), a nitrogen solubility after digestion of 65–71%, and the degree of protein hydrolysis was determined as 31% and 26%, respectively. Microalgae inhibited ACE-1 by 73.4–87.1% at physiologically relevant concentrations compared to a commercial control. These data can assist algae growers and processors in selecting the most suitable algae species for food or feed applications.","author":[{"dropping-particle":"","family":"Verspreet","given":"Joran","non-dropping-particle":"","parse-names":false,"suffix":""},{"dropping-particle":"","family":"Soetemans","given":"Lise","non-dropping-particle":"","parse-names":false,"suffix":""},{"dropping-particle":"","family":"Gargan","given":"Caoimhe","non-dropping-particle":"","parse-names":false,"suffix":""},{"dropping-particle":"","family":"Hayes","given":"Maria","non-dropping-particle":"","parse-names":false,"suffix":""},{"dropping-particle":"","family":"Bastiaens","given":"Leen","non-dropping-particle":"","parse-names":false,"suffix":""}],"container-title":"Foods","id":"ITEM-2","issue":"7","issued":{"date-parts":[["2021","7"]]},"page":"1516","title":"Nutritional Profiling and Preliminary Bioactivity Screening of Five Micro-Algae Strains Cultivated in Northwest Europe","type":"article-journal","volume":"10"},"uris":["http://www.mendeley.com/documents/?uuid=5bd317c1-0f44-4258-bfe0-afa0697e216f","http://www.mendeley.com/documents/?uuid=38854d12-a1e6-4902-8b06-c2326b099b53"]},{"id":"ITEM-3","itemData":{"DOI":"10.1038/s41598-022-12309-y","ISSN":"2045-2322","abstract":"Microalgae could be an excellent resource of functional and essential fatty acids. To achieve viable microalgal biomass production, mass cultivation of microalgae is required; however, the high cost of nutrients is the obstacle. An inexpensive and nutritious material is required to feed Chlorella vulgaris in the pharmaceutical and food sectors. Citrus peel waste with a valuable nutritional quality could be one of the promising and inexpensive candidates. In this study, the fatty acid extract from different citrus peels was used as the organic nutrient source for the cultivation of Chlorella . The proximate composition of bitter orange, sweet orange, grapefruit, and mandarin peels were determined, and their nutritional quality was evaluated. Total fatty acids from the citrus peel were prepared by acidic methanol hydrolysis and hexane extraction. Fourier transforms infrared (FT-IR) and gas chromatography–mass spectrometry (GC–MS) was used to analyze the fatty acid composition and nutrient composition. Fatty acids from the citrus peels were added to the Chlorella culture medium to study their influences on biomass, lipid production, fatty acid profile, and nutritional quality of Chlorella . The most predominant citrus peel fatty acids were linoleic, palmitic, oleic, linolenic, and stearic acids. The citrus peels contain polyunsaturated, saturated, and monounsaturated fatty acids. The most unsaturated fatty acids were omega-6, omega-3, omega-9, and omega-7. The citrus peel had acceptable atherogenicity, thrombogenicity, omega-6/omega-3, peroxidizability, hypocholesterolemic, and nutritive value indices. The major fatty acids of Chlorella were palmitic, linoleic, oleic, alpha-linolenic, gamma-linolenic, 4,7,10,13-hexadecatetraenoic, palmitoleic, 7,10-hexadecadienoic, 7,10,13-hexadecatrienoic, lauric and 5,8,11,14,17-eicosapentaenoic acids. Chlorella contains polyunsaturated, saturated, and monounsaturated fatty acids. The most unsaturated fatty acids contain omega-6, omega-3, omega-9, and omega-7. Chlorella had acceptable atherogenicity, thrombogenicity, omega-6/omega-3, hypocholesterolemic, peroxidizability, and nutritive value indices. Supplementation of Chlorella with citrus peels fatty acid increases total biomass, lipid content, and nutritional quality of Chlorella . The present research shows that citrus peels have good nutritional quality and could be used for the inexpensive cultivation of Chlorella biomass with potential utility for food application.","author":[{"dropping-particle":"","family":"Jahromi","given":"Kourosh Ghodrat","non-dropping-particle":"","parse-names":false,"suffix":""},{"dropping-particle":"","family":"Koochi","given":"Zhila Heydari","non-dropping-particle":"","parse-names":false,"suffix":""},{"dropping-particle":"","family":"Kavoosi","given":"Gholamreza","non-dropping-particle":"","parse-names":false,"suffix":""},{"dropping-particle":"","family":"Shahsavar","given":"Alireza","non-dropping-particle":"","parse-names":false,"suffix":""}],"container-title":"Scientific Reports","id":"ITEM-3","issue":"1","issued":{"date-parts":[["2022","5"]]},"page":"8151","title":"Manipulation of fatty acid profile and nutritional quality of Chlorella vulgaris by supplementing with citrus peel fatty acid","type":"article-journal","volume":"12"},"uris":["http://www.mendeley.com/documents/?uuid=d0a7ecdf-9c4e-4d6c-8bc9-af9940ac627f","http://www.mendeley.com/documents/?uuid=de483d44-adbe-41cd-8679-3ee04bc23a3c"]}],"mendeley":{"formattedCitation":"(Cunha et al., 2022; Jahromi et al., 2022; Verspreet et al., 2021)","plainTextFormattedCitation":"(Cunha et al., 2022; Jahromi et al., 2022; Verspreet et al., 2021)","previouslyFormattedCitation":"(Cunha et al., 2022; Jahromi et al., 2022; Verspreet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(Cunha et al., 2022; Jahromi et al., 2022; Verspreet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 addition, the species is rich in pigments, including chlorophyll a, lutein, and carotenoids, which exhibit potent antioxidant properties and contribute to its bioactive potential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{"citationItems":[{"id":"ITEM-1","itemData":{"DOI":"10.3389/fbioe.2020.00469","ISSN":"2296-4185","author":[{"dropping-particle":"","family":"Schüler","given":"Lisa","non-dropping-particle":"","parse-names":false,"suffix":""},{"dropping-particle":"","family":"Greque de Morais","given":"Etiele","non-dropping-particle":"","parse-names":false,"suffix":""},{"dropping-particle":"","family":"Trovão","given":"Mafalda","non-dropping-particle":"","parse-names":false,"suffix":""},{"dropping-particle":"","family":"Machado","given":"Adriana","non-dropping-particle":"","parse-names":false,"suffix":""},{"dropping-particle":"","family":"Carvalho","given":"Bernardo","non-dropping-particle":"","parse-names":false,"suffix":""},{"dropping-particle":"","family":"Carneiro","given":"Mariana","non-dropping-particle":"","parse-names":false,"suffix":""},{"dropping-particle":"","family":"Maia","given":"Inês","non-dropping-particle":"","parse-names":false,"suffix":""},{"dropping-particle":"","family":"Soares","given":"Maria","non-dropping-particle":"","parse-names":false,"suffix":""},{"dropping-particle":"","family":"Duarte","given":"Paulo","non-dropping-particle":"","parse-names":false,"suffix":""},{"dropping-particle":"","family":"Barros","given":"Ana","non-dropping-particle":"","parse-names":false,"suffix":""},{"dropping-particle":"","family":"Pereira","given":"Hugo","non-dropping-particle":"","parse-names":false,"suffix":""},{"dropping-particle":"","family":"Silva","given":"Joana","non-dropping-particle":"","parse-names":false,"suffix":""},{"dropping-particle":"","family":"Varela","given":"João","non-dropping-particle":"","parse-names":false,"suffix":""}],"container-title":"Frontiers in Bioengineering and Biotechnology","id":"ITEM-1","issued":{"date-parts":[["2020","5"]]},"title":"Isolation and Characterization of Novel Chlorella Vulgaris Mutants With Low Chlorophyll and Improved Protein Contents for Food Applications","type":"article-journal","volume":"8"},"uris":["http://www.mendeley.com/documents/?uuid=af1acfed-283c-4120-b18e-dfada5c451c2","http://www.mendeley.com/documents/?uuid=09c85630-0c88-4263-b711-f88d1175a108"]},{"id":"ITEM-2","itemData":{"DOI":"10.3390/foods10071626","ISSN":"2304-8158","abstract":"Microalgal products are an emerging class of food, feed, and nutraceuticals. They include dewatered or dried biomass, isolated pigments, and extracted fat. The oil, protein, and antioxidant-rich microalgal biomass is used as a feed and food supplement formulated as pastes, powders, tablets, capsules, or flakes designed for daily use. Pigments such as astaxanthin (red), lutein (yellow), chlorophyll (green), or phycocyanin (bright blue) are natural food dyes used as isolated pigments or pigment-rich biomass. Algal fat extracted from certain marine microalgae represents a vegetarian source of n-3-fatty acids (eicosapentaenoic acid (EPA), docosahexaenoic acid (DHA), γ-linolenic acid (GLA)). Gaining an overview of the production of microalgal products is a time-consuming task. Here, requirements and options of microalgae cultivation are summarized in a concise manner, including light and nutrient requirements, growth conditions, and cultivation systems. The rentability of microalgal products remains the major obstacle in industrial application. Key challenges are the high costs of commercial-scale cultivation, harvesting (and dewatering), and product quality assurance (toxin analysis). High-value food ingredients are commonly regarded as profitable despite significant capital expenditures and energy inputs. Improvements in capital and operational costs shall enable economic production of low-value food products going down to fishmeal replacement in the future economy.","author":[{"dropping-particle":"","family":"Kratzer","given":"Regina","non-dropping-particle":"","parse-names":false,"suffix":""},{"dropping-particle":"","family":"Murkovic","given":"Michael","non-dropping-particle":"","parse-names":false,"suffix":""}],"container-title":"Foods","id":"ITEM-2","issue":"7","issued":{"date-parts":[["2021","7"]]},"page":"1626","title":"Food Ingredients and Nutraceuticals from Microalgae: Main Product Classes and Biotechnological Production","type":"article-journal","volume":"10"},"uris":["http://www.mendeley.com/documents/?uuid=8a33c34d-167b-4c4e-8862-b1d7b468a620","http://www.mendeley.com/documents/?uuid=0b549c7b-59b7-4ae6-9b11-b2fc34f47714"]}],"mendeley":{"formattedCitation":"(Kratzer &amp; Murkovic, 2021; Schüler et al., 2020)","plainTextFormattedCitation":"(Kratzer &amp; Murkovic, 2021; Schüler et al., 2020)","previouslyFormattedCitation":"(Kratzer &amp; Murkovic, 2021; Schüler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(Kratzer &amp; Murkovic, 2021; Schüler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p>
    <w:p w14:paraId="405180E8"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In industrial biotechnology and aquaculture,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widely utilized owing to its fast growth, adaptability to diverse environmental conditions, and high biomass productivity. Optimized cultivation under specific light and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conditions has yielded biomass productivity </w:t>
      </w:r>
      <w:r w:rsidRPr="009E58BE">
        <w:rPr>
          <w:rFonts w:ascii="Arial" w:hAnsi="Arial" w:cs="Arial"/>
          <w:color w:val="000000"/>
          <w:shd w:val="clear" w:color="auto" w:fill="FFFFFF"/>
        </w:rPr>
        <w:lastRenderedPageBreak/>
        <w:t>up to 0.748 g/L/day, with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biofixation</w:t>
      </w:r>
      <w:proofErr w:type="spellEnd"/>
      <w:r w:rsidRPr="009E58BE">
        <w:rPr>
          <w:rFonts w:ascii="Arial" w:hAnsi="Arial" w:cs="Arial"/>
          <w:color w:val="000000"/>
          <w:shd w:val="clear" w:color="auto" w:fill="FFFFFF"/>
        </w:rPr>
        <w:t xml:space="preserve"> rates of 1.37 g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/L/day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10.1021/acs.iecr.3c00525","ISSN":"0888-5885","author":[{"dropping-particle":"","family":"Hena","given":"Sufia","non-dropping-particle":"","parse-names":false,"suffix":""},{"dropping-particle":"","family":"Bhatelia","given":"Tejas","non-dropping-particle":"","parse-names":false,"suffix":""},{"dropping-particle":"","family":"Patel","given":"Himanshu","non-dropping-particle":"","parse-names":false,"suffix":""},{"dropping-particle":"","family":"Anderson","given":"Duncan","non-dropping-particle":"","parse-names":false,"suffix":""},{"dropping-particle":"","family":"Bonadeo","given":"Brent","non-dropping-particle":"","parse-names":false,"suffix":""},{"dropping-particle":"","family":"Shah","given":"Milinkumar","non-dropping-particle":"","parse-names":false,"suffix":""}],"container-title":"Industrial &amp; Engineering Chemistry Research","id":"ITEM-1","issued":{"date-parts":[["2023","7"]]},"title":"Biofixation of Carbon Dioxide Using Chlorella vulgaris","type":"article-journal"},"uris":["http://www.mendeley.com/documents/?uuid=e2124578-a9f4-4ce2-87b9-4354bbf01388","http://www.mendeley.com/documents/?uuid=2190f7c5-33c5-488b-a5a6-b95b1825b0bd"]}],"mendeley":{"formattedCitation":"(Hena et al., 2023)","plainTextFormattedCitation":"(Hena et al., 2023)","previouslyFormattedCitation":"(Hena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(Hena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Response surface methodologies have further enhanced biomass output to 11,165 mg/mL under tailored pH, temperature, and nutrient regimes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bcab.2022.102505","ISSN":"18788181","author":[{"dropping-particle":"","family":"Kanaga","given":"S.","non-dropping-particle":"","parse-names":false,"suffix":""},{"dropping-particle":"","family":"Silambarasan","given":"T.","non-dropping-particle":"","parse-names":false,"suffix":""},{"dropping-particle":"","family":"Malini","given":"E.","non-dropping-particle":"","parse-names":false,"suffix":""},{"dropping-particle":"","family":"Mangayarkarasi","given":"S.","non-dropping-particle":"","parse-names":false,"suffix":""},{"dropping-particle":"","family":"Dhandapani","given":"R.","non-dropping-particle":"","parse-names":false,"suffix":""}],"container-title":"Biocatalysis and Agricultural Biotechnology","id":"ITEM-1","issued":{"date-parts":[["2022","10"]]},"page":"102505","title":"Optimization of biomass production from Chlorella vulgaris by response surface methodology and study of the fatty acid profile for biodiesel production: A green approach","type":"article-journal","volume":"45"},"uris":["http://www.mendeley.com/documents/?uuid=bde6329b-8b33-4e76-9e52-681c3bb7e3cb","http://www.mendeley.com/documents/?uuid=44eeb171-d13d-4585-a1a3-156c897cb51e"]}],"mendeley":{"formattedCitation":"(Kanaga et al., 2022)","plainTextFormattedCitation":"(Kanaga et al., 2022)","previouslyFormattedCitation":"(Kanaga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(Kanaga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has demonstrated ecological plasticity, including the capacity to grow in aquatic and terrestrial systems, tolerate high temperature and light intensities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2020.585836","ISSN":"1664-302X","author":[{"dropping-particle":"","family":"Aigner","given":"Siegfried","non-dropping-particle":"","parse-names":false,"suffix":""},{"dropping-particle":"","family":"Glaser","given":"Karin","non-dropping-particle":"","parse-names":false,"suffix":""},{"dropping-particle":"","family":"Arc","given":"Erwann","non-dropping-particle":"","parse-names":false,"suffix":""},{"dropping-particle":"","family":"Holzinger","given":"Andreas","non-dropping-particle":"","parse-names":false,"suffix":""},{"dropping-particle":"","family":"Schletter","given":"Michael","non-dropping-particle":"","parse-names":false,"suffix":""},{"dropping-particle":"","family":"Karsten","given":"Ulf","non-dropping-particle":"","parse-names":false,"suffix":""},{"dropping-particle":"","family":"Kranner","given":"Ilse","non-dropping-particle":"","parse-names":false,"suffix":""}],"container-title":"Frontiers in Microbiology","id":"ITEM-1","issued":{"date-parts":[["2020","10"]]},"title":"Adaptation to Aquatic and Terrestrial Environments in Chlorella vulgaris (Chlorophyta)","type":"article-journal","volume":"11"},"uris":["http://www.mendeley.com/documents/?uuid=7b24db16-a9df-43e9-966c-e02414da5a81","http://www.mendeley.com/documents/?uuid=fd353d3d-a4db-4060-99c5-49893a4c5e2f"]}],"mendeley":{"formattedCitation":"(Aigner et al., 2020)","plainTextFormattedCitation":"(Aigner et al., 2020)","previouslyFormattedCitation":"(Aigner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(Aigner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and even remediate wastewater streams such as those from wineries and distilleries, thereby reducing cultivation costs while promoting circular bioeconomy approaches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2021.102519","ISSN":"22119264","author":[{"dropping-particle":"","family":"Spennati","given":"Elena","non-dropping-particle":"","parse-names":false,"suffix":""},{"dropping-particle":"","family":"Mirizadeh","given":"Shabnam","non-dropping-particle":"","parse-names":false,"suffix":""},{"dropping-particle":"","family":"Casazza","given":"Alessandro A.","non-dropping-particle":"","parse-names":false,"suffix":""},{"dropping-particle":"","family":"Solisio","given":"Carlo","non-dropping-particle":"","parse-names":false,"suffix":""},{"dropping-particle":"","family":"Converti","given":"Attilio","non-dropping-particle":"","parse-names":false,"suffix":""}],"container-title":"Algal Research","id":"ITEM-1","issued":{"date-parts":[["2021","12"]]},"page":"102519","title":"Chlorella vulgaris and Arthrospira platensis growth in a continuous membrane photobioreactor using industrial winery wastewater","type":"article-journal","volume":"60"},"uris":["http://www.mendeley.com/documents/?uuid=87eda218-1af2-4825-8465-98f2bb702b93","http://www.mendeley.com/documents/?uuid=70e749fa-b566-46e2-afb0-303b37bd5501"]},{"id":"ITEM-2","itemData":{"DOI":"10.3389/fenvs.2021.770633","ISSN":"2296-665X","abstract":"The alcohol industry discharges large quantities of wastewater, which is hazardous and has a considerable pollution potential. Cultivating microalgae in wastewater is an alternative way of overcoming the current high cost of microalgae cultivation and an environmentally friendly treatment method for industrial effluents. The study analyzed the growth and biochemical composition of Chlorella vulgaris cultivated in membrane-treated distillery wastewater (MTDW) and nutrients removal efficiency. The results showed biomass productivity of 0.04 g L −1 d −1 for MTDW with the contents of content of protein, carbohydrate, and lipid at 49.6 ± 1.4%, 26.1 ± 0.6%, and 10.4 ± 1.8%, respectively. The removal efficiencies of TN, TP, and COD were 80, 94, and 72.24% in MTDW, respectively. In addition, removal efficiencies of 100, 85.37, and 42.86% for Ca 2+ , Mg 2+ , and Mo 2− were achieved, respectively. The study added to our growing knowledge on the cultivation of Chlorella with wastewater, suggesting that it was feasible to cultivate Chlorella with MTDW and represented an economical and environmentally friendly strategy for microalgae biomass production and reuse of wastewater resources.","author":[{"dropping-particle":"","family":"Li","given":"Feng","non-dropping-particle":"","parse-names":false,"suffix":""},{"dropping-particle":"","family":"Amenorfenyo","given":"David Kwame","non-dropping-particle":"","parse-names":false,"suffix":""},{"dropping-particle":"","family":"Zhang","given":"Yulei","non-dropping-particle":"","parse-names":false,"suffix":""},{"dropping-particle":"","family":"Zhang","given":"Ning","non-dropping-particle":"","parse-names":false,"suffix":""},{"dropping-particle":"","family":"Li","given":"Changling","non-dropping-particle":"","parse-names":false,"suffix":""},{"dropping-particle":"","family":"Huang","given":"Xianghu","non-dropping-particle":"","parse-names":false,"suffix":""}],"container-title":"Frontiers in Environmental Science","id":"ITEM-2","issued":{"date-parts":[["2021","10"]]},"title":"Cultivation of Chlorella vulgaris in Membrane-Treated Industrial Distillery Wastewater: Growth and Wastewater Treatment","type":"article-journal","volume":"9"},"uris":["http://www.mendeley.com/documents/?uuid=ecd5a4d2-7674-4f63-9342-0ae8149d41f2","http://www.mendeley.com/documents/?uuid=627d1697-e86f-4d7a-b254-c5cc4a4c763f"]}],"mendeley":{"formattedCitation":"(F. Li et al., 2021; Spennati et al., 2021)","plainTextFormattedCitation":"(F. Li et al., 2021; Spennati et al., 2021)","previouslyFormattedCitation":"(F. Li et al., 2021; Spennati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 Li et al., 2021; Spennati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11CB1E59"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Among environmental parameters, salinity is a key abiotic stressor that modulates algal physiology by influencing osmotic regulation, cell division, pigment production, and lipid biosynthesis. Species-specific responses to salinity have been widely documented: for example, </w:t>
      </w:r>
      <w:r w:rsidRPr="009E58BE">
        <w:rPr>
          <w:rFonts w:ascii="Arial" w:hAnsi="Arial" w:cs="Arial"/>
          <w:i/>
          <w:iCs/>
          <w:color w:val="000000"/>
          <w:shd w:val="clear" w:color="auto" w:fill="FFFFFF"/>
        </w:rPr>
        <w:t>Chlorella</w:t>
      </w:r>
      <w:r w:rsidRPr="009E58BE">
        <w:rPr>
          <w:rFonts w:ascii="Arial" w:hAnsi="Arial" w:cs="Arial"/>
          <w:color w:val="000000"/>
          <w:shd w:val="clear" w:color="auto" w:fill="FFFFFF"/>
        </w:rPr>
        <w:t xml:space="preserve"> sp. MACC-360 retains normal growth under 600 mM NaCl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{"citationItems":[{"id":"ITEM-1","itemData":{"DOI":"10.3389/fpls.2023.1051711","ISSN":"1664-462X","abstract":"Salt stress triggers an Stt7-mediated LHCII-phosphorylation signaling mechanism similar to light-induced state transitions. However, phosphorylated LHCII, after detaching from PSII, does not attach to PSI but self-aggregates instead. Salt is a major stress factor in the growth of algae and plants. Here, our study mainly focuses on the organization of the photosynthetic apparatus to the long-term responses of Chlamydomonas reinhardtii to elevated NaCl concentrations. We analyzed the physiological effects of salt treatment at a cellular, membrane, and protein level by microscopy, protein profile analyses, transcripts, circular dichroism spectroscopy, chlorophyll fluorescence transients, and steady-state and time-resolved fluorescence spectroscopy. We have ascertained that cells that were grown in high-salinity medium form palmelloids sphere-shaped colonies, where daughter cells with curtailed flagella are enclosed within the mother cell walls. Palmelloid formation depends on the presence of a cell wall, as it was not observed in a cell-wall-less mutant CC-503. Using the stt7 mutant cells, we show Stt7 kinase-dependent phosphorylation of light-harvesting complex II (LHCII) in both short- and long-term treatments of various NaCl concentrations—demonstrating NaCl-induced state transitions that are similar to light-induced state transitions. The grana thylakoids were less appressed (with higher repeat distances), and cells grown in 150 mM NaCl showed disordered structures that formed diffuse boundaries with the flanking stroma lamellae. PSII core proteins were more prone to damage than PSI. At high salt concentrations (100–150 mM), LHCII aggregates accumulated in the thylakoid membranes. Low-temperature and time-resolved fluorescence spectroscopy indicated that the stt7 mutant was more sensitive to salt stress, suggesting that LHCII phosphorylation has a role in the acclimation and protection of the photosynthetic apparatus.","author":[{"dropping-particle":"","family":"Devadasu","given":"Elsinraju","non-dropping-particle":"","parse-names":false,"suffix":""},{"dropping-particle":"","family":"Kanna","given":"Sai Divya","non-dropping-particle":"","parse-names":false,"suffix":""},{"dropping-particle":"","family":"Neelam","given":"Satyabala","non-dropping-particle":"","parse-names":false,"suffix":""},{"dropping-particle":"","family":"Yadav","given":"Ranay Mohan","non-dropping-particle":"","parse-names":false,"suffix":""},{"dropping-particle":"","family":"Nama","given":"Srilatha","non-dropping-particle":"","parse-names":false,"suffix":""},{"dropping-particle":"","family":"Akhtar","given":"Parveen","non-dropping-particle":"","parse-names":false,"suffix":""},{"dropping-particle":"","family":"Polgár","given":"Tamás F.","non-dropping-particle":"","parse-names":false,"suffix":""},{"dropping-particle":"","family":"Ughy","given":"Bettina","non-dropping-particle":"","parse-names":false,"suffix":""},{"dropping-particle":"","family":"Garab","given":"Győző","non-dropping-particle":"","parse-names":false,"suffix":""},{"dropping-particle":"","family":"Lambrev","given":"Petar H.","non-dropping-particle":"","parse-names":false,"suffix":""},{"dropping-particle":"","family":"Subramanyam","given":"Rajagopal","non-dropping-particle":"","parse-names":false,"suffix":""}],"container-title":"Frontiers in Plant Science","id":"ITEM-1","issued":{"date-parts":[["2023","4"]]},"title":"Long- and short-term acclimation of the photosynthetic apparatus to salinity in Chlamydomonas reinhardtii. The role of Stt7 protein kinase","type":"article-journal","volume":"14"},"uris":["http://www.mendeley.com/documents/?uuid=d5147d3b-5db4-4534-8268-5d28f2d712fa","http://www.mendeley.com/documents/?uuid=0db8553e-4c1c-4424-b4fa-14d82c12e94e"]}],"mendeley":{"formattedCitation":"(Devadasu et al., 2023)","plainTextFormattedCitation":"(Devadasu et al., 2023)","previouslyFormattedCitation":"(Devadasu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(Devadasu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while </w:t>
      </w:r>
      <w:r w:rsidRPr="009E58BE">
        <w:rPr>
          <w:rFonts w:ascii="Arial" w:hAnsi="Arial" w:cs="Arial"/>
          <w:i/>
          <w:iCs/>
          <w:color w:val="000000"/>
          <w:shd w:val="clear" w:color="auto" w:fill="FFFFFF"/>
        </w:rPr>
        <w:t>Chlamydomonas reinhardtii</w:t>
      </w:r>
      <w:r w:rsidRPr="009E58BE">
        <w:rPr>
          <w:rFonts w:ascii="Arial" w:hAnsi="Arial" w:cs="Arial"/>
          <w:color w:val="000000"/>
          <w:shd w:val="clear" w:color="auto" w:fill="FFFFFF"/>
        </w:rPr>
        <w:t xml:space="preserve"> exhibits morphological adaptation through </w:t>
      </w:r>
      <w:proofErr w:type="spellStart"/>
      <w:r w:rsidRPr="009E58BE">
        <w:rPr>
          <w:rFonts w:ascii="Arial" w:hAnsi="Arial" w:cs="Arial"/>
          <w:color w:val="000000"/>
          <w:shd w:val="clear" w:color="auto" w:fill="FFFFFF"/>
        </w:rPr>
        <w:t>palmelloid</w:t>
      </w:r>
      <w:proofErr w:type="spellEnd"/>
      <w:r w:rsidRPr="009E58BE">
        <w:rPr>
          <w:rFonts w:ascii="Arial" w:hAnsi="Arial" w:cs="Arial"/>
          <w:color w:val="000000"/>
          <w:shd w:val="clear" w:color="auto" w:fill="FFFFFF"/>
        </w:rPr>
        <w:t xml:space="preserve"> formation at high salinity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2023.103155","ISSN":"22119264","author":[{"dropping-particle":"","family":"Farkas","given":"Attila","non-dropping-particle":"","parse-names":false,"suffix":""},{"dropping-particle":"","family":"Pap","given":"Bernadett","non-dropping-particle":"","parse-names":false,"suffix":""},{"dropping-particle":"","family":"Zsíros","given":"Ottó","non-dropping-particle":"","parse-names":false,"suffix":""},{"dropping-particle":"","family":"Patai","given":"Roland","non-dropping-particle":"","parse-names":false,"suffix":""},{"dropping-particle":"","family":"Shetty","given":"Prateek","non-dropping-particle":"","parse-names":false,"suffix":""},{"dropping-particle":"","family":"Garab","given":"Győző","non-dropping-particle":"","parse-names":false,"suffix":""},{"dropping-particle":"","family":"Bíró","given":"Tibor","non-dropping-particle":"","parse-names":false,"suffix":""},{"dropping-particle":"","family":"Ördög","given":"Vince","non-dropping-particle":"","parse-names":false,"suffix":""},{"dropping-particle":"","family":"Maróti","given":"Gergely","non-dropping-particle":"","parse-names":false,"suffix":""}],"container-title":"Algal Research","id":"ITEM-1","issued":{"date-parts":[["2023","6"]]},"page":"103155","title":"Salinity stress provokes diverse physiological responses of eukaryotic unicellular microalgae","type":"article-journal","volume":"73"},"uris":["http://www.mendeley.com/documents/?uuid=93249f6c-f654-414c-b07a-e63a45fe0e2b","http://www.mendeley.com/documents/?uuid=96629e89-da32-4d47-8a87-0445d4e30570"]}],"mendeley":{"formattedCitation":"(Farkas et al., 2023)","plainTextFormattedCitation":"(Farkas et al., 2023)","previouslyFormattedCitation":"(Farkas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(Farkas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Interestingly, </w:t>
      </w:r>
      <w:proofErr w:type="spellStart"/>
      <w:r w:rsidRPr="009E58BE">
        <w:rPr>
          <w:rFonts w:ascii="Arial" w:hAnsi="Arial" w:cs="Arial"/>
          <w:i/>
          <w:iCs/>
          <w:color w:val="000000"/>
          <w:shd w:val="clear" w:color="auto" w:fill="FFFFFF"/>
        </w:rPr>
        <w:t>Picocystis</w:t>
      </w:r>
      <w:proofErr w:type="spellEnd"/>
      <w:r w:rsidRPr="009E58BE">
        <w:rPr>
          <w:rFonts w:ascii="Arial" w:hAnsi="Arial" w:cs="Arial"/>
          <w:i/>
          <w:iCs/>
          <w:color w:val="000000"/>
          <w:shd w:val="clear" w:color="auto" w:fill="FFFFFF"/>
        </w:rPr>
        <w:t xml:space="preserve"> </w:t>
      </w:r>
      <w:proofErr w:type="spellStart"/>
      <w:r w:rsidRPr="009E58BE">
        <w:rPr>
          <w:rFonts w:ascii="Arial" w:hAnsi="Arial" w:cs="Arial"/>
          <w:i/>
          <w:iCs/>
          <w:color w:val="000000"/>
          <w:shd w:val="clear" w:color="auto" w:fill="FFFFFF"/>
        </w:rPr>
        <w:t>salinarum</w:t>
      </w:r>
      <w:proofErr w:type="spellEnd"/>
      <w:r w:rsidRPr="009E58BE">
        <w:rPr>
          <w:rFonts w:ascii="Arial" w:hAnsi="Arial" w:cs="Arial"/>
          <w:color w:val="000000"/>
          <w:shd w:val="clear" w:color="auto" w:fill="FFFFFF"/>
        </w:rPr>
        <w:t xml:space="preserve"> shows increased photosynthetic rates in hypersaline media, whereas </w:t>
      </w:r>
      <w:proofErr w:type="spellStart"/>
      <w:r w:rsidRPr="009E58BE">
        <w:rPr>
          <w:rFonts w:ascii="Arial" w:hAnsi="Arial" w:cs="Arial"/>
          <w:i/>
          <w:iCs/>
          <w:color w:val="000000"/>
          <w:shd w:val="clear" w:color="auto" w:fill="FFFFFF"/>
        </w:rPr>
        <w:t>Dunaliella</w:t>
      </w:r>
      <w:proofErr w:type="spellEnd"/>
      <w:r w:rsidRPr="009E58BE">
        <w:rPr>
          <w:rFonts w:ascii="Arial" w:hAnsi="Arial" w:cs="Arial"/>
          <w:i/>
          <w:iCs/>
          <w:color w:val="000000"/>
          <w:shd w:val="clear" w:color="auto" w:fill="FFFFFF"/>
        </w:rPr>
        <w:t xml:space="preserve"> salina</w:t>
      </w:r>
      <w:r w:rsidRPr="009E58BE">
        <w:rPr>
          <w:rFonts w:ascii="Arial" w:hAnsi="Arial" w:cs="Arial"/>
          <w:color w:val="000000"/>
          <w:shd w:val="clear" w:color="auto" w:fill="FFFFFF"/>
        </w:rPr>
        <w:t xml:space="preserve"> suffers reduced photosynthetic efficiency under similar conditions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{"citationItems":[{"id":"ITEM-1","itemData":{"DOI":"10.3389/fmicb.2023.1059199","ISSN":"1664-302X","abstract":"Saline soda lakes are of immense ecological value as they niche some of the most exclusive haloalkaliphilic communities dominated by bacterial and archaeal domains, with few eukaryotic algal representatives. A handful reports describe Picocystis as a key primary producer with great production rates in extremely saline alkaline habitats. An extremely haloalkaliphilic picoalgal strain, Picocystis salinarum SLJS6 isolated from hypersaline soda lake Sambhar, Rajasthan, India, grew robustly in an enriched soda lake medium containing mainly Na 2 CO 3 , 50 g/l; NaHCO 3, 50 g/l, NaCl, 50 g/l (salinity ≈150‰) at pH 10. To elucidate the molecular basis of such adaptation to high inorganic carbon and NaCl concentrations, a high-throughput label-free quantitation based quantitative proteomics approach was applied. Out of the total 383 proteins identified in treated samples, 225 were differentially abundant proteins (DAPs), of which 150 were statistically significant ( p &lt; 0.05) including 70 upregulated and 64 downregulated proteins after 3 days of growth in highly saline-alkaline medium. Most DAPs were involved in photosynthesis, oxidative phosphorylation, glucose metabolism and ribosomal structural components envisaging that photosynthesis and ATP synthesis were central to the salinity-alkalinity response. Key components of photosynthetic machinery like photosystem reaction centres, adenosine triphosphate (ATP) synthase ATP, Rubisco, Fructose-1,6-bisphosphatase, Fructose-bisphosphate aldolase were highly upregulated. Enzymes peptidylprolyl isomerases (PPIase), important for correct protein folding showed remarkable marked-up regulation along with other chaperon proteins indicating their role in osmotic adaptation. Enhanced photosynthetic activity exhibited by P. salinarum in highly saline-alkaline condition is noteworthy as photosynthesis is suppressed under hyperosmotic conditions in most photosynthetic organisms. The study provided the first insights into the proteome of extremophilic alga P. salinarum exhibiting extraordinary osmotic adaptation and proliferation in polyextreme conditions prevailing in saline sodic ecosystems, potentially unraveling the basis of resilience in this not so known organism and paves the way for a promising future candidate for biotechnological applications and model organism for deciphering the molecular mechanisms of osmotic adaptation. The mass spectrometry proteomics data is available at the ProteomeXchange Consortium via the PRI…","author":[{"dropping-particle":"","family":"Singh","given":"Jyoti","non-dropping-particle":"","parse-names":false,"suffix":""},{"dropping-particle":"","family":"Kaushik","given":"Shubham","non-dropping-particle":"","parse-names":false,"suffix":""},{"dropping-particle":"","family":"Maharana","given":"Chinmaya","non-dropping-particle":"","parse-names":false,"suffix":""},{"dropping-particle":"","family":"Jhingan","given":"Gagan Deep","non-dropping-particle":"","parse-names":false,"suffix":""},{"dropping-particle":"","family":"Dhar","given":"Dolly Wattal","non-dropping-particle":"","parse-names":false,"suffix":""}],"container-title":"Frontiers in Microbiology","id":"ITEM-1","issued":{"date-parts":[["2023","3"]]},"title":"Elevated inorganic carbon and salinity enhances photosynthesis and ATP synthesis in picoalga Picocystis salinarum as revealed by label free quantitative proteomics","type":"article-journal","volume":"14"},"uris":["http://www.mendeley.com/documents/?uuid=87eaaec7-9edc-4ba9-a375-3038365dc22e","http://www.mendeley.com/documents/?uuid=baeec01a-eb80-4466-95f2-bce7eddf3020"]},{"id":"ITEM-2","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Science","id":"ITEM-2","issued":{"date-parts":[["2023","6"]]},"title":"Photosynthetic efficiency and transcriptome analysis of Dunaliella salina under hypersaline: a retrograde signaling mechanism in the chloroplast","type":"article-journal","volume":"14"},"uris":["http://www.mendeley.com/documents/?uuid=6f8bf2e1-05bb-4424-a1d9-a587509103f7","http://www.mendeley.com/documents/?uuid=79c9124e-41b7-4eec-ba4f-5378ecd9bede"]}],"mendeley":{"formattedCitation":"(Ramachandran et al., 2023; Singh et al., 2023)","plainTextFormattedCitation":"(Ramachandran et al., 2023; Singh et al., 2023)","previouslyFormattedCitation":"(Ramachandran et al., 2023; Singh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(Ramachandran et al., 2023; Singh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These species-specific and often nonlinear responses underline the complex influence of salinity on photosynthesis and cellular metabolism.</w:t>
      </w:r>
    </w:p>
    <w:p w14:paraId="3857FC8C"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However, despite the expanding literature on microalgae, there is a paucity of studies that systematically investigate how specific salinity gradients affect the integrated physiological traits of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such as growth rate, chlorophyll a content, and lipid accumulation, under controlled conditions. Existing research tends to examine these parameters in isolation or under extreme salinity stress rather than across a progressive and moderate salinity range. For instance,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strain UMT-M1 exhibited a high oil yield at 15 ppt salinity without compromising biomass; however, similar interactions at higher salinities remain underexplored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{"citationItems":[{"id":"ITEM-1","itemData":{"DOI":"10.1038/s41598-020-79950-3","ISSN":"2045-2322","abstract":"Mangrove-dwelling microalgae are well adapted to frequent encounters of salinity fluctuations across their various growth phases but are lesser studied. The current study explored the adaptive changes (in terms of biomass, oil content and fatty acid composition) of mangrove-isolated C. vulgaris UMT-M1 cultured under different salinity levels (5, 10, 15, 20, 30 ppt). The highest total oil content was recorded in cultures at 15 ppt salinity (63.5% of dry weight) with uncompromised biomass productivity, thus highlighting the ‘trigger-threshold’ for oil accumulation in C. vulgaris UMT-M1. Subsequently, C. vulgaris UMT-M1 was further assessed across different growth phases under 15 ppt. The various short, medium and long-chain fatty acids (particularly C20:0), coupled with a high level of C18:3n3 PUFA reported at early exponential phase represents their physiological importance during rapid cell growth. Accumulation of C18:1 and C18:2 at stationary growth phase across all salinities was seen as cells accumulating substrate for C18:3n3 should the cells anticipate a move from stationary phase into new growth phase. This study sheds some light on the possibility of ‘triggered’ oil accumulation with uninterrupted growth and the participation of various fatty acid types upon salinity mitigation in a mangrove-dwelling microalgae.","author":[{"dropping-particle":"","family":"Teh","given":"Kit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Effendy","given":"Abd Wahid Mohd","non-dropping-particle":"","parse-names":false,"suffix":""},{"dropping-particle":"","family":"Cha","given":"Thye San","non-dropping-particle":"","parse-names":false,"suffix":""}],"container-title":"Scientific Reports","id":"ITEM-1","issue":"1","issued":{"date-parts":[["2021","1"]]},"page":"438","title":"Lipid accumulation patterns and role of different fatty acid types towards mitigating salinity fluctuations in Chlorella vulgaris","type":"article-journal","volume":"11"},"uris":["http://www.mendeley.com/documents/?uuid=131ccca5-a7ef-445c-a595-0a8343cf0a06","http://www.mendeley.com/documents/?uuid=79880e0b-8bf0-4360-bb28-37d68c2e9008"]},{"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salinity","type":"article-journal","volume":"67"},"uris":["http://www.mendeley.com/documents/?uuid=6d221d03-ef29-4fbb-ac8b-adf409cce603","http://www.mendeley.com/documents/?uuid=526128a7-440a-4600-a032-dd428b58131a"]}],"mendeley":{"formattedCitation":"(Teh et al., 2021, 2022)","plainTextFormattedCitation":"(Teh et al., 2021, 2022)","previouslyFormattedCitation":"(Teh et al., 2021,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(Teh et al., 2021,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Moreover, while lipid accumulation in response to salinity has been reported, quantitative data linking salinity levels to chlorophyll a concentration—critical for photosynthetic efficiency—remain scarce, especially for industrial strains used in feed production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{"citationItems":[{"id":"ITEM-1","itemData":{"DOI":"10.3389/fmars.2022.837067","ISSN":"2296-7745","abstract":"Microalgae are considered as a promising feedstock for the production of valuable fatty acids. In this study, individual fatty acid profiles during the growth period of Chlorella vulgaris were investigated. The results showed that the quantity and the type of fatty acids changed with varying rates during the growth of microalgal cells. Interchanging the fatty acid profiles may provide some metabolic information as a complementary method to radiolabeling studies. For C. vulgaris , two unsaturated fatty acids, oleic and linoleic acids, were the major components. Constant concentration of palmitic and oleic acids shows that they may serve as precursors for longer-chain fatty acids. Higher concentration of palmitic rather than palmitoleic acid (about 16 to 34 times depending on the cultivation day) shows that palmitic acid production rate is higher than its conversion rate to longer-chain fatty acids. In fact, palmitoleic acid might have been partly converted to oleic and linoleic acids. The fatty acid content variations during the growth period are not linear and can be fitted to a Sigmoidal model with R 2 value higher than 0.98 and low RMSD values (except for oleic and palmitic acid).","author":[{"dropping-particle":"","family":"Moradi-Kheibari","given":"Narges","non-dropping-particle":"","parse-names":false,"suffix":""},{"dropping-particle":"","family":"Ahmadzadeh","given":"Hossein","non-dropping-particle":"","parse-names":false,"suffix":""},{"dropping-particle":"","family":"Lyon","given":"Stephen R.","non-dropping-particle":"","parse-names":false,"suffix":""}],"container-title":"Frontiers in Marine Science","id":"ITEM-1","issued":{"date-parts":[["2022","4"]]},"title":"Correlation of Total Lipid Content of Chlorella vulgaris With the Dynamics of Individual Fatty Acid Growth Rates","type":"article-journal","volume":"9"},"uris":["http://www.mendeley.com/documents/?uuid=a2d8670a-4eee-4134-b28f-3c55494f4f34","http://www.mendeley.com/documents/?uuid=f27be937-5ef3-46fb-8268-ad2ac07a7561"]},{"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salinity","type":"article-journal","volume":"67"},"uris":["http://www.mendeley.com/documents/?uuid=526128a7-440a-4600-a032-dd428b58131a","http://www.mendeley.com/documents/?uuid=6d221d03-ef29-4fbb-ac8b-adf409cce603"]}],"mendeley":{"formattedCitation":"(Moradi-Kheibari et al., 2022; Teh et al., 2022)","plainTextFormattedCitation":"(Moradi-Kheibari et al., 2022; Teh et al., 2022)","previouslyFormattedCitation":"(Moradi-Kheibari et al., 2022; Teh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(Moradi-Kheibari et al., 2022; Teh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228053E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 lack of integrative analysis connecting salinity-induced physiological responses with their potential for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feed applications represents a clear research gap. Most investigations fail to address the trade-offs and synergies between productivity and biochemical quality when salinity is manipulated. This is particularly relevant for tropical and subtropical regions, such as Southeast Asia, where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is increasingly cultivated for aquaculture and functional feed; however, cultivation protocols remain largely empirical.</w:t>
      </w:r>
    </w:p>
    <w:p w14:paraId="301EFAD1" w14:textId="375EC124"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Therefore, this study aims to comprehensively evaluate the effect of varying salinity gradients (25–34 ppt) on the growth performance, chlorophyll a content, and lipid accumulation in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under controlled laboratory conditions. The objective is to identify the optimal salinity range that enhances both biomass yield and biochemical quality, thereby supporting the develop</w:t>
      </w:r>
      <w:r w:rsidR="008A5663">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ment</w:t>
      </w:r>
      <w:proofErr w:type="spellEnd"/>
      <w:r w:rsidRPr="009E58BE">
        <w:rPr>
          <w:rFonts w:ascii="Arial" w:hAnsi="Arial" w:cs="Arial"/>
          <w:color w:val="000000"/>
          <w:shd w:val="clear" w:color="auto" w:fill="FFFFFF"/>
        </w:rPr>
        <w:t xml:space="preserve"> of scalable, sustainable cultivation strategies for microalgae-based feed products. By filling the knowledge gap on how salinity modulates multiple physiological traits, this research contributes to a more efficient and data-driven approach to microalgal biotechnology in the context of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aquafeed development.</w:t>
      </w:r>
    </w:p>
    <w:p w14:paraId="1F2AF030" w14:textId="77777777" w:rsidR="00026EDA" w:rsidRPr="009E58BE" w:rsidRDefault="00026EDA" w:rsidP="00026EDA">
      <w:pPr>
        <w:ind w:firstLine="720"/>
        <w:jc w:val="both"/>
        <w:rPr>
          <w:rFonts w:ascii="Arial" w:hAnsi="Arial" w:cs="Arial"/>
          <w:i/>
          <w:iCs/>
        </w:rPr>
      </w:pPr>
    </w:p>
    <w:p w14:paraId="575C332A" w14:textId="45BFEB13" w:rsidR="007E56A6" w:rsidRPr="009E58BE" w:rsidRDefault="007E56A6" w:rsidP="007E56A6">
      <w:pPr>
        <w:jc w:val="both"/>
        <w:outlineLvl w:val="1"/>
        <w:rPr>
          <w:rFonts w:ascii="Arial" w:hAnsi="Arial" w:cs="Arial"/>
          <w:b/>
          <w:bCs/>
          <w:lang w:eastAsia="en-ID"/>
        </w:rPr>
      </w:pPr>
      <w:bookmarkStart w:id="1" w:name="_Hlk204759345"/>
      <w:r w:rsidRPr="009E58BE">
        <w:rPr>
          <w:rFonts w:ascii="Arial" w:hAnsi="Arial" w:cs="Arial"/>
          <w:b/>
          <w:bCs/>
          <w:lang w:eastAsia="en-ID"/>
        </w:rPr>
        <w:t>2. MATERIALS AND METHODS</w:t>
      </w:r>
    </w:p>
    <w:p w14:paraId="0723B2B2" w14:textId="38DDCC68"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2.1 Study site and duration</w:t>
      </w:r>
    </w:p>
    <w:p w14:paraId="7F8B015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experiment was conducted over 35 days from January to February 2025. The cultivation and drying of </w:t>
      </w:r>
      <w:r w:rsidRPr="009E58BE">
        <w:rPr>
          <w:rFonts w:ascii="Arial" w:hAnsi="Arial" w:cs="Arial"/>
          <w:i/>
          <w:iCs/>
          <w:lang w:eastAsia="en-ID"/>
        </w:rPr>
        <w:t>Chlorella vulgaris</w:t>
      </w:r>
      <w:r w:rsidRPr="009E58BE">
        <w:rPr>
          <w:rFonts w:ascii="Arial" w:hAnsi="Arial" w:cs="Arial"/>
          <w:lang w:eastAsia="en-ID"/>
        </w:rPr>
        <w:t xml:space="preserve"> were performed at the Pearl Oyster Laboratory, Marine Aquaculture Center (BPBL) in Lombok, Indonesia. Subsequent analyses of chlorophyll a and lipid content were conducted at the Analytical Chemistry Laboratory, Faculty of Mathematics and Natural Sciences, University of </w:t>
      </w:r>
      <w:proofErr w:type="spellStart"/>
      <w:r w:rsidRPr="009E58BE">
        <w:rPr>
          <w:rFonts w:ascii="Arial" w:hAnsi="Arial" w:cs="Arial"/>
          <w:lang w:eastAsia="en-ID"/>
        </w:rPr>
        <w:t>Mataram</w:t>
      </w:r>
      <w:proofErr w:type="spellEnd"/>
      <w:r w:rsidRPr="009E58BE">
        <w:rPr>
          <w:rFonts w:ascii="Arial" w:hAnsi="Arial" w:cs="Arial"/>
          <w:lang w:eastAsia="en-ID"/>
        </w:rPr>
        <w:t>, Indonesia.</w:t>
      </w:r>
    </w:p>
    <w:p w14:paraId="12C087E2" w14:textId="77777777" w:rsidR="007E56A6" w:rsidRPr="009E58BE" w:rsidRDefault="007E56A6" w:rsidP="007E56A6">
      <w:pPr>
        <w:jc w:val="both"/>
        <w:rPr>
          <w:rFonts w:ascii="Arial" w:hAnsi="Arial" w:cs="Arial"/>
          <w:lang w:eastAsia="en-ID"/>
        </w:rPr>
      </w:pPr>
    </w:p>
    <w:p w14:paraId="7F29B201" w14:textId="1FBFA141"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2.2 Culture materials and experimental design</w:t>
      </w:r>
    </w:p>
    <w:p w14:paraId="7D9EC67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lastRenderedPageBreak/>
        <w:t xml:space="preserve">Filtered seawater and sterile freshwater were used as culture media, adjusted to four salinity levels: 25, 28, 31, and 34 ppt, based on a dilution formula. Each salinity treatment was replicated three times, arranged in a completely randomized design (CRD), yielding 12 experimental units. </w:t>
      </w:r>
      <w:r w:rsidRPr="009E58BE">
        <w:rPr>
          <w:rFonts w:ascii="Arial" w:hAnsi="Arial" w:cs="Arial"/>
          <w:i/>
          <w:iCs/>
          <w:lang w:eastAsia="en-ID"/>
        </w:rPr>
        <w:t>Chlorella vulgaris</w:t>
      </w:r>
      <w:r w:rsidRPr="009E58BE">
        <w:rPr>
          <w:rFonts w:ascii="Arial" w:hAnsi="Arial" w:cs="Arial"/>
          <w:lang w:eastAsia="en-ID"/>
        </w:rPr>
        <w:t xml:space="preserve"> inoculum was obtained from BPBL Lombok and standardized to 3 × 10⁶ cells/mL before inoculation.</w:t>
      </w:r>
    </w:p>
    <w:p w14:paraId="4F300DC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Plastic jars (5 L) containing 3 L of medium were used as culture vessels. Cultures were maintained under constant aeration and exposed to a 12:12 light–dark photoperiod using 50-watt fluorescent lamps. KW21 fertilizer was added at a concentration of 1 mL/L as the nutrient source. All cultures were maintained at room temperature under controlled laboratory conditions.</w:t>
      </w:r>
    </w:p>
    <w:p w14:paraId="018E8490" w14:textId="77777777" w:rsidR="007E56A6" w:rsidRPr="009E58BE" w:rsidRDefault="007E56A6" w:rsidP="007E56A6">
      <w:pPr>
        <w:ind w:firstLine="567"/>
        <w:jc w:val="both"/>
        <w:rPr>
          <w:rFonts w:ascii="Arial" w:hAnsi="Arial" w:cs="Arial"/>
          <w:lang w:eastAsia="en-ID"/>
        </w:rPr>
      </w:pPr>
    </w:p>
    <w:p w14:paraId="53802AEE" w14:textId="79E3DD5D"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2.3 Sterilization procedure</w:t>
      </w:r>
    </w:p>
    <w:p w14:paraId="76FBC32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glassware, plasticware, and culture vessels were washed, rinsed, and sterilized by boiling in freshwater for 2–3 minutes. Ethanol (75%) was applied before use to ensure aseptic conditions. Seawater was filtered through 10 µm, 5 µm, and 1 µm filters, then chlorinated at one ppm, vigorously aerated for 1 hour, and neutralized with 0.5 ppm sodium thiosulfate. Freshwater used for dilution was commercially purified and filtered.</w:t>
      </w:r>
    </w:p>
    <w:p w14:paraId="337A9A8B" w14:textId="77777777" w:rsidR="007E56A6" w:rsidRPr="009E58BE" w:rsidRDefault="007E56A6" w:rsidP="007E56A6">
      <w:pPr>
        <w:ind w:firstLine="567"/>
        <w:jc w:val="both"/>
        <w:rPr>
          <w:rFonts w:ascii="Arial" w:hAnsi="Arial" w:cs="Arial"/>
          <w:lang w:eastAsia="en-ID"/>
        </w:rPr>
      </w:pPr>
    </w:p>
    <w:p w14:paraId="01878537" w14:textId="3F909E99"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2.4 Growth monitoring</w:t>
      </w:r>
    </w:p>
    <w:p w14:paraId="470E43B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Cell growth was monitored daily for 8 days using a hemocytometer and light microscope at 100× magnification. Cell density (cells/mL) was calculated based on the equation:</w:t>
      </w:r>
    </w:p>
    <w:p w14:paraId="094931FB" w14:textId="77777777" w:rsidR="007E56A6" w:rsidRPr="009E58BE" w:rsidRDefault="007E56A6" w:rsidP="007E56A6">
      <w:pPr>
        <w:jc w:val="both"/>
        <w:rPr>
          <w:rFonts w:ascii="Arial" w:hAnsi="Arial" w:cs="Arial"/>
          <w:lang w:eastAsia="en-ID"/>
        </w:rPr>
      </w:pPr>
    </w:p>
    <w:p w14:paraId="580F2F57" w14:textId="77777777" w:rsidR="007E56A6" w:rsidRPr="009E58BE" w:rsidRDefault="007E56A6" w:rsidP="007E56A6">
      <w:pPr>
        <w:jc w:val="both"/>
        <w:rPr>
          <w:rFonts w:ascii="Arial" w:hAnsi="Arial" w:cs="Arial"/>
          <w:lang w:eastAsia="en-ID"/>
        </w:rPr>
      </w:pPr>
      <m:oMathPara>
        <m:oMath>
          <m:r>
            <w:rPr>
              <w:rFonts w:ascii="Cambria Math" w:hAnsi="Cambria Math" w:cs="Arial"/>
              <w:lang w:eastAsia="en-ID"/>
            </w:rPr>
            <m:t xml:space="preserve">Cell Density (cells/mL)=N x </m:t>
          </m:r>
          <m:sSup>
            <m:sSupPr>
              <m:ctrlPr>
                <w:rPr>
                  <w:rFonts w:ascii="Cambria Math" w:hAnsi="Cambria Math" w:cs="Arial"/>
                  <w:i/>
                  <w:lang w:eastAsia="en-ID"/>
                </w:rPr>
              </m:ctrlPr>
            </m:sSupPr>
            <m:e>
              <m:r>
                <w:rPr>
                  <w:rFonts w:ascii="Cambria Math" w:hAnsi="Cambria Math" w:cs="Arial"/>
                  <w:lang w:eastAsia="en-ID"/>
                </w:rPr>
                <m:t>10</m:t>
              </m:r>
            </m:e>
            <m:sup>
              <m:r>
                <w:rPr>
                  <w:rFonts w:ascii="Cambria Math" w:hAnsi="Cambria Math" w:cs="Arial"/>
                  <w:lang w:eastAsia="en-ID"/>
                </w:rPr>
                <m:t>4</m:t>
              </m:r>
            </m:sup>
          </m:sSup>
        </m:oMath>
      </m:oMathPara>
    </w:p>
    <w:p w14:paraId="59980F8B" w14:textId="77777777" w:rsidR="007E56A6" w:rsidRPr="009E58BE" w:rsidRDefault="007E56A6" w:rsidP="007E56A6">
      <w:pPr>
        <w:jc w:val="both"/>
        <w:rPr>
          <w:rFonts w:ascii="Arial" w:hAnsi="Arial" w:cs="Arial"/>
          <w:lang w:eastAsia="en-ID"/>
        </w:rPr>
      </w:pPr>
    </w:p>
    <w:p w14:paraId="399939C3"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N</w:t>
      </w:r>
      <w:r w:rsidRPr="009E58BE">
        <w:rPr>
          <w:rFonts w:ascii="Arial" w:hAnsi="Arial" w:cs="Arial"/>
          <w:lang w:eastAsia="en-ID"/>
        </w:rPr>
        <w:t xml:space="preserve"> is the average number of cells per square.</w:t>
      </w:r>
    </w:p>
    <w:p w14:paraId="4649C7C1" w14:textId="77777777" w:rsidR="007E56A6" w:rsidRPr="009E58BE" w:rsidRDefault="007E56A6" w:rsidP="007E56A6">
      <w:pPr>
        <w:jc w:val="both"/>
        <w:rPr>
          <w:rFonts w:ascii="Arial" w:hAnsi="Arial" w:cs="Arial"/>
          <w:lang w:eastAsia="en-ID"/>
        </w:rPr>
      </w:pPr>
    </w:p>
    <w:p w14:paraId="17810FC2" w14:textId="7B56E99B"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2.5 Biomass harvesting and dry weight determination</w:t>
      </w:r>
    </w:p>
    <w:p w14:paraId="4D4634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On day 8, cultures were harvested using chemical flocculation with NaOH at 2 g/L, following the procedure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{"citationItems":[{"id":"ITEM-1","itemData":{"DOI":"10.20473/jafh.v7i2.11246","ISSN":"2301-7309","abstract":"Mikroalga adalah tumbuhan tingkat rendah yang memiliki klorofil untuk melakukan fotosintesis (Rismiarti dkk., 2016). Beberapa spesies mikroalga di alam merupakan pakan alami bagi ikan dan udang. Pakan alami menjadi sumber nutrisi penting pada stadium awal perkembangan organisme. Salah satu pakan alami yang digunakan untuk budidaya ikan yaitu Chlorella sp.. Chlorella sp. memiliki kandungan nutrisi protein sebesar 51–58%, minyak sebesar 28-32%, karbohidrat 12-17%, lemak 14-22%, dan asam nukleat 4-5% (Rachmaniah dkk., 2010).Salah satu cara untuk memperoleh biakan murni Chlorella sp. agar dapat memenuhi ketersediaan pakan alami dalam jumlah yang cukup, berkesinambungan dan tepat waktu adalah dengan adanya tindakan kultur. Praktek Kerja Lapang ini dilaksanakan di Balai Perikanan Budidaya Air Payau (BPBAP) Situbondo, Jawa Timur pada tanggal 23 Januari sampai tanggal 23 Februari 2017. Tujuan praktek kerja lapang ini adalah untuk mendapatkan pengetahuan tentang teknik kultur Chlorella sp. skala laboratorium dan intermediet. Metode kerja yang digunakan yaitu metode deskriptif. Metode tersebut meliputi wawancara, observasi, dan partisipasi aktif selama proses kegiatan kultur Chlorella sp. skala laboratorium dan intermediet. Data yang terkumpul terdiri atas data primer dan sekunder. Kegiatan kultur Chlorella sp. skala laboratorium dilakukan dengan metode kultur bertingkat di dalam ruangan (indoor). Kultur Chlorella sp. dimulai dengan persiapan alat dan bahan (sterilisasi), pembuatan pupuk Walne dan vitamin, isolasi Chlorella sp. pada Petridish (media agar), kultur pada test tube 10 ml, kultur pada Erlenmeyer 250 ml, kultur pada Bottle glass 3 liter, dan kultur pada Carboy 10 liter. Kegiatan kultur Chlorella sp. skala intermediet dilakukan dimulai dengan persiapan alat dan bahan (sterilisasi), pemberian bibit Chlorella sp. yang berasal dari kultur murni skala laboratorium. Pemeliharaan Chlorella sp. dilakukan selama kurang lebih 5 hari yang mencapai fase eksponensial pada hari ke 4. Pemanenan dilakukan dengan metode flokulan kimia menggunakan NaOH. Kendala yang terdapat dalam teknik kultur Chlorella sp. adalah media kultur yang tidak bebas dari kontaminan, kepadatan awal yang tidak optimal, dan kondisi lingkungan yang tidak baik. Kondisi lingkungan yang tidak baik seperti kualitas air yang tidak sesuai dengan habitat Chlorella sp. dan kondisi cuaca yang fluktuatif akibat musim pancaroba yang mempengaruhi intensitas cahaya pada kultur Chlorella sp. skala intermediet.","author":[{"dropping-particle":"","family":"Mufidah","given":"Afif","non-dropping-particle":"","parse-names":false,"suffix":""},{"dropping-particle":"","family":"Agustono","given":"Agustono","non-dropping-particle":"","parse-names":false,"suffix":""},{"dropping-particle":"","family":"Sudarno","given":"Sudarno","non-dropping-particle":"","parse-names":false,"suffix":""},{"dropping-particle":"","family":"Nindarwi","given":"Daruti Dinda","non-dropping-particle":"","parse-names":false,"suffix":""}],"container-title":"Journal of Aquaculture and Fish Health","id":"ITEM-1","issue":"2","issued":{"date-parts":[["2019"]]},"title":"The Culture Technique of Chlorella sp. in Laboratory scale and Intermediates at the “Balai Perikanan Budidaya Air Payau Situbondo” East Java","type":"article-journal","volume":"7"},"uris":["http://www.mendeley.com/documents/?uuid=bc5f7681-5052-4f10-9598-73815b875417","http://www.mendeley.com/documents/?uuid=909b909c-d4c7-487f-9506-624e27bef5ce"]}],"mendeley":{"formattedCitation":"(Mufidah et al., 2019)","manualFormatting":"Mufidah et al. (2019)","plainTextFormattedCitation":"(Mufidah et al., 2019)","previouslyFormattedCitation":"(Mufidah et al., 2019)"},"properties":{"noteIndex":0},"schema":"https://github.com/citation-style-language/schema/raw/master/csl-citation.json"}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Mufidah et al. (2019)</w:t>
      </w:r>
      <w:r w:rsidRPr="009E58BE">
        <w:rPr>
          <w:rFonts w:ascii="Arial" w:eastAsia="Calibri" w:hAnsi="Arial" w:cs="Arial"/>
        </w:rPr>
        <w:fldChar w:fldCharType="end"/>
      </w:r>
      <w:r w:rsidRPr="009E58BE">
        <w:rPr>
          <w:rFonts w:ascii="Arial" w:hAnsi="Arial" w:cs="Arial"/>
          <w:lang w:eastAsia="en-ID"/>
        </w:rPr>
        <w:t>. Flocs were allowed to settle, supernatant was removed by siphoning, and the biomass was air-dried in a controlled AC room. Dry weight was calculated using the formula:</w:t>
      </w:r>
    </w:p>
    <w:p w14:paraId="19546234" w14:textId="77777777" w:rsidR="007E56A6" w:rsidRPr="009E58BE" w:rsidRDefault="007E56A6" w:rsidP="007E56A6">
      <w:pPr>
        <w:ind w:firstLine="567"/>
        <w:jc w:val="both"/>
        <w:rPr>
          <w:rFonts w:ascii="Arial" w:hAnsi="Arial" w:cs="Arial"/>
          <w:lang w:eastAsia="en-ID"/>
        </w:rPr>
      </w:pPr>
    </w:p>
    <w:p w14:paraId="55482D1F" w14:textId="77777777" w:rsidR="007E56A6" w:rsidRPr="009E58BE" w:rsidRDefault="007E56A6" w:rsidP="007E56A6">
      <w:pPr>
        <w:ind w:firstLine="567"/>
        <w:jc w:val="both"/>
        <w:rPr>
          <w:rFonts w:ascii="Arial" w:hAnsi="Arial" w:cs="Arial"/>
          <w:lang w:eastAsia="en-ID"/>
        </w:rPr>
      </w:pPr>
      <m:oMathPara>
        <m:oMath>
          <m:r>
            <w:rPr>
              <w:rFonts w:ascii="Cambria Math" w:hAnsi="Cambria Math" w:cs="Arial"/>
              <w:lang w:eastAsia="en-ID"/>
            </w:rPr>
            <m:t xml:space="preserve">Biomass </m:t>
          </m:r>
          <m:d>
            <m:dPr>
              <m:ctrlPr>
                <w:rPr>
                  <w:rFonts w:ascii="Cambria Math" w:hAnsi="Cambria Math" w:cs="Arial"/>
                  <w:i/>
                  <w:lang w:eastAsia="en-ID"/>
                </w:rPr>
              </m:ctrlPr>
            </m:dPr>
            <m:e>
              <m:r>
                <w:rPr>
                  <w:rFonts w:ascii="Cambria Math" w:hAnsi="Cambria Math" w:cs="Arial"/>
                  <w:lang w:eastAsia="en-ID"/>
                </w:rPr>
                <m:t>g</m:t>
              </m:r>
            </m:e>
          </m:d>
          <m:r>
            <w:rPr>
              <w:rFonts w:ascii="Cambria Math" w:hAnsi="Cambria Math" w:cs="Arial"/>
              <w:lang w:eastAsia="en-ID"/>
            </w:rPr>
            <m:t>=</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2</m:t>
              </m:r>
            </m:sub>
          </m:sSub>
          <m:r>
            <w:rPr>
              <w:rFonts w:ascii="Cambria Math" w:hAnsi="Cambria Math" w:cs="Arial"/>
              <w:lang w:eastAsia="en-ID"/>
            </w:rPr>
            <m:t xml:space="preserve">- </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1</m:t>
              </m:r>
            </m:sub>
          </m:sSub>
        </m:oMath>
      </m:oMathPara>
    </w:p>
    <w:p w14:paraId="4CF7DBFF"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 </w:t>
      </w:r>
    </w:p>
    <w:p w14:paraId="5BBFA864"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W</w:t>
      </w:r>
      <w:r w:rsidRPr="009E58BE">
        <w:rPr>
          <w:rFonts w:ascii="Cambria Math" w:hAnsi="Cambria Math" w:cs="Cambria Math"/>
          <w:i/>
          <w:iCs/>
          <w:lang w:eastAsia="en-ID"/>
        </w:rPr>
        <w:t>₂</w:t>
      </w:r>
      <w:r w:rsidRPr="009E58BE">
        <w:rPr>
          <w:rFonts w:ascii="Arial" w:hAnsi="Arial" w:cs="Arial"/>
          <w:lang w:eastAsia="en-ID"/>
        </w:rPr>
        <w:t xml:space="preserve"> is the weight of the container with biomass, and </w:t>
      </w:r>
      <w:r w:rsidRPr="009E58BE">
        <w:rPr>
          <w:rFonts w:ascii="Arial" w:hAnsi="Arial" w:cs="Arial"/>
          <w:i/>
          <w:iCs/>
          <w:lang w:eastAsia="en-ID"/>
        </w:rPr>
        <w:t>W</w:t>
      </w:r>
      <w:r w:rsidRPr="009E58BE">
        <w:rPr>
          <w:rFonts w:ascii="Cambria Math" w:hAnsi="Cambria Math" w:cs="Cambria Math"/>
          <w:i/>
          <w:iCs/>
          <w:lang w:eastAsia="en-ID"/>
        </w:rPr>
        <w:t>₁</w:t>
      </w:r>
      <w:r w:rsidRPr="009E58BE">
        <w:rPr>
          <w:rFonts w:ascii="Arial" w:hAnsi="Arial" w:cs="Arial"/>
          <w:lang w:eastAsia="en-ID"/>
        </w:rPr>
        <w:t xml:space="preserve"> is the weight of the empty container.</w:t>
      </w:r>
    </w:p>
    <w:p w14:paraId="62ABED9A" w14:textId="77777777" w:rsidR="007E56A6" w:rsidRPr="009E58BE" w:rsidRDefault="007E56A6" w:rsidP="007E56A6">
      <w:pPr>
        <w:jc w:val="both"/>
        <w:rPr>
          <w:rFonts w:ascii="Arial" w:hAnsi="Arial" w:cs="Arial"/>
          <w:lang w:eastAsia="en-ID"/>
        </w:rPr>
      </w:pPr>
    </w:p>
    <w:p w14:paraId="78C70EA6" w14:textId="61C64B5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2.6 Lipid extraction</w:t>
      </w:r>
    </w:p>
    <w:p w14:paraId="0789F11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Total lipid content was determined at the end of the culture period. A 50 mL sample from each replicate was extracted using the Bligh and Dyer method (1959), employing hexane as the organic solvent. Lipid content was expressed as a percentage of dry biomass.</w:t>
      </w:r>
    </w:p>
    <w:p w14:paraId="51F3B449" w14:textId="77777777" w:rsidR="007E56A6" w:rsidRPr="009E58BE" w:rsidRDefault="007E56A6" w:rsidP="007E56A6">
      <w:pPr>
        <w:ind w:firstLine="567"/>
        <w:jc w:val="both"/>
        <w:rPr>
          <w:rFonts w:ascii="Arial" w:hAnsi="Arial" w:cs="Arial"/>
          <w:lang w:eastAsia="en-ID"/>
        </w:rPr>
      </w:pPr>
    </w:p>
    <w:p w14:paraId="0D582AB1" w14:textId="38DF6D40"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2.7 Chlorophyll-a analysis</w:t>
      </w:r>
    </w:p>
    <w:p w14:paraId="0A6A776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was quantified using a UV-Vis spectrophotometer at wavelengths of 664 nm and 647 nm, with 98% acetone as solvent. Readings were taken at the end of the culture period for all replicates, and concentrations were calculated using standard absorbance equations, as described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{"citationItems":[{"id":"ITEM-1","itemData":{"DOI":"10.35799/jm.6.2.2017.17758","abstract":"Tanaman aren merupakan salah satu tanaman penghasil gula bagi kehidupan manusia.  Tanaman ini merupakan tanaman penghasil gula tertinggi daripada tanaman tebu dan tanaman bit.  Kemampuan tanaman aren dalam memproduksi gula sangat berhubungan dengan kandungan klorofil pada bagian daun. Penelitian ini dilakukan untuk mengembangkan metode analisis klorofil pada daun dan menentukan posisi anak daun yang memiliki kandungan klorofil tertinggi. Analisis kandungan klorofil dilakukan dengan metode ektraksi pelarut yang absorbansinya dibaca pada spektrofotometer UV-Vis. Kandungan klorofil a yang terdapat pada daun aren bervariasi, yaitu berkisar  22 - 39 µg/mL ; 1,5 - 2,3 mg/g ; 633 - 1.000 µmol /m 2 sedangkan untuk klorofil b yang terdapat pada daun aren bervariasi sekitar 6 - 10 µg/mL ; 0,4 - 0,7mg/g ;170 - 293 µmol/m 2.Posisi anak daun pada daun memiliki kandunngan klorofil yang lebih tinggi pada bagian atas, sedangkan yang terendah pada bagian bawah. Pada posisi kiri pada daun aren,kandungan klorofilnya lebih tinggi dibandingkan pada posisi kanan,sedangkan posisi pangkal, tengah, dan ujung pada anak daun hampir sama kandungan klorofilnya.Sugar palm is one of the sugar-producing plants for human life. This plant can produce sugar higher than a sugar-producing plant with sugar cane and beet plant. The ability of sugar palm in producing sugar is related to chlorophyll content in the leaf. This research was conducted to develop the method of chlorophyll analysis in the leaf and determine the position of leaflet that have the highest chlorophyll content. Analysis of chlorophyll content was performed by solvent extraction method that absorbance was read on UV-Vis spectrophotometer. The content of chlorophyll present in palm leaves varies, ranging from 22 - 39 μg /mL; 1.5- 2.3 mg/g or 633- 1,000 μmol/m2 whereas for chlorophyll b present in sugar palm varies from about 6 - 10 μg/mL; 0.4 -0.7 mg/g or 170 - 293 μmol/m2. The leaflet position on the leaves has a higher chlorophyll content at the top, while the lowest is at the bottom. In the left position on the palm leaves, chlorophyll content is higher than the right position, while the position of base,middle,and end of the leaflet leaves almost the same content.","author":[{"dropping-particle":"","family":"Kakarla","given":"Ramesh","non-dropping-particle":"","parse-names":false,"suffix":""},{"dropping-particle":"","family":"Pontoh","given":"Julius","non-dropping-particle":"","parse-names":false,"suffix":""},{"dropping-particle":"","family":"Momuat","given":"Lidya Irma","non-dropping-particle":"","parse-names":false,"suffix":""}],"container-title":"Jurnal MIPA","id":"ITEM-1","issue":"2","issued":{"date-parts":[["2017"]]},"page":"49","title":"Analisis Kandungan Klorofil Pada Beberapa Posisi Anak Daun Aren (Arenga pinnata) dengan Spektrofotometer UV-Vis","type":"article-journal","volume":"6"},"uris":["http://www.mendeley.com/documents/?uuid=61caae99-236a-438d-88b2-84f19d0c1bbe","http://www.mendeley.com/documents/?uuid=3bb44158-a8a9-48a5-a948-fd3a8fd5c420"]}],"mendeley":{"formattedCitation":"(Kakarla et al., 2017)","manualFormatting":"Kamagi et al. (2017)","plainTextFormattedCitation":"(Kakarla et al., 2017)","previouslyFormattedCitation":"(Kakarla et al., 2017)"},"properties":{"noteIndex":0},"schema":"https://github.com/citation-style-language/schema/raw/master/csl-citation.json"}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Kamagi et al</w:t>
      </w:r>
      <w:r w:rsidRPr="009E58BE">
        <w:rPr>
          <w:rFonts w:ascii="Arial" w:eastAsia="Calibri" w:hAnsi="Arial" w:cs="Arial"/>
          <w:i/>
          <w:iCs/>
          <w:noProof/>
        </w:rPr>
        <w:t>.</w:t>
      </w:r>
      <w:r w:rsidRPr="009E58BE">
        <w:rPr>
          <w:rFonts w:ascii="Arial" w:eastAsia="Calibri" w:hAnsi="Arial" w:cs="Arial"/>
          <w:noProof/>
        </w:rPr>
        <w:t xml:space="preserve"> (2017)</w:t>
      </w:r>
      <w:r w:rsidRPr="009E58BE">
        <w:rPr>
          <w:rFonts w:ascii="Arial" w:eastAsia="Calibri" w:hAnsi="Arial" w:cs="Arial"/>
        </w:rPr>
        <w:fldChar w:fldCharType="end"/>
      </w:r>
      <w:r w:rsidRPr="009E58BE">
        <w:rPr>
          <w:rFonts w:ascii="Arial" w:hAnsi="Arial" w:cs="Arial"/>
          <w:lang w:eastAsia="en-ID"/>
        </w:rPr>
        <w:t>.</w:t>
      </w:r>
    </w:p>
    <w:p w14:paraId="31749A78" w14:textId="77777777" w:rsidR="007E56A6" w:rsidRPr="009E58BE" w:rsidRDefault="007E56A6" w:rsidP="007E56A6">
      <w:pPr>
        <w:ind w:firstLine="567"/>
        <w:jc w:val="both"/>
        <w:rPr>
          <w:rFonts w:ascii="Arial" w:hAnsi="Arial" w:cs="Arial"/>
          <w:lang w:eastAsia="en-ID"/>
        </w:rPr>
      </w:pPr>
    </w:p>
    <w:p w14:paraId="6156A976" w14:textId="7B04CAC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2.8 Water quality monitoring</w:t>
      </w:r>
    </w:p>
    <w:p w14:paraId="54AFF2B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Supporting environmental parameters, including temperature (°C), pH, salinity (ppt), dissolved oxygen (mg/L), and light intensity (lux), were monitored daily using a thermometer, pH meter, refractometer, DO meter, and a digital light meter application, respectively. All </w:t>
      </w:r>
      <w:r w:rsidRPr="009E58BE">
        <w:rPr>
          <w:rFonts w:ascii="Arial" w:hAnsi="Arial" w:cs="Arial"/>
          <w:lang w:eastAsia="en-ID"/>
        </w:rPr>
        <w:lastRenderedPageBreak/>
        <w:t>measured values were maintained within the optimal ranges suggested in the relevant literature.</w:t>
      </w:r>
    </w:p>
    <w:p w14:paraId="7CFFA1C2" w14:textId="77777777" w:rsidR="007E56A6" w:rsidRPr="009E58BE" w:rsidRDefault="007E56A6" w:rsidP="007E56A6">
      <w:pPr>
        <w:ind w:firstLine="567"/>
        <w:jc w:val="both"/>
        <w:rPr>
          <w:rFonts w:ascii="Arial" w:hAnsi="Arial" w:cs="Arial"/>
          <w:lang w:eastAsia="en-ID"/>
        </w:rPr>
      </w:pPr>
    </w:p>
    <w:p w14:paraId="75ED87A9" w14:textId="468E8337"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2.9 Statistical analysis</w:t>
      </w:r>
    </w:p>
    <w:p w14:paraId="347A45B9"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data were analyzed using SPSS version 16.0. One-way analysis of variance (ANOVA) was employed to assess treatment effects at a 95% confidence level (p &lt; 0.05). When significant differences were found, post hoc comparisons were conducted using Duncan’s multiple range test.</w:t>
      </w:r>
    </w:p>
    <w:p w14:paraId="51D19044" w14:textId="77777777" w:rsidR="007E56A6" w:rsidRPr="009E58BE" w:rsidRDefault="007E56A6" w:rsidP="007E56A6">
      <w:pPr>
        <w:jc w:val="both"/>
        <w:rPr>
          <w:rFonts w:ascii="Arial" w:hAnsi="Arial" w:cs="Arial"/>
          <w:lang w:eastAsia="en-ID"/>
        </w:rPr>
      </w:pPr>
    </w:p>
    <w:p w14:paraId="6F98542C" w14:textId="40326265" w:rsidR="007E56A6" w:rsidRPr="009E58BE" w:rsidRDefault="007E56A6" w:rsidP="007E56A6">
      <w:pPr>
        <w:jc w:val="both"/>
        <w:rPr>
          <w:rFonts w:ascii="Arial" w:hAnsi="Arial" w:cs="Arial"/>
          <w:b/>
          <w:bCs/>
          <w:lang w:eastAsia="en-ID"/>
        </w:rPr>
      </w:pPr>
      <w:r w:rsidRPr="009E58BE">
        <w:rPr>
          <w:rFonts w:ascii="Arial" w:hAnsi="Arial" w:cs="Arial"/>
          <w:b/>
          <w:bCs/>
          <w:lang w:eastAsia="en-ID"/>
        </w:rPr>
        <w:t>3. RESULTS AND DISCUSSION</w:t>
      </w:r>
    </w:p>
    <w:p w14:paraId="41E20329" w14:textId="55CF83A6" w:rsidR="007E56A6" w:rsidRPr="009E58BE" w:rsidRDefault="007E56A6" w:rsidP="007E56A6">
      <w:pPr>
        <w:jc w:val="both"/>
        <w:rPr>
          <w:rFonts w:ascii="Arial" w:hAnsi="Arial" w:cs="Arial"/>
          <w:b/>
          <w:bCs/>
          <w:lang w:eastAsia="en-ID"/>
        </w:rPr>
      </w:pPr>
      <w:r w:rsidRPr="009E58BE">
        <w:rPr>
          <w:rFonts w:ascii="Arial" w:hAnsi="Arial" w:cs="Arial"/>
          <w:b/>
          <w:bCs/>
          <w:lang w:eastAsia="en-ID"/>
        </w:rPr>
        <w:t xml:space="preserve">3.1 Growth Performance of </w:t>
      </w:r>
      <w:r w:rsidRPr="009E58BE">
        <w:rPr>
          <w:rFonts w:ascii="Arial" w:hAnsi="Arial" w:cs="Arial"/>
          <w:b/>
          <w:bCs/>
          <w:i/>
          <w:iCs/>
          <w:lang w:eastAsia="en-ID"/>
        </w:rPr>
        <w:t>Chlorella vulgaris</w:t>
      </w:r>
    </w:p>
    <w:p w14:paraId="16A01A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growth trajectory of </w:t>
      </w:r>
      <w:r w:rsidRPr="009E58BE">
        <w:rPr>
          <w:rFonts w:ascii="Arial" w:hAnsi="Arial" w:cs="Arial"/>
          <w:i/>
          <w:iCs/>
          <w:lang w:eastAsia="en-ID"/>
        </w:rPr>
        <w:t>Chlorella vulgaris</w:t>
      </w:r>
      <w:r w:rsidRPr="009E58BE">
        <w:rPr>
          <w:rFonts w:ascii="Arial" w:hAnsi="Arial" w:cs="Arial"/>
          <w:lang w:eastAsia="en-ID"/>
        </w:rPr>
        <w:t xml:space="preserve"> displayed clear distinctions across the four salinity treatments over the 7-day cultivation period (Fig. 1). The lowest final cell density was observed in treatment A (25 ppt), reaching only 50.5 × 10⁶ cells/mL, while the highest density was recorded in treatment D (34 ppt) at 110.5 × 10⁶ cells/mL, indicating a more than twofold difference. Notably, treatment D showed a decrease in cell density by day 7 (down to 90.6 × 10</w:t>
      </w:r>
      <w:r w:rsidRPr="009E58BE">
        <w:rPr>
          <w:rFonts w:ascii="Arial" w:hAnsi="Arial" w:cs="Arial"/>
          <w:vertAlign w:val="superscript"/>
          <w:lang w:eastAsia="en-ID"/>
        </w:rPr>
        <w:t>6</w:t>
      </w:r>
      <w:r w:rsidRPr="009E58BE">
        <w:rPr>
          <w:rFonts w:ascii="Arial" w:hAnsi="Arial" w:cs="Arial"/>
          <w:lang w:eastAsia="en-ID"/>
        </w:rPr>
        <w:t xml:space="preserve"> cells/mL), whereas treatments A to C continued to show increasing trends.</w:t>
      </w:r>
    </w:p>
    <w:p w14:paraId="1720D6F4" w14:textId="77777777" w:rsidR="007E56A6" w:rsidRPr="009E58BE" w:rsidRDefault="007E56A6" w:rsidP="007E56A6">
      <w:pPr>
        <w:ind w:firstLine="567"/>
        <w:jc w:val="both"/>
        <w:rPr>
          <w:rFonts w:ascii="Arial" w:hAnsi="Arial" w:cs="Arial"/>
          <w:lang w:eastAsia="en-ID"/>
        </w:rPr>
      </w:pPr>
    </w:p>
    <w:p w14:paraId="61E30EB4"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F872C53" wp14:editId="5265738C">
            <wp:extent cx="4355253" cy="2550795"/>
            <wp:effectExtent l="0" t="0" r="0" b="0"/>
            <wp:docPr id="1928540141" name="Chart 1">
              <a:extLst xmlns:a="http://schemas.openxmlformats.org/drawingml/2006/main">
                <a:ext uri="{FF2B5EF4-FFF2-40B4-BE49-F238E27FC236}">
                  <a16:creationId xmlns:a16="http://schemas.microsoft.com/office/drawing/2014/main" id="{956776EF-9123-2685-EEF4-6467E4CD8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B7F4D8" w14:textId="18817C05" w:rsidR="007E56A6" w:rsidRPr="009E58BE" w:rsidRDefault="007E56A6" w:rsidP="007E56A6">
      <w:pPr>
        <w:jc w:val="center"/>
        <w:rPr>
          <w:rFonts w:ascii="Arial" w:hAnsi="Arial" w:cs="Arial"/>
          <w:i/>
          <w:iCs/>
          <w:lang w:val="en-GB" w:eastAsia="en-GB"/>
        </w:rPr>
      </w:pPr>
      <w:r w:rsidRPr="009E58BE">
        <w:rPr>
          <w:rFonts w:ascii="Arial" w:hAnsi="Arial" w:cs="Arial"/>
          <w:lang w:val="en-GB" w:eastAsia="en-GB"/>
        </w:rPr>
        <w:t>Fig 1. Growth</w:t>
      </w:r>
      <w:r w:rsidR="008A5663">
        <w:rPr>
          <w:rFonts w:ascii="Arial" w:hAnsi="Arial" w:cs="Arial"/>
          <w:lang w:val="en-GB" w:eastAsia="en-GB"/>
        </w:rPr>
        <w:t xml:space="preserve"> </w:t>
      </w:r>
      <w:r w:rsidR="008A5663" w:rsidRPr="008A5663">
        <w:rPr>
          <w:rFonts w:ascii="Arial" w:hAnsi="Arial" w:cs="Arial"/>
          <w:lang w:eastAsia="en-ID"/>
        </w:rPr>
        <w:t>Performance</w:t>
      </w:r>
      <w:r w:rsidRPr="009E58BE">
        <w:rPr>
          <w:rFonts w:ascii="Arial" w:hAnsi="Arial" w:cs="Arial"/>
          <w:lang w:val="en-GB" w:eastAsia="en-GB"/>
        </w:rPr>
        <w:t xml:space="preserve"> of </w:t>
      </w:r>
      <w:r w:rsidRPr="009E58BE">
        <w:rPr>
          <w:rFonts w:ascii="Arial" w:hAnsi="Arial" w:cs="Arial"/>
          <w:i/>
          <w:iCs/>
          <w:lang w:val="en-GB" w:eastAsia="en-GB"/>
        </w:rPr>
        <w:t>Chlorella vulgaris</w:t>
      </w:r>
    </w:p>
    <w:p w14:paraId="5238DA0F" w14:textId="77777777" w:rsidR="007E56A6" w:rsidRPr="009E58BE" w:rsidRDefault="007E56A6" w:rsidP="007E56A6">
      <w:pPr>
        <w:rPr>
          <w:rFonts w:ascii="Arial" w:hAnsi="Arial" w:cs="Arial"/>
          <w:lang w:eastAsia="en-ID"/>
        </w:rPr>
      </w:pPr>
    </w:p>
    <w:p w14:paraId="6A12584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underline the significant influence of salinity on algal growth dynamics. Salinity alters osmotic gradients, which in turn affect nut </w:t>
      </w:r>
      <w:proofErr w:type="spellStart"/>
      <w:r w:rsidRPr="009E58BE">
        <w:rPr>
          <w:rFonts w:ascii="Arial" w:hAnsi="Arial" w:cs="Arial"/>
          <w:lang w:eastAsia="en-ID"/>
        </w:rPr>
        <w:t>rient</w:t>
      </w:r>
      <w:proofErr w:type="spellEnd"/>
      <w:r w:rsidRPr="009E58BE">
        <w:rPr>
          <w:rFonts w:ascii="Arial" w:hAnsi="Arial" w:cs="Arial"/>
          <w:lang w:eastAsia="en-ID"/>
        </w:rPr>
        <w:t xml:space="preserve"> uptake, ion transport, and overall metabolic activity in microalgal cells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{"citationItems":[{"id":"ITEM-1","itemData":{"DOI":"10.1016/j.algal.2020.101990","ISSN":"22119264","author":[{"dropping-particle":"","family":"Polle","given":"Jürgen E.W.","non-dropping-particle":"","parse-names":false,"suffix":""},{"dropping-particle":"","family":"Calhoun","given":"Sara","non-dropping-particle":"","parse-names":false,"suffix":""},{"dropping-particle":"","family":"McKie-Krisberg","given":"Zaid","non-dropping-particle":"","parse-names":false,"suffix":""},{"dropping-particle":"","family":"Prochnik","given":"Simon","non-dropping-particle":"","parse-names":false,"suffix":""},{"dropping-particle":"","family":"Neofotis","given":"Peter","non-dropping-particle":"","parse-names":false,"suffix":""},{"dropping-particle":"","family":"Yim","given":"Won C.","non-dropping-particle":"","parse-names":false,"suffix":""},{"dropping-particle":"","family":"Hathwaik","given":"Leyla T.","non-dropping-particle":"","parse-names":false,"suffix":""},{"dropping-particle":"","family":"Jenkins","given":"Jerry","non-dropping-particle":"","parse-names":false,"suffix":""},{"dropping-particle":"","family":"Molina","given":"Henrik","non-dropping-particle":"","parse-names":false,"suffix":""},{"dropping-particle":"","family":"Bunkenborg","given":"Jakob","non-dropping-particle":"","parse-names":false,"suffix":""},{"dropping-particle":"V.","family":"Grigoriev","given":"Igor","non-dropping-particle":"","parse-names":false,"suffix":""},{"dropping-particle":"","family":"Barry","given":"Kerrie","non-dropping-particle":"","parse-names":false,"suffix":""},{"dropping-particle":"","family":"Schmutz","given":"Jeremy","non-dropping-particle":"","parse-names":false,"suffix":""},{"dropping-particle":"","family":"Jin","given":"EonSeon","non-dropping-particle":"","parse-names":false,"suffix":""},{"dropping-particle":"","family":"Cushman","given":"John C.","non-dropping-particle":"","parse-names":false,"suffix":""},{"dropping-particle":"","family":"Magnusson","given":"Jon K.","non-dropping-particle":"","parse-names":false,"suffix":""}],"container-title":"Algal Research","id":"ITEM-1","issued":{"date-parts":[["2020","9"]]},"page":"101990","title":"Genomic adaptations of the green alga Dunaliella salina to life under high salinity","type":"article-journal","volume":"50"},"uris":["http://www.mendeley.com/documents/?uuid=a750709c-2a24-4c38-b91e-da1bd09928ea","http://www.mendeley.com/documents/?uuid=759569e6-bfe3-4dec-85b7-02c6d48c4c23"]},{"id":"ITEM-2","itemData":{"DOI":"10.1016/j.jwpe.2021.102382","ISSN":"22147144","author":[{"dropping-particle":"","family":"Zafar","given":"Abdul Mannan","non-dropping-particle":"","parse-names":false,"suffix":""},{"dropping-particle":"","family":"Javed","given":"Muhammad Asad","non-dropping-particle":"","parse-names":false,"suffix":""},{"dropping-particle":"","family":"Aly Hassan","given":"Ashraf","non-dropping-particle":"","parse-names":false,"suffix":""},{"dropping-particle":"","family":"Mehmood","given":"Khalid","non-dropping-particle":"","parse-names":false,"suffix":""},{"dropping-particle":"","family":"Sahle-Demessie","given":"Endalkachew","non-dropping-particle":"","parse-names":false,"suffix":""}],"container-title":"Journal of Water Process Engineering","id":"ITEM-2","issued":{"date-parts":[["2021","12"]]},"page":"102382","title":"Recent updates on ions and nutrients uptake by halotolerant freshwater and marine microalgae in conditions of high salinity","type":"article-journal","volume":"44"},"uris":["http://www.mendeley.com/documents/?uuid=54fef61e-2758-4d66-a366-2b0feb1b9009","http://www.mendeley.com/documents/?uuid=c364d83d-5d3f-4230-9ba0-02bd152a6ed6"]}],"mendeley":{"formattedCitation":"(Polle et al., 2020; Zafar et al., 2021)","plainTextFormattedCitation":"(Polle et al., 2020; Zafar et al., 2021)","previouslyFormattedCitation":"(Polle et al., 2020; Zafar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(Polle et al., 2020; Zafar et al., 2021)</w:t>
      </w:r>
      <w:r w:rsidRPr="009E58BE">
        <w:rPr>
          <w:rFonts w:ascii="Arial" w:hAnsi="Arial" w:cs="Arial"/>
          <w:lang w:eastAsia="en-ID"/>
        </w:rPr>
        <w:fldChar w:fldCharType="end"/>
      </w:r>
      <w:r w:rsidRPr="009E58BE">
        <w:rPr>
          <w:rFonts w:ascii="Arial" w:hAnsi="Arial" w:cs="Arial"/>
          <w:lang w:eastAsia="en-ID"/>
        </w:rPr>
        <w:t xml:space="preserve">. The sharp increase in cell density in treatments C and D suggests that </w:t>
      </w:r>
      <w:r w:rsidRPr="009E58BE">
        <w:rPr>
          <w:rFonts w:ascii="Arial" w:hAnsi="Arial" w:cs="Arial"/>
          <w:i/>
          <w:iCs/>
          <w:lang w:eastAsia="en-ID"/>
        </w:rPr>
        <w:t>C. vulgaris</w:t>
      </w:r>
      <w:r w:rsidRPr="009E58BE">
        <w:rPr>
          <w:rFonts w:ascii="Arial" w:hAnsi="Arial" w:cs="Arial"/>
          <w:lang w:eastAsia="en-ID"/>
        </w:rPr>
        <w:t xml:space="preserve"> exhibits a degree of halotolerance and can exploit moderate osmotic stress to accelerate cellular division during the exponential phase.</w:t>
      </w:r>
    </w:p>
    <w:p w14:paraId="5CD0712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 agreement with previous findings by </w:t>
      </w:r>
      <w:r w:rsidRPr="009E58BE">
        <w:rPr>
          <w:rFonts w:ascii="Arial" w:hAnsi="Arial" w:cs="Arial"/>
          <w:noProof/>
          <w:lang w:eastAsia="en-ID"/>
        </w:rPr>
        <w:t>Dong et al.</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{"citationItems":[{"id":"ITEM-1","itemData":{"DOI":"10.1029/2022JG006800","ISSN":"2169-8953","abstract":"Soil salinity affects the microbial carbon use efficiency (CUE) that in turn regulates soil</w:instrText>
      </w:r>
      <w:r w:rsidRPr="009E58BE">
        <w:rPr>
          <w:rFonts w:ascii="Cambria Math" w:hAnsi="Cambria Math" w:cs="Cambria Math"/>
          <w:lang w:eastAsia="en-ID"/>
        </w:rPr>
        <w:instrText>‐</w:instrText>
      </w:r>
      <w:r w:rsidRPr="009E58BE">
        <w:rPr>
          <w:rFonts w:ascii="Arial" w:hAnsi="Arial" w:cs="Arial"/>
          <w:lang w:eastAsia="en-ID"/>
        </w:rPr>
        <w:instrText>atmosphere gas exchange and soil C sequestration. So far, little is known about CUE in salt</w:instrText>
      </w:r>
      <w:r w:rsidRPr="009E58BE">
        <w:rPr>
          <w:rFonts w:ascii="Cambria Math" w:hAnsi="Cambria Math" w:cs="Cambria Math"/>
          <w:lang w:eastAsia="en-ID"/>
        </w:rPr>
        <w:instrText>‐</w:instrText>
      </w:r>
      <w:r w:rsidRPr="009E58BE">
        <w:rPr>
          <w:rFonts w:ascii="Arial" w:hAnsi="Arial" w:cs="Arial"/>
          <w:lang w:eastAsia="en-ID"/>
        </w:rPr>
        <w:instrText>affected soils. Hereby, CUE across coastal soils with electric conductivity (EC) ranging from 0.14 dS m −1 to 13.65 dS m −1 was investigated using stoichiometric modeling. Contrary to the belief that CUE decreases with salinity increase, this present study showed that CUE follows a unimodal pattern along the saline gradient with the highest CUE observed at EC = 2 dS m −1 . When EC &gt; 2 dS m −1 , both CUE and soil microbial growth rate significantly decrease with salinity indicating that microorganisms sacrifice growth for survival/adaptation to high salt stress. When EC &lt; 2 dS m −1 , CUE shows a significant positive correlation with EC, but microbial community growth rates remain stable. We also observed that microbial growth becomes limited by carbon scarcity and that the degree of carbon constraint is significantly aggravated with EC. This implies that elevating CUE can be the preferred mechanism for microorganisms to stabilize elemental stoichiometry and maintain growth rate. Our results revealed that along the saline gradient, the dominant factor of CUE shifted from the ecological stoichiometry to salinity, which provides an insight into the microbial</w:instrText>
      </w:r>
      <w:r w:rsidRPr="009E58BE">
        <w:rPr>
          <w:rFonts w:ascii="Cambria Math" w:hAnsi="Cambria Math" w:cs="Cambria Math"/>
          <w:lang w:eastAsia="en-ID"/>
        </w:rPr>
        <w:instrText>‐</w:instrText>
      </w:r>
      <w:r w:rsidRPr="009E58BE">
        <w:rPr>
          <w:rFonts w:ascii="Arial" w:hAnsi="Arial" w:cs="Arial"/>
          <w:lang w:eastAsia="en-ID"/>
        </w:rPr>
        <w:instrText>driven carbon cycling in salt</w:instrText>
      </w:r>
      <w:r w:rsidRPr="009E58BE">
        <w:rPr>
          <w:rFonts w:ascii="Cambria Math" w:hAnsi="Cambria Math" w:cs="Cambria Math"/>
          <w:lang w:eastAsia="en-ID"/>
        </w:rPr>
        <w:instrText>‐</w:instrText>
      </w:r>
      <w:r w:rsidRPr="009E58BE">
        <w:rPr>
          <w:rFonts w:ascii="Arial" w:hAnsi="Arial" w:cs="Arial"/>
          <w:lang w:eastAsia="en-ID"/>
        </w:rPr>
        <w:instrText>affected soils.","author":[{"dropping-particle":"","family":"Dong","given":"Y.","non-dropping-particle":"","parse-names":false,"suffix":""},{"dropping-particle":"","family":"Chen","given":"R. R.","non-dropping-particle":"","parse-names":false,"suffix":""},{"dropping-particle":"","family":"Petropoulos","given":"E.","non-dropping-particle":"","parse-names":false,"suffix":""},{"dropping-particle":"","family":"Yao","given":"T. Y.","non-dropping-particle":"","parse-names":false,"suffix":""},{"dropping-particle":"","family":"Yu","given":"B. Q.","non-dropping-particle":"","parse-names":false,"suffix":""},{"dropping-particle":"","family":"Lin","given":"X. G.","non-dropping-particle":"","parse-names":false,"suffix":""},{"dropping-particle":"","family":"Feng","given":"Y. Z.","non-dropping-particle":"","parse-names":false,"suffix":""}],"container-title":"Journal of Geophysical Research: Biogeosciences","id":"ITEM-1","issue":"8","issued":{"date-parts":[["2022","8"]]},"title":"Microbial Carbon Use Efficiency in Coastal Soils Along a Salinity Gradient Revealed by Ecoenzymatic Stoichiometry","type":"article-journal","volume":"127"},"suppress-author":1,"uris":["http://www.mendeley.com/documents/?uuid=47628c9c-550c-45da-8c0a-e2de7e6d84d9","http://www.mendeley.com/documents/?uuid=8e85e73a-46e2-4a4b-9313-ffc900eb4bb4"]}],"mendeley":{"formattedCitation":"(2022)","plainTextFormattedCitation":"(2022)","previouslyFormattedCitation":"(2022)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(2022)</w:t>
      </w:r>
      <w:r w:rsidRPr="009E58BE">
        <w:rPr>
          <w:rFonts w:ascii="Arial" w:hAnsi="Arial" w:cs="Arial"/>
          <w:lang w:eastAsia="en-ID"/>
        </w:rPr>
        <w:fldChar w:fldCharType="end"/>
      </w:r>
      <w:r w:rsidRPr="009E58BE">
        <w:rPr>
          <w:rFonts w:ascii="Arial" w:hAnsi="Arial" w:cs="Arial"/>
          <w:lang w:eastAsia="en-ID"/>
        </w:rPr>
        <w:t xml:space="preserve">, moderate salinity may enhance carbon fixation and resource allocation to cell division, likely due to the improved proton motive force resulting from salinity-induced stress. However, the slight decline in cell numbers on day 7 in treatment D suggests a transition to the stationary or even decline phase, possibly due to nutrient depletion or self-shading effects at high cell densities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{"citationItems":[{"id":"ITEM-1","itemData":{"DOI":"10.1152/ajpcell.00403.2021","ISSN":"0363-6143","abstract":"Mammalian cell culture is a fundamental tool used to study living cells. Presently, the standard protocol for performing cell culture involves the use of commercial media that contain an excess of nutrients. Although this reduces the likelihood of cell starvation, it creates nonphysiologic culture conditions that have been shown to “re-wire” cellular metabolism. Recently, researchers have developed new media like Plasmax, formulated to approximate the nutrient composition of human blood plasma. Although this represents an improvement in cell culture practice, physiologic media may be vulnerable to nutrient depletion. In this study, we directly addressed this concern by measuring the rates of glucose and amino acid depletion from Plasmax in several cancer cell lines (PC-3, LNCaP, MCF-7, and SH-SY5Y) over 48 h. In all cell lines, depletion of glucose from Plasmax was rapid such that, by 48 h, cells were hypoglycemic (&lt;2 mM glucose). Most amino acids were similarly rapidly depleted to subphysiological levels by 48 h. In contrast, glucose and most amino acids remained within the physiological range at 24 h. When the experiment was done at physiological oxygen (5%) versus standard (18%) with LNCaP cells, no effect on glucose or amino acid consumption was observed. Using RNA sequencing, we show that this nutrient depletion is associated with enrichment of starvation responses, apoptotic signaling, and endoplasmic reticulum stress. A shift from glycolytic metabolism to mitochondrial respiration at 5% O 2 was also measured using Seahorse analysis. Taken together, these results exemplify the metabolic considerations for Plasmax, highlighting that cell culture in Plasmax requires daily media exchange.","author":[{"dropping-particle":"","family":"Gardner","given":"Georgina L.","non-dropping-particle":"","parse-names":false,"suffix":""},{"dropping-particle":"","family":"Moradi","given":"Fereshteh","non-dropping-particle":"","parse-names":false,"suffix":""},{"dropping-particle":"","family":"Moffatt","given":"Chris","non-dropping-particle":"","parse-names":false,"suffix":""},{"dropping-particle":"","family":"Cliche","given":"Meagan","non-dropping-particle":"","parse-names":false,"suffix":""},{"dropping-particle":"","family":"Garlisi","given":"Bianca","non-dropping-particle":"","parse-names":false,"suffix":""},{"dropping-particle":"","family":"Gratton","given":"John","non-dropping-particle":"","parse-names":false,"suffix":""},{"dropping-particle":"","family":"Mehmood","given":"Fatima","non-dropping-particle":"","parse-names":false,"suffix":""},{"dropping-particle":"","family":"Stuart","given":"Jeffrey A.","non-dropping-particle":"","parse-names":false,"suffix":""}],"container-title":"American Journal of Physiology-Cell Physiology","id":"ITEM-1","issue":"3","issued":{"date-parts":[["2022","9"]]},"page":"C823-C834","title":"Rapid nutrient depletion to below the physiological range by cancer cells cultured in Plasmax","type":"article-journal","volume":"323"},"uris":["http://www.mendeley.com/documents/?uuid=3bfda517-0995-4240-9b19-602bdc305934","http://www.mendeley.com/documents/?uuid=ff4286f7-bae0-4d21-9837-d56481d12616"]},{"id":"ITEM-2","itemData":{"DOI":"10.1128/spectrum.02568-22","ISSN":"2165-0497","abstract":"In natural environments, nutrients are usually scarce, causing microorganisms to grow slowly while staying metabolically active. In this study we used retentostat cultivation to investigate how the probiotic Bifidobacterium breve adapts its physiology and proteome under severe nutrient limitation resulting in near-zero growth rates (&lt;0.001 h −1 ).","author":[{"dropping-particle":"","family":"Ortiz Camargo","given":"Angela Rocio","non-dropping-particle":"","parse-names":false,"suffix":""},{"dropping-particle":"","family":"Mastrigt","given":"Oscar","non-dropping-particle":"van","parse-names":false,"suffix":""},{"dropping-particle":"","family":"Bongers","given":"Roger S.","non-dropping-particle":"","parse-names":false,"suffix":""},{"dropping-particle":"","family":"Ben-Amor","given":"Kaouther","non-dropping-particle":"","parse-names":false,"suffix":""},{"dropping-particle":"","family":"Knol","given":"Jan","non-dropping-particle":"","parse-names":false,"suffix":""},{"dropping-particle":"","family":"Abee","given":"Tjakko","non-dropping-particle":"","parse-names":false,"suffix":""},{"dropping-particle":"","family":"Smid","given":"Eddy J.","non-dropping-particle":"","parse-names":false,"suffix":""}],"container-title":"Microbiology Spectrum","editor":[{"dropping-particle":"","family":"Rantsiou","given":"Kalliopi","non-dropping-particle":"","parse-names":false,"suffix":""}],"id":"ITEM-2","issue":"3","issued":{"date-parts":[["2023","6"]]},"title":"Quantitative Physiology and Proteome Adaptations of Bifidobacterium breve NRBB57 at Near-Zero Growth Rates","type":"article-journal","volume":"11"},"uris":["http://www.mendeley.com/documents/?uuid=e11fd727-c921-4f7d-9d60-f197e9e9bb7f","http://www.mendeley.com/documents/?uuid=efd8e0ea-43b1-47ea-b56a-2a73f8298183"]}],"mendeley":{"formattedCitation":"(Gardner et al., 2022; Ortiz Camargo et al., 2023)","plainTextFormattedCitation":"(Gardner et al., 2022; Ortiz Camargo et al., 2023)","previouslyFormattedCitation":"(Gardner et al., 2022; Ortiz Camargo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(Gardner et al., 2022; Ortiz Camargo et al., 2023)</w:t>
      </w:r>
      <w:r w:rsidRPr="009E58BE">
        <w:rPr>
          <w:rFonts w:ascii="Arial" w:hAnsi="Arial" w:cs="Arial"/>
          <w:lang w:eastAsia="en-ID"/>
        </w:rPr>
        <w:fldChar w:fldCharType="end"/>
      </w:r>
      <w:r w:rsidRPr="009E58BE">
        <w:rPr>
          <w:rFonts w:ascii="Arial" w:hAnsi="Arial" w:cs="Arial"/>
          <w:lang w:eastAsia="en-ID"/>
        </w:rPr>
        <w:t>. This observation is consistent with the r/K-selection theory in algae, where fast-growing populations tend to exhaust environmental resources more rapidly.</w:t>
      </w:r>
    </w:p>
    <w:p w14:paraId="4392DB0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Overall, the results reinforce the hypothesis that salinity within the range of 31–34 ppt can stimulate faster growth rates in </w:t>
      </w:r>
      <w:r w:rsidRPr="009E58BE">
        <w:rPr>
          <w:rFonts w:ascii="Arial" w:hAnsi="Arial" w:cs="Arial"/>
          <w:i/>
          <w:iCs/>
          <w:lang w:eastAsia="en-ID"/>
        </w:rPr>
        <w:t>C. vulgaris</w:t>
      </w:r>
      <w:r w:rsidRPr="009E58BE">
        <w:rPr>
          <w:rFonts w:ascii="Arial" w:hAnsi="Arial" w:cs="Arial"/>
          <w:lang w:eastAsia="en-ID"/>
        </w:rPr>
        <w:t xml:space="preserve">, albeit with a shorter culture lifespan. Future </w:t>
      </w:r>
      <w:r w:rsidRPr="009E58BE">
        <w:rPr>
          <w:rFonts w:ascii="Arial" w:hAnsi="Arial" w:cs="Arial"/>
          <w:lang w:eastAsia="en-ID"/>
        </w:rPr>
        <w:lastRenderedPageBreak/>
        <w:t>studies may need to evaluate the timing of harvest as a critical factor in balancing productivity and cultural sustainability.</w:t>
      </w:r>
    </w:p>
    <w:p w14:paraId="73EAB71F" w14:textId="77777777" w:rsidR="007E56A6" w:rsidRPr="009E58BE" w:rsidRDefault="007E56A6" w:rsidP="007E56A6">
      <w:pPr>
        <w:jc w:val="both"/>
        <w:rPr>
          <w:rFonts w:ascii="Arial" w:hAnsi="Arial" w:cs="Arial"/>
          <w:lang w:eastAsia="en-ID"/>
        </w:rPr>
      </w:pPr>
    </w:p>
    <w:p w14:paraId="0E8016F4" w14:textId="47971DFD" w:rsidR="007E56A6" w:rsidRPr="009E58BE" w:rsidRDefault="007E56A6" w:rsidP="007E56A6">
      <w:pPr>
        <w:jc w:val="both"/>
        <w:rPr>
          <w:rFonts w:ascii="Arial" w:hAnsi="Arial" w:cs="Arial"/>
          <w:b/>
          <w:bCs/>
          <w:lang w:eastAsia="en-ID"/>
        </w:rPr>
      </w:pPr>
      <w:r w:rsidRPr="009E58BE">
        <w:rPr>
          <w:rFonts w:ascii="Arial" w:hAnsi="Arial" w:cs="Arial"/>
          <w:b/>
          <w:bCs/>
          <w:lang w:eastAsia="en-ID"/>
        </w:rPr>
        <w:t>3.2 Biomass Productivity</w:t>
      </w:r>
    </w:p>
    <w:p w14:paraId="62FD3753" w14:textId="77777777" w:rsidR="007E56A6" w:rsidRPr="009E58BE" w:rsidRDefault="007E56A6" w:rsidP="007E56A6">
      <w:pPr>
        <w:ind w:firstLine="567"/>
        <w:jc w:val="both"/>
        <w:rPr>
          <w:rFonts w:ascii="Arial" w:hAnsi="Arial" w:cs="Arial"/>
          <w:noProof/>
        </w:rPr>
      </w:pPr>
      <w:r w:rsidRPr="009E58BE">
        <w:rPr>
          <w:rFonts w:ascii="Arial" w:hAnsi="Arial" w:cs="Arial"/>
          <w:lang w:eastAsia="en-ID"/>
        </w:rPr>
        <w:t>The trend in biomass dry weight mirrored the growth data, with treatment D (34 ppt) yielding the highest average biomass (10.25 g), followed by treatments C (9.45 g), B (7.53 g), and A (6.26 g). Statistical analysis using ANOVA confirmed the significance of these differences (p &lt; 0.05), and Duncan’s post hoc test further validated treatment D as the most productive condition (Fig. 2).</w:t>
      </w:r>
      <w:r w:rsidRPr="009E58BE">
        <w:rPr>
          <w:rFonts w:ascii="Arial" w:hAnsi="Arial" w:cs="Arial"/>
          <w:noProof/>
        </w:rPr>
        <w:t xml:space="preserve"> </w:t>
      </w:r>
    </w:p>
    <w:p w14:paraId="27405D32" w14:textId="77777777" w:rsidR="007E56A6" w:rsidRPr="009E58BE" w:rsidRDefault="007E56A6" w:rsidP="007E56A6">
      <w:pPr>
        <w:ind w:firstLine="567"/>
        <w:jc w:val="both"/>
        <w:rPr>
          <w:rFonts w:ascii="Arial" w:hAnsi="Arial" w:cs="Arial"/>
          <w:noProof/>
        </w:rPr>
      </w:pPr>
    </w:p>
    <w:p w14:paraId="6B440C2C"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0DF409A" wp14:editId="6BBF85E4">
            <wp:extent cx="4352544" cy="2551176"/>
            <wp:effectExtent l="0" t="0" r="0" b="0"/>
            <wp:docPr id="1370488473" name="Chart 1">
              <a:extLst xmlns:a="http://schemas.openxmlformats.org/drawingml/2006/main">
                <a:ext uri="{FF2B5EF4-FFF2-40B4-BE49-F238E27FC236}">
                  <a16:creationId xmlns:a16="http://schemas.microsoft.com/office/drawing/2014/main" id="{EE9A1083-F2F4-D533-69B1-38896C337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93D8FD" w14:textId="77777777" w:rsidR="007E56A6" w:rsidRPr="009E58BE" w:rsidRDefault="007E56A6" w:rsidP="007E56A6">
      <w:pPr>
        <w:jc w:val="center"/>
        <w:rPr>
          <w:rFonts w:ascii="Arial" w:hAnsi="Arial" w:cs="Arial"/>
        </w:rPr>
      </w:pPr>
      <w:r w:rsidRPr="009E58BE">
        <w:rPr>
          <w:rFonts w:ascii="Arial" w:hAnsi="Arial" w:cs="Arial"/>
          <w:noProof/>
        </w:rPr>
        <w:t xml:space="preserve">  </w:t>
      </w:r>
    </w:p>
    <w:p w14:paraId="3EF8360E"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Fig 2. Biomass productivity</w:t>
      </w:r>
    </w:p>
    <w:p w14:paraId="533E9040" w14:textId="77777777" w:rsidR="007E56A6" w:rsidRPr="009E58BE" w:rsidRDefault="007E56A6" w:rsidP="007E56A6">
      <w:pPr>
        <w:jc w:val="both"/>
        <w:rPr>
          <w:rFonts w:ascii="Arial" w:hAnsi="Arial" w:cs="Arial"/>
          <w:lang w:eastAsia="en-ID"/>
        </w:rPr>
      </w:pPr>
    </w:p>
    <w:p w14:paraId="2230C6F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strong correlation between cell density and biomass confirms the reliability of biomass as a downstream indicator of primary productivity in microalgal cultures. Biomass accumulation is a function of both cell number and intracellular mass, which are influenced by salinity through its regulation of cell turgor, vacuolar expansion, and carbon partitioning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{"citationItems":[{"id":"ITEM-1","itemData":{"DOI":"10.3390/md21060331","ISSN":"1660-3397","abstract":"Microalgal biomass is characterized by high protein, carbohydrates, and lipids concentrations. However, their qualitative and quantitative compositions depend not only on the cultivated species but also on the cultivation conditions. Focusing on the microalgae’s ability to accumulate significant fatty acids (FAs) amounts, they can be valorized either as dietary supplements or for biofuel production, depending on the accumulated biomolecules. In this study, a local isolate (Nephroselmis sp.) was precultured under autotrophic conditions, while the Box–Behnken experimental design followed using the parameters of nitrogen (0–250 mg/L), salinity (30–70 ppt) and illuminance (40–260 μmol m−2 s−1) to evaluate the accumulated biomolecules, with an emphasis on the amount of FAs and its profile. Regardless of the cultivation conditions, the FAs of C14:0, C16:0, and C18:0 were found in all samples (up to 8% w/w in total), while the unsaturated C16:1 and C18:1 were also characterized by their high accumulations. Additionally, the polyunsaturated FAs, including the valuable C20:5n3 (EPA), had accumulated when the nitrogen concentration was sufficient, and the salinity levels remained low (30 ppt). Specifically, EPA approached 30% of the total FAs. Therefore, Nephroselmis sp. could be considered as an alternative EPA source compared to the already-known species used in food supplementation.","author":[{"dropping-particle":"","family":"Mastropetros","given":"Savvas Giannis","non-dropping-particle":"","parse-names":false,"suffix":""},{"dropping-particle":"","family":"Tsigkou","given":"Konstantina","non-dropping-particle":"","parse-names":false,"suffix":""},{"dropping-particle":"","family":"Cladas","given":"Yannis","non-dropping-particle":"","parse-names":false,"suffix":""},{"dropping-particle":"","family":"Priya","given":"Arun Kumar","non-dropping-particle":"","parse-names":false,"suffix":""},{"dropping-particle":"","family":"Kornaros","given":"Michael","non-dropping-particle":"","parse-names":false,"suffix":""}],"container-title":"Marine Drugs","id":"ITEM-1","issue":"6","issued":{"date-parts":[["2023","5"]]},"page":"331","title":"Effect of Nitrogen, Salinity, and Light Intensity on the Biomass Composition of Nephroselmis sp.: Optimization of Lipids Accumulation (Including EPA)","type":"article-journal","volume":"21"},"uris":["http://www.mendeley.com/documents/?uuid=493e877d-624e-4679-92ce-864503de6860","http://www.mendeley.com/documents/?uuid=d1eec0ea-d232-46da-9afa-0343c219760d"]},{"id":"ITEM-2","itemData":{"DOI":"10.3390/cells11152455","ISSN":"2073-4409","abstract":"Estimating algal biomass is a prerequisite for monitoring growth of microalgae. Especially for large-scale production sites, the measurements must be robust, reliable, fast and easy to obtain. We compare the relevant parameters, discuss potential hurdles and provide recommendations to tackle these issues. The focus is on optical density and in vivo autofluorescence of chlorophyll, which have proven to be ideal candidates for monitoring purposes. Beyond biomass, cell vitality is also crucial for maintaining cultures. While maximizing biomass yield is often the primary consideration, some applications require adverse growth conditions for the synthesis of high-quality compounds. The non-invasive technique of pulse-amplified modulated (PAM) fluorescence measurements provides an ideal tool and is increasingly being employed due to ever more affordable devices. We compared three devices and studied the robustness of the dark fluorescence yield of photosystem II (Fv/Fm) at various cell densities. Although the so-called inner filter effects influence the fluorescence signal, the resulting Fv/Fm remain stable and robust over a wide range of cell densities due to mutual effects.","author":[{"dropping-particle":"","family":"Schagerl","given":"Michael","non-dropping-particle":"","parse-names":false,"suffix":""},{"dropping-particle":"","family":"Siedler","given":"Rainer","non-dropping-particle":"","parse-names":false,"suffix":""},{"dropping-particle":"","family":"Konopáčová","given":"Eliška","non-dropping-particle":"","parse-names":false,"suffix":""},{"dropping-particle":"","family":"Ali","given":"Sameh Samir","non-dropping-particle":"","parse-names":false,"suffix":""}],"container-title":"Cells","id":"ITEM-2","issue":"15","issued":{"date-parts":[["2022","8"]]},"page":"2455","title":"Estimating Biomass and Vitality of Microalgae for Monitoring Cultures: A Roadmap for Reliable Measurements","type":"article-journal","volume":"11"},"uris":["http://www.mendeley.com/documents/?uuid=d9c7eb8c-51a3-436d-aa84-f77dc50ae5ec","http://www.mendeley.com/documents/?uuid=4ec94d1c-fac4-4371-abe1-2f7ee6e7ddd0"]}],"mendeley":{"formattedCitation":"(Mastropetros et al., 2023; Schagerl et al., 2022)","plainTextFormattedCitation":"(Mastropetros et al., 2023; Schagerl et al., 2022)","previouslyFormattedCitation":"(Mastropetros et al., 2023; Schagerl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(Mastropetros et al., 2023; Schagerl et al., 2022)</w:t>
      </w:r>
      <w:r w:rsidRPr="009E58BE">
        <w:rPr>
          <w:rFonts w:ascii="Arial" w:hAnsi="Arial" w:cs="Arial"/>
          <w:lang w:eastAsia="en-ID"/>
        </w:rPr>
        <w:fldChar w:fldCharType="end"/>
      </w:r>
      <w:r w:rsidRPr="009E58BE">
        <w:rPr>
          <w:rFonts w:ascii="Arial" w:hAnsi="Arial" w:cs="Arial"/>
          <w:lang w:eastAsia="en-ID"/>
        </w:rPr>
        <w:t>.</w:t>
      </w:r>
    </w:p>
    <w:p w14:paraId="444C96F1"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observed increase in biomass at elevated salinities aligns with the concept of “stress-induced productivity,” whereby microalgae respond to controlled abiotic stress by reallocating energy from cell division to storage compounds, thereby increasing cellular density and dry mass. This strategy has been widely employed in lipid-focused microalgal cultivation for biofuel production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-1","issued":{"date-parts":[["2021","5"]]},"page":"e11525","title":"Lipid accumulation of Chlorella sp. TLD6B from the Taklimakan Desert under salt stress","type":"article-journal","volume":"9"},"uris":["http://www.mendeley.com/documents/?uuid=244d9475-8017-49f8-85ce-cb34ec712329","http://www.mendeley.com/documents/?uuid=bd2f45a4-033b-4960-addb-38492f716812"]},{"id":"ITEM-2","itemData":{"DOI":"10.1007/s10668-021-01910-2","ISSN":"1387-585X","author":[{"dropping-particle":"","family":"Paramasivam","given":"Primilla","non-dropping-particle":"","parse-names":false,"suffix":""},{"dropping-particle":"","family":"Kanagesan","given":"Karthiani","non-dropping-particle":"","parse-names":false,"suffix":""},{"dropping-particle":"","family":"Bhuyar","given":"Prakash","non-dropping-particle":"","parse-names":false,"suffix":""},{"dropping-particle":"","family":"Govindan","given":"Natanamurugaraj","non-dropping-particle":"","parse-names":false,"suffix":""},{"dropping-particle":"","family":"Ab. Rahim","given":"Mohd Hasbi","non-dropping-particle":"","parse-names":false,"suffix":""},{"dropping-particle":"","family":"Maniam","given":"Gaanty Pragas","non-dropping-particle":"","parse-names":false,"suffix":""}],"container-title":"Environment, Development and Sustainability","id":"ITEM-2","issued":{"date-parts":[["2021","10"]]},"title":"Biomass and lipid production from indigenous Nannochloropsis sp. by employing stress factors for improved biodiesel production","type":"article-journal"},"uris":["http://www.mendeley.com/documents/?uuid=c68aa6c4-fe9a-4eb6-b757-18aef5bde089","http://www.mendeley.com/documents/?uuid=317e188c-1461-4776-a097-5ce3252ed270"]},{"id":"ITEM-3","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Biofuels","id":"ITEM-3","issue":"1","issued":{"date-parts":[["2021","5"]]},"page":"121","title":"Quantitative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resources","type":"article-journal","volume":"14"},"uris":["http://www.mendeley.com/documents/?uuid=64a149d3-4d2b-480c-a801-92e373f7c450","http://www.mendeley.com/documents/?uuid=44336dd7-1f50-4f1a-9791-b35edc218d52"]}],"mendeley":{"formattedCitation":"(Hounslow et al., 2021; H. Li et al., 2021; Paramasivam et al., 2021)","plainTextFormattedCitation":"(Hounslow et al., 2021; H. Li et al., 2021; Paramasivam et al., 2021)","previouslyFormattedCitation":"(Hounslow et al., 2021; H. Li et al., 2021; Paramasivam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Paramasivam et al., 2021)</w:t>
      </w:r>
      <w:r w:rsidRPr="009E58BE">
        <w:rPr>
          <w:rFonts w:ascii="Arial" w:hAnsi="Arial" w:cs="Arial"/>
          <w:lang w:eastAsia="en-ID"/>
        </w:rPr>
        <w:fldChar w:fldCharType="end"/>
      </w:r>
      <w:r w:rsidRPr="009E58BE">
        <w:rPr>
          <w:rFonts w:ascii="Arial" w:hAnsi="Arial" w:cs="Arial"/>
          <w:lang w:eastAsia="en-ID"/>
        </w:rPr>
        <w:t>.</w:t>
      </w:r>
    </w:p>
    <w:p w14:paraId="4947666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demonstrate that salinity not only regulates proliferation but also directly impacts the biosynthetic capacity of </w:t>
      </w:r>
      <w:r w:rsidRPr="009E58BE">
        <w:rPr>
          <w:rFonts w:ascii="Arial" w:hAnsi="Arial" w:cs="Arial"/>
          <w:i/>
          <w:iCs/>
          <w:lang w:eastAsia="en-ID"/>
        </w:rPr>
        <w:t>C. vulgaris</w:t>
      </w:r>
      <w:r w:rsidRPr="009E58BE">
        <w:rPr>
          <w:rFonts w:ascii="Arial" w:hAnsi="Arial" w:cs="Arial"/>
          <w:lang w:eastAsia="en-ID"/>
        </w:rPr>
        <w:t>, making it a controllable parameter in bioprocess optimization.</w:t>
      </w:r>
    </w:p>
    <w:p w14:paraId="533068DD" w14:textId="77777777" w:rsidR="007E56A6" w:rsidRPr="009E58BE" w:rsidRDefault="007E56A6" w:rsidP="007E56A6">
      <w:pPr>
        <w:jc w:val="both"/>
        <w:rPr>
          <w:rFonts w:ascii="Arial" w:hAnsi="Arial" w:cs="Arial"/>
          <w:lang w:eastAsia="en-ID"/>
        </w:rPr>
      </w:pPr>
    </w:p>
    <w:p w14:paraId="0333D243" w14:textId="02230E0B" w:rsidR="007E56A6" w:rsidRPr="009E58BE" w:rsidRDefault="007E56A6" w:rsidP="007E56A6">
      <w:pPr>
        <w:jc w:val="both"/>
        <w:rPr>
          <w:rFonts w:ascii="Arial" w:hAnsi="Arial" w:cs="Arial"/>
          <w:b/>
          <w:bCs/>
          <w:lang w:eastAsia="en-ID"/>
        </w:rPr>
      </w:pPr>
      <w:r w:rsidRPr="009E58BE">
        <w:rPr>
          <w:rFonts w:ascii="Arial" w:hAnsi="Arial" w:cs="Arial"/>
          <w:b/>
          <w:bCs/>
          <w:lang w:eastAsia="en-ID"/>
        </w:rPr>
        <w:t>3.4 Chlorophyll-a Content</w:t>
      </w:r>
    </w:p>
    <w:p w14:paraId="7615FDF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Chlorophyll a level exhibited significant variations across treatments, with the highest concentrations found in treatments C (3.72 mg/L) and D (3.38 mg/L), and the lowest in treatment A (2.33 mg/L). ANOVA analysis (p &lt; 0.05) followed by Duncan's test revealed that treatments C and D were not significantly different from each other, but both were significantly higher than treatments A and B (Fig. 3).</w:t>
      </w:r>
    </w:p>
    <w:p w14:paraId="44BE1F8B" w14:textId="77777777" w:rsidR="007E56A6" w:rsidRPr="009E58BE" w:rsidRDefault="007E56A6" w:rsidP="007E56A6">
      <w:pPr>
        <w:ind w:firstLine="567"/>
        <w:jc w:val="both"/>
        <w:rPr>
          <w:rFonts w:ascii="Arial" w:hAnsi="Arial" w:cs="Arial"/>
          <w:lang w:eastAsia="en-ID"/>
        </w:rPr>
      </w:pPr>
    </w:p>
    <w:p w14:paraId="4CCCE44C" w14:textId="77777777" w:rsidR="007E56A6" w:rsidRPr="009E58BE" w:rsidRDefault="007E56A6" w:rsidP="009E58BE">
      <w:pPr>
        <w:jc w:val="center"/>
        <w:rPr>
          <w:rFonts w:ascii="Arial" w:hAnsi="Arial" w:cs="Arial"/>
          <w:lang w:eastAsia="en-ID"/>
        </w:rPr>
      </w:pPr>
      <w:r w:rsidRPr="009E58BE">
        <w:rPr>
          <w:rFonts w:ascii="Arial" w:hAnsi="Arial" w:cs="Arial"/>
          <w:b/>
          <w:bCs/>
          <w:noProof/>
        </w:rPr>
        <w:lastRenderedPageBreak/>
        <w:drawing>
          <wp:inline distT="0" distB="0" distL="0" distR="0" wp14:anchorId="07A871FD" wp14:editId="6214EC8E">
            <wp:extent cx="4352544" cy="2551176"/>
            <wp:effectExtent l="0" t="0" r="0" b="0"/>
            <wp:docPr id="967085158" name="Chart 1">
              <a:extLst xmlns:a="http://schemas.openxmlformats.org/drawingml/2006/main">
                <a:ext uri="{FF2B5EF4-FFF2-40B4-BE49-F238E27FC236}">
                  <a16:creationId xmlns:a16="http://schemas.microsoft.com/office/drawing/2014/main" id="{07AD9D4C-07E6-E77A-A32F-93C94BC61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5F186A" w14:textId="77777777" w:rsidR="007E56A6" w:rsidRPr="009E58BE" w:rsidRDefault="007E56A6" w:rsidP="007E56A6">
      <w:pPr>
        <w:jc w:val="center"/>
        <w:rPr>
          <w:rFonts w:ascii="Arial" w:hAnsi="Arial" w:cs="Arial"/>
        </w:rPr>
      </w:pPr>
    </w:p>
    <w:p w14:paraId="3A388E6C"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 xml:space="preserve">Fig 3.  Chlorophyll a Content in </w:t>
      </w:r>
      <w:r w:rsidRPr="009E58BE">
        <w:rPr>
          <w:rFonts w:ascii="Arial" w:hAnsi="Arial" w:cs="Arial"/>
          <w:i/>
          <w:iCs/>
          <w:lang w:val="en-GB" w:eastAsia="en-GB"/>
        </w:rPr>
        <w:t>Chlorella vulgaris</w:t>
      </w:r>
    </w:p>
    <w:p w14:paraId="26BC9F13" w14:textId="77777777" w:rsidR="007E56A6" w:rsidRPr="009E58BE" w:rsidRDefault="007E56A6" w:rsidP="007E56A6">
      <w:pPr>
        <w:jc w:val="both"/>
        <w:rPr>
          <w:rFonts w:ascii="Arial" w:hAnsi="Arial" w:cs="Arial"/>
          <w:lang w:eastAsia="en-ID"/>
        </w:rPr>
      </w:pPr>
    </w:p>
    <w:p w14:paraId="2D2F6D9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is central to photosynthesis, acting as the primary pigment responsible for light harvesting. Its content reflects both the physiological state and the photosynthetic efficiency of the culture. The increased pigment concentration under higher salinity conditions could be attributed to two factors: (1) the upregulation of pigment biosynthesis genes under osmotic stress, and (2) increased light absorption requirements under dense culture conditions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{"citationItems":[{"id":"ITEM-1","itemData":{"DOI":"10.3390/biology12050704","ISSN":"2079-7737","abstract":"The adjustments that occur during photosynthesis are correlated with morphological, biochemical, and photochemical changes during leaf development. Therefore, monitoring leaves, especially when pigment accumulation occurs, is crucial for monitoring organelles, cells, tissue, and whole-plant levels. However, accurately measuring these changes can be challenging. Thus, this study tests three hypotheses, whereby reflectance hyperspectroscopy and chlorophyll a fluorescence kinetics analyses can improve our understanding of the photosynthetic process in Codiaeum variegatum (L.) A. Juss, a plant with variegated leaves and different pigments. The analyses include morphological and pigment profiling, hyperspectral data, chlorophyll a fluorescence curves, and multivariate analyses using 23 JIP test parameters and 34 different vegetation indexes. The results show that photochemical reflectance index (PRI) is a useful vegetation index (VI) for monitoring biochemical and photochemical changes in leaves, as it strongly correlates with chlorophyll and nonphotochemical dissipation (Kn) parameters in chloroplasts. In addition, some vegetation indexes, such as the pigment-specific simple ratio (PSSRc), anthocyanin reflectance index (ARI1), ratio analysis of reflectance spectra (RARS), and structurally insensitive pigment index (SIPI), are highly correlated with morphological parameters and pigment levels, while PRI, moisture stress index (MSI), normalized difference photosynthetic (PVR), fluorescence ratio (FR), and normalized difference vegetation index (NDVI) are associated with photochemical components of photosynthesis. Combined with the JIP test analysis, our results showed that decreased damage to energy transfer in the electron transport chain is correlated with the accumulation of carotenoids, anthocyanins, flavonoids, and phenolic compounds in the leaves. Phenomenological energy flux modelling shows the highest changes in the photosynthetic apparatus based on PRI and SIPI when analyzed with Pearson’s correlation, the hyperspectral vegetation index (HVI) algorithm, and the partial least squares (PLS) to select the most responsive wavelengths. These findings are significant for monitoring nonuniform leaves, particularly when leaves display high variation in pigment profiling in variegated and colorful leaves. This is the first study on the rapid and precise detection of morphological, biochemical, and photochemical changes combined with vegetation indexes for dif…","author":[{"dropping-particle":"","family":"Falcioni","given":"Renan","non-dropping-particle":"","parse-names":false,"suffix":""},{"dropping-particle":"","family":"Antunes","given":"Werner Camargos","non-dropping-particle":"","parse-names":false,"suffix":""},{"dropping-particle":"","family":"Demattê","given":"José A. M.","non-dropping-particle":"","parse-names":false,"suffix":""},{"dropping-particle":"","family":"Nanni","given":"Marcos Rafael","non-dropping-particle":"","parse-names":false,"suffix":""}],"container-title":"Biology","id":"ITEM-1","issue":"5","issued":{"date-parts":[["2023","5"]]},"page":"704","title":"Biophysical, Biochemical, and Photochemical Analyses Using Reflectance Hyperspectroscopy and Chlorophyll a Fluorescence Kinetics in Variegated Leaves","type":"article-journal","volume":"12"},"uris":["http://www.mendeley.com/documents/?uuid=3bb83205-a778-4551-86ac-1e2cc04eaa96","http://www.mendeley.com/documents/?uuid=0fc449a1-88e9-4762-ae80-dc4135291741"]},{"id":"ITEM-2","itemData":{"DOI":"10.1007/s11120-021-00892-6","ISSN":"0166-8595","author":[{"dropping-particle":"","family":"Simkin","given":"Andrew J.","non-dropping-particle":"","parse-names":false,"suffix":""},{"dropping-particle":"","family":"Kapoor","given":"Leepica","non-dropping-particle":"","parse-names":false,"suffix":""},{"dropping-particle":"","family":"Doss","given":"C. George Priya","non-dropping-particle":"","parse-names":false,"suffix":""},{"dropping-particle":"","family":"Hofmann","given":"Tanja A.","non-dropping-particle":"","parse-names":false,"suffix":""},{"dropping-particle":"","family":"Lawson","given":"Tracy","non-dropping-particle":"","parse-names":false,"suffix":""},{"dropping-particle":"","family":"Ramamoorthy","given":"Siva","non-dropping-particle":"","parse-names":false,"suffix":""}],"container-title":"Photosynthesis Research","id":"ITEM-2","issue":"1","issued":{"date-parts":[["2022","4"]]},"page":"23-42","title":"The role of photosynthesis related pigments in light harvesting, photoprotection and enhancement of photosynthetic yield in planta","type":"article-journal","volume":"152"},"uris":["http://www.mendeley.com/documents/?uuid=944acfce-44a3-4efe-b217-f53fcc024c6b","http://www.mendeley.com/documents/?uuid=1e2572e7-3a6f-4961-993e-abbf4585d764"]},{"id":"ITEM-3","itemData":{"DOI":"10.1007/s11120-021-00827-1","ISSN":"0166-8595","abstract":"Light quality significantly influences plant metabolism, growth and development. Recently, we have demonstrated that leaves of barley and other plant species grown under monochromatic green light (500–590 nm) accumulated a large pool of chlorophyll a (Chl a ) intermediates with incomplete hydrogenation of their phytyl chains. In this work, we studied accumulation of these geranylgeranylated Chls a and b in pigment-protein complexes (PPCs) of Arabidopsis plants acclimated to green light and their structural–functional consequences on the photosynthetic apparatus. We found that geranylgeranylated Chls are present in all major PPCs, although their presence was more pronounced in light-harvesting complex II (LHCII) and less prominent in supercomplexes of photosystem II (PSII). Accumulation of geranylgeranylated Chls hampered the formation of PSII and PSI super- and megacomplexes in the thylakoid membranes as well as their assembly into chiral macrodomains; it also lowered the temperature stability of the PPCs, especially that of LHCII trimers, which led to their monomerization and an anomaly in the photoprotective mechanism of non-photochemical quenching. Role of geranylgeranylated Chls in adverse effects on photosynthetic apparatus of plants acclimated to green light is discussed.","author":[{"dropping-particle":"","family":"Karlický","given":"Václav","non-dropping-particle":"","parse-names":false,"suffix":""},{"dropping-particle":"","family":"Kmecová Materová","given":"Zuzana","non-dropping-particle":"","parse-names":false,"suffix":""},{"dropping-particle":"","family":"Kurasová","given":"Irena","non-dropping-particle":"","parse-names":false,"suffix":""},{"dropping-particle":"","family":"Nezval","given":"Jakub","non-dropping-particle":"","parse-names":false,"suffix":""},{"dropping-particle":"","family":"Štroch","given":"Michal","non-dropping-particle":"","parse-names":false,"suffix":""},{"dropping-particle":"","family":"Garab","given":"Győző","non-dropping-particle":"","parse-names":false,"suffix":""},{"dropping-particle":"","family":"Špunda","given":"Vladimír","non-dropping-particle":"","parse-names":false,"suffix":""}],"container-title":"Photosynthesis Research","id":"ITEM-3","issue":"1-2","issued":{"date-parts":[["2021","8"]]},"page":"233-252","title":"Accumulation of geranylgeranylated chlorophylls in the pigment-protein complexes of Arabidopsis thaliana acclimated to green light: effects on the organization of light-harvesting complex II and photosystem II functions","type":"article-journal","volume":"149"},"uris":["http://www.mendeley.com/documents/?uuid=42bae9dc-9306-465b-82bb-0394c9bc66f6","http://www.mendeley.com/documents/?uuid=2ea5a4d9-ac7b-4913-8c85-962b01f47912"]}],"mendeley":{"formattedCitation":"(Falcioni et al., 2023; Karlický et al., 2021; Simkin et al., 2022)","plainTextFormattedCitation":"(Falcioni et al., 2023; Karlický et al., 2021; Simkin et al., 2022)","previouslyFormattedCitation":"(Falcioni et al., 2023; Karlický et al., 2021; Simkin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(Falcioni et al., 2023; Karlický et al., 2021; Simkin et al., 2022)</w:t>
      </w:r>
      <w:r w:rsidRPr="009E58BE">
        <w:rPr>
          <w:rFonts w:ascii="Arial" w:hAnsi="Arial" w:cs="Arial"/>
          <w:lang w:eastAsia="en-ID"/>
        </w:rPr>
        <w:fldChar w:fldCharType="end"/>
      </w:r>
      <w:r w:rsidRPr="009E58BE">
        <w:rPr>
          <w:rFonts w:ascii="Arial" w:hAnsi="Arial" w:cs="Arial"/>
          <w:lang w:eastAsia="en-ID"/>
        </w:rPr>
        <w:t>.</w:t>
      </w:r>
    </w:p>
    <w:p w14:paraId="0F8B79CC"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Interestingly, although treatment C had slightly higher chlorophyll a than treatment D, growth and biomass were still highest in treatment D. This may indicate a decoupling of pigment concentration and productivity at very high salinity levels, possibly due to pigment degradation under extreme osmotic stress or nutrient exhaustion. Chlorophyll degradation under saline stress has been reported in other green algal species as a protective response to photodamage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{"citationItems":[{"id":"ITEM-1","itemData":{"DOI":"10.3389/fpls.2022.828321","ISSN":"1664-462X","abstract":"It is highly necessary to understand the molecular mechanism underlying the salt stress response in green algae, which may contribute to finding the evolutionary cues of abiotic stress response in plants. Here, we reported a comprehensive temporal investigation of transcriptomes using data at eight different time points, from an early stage (2 h) to a late stage (up to 96 h) in Chlamydomonas reinhardtii GY-D55 cells. The principal component analysis (PCA) of transcriptome profiles showed that the samples of the early and late stages were well separated. A total of 12,445 genes were detected as differentially expressed genes. There were 1,861/2,270 common upregulated/downregulated genes for each time point compared with control samples. Samples treated with salt for 2, 8, and 24 h had a relatively large number of characteristic upregulated/downregulated genes. The functional enrichment analysis highlighted the timing of candidate regulatory mechanisms for salt stress responses in GY-D55 cells. Short time exposure to salt stress impaired oxidation-reduction, protein synthesis and modification, and photosynthesis. The algal cells promoted transcriptional regulation and protein folding to deal with protein synthesis/modification impairments and rapidly accumulated glycerol in the early stage (2–4 h) to cope with osmotic stress. At 12 and 24 h, GY-D55 cells showed increased expressions of signaling and photosynthetic genes to deal with the damage of photosynthesis. The co-expression module blue was predicted to regulate endoplasmic reticulum (ER) stress at early time points. In addition, we identified a total of 113 transcription factors (TFs) and predicted the potential roles of Alfin, C2C2, and the MYB family TFs in algal salt stress response.","author":[{"dropping-particle":"","family":"Zhang","given":"Luo-Yan","non-dropping-particle":"","parse-names":false,"suffix":""},{"dropping-particle":"","family":"Xing","given":"Zhao-Tian","non-dropping-particle":"","parse-names":false,"suffix":""},{"dropping-particle":"","family":"Chen","given":"Li-Qian","non-dropping-particle":"","parse-names":false,"suffix":""},{"dropping-particle":"","family":"Zhang","given":"Xue-Jie","non-dropping-particle":"","parse-names":false,"suffix":""},{"dropping-particle":"","family":"Fan","given":"Shou-Jin","non-dropping-particle":"","parse-names":false,"suffix":""}],"container-title":"Frontiers in Plant Science","id":"ITEM-1","issued":{"date-parts":[["2022","2"]]},"title":"Comprehensive Time-Course Transcriptome and Co-expression Network Analyses Identify Salt Stress Responding Mechanisms in Chlamydomonas reinhardtii Strain GY-D55","type":"article-journal","volume":"13"},"uris":["http://www.mendeley.com/documents/?uuid=9c684df5-352d-4337-be10-2839436497f3","http://www.mendeley.com/documents/?uuid=4d06799e-f9c7-488c-b5c0-7c007bf00fcf"]},{"id":"ITEM-2","itemData":{"DOI":"10.1016/j.algal.2020.101901","ISSN":"22119264","author":[{"dropping-particle":"","family":"Liang","given":"Ming-Hua","non-dropping-particle":"","parse-names":false,"suffix":""},{"dropping-particle":"","family":"Wu","given":"Fang-Chun","non-dropping-particle":"","parse-names":false,"suffix":""},{"dropping-particle":"","family":"Liang","given":"Zhi-Cong","non-dropping-particle":"","parse-names":false,"suffix":""},{"dropping-particle":"","family":"Chen","given":"Hao-Hong","non-dropping-particle":"","parse-names":false,"suffix":""},{"dropping-particle":"","family":"Jiang","given":"Jian-Guo","non-dropping-particle":"","parse-names":false,"suffix":""}],"container-title":"Algal Research","id":"ITEM-2","issued":{"date-parts":[["2020","6"]]},"page":"101901","title":"Induction of carotenoid cleavage by salt stress and the effect of their products on cell growth and pigment accumulation in Dunaliella sp. FACHB-847","type":"article-journal","volume":"48"},"uris":["http://www.mendeley.com/documents/?uuid=67587bdd-0264-44ed-9ec5-433ca879efd4","http://www.mendeley.com/documents/?uuid=f81d262a-706d-410e-8abd-8f1b0ac960ca"]},{"id":"ITEM-3","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Science","id":"ITEM-3","issued":{"date-parts":[["2023","6"]]},"title":"Photosynthetic efficiency and transcriptome analysis of Dunaliella salina under hypersaline: a retrograde signaling mechanism in the chloroplast","type":"article-journal","volume":"14"},"uris":["http://www.mendeley.com/documents/?uuid=79c9124e-41b7-4eec-ba4f-5378ecd9bede","http://www.mendeley.com/documents/?uuid=f6efd50c-b74f-4bdc-a6c1-6a766f6a4829"]}],"mendeley":{"formattedCitation":"(Liang et al., 2020; Ramachandran et al., 2023; Zhang et al., 2022)","plainTextFormattedCitation":"(Liang et al., 2020; Ramachandran et al., 2023; Zhang et al., 2022)","previouslyFormattedCitation":"(Liang et al., 2020; Ramachandran et al., 2023; Zhang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(Liang et al., 2020; Ramachandran et al., 2023; Zhang et al., 2022)</w:t>
      </w:r>
      <w:r w:rsidRPr="009E58BE">
        <w:rPr>
          <w:rFonts w:ascii="Arial" w:hAnsi="Arial" w:cs="Arial"/>
          <w:lang w:eastAsia="en-ID"/>
        </w:rPr>
        <w:fldChar w:fldCharType="end"/>
      </w:r>
      <w:r w:rsidRPr="009E58BE">
        <w:rPr>
          <w:rFonts w:ascii="Arial" w:hAnsi="Arial" w:cs="Arial"/>
          <w:lang w:eastAsia="en-ID"/>
        </w:rPr>
        <w:t>.</w:t>
      </w:r>
    </w:p>
    <w:p w14:paraId="74CC2EF8" w14:textId="3E211ABF" w:rsidR="007E56A6" w:rsidRPr="009E58BE" w:rsidRDefault="007E56A6" w:rsidP="007E56A6">
      <w:pPr>
        <w:ind w:firstLine="567"/>
        <w:jc w:val="both"/>
        <w:rPr>
          <w:rFonts w:ascii="Arial" w:hAnsi="Arial" w:cs="Arial"/>
          <w:lang w:eastAsia="en-ID"/>
        </w:rPr>
      </w:pPr>
      <w:commentRangeStart w:id="2"/>
      <w:r w:rsidRPr="009E58BE">
        <w:rPr>
          <w:rFonts w:ascii="Arial" w:hAnsi="Arial" w:cs="Arial"/>
          <w:lang w:eastAsia="en-ID"/>
        </w:rPr>
        <w:t xml:space="preserve">The strong correlation between chlorophyll a and both growth and biomass </w:t>
      </w:r>
      <w:r w:rsidR="00E87587" w:rsidRPr="009E58BE">
        <w:rPr>
          <w:rFonts w:ascii="Arial" w:hAnsi="Arial" w:cs="Arial"/>
          <w:lang w:eastAsia="en-ID"/>
        </w:rPr>
        <w:t>confirm</w:t>
      </w:r>
      <w:r w:rsidRPr="009E58BE">
        <w:rPr>
          <w:rFonts w:ascii="Arial" w:hAnsi="Arial" w:cs="Arial"/>
          <w:lang w:eastAsia="en-ID"/>
        </w:rPr>
        <w:t xml:space="preserve"> that pigment accumulation can be used as a proxy for photosynthetic performance and culture viability, but only up to a threshold where salinity begins to compromise cellular homeostasis.</w:t>
      </w:r>
      <w:commentRangeEnd w:id="2"/>
      <w:r w:rsidR="00E87587">
        <w:rPr>
          <w:rStyle w:val="CommentReference"/>
          <w:rFonts w:ascii="Times New Roman" w:hAnsi="Times New Roman"/>
          <w:lang w:val="nb-NO" w:eastAsia="nb-NO"/>
        </w:rPr>
        <w:commentReference w:id="2"/>
      </w:r>
    </w:p>
    <w:p w14:paraId="5832D235" w14:textId="77777777" w:rsidR="007E56A6" w:rsidRPr="009E58BE" w:rsidRDefault="007E56A6" w:rsidP="007E56A6">
      <w:pPr>
        <w:jc w:val="both"/>
        <w:rPr>
          <w:rFonts w:ascii="Arial" w:hAnsi="Arial" w:cs="Arial"/>
          <w:lang w:eastAsia="en-ID"/>
        </w:rPr>
      </w:pPr>
    </w:p>
    <w:p w14:paraId="30B72DAC" w14:textId="49DEB28E" w:rsidR="007E56A6" w:rsidRPr="009E58BE" w:rsidRDefault="007E56A6" w:rsidP="007E56A6">
      <w:pPr>
        <w:jc w:val="both"/>
        <w:rPr>
          <w:rFonts w:ascii="Arial" w:hAnsi="Arial" w:cs="Arial"/>
          <w:b/>
          <w:bCs/>
          <w:lang w:eastAsia="en-ID"/>
        </w:rPr>
      </w:pPr>
      <w:r w:rsidRPr="009E58BE">
        <w:rPr>
          <w:rFonts w:ascii="Arial" w:hAnsi="Arial" w:cs="Arial"/>
          <w:b/>
          <w:bCs/>
          <w:lang w:eastAsia="en-ID"/>
        </w:rPr>
        <w:t>3.5 Lipid Accumulation</w:t>
      </w:r>
    </w:p>
    <w:p w14:paraId="7E5FE0F8"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Lipid content in </w:t>
      </w:r>
      <w:r w:rsidRPr="009E58BE">
        <w:rPr>
          <w:rFonts w:ascii="Arial" w:hAnsi="Arial" w:cs="Arial"/>
          <w:i/>
          <w:iCs/>
          <w:lang w:eastAsia="en-ID"/>
        </w:rPr>
        <w:t>C. vulgaris</w:t>
      </w:r>
      <w:r w:rsidRPr="009E58BE">
        <w:rPr>
          <w:rFonts w:ascii="Arial" w:hAnsi="Arial" w:cs="Arial"/>
          <w:lang w:eastAsia="en-ID"/>
        </w:rPr>
        <w:t xml:space="preserve"> showed a robust increase in response to salinity elevation. Treatment D (34 ppt) yielded the highest lipid content (43.07%), closely followed by treatment C (42.18%). Treatments B and A showed significantly lower values at 38.21% and 27.85%, respectively. ANOVA and Duncan's tests confirmed the statistical significance of these differences (Fig. 4).</w:t>
      </w:r>
    </w:p>
    <w:p w14:paraId="3F4680DB" w14:textId="77777777" w:rsidR="007E56A6" w:rsidRPr="009E58BE" w:rsidRDefault="007E56A6" w:rsidP="007E56A6">
      <w:pPr>
        <w:ind w:firstLine="567"/>
        <w:jc w:val="both"/>
        <w:rPr>
          <w:rFonts w:ascii="Arial" w:hAnsi="Arial" w:cs="Arial"/>
          <w:lang w:eastAsia="en-ID"/>
        </w:rPr>
      </w:pPr>
    </w:p>
    <w:p w14:paraId="0ECA27A8" w14:textId="77777777" w:rsidR="007E56A6" w:rsidRPr="009E58BE" w:rsidRDefault="007E56A6" w:rsidP="009E58BE">
      <w:pPr>
        <w:jc w:val="center"/>
        <w:rPr>
          <w:rFonts w:ascii="Arial" w:hAnsi="Arial" w:cs="Arial"/>
          <w:b/>
          <w:bCs/>
        </w:rPr>
      </w:pPr>
      <w:r w:rsidRPr="009E58BE">
        <w:rPr>
          <w:rFonts w:ascii="Arial" w:hAnsi="Arial" w:cs="Arial"/>
          <w:noProof/>
        </w:rPr>
        <w:lastRenderedPageBreak/>
        <w:drawing>
          <wp:inline distT="0" distB="0" distL="0" distR="0" wp14:anchorId="2F6A4354" wp14:editId="28F3DD29">
            <wp:extent cx="4352544" cy="2551176"/>
            <wp:effectExtent l="0" t="0" r="0" b="0"/>
            <wp:docPr id="224401397" name="Chart 1">
              <a:extLst xmlns:a="http://schemas.openxmlformats.org/drawingml/2006/main">
                <a:ext uri="{FF2B5EF4-FFF2-40B4-BE49-F238E27FC236}">
                  <a16:creationId xmlns:a16="http://schemas.microsoft.com/office/drawing/2014/main" id="{9F4DF46F-7169-2594-8D69-5834D9177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600031" w14:textId="77777777" w:rsidR="007E56A6" w:rsidRDefault="007E56A6" w:rsidP="007E56A6">
      <w:pPr>
        <w:ind w:firstLine="720"/>
        <w:jc w:val="center"/>
        <w:rPr>
          <w:rFonts w:ascii="Arial" w:hAnsi="Arial" w:cs="Arial"/>
          <w:i/>
          <w:iCs/>
          <w:lang w:val="en-GB" w:eastAsia="en-GB"/>
        </w:rPr>
      </w:pPr>
      <w:r w:rsidRPr="009E58BE">
        <w:rPr>
          <w:rFonts w:ascii="Arial" w:hAnsi="Arial" w:cs="Arial"/>
          <w:lang w:val="en-GB" w:eastAsia="en-GB"/>
        </w:rPr>
        <w:t xml:space="preserve">Fig 4. Lipid Content in </w:t>
      </w:r>
      <w:r w:rsidRPr="009E58BE">
        <w:rPr>
          <w:rFonts w:ascii="Arial" w:hAnsi="Arial" w:cs="Arial"/>
          <w:i/>
          <w:iCs/>
          <w:lang w:val="en-GB" w:eastAsia="en-GB"/>
        </w:rPr>
        <w:t>Chlorella vulgaris</w:t>
      </w:r>
    </w:p>
    <w:p w14:paraId="56015A90" w14:textId="77777777" w:rsidR="009E58BE" w:rsidRPr="009E58BE" w:rsidRDefault="009E58BE" w:rsidP="007E56A6">
      <w:pPr>
        <w:ind w:firstLine="720"/>
        <w:jc w:val="center"/>
        <w:rPr>
          <w:rFonts w:ascii="Arial" w:hAnsi="Arial" w:cs="Arial"/>
        </w:rPr>
      </w:pPr>
    </w:p>
    <w:p w14:paraId="09F43F6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findings corroborate the widely recognized phenomenon of lipid accumulation in response to salinity-induced stress. Under such conditions, microalgae tend to downregulate growth-related pathways and redirect metabolic flux toward neutral lipid synthesis, especially triacylglycerol (TAG) accumulation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{"citationItems":[{"id":"ITEM-1","itemData":{"DOI":"10.3390/ijms22031304","ISSN":"1422-0067","abstract":"The oleaginous microalgae species Chlorococcum sphacosum GD is a promising feedstock for biodiesel production from soil. However, its metabolic mechanism of lipid production remains unclear. In this study, the lipid accumulation and metabolism mechanisms of Chlorococcum sphacosum GD were analyzed under salt stress based on transcriptome sequencing. The biomass and lipid content of the alga strain were determined under different NaCl concentrations, and total RNA from fresh cells were isolated and sequenced by HiSeq 2000 high throughput sequencing technology. As the salt concentration increased in culture medium, the algal lipid content increased but the biomass decreased. Following transcriptome sequencing by assembly and splicing, 24,128 unigenes were annotated, with read lengths mostly distributed in the 200–300 bp interval. Statistically significant differentially expressed unigenes were observed in different experimental groups, with 2051 up-regulated genes and 1835 down-regulated genes. The lipid metabolism pathway analysis showed that, under salt stress, gene-related fatty acid biosynthesis (ACCase, KASII, KAR, HAD, FATA) was significantly up-regulated, but some gene-related fatty acid degradation was significantly down-regulated. The comprehensive results showed that salt concentration can affect the lipid accumulation and metabolism of C. sphacosum GD, and the lipid accumulation is closely related to the fatty acid synthesis pathway.","author":[{"dropping-particle":"","family":"Su","given":"Hang","non-dropping-particle":"","parse-names":false,"suffix":""},{"dropping-particle":"","family":"Feng","given":"Jia","non-dropping-particle":"","parse-names":false,"suffix":""},{"dropping-particle":"","family":"Lv","given":"Junping","non-dropping-particle":"","parse-names":false,"suffix":""},{"dropping-particle":"","family":"Liu","given":"Qi","non-dropping-particle":"","parse-names":false,"suffix":""},{"dropping-particle":"","family":"Nan","given":"Fangru","non-dropping-particle":"","parse-names":false,"suffix":""},{"dropping-particle":"","family":"Liu","given":"Xudong","non-dropping-particle":"","parse-names":false,"suffix":""},{"dropping-particle":"","family":"Xie","given":"Shulian","non-dropping-particle":"","parse-names":false,"suffix":""}],"container-title":"International Journal of Molecular Sciences","id":"ITEM-1","issue":"3","issued":{"date-parts":[["2021","1"]]},"page":"1304","title":"Molecular Mechanism of Lipid Accumulation and Metabolism of Oleaginous Chlorococcum sphacosum GD from Soil under Salt Stress","type":"article-journal","volume":"22"},"uris":["http://www.mendeley.com/documents/?uuid=b16ae721-f1ca-404c-8c86-98f469e7c5fc","http://www.mendeley.com/documents/?uuid=e9a06658-3390-442f-84a8-63c014247826"]},{"id":"ITEM-2","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Biofuels","id":"ITEM-2","issue":"1","issued":{"date-parts":[["2021","5"]]},"page":"121","title":"Quantitative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44336dd7-1f50-4f1a-9791-b35edc218d52","http://www.mendeley.com/documents/?uuid=bbf78ec5-8850-481f-a98c-56fc128ad3cb"]},{"id":"ITEM-3","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-3","issued":{"date-parts":[["2021","5"]]},"page":"e11525","title":"Lipid accumulation of Chlorella sp. TLD6B from the Taklimakan Desert under salt stress","type":"article-journal","volume":"9"},"uris":["http://www.mendeley.com/documents/?uuid=bd2f45a4-033b-4960-addb-38492f716812","http://www.mendeley.com/documents/?uuid=a70cda05-5ffd-45ec-8528-cc5737114d2e","http://www.mendeley.com/documents/?uuid=06312e76-8bce-4d12-8467-dc6bd1da7fac"]}],"mendeley":{"formattedCitation":"(Hounslow et al., 2021; H. Li et al., 2021; Su et al., 2021)","plainTextFormattedCitation":"(Hounslow et al., 2021; H. Li et al., 2021; Su et al., 2021)","previouslyFormattedCitation":"(Hounslow et al., 2021; H. Li et al., 2021; Su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Su et al., 2021)</w:t>
      </w:r>
      <w:r w:rsidRPr="009E58BE">
        <w:rPr>
          <w:rFonts w:ascii="Arial" w:hAnsi="Arial" w:cs="Arial"/>
          <w:lang w:eastAsia="en-ID"/>
        </w:rPr>
        <w:fldChar w:fldCharType="end"/>
      </w:r>
      <w:r w:rsidRPr="009E58BE">
        <w:rPr>
          <w:rFonts w:ascii="Arial" w:hAnsi="Arial" w:cs="Arial"/>
          <w:lang w:eastAsia="en-ID"/>
        </w:rPr>
        <w:t>. The positive association between chlorophyll a, biomass, and lipid content observed in this study suggests that up to a certain threshold, salinity stress enhances overall cellular productivity rather than simply inhibiting growth.</w:t>
      </w:r>
    </w:p>
    <w:p w14:paraId="7A321A8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Furthermore, the lipid yields recorded in treatments C and D fall within the upper range of those reported in previous studies of </w:t>
      </w:r>
      <w:r w:rsidRPr="009E58BE">
        <w:rPr>
          <w:rFonts w:ascii="Arial" w:hAnsi="Arial" w:cs="Arial"/>
          <w:i/>
          <w:iCs/>
          <w:lang w:eastAsia="en-ID"/>
        </w:rPr>
        <w:t>C. vulgaris</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envres.2023.116300","ISSN":"00139351","author":[{"dropping-particle":"","family":"Li","given":"Suiyi","non-dropping-particle":"","parse-names":false,"suffix":""},{"dropping-particle":"","family":"Meenakshi","given":"V.","non-dropping-particle":"","parse-names":false,"suffix":""},{"dropping-particle":"","family":"Nithya","given":"S.","non-dropping-particle":"","parse-names":false,"suffix":""},{"dropping-particle":"","family":"Alharbi","given":"Sulaiman Ali","non-dropping-particle":"","parse-names":false,"suffix":""},{"dropping-particle":"","family":"Salmen","given":"Saleh H.","non-dropping-particle":"","parse-names":false,"suffix":""},{"dropping-particle":"","family":"Shanmuganathan","given":"Rajasree","non-dropping-particle":"","parse-names":false,"suffix":""},{"dropping-particle":"","family":"Zhang","given":"Li","non-dropping-particle":"","parse-names":false,"suffix":""},{"dropping-particle":"","family":"Xia","given":"Changlei","non-dropping-particle":"","parse-names":false,"suffix":""}],"container-title":"Environmental Research","id":"ITEM-1","issued":{"date-parts":[["2023","9"]]},"page":"116300","title":"Impact of the combined effect of seawater exposure with wastewater and Fe2O3 nanoparticles on Chlorella vulgaris microalgae growth, lipid content, biochar, and bio-oil production","type":"article-journal","volume":"232"},"uris":["http://www.mendeley.com/documents/?uuid=7ff7b293-e8d9-4351-878a-c56396615ca5","http://www.mendeley.com/documents/?uuid=f8ee971f-ff32-4023-9c1c-931eb2461377"]}],"mendeley":{"formattedCitation":"(S. Li et al., 2023)","plainTextFormattedCitation":"(S. Li et al., 2023)","previouslyFormattedCitation":"(S. Li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(S. Li et al., 2023)</w:t>
      </w:r>
      <w:r w:rsidRPr="009E58BE">
        <w:rPr>
          <w:rFonts w:ascii="Arial" w:hAnsi="Arial" w:cs="Arial"/>
          <w:lang w:eastAsia="en-ID"/>
        </w:rPr>
        <w:fldChar w:fldCharType="end"/>
      </w:r>
      <w:r w:rsidRPr="009E58BE">
        <w:rPr>
          <w:rFonts w:ascii="Arial" w:hAnsi="Arial" w:cs="Arial"/>
          <w:lang w:eastAsia="en-ID"/>
        </w:rPr>
        <w:t>, supporting the conclusion that salinity optimization represents a viable approach for maximizing both biomass and lipid output in a single production cycle.</w:t>
      </w:r>
    </w:p>
    <w:p w14:paraId="6F309664"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practical implications are significant for the aquaculture and feed industries, where lipid-rich biomass serves not only as an energy source but also provides essential fatty acids (e.g., EPA and DHA), which are crucial for fish larval development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{"citationItems":[{"id":"ITEM-1","itemData":{"DOI":"10.3389/fmars.2021.632876","ISSN":"2296-7745","abstract":"The euryhaline copepod Pseudodiaptomus inopinus play important roles in coastal waters as vectors of docosahexanoic (DHA) and eicosapentaenoic (EPA) acids for larval fish. While DHA and EPA in polar lipids (PLs) are more effective for fish larval development than non-polar lipid forms (NLs), there is little knowledge how much these lipids are accumulated in copepods from microalgae and are effective for early development of fish larvae. We report PLs fatty acid profiles of P. inopinus fed DHA-poor microalgae and evaluate its significance as a food source for larvae development of Pagrus major , compared with DHA-enriched rotifers. Copepods and rotifers were fed a mixed diet of three algal species ( Phaeodactylum tricornutum , Tisochrysis lutea , and Pavlova lutheri ), in addition of DHA-supplemented Super Fresh Chlorella (SFC) for rotifers. Compared with SFC, the algal mixture had higher EPA but lower DHA. Copepods had higher DHA and EPA in total lipids than rotifers fed each diet. Copepod PLs were specifically enriched with DHA and their contents were higher than both rotifers. On the other hand, PLs EPA contents were comparable between preys, indicating that copepods selectively fortified the PLs. Fish culture experiment showed that larvae fed copepods had higher growth than those fed SFC-enriched rotifers. Principal component analysis for each organism fatty acid composition emphasized trophic modification of DHA by copepods toward larval fish. This study highlighted that P. inopinus contribute to enhanced growth of coastal larval fish by efficiently transferring DHA via copepod fatty acid metabolism.","author":[{"dropping-particle":"","family":"Matsui","given":"Hideaki","non-dropping-particle":"","parse-names":false,"suffix":""},{"dropping-particle":"","family":"Sasaki","given":"Taku","non-dropping-particle":"","parse-names":false,"suffix":""},{"dropping-particle":"","family":"Kobari","given":"Toru","non-dropping-particle":"","parse-names":false,"suffix":""},{"dropping-particle":"","family":"Waqalevu","given":"Viliame","non-dropping-particle":"","parse-names":false,"suffix":""},{"dropping-particle":"","family":"Kikuchi","given":"Kazuma","non-dropping-particle":"","parse-names":false,"suffix":""},{"dropping-particle":"","family":"Ishikawa","given":"Manabu","non-dropping-particle":"","parse-names":false,"suffix":""},{"dropping-particle":"","family":"Kotani","given":"Tomonari","non-dropping-particle":"","parse-names":false,"suffix":""}],"container-title":"Frontiers in Marine Science","id":"ITEM-1","issued":{"date-parts":[["2021","2"]]},"title":"DHA Accumulation in the Polar Lipids of the Euryhaline Copepod Pseudodiaptomus inopinus and Its Transfer to Red Sea Bream Pagrus major Larvae","type":"article-journal","volume":"8"},"uris":["http://www.mendeley.com/documents/?uuid=c16e79cd-6a72-4d83-84ab-262c6436350a","http://www.mendeley.com/documents/?uuid=c4fecd16-05d7-4296-8172-e556070c68df"]},{"id":"ITEM-2","itemData":{"DOI":"10.12688/f1000research.126487.2","ISSN":"2046-1402","abstract":"Background: The Asian redtail catfish Hemibagrus nemurus is a promising commercial aquaculture freshwater big-sized Bagridae catfish across Asian countries such as the Mekong, Malay Peninsula, and Indonesia. This study analysed the effect of eicosapentaenoic acid (EPA, 20:5n-3) and docosahexaenoic acid (DHA, 22:6n-3) supplementation in diets on changes in fatty acid compositions in feed and fish meat, lipid quality (atherogenic index and thrombogenic index), growth rate, body indicators, and serum metabolites of Hemibagrus nemurus juveniles .","author":[{"dropping-particle":"","family":"Aryani","given":"Netti","non-dropping-particle":"","parse-names":false,"suffix":""},{"dropping-particle":"","family":"Suharman","given":"Indra","non-dropping-particle":"","parse-names":false,"suffix":""},{"dropping-particle":"","family":"Hasibuan","given":"Saberina","non-dropping-particle":"","parse-names":false,"suffix":""},{"dropping-particle":"","family":"Asiah","given":"Nur","non-dropping-particle":"","parse-names":false,"suffix":""},{"dropping-particle":"","family":"Syandri","given":"Hafrijal","non-dropping-particle":"","parse-names":false,"suffix":""}],"container-title":"F1000Research","id":"ITEM-2","issued":{"date-parts":[["2023","5"]]},"page":"1409","title":"Fatty acid composition on diet and carcasses, growth, body indices and profile serum of Asian redtail catfish (Hemibagrus nemurus) fed a diet containing different levels of EPA and DHA","type":"article-journal","volume":"11"},"uris":["http://www.mendeley.com/documents/?uuid=1634a416-7c26-4616-a675-716ad6fcbb0c","http://www.mendeley.com/documents/?uuid=f3f15890-6856-456e-9cef-15851443e6b2"]}],"mendeley":{"formattedCitation":"(Aryani et al., 2023; Matsui et al., 2021)","plainTextFormattedCitation":"(Aryani et al., 2023; Matsui et al., 2021)","previouslyFormattedCitation":"(Aryani et al., 2023; Matsui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(Aryani et al., 2023; Matsui et al., 2021)</w:t>
      </w:r>
      <w:r w:rsidRPr="009E58BE">
        <w:rPr>
          <w:rFonts w:ascii="Arial" w:hAnsi="Arial" w:cs="Arial"/>
          <w:lang w:eastAsia="en-ID"/>
        </w:rPr>
        <w:fldChar w:fldCharType="end"/>
      </w:r>
      <w:r w:rsidRPr="009E58BE">
        <w:rPr>
          <w:rFonts w:ascii="Arial" w:hAnsi="Arial" w:cs="Arial"/>
          <w:lang w:eastAsia="en-ID"/>
        </w:rPr>
        <w:t>.</w:t>
      </w:r>
    </w:p>
    <w:p w14:paraId="36066327" w14:textId="77777777" w:rsidR="007E56A6" w:rsidRPr="009E58BE" w:rsidRDefault="007E56A6" w:rsidP="007E56A6">
      <w:pPr>
        <w:jc w:val="both"/>
        <w:rPr>
          <w:rFonts w:ascii="Arial" w:hAnsi="Arial" w:cs="Arial"/>
          <w:lang w:eastAsia="en-ID"/>
        </w:rPr>
      </w:pPr>
    </w:p>
    <w:p w14:paraId="2E16AD81" w14:textId="1872BA7F" w:rsidR="007E56A6" w:rsidRPr="009E58BE" w:rsidRDefault="007E56A6" w:rsidP="007E56A6">
      <w:pPr>
        <w:jc w:val="both"/>
        <w:rPr>
          <w:rFonts w:ascii="Arial" w:hAnsi="Arial" w:cs="Arial"/>
          <w:b/>
          <w:bCs/>
          <w:lang w:eastAsia="en-ID"/>
        </w:rPr>
      </w:pPr>
      <w:r w:rsidRPr="009E58BE">
        <w:rPr>
          <w:rFonts w:ascii="Arial" w:hAnsi="Arial" w:cs="Arial"/>
          <w:b/>
          <w:bCs/>
          <w:lang w:eastAsia="en-ID"/>
        </w:rPr>
        <w:t>3.6 Water Quality Analysis</w:t>
      </w:r>
    </w:p>
    <w:p w14:paraId="370AFBA4" w14:textId="1DA6FA76"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Throughout the cultivation period, physicochemical parameters were monitored and maintained within the optimal ranges for </w:t>
      </w:r>
      <w:r w:rsidRPr="009E58BE">
        <w:rPr>
          <w:rFonts w:ascii="Arial" w:hAnsi="Arial" w:cs="Arial"/>
          <w:i/>
          <w:iCs/>
          <w:lang w:eastAsia="en-ID"/>
        </w:rPr>
        <w:t>C. vulgaris</w:t>
      </w:r>
      <w:r w:rsidRPr="009E58BE">
        <w:rPr>
          <w:rFonts w:ascii="Arial" w:hAnsi="Arial" w:cs="Arial"/>
          <w:lang w:eastAsia="en-ID"/>
        </w:rPr>
        <w:t xml:space="preserve"> culture (Table 1). Temperature remained stable at 25–26 °C, pH ranged between 7.2 and 8.3, light intensity hovered at 1,541–1,542 lux, and dissolved oxygen ranged from 5.1 to 6.5 mg/L. </w:t>
      </w:r>
      <w:commentRangeStart w:id="3"/>
      <w:r w:rsidRPr="009E58BE">
        <w:rPr>
          <w:rFonts w:ascii="Arial" w:hAnsi="Arial" w:cs="Arial"/>
          <w:lang w:eastAsia="en-ID"/>
        </w:rPr>
        <w:t xml:space="preserve">All parameters fell within documented optimal values for </w:t>
      </w:r>
      <w:r w:rsidRPr="009E58BE">
        <w:rPr>
          <w:rFonts w:ascii="Arial" w:hAnsi="Arial" w:cs="Arial"/>
          <w:i/>
          <w:iCs/>
          <w:lang w:eastAsia="en-ID"/>
        </w:rPr>
        <w:t>C. vulgaris</w:t>
      </w:r>
      <w:r w:rsidRPr="009E58BE">
        <w:rPr>
          <w:rFonts w:ascii="Arial" w:hAnsi="Arial" w:cs="Arial"/>
          <w:lang w:eastAsia="en-ID"/>
        </w:rPr>
        <w:t xml:space="preserve"> growth </w:t>
      </w:r>
      <w:commentRangeEnd w:id="3"/>
      <w:r w:rsidR="00E87587">
        <w:rPr>
          <w:rStyle w:val="CommentReference"/>
          <w:rFonts w:ascii="Times New Roman" w:hAnsi="Times New Roman"/>
          <w:lang w:val="nb-NO" w:eastAsia="nb-NO"/>
        </w:rPr>
        <w:commentReference w:id="3"/>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{"citationItems":[{"id":"ITEM-1","itemData":{"DOI":"10.3389/fpls.2023.1078998","ISSN":"1664-462X","abstract":"After light, temperature is the most relevant environmental parameter in outdoors cultivation of microalgae. Suboptimal and supraoptimal temperatures negatively impact growth and photosynthetic performance with a subsequent effect on lipid accumulation. It is generally recognised that lower temperatures trigger an increase in fatty acid desaturation while higher temperatures trigger the opposite reaction. The effect of temperature on lipid classes has been less studied in microalgae and in certain cases, the effect of light cannot be completely excluded. In this research, the effect of temperature on growth, photosynthesis, and lipid class accumulation in Nannochloropsis oceanica was studied at a fixed light gradient with a constant incident light intensity (670 μmol m -2 s -1 ). A turbidostat approach was used to achieve temperature acclimated cultures of Nannochloropsis oceanica . Optimal growth was found at 25-29°C, while growth was completely arrested at temperatures higher than 31°C and lower than 9°C. Acclimation to low temperatures triggered a decrease in absorption cross section and photosynthesis rates with a tipping point at 17°C. Reduced light absorption was correlated with a decrease in content of the plastid lipids monogalactosyldiacylglycerol and sulfoquinovosyldiacylglycerol. The increase of diacylglyceryltrimethylhomo-serine content at lower temperatures indicated a relevant role of this lipid class in temperature tolerance. Triacylglycerol content increased at 17°C and decreased at 9°C emphasising a metabolic switch in stress response. Total and polar eicosapentaenoic acid content remained constant at 3.5 and 2.4% w/w, despite the fluctuating lipid contents. Results show an extensive mobilisation of eicosapentaenoic acid between polar lipids classes at 9°C to ensure cell survival under critical conditions.","author":[{"dropping-particle":"","family":"Ferrer-Ledo","given":"Narcís","non-dropping-particle":"","parse-names":false,"suffix":""},{"dropping-particle":"","family":"Stegemüller","given":"Lars","non-dropping-particle":"","parse-names":false,"suffix":""},{"dropping-particle":"","family":"Janssen","given":"Marcel","non-dropping-particle":"","parse-names":false,"suffix":""},{"dropping-particle":"","family":"Wijffels","given":"René H.","non-dropping-particle":"","parse-names":false,"suffix":""},{"dropping-particle":"","family":"Barbosa","given":"Maria J.","non-dropping-particle":"","parse-names":false,"suffix":""}],"container-title":"Frontiers in Plant Science","id":"ITEM-1","issued":{"date-parts":[["2023","2"]]},"title":"Growth and fatty acid distribution over lipid classes in Nannochloropsis oceanica acclimated to different temperatures","type":"article-journal","volume":"14"},"uris":["http://www.mendeley.com/documents/?uuid=ec61cbac-3c73-43d9-9105-c4dbf9366c78","http://www.mendeley.com/documents/?uuid=f24f2ffa-ab5e-41a8-a397-1429206fef2b"]},{"id":"ITEM-2","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-2","issue":"5","issued":{"date-parts":[["2023","3"]]},"page":"2429","title":"Optimization of Microalgal Biomass Production in Vertical Tubular Photobioreactors","type":"article-journal","volume":"16"},"uris":["http://www.mendeley.com/documents/?uuid=a77bd2e8-3851-459b-a8c5-0710c49e3947","http://www.mendeley.com/documents/?uuid=a28f596e-2c2c-4da4-9ab8-5b805aa783de"]},{"id":"ITEM-3","itemData":{"DOI":"10.1016/j.algal.2022.102874","ISSN":"22119264","author":[{"dropping-particle":"","family":"Pozzobon","given":"Victor","non-dropping-particle":"","parse-names":false,"suffix":""}],"container-title":"Algal Research","id":"ITEM-3","issued":{"date-parts":[["2022","11"]]},"page":"102874","title":"Chlorella vulgaris cultivation under super high light intensity: An application of the flashing light effect","type":"article-journal","volume":"68"},"uris":["http://www.mendeley.com/documents/?uuid=719d87bb-0294-4f74-b4db-d1dfb9ee96d6","http://www.mendeley.com/documents/?uuid=28a9e0e7-7b25-411a-921c-1517f10c77b7"]},{"id":"ITEM-4","itemData":{"DOI":"10.3390/molecules25122834","ISSN":"1420-3049","abstract":"The purpose of this work is to define optimal growth conditions to maximise biomass for batch culture of the cyanobacterium Arthrospira maxima and the microalgae Chlorella vulgaris, Isochrysis galbana and Nannochloropsis gaditana. Thus, we study the effect of three variables on cell growth: i.e., inoculum:culture medium volume ratio (5:45, 10:40, 15:35 and 20:30 mL:mL), light:dark photoperiod (8:16, 12:12 and 16:8 h) and type of culture medium, including both synthetic media (Guillard’s F/2 and Walne’s) and wastewaters. The results showed that the initial inoculum:culture medium volume ratio, within the range 5:45 to 20:30, did not affect the amount of biomass at the end of the growth (14 days), whereas high (18 h) or low (6 h) number of hours of daily light was important for cell growth. The contribution of nutrients from different culture media could increase the growth rate of the different species. A. maxima was favoured in seawater enriched with Guillard’s F/2 as well as C. vulgaris and N. gaditana, but in freshwater medium. I. galbana had the greatest growth in the marine environment enriched with Walne’s media. Nitrogen was the limiting nutrient for growth at the end of the exponential phase of growth for C. vulgaris and N. gaditana, while iron was for A. maxima and I. galbana. The growth in different synthetic culture media also determines the biochemical composition of each of the microalgae. All species demonstrated their capability to grow in effluents from a wastewater treatment plant and they efficiently consume nitrogen, especially the three microalga species.","author":[{"dropping-particle":"","family":"Sánchez-Bayo","given":"Alejandra","non-dropping-particle":"","parse-names":false,"suffix":""},{"dropping-particle":"","family":"Morales","given":"Victoria","non-dropping-particle":"","parse-names":false,"suffix":""},{"dropping-particle":"","family":"Rodríguez","given":"Rosalía","non-dropping-particle":"","parse-names":false,"suffix":""},{"dropping-particle":"","family":"Vicente","given":"Gemma","non-dropping-particle":"","parse-names":false,"suffix":""},{"dropping-particle":"","family":"Bautista","given":"Luis Fernando","non-dropping-particle":"","parse-names":false,"suffix":""}],"container-title":"Molecules","id":"ITEM-4","issue":"12","issued":{"date-parts":[["2020","6"]]},"page":"2834","title":"Cultivation of Microalgae and Cyanobacteria: Effect of Operating Conditions on Growth and Biomass Composition","type":"article-journal","volume":"25"},"uris":["http://www.mendeley.com/documents/?uuid=4bbdcda0-890b-4da9-aa51-76ee0f213397","http://www.mendeley.com/documents/?uuid=b1f1aee8-9ed9-4af3-a084-6c8b10bc7593"]}],"mendeley":{"formattedCitation":"(Ferrer-Ledo et al., 2023; Hawrot-Paw &amp; Sąsiadek, 2023; Pozzobon, 2022; Sánchez-Bayo et al., 2020)","plainTextFormattedCitation":"(Ferrer-Ledo et al., 2023; Hawrot-Paw &amp; Sąsiadek, 2023; Pozzobon, 2022; Sánchez-Bayo et al., 2020)","previouslyFormattedCitation":"(Ferrer-Ledo et al., 2023; Hawrot-Paw &amp; Sąsiadek, 2023; Pozzobon, 2022; Sánchez-Bayo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(Ferrer-Ledo et al., 2023; Hawrot-Paw &amp; Sąsiadek, 2023; Pozzobon, 2022; Sánchez-Bayo et al., 2020</w:t>
      </w:r>
      <w:r w:rsidR="009E58BE" w:rsidRPr="009E58BE">
        <w:rPr>
          <w:rFonts w:ascii="Arial" w:hAnsi="Arial" w:cs="Arial"/>
          <w:noProof/>
          <w:lang w:eastAsia="en-ID"/>
        </w:rPr>
        <w:t xml:space="preserve">; </w:t>
      </w:r>
      <w:r w:rsidR="009E58BE" w:rsidRPr="009E58BE">
        <w:rPr>
          <w:rFonts w:ascii="Arial" w:hAnsi="Arial" w:cs="Arial"/>
          <w:noProof/>
          <w:lang w:val="en-ID" w:eastAsia="en-ID"/>
        </w:rPr>
        <w:t xml:space="preserve">Febrieni et al., 2020; </w:t>
      </w:r>
      <w:r w:rsidR="009E58BE" w:rsidRPr="009E58BE">
        <w:rPr>
          <w:rFonts w:ascii="Arial" w:hAnsi="Arial" w:cs="Arial"/>
          <w:noProof/>
          <w:lang w:eastAsia="en-ID"/>
        </w:rPr>
        <w:t>Zurano et al., 2020</w:t>
      </w:r>
      <w:r w:rsidRPr="009E58BE">
        <w:rPr>
          <w:rFonts w:ascii="Arial" w:hAnsi="Arial" w:cs="Arial"/>
          <w:noProof/>
          <w:lang w:eastAsia="en-ID"/>
        </w:rPr>
        <w:t>)</w:t>
      </w:r>
      <w:r w:rsidRPr="009E58BE">
        <w:rPr>
          <w:rFonts w:ascii="Arial" w:hAnsi="Arial" w:cs="Arial"/>
          <w:lang w:eastAsia="en-ID"/>
        </w:rPr>
        <w:fldChar w:fldCharType="end"/>
      </w:r>
      <w:r w:rsidRPr="009E58BE">
        <w:rPr>
          <w:rFonts w:ascii="Arial" w:hAnsi="Arial" w:cs="Arial"/>
          <w:lang w:eastAsia="en-ID"/>
        </w:rPr>
        <w:t>.</w:t>
      </w:r>
    </w:p>
    <w:p w14:paraId="3B648AE2" w14:textId="77777777" w:rsidR="007E56A6" w:rsidRPr="009E58BE" w:rsidRDefault="007E56A6" w:rsidP="007E56A6">
      <w:pPr>
        <w:jc w:val="both"/>
        <w:rPr>
          <w:rFonts w:ascii="Arial" w:hAnsi="Arial" w:cs="Arial"/>
          <w:lang w:eastAsia="en-ID"/>
        </w:rPr>
      </w:pPr>
    </w:p>
    <w:p w14:paraId="1B30E4CF" w14:textId="77777777" w:rsidR="007E56A6" w:rsidRPr="009E58BE" w:rsidRDefault="007E56A6" w:rsidP="007E56A6">
      <w:pPr>
        <w:jc w:val="both"/>
        <w:rPr>
          <w:rFonts w:ascii="Arial" w:hAnsi="Arial" w:cs="Arial"/>
          <w:lang w:eastAsia="en-ID"/>
        </w:rPr>
      </w:pPr>
      <w:r w:rsidRPr="009E58BE">
        <w:rPr>
          <w:rFonts w:ascii="Arial" w:hAnsi="Arial" w:cs="Arial"/>
          <w:lang w:eastAsia="en-ID"/>
        </w:rPr>
        <w:t>Table 1. Water quality parameters</w:t>
      </w:r>
    </w:p>
    <w:tbl>
      <w:tblPr>
        <w:tblStyle w:val="TableGrid"/>
        <w:tblW w:w="0" w:type="auto"/>
        <w:tblLook w:val="04A0" w:firstRow="1" w:lastRow="0" w:firstColumn="1" w:lastColumn="0" w:noHBand="0" w:noVBand="1"/>
      </w:tblPr>
      <w:tblGrid>
        <w:gridCol w:w="1498"/>
        <w:gridCol w:w="619"/>
        <w:gridCol w:w="1194"/>
        <w:gridCol w:w="1133"/>
        <w:gridCol w:w="1133"/>
        <w:gridCol w:w="1132"/>
        <w:gridCol w:w="1489"/>
      </w:tblGrid>
      <w:tr w:rsidR="007E56A6" w:rsidRPr="009E58BE" w14:paraId="3E5C9A8D" w14:textId="77777777" w:rsidTr="0031705F">
        <w:tc>
          <w:tcPr>
            <w:tcW w:w="1554" w:type="dxa"/>
            <w:vMerge w:val="restart"/>
          </w:tcPr>
          <w:p w14:paraId="3DC6917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Parameters</w:t>
            </w:r>
          </w:p>
        </w:tc>
        <w:tc>
          <w:tcPr>
            <w:tcW w:w="624" w:type="dxa"/>
            <w:vMerge w:val="restart"/>
          </w:tcPr>
          <w:p w14:paraId="05C7923F"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Unit</w:t>
            </w:r>
          </w:p>
        </w:tc>
        <w:tc>
          <w:tcPr>
            <w:tcW w:w="5188" w:type="dxa"/>
            <w:gridSpan w:val="4"/>
          </w:tcPr>
          <w:p w14:paraId="544232B5"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Treatment salinity</w:t>
            </w:r>
          </w:p>
        </w:tc>
        <w:tc>
          <w:tcPr>
            <w:tcW w:w="1650" w:type="dxa"/>
            <w:vMerge w:val="restart"/>
          </w:tcPr>
          <w:p w14:paraId="0AA02FF6"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Optimum</w:t>
            </w:r>
          </w:p>
        </w:tc>
      </w:tr>
      <w:tr w:rsidR="007E56A6" w:rsidRPr="009E58BE" w14:paraId="7DD4BFE4" w14:textId="77777777" w:rsidTr="0031705F">
        <w:tc>
          <w:tcPr>
            <w:tcW w:w="1554" w:type="dxa"/>
            <w:vMerge/>
          </w:tcPr>
          <w:p w14:paraId="01A1F72E" w14:textId="77777777" w:rsidR="007E56A6" w:rsidRPr="009E58BE" w:rsidRDefault="007E56A6" w:rsidP="0031705F">
            <w:pPr>
              <w:jc w:val="center"/>
              <w:rPr>
                <w:rFonts w:ascii="Arial" w:eastAsia="Times New Roman" w:hAnsi="Arial" w:cs="Arial"/>
                <w:b/>
                <w:bCs/>
                <w:sz w:val="20"/>
                <w:szCs w:val="20"/>
                <w:lang w:eastAsia="en-ID"/>
              </w:rPr>
            </w:pPr>
          </w:p>
        </w:tc>
        <w:tc>
          <w:tcPr>
            <w:tcW w:w="624" w:type="dxa"/>
            <w:vMerge/>
          </w:tcPr>
          <w:p w14:paraId="3D945F07" w14:textId="77777777" w:rsidR="007E56A6" w:rsidRPr="009E58BE" w:rsidRDefault="007E56A6" w:rsidP="0031705F">
            <w:pPr>
              <w:jc w:val="center"/>
              <w:rPr>
                <w:rFonts w:ascii="Arial" w:eastAsia="Times New Roman" w:hAnsi="Arial" w:cs="Arial"/>
                <w:b/>
                <w:bCs/>
                <w:sz w:val="20"/>
                <w:szCs w:val="20"/>
                <w:lang w:eastAsia="en-ID"/>
              </w:rPr>
            </w:pPr>
          </w:p>
        </w:tc>
        <w:tc>
          <w:tcPr>
            <w:tcW w:w="1361" w:type="dxa"/>
          </w:tcPr>
          <w:p w14:paraId="000E55AE"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25 ppt</w:t>
            </w:r>
          </w:p>
        </w:tc>
        <w:tc>
          <w:tcPr>
            <w:tcW w:w="1276" w:type="dxa"/>
          </w:tcPr>
          <w:p w14:paraId="40F9B3C0"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28 ppt</w:t>
            </w:r>
          </w:p>
        </w:tc>
        <w:tc>
          <w:tcPr>
            <w:tcW w:w="1276" w:type="dxa"/>
          </w:tcPr>
          <w:p w14:paraId="4671A7CA"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31 ppt</w:t>
            </w:r>
          </w:p>
        </w:tc>
        <w:tc>
          <w:tcPr>
            <w:tcW w:w="1275" w:type="dxa"/>
          </w:tcPr>
          <w:p w14:paraId="113ECC1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34 ppt</w:t>
            </w:r>
          </w:p>
        </w:tc>
        <w:tc>
          <w:tcPr>
            <w:tcW w:w="1650" w:type="dxa"/>
            <w:vMerge/>
          </w:tcPr>
          <w:p w14:paraId="31289B26" w14:textId="77777777" w:rsidR="007E56A6" w:rsidRPr="009E58BE" w:rsidRDefault="007E56A6" w:rsidP="0031705F">
            <w:pPr>
              <w:jc w:val="both"/>
              <w:rPr>
                <w:rFonts w:ascii="Arial" w:eastAsia="Times New Roman" w:hAnsi="Arial" w:cs="Arial"/>
                <w:sz w:val="20"/>
                <w:szCs w:val="20"/>
                <w:lang w:eastAsia="en-ID"/>
              </w:rPr>
            </w:pPr>
          </w:p>
        </w:tc>
      </w:tr>
      <w:tr w:rsidR="007E56A6" w:rsidRPr="009E58BE" w14:paraId="2C9518BA" w14:textId="77777777" w:rsidTr="0031705F">
        <w:tc>
          <w:tcPr>
            <w:tcW w:w="1554" w:type="dxa"/>
          </w:tcPr>
          <w:p w14:paraId="65D28BC8"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Temperature</w:t>
            </w:r>
          </w:p>
        </w:tc>
        <w:tc>
          <w:tcPr>
            <w:tcW w:w="624" w:type="dxa"/>
          </w:tcPr>
          <w:p w14:paraId="59495E88" w14:textId="77777777" w:rsidR="007E56A6" w:rsidRPr="009E58BE" w:rsidRDefault="007E56A6" w:rsidP="0031705F">
            <w:pPr>
              <w:jc w:val="center"/>
              <w:rPr>
                <w:rFonts w:ascii="Arial" w:eastAsia="Times New Roman" w:hAnsi="Arial" w:cs="Arial"/>
                <w:sz w:val="20"/>
                <w:szCs w:val="20"/>
                <w:lang w:eastAsia="en-ID"/>
              </w:rPr>
            </w:pPr>
            <w:proofErr w:type="spellStart"/>
            <w:r w:rsidRPr="009E58BE">
              <w:rPr>
                <w:rFonts w:ascii="Arial" w:eastAsia="Times New Roman" w:hAnsi="Arial" w:cs="Arial"/>
                <w:sz w:val="20"/>
                <w:szCs w:val="20"/>
                <w:vertAlign w:val="superscript"/>
                <w:lang w:eastAsia="en-ID"/>
              </w:rPr>
              <w:t>o</w:t>
            </w:r>
            <w:r w:rsidRPr="009E58BE">
              <w:rPr>
                <w:rFonts w:ascii="Arial" w:eastAsia="Times New Roman" w:hAnsi="Arial" w:cs="Arial"/>
                <w:sz w:val="20"/>
                <w:szCs w:val="20"/>
                <w:lang w:eastAsia="en-ID"/>
              </w:rPr>
              <w:t>C</w:t>
            </w:r>
            <w:proofErr w:type="spellEnd"/>
          </w:p>
        </w:tc>
        <w:tc>
          <w:tcPr>
            <w:tcW w:w="1361" w:type="dxa"/>
          </w:tcPr>
          <w:p w14:paraId="6EBC704E"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4E2D459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39D28E7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5" w:type="dxa"/>
          </w:tcPr>
          <w:p w14:paraId="5DAF327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650" w:type="dxa"/>
          </w:tcPr>
          <w:p w14:paraId="252F8F31"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25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28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stability","type":"article-journal","volume":"45"},"uris":["http://www.mendeley.com/documents/?uuid=968cf06b-d278-473b-a411-4c798c9742f4","http://www.mendeley.com/documents/?uuid=5b90fec1-d88e-4aad-a1f5-4c6ab4c8e342"]}],"mendeley":{"formattedCitation":"(Canelli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p>
        </w:tc>
      </w:tr>
      <w:tr w:rsidR="007E56A6" w:rsidRPr="009E58BE" w14:paraId="5D7FD2E4" w14:textId="77777777" w:rsidTr="0031705F">
        <w:tc>
          <w:tcPr>
            <w:tcW w:w="1554" w:type="dxa"/>
          </w:tcPr>
          <w:p w14:paraId="6EE26DCF"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lastRenderedPageBreak/>
              <w:t>pH</w:t>
            </w:r>
          </w:p>
        </w:tc>
        <w:tc>
          <w:tcPr>
            <w:tcW w:w="624" w:type="dxa"/>
          </w:tcPr>
          <w:p w14:paraId="7F9BA105" w14:textId="77777777" w:rsidR="007E56A6" w:rsidRPr="009E58BE" w:rsidRDefault="007E56A6" w:rsidP="0031705F">
            <w:pPr>
              <w:jc w:val="center"/>
              <w:rPr>
                <w:rFonts w:ascii="Arial" w:eastAsia="Times New Roman" w:hAnsi="Arial" w:cs="Arial"/>
                <w:sz w:val="20"/>
                <w:szCs w:val="20"/>
                <w:vertAlign w:val="superscript"/>
                <w:lang w:eastAsia="en-ID"/>
              </w:rPr>
            </w:pPr>
            <w:r w:rsidRPr="009E58BE">
              <w:rPr>
                <w:rFonts w:ascii="Arial" w:eastAsia="Times New Roman" w:hAnsi="Arial" w:cs="Arial"/>
                <w:sz w:val="20"/>
                <w:szCs w:val="20"/>
                <w:vertAlign w:val="superscript"/>
                <w:lang w:eastAsia="en-ID"/>
              </w:rPr>
              <w:t>-</w:t>
            </w:r>
          </w:p>
        </w:tc>
        <w:tc>
          <w:tcPr>
            <w:tcW w:w="1361" w:type="dxa"/>
          </w:tcPr>
          <w:p w14:paraId="107D42B7"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6" w:type="dxa"/>
          </w:tcPr>
          <w:p w14:paraId="307530B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7.2-8.1</w:t>
            </w:r>
          </w:p>
        </w:tc>
        <w:tc>
          <w:tcPr>
            <w:tcW w:w="1276" w:type="dxa"/>
          </w:tcPr>
          <w:p w14:paraId="1ADB765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5" w:type="dxa"/>
          </w:tcPr>
          <w:p w14:paraId="70588DF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7.2-8.3</w:t>
            </w:r>
          </w:p>
        </w:tc>
        <w:tc>
          <w:tcPr>
            <w:tcW w:w="1650" w:type="dxa"/>
          </w:tcPr>
          <w:p w14:paraId="104C6308"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7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stability","type":"article-journal","volume":"45"},"uris":["http://www.mendeley.com/documents/?uuid=5b90fec1-d88e-4aad-a1f5-4c6ab4c8e342","http://www.mendeley.com/documents/?uuid=968cf06b-d278-473b-a411-4c798c9742f4"]}],"mendeley":{"formattedCitation":"(Canelli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p>
        </w:tc>
      </w:tr>
      <w:tr w:rsidR="007E56A6" w:rsidRPr="009E58BE" w14:paraId="2084035D" w14:textId="77777777" w:rsidTr="0031705F">
        <w:tc>
          <w:tcPr>
            <w:tcW w:w="1554" w:type="dxa"/>
          </w:tcPr>
          <w:p w14:paraId="0BCA5C62"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Light intensity</w:t>
            </w:r>
          </w:p>
        </w:tc>
        <w:tc>
          <w:tcPr>
            <w:tcW w:w="624" w:type="dxa"/>
          </w:tcPr>
          <w:p w14:paraId="6D46D0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lux</w:t>
            </w:r>
          </w:p>
        </w:tc>
        <w:tc>
          <w:tcPr>
            <w:tcW w:w="1361" w:type="dxa"/>
          </w:tcPr>
          <w:p w14:paraId="50AB42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5514B20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15FF49D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5" w:type="dxa"/>
          </w:tcPr>
          <w:p w14:paraId="7DC0313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650" w:type="dxa"/>
          </w:tcPr>
          <w:p w14:paraId="512C0336"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val="en-ID" w:eastAsia="en-ID"/>
              </w:rPr>
              <w:t xml:space="preserve">500 – 5,000 lux </w:t>
            </w:r>
            <w:r w:rsidRPr="009E58BE">
              <w:rPr>
                <w:rFonts w:ascii="Arial" w:hAnsi="Arial" w:cs="Arial"/>
                <w:lang w:eastAsia="en-ID"/>
              </w:rPr>
              <w:fldChar w:fldCharType="begin" w:fldLock="1"/>
            </w:r>
            <w:r w:rsidRPr="009E58BE">
              <w:rPr>
                <w:rFonts w:ascii="Arial" w:eastAsia="Times New Roman" w:hAnsi="Arial" w:cs="Arial"/>
                <w:sz w:val="20"/>
                <w:szCs w:val="20"/>
                <w:lang w:val="en-ID" w:eastAsia="en-ID"/>
              </w:rPr>
              <w:instrText>ADDIN CSL_CITATION {"citationItems":[{"id":"ITEM-1","itemData":{"DOI":"10.1088/1755-1315/584/1/012040","ISSN":"17551315","abstract":"Chlorella vulgaris was a potential microalga as a source of biomass due to its high lipid content. This study aimed to determine the growth and total lipid content of C. vulgaris that cultured in different light intensity. There were four-level treatments of light intensity applied i.e.: 2,500; 5,000; 7,500 and 10,000 lux, and were replicated three times. Microalga C. vulgaris was cultured in the plastic container, 35-40 ppt salinity, moderately aerated, kept in 19-25 C temperature, and pH 8-10 in the laboratory. The light intensity was given continuously for 24 hours. The culture media was enriched with Walne's fertilizer (1 ml/l media). The period of culture was 12 days and growth was measured as cell density. The harvested microalga was dried, and the total lipid was then determined. Total lipid content was determined by the gravimetric method. Results showed that there were significant differences (p≤0.05) in the growth among four-level treatments of different light intensity, as well as for the total lipid content (p≤0.05). The best total lipid content was reached from sample at 10,000 lux (17.40±0.52% dry weight), followed by 7,500 lux (15.06±0.25% dry weight), 5,000 lux (13.3±0.43% dry weight) and 2,500 lux (7.30±0.30% dry weight), respectively.","author":[{"dropping-particle":"","family":"Febrieni","given":"V. N.","non-dropping-particle":"","parse-names":false,"suffix":""},{"dropping-particle":"","family":"Sedjati","given":"S.","non-dropping-particle":"","parse-names":false,"suffix":""},{"dropping-particle":"","family":"Yudiati","given":"E.","non-dropping-particle":"","parse-names":false,"suffix":""}],"container-title":"IOP Conference Series: Earth and Environmental Science","id":"ITEM-1","issue":"1","issued":{"date-parts":[["2020"]]},"title":"Optimization of light intensity on growth rate and total lipid content of Chlorella vulgaris","type":"article-journal","volume":"584"},"uris":["http://www.mendeley.com/documents/?uuid=59addb37-578a-4527-8e26-7e879d874bde"]}],"mendeley":{"formattedCitation":"(Febrieni et al., 2020)","plainTextFormattedCitation":"(Febrieni et al., 2020)","previouslyFormattedCitation":"(Febrieni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val="en-ID" w:eastAsia="en-ID"/>
              </w:rPr>
              <w:t>(Febrieni et al., 2020)</w:t>
            </w:r>
            <w:r w:rsidRPr="009E58BE">
              <w:rPr>
                <w:rFonts w:ascii="Arial" w:hAnsi="Arial" w:cs="Arial"/>
                <w:lang w:eastAsia="en-ID"/>
              </w:rPr>
              <w:fldChar w:fldCharType="end"/>
            </w:r>
            <w:r w:rsidRPr="009E58BE">
              <w:rPr>
                <w:rFonts w:ascii="Arial" w:eastAsia="Times New Roman" w:hAnsi="Arial" w:cs="Arial"/>
                <w:sz w:val="20"/>
                <w:szCs w:val="20"/>
                <w:lang w:val="en-ID" w:eastAsia="en-ID"/>
              </w:rPr>
              <w:t xml:space="preserve"> </w:t>
            </w:r>
          </w:p>
        </w:tc>
      </w:tr>
      <w:tr w:rsidR="007E56A6" w:rsidRPr="009E58BE" w14:paraId="6B36C3C0" w14:textId="77777777" w:rsidTr="0031705F">
        <w:tc>
          <w:tcPr>
            <w:tcW w:w="1554" w:type="dxa"/>
          </w:tcPr>
          <w:p w14:paraId="0381CAF9"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Dissolved oxygen</w:t>
            </w:r>
          </w:p>
        </w:tc>
        <w:tc>
          <w:tcPr>
            <w:tcW w:w="624" w:type="dxa"/>
          </w:tcPr>
          <w:p w14:paraId="2554712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ppm</w:t>
            </w:r>
          </w:p>
        </w:tc>
        <w:tc>
          <w:tcPr>
            <w:tcW w:w="1361" w:type="dxa"/>
          </w:tcPr>
          <w:p w14:paraId="33868019"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49ED14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2729EFA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5.2-6.3</w:t>
            </w:r>
          </w:p>
        </w:tc>
        <w:tc>
          <w:tcPr>
            <w:tcW w:w="1275" w:type="dxa"/>
          </w:tcPr>
          <w:p w14:paraId="0EDCE12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5.3-6.5</w:t>
            </w:r>
          </w:p>
        </w:tc>
        <w:tc>
          <w:tcPr>
            <w:tcW w:w="1650" w:type="dxa"/>
          </w:tcPr>
          <w:p w14:paraId="4AB70B3B"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5 – 13 mg/L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{"citationItems":[{"id":"ITEM-1","itemData":{"author":[{"dropping-particle":"","family":"Zurano","given":"Sánchez Zurano","non-dropping-particle":"","parse-names":false,"suffix":""},{"dropping-particle":"","family":"Serrano","given":"Gómez","non-dropping-particle":"","parse-names":false,"suffix":""},{"dropping-particle":"","family":"Fernández","given":"Acién","non-dropping-particle":"","parse-names":false,"suffix":""},{"dropping-particle":"","family":"Sevilla","given":"Fernández","non-dropping-particle":"","parse-names":false,"suffix":""},{"dropping-particle":"","family":"Grima","given":"Molina","non-dropping-particle":"","parse-names":false,"suffix":""}],"container-title":"Chemical Engineering Department, University of Almeria, Ctra. Sacramento, s/n, 04120 Almería, Spain","id":"ITEM-1","issued":{"date-parts":[["2020"]]},"page":"1-26","title":"No Modeling of photosynthesis and respiration rate for microalgae-bacteria consortia Sánchez","type":"article-journal"},"uris":["http://www.mendeley.com/documents/?uuid=201c4687-6214-436b-99c0-f150ffb97e3a"]}],"mendeley":{"formattedCitation":"(Zurano et al., 2020)","plainTextFormattedCitation":"(Zurano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(Zurano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w:t>
            </w:r>
          </w:p>
        </w:tc>
      </w:tr>
    </w:tbl>
    <w:p w14:paraId="2F009D7A" w14:textId="77777777" w:rsidR="007E56A6" w:rsidRPr="009E58BE" w:rsidRDefault="007E56A6" w:rsidP="007E56A6">
      <w:pPr>
        <w:jc w:val="both"/>
        <w:rPr>
          <w:rFonts w:ascii="Arial" w:hAnsi="Arial" w:cs="Arial"/>
          <w:lang w:eastAsia="en-ID"/>
        </w:rPr>
      </w:pPr>
    </w:p>
    <w:p w14:paraId="45A62D8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 consistency in water quality conditions enhances the internal validity of this study by minimizing confounding variables. This ensures that the observed differences in physiological and biochemical responses are attributable to salinity treatment rather than environmental fluctuations.</w:t>
      </w:r>
    </w:p>
    <w:p w14:paraId="132E916E" w14:textId="77777777" w:rsidR="007E56A6" w:rsidRPr="009E58BE" w:rsidRDefault="007E56A6" w:rsidP="007E56A6">
      <w:pPr>
        <w:jc w:val="both"/>
        <w:rPr>
          <w:rFonts w:ascii="Arial" w:hAnsi="Arial" w:cs="Arial"/>
          <w:lang w:eastAsia="en-ID"/>
        </w:rPr>
      </w:pPr>
    </w:p>
    <w:p w14:paraId="7C8DF190" w14:textId="5D4BD44C" w:rsidR="007E56A6" w:rsidRPr="009E58BE" w:rsidRDefault="007E56A6" w:rsidP="007E56A6">
      <w:pPr>
        <w:jc w:val="both"/>
        <w:rPr>
          <w:rFonts w:ascii="Arial" w:hAnsi="Arial" w:cs="Arial"/>
          <w:b/>
          <w:bCs/>
          <w:lang w:eastAsia="en-ID"/>
        </w:rPr>
      </w:pPr>
      <w:r w:rsidRPr="009E58BE">
        <w:rPr>
          <w:rFonts w:ascii="Arial" w:hAnsi="Arial" w:cs="Arial"/>
          <w:b/>
          <w:bCs/>
          <w:lang w:eastAsia="en-ID"/>
        </w:rPr>
        <w:t>3.7 Integrative Discussion and Implications</w:t>
      </w:r>
    </w:p>
    <w:p w14:paraId="6C7921E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This study provides compelling evidence that salinity plays a multifaceted role in regulating growth, biomass accumulation, pigment biosynthesis, and lipid productivity in </w:t>
      </w:r>
      <w:r w:rsidRPr="009E58BE">
        <w:rPr>
          <w:rFonts w:ascii="Arial" w:hAnsi="Arial" w:cs="Arial"/>
          <w:i/>
          <w:iCs/>
          <w:lang w:eastAsia="en-ID"/>
        </w:rPr>
        <w:t>Chlorella vulgaris</w:t>
      </w:r>
      <w:r w:rsidRPr="009E58BE">
        <w:rPr>
          <w:rFonts w:ascii="Arial" w:hAnsi="Arial" w:cs="Arial"/>
          <w:lang w:eastAsia="en-ID"/>
        </w:rPr>
        <w:t xml:space="preserve">. The optimal salinity range identified (31–34 ppt) appears to stimulate both primary metabolism (growth and chlorophyll) and secondary metabolism (lipid accumulation), offering a rare synergy between productivity and </w:t>
      </w:r>
      <w:proofErr w:type="spellStart"/>
      <w:r w:rsidRPr="009E58BE">
        <w:rPr>
          <w:rFonts w:ascii="Arial" w:hAnsi="Arial" w:cs="Arial"/>
          <w:lang w:eastAsia="en-ID"/>
        </w:rPr>
        <w:t>biofunctional</w:t>
      </w:r>
      <w:proofErr w:type="spellEnd"/>
      <w:r w:rsidRPr="009E58BE">
        <w:rPr>
          <w:rFonts w:ascii="Arial" w:hAnsi="Arial" w:cs="Arial"/>
          <w:lang w:eastAsia="en-ID"/>
        </w:rPr>
        <w:t xml:space="preserve"> quality.</w:t>
      </w:r>
    </w:p>
    <w:p w14:paraId="7E15F5F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These findings have important implications for the aquaculture and bioresource sectors, particularly in the design of culture protocols for high-value microalgal biomass. Modulating salinity provides a non-invasive, cost-effective approach to enhancing algal quality without the need for genetic modification or chemical additives.</w:t>
      </w:r>
    </w:p>
    <w:p w14:paraId="2B8A630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study confirms that </w:t>
      </w:r>
      <w:r w:rsidRPr="009E58BE">
        <w:rPr>
          <w:rFonts w:ascii="Arial" w:hAnsi="Arial" w:cs="Arial"/>
          <w:i/>
          <w:iCs/>
          <w:lang w:eastAsia="en-ID"/>
        </w:rPr>
        <w:t>C. vulgaris</w:t>
      </w:r>
      <w:r w:rsidRPr="009E58BE">
        <w:rPr>
          <w:rFonts w:ascii="Arial" w:hAnsi="Arial" w:cs="Arial"/>
          <w:lang w:eastAsia="en-ID"/>
        </w:rPr>
        <w:t xml:space="preserve"> can tolerate moderate hypersaline environments, potentially enabling its cultivation in brackish or waste saltwater systems, thereby contributing to resource-efficient aquaculture and integrated multitrophic systems (IMTA).</w:t>
      </w:r>
    </w:p>
    <w:p w14:paraId="77067422" w14:textId="77777777" w:rsidR="007E56A6" w:rsidRPr="009E58BE" w:rsidRDefault="007E56A6" w:rsidP="007E56A6">
      <w:pPr>
        <w:jc w:val="both"/>
        <w:rPr>
          <w:rFonts w:ascii="Arial" w:hAnsi="Arial" w:cs="Arial"/>
          <w:color w:val="000000"/>
          <w:shd w:val="clear" w:color="auto" w:fill="FFFFFF"/>
        </w:rPr>
      </w:pPr>
    </w:p>
    <w:p w14:paraId="4DA24612" w14:textId="2B751D1C" w:rsidR="007E56A6" w:rsidRPr="009E58BE" w:rsidRDefault="007E56A6" w:rsidP="007E56A6">
      <w:pPr>
        <w:jc w:val="both"/>
        <w:rPr>
          <w:rFonts w:ascii="Arial" w:hAnsi="Arial" w:cs="Arial"/>
          <w:b/>
          <w:bCs/>
          <w:color w:val="000000"/>
          <w:shd w:val="clear" w:color="auto" w:fill="FFFFFF"/>
        </w:rPr>
      </w:pPr>
      <w:r w:rsidRPr="009E58BE">
        <w:rPr>
          <w:rFonts w:ascii="Arial" w:hAnsi="Arial" w:cs="Arial"/>
          <w:b/>
          <w:bCs/>
          <w:color w:val="000000"/>
          <w:shd w:val="clear" w:color="auto" w:fill="FFFFFF"/>
        </w:rPr>
        <w:t>4. CONCLUSION</w:t>
      </w:r>
    </w:p>
    <w:p w14:paraId="6566F4FB" w14:textId="77777777" w:rsidR="007E56A6" w:rsidRPr="009E58BE" w:rsidRDefault="007E56A6" w:rsidP="007E56A6">
      <w:pPr>
        <w:jc w:val="both"/>
        <w:rPr>
          <w:rFonts w:ascii="Arial" w:hAnsi="Arial" w:cs="Arial"/>
          <w:color w:val="000000"/>
          <w:shd w:val="clear" w:color="auto" w:fill="FFFFFF"/>
        </w:rPr>
      </w:pPr>
      <w:r w:rsidRPr="009E58BE">
        <w:rPr>
          <w:rFonts w:ascii="Arial" w:hAnsi="Arial" w:cs="Arial"/>
          <w:color w:val="000000"/>
          <w:shd w:val="clear" w:color="auto" w:fill="FFFFFF"/>
        </w:rPr>
        <w:t xml:space="preserve">This study demonstrated that salinity is a critical environmental parameter influencing the growth dynamics, biomass yield, chlorophyll a content, and lipid biosynthesis of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Among the tested salinity gradients (25, 28, 31, and 34 ppt), the highest performance was observed across all measured parameters at 34 ppt, closely followed by 31 ppt. These conditions not only enhanced cell density and biomass productivity but also significantly increased chlorophyll a concentration and lipid accumulation, indicating a synergistic stimulation of both primary and secondary metabolism. The findings suggest that moderate hypersaline conditions can be strategically applied to optimize both quantitative and qualitative aspects of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biomass, making it a high-value candidate for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feed applications. Furthermore, the ability of </w:t>
      </w:r>
      <w:commentRangeStart w:id="4"/>
      <w:r w:rsidRPr="009E58BE">
        <w:rPr>
          <w:rFonts w:ascii="Arial" w:hAnsi="Arial" w:cs="Arial"/>
          <w:color w:val="000000"/>
          <w:shd w:val="clear" w:color="auto" w:fill="FFFFFF"/>
        </w:rPr>
        <w:t xml:space="preserve">C. vulgaris </w:t>
      </w:r>
      <w:commentRangeEnd w:id="4"/>
      <w:r w:rsidR="00E87587">
        <w:rPr>
          <w:rStyle w:val="CommentReference"/>
          <w:rFonts w:ascii="Times New Roman" w:hAnsi="Times New Roman"/>
          <w:lang w:val="nb-NO" w:eastAsia="nb-NO"/>
        </w:rPr>
        <w:commentReference w:id="4"/>
      </w:r>
      <w:r w:rsidRPr="009E58BE">
        <w:rPr>
          <w:rFonts w:ascii="Arial" w:hAnsi="Arial" w:cs="Arial"/>
          <w:color w:val="000000"/>
          <w:shd w:val="clear" w:color="auto" w:fill="FFFFFF"/>
        </w:rPr>
        <w:t>to maintain high productivity under elevated salinity highlights its potential for cultivation in saline or brackish water systems, contributing to sustainable aquaculture and circular bioeconomy strategies.</w:t>
      </w:r>
    </w:p>
    <w:p w14:paraId="39D13639" w14:textId="77777777" w:rsidR="007E56A6" w:rsidRPr="009E58BE" w:rsidRDefault="007E56A6" w:rsidP="007E56A6">
      <w:pPr>
        <w:jc w:val="both"/>
        <w:rPr>
          <w:rFonts w:ascii="Arial" w:hAnsi="Arial" w:cs="Arial"/>
          <w:color w:val="000000"/>
          <w:shd w:val="clear" w:color="auto" w:fill="FFFFFF"/>
        </w:rPr>
      </w:pPr>
    </w:p>
    <w:p w14:paraId="572DA3B9" w14:textId="68205CCF" w:rsidR="00E549F0" w:rsidRPr="009E58BE" w:rsidRDefault="00E549F0" w:rsidP="00D748A4">
      <w:pPr>
        <w:tabs>
          <w:tab w:val="left" w:pos="1260"/>
        </w:tabs>
        <w:spacing w:after="160"/>
        <w:jc w:val="both"/>
        <w:rPr>
          <w:rFonts w:ascii="Arial" w:hAnsi="Arial" w:cs="Arial"/>
          <w:b/>
          <w:bCs/>
        </w:rPr>
      </w:pPr>
    </w:p>
    <w:bookmarkEnd w:id="1"/>
    <w:p w14:paraId="59D253D4" w14:textId="77777777" w:rsidR="009E58BE" w:rsidRPr="009E58BE" w:rsidRDefault="009E58BE" w:rsidP="009E58BE">
      <w:pPr>
        <w:rPr>
          <w:rFonts w:ascii="Arial" w:hAnsi="Arial" w:cs="Arial"/>
          <w:b/>
          <w:bCs/>
          <w:color w:val="000000"/>
          <w:shd w:val="clear" w:color="auto" w:fill="FFFFFF"/>
        </w:rPr>
      </w:pPr>
      <w:commentRangeStart w:id="5"/>
      <w:r w:rsidRPr="009E58BE">
        <w:rPr>
          <w:rFonts w:ascii="Arial" w:hAnsi="Arial" w:cs="Arial"/>
          <w:b/>
          <w:bCs/>
          <w:color w:val="000000"/>
          <w:shd w:val="clear" w:color="auto" w:fill="FFFFFF"/>
        </w:rPr>
        <w:t>REFERENCES</w:t>
      </w:r>
      <w:commentRangeEnd w:id="5"/>
      <w:r w:rsidR="00E87587">
        <w:rPr>
          <w:rStyle w:val="CommentReference"/>
          <w:rFonts w:ascii="Times New Roman" w:hAnsi="Times New Roman"/>
          <w:lang w:val="nb-NO" w:eastAsia="nb-NO"/>
        </w:rPr>
        <w:commentReference w:id="5"/>
      </w:r>
    </w:p>
    <w:p w14:paraId="74E6E10D" w14:textId="77777777" w:rsidR="009E58BE" w:rsidRPr="009E58BE" w:rsidRDefault="009E58BE" w:rsidP="009E58BE">
      <w:pPr>
        <w:jc w:val="center"/>
        <w:rPr>
          <w:rFonts w:ascii="Arial" w:hAnsi="Arial" w:cs="Arial"/>
          <w:b/>
          <w:bCs/>
          <w:color w:val="000000"/>
          <w:shd w:val="clear" w:color="auto" w:fill="FFFFFF"/>
        </w:rPr>
      </w:pPr>
    </w:p>
    <w:p w14:paraId="5854A5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 xml:space="preserve">ADDIN Mendeley Bibliography CSL_BIBLIOGRAPHY </w:instrText>
      </w:r>
      <w:r w:rsidRPr="009E58BE">
        <w:rPr>
          <w:rFonts w:ascii="Arial" w:hAnsi="Arial" w:cs="Arial"/>
          <w:color w:val="000000"/>
          <w:shd w:val="clear" w:color="auto" w:fill="FFFFFF"/>
        </w:rPr>
        <w:fldChar w:fldCharType="separate"/>
      </w:r>
      <w:r w:rsidRPr="009E58BE">
        <w:rPr>
          <w:rFonts w:ascii="Arial" w:hAnsi="Arial" w:cs="Arial"/>
          <w:noProof/>
        </w:rPr>
        <w:t xml:space="preserve">Aigner, S., Glaser, K., Arc, E., Holzinger, A., Schletter, M., Karsten, U., &amp; Kranner, I. (2020). Adaptation to Aquatic and Terrestrial Environments in Chlorella vulgaris (Chlorophyta).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https://doi.org/10.3389/fmicb.2020.585836</w:t>
      </w:r>
    </w:p>
    <w:p w14:paraId="4255BB3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lastRenderedPageBreak/>
        <w:t xml:space="preserve">Aryani, N., Suharman, I., Hasibuan, S., Asiah, N., &amp; Syandri, H. (2023). Fatty acid composition on diet and carcasses, growth, body indices and profile serum of Asian redtail catfish (Hemibagrus nemurus) fed a diet containing different levels of EPA and DHA. </w:t>
      </w:r>
      <w:r w:rsidRPr="009E58BE">
        <w:rPr>
          <w:rFonts w:ascii="Arial" w:hAnsi="Arial" w:cs="Arial"/>
          <w:i/>
          <w:iCs/>
          <w:noProof/>
        </w:rPr>
        <w:t>F1000Research</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1409. https://doi.org/10.12688/f1000research.126487.2</w:t>
      </w:r>
    </w:p>
    <w:p w14:paraId="6DFBCA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Canelli, G., Neutsch, L., Carpine, R., Tevere, S., Giuffrida, F., Rohfritsch, Z., Dionisi, F., Bolten, C. J., &amp; Mathys, A. (2020). Chlorella vulgaris in a heterotrophic bioprocess: Study of the lipid bioaccessibility and oxidative stability.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101754. https://doi.org/10.1016/j.algal.2019.101754</w:t>
      </w:r>
    </w:p>
    <w:p w14:paraId="6F8EC05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Cunha, S. A., Coscueta, E. R., Nova, P., Silva, J. L., &amp; Pintado, M. M. (2022). Bioactive Hydrolysates from Chlorella vulgaris: Optimal Process and Bioactive Properties.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27</w:t>
      </w:r>
      <w:r w:rsidRPr="009E58BE">
        <w:rPr>
          <w:rFonts w:ascii="Arial" w:hAnsi="Arial" w:cs="Arial"/>
          <w:noProof/>
        </w:rPr>
        <w:t>(8), 2505. https://doi.org/10.3390/molecules27082505</w:t>
      </w:r>
    </w:p>
    <w:p w14:paraId="5275241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Devadasu, E., Kanna, S. D., Neelam, S., Yadav, R. M., Nama, S., Akhtar, P., Polgár, T. F., Ughy, B., Garab, G., Lambrev, P. H., &amp; Subramanyam, R. (2023). Long- and short-term acclimation of the photosynthetic apparatus to salinity in Chlamydomonas reinhardtii. The role of Stt7 protein kinase.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https://doi.org/10.3389/fpls.2023.1051711</w:t>
      </w:r>
    </w:p>
    <w:p w14:paraId="72F57A0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Dong, Y., Chen, R. R., Petropoulos, E., Yao, T. Y., Yu, B. Q., Lin, X. G., &amp; Feng, Y. Z. (2022). Microbial Carbon Use Efficiency in Coastal Soils Along a Salinity Gradient Revealed by Ecoenzymatic Stoichiometry. </w:t>
      </w:r>
      <w:r w:rsidRPr="009E58BE">
        <w:rPr>
          <w:rFonts w:ascii="Arial" w:hAnsi="Arial" w:cs="Arial"/>
          <w:i/>
          <w:iCs/>
          <w:noProof/>
        </w:rPr>
        <w:t>Journal of Geophysical Research: Biogeosciences</w:t>
      </w:r>
      <w:r w:rsidRPr="009E58BE">
        <w:rPr>
          <w:rFonts w:ascii="Arial" w:hAnsi="Arial" w:cs="Arial"/>
          <w:noProof/>
        </w:rPr>
        <w:t xml:space="preserve">, </w:t>
      </w:r>
      <w:r w:rsidRPr="009E58BE">
        <w:rPr>
          <w:rFonts w:ascii="Arial" w:hAnsi="Arial" w:cs="Arial"/>
          <w:i/>
          <w:iCs/>
          <w:noProof/>
        </w:rPr>
        <w:t>127</w:t>
      </w:r>
      <w:r w:rsidRPr="009E58BE">
        <w:rPr>
          <w:rFonts w:ascii="Arial" w:hAnsi="Arial" w:cs="Arial"/>
          <w:noProof/>
        </w:rPr>
        <w:t>(8). https://doi.org/10.1029/2022JG006800</w:t>
      </w:r>
    </w:p>
    <w:p w14:paraId="4E56BD2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Falcioni, R., Antunes, W. C., Demattê, J. A. M., &amp; Nanni, M. R. (2023). Biophysical, Biochemical, and Photochemical Analyses Using Reflectance Hyperspectroscopy and Chlorophyll a Fluorescence Kinetics in Variegated Leaves. </w:t>
      </w:r>
      <w:r w:rsidRPr="009E58BE">
        <w:rPr>
          <w:rFonts w:ascii="Arial" w:hAnsi="Arial" w:cs="Arial"/>
          <w:i/>
          <w:iCs/>
          <w:noProof/>
        </w:rPr>
        <w:t>Biology</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(5), 704. https://doi.org/10.3390/biology12050704</w:t>
      </w:r>
    </w:p>
    <w:p w14:paraId="70A24E2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Farkas, A., Pap, B., Zsíros, O., Patai, R., Shetty, P., Garab, G., Bíró, T., Ördög, V., &amp; Maróti, G. (2023). Salinity stress provokes diverse physiological responses of eukaryotic unicellular microalgae.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73</w:t>
      </w:r>
      <w:r w:rsidRPr="009E58BE">
        <w:rPr>
          <w:rFonts w:ascii="Arial" w:hAnsi="Arial" w:cs="Arial"/>
          <w:noProof/>
        </w:rPr>
        <w:t>, 103155. https://doi.org/10.1016/j.algal.2023.103155</w:t>
      </w:r>
    </w:p>
    <w:p w14:paraId="1D9D7D6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Febrieni, V. N., Sedjati, S., &amp; Yudiati, E. (2020). Optimization of light intensity on growth rate and total lipid content of Chlorella vulgaris. </w:t>
      </w:r>
      <w:r w:rsidRPr="009E58BE">
        <w:rPr>
          <w:rFonts w:ascii="Arial" w:hAnsi="Arial" w:cs="Arial"/>
          <w:i/>
          <w:iCs/>
          <w:noProof/>
        </w:rPr>
        <w:t>IOP Conference Series: Earth and Environmental Science</w:t>
      </w:r>
      <w:r w:rsidRPr="009E58BE">
        <w:rPr>
          <w:rFonts w:ascii="Arial" w:hAnsi="Arial" w:cs="Arial"/>
          <w:noProof/>
        </w:rPr>
        <w:t xml:space="preserve">, </w:t>
      </w:r>
      <w:r w:rsidRPr="009E58BE">
        <w:rPr>
          <w:rFonts w:ascii="Arial" w:hAnsi="Arial" w:cs="Arial"/>
          <w:i/>
          <w:iCs/>
          <w:noProof/>
        </w:rPr>
        <w:t>584</w:t>
      </w:r>
      <w:r w:rsidRPr="009E58BE">
        <w:rPr>
          <w:rFonts w:ascii="Arial" w:hAnsi="Arial" w:cs="Arial"/>
          <w:noProof/>
        </w:rPr>
        <w:t>(1). https://doi.org/10.1088/1755-1315/584/1/012040</w:t>
      </w:r>
    </w:p>
    <w:p w14:paraId="3DE15BE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Ferrer-Ledo, N., Stegemüller, L., Janssen, M., Wijffels, R. H., &amp; Barbosa, M. J. (2023). Growth and fatty acid distribution over lipid classes in Nannochloropsis oceanica acclimated to different temperatures.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https://doi.org/10.3389/fpls.2023.1078998</w:t>
      </w:r>
    </w:p>
    <w:p w14:paraId="098F3AD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Gardner, G. L., Moradi, F., Moffatt, C., Cliche, M., Garlisi, B., Gratton, J., Mehmood, F., &amp; Stuart, J. A. (2022). Rapid nutrient depletion to below the physiological range by cancer cells cultured in Plasmax. </w:t>
      </w:r>
      <w:r w:rsidRPr="009E58BE">
        <w:rPr>
          <w:rFonts w:ascii="Arial" w:hAnsi="Arial" w:cs="Arial"/>
          <w:i/>
          <w:iCs/>
          <w:noProof/>
        </w:rPr>
        <w:t>American Journal of Physiology-Cell Physiology</w:t>
      </w:r>
      <w:r w:rsidRPr="009E58BE">
        <w:rPr>
          <w:rFonts w:ascii="Arial" w:hAnsi="Arial" w:cs="Arial"/>
          <w:noProof/>
        </w:rPr>
        <w:t xml:space="preserve">, </w:t>
      </w:r>
      <w:r w:rsidRPr="009E58BE">
        <w:rPr>
          <w:rFonts w:ascii="Arial" w:hAnsi="Arial" w:cs="Arial"/>
          <w:i/>
          <w:iCs/>
          <w:noProof/>
        </w:rPr>
        <w:t>323</w:t>
      </w:r>
      <w:r w:rsidRPr="009E58BE">
        <w:rPr>
          <w:rFonts w:ascii="Arial" w:hAnsi="Arial" w:cs="Arial"/>
          <w:noProof/>
        </w:rPr>
        <w:t>(3), C823–C834. https://doi.org/10.1152/ajpcell.00403.2021</w:t>
      </w:r>
    </w:p>
    <w:p w14:paraId="56D1B52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Hawrot-Paw, M., &amp; Sąsiadek, M. (2023). Optimization of Microalgal Biomass Production in Vertical Tubular Photobioreactors. </w:t>
      </w:r>
      <w:r w:rsidRPr="009E58BE">
        <w:rPr>
          <w:rFonts w:ascii="Arial" w:hAnsi="Arial" w:cs="Arial"/>
          <w:i/>
          <w:iCs/>
          <w:noProof/>
        </w:rPr>
        <w:t>Energies</w:t>
      </w:r>
      <w:r w:rsidRPr="009E58BE">
        <w:rPr>
          <w:rFonts w:ascii="Arial" w:hAnsi="Arial" w:cs="Arial"/>
          <w:noProof/>
        </w:rPr>
        <w:t xml:space="preserve">, </w:t>
      </w:r>
      <w:r w:rsidRPr="009E58BE">
        <w:rPr>
          <w:rFonts w:ascii="Arial" w:hAnsi="Arial" w:cs="Arial"/>
          <w:i/>
          <w:iCs/>
          <w:noProof/>
        </w:rPr>
        <w:t>16</w:t>
      </w:r>
      <w:r w:rsidRPr="009E58BE">
        <w:rPr>
          <w:rFonts w:ascii="Arial" w:hAnsi="Arial" w:cs="Arial"/>
          <w:noProof/>
        </w:rPr>
        <w:t>(5), 2429. https://doi.org/10.3390/en16052429</w:t>
      </w:r>
    </w:p>
    <w:p w14:paraId="461F91F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Hena, S., Bhatelia, T., Patel, H., Anderson, D., Bonadeo, B., &amp; Shah, M. (2023). Biofixation of Carbon Dioxide Using Chlorella vulgaris. </w:t>
      </w:r>
      <w:r w:rsidRPr="009E58BE">
        <w:rPr>
          <w:rFonts w:ascii="Arial" w:hAnsi="Arial" w:cs="Arial"/>
          <w:i/>
          <w:iCs/>
          <w:noProof/>
        </w:rPr>
        <w:t>Industrial &amp; Engineering Chemistry Research</w:t>
      </w:r>
      <w:r w:rsidRPr="009E58BE">
        <w:rPr>
          <w:rFonts w:ascii="Arial" w:hAnsi="Arial" w:cs="Arial"/>
          <w:noProof/>
        </w:rPr>
        <w:t>. https://doi.org/10.1021/acs.iecr.3c00525</w:t>
      </w:r>
    </w:p>
    <w:p w14:paraId="442F0FF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Hounslow, E., Evans, C. A., Pandhal, J., Sydney, T., Couto, N., Pham, T. K., Gilmour, D. J., &amp; Wright, P. C. (2021). Quantitative proteomic comparison of salt stress in Chlamydomonas reinhardtii and the snow alga Chlamydomonas nivalis reveals mechanisms for salt-triggered fatty acid accumulation via reallocation of carbon resources. </w:t>
      </w:r>
      <w:r w:rsidRPr="009E58BE">
        <w:rPr>
          <w:rFonts w:ascii="Arial" w:hAnsi="Arial" w:cs="Arial"/>
          <w:i/>
          <w:iCs/>
          <w:noProof/>
        </w:rPr>
        <w:t>Biotechnology for Biofuels</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(1), 121. https://doi.org/10.1186/s13068-021-01970-6</w:t>
      </w:r>
    </w:p>
    <w:p w14:paraId="5C8528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Jahromi, K. G., Koochi, Z. H., Kavoosi, G., &amp; Shahsavar, A. (2022). Manipulation of fatty acid profile and nutritional quality of Chlorella vulgaris by supplementing with citrus peel fatty </w:t>
      </w:r>
      <w:r w:rsidRPr="009E58BE">
        <w:rPr>
          <w:rFonts w:ascii="Arial" w:hAnsi="Arial" w:cs="Arial"/>
          <w:noProof/>
        </w:rPr>
        <w:lastRenderedPageBreak/>
        <w:t xml:space="preserve">acid.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(1), 8151. https://doi.org/10.1038/s41598-022-12309-y</w:t>
      </w:r>
    </w:p>
    <w:p w14:paraId="7B676E6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Kakarla, R., Pontoh, J., &amp; Momuat, L. I. (2017). Analisis Kandungan Klorofil Pada Beberapa Posisi Anak Daun Aren (Arenga pinnata) dengan Spektrofotometer UV-Vis. </w:t>
      </w:r>
      <w:r w:rsidRPr="009E58BE">
        <w:rPr>
          <w:rFonts w:ascii="Arial" w:hAnsi="Arial" w:cs="Arial"/>
          <w:i/>
          <w:iCs/>
          <w:noProof/>
        </w:rPr>
        <w:t>Jurnal MIPA</w:t>
      </w:r>
      <w:r w:rsidRPr="009E58BE">
        <w:rPr>
          <w:rFonts w:ascii="Arial" w:hAnsi="Arial" w:cs="Arial"/>
          <w:noProof/>
        </w:rPr>
        <w:t xml:space="preserve">, </w:t>
      </w:r>
      <w:r w:rsidRPr="009E58BE">
        <w:rPr>
          <w:rFonts w:ascii="Arial" w:hAnsi="Arial" w:cs="Arial"/>
          <w:i/>
          <w:iCs/>
          <w:noProof/>
        </w:rPr>
        <w:t>6</w:t>
      </w:r>
      <w:r w:rsidRPr="009E58BE">
        <w:rPr>
          <w:rFonts w:ascii="Arial" w:hAnsi="Arial" w:cs="Arial"/>
          <w:noProof/>
        </w:rPr>
        <w:t>(2), 49. https://doi.org/10.35799/jm.6.2.2017.17758</w:t>
      </w:r>
    </w:p>
    <w:p w14:paraId="4A0274B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Kanaga, S., Silambarasan, T., Malini, E., Mangayarkarasi, S., &amp; Dhandapani, R. (2022). Optimization of biomass production from Chlorella vulgaris by response surface methodology and study of the fatty acid profile for biodiesel production: A green approach. </w:t>
      </w:r>
      <w:r w:rsidRPr="009E58BE">
        <w:rPr>
          <w:rFonts w:ascii="Arial" w:hAnsi="Arial" w:cs="Arial"/>
          <w:i/>
          <w:iCs/>
          <w:noProof/>
        </w:rPr>
        <w:t>Biocatalysis and Agricultural Biotechnology</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102505. https://doi.org/10.1016/j.bcab.2022.102505</w:t>
      </w:r>
    </w:p>
    <w:p w14:paraId="5B44D63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Karlický, V., Kmecová Materová, Z., Kurasová, I., Nezval, J., Štroch, M., Garab, G., &amp; Špunda, V. (2021). Accumulation of geranylgeranylated chlorophylls in the pigment-protein complexes of Arabidopsis thaliana acclimated to green light: effects on the organization of light-harvesting complex II and photosystem II functions.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149</w:t>
      </w:r>
      <w:r w:rsidRPr="009E58BE">
        <w:rPr>
          <w:rFonts w:ascii="Arial" w:hAnsi="Arial" w:cs="Arial"/>
          <w:noProof/>
        </w:rPr>
        <w:t>(1–2), 233–252. https://doi.org/10.1007/s11120-021-00827-1</w:t>
      </w:r>
    </w:p>
    <w:p w14:paraId="7ADAE33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Kratzer, R., &amp; Murkovic, M. (2021). Food Ingredients and Nutraceuticals from Microalgae: Main Product Classes and Biotechnological Production.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1626. https://doi.org/10.3390/foods10071626</w:t>
      </w:r>
    </w:p>
    <w:p w14:paraId="3A4C33D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F., Amenorfenyo, D. K., Zhang, Y., Zhang, N., Li, C., &amp; Huang, X. (2021). Cultivation of Chlorella vulgaris in Membrane-Treated Industrial Distillery Wastewater: Growth and Wastewater Treatment. </w:t>
      </w:r>
      <w:r w:rsidRPr="009E58BE">
        <w:rPr>
          <w:rFonts w:ascii="Arial" w:hAnsi="Arial" w:cs="Arial"/>
          <w:i/>
          <w:iCs/>
          <w:noProof/>
        </w:rPr>
        <w:t>Frontiers in Environmental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https://doi.org/10.3389/fenvs.2021.770633</w:t>
      </w:r>
    </w:p>
    <w:p w14:paraId="186C834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H., Tan, J., Mu, Y., &amp; Gao, J. (2021). Lipid accumulation of Chlorella sp. TLD6B from the Taklimakan Desert under salt stress. </w:t>
      </w:r>
      <w:r w:rsidRPr="009E58BE">
        <w:rPr>
          <w:rFonts w:ascii="Arial" w:hAnsi="Arial" w:cs="Arial"/>
          <w:i/>
          <w:iCs/>
          <w:noProof/>
        </w:rPr>
        <w:t>PeerJ</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e11525. https://doi.org/10.7717/peerj.11525</w:t>
      </w:r>
    </w:p>
    <w:p w14:paraId="15F46C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S., Meenakshi, V., Nithya, S., Alharbi, S. A., Salmen, S. H., Shanmuganathan, R., Zhang, L., &amp; Xia, C. (2023). Impact of the combined effect of seawater exposure with wastewater and Fe2O3 nanoparticles on Chlorella vulgaris microalgae growth, lipid content, biochar, and bio-oil production. </w:t>
      </w:r>
      <w:r w:rsidRPr="009E58BE">
        <w:rPr>
          <w:rFonts w:ascii="Arial" w:hAnsi="Arial" w:cs="Arial"/>
          <w:i/>
          <w:iCs/>
          <w:noProof/>
        </w:rPr>
        <w:t>Environmental Research</w:t>
      </w:r>
      <w:r w:rsidRPr="009E58BE">
        <w:rPr>
          <w:rFonts w:ascii="Arial" w:hAnsi="Arial" w:cs="Arial"/>
          <w:noProof/>
        </w:rPr>
        <w:t xml:space="preserve">, </w:t>
      </w:r>
      <w:r w:rsidRPr="009E58BE">
        <w:rPr>
          <w:rFonts w:ascii="Arial" w:hAnsi="Arial" w:cs="Arial"/>
          <w:i/>
          <w:iCs/>
          <w:noProof/>
        </w:rPr>
        <w:t>232</w:t>
      </w:r>
      <w:r w:rsidRPr="009E58BE">
        <w:rPr>
          <w:rFonts w:ascii="Arial" w:hAnsi="Arial" w:cs="Arial"/>
          <w:noProof/>
        </w:rPr>
        <w:t>, 116300. https://doi.org/10.1016/j.envres.2023.116300</w:t>
      </w:r>
    </w:p>
    <w:p w14:paraId="5D015E1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Liang, M.-H., Wu, F.-C., Liang, Z.-C., Chen, H.-H., &amp; Jiang, J.-G. (2020). Induction of carotenoid cleavage by salt stress and the effect of their products on cell growth and pigment accumulation in Dunaliella sp. FACHB-847.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48</w:t>
      </w:r>
      <w:r w:rsidRPr="009E58BE">
        <w:rPr>
          <w:rFonts w:ascii="Arial" w:hAnsi="Arial" w:cs="Arial"/>
          <w:noProof/>
        </w:rPr>
        <w:t>, 101901. https://doi.org/10.1016/j.algal.2020.101901</w:t>
      </w:r>
    </w:p>
    <w:p w14:paraId="188338E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Mastropetros, S. G., Tsigkou, K., Cladas, Y., Priya, A. K., &amp; Kornaros, M. (2023). Effect of Nitrogen, Salinity, and Light Intensity on the Biomass Composition of Nephroselmis sp.: Optimization of Lipids Accumulation (Including EPA). </w:t>
      </w:r>
      <w:r w:rsidRPr="009E58BE">
        <w:rPr>
          <w:rFonts w:ascii="Arial" w:hAnsi="Arial" w:cs="Arial"/>
          <w:i/>
          <w:iCs/>
          <w:noProof/>
        </w:rPr>
        <w:t>Marine Drugs</w:t>
      </w:r>
      <w:r w:rsidRPr="009E58BE">
        <w:rPr>
          <w:rFonts w:ascii="Arial" w:hAnsi="Arial" w:cs="Arial"/>
          <w:noProof/>
        </w:rPr>
        <w:t xml:space="preserve">, </w:t>
      </w:r>
      <w:r w:rsidRPr="009E58BE">
        <w:rPr>
          <w:rFonts w:ascii="Arial" w:hAnsi="Arial" w:cs="Arial"/>
          <w:i/>
          <w:iCs/>
          <w:noProof/>
        </w:rPr>
        <w:t>21</w:t>
      </w:r>
      <w:r w:rsidRPr="009E58BE">
        <w:rPr>
          <w:rFonts w:ascii="Arial" w:hAnsi="Arial" w:cs="Arial"/>
          <w:noProof/>
        </w:rPr>
        <w:t>(6), 331. https://doi.org/10.3390/md21060331</w:t>
      </w:r>
    </w:p>
    <w:p w14:paraId="7D29BCC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Matsui, H., Sasaki, T., Kobari, T., Waqalevu, V., Kikuchi, K., Ishikawa, M., &amp; Kotani, T. (2021). DHA Accumulation in the Polar Lipids of the Euryhaline Copepod Pseudodiaptomus inopinus and Its Transfer to Red Sea Bream Pagrus major Larvae.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https://doi.org/10.3389/fmars.2021.632876</w:t>
      </w:r>
    </w:p>
    <w:p w14:paraId="453BB1C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Moradi-Kheibari, N., Ahmadzadeh, H., &amp; Lyon, S. R. (2022). Correlation of Total Lipid Content of Chlorella vulgaris With the Dynamics of Individual Fatty Acid Growth Rates.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https://doi.org/10.3389/fmars.2022.837067</w:t>
      </w:r>
    </w:p>
    <w:p w14:paraId="1E1FDB7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Mufidah, A., Agustono, A., Sudarno, S., &amp; Nindarwi, D. D. (2019). The Culture Technique of Chlorella sp. in Laboratory scale and Intermediates at the “Balai Perikanan Budidaya Air Payau Situbondo” East Java. </w:t>
      </w:r>
      <w:r w:rsidRPr="009E58BE">
        <w:rPr>
          <w:rFonts w:ascii="Arial" w:hAnsi="Arial" w:cs="Arial"/>
          <w:i/>
          <w:iCs/>
          <w:noProof/>
        </w:rPr>
        <w:t>Journal of Aquaculture and Fish Health</w:t>
      </w:r>
      <w:r w:rsidRPr="009E58BE">
        <w:rPr>
          <w:rFonts w:ascii="Arial" w:hAnsi="Arial" w:cs="Arial"/>
          <w:noProof/>
        </w:rPr>
        <w:t xml:space="preserve">, </w:t>
      </w:r>
      <w:r w:rsidRPr="009E58BE">
        <w:rPr>
          <w:rFonts w:ascii="Arial" w:hAnsi="Arial" w:cs="Arial"/>
          <w:i/>
          <w:iCs/>
          <w:noProof/>
        </w:rPr>
        <w:t>7</w:t>
      </w:r>
      <w:r w:rsidRPr="009E58BE">
        <w:rPr>
          <w:rFonts w:ascii="Arial" w:hAnsi="Arial" w:cs="Arial"/>
          <w:noProof/>
        </w:rPr>
        <w:t>(2). https://doi.org/10.20473/jafh.v7i2.11246</w:t>
      </w:r>
    </w:p>
    <w:p w14:paraId="4733123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Ortiz Camargo, A. R., van Mastrigt, O., Bongers, R. S., Ben-Amor, K., Knol, J., Abee, T., &amp; Smid, E. J. (2023). Quantitative Physiology and Proteome Adaptations of Bifidobacterium breve NRBB57 at Near-Zero Growth Rates. </w:t>
      </w:r>
      <w:r w:rsidRPr="009E58BE">
        <w:rPr>
          <w:rFonts w:ascii="Arial" w:hAnsi="Arial" w:cs="Arial"/>
          <w:i/>
          <w:iCs/>
          <w:noProof/>
        </w:rPr>
        <w:t>Microbiology Spectrum</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(3). https://doi.org/10.1128/spectrum.02568-22</w:t>
      </w:r>
    </w:p>
    <w:p w14:paraId="0D4F75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Paramasivam, P., Kanagesan, K., Bhuyar, P., Govindan, N., Ab. Rahim, M. H., &amp; Maniam, G. </w:t>
      </w:r>
      <w:r w:rsidRPr="009E58BE">
        <w:rPr>
          <w:rFonts w:ascii="Arial" w:hAnsi="Arial" w:cs="Arial"/>
          <w:noProof/>
        </w:rPr>
        <w:lastRenderedPageBreak/>
        <w:t xml:space="preserve">P. (2021). Biomass and lipid production from indigenous Nannochloropsis sp. by employing stress factors for improved biodiesel production. </w:t>
      </w:r>
      <w:r w:rsidRPr="009E58BE">
        <w:rPr>
          <w:rFonts w:ascii="Arial" w:hAnsi="Arial" w:cs="Arial"/>
          <w:i/>
          <w:iCs/>
          <w:noProof/>
        </w:rPr>
        <w:t>Environment, Development and Sustainability</w:t>
      </w:r>
      <w:r w:rsidRPr="009E58BE">
        <w:rPr>
          <w:rFonts w:ascii="Arial" w:hAnsi="Arial" w:cs="Arial"/>
          <w:noProof/>
        </w:rPr>
        <w:t>. https://doi.org/10.1007/s10668-021-01910-2</w:t>
      </w:r>
    </w:p>
    <w:p w14:paraId="3C6998F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Polle, J. E. W., Calhoun, S., McKie-Krisberg, Z., Prochnik, S., Neofotis, P., Yim, W. C., Hathwaik, L. T., Jenkins, J., Molina, H., Bunkenborg, J., Grigoriev, I. V., Barry, K., Schmutz, J., Jin, E., Cushman, J. C., &amp; Magnusson, J. K. (2020). Genomic adaptations of the green alga Dunaliella salina to life under high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50</w:t>
      </w:r>
      <w:r w:rsidRPr="009E58BE">
        <w:rPr>
          <w:rFonts w:ascii="Arial" w:hAnsi="Arial" w:cs="Arial"/>
          <w:noProof/>
        </w:rPr>
        <w:t>, 101990. https://doi.org/10.1016/j.algal.2020.101990</w:t>
      </w:r>
    </w:p>
    <w:p w14:paraId="3A1E3B5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Pozzobon, V. (2022). Chlorella vulgaris cultivation under super high light intensity: An application of the flashing light effect.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68</w:t>
      </w:r>
      <w:r w:rsidRPr="009E58BE">
        <w:rPr>
          <w:rFonts w:ascii="Arial" w:hAnsi="Arial" w:cs="Arial"/>
          <w:noProof/>
        </w:rPr>
        <w:t>, 102874. https://doi.org/10.1016/j.algal.2022.102874</w:t>
      </w:r>
    </w:p>
    <w:p w14:paraId="34D7128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Ramachandran, P., Pandey, N. K., Yadav, R. M., Suresh, P., Kumar, A., &amp; Subramanyam, R. (2023). Photosynthetic efficiency and transcriptome analysis of Dunaliella salina under hypersaline: a retrograde signaling mechanism in the chloroplast.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https://doi.org/10.3389/fpls.2023.1192258</w:t>
      </w:r>
    </w:p>
    <w:p w14:paraId="39EEBF6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Sánchez-Bayo, A., Morales, V., Rodríguez, R., Vicente, G., &amp; Bautista, L. F. (2020). Cultivation of Microalgae and Cyanobacteria: Effect of Operating Conditions on Growth and Biomass Composition.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25</w:t>
      </w:r>
      <w:r w:rsidRPr="009E58BE">
        <w:rPr>
          <w:rFonts w:ascii="Arial" w:hAnsi="Arial" w:cs="Arial"/>
          <w:noProof/>
        </w:rPr>
        <w:t>(12), 2834. https://doi.org/10.3390/molecules25122834</w:t>
      </w:r>
    </w:p>
    <w:p w14:paraId="17319DA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Schagerl, M., Siedler, R., Konopáčová, E., &amp; Ali, S. S. (2022). Estimating Biomass and Vitality of Microalgae for Monitoring Cultures: A Roadmap for Reliable Measurements. </w:t>
      </w:r>
      <w:r w:rsidRPr="009E58BE">
        <w:rPr>
          <w:rFonts w:ascii="Arial" w:hAnsi="Arial" w:cs="Arial"/>
          <w:i/>
          <w:iCs/>
          <w:noProof/>
        </w:rPr>
        <w:t>Cells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(15), 2455. https://doi.org/10.3390/cells11152455</w:t>
      </w:r>
    </w:p>
    <w:p w14:paraId="6579AAD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Schüler, L., Greque de Morais, E., Trovão, M., Machado, A., Carvalho, B., Carneiro, M., Maia, I., Soares, M., Duarte, P., Barros, A., Pereira, H., Silva, J., &amp; Varela, J. (2020). Isolation and Characterization of Novel Chlorella Vulgaris Mutants With Low Chlorophyll and Improved Protein Contents for Food Applications. </w:t>
      </w:r>
      <w:r w:rsidRPr="009E58BE">
        <w:rPr>
          <w:rFonts w:ascii="Arial" w:hAnsi="Arial" w:cs="Arial"/>
          <w:i/>
          <w:iCs/>
          <w:noProof/>
        </w:rPr>
        <w:t>Frontiers in Bioengineering and Biotechnology</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https://doi.org/10.3389/fbioe.2020.00469</w:t>
      </w:r>
    </w:p>
    <w:p w14:paraId="079CDE0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Simkin, A. J., Kapoor, L., Doss, C. G. P., Hofmann, T. A., Lawson, T., &amp; Ramamoorthy, S. (2022). The role of photosynthesis related pigments in light harvesting, photoprotection and enhancement of photosynthetic yield in planta.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152</w:t>
      </w:r>
      <w:r w:rsidRPr="009E58BE">
        <w:rPr>
          <w:rFonts w:ascii="Arial" w:hAnsi="Arial" w:cs="Arial"/>
          <w:noProof/>
        </w:rPr>
        <w:t>(1), 23–42. https://doi.org/10.1007/s11120-021-00892-6</w:t>
      </w:r>
    </w:p>
    <w:p w14:paraId="27FE11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Singh, J., Kaushik, S., Maharana, C., Jhingan, G. D., &amp; Dhar, D. W. (2023). Elevated inorganic carbon and salinity enhances photosynthesis and ATP synthesis in picoalga Picocystis salinarum as revealed by label free quantitative proteomics.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https://doi.org/10.3389/fmicb.2023.1059199</w:t>
      </w:r>
    </w:p>
    <w:p w14:paraId="58EC71A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Spennati, E., Mirizadeh, S., Casazza, A. A., Solisio, C., &amp; Converti, A. (2021). Chlorella vulgaris and Arthrospira platensis growth in a continuous membrane photobioreactor using industrial winery wastewater.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60</w:t>
      </w:r>
      <w:r w:rsidRPr="009E58BE">
        <w:rPr>
          <w:rFonts w:ascii="Arial" w:hAnsi="Arial" w:cs="Arial"/>
          <w:noProof/>
        </w:rPr>
        <w:t>, 102519. https://doi.org/10.1016/j.algal.2021.102519</w:t>
      </w:r>
    </w:p>
    <w:p w14:paraId="01CFEF5B"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Su, H., Feng, J., Lv, J., Liu, Q., Nan, F., Liu, X., &amp; Xie, S. (2021). Molecular Mechanism of Lipid Accumulation and Metabolism of Oleaginous Chlorococcum sphacosum GD from Soil under Salt Stress. </w:t>
      </w:r>
      <w:r w:rsidRPr="009E58BE">
        <w:rPr>
          <w:rFonts w:ascii="Arial" w:hAnsi="Arial" w:cs="Arial"/>
          <w:i/>
          <w:iCs/>
          <w:noProof/>
        </w:rPr>
        <w:t>International Journal of Molecular Sciences</w:t>
      </w:r>
      <w:r w:rsidRPr="009E58BE">
        <w:rPr>
          <w:rFonts w:ascii="Arial" w:hAnsi="Arial" w:cs="Arial"/>
          <w:noProof/>
        </w:rPr>
        <w:t xml:space="preserve">, </w:t>
      </w:r>
      <w:r w:rsidRPr="009E58BE">
        <w:rPr>
          <w:rFonts w:ascii="Arial" w:hAnsi="Arial" w:cs="Arial"/>
          <w:i/>
          <w:iCs/>
          <w:noProof/>
        </w:rPr>
        <w:t>22</w:t>
      </w:r>
      <w:r w:rsidRPr="009E58BE">
        <w:rPr>
          <w:rFonts w:ascii="Arial" w:hAnsi="Arial" w:cs="Arial"/>
          <w:noProof/>
        </w:rPr>
        <w:t>(3), 1304. https://doi.org/10.3390/ijms22031304</w:t>
      </w:r>
    </w:p>
    <w:p w14:paraId="211E1C9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Effendy, A. W. M., &amp; Cha, T. S. (2021). Lipid accumulation patterns and role of different fatty acid types towards mitigating salinity fluctuations in Chlorella vulgaris.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 438. https://doi.org/10.1038/s41598-020-79950-3</w:t>
      </w:r>
    </w:p>
    <w:p w14:paraId="1B3AF4D2"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Toda, T., Wahid, M. E. A., &amp; Cha, T. S. (2022). Transcriptome analysis of mangrove-isolated Chlorella vulgaris UMT-M1 reveals insights for vigorous growth and lipid accumulation through reduced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67</w:t>
      </w:r>
      <w:r w:rsidRPr="009E58BE">
        <w:rPr>
          <w:rFonts w:ascii="Arial" w:hAnsi="Arial" w:cs="Arial"/>
          <w:noProof/>
        </w:rPr>
        <w:t>, 102833. https://doi.org/10.1016/j.algal.2022.102833</w:t>
      </w:r>
    </w:p>
    <w:p w14:paraId="3FCED65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Verspreet, J., Soetemans, L., Gargan, C., Hayes, M., &amp; Bastiaens, L. (2021). Nutritional Profiling and Preliminary Bioactivity Screening of Five Micro-Algae Strains Cultivated in </w:t>
      </w:r>
      <w:r w:rsidRPr="009E58BE">
        <w:rPr>
          <w:rFonts w:ascii="Arial" w:hAnsi="Arial" w:cs="Arial"/>
          <w:noProof/>
        </w:rPr>
        <w:lastRenderedPageBreak/>
        <w:t xml:space="preserve">Northwest Europe.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1516. https://doi.org/10.3390/foods10071516</w:t>
      </w:r>
    </w:p>
    <w:p w14:paraId="7D02587E"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Zafar, A. M., Javed, M. A., Aly Hassan, A., Mehmood, K., &amp; Sahle-Demessie, E. (2021). Recent updates on ions and nutrients uptake by halotolerant freshwater and marine microalgae in conditions of high salinity. </w:t>
      </w:r>
      <w:r w:rsidRPr="009E58BE">
        <w:rPr>
          <w:rFonts w:ascii="Arial" w:hAnsi="Arial" w:cs="Arial"/>
          <w:i/>
          <w:iCs/>
          <w:noProof/>
        </w:rPr>
        <w:t>Journal of Water Process Engineering</w:t>
      </w:r>
      <w:r w:rsidRPr="009E58BE">
        <w:rPr>
          <w:rFonts w:ascii="Arial" w:hAnsi="Arial" w:cs="Arial"/>
          <w:noProof/>
        </w:rPr>
        <w:t xml:space="preserve">, </w:t>
      </w:r>
      <w:r w:rsidRPr="009E58BE">
        <w:rPr>
          <w:rFonts w:ascii="Arial" w:hAnsi="Arial" w:cs="Arial"/>
          <w:i/>
          <w:iCs/>
          <w:noProof/>
        </w:rPr>
        <w:t>44</w:t>
      </w:r>
      <w:r w:rsidRPr="009E58BE">
        <w:rPr>
          <w:rFonts w:ascii="Arial" w:hAnsi="Arial" w:cs="Arial"/>
          <w:noProof/>
        </w:rPr>
        <w:t>, 102382. https://doi.org/10.1016/j.jwpe.2021.102382</w:t>
      </w:r>
    </w:p>
    <w:p w14:paraId="5E09C82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Zhang, L.-Y., Xing, Z.-T., Chen, L.-Q., Zhang, X.-J., &amp; Fan, S.-J. (2022). Comprehensive Time-Course Transcriptome and Co-expression Network Analyses Identify Salt Stress Responding Mechanisms in Chlamydomonas reinhardtii Strain GY-D55.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13</w:t>
      </w:r>
      <w:r w:rsidRPr="009E58BE">
        <w:rPr>
          <w:rFonts w:ascii="Arial" w:hAnsi="Arial" w:cs="Arial"/>
          <w:noProof/>
        </w:rPr>
        <w:t>. https://doi.org/10.3389/fpls.2022.828321</w:t>
      </w:r>
    </w:p>
    <w:p w14:paraId="384FFC5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Zurano, S. Z., Serrano, G., Fernández, A., Sevilla, F., &amp; Grima, M. (2020). </w:t>
      </w:r>
      <w:r w:rsidRPr="009E58BE">
        <w:rPr>
          <w:rFonts w:ascii="Arial" w:hAnsi="Arial" w:cs="Arial"/>
          <w:i/>
          <w:iCs/>
          <w:noProof/>
        </w:rPr>
        <w:t>Modeling of Photosynthesis and Respiration Rate For Microalgae-Bacteria Consortia Sánchez</w:t>
      </w:r>
      <w:r w:rsidRPr="009E58BE">
        <w:rPr>
          <w:rFonts w:ascii="Arial" w:hAnsi="Arial" w:cs="Arial"/>
          <w:noProof/>
        </w:rPr>
        <w:t>. Chemical Engineering Department, University of Almeria, Ctra. Sacramento, s/n, 04120 Almería, Spain, 1–26.</w:t>
      </w:r>
    </w:p>
    <w:p w14:paraId="08387C83" w14:textId="6F90B20E" w:rsidR="004D4277" w:rsidRPr="009E58BE" w:rsidRDefault="009E58BE" w:rsidP="009E58BE">
      <w:pPr>
        <w:pStyle w:val="DefAcrHead"/>
        <w:spacing w:after="0"/>
        <w:jc w:val="both"/>
        <w:rPr>
          <w:rFonts w:ascii="Arial" w:hAnsi="Arial" w:cs="Arial"/>
          <w:sz w:val="20"/>
        </w:rPr>
        <w:sectPr w:rsidR="004D4277" w:rsidRPr="009E58BE" w:rsidSect="008036E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9E58BE">
        <w:rPr>
          <w:rFonts w:ascii="Arial" w:hAnsi="Arial" w:cs="Arial"/>
          <w:color w:val="000000"/>
          <w:shd w:val="clear" w:color="auto" w:fill="FFFFFF"/>
        </w:rPr>
        <w:fldChar w:fldCharType="end"/>
      </w:r>
    </w:p>
    <w:p w14:paraId="7A0D5DD7" w14:textId="77777777" w:rsidR="00B01FCD" w:rsidRPr="009E58BE" w:rsidRDefault="00B01FCD" w:rsidP="00CE4EFB">
      <w:pPr>
        <w:pStyle w:val="Appendix"/>
        <w:spacing w:after="0"/>
        <w:jc w:val="both"/>
        <w:rPr>
          <w:rFonts w:ascii="Arial" w:hAnsi="Arial" w:cs="Arial"/>
          <w:b w:val="0"/>
          <w:sz w:val="20"/>
        </w:rPr>
      </w:pPr>
    </w:p>
    <w:sectPr w:rsidR="00B01FCD" w:rsidRPr="009E58BE" w:rsidSect="008036E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misphere Lab Science" w:date="2025-08-15T18:03:00Z" w:initials="CS">
    <w:p w14:paraId="305547F3" w14:textId="635BD3D2" w:rsidR="00E87587" w:rsidRDefault="00E87587">
      <w:pPr>
        <w:pStyle w:val="CommentText"/>
      </w:pPr>
      <w:r>
        <w:rPr>
          <w:rStyle w:val="CommentReference"/>
        </w:rPr>
        <w:annotationRef/>
      </w:r>
      <w:r>
        <w:t>Provide one statement for its future use.</w:t>
      </w:r>
    </w:p>
  </w:comment>
  <w:comment w:id="2" w:author="Chemisphere Lab Science" w:date="2025-08-15T18:04:00Z" w:initials="CS">
    <w:p w14:paraId="54DA099D" w14:textId="51E58D6C" w:rsidR="00E87587" w:rsidRDefault="00E87587">
      <w:pPr>
        <w:pStyle w:val="CommentText"/>
      </w:pPr>
      <w:r>
        <w:rPr>
          <w:rStyle w:val="CommentReference"/>
        </w:rPr>
        <w:annotationRef/>
      </w:r>
      <w:r>
        <w:t>Provide the value obtain for their correlation.</w:t>
      </w:r>
    </w:p>
  </w:comment>
  <w:comment w:id="3" w:author="Chemisphere Lab Science" w:date="2025-08-15T18:05:00Z" w:initials="CS">
    <w:p w14:paraId="170BE4A3" w14:textId="5CEF8D19" w:rsidR="00E87587" w:rsidRDefault="00E87587">
      <w:pPr>
        <w:pStyle w:val="CommentText"/>
      </w:pPr>
      <w:r>
        <w:rPr>
          <w:rStyle w:val="CommentReference"/>
        </w:rPr>
        <w:annotationRef/>
      </w:r>
    </w:p>
  </w:comment>
  <w:comment w:id="4" w:author="Chemisphere Lab Science" w:date="2025-08-15T18:01:00Z" w:initials="CS">
    <w:p w14:paraId="34CA10D9" w14:textId="062510A5" w:rsidR="00E87587" w:rsidRDefault="00E87587">
      <w:pPr>
        <w:pStyle w:val="CommentText"/>
      </w:pPr>
      <w:r>
        <w:rPr>
          <w:rStyle w:val="CommentReference"/>
        </w:rPr>
        <w:annotationRef/>
      </w:r>
      <w:r>
        <w:t>Italize</w:t>
      </w:r>
    </w:p>
  </w:comment>
  <w:comment w:id="5" w:author="Chemisphere Lab Science" w:date="2025-08-15T18:00:00Z" w:initials="CS">
    <w:p w14:paraId="28ED3D08" w14:textId="51EAB90D" w:rsidR="00E87587" w:rsidRDefault="00E87587">
      <w:pPr>
        <w:pStyle w:val="CommentText"/>
      </w:pPr>
      <w:r>
        <w:rPr>
          <w:rStyle w:val="CommentReference"/>
        </w:rPr>
        <w:annotationRef/>
      </w:r>
      <w:r>
        <w:t>Italize the sceintific names written in the title of your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5547F3" w15:done="0"/>
  <w15:commentEx w15:paraId="54DA099D" w15:done="0"/>
  <w15:commentEx w15:paraId="170BE4A3" w15:done="0"/>
  <w15:commentEx w15:paraId="34CA10D9" w15:done="0"/>
  <w15:commentEx w15:paraId="28ED3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0D7C8" w16cex:dateUtc="2025-08-15T10:03:00Z"/>
  <w16cex:commentExtensible w16cex:durableId="21C4758E" w16cex:dateUtc="2025-08-15T10:04:00Z"/>
  <w16cex:commentExtensible w16cex:durableId="6063BF96" w16cex:dateUtc="2025-08-15T10:05:00Z"/>
  <w16cex:commentExtensible w16cex:durableId="727DE842" w16cex:dateUtc="2025-08-15T10:01:00Z"/>
  <w16cex:commentExtensible w16cex:durableId="6A90C999" w16cex:dateUtc="2025-08-15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5547F3" w16cid:durableId="08F0D7C8"/>
  <w16cid:commentId w16cid:paraId="54DA099D" w16cid:durableId="21C4758E"/>
  <w16cid:commentId w16cid:paraId="170BE4A3" w16cid:durableId="6063BF96"/>
  <w16cid:commentId w16cid:paraId="34CA10D9" w16cid:durableId="727DE842"/>
  <w16cid:commentId w16cid:paraId="28ED3D08" w16cid:durableId="6A90C9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6A99" w14:textId="77777777" w:rsidR="000408C9" w:rsidRDefault="000408C9" w:rsidP="00C37E61">
      <w:r>
        <w:separator/>
      </w:r>
    </w:p>
  </w:endnote>
  <w:endnote w:type="continuationSeparator" w:id="0">
    <w:p w14:paraId="01F0E05B" w14:textId="77777777" w:rsidR="000408C9" w:rsidRDefault="000408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5748" w14:textId="77777777" w:rsidR="008036EA" w:rsidRDefault="0080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5C89" w14:textId="77777777" w:rsidR="008036EA" w:rsidRDefault="0080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339E" w14:textId="77777777" w:rsidR="009E048A" w:rsidRDefault="009E048A">
    <w:pPr>
      <w:pStyle w:val="Footer"/>
      <w:rPr>
        <w:rFonts w:ascii="Arial" w:hAnsi="Arial" w:cs="Arial"/>
        <w:sz w:val="16"/>
      </w:rPr>
    </w:pPr>
  </w:p>
  <w:p w14:paraId="5A0E26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9A13A" w14:textId="77777777" w:rsidR="009E048A" w:rsidRDefault="009E048A">
    <w:pPr>
      <w:pStyle w:val="Footer"/>
      <w:rPr>
        <w:rFonts w:ascii="Arial" w:hAnsi="Arial" w:cs="Arial"/>
        <w:sz w:val="16"/>
      </w:rPr>
    </w:pPr>
  </w:p>
  <w:p w14:paraId="62AB23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69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CDD6" w14:textId="77777777" w:rsidR="000408C9" w:rsidRDefault="000408C9" w:rsidP="00C37E61">
      <w:r>
        <w:separator/>
      </w:r>
    </w:p>
  </w:footnote>
  <w:footnote w:type="continuationSeparator" w:id="0">
    <w:p w14:paraId="68F5D6F8" w14:textId="77777777" w:rsidR="000408C9" w:rsidRDefault="000408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C5E9" w14:textId="08676DE1" w:rsidR="008036EA" w:rsidRDefault="00000000">
    <w:pPr>
      <w:pStyle w:val="Header"/>
    </w:pPr>
    <w:r>
      <w:rPr>
        <w:noProof/>
      </w:rPr>
      <w:pict w14:anchorId="0BB0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68F1" w14:textId="455A83F9" w:rsidR="008036EA" w:rsidRDefault="00000000">
    <w:pPr>
      <w:pStyle w:val="Header"/>
    </w:pPr>
    <w:r>
      <w:rPr>
        <w:noProof/>
      </w:rPr>
      <w:pict w14:anchorId="53BA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7D2" w14:textId="55EAA2E4" w:rsidR="00296529" w:rsidRPr="00296529" w:rsidRDefault="00000000" w:rsidP="00296529">
    <w:pPr>
      <w:ind w:left="2160"/>
      <w:jc w:val="center"/>
      <w:rPr>
        <w:rFonts w:ascii="Times New Roman" w:eastAsia="Calibri" w:hAnsi="Times New Roman"/>
        <w:i/>
        <w:sz w:val="18"/>
        <w:szCs w:val="22"/>
      </w:rPr>
    </w:pPr>
    <w:r>
      <w:rPr>
        <w:noProof/>
      </w:rPr>
      <w:pict w14:anchorId="0274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8A62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725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7930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402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E335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80F8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5DB" w14:textId="2404D63C" w:rsidR="008036EA" w:rsidRDefault="00000000">
    <w:pPr>
      <w:pStyle w:val="Header"/>
    </w:pPr>
    <w:r>
      <w:rPr>
        <w:noProof/>
      </w:rPr>
      <w:pict w14:anchorId="7F13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F84" w14:textId="2BC3335E" w:rsidR="008036EA" w:rsidRDefault="00000000">
    <w:pPr>
      <w:pStyle w:val="Header"/>
    </w:pPr>
    <w:r>
      <w:rPr>
        <w:noProof/>
      </w:rPr>
      <w:pict w14:anchorId="6E46C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A114" w14:textId="70D19279" w:rsidR="008036EA" w:rsidRDefault="00000000">
    <w:pPr>
      <w:pStyle w:val="Header"/>
    </w:pPr>
    <w:r>
      <w:rPr>
        <w:noProof/>
      </w:rPr>
      <w:pict w14:anchorId="79BD5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11079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548316">
    <w:abstractNumId w:val="15"/>
  </w:num>
  <w:num w:numId="3" w16cid:durableId="1889604116">
    <w:abstractNumId w:val="23"/>
  </w:num>
  <w:num w:numId="4" w16cid:durableId="3624369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9512618">
    <w:abstractNumId w:val="7"/>
  </w:num>
  <w:num w:numId="6" w16cid:durableId="857277426">
    <w:abstractNumId w:val="6"/>
  </w:num>
  <w:num w:numId="7" w16cid:durableId="1737431896">
    <w:abstractNumId w:val="1"/>
  </w:num>
  <w:num w:numId="8" w16cid:durableId="816067456">
    <w:abstractNumId w:val="12"/>
  </w:num>
  <w:num w:numId="9" w16cid:durableId="444547235">
    <w:abstractNumId w:val="25"/>
  </w:num>
  <w:num w:numId="10" w16cid:durableId="1870214132">
    <w:abstractNumId w:val="2"/>
  </w:num>
  <w:num w:numId="11" w16cid:durableId="1816604031">
    <w:abstractNumId w:val="18"/>
  </w:num>
  <w:num w:numId="12" w16cid:durableId="1126463099">
    <w:abstractNumId w:val="3"/>
  </w:num>
  <w:num w:numId="13" w16cid:durableId="1484811937">
    <w:abstractNumId w:val="17"/>
  </w:num>
  <w:num w:numId="14" w16cid:durableId="1607537197">
    <w:abstractNumId w:val="8"/>
  </w:num>
  <w:num w:numId="15" w16cid:durableId="1843619734">
    <w:abstractNumId w:val="21"/>
  </w:num>
  <w:num w:numId="16" w16cid:durableId="75052543">
    <w:abstractNumId w:val="5"/>
  </w:num>
  <w:num w:numId="17" w16cid:durableId="1160654628">
    <w:abstractNumId w:val="22"/>
  </w:num>
  <w:num w:numId="18" w16cid:durableId="1223522794">
    <w:abstractNumId w:val="14"/>
  </w:num>
  <w:num w:numId="19" w16cid:durableId="763647617">
    <w:abstractNumId w:val="28"/>
  </w:num>
  <w:num w:numId="20" w16cid:durableId="50691159">
    <w:abstractNumId w:val="11"/>
  </w:num>
  <w:num w:numId="21" w16cid:durableId="1015351042">
    <w:abstractNumId w:val="9"/>
  </w:num>
  <w:num w:numId="22" w16cid:durableId="1336764299">
    <w:abstractNumId w:val="13"/>
  </w:num>
  <w:num w:numId="23" w16cid:durableId="1564873157">
    <w:abstractNumId w:val="19"/>
  </w:num>
  <w:num w:numId="24" w16cid:durableId="730075806">
    <w:abstractNumId w:val="26"/>
  </w:num>
  <w:num w:numId="25" w16cid:durableId="1596397253">
    <w:abstractNumId w:val="4"/>
  </w:num>
  <w:num w:numId="26" w16cid:durableId="590703723">
    <w:abstractNumId w:val="16"/>
  </w:num>
  <w:num w:numId="27" w16cid:durableId="950472168">
    <w:abstractNumId w:val="20"/>
  </w:num>
  <w:num w:numId="28" w16cid:durableId="1299409161">
    <w:abstractNumId w:val="27"/>
  </w:num>
  <w:num w:numId="29" w16cid:durableId="625622587">
    <w:abstractNumId w:val="24"/>
  </w:num>
  <w:num w:numId="30" w16cid:durableId="10494960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misphere Lab Science">
    <w15:presenceInfo w15:providerId="Windows Live" w15:userId="89b29255602eac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EDA"/>
    <w:rsid w:val="00030174"/>
    <w:rsid w:val="000408C9"/>
    <w:rsid w:val="0004579C"/>
    <w:rsid w:val="000525E1"/>
    <w:rsid w:val="000A47FA"/>
    <w:rsid w:val="000A65D3"/>
    <w:rsid w:val="000B1E33"/>
    <w:rsid w:val="000C6C14"/>
    <w:rsid w:val="000D689F"/>
    <w:rsid w:val="000E7B7B"/>
    <w:rsid w:val="000E7D62"/>
    <w:rsid w:val="00103357"/>
    <w:rsid w:val="00113AF3"/>
    <w:rsid w:val="00123C9F"/>
    <w:rsid w:val="00126190"/>
    <w:rsid w:val="00130F17"/>
    <w:rsid w:val="001320BF"/>
    <w:rsid w:val="00163BC4"/>
    <w:rsid w:val="00167802"/>
    <w:rsid w:val="00191062"/>
    <w:rsid w:val="00192B72"/>
    <w:rsid w:val="001A29D8"/>
    <w:rsid w:val="001A43D2"/>
    <w:rsid w:val="001A5CAA"/>
    <w:rsid w:val="001B0427"/>
    <w:rsid w:val="001D3A51"/>
    <w:rsid w:val="001D6D95"/>
    <w:rsid w:val="001E10D2"/>
    <w:rsid w:val="001E25B4"/>
    <w:rsid w:val="001E407B"/>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499"/>
    <w:rsid w:val="002C57D2"/>
    <w:rsid w:val="002E0D56"/>
    <w:rsid w:val="00312A55"/>
    <w:rsid w:val="00315186"/>
    <w:rsid w:val="0033130E"/>
    <w:rsid w:val="0033343E"/>
    <w:rsid w:val="003512C2"/>
    <w:rsid w:val="00371FB6"/>
    <w:rsid w:val="003763C1"/>
    <w:rsid w:val="00376BBE"/>
    <w:rsid w:val="0039224F"/>
    <w:rsid w:val="00394957"/>
    <w:rsid w:val="003A43A4"/>
    <w:rsid w:val="003A75B9"/>
    <w:rsid w:val="003A7E18"/>
    <w:rsid w:val="003C1D0A"/>
    <w:rsid w:val="003C4C86"/>
    <w:rsid w:val="003C6258"/>
    <w:rsid w:val="003E2904"/>
    <w:rsid w:val="00401927"/>
    <w:rsid w:val="00406FC0"/>
    <w:rsid w:val="0041027F"/>
    <w:rsid w:val="00412475"/>
    <w:rsid w:val="00423789"/>
    <w:rsid w:val="004319BE"/>
    <w:rsid w:val="00440F43"/>
    <w:rsid w:val="00441B6F"/>
    <w:rsid w:val="00446221"/>
    <w:rsid w:val="00450E62"/>
    <w:rsid w:val="004539DB"/>
    <w:rsid w:val="00471A80"/>
    <w:rsid w:val="004C043E"/>
    <w:rsid w:val="004D305E"/>
    <w:rsid w:val="004D4277"/>
    <w:rsid w:val="00502516"/>
    <w:rsid w:val="005048EB"/>
    <w:rsid w:val="00505F06"/>
    <w:rsid w:val="00506828"/>
    <w:rsid w:val="0053056E"/>
    <w:rsid w:val="00553D2B"/>
    <w:rsid w:val="00554FDA"/>
    <w:rsid w:val="005807AA"/>
    <w:rsid w:val="005C784C"/>
    <w:rsid w:val="005D17F6"/>
    <w:rsid w:val="005E5539"/>
    <w:rsid w:val="006015D2"/>
    <w:rsid w:val="00602BF5"/>
    <w:rsid w:val="0061429F"/>
    <w:rsid w:val="00617FDD"/>
    <w:rsid w:val="00633614"/>
    <w:rsid w:val="00633F68"/>
    <w:rsid w:val="00634C8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2C33"/>
    <w:rsid w:val="007369E6"/>
    <w:rsid w:val="00746E59"/>
    <w:rsid w:val="00754C9A"/>
    <w:rsid w:val="0075599A"/>
    <w:rsid w:val="00761D52"/>
    <w:rsid w:val="0077749E"/>
    <w:rsid w:val="00777D8E"/>
    <w:rsid w:val="00781A05"/>
    <w:rsid w:val="0078235C"/>
    <w:rsid w:val="00790ADA"/>
    <w:rsid w:val="007D2288"/>
    <w:rsid w:val="007E088F"/>
    <w:rsid w:val="007E56A6"/>
    <w:rsid w:val="007F3E7E"/>
    <w:rsid w:val="007F7B32"/>
    <w:rsid w:val="008036EA"/>
    <w:rsid w:val="00804BC2"/>
    <w:rsid w:val="0081431A"/>
    <w:rsid w:val="00816BE9"/>
    <w:rsid w:val="00817D1F"/>
    <w:rsid w:val="0083216F"/>
    <w:rsid w:val="00842FC8"/>
    <w:rsid w:val="00860000"/>
    <w:rsid w:val="00863BD3"/>
    <w:rsid w:val="008641ED"/>
    <w:rsid w:val="00866D66"/>
    <w:rsid w:val="008671C6"/>
    <w:rsid w:val="00875803"/>
    <w:rsid w:val="0089624A"/>
    <w:rsid w:val="008A3805"/>
    <w:rsid w:val="008A5663"/>
    <w:rsid w:val="008B459E"/>
    <w:rsid w:val="008E13AE"/>
    <w:rsid w:val="008E1506"/>
    <w:rsid w:val="008E710C"/>
    <w:rsid w:val="008F69D6"/>
    <w:rsid w:val="00902823"/>
    <w:rsid w:val="0091000C"/>
    <w:rsid w:val="00911EDB"/>
    <w:rsid w:val="00915CA6"/>
    <w:rsid w:val="00927834"/>
    <w:rsid w:val="009500A6"/>
    <w:rsid w:val="00957C18"/>
    <w:rsid w:val="009659BA"/>
    <w:rsid w:val="00983040"/>
    <w:rsid w:val="009A33B1"/>
    <w:rsid w:val="009B3FB9"/>
    <w:rsid w:val="009C2465"/>
    <w:rsid w:val="009D2B9E"/>
    <w:rsid w:val="009D35A0"/>
    <w:rsid w:val="009D7EB7"/>
    <w:rsid w:val="009E048A"/>
    <w:rsid w:val="009E08E9"/>
    <w:rsid w:val="009E3DB9"/>
    <w:rsid w:val="009E58BE"/>
    <w:rsid w:val="009E6E35"/>
    <w:rsid w:val="009F0EDA"/>
    <w:rsid w:val="00A03B96"/>
    <w:rsid w:val="00A05B19"/>
    <w:rsid w:val="00A1134E"/>
    <w:rsid w:val="00A16921"/>
    <w:rsid w:val="00A24E7E"/>
    <w:rsid w:val="00A258C3"/>
    <w:rsid w:val="00A347C0"/>
    <w:rsid w:val="00A51431"/>
    <w:rsid w:val="00A539AD"/>
    <w:rsid w:val="00A54D65"/>
    <w:rsid w:val="00A94063"/>
    <w:rsid w:val="00AA596B"/>
    <w:rsid w:val="00AA6219"/>
    <w:rsid w:val="00AA74E0"/>
    <w:rsid w:val="00AA7DA7"/>
    <w:rsid w:val="00AB2D8D"/>
    <w:rsid w:val="00AB3094"/>
    <w:rsid w:val="00AB703F"/>
    <w:rsid w:val="00AC5A57"/>
    <w:rsid w:val="00AC6BB8"/>
    <w:rsid w:val="00AE008F"/>
    <w:rsid w:val="00B01FCD"/>
    <w:rsid w:val="00B123A3"/>
    <w:rsid w:val="00B1776C"/>
    <w:rsid w:val="00B31C92"/>
    <w:rsid w:val="00B52583"/>
    <w:rsid w:val="00B52896"/>
    <w:rsid w:val="00B81CB5"/>
    <w:rsid w:val="00B95236"/>
    <w:rsid w:val="00B96BD9"/>
    <w:rsid w:val="00BA1B01"/>
    <w:rsid w:val="00BA2641"/>
    <w:rsid w:val="00BB37AA"/>
    <w:rsid w:val="00BC53A0"/>
    <w:rsid w:val="00BD4264"/>
    <w:rsid w:val="00BE3652"/>
    <w:rsid w:val="00BE62AD"/>
    <w:rsid w:val="00BF121F"/>
    <w:rsid w:val="00BF1F80"/>
    <w:rsid w:val="00BF5805"/>
    <w:rsid w:val="00C166EF"/>
    <w:rsid w:val="00C17EB0"/>
    <w:rsid w:val="00C27F5F"/>
    <w:rsid w:val="00C30A0F"/>
    <w:rsid w:val="00C37E61"/>
    <w:rsid w:val="00C70F1B"/>
    <w:rsid w:val="00C71A47"/>
    <w:rsid w:val="00C7464C"/>
    <w:rsid w:val="00C85588"/>
    <w:rsid w:val="00C91EFB"/>
    <w:rsid w:val="00C930FC"/>
    <w:rsid w:val="00CD192E"/>
    <w:rsid w:val="00CD6755"/>
    <w:rsid w:val="00CD6856"/>
    <w:rsid w:val="00CE0089"/>
    <w:rsid w:val="00CE4EFB"/>
    <w:rsid w:val="00CE6204"/>
    <w:rsid w:val="00CE793C"/>
    <w:rsid w:val="00CF193C"/>
    <w:rsid w:val="00CF5BA1"/>
    <w:rsid w:val="00D16A20"/>
    <w:rsid w:val="00D173F1"/>
    <w:rsid w:val="00D257DA"/>
    <w:rsid w:val="00D748A4"/>
    <w:rsid w:val="00D74CB0"/>
    <w:rsid w:val="00D8075B"/>
    <w:rsid w:val="00D8295D"/>
    <w:rsid w:val="00DA4A7F"/>
    <w:rsid w:val="00DB0206"/>
    <w:rsid w:val="00DB25D7"/>
    <w:rsid w:val="00DC2A65"/>
    <w:rsid w:val="00DC3629"/>
    <w:rsid w:val="00DE15F0"/>
    <w:rsid w:val="00DE5663"/>
    <w:rsid w:val="00DE78AA"/>
    <w:rsid w:val="00DE7A5E"/>
    <w:rsid w:val="00E053D0"/>
    <w:rsid w:val="00E1235B"/>
    <w:rsid w:val="00E15994"/>
    <w:rsid w:val="00E3114E"/>
    <w:rsid w:val="00E31A70"/>
    <w:rsid w:val="00E35B02"/>
    <w:rsid w:val="00E43B87"/>
    <w:rsid w:val="00E549F0"/>
    <w:rsid w:val="00E66496"/>
    <w:rsid w:val="00E66B35"/>
    <w:rsid w:val="00E66E10"/>
    <w:rsid w:val="00E769F6"/>
    <w:rsid w:val="00E8407C"/>
    <w:rsid w:val="00E84F3C"/>
    <w:rsid w:val="00E86A75"/>
    <w:rsid w:val="00E87587"/>
    <w:rsid w:val="00EA012C"/>
    <w:rsid w:val="00EA15C4"/>
    <w:rsid w:val="00EC6A55"/>
    <w:rsid w:val="00ED0288"/>
    <w:rsid w:val="00ED4282"/>
    <w:rsid w:val="00EE52CB"/>
    <w:rsid w:val="00EF581D"/>
    <w:rsid w:val="00EF7FD8"/>
    <w:rsid w:val="00F06F59"/>
    <w:rsid w:val="00F17988"/>
    <w:rsid w:val="00F469F0"/>
    <w:rsid w:val="00F46E7C"/>
    <w:rsid w:val="00F53273"/>
    <w:rsid w:val="00F6088B"/>
    <w:rsid w:val="00F755E4"/>
    <w:rsid w:val="00F77D02"/>
    <w:rsid w:val="00F77E94"/>
    <w:rsid w:val="00F84CF3"/>
    <w:rsid w:val="00F86F4D"/>
    <w:rsid w:val="00FA4318"/>
    <w:rsid w:val="00FB3A86"/>
    <w:rsid w:val="00FB749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080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48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whitespace-normal">
    <w:name w:val="whitespace-normal"/>
    <w:basedOn w:val="Normal"/>
    <w:rsid w:val="002C5499"/>
    <w:pPr>
      <w:spacing w:before="100" w:beforeAutospacing="1" w:after="100" w:afterAutospacing="1"/>
    </w:pPr>
    <w:rPr>
      <w:rFonts w:ascii="Times New Roman" w:hAnsi="Times New Roman"/>
      <w:sz w:val="24"/>
      <w:szCs w:val="24"/>
      <w:lang w:val="en-ID" w:eastAsia="en-ID"/>
    </w:rPr>
  </w:style>
  <w:style w:type="paragraph" w:styleId="NormalWeb">
    <w:name w:val="Normal (Web)"/>
    <w:basedOn w:val="Normal"/>
    <w:uiPriority w:val="99"/>
    <w:unhideWhenUsed/>
    <w:rsid w:val="00816BE9"/>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iPriority w:val="35"/>
    <w:unhideWhenUsed/>
    <w:qFormat/>
    <w:rsid w:val="00DA4A7F"/>
    <w:pPr>
      <w:spacing w:after="200"/>
    </w:pPr>
    <w:rPr>
      <w:rFonts w:asciiTheme="minorHAnsi" w:eastAsiaTheme="minorHAnsi" w:hAnsiTheme="minorHAnsi" w:cstheme="minorBidi"/>
      <w:i/>
      <w:iCs/>
      <w:color w:val="1F497D" w:themeColor="text2"/>
      <w:sz w:val="18"/>
      <w:szCs w:val="18"/>
      <w:lang w:val="en-ID"/>
    </w:rPr>
  </w:style>
  <w:style w:type="table" w:styleId="TableGridLight">
    <w:name w:val="Grid Table Light"/>
    <w:basedOn w:val="TableNormal"/>
    <w:uiPriority w:val="40"/>
    <w:rsid w:val="00DA4A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A33B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TitleChar">
    <w:name w:val="Title Char"/>
    <w:basedOn w:val="DefaultParagraphFont"/>
    <w:link w:val="Title"/>
    <w:uiPriority w:val="10"/>
    <w:rsid w:val="009E58BE"/>
    <w:rPr>
      <w:rFonts w:ascii="Helvetica" w:hAnsi="Helvetica"/>
      <w:b/>
      <w:kern w:val="28"/>
      <w:sz w:val="36"/>
    </w:rPr>
  </w:style>
  <w:style w:type="character" w:customStyle="1" w:styleId="Heading3Char">
    <w:name w:val="Heading 3 Char"/>
    <w:basedOn w:val="DefaultParagraphFont"/>
    <w:link w:val="Heading3"/>
    <w:semiHidden/>
    <w:rsid w:val="005048E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E87587"/>
    <w:rPr>
      <w:rFonts w:ascii="Helvetica" w:hAnsi="Helvetica"/>
      <w:b/>
      <w:bCs/>
      <w:lang w:val="en-US" w:eastAsia="en-US"/>
    </w:rPr>
  </w:style>
  <w:style w:type="character" w:customStyle="1" w:styleId="CommentSubjectChar">
    <w:name w:val="Comment Subject Char"/>
    <w:basedOn w:val="CommentTextChar"/>
    <w:link w:val="CommentSubject"/>
    <w:semiHidden/>
    <w:rsid w:val="00E8758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104066">
      <w:bodyDiv w:val="1"/>
      <w:marLeft w:val="0"/>
      <w:marRight w:val="0"/>
      <w:marTop w:val="0"/>
      <w:marBottom w:val="0"/>
      <w:divBdr>
        <w:top w:val="none" w:sz="0" w:space="0" w:color="auto"/>
        <w:left w:val="none" w:sz="0" w:space="0" w:color="auto"/>
        <w:bottom w:val="none" w:sz="0" w:space="0" w:color="auto"/>
        <w:right w:val="none" w:sz="0" w:space="0" w:color="auto"/>
      </w:divBdr>
    </w:div>
    <w:div w:id="1546921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8063823">
      <w:bodyDiv w:val="1"/>
      <w:marLeft w:val="0"/>
      <w:marRight w:val="0"/>
      <w:marTop w:val="0"/>
      <w:marBottom w:val="0"/>
      <w:divBdr>
        <w:top w:val="none" w:sz="0" w:space="0" w:color="auto"/>
        <w:left w:val="none" w:sz="0" w:space="0" w:color="auto"/>
        <w:bottom w:val="none" w:sz="0" w:space="0" w:color="auto"/>
        <w:right w:val="none" w:sz="0" w:space="0" w:color="auto"/>
      </w:divBdr>
    </w:div>
    <w:div w:id="5298043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0884">
      <w:bodyDiv w:val="1"/>
      <w:marLeft w:val="0"/>
      <w:marRight w:val="0"/>
      <w:marTop w:val="0"/>
      <w:marBottom w:val="0"/>
      <w:divBdr>
        <w:top w:val="none" w:sz="0" w:space="0" w:color="auto"/>
        <w:left w:val="none" w:sz="0" w:space="0" w:color="auto"/>
        <w:bottom w:val="none" w:sz="0" w:space="0" w:color="auto"/>
        <w:right w:val="none" w:sz="0" w:space="0" w:color="auto"/>
      </w:divBdr>
      <w:divsChild>
        <w:div w:id="821628726">
          <w:marLeft w:val="0"/>
          <w:marRight w:val="0"/>
          <w:marTop w:val="0"/>
          <w:marBottom w:val="0"/>
          <w:divBdr>
            <w:top w:val="none" w:sz="0" w:space="0" w:color="auto"/>
            <w:left w:val="none" w:sz="0" w:space="0" w:color="auto"/>
            <w:bottom w:val="none" w:sz="0" w:space="0" w:color="auto"/>
            <w:right w:val="none" w:sz="0" w:space="0" w:color="auto"/>
          </w:divBdr>
        </w:div>
      </w:divsChild>
    </w:div>
    <w:div w:id="8894643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308738">
      <w:bodyDiv w:val="1"/>
      <w:marLeft w:val="0"/>
      <w:marRight w:val="0"/>
      <w:marTop w:val="0"/>
      <w:marBottom w:val="0"/>
      <w:divBdr>
        <w:top w:val="none" w:sz="0" w:space="0" w:color="auto"/>
        <w:left w:val="none" w:sz="0" w:space="0" w:color="auto"/>
        <w:bottom w:val="none" w:sz="0" w:space="0" w:color="auto"/>
        <w:right w:val="none" w:sz="0" w:space="0" w:color="auto"/>
      </w:divBdr>
    </w:div>
    <w:div w:id="102498832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797126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7771344">
      <w:bodyDiv w:val="1"/>
      <w:marLeft w:val="0"/>
      <w:marRight w:val="0"/>
      <w:marTop w:val="0"/>
      <w:marBottom w:val="0"/>
      <w:divBdr>
        <w:top w:val="none" w:sz="0" w:space="0" w:color="auto"/>
        <w:left w:val="none" w:sz="0" w:space="0" w:color="auto"/>
        <w:bottom w:val="none" w:sz="0" w:space="0" w:color="auto"/>
        <w:right w:val="none" w:sz="0" w:space="0" w:color="auto"/>
      </w:divBdr>
    </w:div>
    <w:div w:id="1479036194">
      <w:bodyDiv w:val="1"/>
      <w:marLeft w:val="0"/>
      <w:marRight w:val="0"/>
      <w:marTop w:val="0"/>
      <w:marBottom w:val="0"/>
      <w:divBdr>
        <w:top w:val="none" w:sz="0" w:space="0" w:color="auto"/>
        <w:left w:val="none" w:sz="0" w:space="0" w:color="auto"/>
        <w:bottom w:val="none" w:sz="0" w:space="0" w:color="auto"/>
        <w:right w:val="none" w:sz="0" w:space="0" w:color="auto"/>
      </w:divBdr>
    </w:div>
    <w:div w:id="1479108475">
      <w:bodyDiv w:val="1"/>
      <w:marLeft w:val="0"/>
      <w:marRight w:val="0"/>
      <w:marTop w:val="0"/>
      <w:marBottom w:val="0"/>
      <w:divBdr>
        <w:top w:val="none" w:sz="0" w:space="0" w:color="auto"/>
        <w:left w:val="none" w:sz="0" w:space="0" w:color="auto"/>
        <w:bottom w:val="none" w:sz="0" w:space="0" w:color="auto"/>
        <w:right w:val="none" w:sz="0" w:space="0" w:color="auto"/>
      </w:divBdr>
    </w:div>
    <w:div w:id="1482767432">
      <w:bodyDiv w:val="1"/>
      <w:marLeft w:val="0"/>
      <w:marRight w:val="0"/>
      <w:marTop w:val="0"/>
      <w:marBottom w:val="0"/>
      <w:divBdr>
        <w:top w:val="none" w:sz="0" w:space="0" w:color="auto"/>
        <w:left w:val="none" w:sz="0" w:space="0" w:color="auto"/>
        <w:bottom w:val="none" w:sz="0" w:space="0" w:color="auto"/>
        <w:right w:val="none" w:sz="0" w:space="0" w:color="auto"/>
      </w:divBdr>
    </w:div>
    <w:div w:id="16364522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397012">
      <w:bodyDiv w:val="1"/>
      <w:marLeft w:val="0"/>
      <w:marRight w:val="0"/>
      <w:marTop w:val="0"/>
      <w:marBottom w:val="0"/>
      <w:divBdr>
        <w:top w:val="none" w:sz="0" w:space="0" w:color="auto"/>
        <w:left w:val="none" w:sz="0" w:space="0" w:color="auto"/>
        <w:bottom w:val="none" w:sz="0" w:space="0" w:color="auto"/>
        <w:right w:val="none" w:sz="0" w:space="0" w:color="auto"/>
      </w:divBdr>
    </w:div>
    <w:div w:id="19205541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Kepadatan!$A$22</c:f>
              <c:strCache>
                <c:ptCount val="1"/>
                <c:pt idx="0">
                  <c:v>25 ppt</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Kepadatan!$B$22:$H$22</c:f>
              <c:numCache>
                <c:formatCode>#,##0</c:formatCode>
                <c:ptCount val="7"/>
                <c:pt idx="0">
                  <c:v>3.5083333333333333</c:v>
                </c:pt>
                <c:pt idx="1">
                  <c:v>9.9700000000000006</c:v>
                </c:pt>
                <c:pt idx="2">
                  <c:v>17.833333333333332</c:v>
                </c:pt>
                <c:pt idx="3">
                  <c:v>31.883333333333333</c:v>
                </c:pt>
                <c:pt idx="4">
                  <c:v>42.333333333333336</c:v>
                </c:pt>
                <c:pt idx="5">
                  <c:v>45.802333333333337</c:v>
                </c:pt>
                <c:pt idx="6">
                  <c:v>50.5</c:v>
                </c:pt>
              </c:numCache>
            </c:numRef>
          </c:val>
          <c:smooth val="0"/>
          <c:extLst>
            <c:ext xmlns:c16="http://schemas.microsoft.com/office/drawing/2014/chart" uri="{C3380CC4-5D6E-409C-BE32-E72D297353CC}">
              <c16:uniqueId val="{00000000-0911-499E-9D6B-D141C0EA3721}"/>
            </c:ext>
          </c:extLst>
        </c:ser>
        <c:ser>
          <c:idx val="1"/>
          <c:order val="1"/>
          <c:tx>
            <c:strRef>
              <c:f>Kepadatan!$A$23</c:f>
              <c:strCache>
                <c:ptCount val="1"/>
                <c:pt idx="0">
                  <c:v>28 ppt</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Kepadatan!$B$23:$H$23</c:f>
              <c:numCache>
                <c:formatCode>_(* #,##0_);_(* \(#,##0\);_(* "-"??_);_(@_)</c:formatCode>
                <c:ptCount val="7"/>
                <c:pt idx="0" formatCode="#,##0">
                  <c:v>4.47</c:v>
                </c:pt>
                <c:pt idx="1">
                  <c:v>10.851666666666667</c:v>
                </c:pt>
                <c:pt idx="2" formatCode="#,##0">
                  <c:v>20.65</c:v>
                </c:pt>
                <c:pt idx="3" formatCode="#,##0">
                  <c:v>40.866666666666667</c:v>
                </c:pt>
                <c:pt idx="4" formatCode="#,##0">
                  <c:v>43.916666666666664</c:v>
                </c:pt>
                <c:pt idx="5" formatCode="#,##0">
                  <c:v>65.161666666666662</c:v>
                </c:pt>
                <c:pt idx="6" formatCode="#,##0">
                  <c:v>76</c:v>
                </c:pt>
              </c:numCache>
            </c:numRef>
          </c:val>
          <c:smooth val="0"/>
          <c:extLst>
            <c:ext xmlns:c16="http://schemas.microsoft.com/office/drawing/2014/chart" uri="{C3380CC4-5D6E-409C-BE32-E72D297353CC}">
              <c16:uniqueId val="{00000001-0911-499E-9D6B-D141C0EA3721}"/>
            </c:ext>
          </c:extLst>
        </c:ser>
        <c:ser>
          <c:idx val="2"/>
          <c:order val="2"/>
          <c:tx>
            <c:strRef>
              <c:f>Kepadatan!$A$24</c:f>
              <c:strCache>
                <c:ptCount val="1"/>
                <c:pt idx="0">
                  <c:v>31 ppt</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Kepadatan!$B$24:$H$24</c:f>
              <c:numCache>
                <c:formatCode>#,##0</c:formatCode>
                <c:ptCount val="7"/>
                <c:pt idx="0">
                  <c:v>5.0616666666666665</c:v>
                </c:pt>
                <c:pt idx="1">
                  <c:v>13.467499999999999</c:v>
                </c:pt>
                <c:pt idx="2">
                  <c:v>26.89916666666667</c:v>
                </c:pt>
                <c:pt idx="3">
                  <c:v>53.183333333333337</c:v>
                </c:pt>
                <c:pt idx="4">
                  <c:v>59.116666666666667</c:v>
                </c:pt>
                <c:pt idx="5">
                  <c:v>84.034999999999997</c:v>
                </c:pt>
                <c:pt idx="6">
                  <c:v>89.5</c:v>
                </c:pt>
              </c:numCache>
            </c:numRef>
          </c:val>
          <c:smooth val="0"/>
          <c:extLst>
            <c:ext xmlns:c16="http://schemas.microsoft.com/office/drawing/2014/chart" uri="{C3380CC4-5D6E-409C-BE32-E72D297353CC}">
              <c16:uniqueId val="{00000002-0911-499E-9D6B-D141C0EA3721}"/>
            </c:ext>
          </c:extLst>
        </c:ser>
        <c:ser>
          <c:idx val="3"/>
          <c:order val="3"/>
          <c:tx>
            <c:strRef>
              <c:f>Kepadatan!$A$25</c:f>
              <c:strCache>
                <c:ptCount val="1"/>
                <c:pt idx="0">
                  <c:v>34 ppt</c:v>
                </c:pt>
              </c:strCache>
            </c:strRef>
          </c:tx>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Kepadatan!$B$25:$H$25</c:f>
              <c:numCache>
                <c:formatCode>#,##0</c:formatCode>
                <c:ptCount val="7"/>
                <c:pt idx="0">
                  <c:v>8.4291666666666654</c:v>
                </c:pt>
                <c:pt idx="1">
                  <c:v>14.074999999999999</c:v>
                </c:pt>
                <c:pt idx="2">
                  <c:v>32.014166666666668</c:v>
                </c:pt>
                <c:pt idx="3">
                  <c:v>59.755000000000003</c:v>
                </c:pt>
                <c:pt idx="4">
                  <c:v>87.683333333333323</c:v>
                </c:pt>
                <c:pt idx="5">
                  <c:v>110.54666666666667</c:v>
                </c:pt>
                <c:pt idx="6">
                  <c:v>90.620166666666677</c:v>
                </c:pt>
              </c:numCache>
            </c:numRef>
          </c:val>
          <c:smooth val="0"/>
          <c:extLst>
            <c:ext xmlns:c16="http://schemas.microsoft.com/office/drawing/2014/chart" uri="{C3380CC4-5D6E-409C-BE32-E72D297353CC}">
              <c16:uniqueId val="{00000003-0911-499E-9D6B-D141C0EA3721}"/>
            </c:ext>
          </c:extLst>
        </c:ser>
        <c:dLbls>
          <c:showLegendKey val="0"/>
          <c:showVal val="0"/>
          <c:showCatName val="0"/>
          <c:showSerName val="0"/>
          <c:showPercent val="0"/>
          <c:showBubbleSize val="0"/>
        </c:dLbls>
        <c:marker val="1"/>
        <c:smooth val="0"/>
        <c:axId val="1358005823"/>
        <c:axId val="1358022623"/>
      </c:lineChart>
      <c:catAx>
        <c:axId val="1358005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Day</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22623"/>
        <c:crosses val="autoZero"/>
        <c:auto val="1"/>
        <c:lblAlgn val="ctr"/>
        <c:lblOffset val="100"/>
        <c:noMultiLvlLbl val="0"/>
      </c:catAx>
      <c:valAx>
        <c:axId val="135802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Growth (x 10</a:t>
                </a:r>
                <a:r>
                  <a:rPr lang="en-US" baseline="30000"/>
                  <a:t>6</a:t>
                </a:r>
                <a:r>
                  <a:rPr lang="en-US"/>
                  <a:t> sel/mL)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0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Biomassa!$E$2</c:f>
              <c:strCache>
                <c:ptCount val="1"/>
                <c:pt idx="0">
                  <c:v>Biomassa (gram)</c:v>
                </c:pt>
              </c:strCache>
            </c:strRef>
          </c:tx>
          <c:spPr>
            <a:solidFill>
              <a:schemeClr val="dk1">
                <a:tint val="88500"/>
              </a:schemeClr>
            </a:solidFill>
            <a:ln>
              <a:noFill/>
            </a:ln>
            <a:effectLst/>
          </c:spPr>
          <c:invertIfNegative val="0"/>
          <c:dLbls>
            <c:dLbl>
              <c:idx val="0"/>
              <c:layout>
                <c:manualLayout>
                  <c:x val="0"/>
                  <c:y val="4.7378146746186074E-2"/>
                </c:manualLayout>
              </c:layout>
              <c:tx>
                <c:rich>
                  <a:bodyPr/>
                  <a:lstStyle/>
                  <a:p>
                    <a:r>
                      <a:rPr lang="en-US"/>
                      <a:t>6.257</a:t>
                    </a:r>
                    <a:r>
                      <a:rPr lang="en-US" baseline="30000"/>
                      <a:t>d</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22271633872318422"/>
                      <c:h val="0.20456673016946789"/>
                    </c:manualLayout>
                  </c15:layout>
                  <c15:showDataLabelsRange val="0"/>
                </c:ext>
                <c:ext xmlns:c16="http://schemas.microsoft.com/office/drawing/2014/chart" uri="{C3380CC4-5D6E-409C-BE32-E72D297353CC}">
                  <c16:uniqueId val="{00000000-F94C-43A7-8990-51072E8C86F5}"/>
                </c:ext>
              </c:extLst>
            </c:dLbl>
            <c:dLbl>
              <c:idx val="1"/>
              <c:tx>
                <c:rich>
                  <a:bodyPr/>
                  <a:lstStyle/>
                  <a:p>
                    <a:r>
                      <a:rPr lang="en-US"/>
                      <a:t>7.533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94C-43A7-8990-51072E8C86F5}"/>
                </c:ext>
              </c:extLst>
            </c:dLbl>
            <c:dLbl>
              <c:idx val="2"/>
              <c:tx>
                <c:rich>
                  <a:bodyPr/>
                  <a:lstStyle/>
                  <a:p>
                    <a:r>
                      <a:rPr lang="en-US"/>
                      <a:t>9.450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94C-43A7-8990-51072E8C86F5}"/>
                </c:ext>
              </c:extLst>
            </c:dLbl>
            <c:dLbl>
              <c:idx val="3"/>
              <c:tx>
                <c:rich>
                  <a:bodyPr/>
                  <a:lstStyle/>
                  <a:p>
                    <a:r>
                      <a:rPr lang="en-US"/>
                      <a:t>10.247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94C-43A7-8990-51072E8C86F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Biomassa!$G$3:$G$6</c:f>
                <c:numCache>
                  <c:formatCode>General</c:formatCode>
                  <c:ptCount val="4"/>
                  <c:pt idx="0">
                    <c:v>0.1619670748434178</c:v>
                  </c:pt>
                  <c:pt idx="1">
                    <c:v>0.36678785875943792</c:v>
                  </c:pt>
                  <c:pt idx="2">
                    <c:v>0.32526911934581121</c:v>
                  </c:pt>
                  <c:pt idx="3">
                    <c:v>0.30022213997860525</c:v>
                  </c:pt>
                </c:numCache>
              </c:numRef>
            </c:plus>
            <c:minus>
              <c:numRef>
                <c:f>Biomassa!$G$3:$G$6</c:f>
                <c:numCache>
                  <c:formatCode>General</c:formatCode>
                  <c:ptCount val="4"/>
                  <c:pt idx="0">
                    <c:v>0.1619670748434178</c:v>
                  </c:pt>
                  <c:pt idx="1">
                    <c:v>0.36678785875943792</c:v>
                  </c:pt>
                  <c:pt idx="2">
                    <c:v>0.32526911934581121</c:v>
                  </c:pt>
                  <c:pt idx="3">
                    <c:v>0.30022213997860525</c:v>
                  </c:pt>
                </c:numCache>
              </c:numRef>
            </c:minus>
            <c:spPr>
              <a:noFill/>
              <a:ln w="9525" cap="flat" cmpd="sng" algn="ctr">
                <a:gradFill>
                  <a:gsLst>
                    <a:gs pos="34000">
                      <a:schemeClr val="tx1"/>
                    </a:gs>
                    <a:gs pos="0">
                      <a:schemeClr val="tx1"/>
                    </a:gs>
                    <a:gs pos="68000">
                      <a:schemeClr val="tx1"/>
                    </a:gs>
                    <a:gs pos="47000">
                      <a:schemeClr val="tx1"/>
                    </a:gs>
                    <a:gs pos="22000">
                      <a:schemeClr val="tx1"/>
                    </a:gs>
                  </a:gsLst>
                  <a:lin ang="5400000" scaled="1"/>
                </a:gradFill>
                <a:round/>
                <a:tailEnd w="lg" len="sm"/>
              </a:ln>
              <a:effectLst/>
            </c:spPr>
          </c:errBars>
          <c:cat>
            <c:numRef>
              <c:f>Biomassa!$D$3:$D$6</c:f>
              <c:numCache>
                <c:formatCode>General</c:formatCode>
                <c:ptCount val="4"/>
                <c:pt idx="0">
                  <c:v>25</c:v>
                </c:pt>
                <c:pt idx="1">
                  <c:v>28</c:v>
                </c:pt>
                <c:pt idx="2">
                  <c:v>31</c:v>
                </c:pt>
                <c:pt idx="3">
                  <c:v>34</c:v>
                </c:pt>
              </c:numCache>
            </c:numRef>
          </c:cat>
          <c:val>
            <c:numRef>
              <c:f>Biomassa!$E$3:$E$6</c:f>
              <c:numCache>
                <c:formatCode>0.000</c:formatCode>
                <c:ptCount val="4"/>
                <c:pt idx="0">
                  <c:v>6.2566666666666668</c:v>
                </c:pt>
                <c:pt idx="1">
                  <c:v>7.5333333333333341</c:v>
                </c:pt>
                <c:pt idx="2">
                  <c:v>9.4499999999999993</c:v>
                </c:pt>
                <c:pt idx="3">
                  <c:v>10.246666666666664</c:v>
                </c:pt>
              </c:numCache>
            </c:numRef>
          </c:val>
          <c:extLst>
            <c:ext xmlns:c16="http://schemas.microsoft.com/office/drawing/2014/chart" uri="{C3380CC4-5D6E-409C-BE32-E72D297353CC}">
              <c16:uniqueId val="{00000004-F94C-43A7-8990-51072E8C86F5}"/>
            </c:ext>
          </c:extLst>
        </c:ser>
        <c:dLbls>
          <c:dLblPos val="outEnd"/>
          <c:showLegendKey val="0"/>
          <c:showVal val="1"/>
          <c:showCatName val="0"/>
          <c:showSerName val="0"/>
          <c:showPercent val="0"/>
          <c:showBubbleSize val="0"/>
        </c:dLbls>
        <c:gapWidth val="219"/>
        <c:overlap val="-27"/>
        <c:axId val="1125000015"/>
        <c:axId val="1124992335"/>
      </c:barChart>
      <c:catAx>
        <c:axId val="11250000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4992335"/>
        <c:crosses val="autoZero"/>
        <c:auto val="1"/>
        <c:lblAlgn val="ctr"/>
        <c:lblOffset val="100"/>
        <c:noMultiLvlLbl val="0"/>
      </c:catAx>
      <c:valAx>
        <c:axId val="1124992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Biomass </a:t>
                </a:r>
                <a:r>
                  <a:rPr lang="en-GB"/>
                  <a:t>productivity</a:t>
                </a:r>
                <a:r>
                  <a:rPr lang="en-US"/>
                  <a:t> (gram)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5000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'Klorofil-a'!$E$2</c:f>
              <c:strCache>
                <c:ptCount val="1"/>
                <c:pt idx="0">
                  <c:v>Kloreofil-a</c:v>
                </c:pt>
              </c:strCache>
            </c:strRef>
          </c:tx>
          <c:spPr>
            <a:solidFill>
              <a:schemeClr val="dk1">
                <a:tint val="88500"/>
              </a:schemeClr>
            </a:solidFill>
            <a:ln>
              <a:noFill/>
            </a:ln>
            <a:effectLst/>
          </c:spPr>
          <c:invertIfNegative val="0"/>
          <c:dLbls>
            <c:dLbl>
              <c:idx val="0"/>
              <c:tx>
                <c:rich>
                  <a:bodyPr/>
                  <a:lstStyle/>
                  <a:p>
                    <a:r>
                      <a:rPr lang="en-US"/>
                      <a:t>2.33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1A8-450E-8D5B-908998000B49}"/>
                </c:ext>
              </c:extLst>
            </c:dLbl>
            <c:dLbl>
              <c:idx val="1"/>
              <c:tx>
                <c:rich>
                  <a:bodyPr/>
                  <a:lstStyle/>
                  <a:p>
                    <a:r>
                      <a:rPr lang="en-US"/>
                      <a:t>2.81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1A8-450E-8D5B-908998000B49}"/>
                </c:ext>
              </c:extLst>
            </c:dLbl>
            <c:dLbl>
              <c:idx val="2"/>
              <c:layout>
                <c:manualLayout>
                  <c:x val="1.5987849227136795E-7"/>
                  <c:y val="1.948051948051948E-2"/>
                </c:manualLayout>
              </c:layout>
              <c:tx>
                <c:rich>
                  <a:bodyPr/>
                  <a:lstStyle/>
                  <a:p>
                    <a:r>
                      <a:rPr lang="en-US"/>
                      <a:t>3.72</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4182757104600502"/>
                      <c:h val="0.16224051539012169"/>
                    </c:manualLayout>
                  </c15:layout>
                  <c15:showDataLabelsRange val="0"/>
                </c:ext>
                <c:ext xmlns:c16="http://schemas.microsoft.com/office/drawing/2014/chart" uri="{C3380CC4-5D6E-409C-BE32-E72D297353CC}">
                  <c16:uniqueId val="{00000002-71A8-450E-8D5B-908998000B49}"/>
                </c:ext>
              </c:extLst>
            </c:dLbl>
            <c:dLbl>
              <c:idx val="3"/>
              <c:tx>
                <c:rich>
                  <a:bodyPr/>
                  <a:lstStyle/>
                  <a:p>
                    <a:r>
                      <a:rPr lang="en-US"/>
                      <a:t>3.83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1A8-450E-8D5B-908998000B4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'Klorofil-a'!$G$3:$G$6</c:f>
                <c:numCache>
                  <c:formatCode>General</c:formatCode>
                  <c:ptCount val="4"/>
                  <c:pt idx="0">
                    <c:v>0.13613718571108085</c:v>
                  </c:pt>
                  <c:pt idx="1">
                    <c:v>6.4291005073286417E-2</c:v>
                  </c:pt>
                  <c:pt idx="2">
                    <c:v>0.13856406460551005</c:v>
                  </c:pt>
                  <c:pt idx="3">
                    <c:v>9.0737717258774761E-2</c:v>
                  </c:pt>
                </c:numCache>
              </c:numRef>
            </c:plus>
            <c:minus>
              <c:numRef>
                <c:f>'Klorofil-a'!$G$3:$G$6</c:f>
                <c:numCache>
                  <c:formatCode>General</c:formatCode>
                  <c:ptCount val="4"/>
                  <c:pt idx="0">
                    <c:v>0.13613718571108085</c:v>
                  </c:pt>
                  <c:pt idx="1">
                    <c:v>6.4291005073286417E-2</c:v>
                  </c:pt>
                  <c:pt idx="2">
                    <c:v>0.13856406460551005</c:v>
                  </c:pt>
                  <c:pt idx="3">
                    <c:v>9.0737717258774761E-2</c:v>
                  </c:pt>
                </c:numCache>
              </c:numRef>
            </c:minus>
            <c:spPr>
              <a:noFill/>
              <a:ln w="9525" cap="flat" cmpd="sng" algn="ctr">
                <a:solidFill>
                  <a:schemeClr val="tx1">
                    <a:lumMod val="65000"/>
                    <a:lumOff val="35000"/>
                  </a:schemeClr>
                </a:solidFill>
                <a:round/>
              </a:ln>
              <a:effectLst/>
            </c:spPr>
          </c:errBars>
          <c:cat>
            <c:numRef>
              <c:f>'Klorofil-a'!$D$3:$D$6</c:f>
              <c:numCache>
                <c:formatCode>General</c:formatCode>
                <c:ptCount val="4"/>
                <c:pt idx="0">
                  <c:v>25</c:v>
                </c:pt>
                <c:pt idx="1">
                  <c:v>26</c:v>
                </c:pt>
                <c:pt idx="2">
                  <c:v>31</c:v>
                </c:pt>
                <c:pt idx="3">
                  <c:v>34</c:v>
                </c:pt>
              </c:numCache>
            </c:numRef>
          </c:cat>
          <c:val>
            <c:numRef>
              <c:f>'Klorofil-a'!$E$3:$E$6</c:f>
              <c:numCache>
                <c:formatCode>0.00</c:formatCode>
                <c:ptCount val="4"/>
                <c:pt idx="0">
                  <c:v>2.3266666666666667</c:v>
                </c:pt>
                <c:pt idx="1">
                  <c:v>2.8066666666666666</c:v>
                </c:pt>
                <c:pt idx="2" formatCode="General">
                  <c:v>3.72</c:v>
                </c:pt>
                <c:pt idx="3">
                  <c:v>3.8333333333333335</c:v>
                </c:pt>
              </c:numCache>
            </c:numRef>
          </c:val>
          <c:extLst>
            <c:ext xmlns:c16="http://schemas.microsoft.com/office/drawing/2014/chart" uri="{C3380CC4-5D6E-409C-BE32-E72D297353CC}">
              <c16:uniqueId val="{00000004-71A8-450E-8D5B-908998000B49}"/>
            </c:ext>
          </c:extLst>
        </c:ser>
        <c:dLbls>
          <c:dLblPos val="outEnd"/>
          <c:showLegendKey val="0"/>
          <c:showVal val="1"/>
          <c:showCatName val="0"/>
          <c:showSerName val="0"/>
          <c:showPercent val="0"/>
          <c:showBubbleSize val="0"/>
        </c:dLbls>
        <c:gapWidth val="219"/>
        <c:overlap val="-27"/>
        <c:axId val="1124989455"/>
        <c:axId val="1125006255"/>
      </c:barChart>
      <c:catAx>
        <c:axId val="1124989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5006255"/>
        <c:crosses val="autoZero"/>
        <c:auto val="1"/>
        <c:lblAlgn val="ctr"/>
        <c:lblOffset val="100"/>
        <c:noMultiLvlLbl val="0"/>
      </c:catAx>
      <c:valAx>
        <c:axId val="112500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Chlorophyll-a </a:t>
                </a:r>
                <a:r>
                  <a:rPr lang="en-ID"/>
                  <a:t>Content</a:t>
                </a:r>
                <a:r>
                  <a:rPr lang="en-US"/>
                  <a:t>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24989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Lipid!$E$3</c:f>
              <c:strCache>
                <c:ptCount val="1"/>
                <c:pt idx="0">
                  <c:v>Lipid %</c:v>
                </c:pt>
              </c:strCache>
            </c:strRef>
          </c:tx>
          <c:spPr>
            <a:solidFill>
              <a:schemeClr val="dk1">
                <a:tint val="88500"/>
              </a:schemeClr>
            </a:solidFill>
            <a:ln>
              <a:noFill/>
            </a:ln>
            <a:effectLst/>
          </c:spPr>
          <c:invertIfNegative val="0"/>
          <c:dLbls>
            <c:dLbl>
              <c:idx val="0"/>
              <c:tx>
                <c:rich>
                  <a:bodyPr/>
                  <a:lstStyle/>
                  <a:p>
                    <a:r>
                      <a:rPr lang="en-US"/>
                      <a:t>27.85</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433-42A8-AD47-9F1835BC3481}"/>
                </c:ext>
              </c:extLst>
            </c:dLbl>
            <c:dLbl>
              <c:idx val="1"/>
              <c:tx>
                <c:rich>
                  <a:bodyPr/>
                  <a:lstStyle/>
                  <a:p>
                    <a:r>
                      <a:rPr lang="en-US"/>
                      <a:t>38.21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433-42A8-AD47-9F1835BC3481}"/>
                </c:ext>
              </c:extLst>
            </c:dLbl>
            <c:dLbl>
              <c:idx val="2"/>
              <c:tx>
                <c:rich>
                  <a:bodyPr/>
                  <a:lstStyle/>
                  <a:p>
                    <a:r>
                      <a:rPr lang="en-US"/>
                      <a:t>42.18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433-42A8-AD47-9F1835BC3481}"/>
                </c:ext>
              </c:extLst>
            </c:dLbl>
            <c:dLbl>
              <c:idx val="3"/>
              <c:tx>
                <c:rich>
                  <a:bodyPr/>
                  <a:lstStyle/>
                  <a:p>
                    <a:r>
                      <a:rPr lang="en-US"/>
                      <a:t>43.07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433-42A8-AD47-9F1835BC3481}"/>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Lipid!$G$4:$G$7</c:f>
                <c:numCache>
                  <c:formatCode>General</c:formatCode>
                  <c:ptCount val="4"/>
                  <c:pt idx="0">
                    <c:v>0.63269265840532651</c:v>
                  </c:pt>
                  <c:pt idx="1">
                    <c:v>1.4239733143566979</c:v>
                  </c:pt>
                  <c:pt idx="2">
                    <c:v>1.0702491921666346</c:v>
                  </c:pt>
                  <c:pt idx="3">
                    <c:v>1.3878160300750741</c:v>
                  </c:pt>
                </c:numCache>
              </c:numRef>
            </c:plus>
            <c:minus>
              <c:numRef>
                <c:f>Lipid!$G$4:$G$7</c:f>
                <c:numCache>
                  <c:formatCode>General</c:formatCode>
                  <c:ptCount val="4"/>
                  <c:pt idx="0">
                    <c:v>0.63269265840532651</c:v>
                  </c:pt>
                  <c:pt idx="1">
                    <c:v>1.4239733143566979</c:v>
                  </c:pt>
                  <c:pt idx="2">
                    <c:v>1.0702491921666346</c:v>
                  </c:pt>
                  <c:pt idx="3">
                    <c:v>1.3878160300750741</c:v>
                  </c:pt>
                </c:numCache>
              </c:numRef>
            </c:minus>
            <c:spPr>
              <a:noFill/>
              <a:ln w="9525" cap="flat" cmpd="sng" algn="ctr">
                <a:solidFill>
                  <a:schemeClr val="tx1">
                    <a:lumMod val="65000"/>
                    <a:lumOff val="35000"/>
                  </a:schemeClr>
                </a:solidFill>
                <a:round/>
              </a:ln>
              <a:effectLst/>
            </c:spPr>
          </c:errBars>
          <c:cat>
            <c:numRef>
              <c:f>Lipid!$D$4:$D$7</c:f>
              <c:numCache>
                <c:formatCode>General</c:formatCode>
                <c:ptCount val="4"/>
                <c:pt idx="0">
                  <c:v>25</c:v>
                </c:pt>
                <c:pt idx="1">
                  <c:v>28</c:v>
                </c:pt>
                <c:pt idx="2">
                  <c:v>31</c:v>
                </c:pt>
                <c:pt idx="3">
                  <c:v>34</c:v>
                </c:pt>
              </c:numCache>
            </c:numRef>
          </c:cat>
          <c:val>
            <c:numRef>
              <c:f>Lipid!$E$4:$E$7</c:f>
              <c:numCache>
                <c:formatCode>General</c:formatCode>
                <c:ptCount val="4"/>
                <c:pt idx="0">
                  <c:v>27.849999999999998</c:v>
                </c:pt>
                <c:pt idx="1">
                  <c:v>38.21</c:v>
                </c:pt>
                <c:pt idx="2" formatCode="0.00">
                  <c:v>42.176666666666669</c:v>
                </c:pt>
                <c:pt idx="3" formatCode="0.00">
                  <c:v>43.066666666666663</c:v>
                </c:pt>
              </c:numCache>
            </c:numRef>
          </c:val>
          <c:extLst>
            <c:ext xmlns:c16="http://schemas.microsoft.com/office/drawing/2014/chart" uri="{C3380CC4-5D6E-409C-BE32-E72D297353CC}">
              <c16:uniqueId val="{00000004-2433-42A8-AD47-9F1835BC3481}"/>
            </c:ext>
          </c:extLst>
        </c:ser>
        <c:dLbls>
          <c:dLblPos val="outEnd"/>
          <c:showLegendKey val="0"/>
          <c:showVal val="1"/>
          <c:showCatName val="0"/>
          <c:showSerName val="0"/>
          <c:showPercent val="0"/>
          <c:showBubbleSize val="0"/>
        </c:dLbls>
        <c:gapWidth val="219"/>
        <c:overlap val="-27"/>
        <c:axId val="1137682191"/>
        <c:axId val="1137681711"/>
      </c:barChart>
      <c:catAx>
        <c:axId val="1137682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7681711"/>
        <c:crosses val="autoZero"/>
        <c:auto val="1"/>
        <c:lblAlgn val="ctr"/>
        <c:lblOffset val="100"/>
        <c:noMultiLvlLbl val="0"/>
      </c:catAx>
      <c:valAx>
        <c:axId val="1137681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Lipid Content </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76821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100F-974D-44A7-AFFC-1CD694F2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47</TotalTime>
  <Pages>12</Pages>
  <Words>24147</Words>
  <Characters>137638</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161463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Chemisphere Lab Science</cp:lastModifiedBy>
  <cp:revision>9</cp:revision>
  <cp:lastPrinted>1999-07-06T11:00:00Z</cp:lastPrinted>
  <dcterms:created xsi:type="dcterms:W3CDTF">2025-08-13T16:06:00Z</dcterms:created>
  <dcterms:modified xsi:type="dcterms:W3CDTF">2025-08-15T10:07:00Z</dcterms:modified>
</cp:coreProperties>
</file>