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A0423" w14:textId="77777777" w:rsidR="00146668" w:rsidRDefault="000153B3">
      <w:pPr>
        <w:jc w:val="center"/>
        <w:rPr>
          <w:rFonts w:ascii="Times New Roman Regular" w:hAnsi="Times New Roman Regular" w:hint="eastAsia"/>
          <w:b/>
          <w:bCs/>
          <w:color w:val="2F5496" w:themeColor="accent5" w:themeShade="BF"/>
          <w:sz w:val="24"/>
        </w:rPr>
      </w:pPr>
      <w:r>
        <w:rPr>
          <w:rFonts w:ascii="Times New Roman" w:hAnsi="Times New Roman"/>
          <w:b/>
          <w:color w:val="0000CC"/>
          <w:sz w:val="40"/>
          <w:szCs w:val="40"/>
        </w:rPr>
        <w:t xml:space="preserve">Strategies of Driving Teachers in Implementing the Merdeka Curriculum in Basic Education </w:t>
      </w:r>
    </w:p>
    <w:p w14:paraId="073DAF40" w14:textId="77777777" w:rsidR="00146668" w:rsidRDefault="00146668">
      <w:pPr>
        <w:jc w:val="center"/>
        <w:rPr>
          <w:rFonts w:ascii="Times New Roman Regular" w:hAnsi="Times New Roman Regular" w:hint="eastAsia"/>
          <w:sz w:val="24"/>
        </w:rPr>
      </w:pPr>
    </w:p>
    <w:p w14:paraId="2CE2A6A2" w14:textId="47121076" w:rsidR="00146668" w:rsidRDefault="00146668">
      <w:pPr>
        <w:jc w:val="center"/>
        <w:rPr>
          <w:rFonts w:ascii="Times New Roman Regular" w:hAnsi="Times New Roman Regular" w:hint="eastAsia"/>
          <w:sz w:val="22"/>
          <w:szCs w:val="22"/>
        </w:rPr>
      </w:pPr>
    </w:p>
    <w:p w14:paraId="1B0E56D6" w14:textId="77777777" w:rsidR="003A64B1" w:rsidRDefault="003A64B1">
      <w:pPr>
        <w:jc w:val="center"/>
        <w:rPr>
          <w:rFonts w:ascii="Times New Roman Regular" w:hAnsi="Times New Roman Regular" w:hint="eastAsia"/>
          <w:sz w:val="22"/>
          <w:szCs w:val="22"/>
        </w:rPr>
      </w:pPr>
    </w:p>
    <w:p w14:paraId="0E1F59DD" w14:textId="77777777" w:rsidR="00146668" w:rsidRDefault="000153B3">
      <w:pPr>
        <w:pStyle w:val="NoSpacing"/>
        <w:rPr>
          <w:rFonts w:ascii="Times New Roman" w:hAnsi="Times New Roman"/>
          <w:b/>
          <w:bCs/>
          <w:color w:val="0000CC"/>
          <w:sz w:val="24"/>
          <w:szCs w:val="24"/>
          <w:lang w:val="en-US"/>
        </w:rPr>
      </w:pPr>
      <w:r>
        <w:rPr>
          <w:rFonts w:ascii="Times New Roman" w:hAnsi="Times New Roman"/>
          <w:b/>
          <w:bCs/>
          <w:color w:val="0000CC"/>
          <w:sz w:val="24"/>
          <w:szCs w:val="24"/>
          <w:lang w:val="en-US"/>
        </w:rPr>
        <w:t>ABSTRACT</w:t>
      </w:r>
    </w:p>
    <w:p w14:paraId="63C731EC" w14:textId="77777777" w:rsidR="00146668" w:rsidRDefault="000153B3">
      <w:pPr>
        <w:rPr>
          <w:rFonts w:ascii="Times New Roman Regular" w:hAnsi="Times New Roman Regular" w:hint="eastAsia"/>
          <w:sz w:val="22"/>
          <w:szCs w:val="22"/>
        </w:rPr>
      </w:pPr>
      <w:r>
        <w:rPr>
          <w:rFonts w:ascii="Times New Roman Regular" w:hAnsi="Times New Roman Regular"/>
          <w:sz w:val="22"/>
          <w:szCs w:val="22"/>
        </w:rPr>
        <w:t xml:space="preserve">The transformation of education through the Merdeka </w:t>
      </w:r>
      <w:proofErr w:type="spellStart"/>
      <w:r>
        <w:rPr>
          <w:rFonts w:ascii="Times New Roman Regular" w:hAnsi="Times New Roman Regular"/>
          <w:sz w:val="22"/>
          <w:szCs w:val="22"/>
        </w:rPr>
        <w:t>Belajar</w:t>
      </w:r>
      <w:proofErr w:type="spellEnd"/>
      <w:r>
        <w:rPr>
          <w:rFonts w:ascii="Times New Roman Regular" w:hAnsi="Times New Roman Regular"/>
          <w:sz w:val="22"/>
          <w:szCs w:val="22"/>
        </w:rPr>
        <w:t xml:space="preserve"> policy requires the active engagement of teachers in designing contextual, humanistic, and student-centered learning experiences. One of the key strategic initiatives of this policy is the Driving Teacher Program, which aims to develop teachers as learning leaders and agents of change within their schools. This study investigates the strategies employed by Driving Teachers in implementing the Merdeka Curriculum at the basic education level and explores the challenges they face and their contributions to improving the quality of learning. Utilizing a qualitative approach with a descriptive phenomenological design, data were gathered through in-depth interviews, participatory observation, and document analysis, and analyzed using the Miles, Huberman, and </w:t>
      </w:r>
      <w:proofErr w:type="spellStart"/>
      <w:r>
        <w:rPr>
          <w:rFonts w:ascii="Times New Roman Regular" w:hAnsi="Times New Roman Regular"/>
          <w:sz w:val="22"/>
          <w:szCs w:val="22"/>
        </w:rPr>
        <w:t>Saldaña</w:t>
      </w:r>
      <w:proofErr w:type="spellEnd"/>
      <w:r>
        <w:rPr>
          <w:rFonts w:ascii="Times New Roman Regular" w:hAnsi="Times New Roman Regular"/>
          <w:sz w:val="22"/>
          <w:szCs w:val="22"/>
        </w:rPr>
        <w:t xml:space="preserve"> model. The results indicate that Driving Teachers apply innovative strategies such as project-based learning and differentiated instruction, while creating inclusive learning environments that foster students' holistic development. They also play a vital role in building professional learning communities, leading peer training, and strengthening school–community engagement. These findings affirm the strategic role of Driving Teachers in translating national education policy into meaningful classroom practices. The study recommends sustained institutional support to further empower Driving Teachers in shaping an adaptive, inclusive, and sustainable education system.</w:t>
      </w:r>
    </w:p>
    <w:p w14:paraId="6BD3253D" w14:textId="77777777" w:rsidR="00146668" w:rsidRDefault="00146668">
      <w:pPr>
        <w:rPr>
          <w:rFonts w:ascii="Times New Roman Regular" w:hAnsi="Times New Roman Regular" w:hint="eastAsia"/>
          <w:sz w:val="22"/>
          <w:szCs w:val="22"/>
        </w:rPr>
      </w:pPr>
    </w:p>
    <w:p w14:paraId="1E4894B1" w14:textId="77777777" w:rsidR="00146668" w:rsidRDefault="000153B3">
      <w:pPr>
        <w:rPr>
          <w:rFonts w:ascii="Times New Roman Regular" w:hAnsi="Times New Roman Regular" w:hint="eastAsia"/>
          <w:sz w:val="22"/>
          <w:szCs w:val="22"/>
        </w:rPr>
      </w:pPr>
      <w:commentRangeStart w:id="0"/>
      <w:r>
        <w:rPr>
          <w:rFonts w:ascii="Times New Roman" w:hAnsi="Times New Roman"/>
          <w:b/>
          <w:i/>
          <w:color w:val="0000CC"/>
        </w:rPr>
        <w:t>Keywords:</w:t>
      </w:r>
      <w:r>
        <w:rPr>
          <w:rFonts w:ascii="Times New Roman Regular" w:hAnsi="Times New Roman Regular"/>
          <w:sz w:val="22"/>
          <w:szCs w:val="22"/>
        </w:rPr>
        <w:t xml:space="preserve"> </w:t>
      </w:r>
      <w:commentRangeEnd w:id="0"/>
      <w:r w:rsidR="00625C99">
        <w:rPr>
          <w:rStyle w:val="CommentReference"/>
        </w:rPr>
        <w:commentReference w:id="0"/>
      </w:r>
      <w:r>
        <w:rPr>
          <w:rFonts w:ascii="Times New Roman Regular" w:hAnsi="Times New Roman Regular"/>
          <w:sz w:val="22"/>
          <w:szCs w:val="22"/>
        </w:rPr>
        <w:t>Driving Teacher; Merdeka Curriculum; Innovation; Learning; Basic Education</w:t>
      </w:r>
    </w:p>
    <w:p w14:paraId="617D03C5" w14:textId="77777777" w:rsidR="00146668" w:rsidRDefault="00146668">
      <w:pPr>
        <w:rPr>
          <w:rFonts w:ascii="Times New Roman Regular" w:hAnsi="Times New Roman Regular" w:hint="eastAsia"/>
          <w:sz w:val="22"/>
          <w:szCs w:val="22"/>
        </w:rPr>
      </w:pPr>
    </w:p>
    <w:p w14:paraId="1406829F" w14:textId="77777777" w:rsidR="00146668" w:rsidRDefault="000153B3">
      <w:pPr>
        <w:pStyle w:val="NoSpacing"/>
        <w:jc w:val="both"/>
        <w:rPr>
          <w:rFonts w:ascii="Times New Roman" w:hAnsi="Times New Roman"/>
          <w:b/>
          <w:color w:val="0000CC"/>
        </w:rPr>
      </w:pPr>
      <w:r>
        <w:rPr>
          <w:rFonts w:ascii="Times New Roman" w:hAnsi="Times New Roman"/>
          <w:b/>
          <w:color w:val="0000CC"/>
        </w:rPr>
        <w:t>INTRODUCTION</w:t>
      </w:r>
    </w:p>
    <w:p w14:paraId="58CDD05F"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 xml:space="preserve">In recent years, the Indonesian education system has undergone a significant transformation through the Merdeka </w:t>
      </w:r>
      <w:proofErr w:type="spellStart"/>
      <w:r>
        <w:rPr>
          <w:rFonts w:ascii="Times New Roman Regular" w:hAnsi="Times New Roman Regular"/>
          <w:sz w:val="22"/>
          <w:szCs w:val="22"/>
        </w:rPr>
        <w:t>Belajar</w:t>
      </w:r>
      <w:proofErr w:type="spellEnd"/>
      <w:r>
        <w:rPr>
          <w:rFonts w:ascii="Times New Roman Regular" w:hAnsi="Times New Roman Regular"/>
          <w:sz w:val="22"/>
          <w:szCs w:val="22"/>
        </w:rPr>
        <w:t xml:space="preserve"> policy. Central to this reform is the Merdeka Curriculum, which emphasizes the development of students' character and 21st-century competencies, including literacy, numeracy, critical thinking, and digital literacy (Habibullah, 2017). This progressive vision resonates with the pedagogical philosophy of Bell Hooks, who advocates for learning spaces that are joyful, empowering, and centered on both student and teacher well-being (</w:t>
      </w:r>
      <w:proofErr w:type="spellStart"/>
      <w:r>
        <w:rPr>
          <w:rFonts w:ascii="Times New Roman Regular" w:hAnsi="Times New Roman Regular" w:cs="Times New Roman Regular"/>
        </w:rPr>
        <w:t>Dinata</w:t>
      </w:r>
      <w:proofErr w:type="spellEnd"/>
      <w:r>
        <w:rPr>
          <w:rFonts w:ascii="Times New Roman Regular" w:hAnsi="Times New Roman Regular"/>
          <w:sz w:val="22"/>
          <w:szCs w:val="22"/>
        </w:rPr>
        <w:t>, 2020). However, such a paradigm shift cannot be effectively realized without structured support, systematic professional development, and exemplary leadership at the school level. To address this, the Ministry of Education introduced the Driving Teacher Program</w:t>
      </w:r>
      <w:commentRangeStart w:id="1"/>
      <w:r>
        <w:rPr>
          <w:rFonts w:ascii="Times New Roman Regular" w:hAnsi="Times New Roman Regular"/>
          <w:sz w:val="22"/>
          <w:szCs w:val="22"/>
        </w:rPr>
        <w:t>—</w:t>
      </w:r>
      <w:commentRangeEnd w:id="1"/>
      <w:r w:rsidR="00625C99">
        <w:rPr>
          <w:rStyle w:val="CommentReference"/>
        </w:rPr>
        <w:commentReference w:id="1"/>
      </w:r>
      <w:r>
        <w:rPr>
          <w:rFonts w:ascii="Times New Roman Regular" w:hAnsi="Times New Roman Regular"/>
          <w:sz w:val="22"/>
          <w:szCs w:val="22"/>
        </w:rPr>
        <w:t>an initiative aimed at cultivating teachers as learning leaders and agents of educational transformation (</w:t>
      </w:r>
      <w:proofErr w:type="spellStart"/>
      <w:r>
        <w:rPr>
          <w:rFonts w:ascii="Times New Roman Regular" w:hAnsi="Times New Roman Regular"/>
          <w:sz w:val="22"/>
          <w:szCs w:val="22"/>
        </w:rPr>
        <w:t>Purwowidodo</w:t>
      </w:r>
      <w:proofErr w:type="spellEnd"/>
      <w:r>
        <w:rPr>
          <w:rFonts w:ascii="Times New Roman Regular" w:hAnsi="Times New Roman Regular"/>
          <w:sz w:val="22"/>
          <w:szCs w:val="22"/>
        </w:rPr>
        <w:t xml:space="preserve"> &amp; </w:t>
      </w:r>
      <w:proofErr w:type="spellStart"/>
      <w:r>
        <w:rPr>
          <w:rFonts w:ascii="Times New Roman Regular" w:hAnsi="Times New Roman Regular"/>
          <w:sz w:val="22"/>
          <w:szCs w:val="22"/>
        </w:rPr>
        <w:t>Zaini</w:t>
      </w:r>
      <w:proofErr w:type="spellEnd"/>
      <w:r>
        <w:rPr>
          <w:rFonts w:ascii="Times New Roman Regular" w:hAnsi="Times New Roman Regular"/>
          <w:sz w:val="22"/>
          <w:szCs w:val="22"/>
        </w:rPr>
        <w:t>, 2023). Driving Teachers are expected to go beyond the traditional role of instruction to serve as facilitators of learning, peer mentors, and change agents within their schools. Despite its strategic importance, the program’s uptake remains limited. As of 2022, only 18,079 out of 3.32 million teachers nationwide had joined the program (</w:t>
      </w:r>
      <w:proofErr w:type="spellStart"/>
      <w:r>
        <w:rPr>
          <w:rFonts w:ascii="Times New Roman Regular" w:hAnsi="Times New Roman Regular"/>
          <w:sz w:val="22"/>
          <w:szCs w:val="22"/>
        </w:rPr>
        <w:t>Umboh</w:t>
      </w:r>
      <w:proofErr w:type="spellEnd"/>
      <w:r>
        <w:rPr>
          <w:rFonts w:ascii="Times New Roman Regular" w:hAnsi="Times New Roman Regular"/>
          <w:sz w:val="22"/>
          <w:szCs w:val="22"/>
        </w:rPr>
        <w:t xml:space="preserve"> et al., 2023). Furthermore, its implementation faces numerous challenges, including resistance to change, limited support from school principals, and inadequate facilities and infrastructure (</w:t>
      </w:r>
      <w:proofErr w:type="spellStart"/>
      <w:r>
        <w:rPr>
          <w:rFonts w:ascii="Times New Roman Regular" w:hAnsi="Times New Roman Regular"/>
          <w:sz w:val="22"/>
          <w:szCs w:val="22"/>
        </w:rPr>
        <w:t>Pribadi</w:t>
      </w:r>
      <w:proofErr w:type="spellEnd"/>
      <w:r>
        <w:rPr>
          <w:rFonts w:ascii="Times New Roman Regular" w:hAnsi="Times New Roman Regular"/>
          <w:sz w:val="22"/>
          <w:szCs w:val="22"/>
        </w:rPr>
        <w:t xml:space="preserve"> et al., 2023).</w:t>
      </w:r>
    </w:p>
    <w:p w14:paraId="6ABFB8B5"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 xml:space="preserve">At the primary education level, the implementation of the Merdeka Curriculum has not yet reached its full potential. Many elementary school teachers continue to rely on conventional, teacher-centered approaches and struggle to design learning experiences </w:t>
      </w:r>
      <w:r>
        <w:rPr>
          <w:rFonts w:ascii="Times New Roman Regular" w:hAnsi="Times New Roman Regular"/>
          <w:sz w:val="22"/>
          <w:szCs w:val="22"/>
        </w:rPr>
        <w:lastRenderedPageBreak/>
        <w:t>that truly reflect student-centered and differentiated principles (</w:t>
      </w:r>
      <w:proofErr w:type="spellStart"/>
      <w:r>
        <w:rPr>
          <w:rFonts w:ascii="Times New Roman Regular" w:hAnsi="Times New Roman Regular"/>
          <w:sz w:val="22"/>
          <w:szCs w:val="22"/>
        </w:rPr>
        <w:t>Tanjung</w:t>
      </w:r>
      <w:proofErr w:type="spellEnd"/>
      <w:r>
        <w:rPr>
          <w:rFonts w:ascii="Times New Roman Regular" w:hAnsi="Times New Roman Regular"/>
          <w:sz w:val="22"/>
          <w:szCs w:val="22"/>
        </w:rPr>
        <w:t xml:space="preserve">, 2022; </w:t>
      </w:r>
      <w:proofErr w:type="spellStart"/>
      <w:r>
        <w:rPr>
          <w:rFonts w:ascii="Times New Roman Regular" w:hAnsi="Times New Roman Regular"/>
          <w:sz w:val="22"/>
          <w:szCs w:val="22"/>
        </w:rPr>
        <w:t>Kuswibowo</w:t>
      </w:r>
      <w:proofErr w:type="spellEnd"/>
      <w:r>
        <w:rPr>
          <w:rFonts w:ascii="Times New Roman Regular" w:hAnsi="Times New Roman Regular"/>
          <w:sz w:val="22"/>
          <w:szCs w:val="22"/>
        </w:rPr>
        <w:t xml:space="preserve">, 2021). In such contexts, Driving Teachers play a pivotal role in catalyzing meaningful and innovative learning transformations aligned with the spirit of the Merdeka </w:t>
      </w:r>
      <w:proofErr w:type="spellStart"/>
      <w:r>
        <w:rPr>
          <w:rFonts w:ascii="Times New Roman Regular" w:hAnsi="Times New Roman Regular"/>
          <w:sz w:val="22"/>
          <w:szCs w:val="22"/>
        </w:rPr>
        <w:t>Belajar</w:t>
      </w:r>
      <w:proofErr w:type="spellEnd"/>
      <w:r>
        <w:rPr>
          <w:rFonts w:ascii="Times New Roman Regular" w:hAnsi="Times New Roman Regular"/>
          <w:sz w:val="22"/>
          <w:szCs w:val="22"/>
        </w:rPr>
        <w:t xml:space="preserve"> movement. The urgency of this study lies in the need to understand how Driving Teachers implement the Merdeka Curriculum in basic education settings. It aims to explore the strategies they employ in designing, delivering, and evaluating learning processes, while also identifying the barriers they face and the solutions they develop. The insights generated from this study are expected to inform policy formulation and the design of more effective teacher development programs.</w:t>
      </w:r>
    </w:p>
    <w:p w14:paraId="581DDCAE" w14:textId="77777777" w:rsidR="00146668" w:rsidRDefault="000153B3">
      <w:pPr>
        <w:ind w:firstLine="420"/>
        <w:rPr>
          <w:rFonts w:ascii="Times New Roman Regular" w:hAnsi="Times New Roman Regular" w:hint="eastAsia"/>
          <w:sz w:val="22"/>
          <w:szCs w:val="22"/>
        </w:rPr>
      </w:pPr>
      <w:commentRangeStart w:id="2"/>
      <w:r>
        <w:rPr>
          <w:rFonts w:ascii="Times New Roman Regular" w:hAnsi="Times New Roman Regular"/>
          <w:sz w:val="22"/>
          <w:szCs w:val="22"/>
        </w:rPr>
        <w:t>Specifically,</w:t>
      </w:r>
      <w:commentRangeEnd w:id="2"/>
      <w:r w:rsidR="00625C99">
        <w:rPr>
          <w:rStyle w:val="CommentReference"/>
        </w:rPr>
        <w:commentReference w:id="2"/>
      </w:r>
      <w:r>
        <w:rPr>
          <w:rFonts w:ascii="Times New Roman Regular" w:hAnsi="Times New Roman Regular"/>
          <w:sz w:val="22"/>
          <w:szCs w:val="22"/>
        </w:rPr>
        <w:t xml:space="preserve"> the study seeks to: (1) map the instructional strategies employed by Driving Teachers within the Merdeka Curriculum framework; (2) identify key implementation challenges and proposed solutions; and (3) provide practical recommendations for schools and education policymakers. Based on this background, the study focuses on examining how Driving Teachers contribute to improving the quality of learning and fostering educational transformation through adaptive, innovative, and contextually responsive practices in primary schools.</w:t>
      </w:r>
    </w:p>
    <w:p w14:paraId="0CA7F2C1" w14:textId="77777777" w:rsidR="00146668" w:rsidRDefault="00146668">
      <w:pPr>
        <w:rPr>
          <w:rFonts w:ascii="Times New Roman Regular" w:hAnsi="Times New Roman Regular" w:cs="Times New Roman Regular" w:hint="eastAsia"/>
          <w:sz w:val="22"/>
          <w:szCs w:val="22"/>
        </w:rPr>
      </w:pPr>
    </w:p>
    <w:p w14:paraId="22188D0A" w14:textId="77777777" w:rsidR="00146668" w:rsidRDefault="000153B3">
      <w:pPr>
        <w:rPr>
          <w:rFonts w:ascii="Times New Roman" w:hAnsi="Times New Roman"/>
          <w:b/>
          <w:color w:val="0000CC"/>
        </w:rPr>
      </w:pPr>
      <w:r>
        <w:rPr>
          <w:rFonts w:ascii="Times New Roman" w:hAnsi="Times New Roman"/>
          <w:b/>
          <w:color w:val="0000CC"/>
        </w:rPr>
        <w:t>LITERATURE REVIEW</w:t>
      </w:r>
    </w:p>
    <w:p w14:paraId="22E77195" w14:textId="77777777" w:rsidR="00146668" w:rsidRDefault="000153B3">
      <w:pPr>
        <w:rPr>
          <w:rFonts w:ascii="Times New Roman Regular" w:hAnsi="Times New Roman Regular" w:hint="eastAsia"/>
          <w:b/>
          <w:bCs/>
          <w:sz w:val="22"/>
          <w:szCs w:val="22"/>
        </w:rPr>
      </w:pPr>
      <w:r>
        <w:rPr>
          <w:rFonts w:ascii="Times New Roman Regular" w:hAnsi="Times New Roman Regular"/>
          <w:b/>
          <w:bCs/>
          <w:sz w:val="22"/>
          <w:szCs w:val="22"/>
        </w:rPr>
        <w:t>Merdeka Curriculum</w:t>
      </w:r>
    </w:p>
    <w:p w14:paraId="23FD1668"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The Merdeka Curriculum represents a paradigm shift in Indonesian education by promoting flexible, student-centered learning that prioritizes the development of 21st-century competencies such as literacy, numeracy, critical thinking, and character education (</w:t>
      </w:r>
      <w:proofErr w:type="spellStart"/>
      <w:r>
        <w:rPr>
          <w:rFonts w:ascii="Times New Roman Regular" w:hAnsi="Times New Roman Regular"/>
          <w:sz w:val="22"/>
          <w:szCs w:val="22"/>
        </w:rPr>
        <w:t>Wartoyo</w:t>
      </w:r>
      <w:proofErr w:type="spellEnd"/>
      <w:r>
        <w:rPr>
          <w:rFonts w:ascii="Times New Roman Regular" w:hAnsi="Times New Roman Regular"/>
          <w:sz w:val="22"/>
          <w:szCs w:val="22"/>
        </w:rPr>
        <w:t>, 2022). Unlike previous curricula that emphasized standardized instruction, the Merdeka Curriculum provides greater autonomy for teachers to design contextualized learning experiences tailored to students’ individual needs, local wisdom, and school environment. This flexibility aligns with global educational reform trends that advocate personalized learning and inclusive practices. Additionally, the curriculum encourages interdisciplinary learning, assessment for learning, and the integration of project-based and experiential pedagogies—thereby positioning learners as active agents in constructing knowledge.</w:t>
      </w:r>
    </w:p>
    <w:p w14:paraId="3F514CE1" w14:textId="77777777" w:rsidR="00146668" w:rsidRDefault="00146668">
      <w:pPr>
        <w:rPr>
          <w:rFonts w:ascii="Times New Roman Regular" w:hAnsi="Times New Roman Regular" w:hint="eastAsia"/>
          <w:sz w:val="22"/>
          <w:szCs w:val="22"/>
        </w:rPr>
      </w:pPr>
    </w:p>
    <w:p w14:paraId="2CFF16F3" w14:textId="77777777" w:rsidR="00146668" w:rsidRDefault="000153B3">
      <w:pPr>
        <w:rPr>
          <w:rFonts w:ascii="Times New Roman Regular" w:hAnsi="Times New Roman Regular" w:hint="eastAsia"/>
          <w:sz w:val="22"/>
          <w:szCs w:val="22"/>
        </w:rPr>
      </w:pPr>
      <w:r>
        <w:rPr>
          <w:rFonts w:ascii="Times New Roman Regular" w:hAnsi="Times New Roman Regular"/>
          <w:b/>
          <w:bCs/>
          <w:sz w:val="22"/>
          <w:szCs w:val="22"/>
        </w:rPr>
        <w:t>Driving Teachers</w:t>
      </w:r>
    </w:p>
    <w:p w14:paraId="51203F7E"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The concept of the Driving Teacher is grounded in the theory of educational change, which places teachers as central figures in school transformation. According to Fullan (2001), successful educational reform hinges on the capacity of teachers to act not merely as transmitters of knowledge, but as facilitators, leaders, and innovators of meaningful change. The Driving Teacher Program launched by the Indonesian Ministry of Education is a strategic response to this imperative. It aims to empower selected educators to become learning leaders who are capable of mentoring peers, initiating collaborative practices, and fostering a school culture that supports student-centered learning (</w:t>
      </w:r>
      <w:proofErr w:type="spellStart"/>
      <w:r>
        <w:rPr>
          <w:rFonts w:ascii="Times New Roman Regular" w:hAnsi="Times New Roman Regular"/>
          <w:sz w:val="22"/>
          <w:szCs w:val="22"/>
        </w:rPr>
        <w:t>Purwowidodo</w:t>
      </w:r>
      <w:proofErr w:type="spellEnd"/>
      <w:r>
        <w:rPr>
          <w:rFonts w:ascii="Times New Roman Regular" w:hAnsi="Times New Roman Regular"/>
          <w:sz w:val="22"/>
          <w:szCs w:val="22"/>
        </w:rPr>
        <w:t xml:space="preserve"> &amp; </w:t>
      </w:r>
      <w:proofErr w:type="spellStart"/>
      <w:r>
        <w:rPr>
          <w:rFonts w:ascii="Times New Roman Regular" w:hAnsi="Times New Roman Regular"/>
          <w:sz w:val="22"/>
          <w:szCs w:val="22"/>
        </w:rPr>
        <w:t>Zaini</w:t>
      </w:r>
      <w:proofErr w:type="spellEnd"/>
      <w:r>
        <w:rPr>
          <w:rFonts w:ascii="Times New Roman Regular" w:hAnsi="Times New Roman Regular"/>
          <w:sz w:val="22"/>
          <w:szCs w:val="22"/>
        </w:rPr>
        <w:t>, 2023). These teachers are also expected to bridge the gap between national education policy and classroom-level practice, playing a pivotal role in aligning implementation with the vision of the Merdeka Curriculum.</w:t>
      </w:r>
    </w:p>
    <w:p w14:paraId="5D30AF18" w14:textId="77777777" w:rsidR="00146668" w:rsidRDefault="00146668">
      <w:pPr>
        <w:rPr>
          <w:rFonts w:ascii="Times New Roman Regular" w:hAnsi="Times New Roman Regular" w:hint="eastAsia"/>
          <w:sz w:val="22"/>
          <w:szCs w:val="22"/>
        </w:rPr>
      </w:pPr>
    </w:p>
    <w:p w14:paraId="2FBA2242" w14:textId="77777777" w:rsidR="00146668" w:rsidRDefault="00146668">
      <w:pPr>
        <w:rPr>
          <w:rFonts w:ascii="Times New Roman Regular" w:hAnsi="Times New Roman Regular" w:hint="eastAsia"/>
          <w:sz w:val="22"/>
          <w:szCs w:val="22"/>
        </w:rPr>
      </w:pPr>
    </w:p>
    <w:p w14:paraId="12C0FF18" w14:textId="77777777" w:rsidR="00146668" w:rsidRDefault="000153B3">
      <w:pPr>
        <w:rPr>
          <w:rFonts w:ascii="Times New Roman Regular" w:hAnsi="Times New Roman Regular" w:hint="eastAsia"/>
          <w:b/>
          <w:bCs/>
          <w:sz w:val="22"/>
          <w:szCs w:val="22"/>
        </w:rPr>
      </w:pPr>
      <w:r>
        <w:rPr>
          <w:rFonts w:ascii="Times New Roman Regular" w:hAnsi="Times New Roman Regular"/>
          <w:b/>
          <w:bCs/>
          <w:sz w:val="22"/>
          <w:szCs w:val="22"/>
        </w:rPr>
        <w:t>Innovative Learning Strategies</w:t>
      </w:r>
    </w:p>
    <w:p w14:paraId="1106E947"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Learning strategies are critical components in translating curricular goals into effective classroom practices (</w:t>
      </w:r>
      <w:proofErr w:type="spellStart"/>
      <w:r>
        <w:rPr>
          <w:rFonts w:ascii="Times New Roman Regular" w:hAnsi="Times New Roman Regular"/>
          <w:sz w:val="22"/>
          <w:szCs w:val="22"/>
        </w:rPr>
        <w:t>Pahmi</w:t>
      </w:r>
      <w:proofErr w:type="spellEnd"/>
      <w:r>
        <w:rPr>
          <w:rFonts w:ascii="Times New Roman Regular" w:hAnsi="Times New Roman Regular"/>
          <w:sz w:val="22"/>
          <w:szCs w:val="22"/>
        </w:rPr>
        <w:t xml:space="preserve"> et al., 2024). Innovative learning strategies encompass a wide range of instructional decisions, including the choice of pedagogical models, teaching methods, learning media, and assessment techniques. The literature emphasizes that strategies such as differentiated instruction, project-based learning, and the use of digital technologies can significantly enhance student engagement, autonomy, and achievement (</w:t>
      </w:r>
      <w:proofErr w:type="spellStart"/>
      <w:r>
        <w:rPr>
          <w:rFonts w:ascii="Times New Roman Regular" w:hAnsi="Times New Roman Regular" w:cs="Times New Roman Regular"/>
        </w:rPr>
        <w:t>Cipta</w:t>
      </w:r>
      <w:proofErr w:type="spellEnd"/>
      <w:r>
        <w:rPr>
          <w:rFonts w:ascii="Times New Roman Regular" w:hAnsi="Times New Roman Regular"/>
          <w:sz w:val="22"/>
          <w:szCs w:val="22"/>
        </w:rPr>
        <w:t xml:space="preserve">, 2025). Within the framework of the Merdeka Curriculum, such </w:t>
      </w:r>
      <w:r>
        <w:rPr>
          <w:rFonts w:ascii="Times New Roman Regular" w:hAnsi="Times New Roman Regular"/>
          <w:sz w:val="22"/>
          <w:szCs w:val="22"/>
        </w:rPr>
        <w:lastRenderedPageBreak/>
        <w:t>strategies are not only encouraged but expected, as they reflect a commitment to responsive, inclusive, and meaningful education. Teachers are required to exercise creativity, critical reflection, and continuous professional development to implement these strategies effectively. Moreover, the integration of socio-emotional learning and local context ensures that the curriculum remains relevant to the diverse needs of Indonesian learners.</w:t>
      </w:r>
    </w:p>
    <w:p w14:paraId="51300D0D" w14:textId="77777777" w:rsidR="00146668" w:rsidRDefault="00146668">
      <w:pPr>
        <w:rPr>
          <w:rFonts w:ascii="Times New Roman Regular" w:hAnsi="Times New Roman Regular" w:cs="Times New Roman Regular" w:hint="eastAsia"/>
          <w:sz w:val="22"/>
          <w:szCs w:val="22"/>
        </w:rPr>
      </w:pPr>
    </w:p>
    <w:p w14:paraId="3B7197C5" w14:textId="77777777" w:rsidR="00146668" w:rsidRDefault="000153B3">
      <w:pPr>
        <w:pStyle w:val="NoSpacing"/>
        <w:jc w:val="both"/>
        <w:rPr>
          <w:rFonts w:ascii="Times New Roman" w:hAnsi="Times New Roman"/>
          <w:b/>
          <w:color w:val="0000CC"/>
        </w:rPr>
      </w:pPr>
      <w:r>
        <w:rPr>
          <w:rFonts w:ascii="Times New Roman" w:hAnsi="Times New Roman"/>
          <w:b/>
          <w:color w:val="0000CC"/>
        </w:rPr>
        <w:t>MATERIALS &amp; METHODS</w:t>
      </w:r>
    </w:p>
    <w:p w14:paraId="0FD83790"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This study employed a qualitative approach with a descriptive phenomenological method, aimed at gaining an in-depth understanding of the lived experiences of Driving Teachers in implementing the Merdeka Curriculum at the elementary education level. The phenomenological design was selected as it enables the researcher to explore the subjective, reflective, and contextual meanings constructed by individuals who are directly engaged in the phenomenon under investigation (Creswell, 2016). This approach is particularly well-suited for capturing the nuanced insights, internal perceptions, and personal interpretations of teachers as agents of educational change.</w:t>
      </w:r>
    </w:p>
    <w:p w14:paraId="74D83E5D"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The participants in this study were Driving Teachers who are actively teaching in elementary schools and have officially completed the Driving Teacher Program initiated by the Ministry of Education, Culture, Research, and Technology of Indonesia. A purposive sampling technique was used to select informants based on their direct involvement and relevance to the research objectives. The study was conducted in a number of public and private elementary schools that have formally adopted the Merdeka Curriculum and have at least one active Driving Teacher as part of their teaching staff. Data collection was carried out using three primary techniques to ensure methodological triangulation and richness of data. First, semi-structured in-depth interviews were conducted to explore participants’ experiences, teaching strategies, and challenges encountered during the curriculum implementation process. Second, participatory observation was employed to gain firsthand insights into teacher–student interactions and pedagogical practices in the classroom context. Third, document analysis was conducted on various instructional and administrative materials, including lesson plans (RPP or ATP), teaching modules, teachers' reflective journals, and school-level documentation related to the implementation of the Merdeka Curriculum.</w:t>
      </w:r>
    </w:p>
    <w:p w14:paraId="26DD78B0"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 xml:space="preserve">The data collected were analyzed using the interactive model developed by Miles, Huberman, and </w:t>
      </w:r>
      <w:proofErr w:type="spellStart"/>
      <w:r>
        <w:rPr>
          <w:rFonts w:ascii="Times New Roman Regular" w:hAnsi="Times New Roman Regular"/>
          <w:sz w:val="22"/>
          <w:szCs w:val="22"/>
        </w:rPr>
        <w:t>Saldaña</w:t>
      </w:r>
      <w:proofErr w:type="spellEnd"/>
      <w:r>
        <w:rPr>
          <w:rFonts w:ascii="Times New Roman Regular" w:hAnsi="Times New Roman Regular"/>
          <w:sz w:val="22"/>
          <w:szCs w:val="22"/>
        </w:rPr>
        <w:t xml:space="preserve"> (2014), which consists of three interrelated stages: (1) data reduction, where raw data were selected, condensed, and organized to highlight significant elements; (2) data display, where the information was presented in the form of thematic narratives, tables, or matrices to facilitate interpretation; and (3) conclusion drawing and verification, which was conducted iteratively throughout the analysis process to identify emerging patterns, construct meanings, and generate key findings grounded in the empirical data. This method allowed for a rigorous, reflective, and systematic analysis of the qualitative data, ensuring the credibility and depth of the research outcomes.</w:t>
      </w:r>
    </w:p>
    <w:p w14:paraId="196BB801" w14:textId="77777777" w:rsidR="00146668" w:rsidRDefault="00146668">
      <w:pPr>
        <w:rPr>
          <w:rFonts w:ascii="Times New Roman Regular" w:hAnsi="Times New Roman Regular" w:cs="Times New Roman Regular" w:hint="eastAsia"/>
          <w:sz w:val="22"/>
          <w:szCs w:val="22"/>
        </w:rPr>
      </w:pPr>
    </w:p>
    <w:p w14:paraId="547EBD74" w14:textId="77777777" w:rsidR="00146668" w:rsidRDefault="000153B3">
      <w:pPr>
        <w:pStyle w:val="NoSpacing"/>
        <w:jc w:val="both"/>
        <w:rPr>
          <w:rFonts w:ascii="Times New Roman" w:hAnsi="Times New Roman"/>
          <w:b/>
          <w:color w:val="0000CC"/>
        </w:rPr>
      </w:pPr>
      <w:r>
        <w:rPr>
          <w:rFonts w:ascii="Times New Roman" w:hAnsi="Times New Roman"/>
          <w:b/>
          <w:color w:val="0000CC"/>
        </w:rPr>
        <w:t>RESULT AND DISCUSSION</w:t>
      </w:r>
    </w:p>
    <w:p w14:paraId="1D36E2BC"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The findings of this study underscore the pivotal role of Driving Teachers in enhancing the quality of learning at the elementary education level. Their influence extends beyond pedagogical innovation to catalyzing systemic transformation within their respective schools. Armed with a comprehensive understanding of the philosophy and core principles of the Merdeka Curriculum, Driving Teachers have demonstrated an ability to implement contextually relevant, learner-centered, and innovative instructional strategies. Notable among these strategies are Project-Based Learning (</w:t>
      </w:r>
      <w:proofErr w:type="spellStart"/>
      <w:r>
        <w:rPr>
          <w:rFonts w:ascii="Times New Roman Regular" w:hAnsi="Times New Roman Regular"/>
          <w:sz w:val="22"/>
          <w:szCs w:val="22"/>
        </w:rPr>
        <w:t>PjBL</w:t>
      </w:r>
      <w:proofErr w:type="spellEnd"/>
      <w:r>
        <w:rPr>
          <w:rFonts w:ascii="Times New Roman Regular" w:hAnsi="Times New Roman Regular"/>
          <w:sz w:val="22"/>
          <w:szCs w:val="22"/>
        </w:rPr>
        <w:t>), differentiated instruction, and the creative integration of digital technology and local wisdom as teaching tools.</w:t>
      </w:r>
    </w:p>
    <w:p w14:paraId="5DA506BC"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 xml:space="preserve">These approaches have been shown to foster greater student engagement, while also </w:t>
      </w:r>
      <w:r>
        <w:rPr>
          <w:rFonts w:ascii="Times New Roman Regular" w:hAnsi="Times New Roman Regular"/>
          <w:sz w:val="22"/>
          <w:szCs w:val="22"/>
        </w:rPr>
        <w:lastRenderedPageBreak/>
        <w:t xml:space="preserve">supporting holistic development across cognitive, affective, and psychomotor domains. The learning environments cultivated by Driving Teachers are marked by inclusivity, adaptability, and responsiveness to students’ individual needs—thereby accelerating the realization of the Pancasila Student Profile, which serves as the guiding framework for Indonesia’s national education system. Importantly, Driving Teachers function not merely as implementers of top-down policies but as facilitators, inspirational figures, and agents of educational renewal. They actively engage in critical reflection and continuous evaluation of their teaching practices to ensure ongoing improvement. Beyond their classroom roles, they emerge as change agents in shaping school culture, initiating the formation of collaborative learning communities, organizing in-house training tailored to teacher needs, and actively utilizing the Merdeka </w:t>
      </w:r>
      <w:proofErr w:type="spellStart"/>
      <w:r>
        <w:rPr>
          <w:rFonts w:ascii="Times New Roman Regular" w:hAnsi="Times New Roman Regular"/>
          <w:sz w:val="22"/>
          <w:szCs w:val="22"/>
        </w:rPr>
        <w:t>Mengajar</w:t>
      </w:r>
      <w:proofErr w:type="spellEnd"/>
      <w:r>
        <w:rPr>
          <w:rFonts w:ascii="Times New Roman Regular" w:hAnsi="Times New Roman Regular"/>
          <w:sz w:val="22"/>
          <w:szCs w:val="22"/>
        </w:rPr>
        <w:t xml:space="preserve"> Platform (PMM) as a means to share best practices, engage in pedagogical dialogue, and strengthen their professional competencies.</w:t>
      </w:r>
    </w:p>
    <w:p w14:paraId="1F003C3B"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These collaborative practices embody the principles of distributed leadership, in which Driving Teachers serve as instructional leaders committed to building the collective capacity of the school community. Their contributions are not confined to instructional duties alone—they are also actively involved in non-instructional initiatives, such as home visits, parental engagement in the learning process, and the facilitation of school-based literacy and character education programs. These efforts signal a broadened scope of educational engagement that extends into students’ homes and social environments. As such, Driving Teachers are not solely focused on individual professional growth; they are actively cultivating an educational ecosystem that is collaborative, participatory, and oriented toward lifelong learning. Within broader educational policy discourse, they are increasingly recognized as systemic change agents who are restoring the fundamental essence of education: the holistic development of human potential.</w:t>
      </w:r>
    </w:p>
    <w:p w14:paraId="6713666B"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Their presence is instrumental in shifting the learning paradigm from content-heavy, assessment-driven models toward competency-based, reflective, and meaningful learning. The implementation of contextual formative assessment and the intentional reinforcement of character values are clear indicators of this transformation. Furthermore, Driving Teachers excel at translating national education policies into tangible classroom practices</w:t>
      </w:r>
      <w:bookmarkStart w:id="3" w:name="_GoBack"/>
      <w:bookmarkEnd w:id="3"/>
      <w:r>
        <w:rPr>
          <w:rFonts w:ascii="Times New Roman Regular" w:hAnsi="Times New Roman Regular"/>
          <w:sz w:val="22"/>
          <w:szCs w:val="22"/>
        </w:rPr>
        <w:t xml:space="preserve"> that have a direct and positive impact on student learning outcomes. Through their adaptive, reflective, and visionary approach, Driving Teachers embody the profile of the future-ready educator—capable of meeting the challenges of 21st-century education. They not only drive transformation within classrooms but also assume leadership roles in constructing a relevant, sustainable, and transformative learning system, aligned with contemporary demands and the evolving needs of learners.</w:t>
      </w:r>
    </w:p>
    <w:p w14:paraId="6E4CFF8B" w14:textId="77777777" w:rsidR="00146668" w:rsidRDefault="000153B3">
      <w:pPr>
        <w:pStyle w:val="NoSpacing"/>
        <w:jc w:val="both"/>
        <w:rPr>
          <w:rFonts w:ascii="Times New Roman Regular" w:hAnsi="Times New Roman Regular"/>
          <w:b/>
          <w:bCs/>
        </w:rPr>
      </w:pPr>
      <w:r>
        <w:rPr>
          <w:rFonts w:ascii="Times New Roman Regular" w:hAnsi="Times New Roman Regular" w:cs="Times New Roman Regular"/>
        </w:rPr>
        <w:br/>
      </w:r>
      <w:commentRangeStart w:id="4"/>
      <w:r>
        <w:rPr>
          <w:rFonts w:ascii="Times New Roman" w:hAnsi="Times New Roman"/>
          <w:b/>
          <w:color w:val="0000CC"/>
        </w:rPr>
        <w:t>CONCLUSION</w:t>
      </w:r>
      <w:commentRangeEnd w:id="4"/>
      <w:r w:rsidR="00625C99">
        <w:rPr>
          <w:rStyle w:val="CommentReference"/>
          <w:rFonts w:asciiTheme="minorHAnsi" w:eastAsiaTheme="minorEastAsia" w:hAnsiTheme="minorHAnsi" w:cstheme="minorBidi"/>
          <w:kern w:val="2"/>
          <w:lang w:val="en-US" w:eastAsia="zh-CN"/>
        </w:rPr>
        <w:commentReference w:id="4"/>
      </w:r>
    </w:p>
    <w:p w14:paraId="1AF46E2F"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 xml:space="preserve">Based on the research findings, it can be concluded that Driving Teachers play a strategic role in the implementation of the Merdeka Curriculum at the primary education level. They function not merely as policy executors but also as agents of change who actively promote transformative learning practices within schools. Through the application of innovative teaching strategies—such as Project-Based Learning, differentiated instruction, and the use of contextual and culturally relevant media—Driving Teachers have succeeded in creating learning environments that are inclusive, participatory, and responsive to the unique needs and potentials of each student. Moreover, Driving Teachers contribute to building a culture of professional collaboration within schools by forming learning communities, sharing best practices, and utilizing the Merdeka </w:t>
      </w:r>
      <w:proofErr w:type="spellStart"/>
      <w:r>
        <w:rPr>
          <w:rFonts w:ascii="Times New Roman Regular" w:hAnsi="Times New Roman Regular"/>
          <w:sz w:val="22"/>
          <w:szCs w:val="22"/>
        </w:rPr>
        <w:t>Mengajar</w:t>
      </w:r>
      <w:proofErr w:type="spellEnd"/>
      <w:r>
        <w:rPr>
          <w:rFonts w:ascii="Times New Roman Regular" w:hAnsi="Times New Roman Regular"/>
          <w:sz w:val="22"/>
          <w:szCs w:val="22"/>
        </w:rPr>
        <w:t xml:space="preserve"> Platform as a space for continuous professional development. Their role extends beyond the classroom, effectively bridging the gap between national education policy and local school contexts. In doing so, they ensure that educational reforms are not limited to administrative procedures but are translated into concrete </w:t>
      </w:r>
      <w:r>
        <w:rPr>
          <w:rFonts w:ascii="Times New Roman Regular" w:hAnsi="Times New Roman Regular"/>
          <w:sz w:val="22"/>
          <w:szCs w:val="22"/>
        </w:rPr>
        <w:lastRenderedPageBreak/>
        <w:t>practices with real impact on student learning processes and outcomes.</w:t>
      </w:r>
    </w:p>
    <w:p w14:paraId="2E33D020"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 xml:space="preserve">Despite facing various challenges in implementation—such as limited resources, cultural resistance within schools, and the need for adaptation to curriculum changes—Driving Teachers continue to demonstrate a strong commitment to innovation and educational quality improvement. This affirms their essential role in cultivating an educational ecosystem that is reflective, inclusive, and oriented toward lifelong learning. Therefore, systemic and sustained support from the government, educational institutions, teacher communities, and society at large is crucial to strengthen and optimize the role of Driving </w:t>
      </w:r>
      <w:proofErr w:type="spellStart"/>
      <w:r>
        <w:rPr>
          <w:rFonts w:ascii="Times New Roman Regular" w:hAnsi="Times New Roman Regular"/>
          <w:sz w:val="22"/>
          <w:szCs w:val="22"/>
        </w:rPr>
        <w:t>Teachers.With</w:t>
      </w:r>
      <w:proofErr w:type="spellEnd"/>
      <w:r>
        <w:rPr>
          <w:rFonts w:ascii="Times New Roman Regular" w:hAnsi="Times New Roman Regular"/>
          <w:sz w:val="22"/>
          <w:szCs w:val="22"/>
        </w:rPr>
        <w:t xml:space="preserve"> robust cross-sector collaboration, it is expected that Driving Teachers will not only enhance the implementation of the Merdeka Curriculum but also lay a solid foundation for the realization of a contextualized, transformative, and sustainable education system fit for the demands of the 21st century.</w:t>
      </w:r>
    </w:p>
    <w:p w14:paraId="14C4274E" w14:textId="77777777" w:rsidR="00146668" w:rsidRDefault="00146668">
      <w:pPr>
        <w:rPr>
          <w:rFonts w:ascii="Times New Roman Regular" w:hAnsi="Times New Roman Regular" w:hint="eastAsia"/>
          <w:sz w:val="22"/>
          <w:szCs w:val="22"/>
        </w:rPr>
      </w:pPr>
    </w:p>
    <w:p w14:paraId="4424A058" w14:textId="77777777" w:rsidR="00146668" w:rsidRDefault="000153B3">
      <w:pPr>
        <w:pStyle w:val="NoSpacing"/>
        <w:rPr>
          <w:rFonts w:ascii="Times New Roman" w:hAnsi="Times New Roman"/>
          <w:b/>
          <w:bCs/>
          <w:i/>
          <w:iCs/>
          <w:color w:val="0000CC"/>
          <w:sz w:val="24"/>
          <w:szCs w:val="24"/>
          <w:lang w:val="en-US"/>
        </w:rPr>
      </w:pPr>
      <w:r>
        <w:rPr>
          <w:rFonts w:ascii="Times New Roman" w:hAnsi="Times New Roman"/>
          <w:b/>
          <w:bCs/>
          <w:i/>
          <w:iCs/>
          <w:color w:val="0000CC"/>
          <w:sz w:val="24"/>
          <w:szCs w:val="24"/>
          <w:lang w:val="en-US"/>
        </w:rPr>
        <w:t>Declaration by Authors</w:t>
      </w:r>
    </w:p>
    <w:p w14:paraId="4C2834F9" w14:textId="77777777" w:rsidR="00146668" w:rsidRDefault="000153B3">
      <w:pPr>
        <w:pStyle w:val="NoSpacing"/>
        <w:rPr>
          <w:rFonts w:ascii="Times New Roman" w:hAnsi="Times New Roman"/>
          <w:bCs/>
          <w:sz w:val="24"/>
          <w:szCs w:val="24"/>
          <w:lang w:val="en-US"/>
        </w:rPr>
      </w:pPr>
      <w:r>
        <w:rPr>
          <w:rFonts w:ascii="Times New Roman" w:hAnsi="Times New Roman"/>
          <w:b/>
          <w:bCs/>
          <w:color w:val="0000CC"/>
          <w:sz w:val="24"/>
          <w:szCs w:val="24"/>
          <w:lang w:val="en-US"/>
        </w:rPr>
        <w:t xml:space="preserve">Ethical Approval: </w:t>
      </w:r>
      <w:r>
        <w:rPr>
          <w:rFonts w:ascii="Times New Roman" w:hAnsi="Times New Roman"/>
          <w:bCs/>
          <w:sz w:val="24"/>
          <w:szCs w:val="24"/>
          <w:lang w:val="en-US"/>
        </w:rPr>
        <w:t>Approved</w:t>
      </w:r>
    </w:p>
    <w:p w14:paraId="48A772DB" w14:textId="77777777" w:rsidR="00146668" w:rsidRDefault="000153B3">
      <w:pPr>
        <w:pStyle w:val="NoSpacing"/>
        <w:rPr>
          <w:rFonts w:ascii="Times New Roman" w:hAnsi="Times New Roman"/>
          <w:bCs/>
          <w:sz w:val="24"/>
          <w:szCs w:val="24"/>
          <w:lang w:val="en-US"/>
        </w:rPr>
      </w:pPr>
      <w:r>
        <w:rPr>
          <w:rFonts w:ascii="Times New Roman" w:hAnsi="Times New Roman"/>
          <w:b/>
          <w:bCs/>
          <w:color w:val="0000CC"/>
          <w:sz w:val="24"/>
          <w:szCs w:val="24"/>
          <w:lang w:val="en-US"/>
        </w:rPr>
        <w:t xml:space="preserve">Conflict of Interest: </w:t>
      </w:r>
      <w:r>
        <w:rPr>
          <w:rFonts w:ascii="Times New Roman" w:hAnsi="Times New Roman"/>
          <w:bCs/>
          <w:sz w:val="24"/>
          <w:szCs w:val="24"/>
          <w:lang w:val="en-US"/>
        </w:rPr>
        <w:t>No conflicts of interest declared.</w:t>
      </w:r>
    </w:p>
    <w:p w14:paraId="5AEE13AC" w14:textId="77777777" w:rsidR="00146668" w:rsidRDefault="00146668">
      <w:pPr>
        <w:pStyle w:val="NoSpacing"/>
        <w:jc w:val="both"/>
        <w:rPr>
          <w:rFonts w:ascii="Times New Roman" w:hAnsi="Times New Roman"/>
          <w:b/>
          <w:color w:val="0000CC"/>
          <w:sz w:val="24"/>
          <w:szCs w:val="24"/>
        </w:rPr>
      </w:pPr>
    </w:p>
    <w:p w14:paraId="7A759EB3" w14:textId="77777777" w:rsidR="00146668" w:rsidRDefault="000153B3">
      <w:pPr>
        <w:pStyle w:val="NoSpacing"/>
        <w:jc w:val="both"/>
        <w:rPr>
          <w:rFonts w:ascii="Times New Roman Regular" w:hAnsi="Times New Roman Regular"/>
        </w:rPr>
      </w:pPr>
      <w:commentRangeStart w:id="5"/>
      <w:r>
        <w:rPr>
          <w:rFonts w:ascii="Times New Roman" w:hAnsi="Times New Roman"/>
          <w:b/>
          <w:color w:val="0000CC"/>
        </w:rPr>
        <w:t>REFERENCES</w:t>
      </w:r>
      <w:commentRangeEnd w:id="5"/>
      <w:r w:rsidR="00625C99">
        <w:rPr>
          <w:rStyle w:val="CommentReference"/>
          <w:rFonts w:asciiTheme="minorHAnsi" w:eastAsiaTheme="minorEastAsia" w:hAnsiTheme="minorHAnsi" w:cstheme="minorBidi"/>
          <w:kern w:val="2"/>
          <w:lang w:val="en-US" w:eastAsia="zh-CN"/>
        </w:rPr>
        <w:commentReference w:id="5"/>
      </w:r>
    </w:p>
    <w:p w14:paraId="2A6F9C41" w14:textId="77777777" w:rsidR="002A4630" w:rsidRPr="002A4630" w:rsidRDefault="002A4630" w:rsidP="002A4630">
      <w:pPr>
        <w:tabs>
          <w:tab w:val="left" w:pos="709"/>
        </w:tabs>
        <w:ind w:left="709" w:hanging="709"/>
        <w:rPr>
          <w:rFonts w:ascii="Times New Roman Regular" w:hAnsi="Times New Roman Regular" w:cs="Times New Roman Regular" w:hint="eastAsia"/>
        </w:rPr>
      </w:pPr>
      <w:proofErr w:type="spellStart"/>
      <w:r w:rsidRPr="002A4630">
        <w:rPr>
          <w:rFonts w:ascii="Times New Roman Regular" w:hAnsi="Times New Roman Regular" w:cs="Times New Roman Regular"/>
        </w:rPr>
        <w:t>Cipta</w:t>
      </w:r>
      <w:proofErr w:type="spellEnd"/>
      <w:r w:rsidRPr="002A4630">
        <w:rPr>
          <w:rFonts w:ascii="Times New Roman Regular" w:hAnsi="Times New Roman Regular" w:cs="Times New Roman Regular"/>
        </w:rPr>
        <w:t xml:space="preserve">, D. A. S. (2025). Developing Differentiated Mathematics Learning Strategies Based on </w:t>
      </w:r>
      <w:proofErr w:type="spellStart"/>
      <w:r w:rsidRPr="002A4630">
        <w:rPr>
          <w:rFonts w:ascii="Times New Roman Regular" w:hAnsi="Times New Roman Regular" w:cs="Times New Roman Regular"/>
        </w:rPr>
        <w:t>STIFIn</w:t>
      </w:r>
      <w:proofErr w:type="spellEnd"/>
      <w:r w:rsidRPr="002A4630">
        <w:rPr>
          <w:rFonts w:ascii="Times New Roman Regular" w:hAnsi="Times New Roman Regular" w:cs="Times New Roman Regular"/>
        </w:rPr>
        <w:t xml:space="preserve"> Learning Styles. </w:t>
      </w:r>
      <w:proofErr w:type="spellStart"/>
      <w:r w:rsidRPr="002A4630">
        <w:rPr>
          <w:rFonts w:ascii="Times New Roman Regular" w:hAnsi="Times New Roman Regular" w:cs="Times New Roman Regular"/>
        </w:rPr>
        <w:t>Paradigma</w:t>
      </w:r>
      <w:proofErr w:type="spellEnd"/>
      <w:r w:rsidRPr="002A4630">
        <w:rPr>
          <w:rFonts w:ascii="Times New Roman Regular" w:hAnsi="Times New Roman Regular" w:cs="Times New Roman Regular"/>
        </w:rPr>
        <w:t>: Journal of Philosophy, Science, Technology, and Socio-Culture, 31(2), 186-192. https://doi.org/10.33503/paradigma.v31i2.2016</w:t>
      </w:r>
    </w:p>
    <w:p w14:paraId="16CA257C" w14:textId="77777777" w:rsidR="002A4630" w:rsidRPr="002A4630" w:rsidRDefault="002A4630" w:rsidP="002A4630">
      <w:pPr>
        <w:tabs>
          <w:tab w:val="left" w:pos="709"/>
        </w:tabs>
        <w:ind w:left="709" w:hanging="709"/>
        <w:rPr>
          <w:rFonts w:ascii="Times New Roman Regular" w:hAnsi="Times New Roman Regular" w:cs="Times New Roman Regular" w:hint="eastAsia"/>
        </w:rPr>
      </w:pPr>
      <w:r w:rsidRPr="002A4630">
        <w:rPr>
          <w:rFonts w:ascii="Times New Roman Regular" w:hAnsi="Times New Roman Regular" w:cs="Times New Roman Regular"/>
        </w:rPr>
        <w:t>Creswell, J. W. (2016). Research design: Qualitative, quantitative, and mixed methods approaches (4th ed.). SAGE Publications.</w:t>
      </w:r>
    </w:p>
    <w:p w14:paraId="640CBE8A" w14:textId="77777777" w:rsidR="002A4630" w:rsidRPr="002A4630" w:rsidRDefault="002A4630" w:rsidP="002A4630">
      <w:pPr>
        <w:tabs>
          <w:tab w:val="left" w:pos="709"/>
        </w:tabs>
        <w:ind w:left="709" w:hanging="709"/>
        <w:rPr>
          <w:rFonts w:ascii="Times New Roman Regular" w:hAnsi="Times New Roman Regular" w:cs="Times New Roman Regular" w:hint="eastAsia"/>
        </w:rPr>
      </w:pPr>
      <w:proofErr w:type="spellStart"/>
      <w:r w:rsidRPr="002A4630">
        <w:rPr>
          <w:rFonts w:ascii="Times New Roman Regular" w:hAnsi="Times New Roman Regular" w:cs="Times New Roman Regular"/>
        </w:rPr>
        <w:t>Dinata</w:t>
      </w:r>
      <w:proofErr w:type="spellEnd"/>
      <w:r w:rsidRPr="002A4630">
        <w:rPr>
          <w:rFonts w:ascii="Times New Roman Regular" w:hAnsi="Times New Roman Regular" w:cs="Times New Roman Regular"/>
        </w:rPr>
        <w:t>, F. R. (2020). Humanistic Learning in Encouraging Affective Development. Al-</w:t>
      </w:r>
      <w:proofErr w:type="spellStart"/>
      <w:r w:rsidRPr="002A4630">
        <w:rPr>
          <w:rFonts w:ascii="Times New Roman Regular" w:hAnsi="Times New Roman Regular" w:cs="Times New Roman Regular"/>
        </w:rPr>
        <w:t>I'tibar</w:t>
      </w:r>
      <w:proofErr w:type="spellEnd"/>
      <w:r w:rsidRPr="002A4630">
        <w:rPr>
          <w:rFonts w:ascii="Times New Roman Regular" w:hAnsi="Times New Roman Regular" w:cs="Times New Roman Regular"/>
        </w:rPr>
        <w:t>: Journal of Islamic Education, 7(1), 48-57. https://doi.org/10.30599/jpia.v7i1.1188</w:t>
      </w:r>
    </w:p>
    <w:p w14:paraId="57F6B2B0" w14:textId="77777777" w:rsidR="002A4630" w:rsidRPr="002A4630" w:rsidRDefault="002A4630" w:rsidP="002A4630">
      <w:pPr>
        <w:tabs>
          <w:tab w:val="left" w:pos="709"/>
        </w:tabs>
        <w:ind w:left="709" w:hanging="709"/>
        <w:rPr>
          <w:rFonts w:ascii="Times New Roman Regular" w:hAnsi="Times New Roman Regular" w:cs="Times New Roman Regular" w:hint="eastAsia"/>
        </w:rPr>
      </w:pPr>
      <w:r w:rsidRPr="002A4630">
        <w:rPr>
          <w:rFonts w:ascii="Times New Roman Regular" w:hAnsi="Times New Roman Regular" w:cs="Times New Roman Regular"/>
        </w:rPr>
        <w:t>Fullan, M. (2001). Leading in a culture of change. Jossey-Bass.</w:t>
      </w:r>
    </w:p>
    <w:p w14:paraId="2E31DBC3" w14:textId="77777777" w:rsidR="002A4630" w:rsidRPr="002A4630" w:rsidRDefault="002A4630" w:rsidP="002A4630">
      <w:pPr>
        <w:tabs>
          <w:tab w:val="left" w:pos="709"/>
        </w:tabs>
        <w:ind w:left="709" w:hanging="709"/>
        <w:rPr>
          <w:rFonts w:ascii="Times New Roman Regular" w:hAnsi="Times New Roman Regular" w:cs="Times New Roman Regular" w:hint="eastAsia"/>
        </w:rPr>
      </w:pPr>
      <w:r w:rsidRPr="002A4630">
        <w:rPr>
          <w:rFonts w:ascii="Times New Roman Regular" w:hAnsi="Times New Roman Regular" w:cs="Times New Roman Regular"/>
        </w:rPr>
        <w:t>Habibullah, M. (2017). Curriculum implications for student competencies in facing the 21st century. Journal of Education and Culture, 22(3), 299–310. https://doi.org/10.24832/jpnk.v22i3.854</w:t>
      </w:r>
    </w:p>
    <w:p w14:paraId="49C888CD" w14:textId="77777777" w:rsidR="002A4630" w:rsidRPr="002A4630" w:rsidRDefault="002A4630" w:rsidP="002A4630">
      <w:pPr>
        <w:tabs>
          <w:tab w:val="left" w:pos="709"/>
        </w:tabs>
        <w:ind w:left="709" w:hanging="709"/>
        <w:rPr>
          <w:rFonts w:ascii="Times New Roman Regular" w:hAnsi="Times New Roman Regular" w:cs="Times New Roman Regular" w:hint="eastAsia"/>
        </w:rPr>
      </w:pPr>
      <w:proofErr w:type="spellStart"/>
      <w:r w:rsidRPr="002A4630">
        <w:rPr>
          <w:rFonts w:ascii="Times New Roman Regular" w:hAnsi="Times New Roman Regular" w:cs="Times New Roman Regular"/>
        </w:rPr>
        <w:t>Kuswibowo</w:t>
      </w:r>
      <w:proofErr w:type="spellEnd"/>
      <w:r w:rsidRPr="002A4630">
        <w:rPr>
          <w:rFonts w:ascii="Times New Roman Regular" w:hAnsi="Times New Roman Regular" w:cs="Times New Roman Regular"/>
        </w:rPr>
        <w:t>, A. (2021). Analysis of teacher readiness in implementing the Independent Curriculum. Journal of Educational Evaluation, 15(2), 90–99. https://doi.org/10.15294/jep.v15i2.10123</w:t>
      </w:r>
    </w:p>
    <w:p w14:paraId="2D350CD2" w14:textId="77777777" w:rsidR="002A4630" w:rsidRPr="002A4630" w:rsidRDefault="002A4630" w:rsidP="002A4630">
      <w:pPr>
        <w:tabs>
          <w:tab w:val="left" w:pos="709"/>
        </w:tabs>
        <w:ind w:left="709" w:hanging="709"/>
        <w:rPr>
          <w:rFonts w:ascii="Times New Roman Regular" w:hAnsi="Times New Roman Regular" w:cs="Times New Roman Regular" w:hint="eastAsia"/>
        </w:rPr>
      </w:pPr>
      <w:r w:rsidRPr="002A4630">
        <w:rPr>
          <w:rFonts w:ascii="Times New Roman Regular" w:hAnsi="Times New Roman Regular" w:cs="Times New Roman Regular"/>
        </w:rPr>
        <w:t xml:space="preserve">Miles, M. B., Huberman, A. M., &amp; </w:t>
      </w:r>
      <w:proofErr w:type="spellStart"/>
      <w:r w:rsidRPr="002A4630">
        <w:rPr>
          <w:rFonts w:ascii="Times New Roman Regular" w:hAnsi="Times New Roman Regular" w:cs="Times New Roman Regular"/>
        </w:rPr>
        <w:t>Saldaña</w:t>
      </w:r>
      <w:proofErr w:type="spellEnd"/>
      <w:r w:rsidRPr="002A4630">
        <w:rPr>
          <w:rFonts w:ascii="Times New Roman Regular" w:hAnsi="Times New Roman Regular" w:cs="Times New Roman Regular"/>
        </w:rPr>
        <w:t>, J. (2014). Qualitative data analysis: A methods sourcebook (3rd ed.). SAGE Publications.</w:t>
      </w:r>
    </w:p>
    <w:p w14:paraId="6739A0CA" w14:textId="77777777" w:rsidR="002A4630" w:rsidRPr="002A4630" w:rsidRDefault="002A4630" w:rsidP="002A4630">
      <w:pPr>
        <w:tabs>
          <w:tab w:val="left" w:pos="709"/>
        </w:tabs>
        <w:ind w:left="709" w:hanging="709"/>
        <w:rPr>
          <w:rFonts w:ascii="Times New Roman Regular" w:hAnsi="Times New Roman Regular" w:cs="Times New Roman Regular" w:hint="eastAsia"/>
        </w:rPr>
      </w:pPr>
      <w:proofErr w:type="spellStart"/>
      <w:r w:rsidRPr="002A4630">
        <w:rPr>
          <w:rFonts w:ascii="Times New Roman Regular" w:hAnsi="Times New Roman Regular" w:cs="Times New Roman Regular"/>
        </w:rPr>
        <w:t>Ningrum</w:t>
      </w:r>
      <w:proofErr w:type="spellEnd"/>
      <w:r w:rsidRPr="002A4630">
        <w:rPr>
          <w:rFonts w:ascii="Times New Roman Regular" w:hAnsi="Times New Roman Regular" w:cs="Times New Roman Regular"/>
        </w:rPr>
        <w:t xml:space="preserve">, D. S., &amp; </w:t>
      </w:r>
      <w:proofErr w:type="spellStart"/>
      <w:r w:rsidRPr="002A4630">
        <w:rPr>
          <w:rFonts w:ascii="Times New Roman Regular" w:hAnsi="Times New Roman Regular" w:cs="Times New Roman Regular"/>
        </w:rPr>
        <w:t>Suryani</w:t>
      </w:r>
      <w:proofErr w:type="spellEnd"/>
      <w:r w:rsidRPr="002A4630">
        <w:rPr>
          <w:rFonts w:ascii="Times New Roman Regular" w:hAnsi="Times New Roman Regular" w:cs="Times New Roman Regular"/>
        </w:rPr>
        <w:t>, N. (2022). The role of the Leading Teacher in realizing transformative education in elementary schools. Journal of Transformational Education, 5(2), 211–224. https://doi.org/10.31004/jpt.v5i2.1209</w:t>
      </w:r>
    </w:p>
    <w:p w14:paraId="28DA50AF" w14:textId="77777777" w:rsidR="002A4630" w:rsidRPr="002A4630" w:rsidRDefault="002A4630" w:rsidP="002A4630">
      <w:pPr>
        <w:tabs>
          <w:tab w:val="left" w:pos="709"/>
        </w:tabs>
        <w:ind w:left="709" w:hanging="709"/>
        <w:rPr>
          <w:rFonts w:ascii="Times New Roman Regular" w:hAnsi="Times New Roman Regular" w:cs="Times New Roman Regular" w:hint="eastAsia"/>
        </w:rPr>
      </w:pPr>
      <w:proofErr w:type="spellStart"/>
      <w:r w:rsidRPr="002A4630">
        <w:rPr>
          <w:rFonts w:ascii="Times New Roman Regular" w:hAnsi="Times New Roman Regular" w:cs="Times New Roman Regular"/>
        </w:rPr>
        <w:t>Pahmi</w:t>
      </w:r>
      <w:proofErr w:type="spellEnd"/>
      <w:r w:rsidRPr="002A4630">
        <w:rPr>
          <w:rFonts w:ascii="Times New Roman Regular" w:hAnsi="Times New Roman Regular" w:cs="Times New Roman Regular"/>
        </w:rPr>
        <w:t xml:space="preserve">, S., </w:t>
      </w:r>
      <w:proofErr w:type="spellStart"/>
      <w:r w:rsidRPr="002A4630">
        <w:rPr>
          <w:rFonts w:ascii="Times New Roman Regular" w:hAnsi="Times New Roman Regular" w:cs="Times New Roman Regular"/>
        </w:rPr>
        <w:t>Verianti</w:t>
      </w:r>
      <w:proofErr w:type="spellEnd"/>
      <w:r w:rsidRPr="002A4630">
        <w:rPr>
          <w:rFonts w:ascii="Times New Roman Regular" w:hAnsi="Times New Roman Regular" w:cs="Times New Roman Regular"/>
        </w:rPr>
        <w:t xml:space="preserve">, G., </w:t>
      </w:r>
      <w:proofErr w:type="spellStart"/>
      <w:r w:rsidRPr="002A4630">
        <w:rPr>
          <w:rFonts w:ascii="Times New Roman Regular" w:hAnsi="Times New Roman Regular" w:cs="Times New Roman Regular"/>
        </w:rPr>
        <w:t>Winarni</w:t>
      </w:r>
      <w:proofErr w:type="spellEnd"/>
      <w:r w:rsidRPr="002A4630">
        <w:rPr>
          <w:rFonts w:ascii="Times New Roman Regular" w:hAnsi="Times New Roman Regular" w:cs="Times New Roman Regular"/>
        </w:rPr>
        <w:t xml:space="preserve">, W., &amp; </w:t>
      </w:r>
      <w:proofErr w:type="spellStart"/>
      <w:r w:rsidRPr="002A4630">
        <w:rPr>
          <w:rFonts w:ascii="Times New Roman Regular" w:hAnsi="Times New Roman Regular" w:cs="Times New Roman Regular"/>
        </w:rPr>
        <w:t>Azzahra</w:t>
      </w:r>
      <w:proofErr w:type="spellEnd"/>
      <w:r w:rsidRPr="002A4630">
        <w:rPr>
          <w:rFonts w:ascii="Times New Roman Regular" w:hAnsi="Times New Roman Regular" w:cs="Times New Roman Regular"/>
        </w:rPr>
        <w:t>, M. (2024). The role of the philosophy of educational science in the professional development of elementary school teachers: A literature review. BELAINDIKA Journal (Learning and Educational Innovation), 6(2), 137–144. https://doi.org/10.52005/belaindika.v6i2.173</w:t>
      </w:r>
    </w:p>
    <w:p w14:paraId="5A56013F" w14:textId="77777777" w:rsidR="002A4630" w:rsidRPr="002A4630" w:rsidRDefault="002A4630" w:rsidP="002A4630">
      <w:pPr>
        <w:tabs>
          <w:tab w:val="left" w:pos="709"/>
        </w:tabs>
        <w:ind w:left="709" w:hanging="709"/>
        <w:rPr>
          <w:rFonts w:ascii="Times New Roman Regular" w:hAnsi="Times New Roman Regular" w:cs="Times New Roman Regular" w:hint="eastAsia"/>
        </w:rPr>
      </w:pPr>
      <w:proofErr w:type="spellStart"/>
      <w:r w:rsidRPr="002A4630">
        <w:rPr>
          <w:rFonts w:ascii="Times New Roman Regular" w:hAnsi="Times New Roman Regular" w:cs="Times New Roman Regular"/>
        </w:rPr>
        <w:t>Pribadi</w:t>
      </w:r>
      <w:proofErr w:type="spellEnd"/>
      <w:r w:rsidRPr="002A4630">
        <w:rPr>
          <w:rFonts w:ascii="Times New Roman Regular" w:hAnsi="Times New Roman Regular" w:cs="Times New Roman Regular"/>
        </w:rPr>
        <w:t xml:space="preserve">, Y. A., Sari, R. N., &amp; </w:t>
      </w:r>
      <w:proofErr w:type="spellStart"/>
      <w:r w:rsidRPr="002A4630">
        <w:rPr>
          <w:rFonts w:ascii="Times New Roman Regular" w:hAnsi="Times New Roman Regular" w:cs="Times New Roman Regular"/>
        </w:rPr>
        <w:t>Aisyah</w:t>
      </w:r>
      <w:proofErr w:type="spellEnd"/>
      <w:r w:rsidRPr="002A4630">
        <w:rPr>
          <w:rFonts w:ascii="Times New Roman Regular" w:hAnsi="Times New Roman Regular" w:cs="Times New Roman Regular"/>
        </w:rPr>
        <w:t>, R. N. (2023). The phenomenon of driving teachers in the dynamics of educational policy. Journal of Educational Management, 11(1), 45–56. https://doi.org/10.21009/jmp.v11i1.3452</w:t>
      </w:r>
    </w:p>
    <w:p w14:paraId="307AA627" w14:textId="77777777" w:rsidR="002A4630" w:rsidRPr="002A4630" w:rsidRDefault="002A4630" w:rsidP="002A4630">
      <w:pPr>
        <w:tabs>
          <w:tab w:val="left" w:pos="709"/>
        </w:tabs>
        <w:ind w:left="709" w:hanging="709"/>
        <w:rPr>
          <w:rFonts w:ascii="Times New Roman Regular" w:hAnsi="Times New Roman Regular" w:cs="Times New Roman Regular" w:hint="eastAsia"/>
        </w:rPr>
      </w:pPr>
      <w:proofErr w:type="spellStart"/>
      <w:r w:rsidRPr="002A4630">
        <w:rPr>
          <w:rFonts w:ascii="Times New Roman Regular" w:hAnsi="Times New Roman Regular" w:cs="Times New Roman Regular"/>
        </w:rPr>
        <w:t>Purwowidodo</w:t>
      </w:r>
      <w:proofErr w:type="spellEnd"/>
      <w:r w:rsidRPr="002A4630">
        <w:rPr>
          <w:rFonts w:ascii="Times New Roman Regular" w:hAnsi="Times New Roman Regular" w:cs="Times New Roman Regular"/>
        </w:rPr>
        <w:t xml:space="preserve">, E., &amp; </w:t>
      </w:r>
      <w:proofErr w:type="spellStart"/>
      <w:r w:rsidRPr="002A4630">
        <w:rPr>
          <w:rFonts w:ascii="Times New Roman Regular" w:hAnsi="Times New Roman Regular" w:cs="Times New Roman Regular"/>
        </w:rPr>
        <w:t>Zaini</w:t>
      </w:r>
      <w:proofErr w:type="spellEnd"/>
      <w:r w:rsidRPr="002A4630">
        <w:rPr>
          <w:rFonts w:ascii="Times New Roman Regular" w:hAnsi="Times New Roman Regular" w:cs="Times New Roman Regular"/>
        </w:rPr>
        <w:t>, M. (2023). Transformational leadership of leading teachers in learning. Journal of Educational Sciences, 8(1), 24–32. https://doi.org/10.21831/jip.v8i1.26789</w:t>
      </w:r>
    </w:p>
    <w:p w14:paraId="6C44FEF5" w14:textId="77777777" w:rsidR="002A4630" w:rsidRPr="002A4630" w:rsidRDefault="002A4630" w:rsidP="002A4630">
      <w:pPr>
        <w:tabs>
          <w:tab w:val="left" w:pos="709"/>
        </w:tabs>
        <w:ind w:left="709" w:hanging="709"/>
        <w:rPr>
          <w:rFonts w:ascii="Times New Roman Regular" w:hAnsi="Times New Roman Regular" w:cs="Times New Roman Regular" w:hint="eastAsia"/>
        </w:rPr>
      </w:pPr>
      <w:proofErr w:type="spellStart"/>
      <w:r w:rsidRPr="002A4630">
        <w:rPr>
          <w:rFonts w:ascii="Times New Roman Regular" w:hAnsi="Times New Roman Regular" w:cs="Times New Roman Regular"/>
        </w:rPr>
        <w:t>Rasmani</w:t>
      </w:r>
      <w:proofErr w:type="spellEnd"/>
      <w:r w:rsidRPr="002A4630">
        <w:rPr>
          <w:rFonts w:ascii="Times New Roman Regular" w:hAnsi="Times New Roman Regular" w:cs="Times New Roman Regular"/>
        </w:rPr>
        <w:t xml:space="preserve">, N., </w:t>
      </w:r>
      <w:proofErr w:type="spellStart"/>
      <w:r w:rsidRPr="002A4630">
        <w:rPr>
          <w:rFonts w:ascii="Times New Roman Regular" w:hAnsi="Times New Roman Regular" w:cs="Times New Roman Regular"/>
        </w:rPr>
        <w:t>Fauziah</w:t>
      </w:r>
      <w:proofErr w:type="spellEnd"/>
      <w:r w:rsidRPr="002A4630">
        <w:rPr>
          <w:rFonts w:ascii="Times New Roman Regular" w:hAnsi="Times New Roman Regular" w:cs="Times New Roman Regular"/>
        </w:rPr>
        <w:t xml:space="preserve">, A., &amp; </w:t>
      </w:r>
      <w:proofErr w:type="spellStart"/>
      <w:r w:rsidRPr="002A4630">
        <w:rPr>
          <w:rFonts w:ascii="Times New Roman Regular" w:hAnsi="Times New Roman Regular" w:cs="Times New Roman Regular"/>
        </w:rPr>
        <w:t>Sumarni</w:t>
      </w:r>
      <w:proofErr w:type="spellEnd"/>
      <w:r w:rsidRPr="002A4630">
        <w:rPr>
          <w:rFonts w:ascii="Times New Roman Regular" w:hAnsi="Times New Roman Regular" w:cs="Times New Roman Regular"/>
        </w:rPr>
        <w:t>, L. (2023). Leading teachers and improving learning competencies in the Independent Curriculum era. Journal of Character Education, 13(1), 88–100. https://doi.org/10.21831/jpk.v13i1.39200</w:t>
      </w:r>
    </w:p>
    <w:p w14:paraId="2DF5E036" w14:textId="77777777" w:rsidR="002A4630" w:rsidRPr="002A4630" w:rsidRDefault="002A4630" w:rsidP="002A4630">
      <w:pPr>
        <w:tabs>
          <w:tab w:val="left" w:pos="709"/>
        </w:tabs>
        <w:ind w:left="709" w:hanging="709"/>
        <w:rPr>
          <w:rFonts w:ascii="Times New Roman Regular" w:hAnsi="Times New Roman Regular" w:cs="Times New Roman Regular" w:hint="eastAsia"/>
        </w:rPr>
      </w:pPr>
      <w:proofErr w:type="spellStart"/>
      <w:r w:rsidRPr="002A4630">
        <w:rPr>
          <w:rFonts w:ascii="Times New Roman Regular" w:hAnsi="Times New Roman Regular" w:cs="Times New Roman Regular"/>
        </w:rPr>
        <w:t>Tanjung</w:t>
      </w:r>
      <w:proofErr w:type="spellEnd"/>
      <w:r w:rsidRPr="002A4630">
        <w:rPr>
          <w:rFonts w:ascii="Times New Roman Regular" w:hAnsi="Times New Roman Regular" w:cs="Times New Roman Regular"/>
        </w:rPr>
        <w:t>, H. (2022). Teacher readiness in implementing the Independent Curriculum: A case study in elementary schools. Journal of Educational Evaluation, 16(1), 78–89. https://doi.org/10.15294/jep.v16i1.13299</w:t>
      </w:r>
    </w:p>
    <w:p w14:paraId="4CA73DF9" w14:textId="77777777" w:rsidR="002A4630" w:rsidRPr="002A4630" w:rsidRDefault="002A4630" w:rsidP="002A4630">
      <w:pPr>
        <w:tabs>
          <w:tab w:val="left" w:pos="709"/>
        </w:tabs>
        <w:ind w:left="709" w:hanging="709"/>
        <w:rPr>
          <w:rFonts w:ascii="Times New Roman Regular" w:hAnsi="Times New Roman Regular" w:cs="Times New Roman Regular" w:hint="eastAsia"/>
        </w:rPr>
      </w:pPr>
      <w:proofErr w:type="spellStart"/>
      <w:r w:rsidRPr="002A4630">
        <w:rPr>
          <w:rFonts w:ascii="Times New Roman Regular" w:hAnsi="Times New Roman Regular" w:cs="Times New Roman Regular"/>
        </w:rPr>
        <w:t>Umboh</w:t>
      </w:r>
      <w:proofErr w:type="spellEnd"/>
      <w:r w:rsidRPr="002A4630">
        <w:rPr>
          <w:rFonts w:ascii="Times New Roman Regular" w:hAnsi="Times New Roman Regular" w:cs="Times New Roman Regular"/>
        </w:rPr>
        <w:t xml:space="preserve">, N. A., Ibrahim, M., &amp; Rukmini, D. (2023). Participation of Leading Teachers in the </w:t>
      </w:r>
      <w:r w:rsidRPr="002A4630">
        <w:rPr>
          <w:rFonts w:ascii="Times New Roman Regular" w:hAnsi="Times New Roman Regular" w:cs="Times New Roman Regular"/>
        </w:rPr>
        <w:lastRenderedPageBreak/>
        <w:t>Implementation of the Independent Learning Policy. Journal of Indonesian Education Policy, 4(1), 55–67. https://doi.org/10.25077/jkpi.4.1.2023.55-67</w:t>
      </w:r>
    </w:p>
    <w:p w14:paraId="4AA17E3E" w14:textId="470168CD" w:rsidR="00146668" w:rsidRDefault="002A4630" w:rsidP="002A4630">
      <w:pPr>
        <w:tabs>
          <w:tab w:val="left" w:pos="709"/>
        </w:tabs>
        <w:ind w:left="709" w:hanging="709"/>
        <w:rPr>
          <w:rFonts w:asciiTheme="majorBidi" w:eastAsia="Times New Roman" w:hAnsiTheme="majorBidi" w:cstheme="majorBidi"/>
          <w:color w:val="0000FF"/>
          <w:u w:val="single"/>
        </w:rPr>
      </w:pPr>
      <w:proofErr w:type="spellStart"/>
      <w:r w:rsidRPr="002A4630">
        <w:rPr>
          <w:rFonts w:ascii="Times New Roman Regular" w:hAnsi="Times New Roman Regular" w:cs="Times New Roman Regular"/>
        </w:rPr>
        <w:t>Wartoyo</w:t>
      </w:r>
      <w:proofErr w:type="spellEnd"/>
      <w:r w:rsidRPr="002A4630">
        <w:rPr>
          <w:rFonts w:ascii="Times New Roman Regular" w:hAnsi="Times New Roman Regular" w:cs="Times New Roman Regular"/>
        </w:rPr>
        <w:t>, (2022). Educational Innovation in the Digital Era: A Review of the Independent Curriculum. Journal of Educational Technology, 24(1), 1–10. https://doi.org/10.21009/jtp.v24i1.2345</w:t>
      </w:r>
    </w:p>
    <w:p w14:paraId="3074EC03" w14:textId="77777777" w:rsidR="00146668" w:rsidRDefault="00146668">
      <w:pPr>
        <w:tabs>
          <w:tab w:val="left" w:pos="709"/>
        </w:tabs>
        <w:ind w:left="709" w:hanging="709"/>
        <w:rPr>
          <w:rFonts w:asciiTheme="majorBidi" w:eastAsia="Times New Roman" w:hAnsiTheme="majorBidi" w:cstheme="majorBidi"/>
          <w:color w:val="0000FF"/>
          <w:u w:val="single"/>
        </w:rPr>
      </w:pPr>
    </w:p>
    <w:sectPr w:rsidR="00146668">
      <w:headerReference w:type="even" r:id="rId10"/>
      <w:headerReference w:type="default" r:id="rId11"/>
      <w:footerReference w:type="even" r:id="rId12"/>
      <w:footerReference w:type="default" r:id="rId13"/>
      <w:headerReference w:type="first" r:id="rId14"/>
      <w:footerReference w:type="first" r:id="rId15"/>
      <w:pgSz w:w="11910" w:h="16840"/>
      <w:pgMar w:top="1699" w:right="1699" w:bottom="1699" w:left="2261" w:header="720" w:footer="720" w:gutter="0"/>
      <w:cols w:space="0"/>
      <w:docGrid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5-08-07T20:38:00Z" w:initials="h">
    <w:p w14:paraId="130D4666" w14:textId="71B58AD8" w:rsidR="00625C99" w:rsidRDefault="00625C99">
      <w:pPr>
        <w:pStyle w:val="CommentText"/>
      </w:pPr>
      <w:r>
        <w:rPr>
          <w:rStyle w:val="CommentReference"/>
        </w:rPr>
        <w:annotationRef/>
      </w:r>
      <w:proofErr w:type="spellStart"/>
      <w:r>
        <w:t>Rearrage</w:t>
      </w:r>
      <w:proofErr w:type="spellEnd"/>
      <w:r>
        <w:t xml:space="preserve"> it alphabetically</w:t>
      </w:r>
    </w:p>
  </w:comment>
  <w:comment w:id="1" w:author="hp" w:date="2025-08-07T20:39:00Z" w:initials="h">
    <w:p w14:paraId="5C9C7DAC" w14:textId="136ACF74" w:rsidR="00625C99" w:rsidRDefault="00625C99">
      <w:pPr>
        <w:pStyle w:val="CommentText"/>
      </w:pPr>
      <w:r>
        <w:rPr>
          <w:rStyle w:val="CommentReference"/>
        </w:rPr>
        <w:annotationRef/>
      </w:r>
      <w:r>
        <w:t>Expunge underscores</w:t>
      </w:r>
    </w:p>
  </w:comment>
  <w:comment w:id="2" w:author="hp" w:date="2025-08-07T20:40:00Z" w:initials="h">
    <w:p w14:paraId="03A5568F" w14:textId="104E0A25" w:rsidR="00625C99" w:rsidRDefault="00625C99">
      <w:pPr>
        <w:pStyle w:val="CommentText"/>
      </w:pPr>
      <w:r>
        <w:rPr>
          <w:rStyle w:val="CommentReference"/>
        </w:rPr>
        <w:annotationRef/>
      </w:r>
      <w:r>
        <w:t>Merge the paragraph</w:t>
      </w:r>
    </w:p>
  </w:comment>
  <w:comment w:id="4" w:author="hp" w:date="2025-08-07T20:42:00Z" w:initials="h">
    <w:p w14:paraId="33C4811F" w14:textId="5DBD9648" w:rsidR="00625C99" w:rsidRDefault="00625C99">
      <w:pPr>
        <w:pStyle w:val="CommentText"/>
      </w:pPr>
      <w:r>
        <w:rPr>
          <w:rStyle w:val="CommentReference"/>
        </w:rPr>
        <w:annotationRef/>
      </w:r>
      <w:r>
        <w:t xml:space="preserve">Remove underscores </w:t>
      </w:r>
    </w:p>
  </w:comment>
  <w:comment w:id="5" w:author="hp" w:date="2025-08-07T20:41:00Z" w:initials="h">
    <w:p w14:paraId="1CE7E108" w14:textId="7DEE2313" w:rsidR="00625C99" w:rsidRDefault="00625C99">
      <w:pPr>
        <w:pStyle w:val="CommentText"/>
      </w:pPr>
      <w:r>
        <w:rPr>
          <w:rStyle w:val="CommentReference"/>
        </w:rPr>
        <w:annotationRef/>
      </w:r>
      <w:r>
        <w:t>Change your references to APA 7</w:t>
      </w:r>
      <w:r w:rsidRPr="00625C99">
        <w:rPr>
          <w:vertAlign w:val="superscript"/>
        </w:rPr>
        <w:t>th</w:t>
      </w:r>
      <w:r>
        <w:t xml:space="preserve"> edition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0D4666" w15:done="0"/>
  <w15:commentEx w15:paraId="5C9C7DAC" w15:done="0"/>
  <w15:commentEx w15:paraId="03A5568F" w15:done="0"/>
  <w15:commentEx w15:paraId="33C4811F" w15:done="0"/>
  <w15:commentEx w15:paraId="1CE7E1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0D4666" w16cid:durableId="2C3F8D4E"/>
  <w16cid:commentId w16cid:paraId="5C9C7DAC" w16cid:durableId="2C3F8D7D"/>
  <w16cid:commentId w16cid:paraId="03A5568F" w16cid:durableId="2C3F8DA9"/>
  <w16cid:commentId w16cid:paraId="33C4811F" w16cid:durableId="2C3F8E4B"/>
  <w16cid:commentId w16cid:paraId="1CE7E108" w16cid:durableId="2C3F8E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2B507" w14:textId="77777777" w:rsidR="000A22D1" w:rsidRDefault="000A22D1" w:rsidP="003A64B1">
      <w:r>
        <w:separator/>
      </w:r>
    </w:p>
  </w:endnote>
  <w:endnote w:type="continuationSeparator" w:id="0">
    <w:p w14:paraId="64683587" w14:textId="77777777" w:rsidR="000A22D1" w:rsidRDefault="000A22D1" w:rsidP="003A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Regular">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ACAC" w14:textId="77777777" w:rsidR="003A64B1" w:rsidRDefault="003A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11186" w14:textId="77777777" w:rsidR="003A64B1" w:rsidRDefault="003A6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E77F6" w14:textId="77777777" w:rsidR="003A64B1" w:rsidRDefault="003A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90D61" w14:textId="77777777" w:rsidR="000A22D1" w:rsidRDefault="000A22D1" w:rsidP="003A64B1">
      <w:r>
        <w:separator/>
      </w:r>
    </w:p>
  </w:footnote>
  <w:footnote w:type="continuationSeparator" w:id="0">
    <w:p w14:paraId="004A3604" w14:textId="77777777" w:rsidR="000A22D1" w:rsidRDefault="000A22D1" w:rsidP="003A6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CAEBB" w14:textId="3C5CFD6A" w:rsidR="003A64B1" w:rsidRDefault="000A22D1">
    <w:pPr>
      <w:pStyle w:val="Header"/>
    </w:pPr>
    <w:r>
      <w:rPr>
        <w:noProof/>
      </w:rPr>
      <w:pict w14:anchorId="7C113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438" o:spid="_x0000_s2050" type="#_x0000_t136" style="position:absolute;left:0;text-align:left;margin-left:0;margin-top:0;width:471.95pt;height:8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B3A89" w14:textId="49566ADC" w:rsidR="003A64B1" w:rsidRDefault="000A22D1">
    <w:pPr>
      <w:pStyle w:val="Header"/>
    </w:pPr>
    <w:r>
      <w:rPr>
        <w:noProof/>
      </w:rPr>
      <w:pict w14:anchorId="208C8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439" o:spid="_x0000_s2051" type="#_x0000_t136" style="position:absolute;left:0;text-align:left;margin-left:0;margin-top:0;width:471.95pt;height:8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2943" w14:textId="33355B12" w:rsidR="003A64B1" w:rsidRDefault="000A22D1">
    <w:pPr>
      <w:pStyle w:val="Header"/>
    </w:pPr>
    <w:r>
      <w:rPr>
        <w:noProof/>
      </w:rPr>
      <w:pict w14:anchorId="0B46B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437" o:spid="_x0000_s2049" type="#_x0000_t136" style="position:absolute;left:0;text-align:left;margin-left:0;margin-top:0;width:471.95pt;height:8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FB56631"/>
    <w:rsid w:val="00AE2819"/>
    <w:rsid w:val="3FB56631"/>
    <w:rsid w:val="9DBA3C82"/>
    <w:rsid w:val="9FA6E92D"/>
    <w:rsid w:val="BFFD863F"/>
    <w:rsid w:val="D9DFD0F2"/>
    <w:rsid w:val="DF7DB4C7"/>
    <w:rsid w:val="DFAFFFCF"/>
    <w:rsid w:val="EA99D753"/>
    <w:rsid w:val="FB73521C"/>
    <w:rsid w:val="FDBB47CD"/>
    <w:rsid w:val="FDFBC689"/>
    <w:rsid w:val="000153B3"/>
    <w:rsid w:val="00050A31"/>
    <w:rsid w:val="000716D2"/>
    <w:rsid w:val="00071AAB"/>
    <w:rsid w:val="000A22D1"/>
    <w:rsid w:val="000B76C4"/>
    <w:rsid w:val="000C5610"/>
    <w:rsid w:val="000E6552"/>
    <w:rsid w:val="000F3A4F"/>
    <w:rsid w:val="000F59AC"/>
    <w:rsid w:val="001364FE"/>
    <w:rsid w:val="001368DD"/>
    <w:rsid w:val="00146668"/>
    <w:rsid w:val="00147DB3"/>
    <w:rsid w:val="001518A5"/>
    <w:rsid w:val="00170095"/>
    <w:rsid w:val="00170E4F"/>
    <w:rsid w:val="001743F4"/>
    <w:rsid w:val="00187C33"/>
    <w:rsid w:val="001936B7"/>
    <w:rsid w:val="00196AB1"/>
    <w:rsid w:val="00201333"/>
    <w:rsid w:val="00210FA7"/>
    <w:rsid w:val="00216417"/>
    <w:rsid w:val="0026631D"/>
    <w:rsid w:val="002A4630"/>
    <w:rsid w:val="002C2F53"/>
    <w:rsid w:val="002D50AB"/>
    <w:rsid w:val="0033518C"/>
    <w:rsid w:val="003437C2"/>
    <w:rsid w:val="00377186"/>
    <w:rsid w:val="003A1C03"/>
    <w:rsid w:val="003A64B1"/>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5C99"/>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AE2819"/>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3FB56631"/>
    <w:rsid w:val="5DF38311"/>
    <w:rsid w:val="5F6B6400"/>
    <w:rsid w:val="7BFB5F3B"/>
    <w:rsid w:val="7F7F2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0591BD"/>
  <w15:docId w15:val="{3FF07298-7FFE-4868-AE6D-2EE0B5F9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rPr>
  </w:style>
  <w:style w:type="paragraph" w:styleId="Heading7">
    <w:name w:val="heading 7"/>
    <w:basedOn w:val="Normal"/>
    <w:next w:val="Normal"/>
    <w:semiHidden/>
    <w:unhideWhenUsed/>
    <w:qFormat/>
    <w:pPr>
      <w:keepNext/>
      <w:keepLines/>
      <w:spacing w:before="240" w:after="64" w:line="320" w:lineRule="auto"/>
      <w:outlineLvl w:val="6"/>
    </w:pPr>
    <w:rPr>
      <w:b/>
      <w:bCs/>
      <w:sz w:val="24"/>
    </w:rPr>
  </w:style>
  <w:style w:type="paragraph" w:styleId="Heading8">
    <w:name w:val="heading 8"/>
    <w:basedOn w:val="Normal"/>
    <w:next w:val="Normal"/>
    <w:semiHidden/>
    <w:unhideWhenUsed/>
    <w:qFormat/>
    <w:pPr>
      <w:keepNext/>
      <w:keepLines/>
      <w:spacing w:before="240" w:after="64" w:line="320" w:lineRule="auto"/>
      <w:outlineLvl w:val="7"/>
    </w:pPr>
    <w:rPr>
      <w:sz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pPr>
      <w:jc w:val="left"/>
    </w:pPr>
  </w:style>
  <w:style w:type="paragraph" w:styleId="CommentSubject">
    <w:name w:val="annotation subject"/>
    <w:basedOn w:val="CommentText"/>
    <w:next w:val="CommentText"/>
    <w:rPr>
      <w:b/>
      <w:bCs/>
    </w:rPr>
  </w:style>
  <w:style w:type="paragraph" w:styleId="Date">
    <w:name w:val="Date"/>
    <w:basedOn w:val="Normal"/>
    <w:next w:val="Normal"/>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jc w:val="left"/>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jc w:val="left"/>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NormalWeb">
    <w:name w:val="Normal (Web)"/>
    <w:basedOn w:val="Normal"/>
    <w:rPr>
      <w:sz w:val="24"/>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uiPriority w:val="1"/>
    <w:qFormat/>
    <w:rPr>
      <w:rFonts w:ascii="Calibri" w:eastAsia="Calibri" w:hAnsi="Calibri"/>
      <w:sz w:val="22"/>
      <w:szCs w:val="22"/>
      <w:lang w:val="en-IN" w:eastAsia="en-US"/>
    </w:rPr>
  </w:style>
  <w:style w:type="character" w:styleId="UnresolvedMention">
    <w:name w:val="Unresolved Mention"/>
    <w:basedOn w:val="DefaultParagraphFont"/>
    <w:uiPriority w:val="99"/>
    <w:semiHidden/>
    <w:unhideWhenUsed/>
    <w:rsid w:val="002D5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2918</Words>
  <Characters>16634</Characters>
  <Application>Microsoft Office Word</Application>
  <DocSecurity>0</DocSecurity>
  <Lines>138</Lines>
  <Paragraphs>39</Paragraphs>
  <ScaleCrop>false</ScaleCrop>
  <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meldasimorangkir</dc:creator>
  <cp:lastModifiedBy>hp</cp:lastModifiedBy>
  <cp:revision>5</cp:revision>
  <dcterms:created xsi:type="dcterms:W3CDTF">2025-07-26T04:04:00Z</dcterms:created>
  <dcterms:modified xsi:type="dcterms:W3CDTF">2025-08-08T03:44:00Z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1033-4.0.0.7421</vt:lpwstr>
  </property>
</Properties>
</file>