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036F42" w14:textId="716B18DE" w:rsidR="00A97DC5" w:rsidRDefault="00FC534B">
      <w:pPr>
        <w:spacing w:after="0"/>
        <w:jc w:val="center"/>
        <w:rPr>
          <w:rFonts w:ascii="Century" w:eastAsia="Century" w:hAnsi="Century" w:cs="Century"/>
          <w:sz w:val="28"/>
          <w:szCs w:val="28"/>
        </w:rPr>
      </w:pPr>
      <w:commentRangeStart w:id="0"/>
      <w:r>
        <w:rPr>
          <w:rFonts w:ascii="Century" w:eastAsia="Century" w:hAnsi="Century" w:cs="Century"/>
          <w:sz w:val="28"/>
          <w:szCs w:val="28"/>
        </w:rPr>
        <w:t>Profiling Servant Leadership Among School Principals: A Correlational Study of Leadership Attributes and Practices</w:t>
      </w:r>
      <w:commentRangeEnd w:id="0"/>
      <w:r w:rsidR="000D3CEB">
        <w:rPr>
          <w:rStyle w:val="CommentReference"/>
        </w:rPr>
        <w:commentReference w:id="0"/>
      </w:r>
    </w:p>
    <w:p w14:paraId="235A675A" w14:textId="77777777" w:rsidR="00A97DC5" w:rsidRDefault="00A97DC5">
      <w:pPr>
        <w:spacing w:after="0"/>
        <w:rPr>
          <w:rFonts w:ascii="Century" w:eastAsia="Century" w:hAnsi="Century" w:cs="Century"/>
          <w:sz w:val="24"/>
          <w:szCs w:val="24"/>
        </w:rPr>
      </w:pPr>
    </w:p>
    <w:p w14:paraId="508A5AE4" w14:textId="77777777" w:rsidR="00BE25DD" w:rsidRDefault="00BE25DD">
      <w:pPr>
        <w:spacing w:after="0"/>
        <w:rPr>
          <w:rFonts w:ascii="Century" w:eastAsia="Century" w:hAnsi="Century" w:cs="Century"/>
          <w:sz w:val="24"/>
          <w:szCs w:val="24"/>
        </w:rPr>
      </w:pPr>
    </w:p>
    <w:p w14:paraId="5E3BB2D9" w14:textId="77777777" w:rsidR="00A97DC5" w:rsidRDefault="00FC534B">
      <w:pPr>
        <w:spacing w:after="0"/>
        <w:ind w:left="720" w:right="720"/>
        <w:jc w:val="both"/>
        <w:rPr>
          <w:rFonts w:ascii="Century" w:eastAsia="Century" w:hAnsi="Century" w:cs="Century"/>
          <w:sz w:val="20"/>
          <w:szCs w:val="20"/>
        </w:rPr>
      </w:pPr>
      <w:r>
        <w:rPr>
          <w:rFonts w:ascii="Century" w:eastAsia="Century" w:hAnsi="Century" w:cs="Century"/>
          <w:b/>
          <w:sz w:val="20"/>
          <w:szCs w:val="20"/>
        </w:rPr>
        <w:t xml:space="preserve">Abstract:  </w:t>
      </w:r>
      <w:commentRangeStart w:id="1"/>
      <w:r>
        <w:rPr>
          <w:rFonts w:ascii="Century" w:eastAsia="Century" w:hAnsi="Century" w:cs="Century"/>
          <w:sz w:val="20"/>
          <w:szCs w:val="20"/>
        </w:rPr>
        <w:t xml:space="preserve">This study examined </w:t>
      </w:r>
      <w:commentRangeEnd w:id="1"/>
      <w:r w:rsidR="000D3CEB">
        <w:rPr>
          <w:rStyle w:val="CommentReference"/>
        </w:rPr>
        <w:commentReference w:id="1"/>
      </w:r>
      <w:r>
        <w:rPr>
          <w:rFonts w:ascii="Century" w:eastAsia="Century" w:hAnsi="Century" w:cs="Century"/>
          <w:sz w:val="20"/>
          <w:szCs w:val="20"/>
        </w:rPr>
        <w:t xml:space="preserve">the servant leadership profiles of school principals and how these relate to their </w:t>
      </w:r>
      <w:r>
        <w:rPr>
          <w:rFonts w:ascii="Century" w:eastAsia="Century" w:hAnsi="Century" w:cs="Century"/>
          <w:sz w:val="20"/>
          <w:szCs w:val="20"/>
        </w:rPr>
        <w:t>leadership practices. Grounded in Greenleaf’s servant leadership theory and expanded by contemporary models by Spears, Patterson, and Liden et al., the research focused on two core dimensions: (1) the principals’ leadership profiles in terms of character o</w:t>
      </w:r>
      <w:r>
        <w:rPr>
          <w:rFonts w:ascii="Century" w:eastAsia="Century" w:hAnsi="Century" w:cs="Century"/>
          <w:sz w:val="20"/>
          <w:szCs w:val="20"/>
        </w:rPr>
        <w:t xml:space="preserve">rientation, people orientation, task orientation, and process orientation, and (2) </w:t>
      </w:r>
      <w:commentRangeStart w:id="2"/>
      <w:r>
        <w:rPr>
          <w:rFonts w:ascii="Century" w:eastAsia="Century" w:hAnsi="Century" w:cs="Century"/>
          <w:sz w:val="20"/>
          <w:szCs w:val="20"/>
        </w:rPr>
        <w:t xml:space="preserve">their leadership </w:t>
      </w:r>
      <w:commentRangeEnd w:id="2"/>
      <w:r w:rsidR="005E61ED">
        <w:rPr>
          <w:rStyle w:val="CommentReference"/>
        </w:rPr>
        <w:commentReference w:id="2"/>
      </w:r>
      <w:r>
        <w:rPr>
          <w:rFonts w:ascii="Century" w:eastAsia="Century" w:hAnsi="Century" w:cs="Century"/>
          <w:sz w:val="20"/>
          <w:szCs w:val="20"/>
        </w:rPr>
        <w:t>practices including conceptualizing, emotional healing, putting followers first, behaving ethically, empowering, and creating value for the community. Using</w:t>
      </w:r>
      <w:r>
        <w:rPr>
          <w:rFonts w:ascii="Century" w:eastAsia="Century" w:hAnsi="Century" w:cs="Century"/>
          <w:sz w:val="20"/>
          <w:szCs w:val="20"/>
        </w:rPr>
        <w:t xml:space="preserve"> a descriptive-correlational design, data were collected through validated survey instruments </w:t>
      </w:r>
      <w:commentRangeStart w:id="3"/>
      <w:r>
        <w:rPr>
          <w:rFonts w:ascii="Century" w:eastAsia="Century" w:hAnsi="Century" w:cs="Century"/>
          <w:sz w:val="20"/>
          <w:szCs w:val="20"/>
        </w:rPr>
        <w:t xml:space="preserve">from selected school principals </w:t>
      </w:r>
      <w:commentRangeEnd w:id="3"/>
      <w:r w:rsidR="006B2D31">
        <w:rPr>
          <w:rStyle w:val="CommentReference"/>
        </w:rPr>
        <w:commentReference w:id="3"/>
      </w:r>
      <w:r>
        <w:rPr>
          <w:rFonts w:ascii="Century" w:eastAsia="Century" w:hAnsi="Century" w:cs="Century"/>
          <w:sz w:val="20"/>
          <w:szCs w:val="20"/>
        </w:rPr>
        <w:t>and their teaching staff. Results showed that principals generally demonstrated strong servant leadership profiles, particularly i</w:t>
      </w:r>
      <w:r>
        <w:rPr>
          <w:rFonts w:ascii="Century" w:eastAsia="Century" w:hAnsi="Century" w:cs="Century"/>
          <w:sz w:val="20"/>
          <w:szCs w:val="20"/>
        </w:rPr>
        <w:t>n character and people orientation. Leadership practices such as behaving ethically and putting followers first were consistently rated high, while emotional healing and conceptualizing showed areas for improvement, especially in private school settings. S</w:t>
      </w:r>
      <w:r>
        <w:rPr>
          <w:rFonts w:ascii="Century" w:eastAsia="Century" w:hAnsi="Century" w:cs="Century"/>
          <w:sz w:val="20"/>
          <w:szCs w:val="20"/>
        </w:rPr>
        <w:t>tatistical analysis revealed a significant relationship between principals’ servant leadership profiles and their leadership practices. Specifically, higher ratings in character and people orientation were strongly associated with ethical behavior, empower</w:t>
      </w:r>
      <w:r>
        <w:rPr>
          <w:rFonts w:ascii="Century" w:eastAsia="Century" w:hAnsi="Century" w:cs="Century"/>
          <w:sz w:val="20"/>
          <w:szCs w:val="20"/>
        </w:rPr>
        <w:t>ment, and follower-focused leadership practices. The study concludes that servant leadership is most effectively demonstrated when leaders exhibit a consistent alignment between their personal attributes and leadership actions. It recommends a contextualiz</w:t>
      </w:r>
      <w:r>
        <w:rPr>
          <w:rFonts w:ascii="Century" w:eastAsia="Century" w:hAnsi="Century" w:cs="Century"/>
          <w:sz w:val="20"/>
          <w:szCs w:val="20"/>
        </w:rPr>
        <w:t>ed training program aimed at enhancing principals’ capacity for emotional intelligence, visioning, and stakeholder engagement. The findings contribute to a deeper understanding of how internal leadership dispositions translate into effective servant leader</w:t>
      </w:r>
      <w:r>
        <w:rPr>
          <w:rFonts w:ascii="Century" w:eastAsia="Century" w:hAnsi="Century" w:cs="Century"/>
          <w:sz w:val="20"/>
          <w:szCs w:val="20"/>
        </w:rPr>
        <w:t>ship in educational settings.</w:t>
      </w:r>
    </w:p>
    <w:p w14:paraId="33490FCA" w14:textId="77777777" w:rsidR="00A97DC5" w:rsidRDefault="00FC534B">
      <w:pPr>
        <w:spacing w:before="240" w:after="0"/>
        <w:ind w:left="720" w:right="720"/>
        <w:rPr>
          <w:rFonts w:ascii="Century" w:eastAsia="Century" w:hAnsi="Century" w:cs="Century"/>
          <w:sz w:val="20"/>
          <w:szCs w:val="20"/>
        </w:rPr>
      </w:pPr>
      <w:r>
        <w:rPr>
          <w:rFonts w:ascii="Century" w:eastAsia="Century" w:hAnsi="Century" w:cs="Century"/>
          <w:b/>
          <w:sz w:val="20"/>
          <w:szCs w:val="20"/>
        </w:rPr>
        <w:t xml:space="preserve">Key Words: </w:t>
      </w:r>
      <w:r>
        <w:rPr>
          <w:rFonts w:ascii="Century" w:eastAsia="Century" w:hAnsi="Century" w:cs="Century"/>
          <w:sz w:val="20"/>
          <w:szCs w:val="20"/>
        </w:rPr>
        <w:t>Servant Leadership; School Effectiveness; Teacher Performance; Governance; Educational Leadership</w:t>
      </w:r>
    </w:p>
    <w:p w14:paraId="14EF93E0" w14:textId="77777777" w:rsidR="00A97DC5" w:rsidRDefault="00A97DC5">
      <w:pPr>
        <w:spacing w:after="0"/>
        <w:rPr>
          <w:rFonts w:ascii="Century" w:eastAsia="Century" w:hAnsi="Century" w:cs="Century"/>
          <w:sz w:val="24"/>
          <w:szCs w:val="24"/>
        </w:rPr>
        <w:sectPr w:rsidR="00A97DC5">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0" w:footer="567" w:gutter="0"/>
          <w:pgNumType w:start="1"/>
          <w:cols w:space="720"/>
        </w:sectPr>
      </w:pPr>
    </w:p>
    <w:p w14:paraId="4608A389" w14:textId="77777777" w:rsidR="00A97DC5" w:rsidRDefault="00FC534B">
      <w:pPr>
        <w:spacing w:after="0"/>
        <w:rPr>
          <w:rFonts w:ascii="Century" w:eastAsia="Century" w:hAnsi="Century" w:cs="Century"/>
          <w:sz w:val="24"/>
          <w:szCs w:val="24"/>
        </w:rPr>
      </w:pPr>
      <w:r>
        <w:rPr>
          <w:rFonts w:ascii="Century" w:eastAsia="Century" w:hAnsi="Century" w:cs="Century"/>
          <w:sz w:val="24"/>
          <w:szCs w:val="24"/>
        </w:rPr>
        <w:t xml:space="preserve">1. </w:t>
      </w:r>
      <w:commentRangeStart w:id="4"/>
      <w:r>
        <w:rPr>
          <w:rFonts w:ascii="Century" w:eastAsia="Century" w:hAnsi="Century" w:cs="Century"/>
          <w:sz w:val="24"/>
          <w:szCs w:val="24"/>
        </w:rPr>
        <w:t>INTRODUCTION</w:t>
      </w:r>
      <w:commentRangeEnd w:id="4"/>
      <w:r w:rsidR="005E61ED">
        <w:rPr>
          <w:rStyle w:val="CommentReference"/>
        </w:rPr>
        <w:commentReference w:id="4"/>
      </w:r>
    </w:p>
    <w:p w14:paraId="54768A39" w14:textId="77777777" w:rsidR="00A97DC5" w:rsidRDefault="00FC534B">
      <w:pPr>
        <w:widowControl w:val="0"/>
        <w:spacing w:before="200"/>
        <w:jc w:val="both"/>
        <w:rPr>
          <w:rFonts w:ascii="Century" w:eastAsia="Century" w:hAnsi="Century" w:cs="Century"/>
          <w:sz w:val="18"/>
          <w:szCs w:val="18"/>
        </w:rPr>
      </w:pPr>
      <w:commentRangeStart w:id="5"/>
      <w:r>
        <w:rPr>
          <w:rFonts w:ascii="Century" w:eastAsia="Century" w:hAnsi="Century" w:cs="Century"/>
          <w:sz w:val="18"/>
          <w:szCs w:val="18"/>
        </w:rPr>
        <w:t xml:space="preserve">Educating students in Philippine society is a </w:t>
      </w:r>
      <w:r>
        <w:rPr>
          <w:rFonts w:ascii="Century" w:eastAsia="Century" w:hAnsi="Century" w:cs="Century"/>
          <w:sz w:val="18"/>
          <w:szCs w:val="18"/>
        </w:rPr>
        <w:t>challenge educators face today. More students are coming to school with greater needs to have a direct impact on their motivation and their ability to learn</w:t>
      </w:r>
      <w:commentRangeEnd w:id="5"/>
      <w:r w:rsidR="006B2D31">
        <w:rPr>
          <w:rStyle w:val="CommentReference"/>
        </w:rPr>
        <w:commentReference w:id="5"/>
      </w:r>
      <w:r>
        <w:rPr>
          <w:rFonts w:ascii="Century" w:eastAsia="Century" w:hAnsi="Century" w:cs="Century"/>
          <w:sz w:val="18"/>
          <w:szCs w:val="18"/>
        </w:rPr>
        <w:t>. Our society calls for schools to perform better in educating our youth and in holding teachers and</w:t>
      </w:r>
      <w:r>
        <w:rPr>
          <w:rFonts w:ascii="Century" w:eastAsia="Century" w:hAnsi="Century" w:cs="Century"/>
          <w:sz w:val="18"/>
          <w:szCs w:val="18"/>
        </w:rPr>
        <w:t xml:space="preserve"> school leaders or principals accountable for student success. One of the key factors in the success of any school is the school principal who is not only an excellent educator but role model endowed with core values and who can expand his or her role, par</w:t>
      </w:r>
      <w:r>
        <w:rPr>
          <w:rFonts w:ascii="Century" w:eastAsia="Century" w:hAnsi="Century" w:cs="Century"/>
          <w:sz w:val="18"/>
          <w:szCs w:val="18"/>
        </w:rPr>
        <w:t>ticularly in the urban, suburban and rural areas.</w:t>
      </w:r>
    </w:p>
    <w:p w14:paraId="62A1832C" w14:textId="77777777" w:rsidR="00A97DC5" w:rsidRDefault="00FC534B">
      <w:pPr>
        <w:widowControl w:val="0"/>
        <w:spacing w:before="200"/>
        <w:jc w:val="both"/>
        <w:rPr>
          <w:rFonts w:ascii="Century" w:eastAsia="Century" w:hAnsi="Century" w:cs="Century"/>
          <w:sz w:val="18"/>
          <w:szCs w:val="18"/>
        </w:rPr>
      </w:pPr>
      <w:r>
        <w:rPr>
          <w:rFonts w:ascii="Century" w:eastAsia="Century" w:hAnsi="Century" w:cs="Century"/>
          <w:sz w:val="18"/>
          <w:szCs w:val="18"/>
        </w:rPr>
        <w:t xml:space="preserve">Before the pandemic, feedback from parents through </w:t>
      </w:r>
      <w:r>
        <w:rPr>
          <w:rFonts w:ascii="Century" w:eastAsia="Century" w:hAnsi="Century" w:cs="Century"/>
          <w:sz w:val="18"/>
          <w:szCs w:val="18"/>
        </w:rPr>
        <w:t xml:space="preserve">an evaluation survey conducted by the Research Office indicated that they prefer to enroll their children in a sectarian school because of the discipline, </w:t>
      </w:r>
      <w:r>
        <w:rPr>
          <w:rFonts w:ascii="Century" w:eastAsia="Century" w:hAnsi="Century" w:cs="Century"/>
          <w:sz w:val="18"/>
          <w:szCs w:val="18"/>
        </w:rPr>
        <w:t>security, quality instruction, religious administrators, facilities, school activities and other practices of the school. Recently, similar feedback was received.</w:t>
      </w:r>
    </w:p>
    <w:p w14:paraId="69322059" w14:textId="77777777" w:rsidR="00A97DC5" w:rsidRDefault="00FC534B">
      <w:pPr>
        <w:widowControl w:val="0"/>
        <w:spacing w:before="200"/>
        <w:jc w:val="both"/>
        <w:rPr>
          <w:rFonts w:ascii="Century" w:eastAsia="Century" w:hAnsi="Century" w:cs="Century"/>
          <w:sz w:val="18"/>
          <w:szCs w:val="18"/>
        </w:rPr>
      </w:pPr>
      <w:r>
        <w:rPr>
          <w:rFonts w:ascii="Century" w:eastAsia="Century" w:hAnsi="Century" w:cs="Century"/>
          <w:sz w:val="18"/>
          <w:szCs w:val="18"/>
        </w:rPr>
        <w:t>In today’s competitive environment, there is a need for a new kind of leadership that will re</w:t>
      </w:r>
      <w:r>
        <w:rPr>
          <w:rFonts w:ascii="Century" w:eastAsia="Century" w:hAnsi="Century" w:cs="Century"/>
          <w:sz w:val="18"/>
          <w:szCs w:val="18"/>
        </w:rPr>
        <w:t>spond to the needs of time and inspire a diverse work group for long-term common good, creating a culture of high achievement (Greenleaf, 1977). The Governance of Basic Education Act of 2001 states that the school leader has the ability to work with variou</w:t>
      </w:r>
      <w:r>
        <w:rPr>
          <w:rFonts w:ascii="Century" w:eastAsia="Century" w:hAnsi="Century" w:cs="Century"/>
          <w:sz w:val="18"/>
          <w:szCs w:val="18"/>
        </w:rPr>
        <w:t xml:space="preserve">s stakeholders, develop effective relationships with diverse individuals and groups, inspire the respect and cooperation of people, and </w:t>
      </w:r>
      <w:r>
        <w:rPr>
          <w:rFonts w:ascii="Century" w:eastAsia="Century" w:hAnsi="Century" w:cs="Century"/>
          <w:sz w:val="18"/>
          <w:szCs w:val="18"/>
        </w:rPr>
        <w:lastRenderedPageBreak/>
        <w:t>promote the development and effectiveness of people within the organization.</w:t>
      </w:r>
    </w:p>
    <w:p w14:paraId="430FEFB7" w14:textId="77777777" w:rsidR="00A97DC5" w:rsidRDefault="00FC534B">
      <w:pPr>
        <w:widowControl w:val="0"/>
        <w:spacing w:before="200"/>
        <w:jc w:val="both"/>
        <w:rPr>
          <w:rFonts w:ascii="Century" w:eastAsia="Century" w:hAnsi="Century" w:cs="Century"/>
          <w:sz w:val="18"/>
          <w:szCs w:val="18"/>
        </w:rPr>
      </w:pPr>
      <w:r>
        <w:rPr>
          <w:rFonts w:ascii="Century" w:eastAsia="Century" w:hAnsi="Century" w:cs="Century"/>
          <w:sz w:val="18"/>
          <w:szCs w:val="18"/>
        </w:rPr>
        <w:t>In the Philippines, both private and public</w:t>
      </w:r>
      <w:r>
        <w:rPr>
          <w:rFonts w:ascii="Century" w:eastAsia="Century" w:hAnsi="Century" w:cs="Century"/>
          <w:sz w:val="18"/>
          <w:szCs w:val="18"/>
        </w:rPr>
        <w:t xml:space="preserve"> schools have principals who are in the position without a test of servanthood, eligibility, master’s degree, managerial skills and relevant training. These actual experiences may be happening in the Division of Northern Samar, where many titled leadership</w:t>
      </w:r>
      <w:r>
        <w:rPr>
          <w:rFonts w:ascii="Century" w:eastAsia="Century" w:hAnsi="Century" w:cs="Century"/>
          <w:sz w:val="18"/>
          <w:szCs w:val="18"/>
        </w:rPr>
        <w:t xml:space="preserve"> positions do not recognize the potential and lasting impacts of their actions. Some principals are leaders but not servants in the exercise of leadership skills, moral values, valuing growth and development of people or subordinates, and attainment of org</w:t>
      </w:r>
      <w:r>
        <w:rPr>
          <w:rFonts w:ascii="Century" w:eastAsia="Century" w:hAnsi="Century" w:cs="Century"/>
          <w:sz w:val="18"/>
          <w:szCs w:val="18"/>
        </w:rPr>
        <w:t>anizational goals and community building.</w:t>
      </w:r>
    </w:p>
    <w:p w14:paraId="556C2336" w14:textId="77777777" w:rsidR="00A97DC5" w:rsidRDefault="00FC534B">
      <w:pPr>
        <w:widowControl w:val="0"/>
        <w:spacing w:before="200"/>
        <w:jc w:val="both"/>
        <w:rPr>
          <w:rFonts w:ascii="Century" w:eastAsia="Century" w:hAnsi="Century" w:cs="Century"/>
          <w:sz w:val="18"/>
          <w:szCs w:val="18"/>
        </w:rPr>
      </w:pPr>
      <w:r>
        <w:rPr>
          <w:rFonts w:ascii="Century" w:eastAsia="Century" w:hAnsi="Century" w:cs="Century"/>
          <w:sz w:val="18"/>
          <w:szCs w:val="18"/>
        </w:rPr>
        <w:t>In the educational setting, the key concern of all institutions would be productivity, efficiency and effectiveness in the delivery of quality education to its students. In this context, the principal has the cruci</w:t>
      </w:r>
      <w:r>
        <w:rPr>
          <w:rFonts w:ascii="Century" w:eastAsia="Century" w:hAnsi="Century" w:cs="Century"/>
          <w:sz w:val="18"/>
          <w:szCs w:val="18"/>
        </w:rPr>
        <w:t>al responsibility to generate satisfaction in the achievement of work objectives, maintenance of quality standards through planning, leading and controlling in the use of material and human resources to meet the needs and expectations of stakeholders</w:t>
      </w:r>
    </w:p>
    <w:p w14:paraId="308F9F64" w14:textId="77777777" w:rsidR="00A97DC5" w:rsidRDefault="00FC534B">
      <w:pPr>
        <w:widowControl w:val="0"/>
        <w:spacing w:before="200"/>
        <w:jc w:val="both"/>
        <w:rPr>
          <w:rFonts w:ascii="Century" w:eastAsia="Century" w:hAnsi="Century" w:cs="Century"/>
          <w:sz w:val="18"/>
          <w:szCs w:val="18"/>
        </w:rPr>
      </w:pPr>
      <w:r>
        <w:rPr>
          <w:rFonts w:ascii="Century" w:eastAsia="Century" w:hAnsi="Century" w:cs="Century"/>
          <w:sz w:val="18"/>
          <w:szCs w:val="18"/>
        </w:rPr>
        <w:t>The r</w:t>
      </w:r>
      <w:r>
        <w:rPr>
          <w:rFonts w:ascii="Century" w:eastAsia="Century" w:hAnsi="Century" w:cs="Century"/>
          <w:sz w:val="18"/>
          <w:szCs w:val="18"/>
        </w:rPr>
        <w:t xml:space="preserve">ange of institutional crises may be well addressed by a kind of leadership and leadership styles that are vital components within the success and growth of the schools. Servant leadership is seen to correct this mistake. Servant leadership is a leadership </w:t>
      </w:r>
      <w:r>
        <w:rPr>
          <w:rFonts w:ascii="Century" w:eastAsia="Century" w:hAnsi="Century" w:cs="Century"/>
          <w:sz w:val="18"/>
          <w:szCs w:val="18"/>
        </w:rPr>
        <w:t>philosophy built on the belief that the most effective leaders strive to serve others to include customers, partners, fellow employees and the community at large (Greenleaf, 1977). It is shepherd leadership which is marked by mutual trust between the schoo</w:t>
      </w:r>
      <w:r>
        <w:rPr>
          <w:rFonts w:ascii="Century" w:eastAsia="Century" w:hAnsi="Century" w:cs="Century"/>
          <w:sz w:val="18"/>
          <w:szCs w:val="18"/>
        </w:rPr>
        <w:t>l administrator and constituents like students, teachers, staff, and parents, as well as improved school performance.</w:t>
      </w:r>
    </w:p>
    <w:p w14:paraId="10E291D4" w14:textId="77777777" w:rsidR="00A97DC5" w:rsidRDefault="00FC534B">
      <w:pPr>
        <w:widowControl w:val="0"/>
        <w:spacing w:before="200"/>
        <w:jc w:val="both"/>
        <w:rPr>
          <w:rFonts w:ascii="Century" w:eastAsia="Century" w:hAnsi="Century" w:cs="Century"/>
          <w:sz w:val="18"/>
          <w:szCs w:val="18"/>
        </w:rPr>
      </w:pPr>
      <w:r>
        <w:rPr>
          <w:rFonts w:ascii="Century" w:eastAsia="Century" w:hAnsi="Century" w:cs="Century"/>
          <w:sz w:val="18"/>
          <w:szCs w:val="18"/>
        </w:rPr>
        <w:t>Researchers have also stated that a principal can shape a school’s culture of high achievement through understanding the conflicts and dif</w:t>
      </w:r>
      <w:r>
        <w:rPr>
          <w:rFonts w:ascii="Century" w:eastAsia="Century" w:hAnsi="Century" w:cs="Century"/>
          <w:sz w:val="18"/>
          <w:szCs w:val="18"/>
        </w:rPr>
        <w:t>ferent types of negotiations needed for success (Eva, et al., 2029). In this time of crisis, the establishment of an orderly school environment conducive to learning requires substantive managerial skills that foster cooperation, cordiality, respect, and c</w:t>
      </w:r>
      <w:r>
        <w:rPr>
          <w:rFonts w:ascii="Century" w:eastAsia="Century" w:hAnsi="Century" w:cs="Century"/>
          <w:sz w:val="18"/>
          <w:szCs w:val="18"/>
        </w:rPr>
        <w:t xml:space="preserve">are for one another to the success of the educational system. The role of the principal in the adoption and implementation of servant leadership within every aspect of the school, </w:t>
      </w:r>
      <w:r>
        <w:rPr>
          <w:rFonts w:ascii="Century" w:eastAsia="Century" w:hAnsi="Century" w:cs="Century"/>
          <w:sz w:val="18"/>
          <w:szCs w:val="18"/>
        </w:rPr>
        <w:t>the culture, and behavior will contribute great impact on the school’s clima</w:t>
      </w:r>
      <w:r>
        <w:rPr>
          <w:rFonts w:ascii="Century" w:eastAsia="Century" w:hAnsi="Century" w:cs="Century"/>
          <w:sz w:val="18"/>
          <w:szCs w:val="18"/>
        </w:rPr>
        <w:t>te, culture and overall students’ achievement.</w:t>
      </w:r>
    </w:p>
    <w:p w14:paraId="5F0124F7" w14:textId="77777777" w:rsidR="00A97DC5" w:rsidRDefault="00FC534B">
      <w:pPr>
        <w:widowControl w:val="0"/>
        <w:spacing w:before="200"/>
        <w:jc w:val="both"/>
        <w:rPr>
          <w:rFonts w:ascii="Century" w:eastAsia="Century" w:hAnsi="Century" w:cs="Century"/>
          <w:sz w:val="18"/>
          <w:szCs w:val="18"/>
        </w:rPr>
      </w:pPr>
      <w:r>
        <w:rPr>
          <w:rFonts w:ascii="Century" w:eastAsia="Century" w:hAnsi="Century" w:cs="Century"/>
          <w:sz w:val="18"/>
          <w:szCs w:val="18"/>
        </w:rPr>
        <w:t>The Revised Manual of Regulations for Private Schools, which may also be applicable to the public schools, states that one of the duties and accountabilities of the school principal is to provide a healthy and</w:t>
      </w:r>
      <w:r>
        <w:rPr>
          <w:rFonts w:ascii="Century" w:eastAsia="Century" w:hAnsi="Century" w:cs="Century"/>
          <w:sz w:val="18"/>
          <w:szCs w:val="18"/>
        </w:rPr>
        <w:t xml:space="preserve"> wholesome school environment conducive to effective learning. The result of PISA, NSAT, and NAT where the Philippines is second to the bottom and other current realities compel us to revisit our identity as institutions and reexamine our leadership styles</w:t>
      </w:r>
      <w:r>
        <w:rPr>
          <w:rFonts w:ascii="Century" w:eastAsia="Century" w:hAnsi="Century" w:cs="Century"/>
          <w:sz w:val="18"/>
          <w:szCs w:val="18"/>
        </w:rPr>
        <w:t xml:space="preserve"> and search for new and better ways of becoming effective and relevant to our educational mission. Darrick (2020) showed that servant leader principals positively impact on the satisfaction of teachers which improves retention and school performance.</w:t>
      </w:r>
    </w:p>
    <w:p w14:paraId="49F4055A" w14:textId="77777777" w:rsidR="00A97DC5" w:rsidRDefault="00FC534B">
      <w:pPr>
        <w:widowControl w:val="0"/>
        <w:spacing w:before="200"/>
        <w:jc w:val="both"/>
        <w:rPr>
          <w:rFonts w:ascii="Century" w:eastAsia="Century" w:hAnsi="Century" w:cs="Century"/>
          <w:sz w:val="18"/>
          <w:szCs w:val="18"/>
        </w:rPr>
      </w:pPr>
      <w:r>
        <w:rPr>
          <w:rFonts w:ascii="Century" w:eastAsia="Century" w:hAnsi="Century" w:cs="Century"/>
          <w:sz w:val="18"/>
          <w:szCs w:val="18"/>
        </w:rPr>
        <w:t>Given</w:t>
      </w:r>
      <w:r>
        <w:rPr>
          <w:rFonts w:ascii="Century" w:eastAsia="Century" w:hAnsi="Century" w:cs="Century"/>
          <w:sz w:val="18"/>
          <w:szCs w:val="18"/>
        </w:rPr>
        <w:t xml:space="preserve"> these realities, this study seeks to examine the servant leadership profiles of high school principals and their corresponding leadership practices. It aims to determine whether there is a significant relationship between leadership attributes and practic</w:t>
      </w:r>
      <w:r>
        <w:rPr>
          <w:rFonts w:ascii="Century" w:eastAsia="Century" w:hAnsi="Century" w:cs="Century"/>
          <w:sz w:val="18"/>
          <w:szCs w:val="18"/>
        </w:rPr>
        <w:t>es, with the goal of informing the development of a contextualized training program for school leaders in both public and private high schools.</w:t>
      </w:r>
    </w:p>
    <w:p w14:paraId="317E1D92" w14:textId="77777777" w:rsidR="00A97DC5" w:rsidRDefault="00FC534B">
      <w:pPr>
        <w:spacing w:before="120" w:after="0"/>
        <w:rPr>
          <w:rFonts w:ascii="Century" w:eastAsia="Century" w:hAnsi="Century" w:cs="Century"/>
          <w:i/>
        </w:rPr>
      </w:pPr>
      <w:r>
        <w:rPr>
          <w:rFonts w:ascii="Century" w:eastAsia="Century" w:hAnsi="Century" w:cs="Century"/>
          <w:i/>
        </w:rPr>
        <w:t>2.1 Objectives of the Study</w:t>
      </w:r>
    </w:p>
    <w:p w14:paraId="4E4135A4" w14:textId="77777777" w:rsidR="00A97DC5" w:rsidRDefault="00FC534B">
      <w:pPr>
        <w:widowControl w:val="0"/>
        <w:spacing w:before="200"/>
        <w:jc w:val="both"/>
        <w:rPr>
          <w:rFonts w:ascii="Century" w:eastAsia="Century" w:hAnsi="Century" w:cs="Century"/>
          <w:sz w:val="18"/>
          <w:szCs w:val="18"/>
        </w:rPr>
      </w:pPr>
      <w:r>
        <w:rPr>
          <w:rFonts w:ascii="Century" w:eastAsia="Century" w:hAnsi="Century" w:cs="Century"/>
          <w:sz w:val="18"/>
          <w:szCs w:val="18"/>
        </w:rPr>
        <w:t xml:space="preserve">This study aims to explore the servant leadership practices of principals from </w:t>
      </w:r>
      <w:r>
        <w:rPr>
          <w:rFonts w:ascii="Century" w:eastAsia="Century" w:hAnsi="Century" w:cs="Century"/>
          <w:sz w:val="18"/>
          <w:szCs w:val="18"/>
        </w:rPr>
        <w:t>both public and private schools in Northern Samar. It seeks to examine how these leadership styles relate to overall school performance, with the goal of using the findings to inform the development of a training program for school leaders.</w:t>
      </w:r>
    </w:p>
    <w:p w14:paraId="36B3B8FC" w14:textId="77777777" w:rsidR="00A97DC5" w:rsidRDefault="00FC534B">
      <w:pPr>
        <w:widowControl w:val="0"/>
        <w:spacing w:before="200"/>
        <w:jc w:val="both"/>
        <w:rPr>
          <w:rFonts w:ascii="Century" w:eastAsia="Century" w:hAnsi="Century" w:cs="Century"/>
          <w:sz w:val="18"/>
          <w:szCs w:val="18"/>
        </w:rPr>
      </w:pPr>
      <w:commentRangeStart w:id="6"/>
      <w:r>
        <w:rPr>
          <w:rFonts w:ascii="Century" w:eastAsia="Century" w:hAnsi="Century" w:cs="Century"/>
          <w:sz w:val="18"/>
          <w:szCs w:val="18"/>
        </w:rPr>
        <w:t>Specifically, t</w:t>
      </w:r>
      <w:r>
        <w:rPr>
          <w:rFonts w:ascii="Century" w:eastAsia="Century" w:hAnsi="Century" w:cs="Century"/>
          <w:sz w:val="18"/>
          <w:szCs w:val="18"/>
        </w:rPr>
        <w:t>his study aims to:</w:t>
      </w:r>
      <w:commentRangeEnd w:id="6"/>
      <w:r w:rsidR="006B2D31">
        <w:rPr>
          <w:rStyle w:val="CommentReference"/>
        </w:rPr>
        <w:commentReference w:id="6"/>
      </w:r>
    </w:p>
    <w:p w14:paraId="27CC5E4F" w14:textId="77777777" w:rsidR="00A97DC5" w:rsidRDefault="00FC534B">
      <w:pPr>
        <w:widowControl w:val="0"/>
        <w:spacing w:before="200" w:line="240" w:lineRule="auto"/>
        <w:jc w:val="both"/>
        <w:rPr>
          <w:rFonts w:ascii="Century" w:eastAsia="Century" w:hAnsi="Century" w:cs="Century"/>
          <w:sz w:val="18"/>
          <w:szCs w:val="18"/>
        </w:rPr>
      </w:pPr>
      <w:r>
        <w:rPr>
          <w:rFonts w:ascii="Century" w:eastAsia="Century" w:hAnsi="Century" w:cs="Century"/>
          <w:sz w:val="18"/>
          <w:szCs w:val="18"/>
        </w:rPr>
        <w:t>1. Determine the servant leadership profile of the principals in terms of:</w:t>
      </w:r>
    </w:p>
    <w:p w14:paraId="664AD078" w14:textId="77777777" w:rsidR="00A97DC5" w:rsidRDefault="00FC534B">
      <w:pPr>
        <w:widowControl w:val="0"/>
        <w:spacing w:before="200" w:line="91" w:lineRule="auto"/>
        <w:ind w:left="360"/>
        <w:jc w:val="both"/>
        <w:rPr>
          <w:rFonts w:ascii="Century" w:eastAsia="Century" w:hAnsi="Century" w:cs="Century"/>
          <w:sz w:val="18"/>
          <w:szCs w:val="18"/>
        </w:rPr>
      </w:pPr>
      <w:r>
        <w:rPr>
          <w:rFonts w:ascii="Century" w:eastAsia="Century" w:hAnsi="Century" w:cs="Century"/>
          <w:sz w:val="18"/>
          <w:szCs w:val="18"/>
        </w:rPr>
        <w:t>1.1. Leader’s Personal Character and Actions</w:t>
      </w:r>
    </w:p>
    <w:p w14:paraId="5F2C6847" w14:textId="77777777" w:rsidR="00A97DC5" w:rsidRDefault="00FC534B">
      <w:pPr>
        <w:widowControl w:val="0"/>
        <w:spacing w:before="200" w:line="91" w:lineRule="auto"/>
        <w:ind w:left="720"/>
        <w:jc w:val="both"/>
        <w:rPr>
          <w:rFonts w:ascii="Century" w:eastAsia="Century" w:hAnsi="Century" w:cs="Century"/>
          <w:sz w:val="18"/>
          <w:szCs w:val="18"/>
        </w:rPr>
      </w:pPr>
      <w:r>
        <w:rPr>
          <w:rFonts w:ascii="Century" w:eastAsia="Century" w:hAnsi="Century" w:cs="Century"/>
          <w:sz w:val="18"/>
          <w:szCs w:val="18"/>
        </w:rPr>
        <w:t>1.1.1. Character Orientation</w:t>
      </w:r>
    </w:p>
    <w:p w14:paraId="45A96015" w14:textId="77777777" w:rsidR="00A97DC5" w:rsidRDefault="00FC534B">
      <w:pPr>
        <w:widowControl w:val="0"/>
        <w:spacing w:before="200" w:line="91" w:lineRule="auto"/>
        <w:ind w:left="720"/>
        <w:jc w:val="both"/>
        <w:rPr>
          <w:rFonts w:ascii="Century" w:eastAsia="Century" w:hAnsi="Century" w:cs="Century"/>
          <w:sz w:val="18"/>
          <w:szCs w:val="18"/>
        </w:rPr>
      </w:pPr>
      <w:r>
        <w:rPr>
          <w:rFonts w:ascii="Century" w:eastAsia="Century" w:hAnsi="Century" w:cs="Century"/>
          <w:sz w:val="18"/>
          <w:szCs w:val="18"/>
        </w:rPr>
        <w:t>1.1.2. People Orientation</w:t>
      </w:r>
    </w:p>
    <w:p w14:paraId="0DD7DBE0" w14:textId="77777777" w:rsidR="00A97DC5" w:rsidRDefault="00FC534B">
      <w:pPr>
        <w:widowControl w:val="0"/>
        <w:spacing w:before="200" w:line="91" w:lineRule="auto"/>
        <w:ind w:left="360"/>
        <w:jc w:val="both"/>
        <w:rPr>
          <w:rFonts w:ascii="Century" w:eastAsia="Century" w:hAnsi="Century" w:cs="Century"/>
          <w:sz w:val="18"/>
          <w:szCs w:val="18"/>
        </w:rPr>
      </w:pPr>
      <w:r>
        <w:rPr>
          <w:rFonts w:ascii="Century" w:eastAsia="Century" w:hAnsi="Century" w:cs="Century"/>
          <w:sz w:val="18"/>
          <w:szCs w:val="18"/>
        </w:rPr>
        <w:t>1.2. Leader’s Interaction with Others</w:t>
      </w:r>
    </w:p>
    <w:p w14:paraId="2D1AD67A" w14:textId="77777777" w:rsidR="00A97DC5" w:rsidRDefault="00FC534B">
      <w:pPr>
        <w:widowControl w:val="0"/>
        <w:spacing w:before="200" w:line="91" w:lineRule="auto"/>
        <w:ind w:left="720"/>
        <w:jc w:val="both"/>
        <w:rPr>
          <w:rFonts w:ascii="Century" w:eastAsia="Century" w:hAnsi="Century" w:cs="Century"/>
          <w:sz w:val="18"/>
          <w:szCs w:val="18"/>
        </w:rPr>
      </w:pPr>
      <w:r>
        <w:rPr>
          <w:rFonts w:ascii="Century" w:eastAsia="Century" w:hAnsi="Century" w:cs="Century"/>
          <w:sz w:val="18"/>
          <w:szCs w:val="18"/>
        </w:rPr>
        <w:t>1.2.1. Task Orientation</w:t>
      </w:r>
    </w:p>
    <w:p w14:paraId="79A2BF56" w14:textId="77777777" w:rsidR="00A97DC5" w:rsidRDefault="00FC534B">
      <w:pPr>
        <w:widowControl w:val="0"/>
        <w:spacing w:before="200" w:line="91" w:lineRule="auto"/>
        <w:ind w:left="720"/>
        <w:jc w:val="both"/>
        <w:rPr>
          <w:rFonts w:ascii="Century" w:eastAsia="Century" w:hAnsi="Century" w:cs="Century"/>
          <w:sz w:val="18"/>
          <w:szCs w:val="18"/>
        </w:rPr>
      </w:pPr>
      <w:r>
        <w:rPr>
          <w:rFonts w:ascii="Century" w:eastAsia="Century" w:hAnsi="Century" w:cs="Century"/>
          <w:sz w:val="18"/>
          <w:szCs w:val="18"/>
        </w:rPr>
        <w:t>1.2.2. Process Orientation</w:t>
      </w:r>
    </w:p>
    <w:p w14:paraId="73934F35" w14:textId="77777777" w:rsidR="00A97DC5" w:rsidRDefault="00FC534B">
      <w:pPr>
        <w:widowControl w:val="0"/>
        <w:spacing w:before="200" w:line="240" w:lineRule="auto"/>
        <w:jc w:val="both"/>
        <w:rPr>
          <w:rFonts w:ascii="Century" w:eastAsia="Century" w:hAnsi="Century" w:cs="Century"/>
          <w:sz w:val="18"/>
          <w:szCs w:val="18"/>
        </w:rPr>
      </w:pPr>
      <w:r>
        <w:rPr>
          <w:rFonts w:ascii="Century" w:eastAsia="Century" w:hAnsi="Century" w:cs="Century"/>
          <w:sz w:val="18"/>
          <w:szCs w:val="18"/>
        </w:rPr>
        <w:t>2. Identify the level of servant leadership practices in terms of:</w:t>
      </w:r>
    </w:p>
    <w:p w14:paraId="7552A5F4" w14:textId="77777777" w:rsidR="00A97DC5" w:rsidRDefault="00FC534B" w:rsidP="009A7A83">
      <w:pPr>
        <w:widowControl w:val="0"/>
        <w:spacing w:before="360" w:after="0" w:line="91" w:lineRule="auto"/>
        <w:ind w:left="357"/>
        <w:jc w:val="both"/>
        <w:rPr>
          <w:rFonts w:ascii="Century" w:eastAsia="Century" w:hAnsi="Century" w:cs="Century"/>
          <w:sz w:val="18"/>
          <w:szCs w:val="18"/>
        </w:rPr>
      </w:pPr>
      <w:r>
        <w:rPr>
          <w:rFonts w:ascii="Century" w:eastAsia="Century" w:hAnsi="Century" w:cs="Century"/>
          <w:sz w:val="18"/>
          <w:szCs w:val="18"/>
        </w:rPr>
        <w:t>2.1. Conceptualizing</w:t>
      </w:r>
    </w:p>
    <w:p w14:paraId="7EB56BA9" w14:textId="77777777" w:rsidR="00A97DC5" w:rsidRDefault="00FC534B" w:rsidP="009A7A83">
      <w:pPr>
        <w:widowControl w:val="0"/>
        <w:spacing w:before="360" w:after="0" w:line="91" w:lineRule="auto"/>
        <w:ind w:left="357"/>
        <w:jc w:val="both"/>
        <w:rPr>
          <w:rFonts w:ascii="Century" w:eastAsia="Century" w:hAnsi="Century" w:cs="Century"/>
          <w:sz w:val="18"/>
          <w:szCs w:val="18"/>
        </w:rPr>
      </w:pPr>
      <w:r>
        <w:rPr>
          <w:rFonts w:ascii="Century" w:eastAsia="Century" w:hAnsi="Century" w:cs="Century"/>
          <w:sz w:val="18"/>
          <w:szCs w:val="18"/>
        </w:rPr>
        <w:lastRenderedPageBreak/>
        <w:t>2.2. Emotional Healing</w:t>
      </w:r>
    </w:p>
    <w:p w14:paraId="10F03380" w14:textId="77777777" w:rsidR="00A97DC5" w:rsidRDefault="00FC534B" w:rsidP="009A7A83">
      <w:pPr>
        <w:widowControl w:val="0"/>
        <w:spacing w:before="360" w:after="0" w:line="91" w:lineRule="auto"/>
        <w:ind w:left="357"/>
        <w:jc w:val="both"/>
        <w:rPr>
          <w:rFonts w:ascii="Century" w:eastAsia="Century" w:hAnsi="Century" w:cs="Century"/>
          <w:sz w:val="18"/>
          <w:szCs w:val="18"/>
        </w:rPr>
      </w:pPr>
      <w:r>
        <w:rPr>
          <w:rFonts w:ascii="Century" w:eastAsia="Century" w:hAnsi="Century" w:cs="Century"/>
          <w:sz w:val="18"/>
          <w:szCs w:val="18"/>
        </w:rPr>
        <w:t>2.3. Putting Followers First</w:t>
      </w:r>
    </w:p>
    <w:p w14:paraId="69F467C6" w14:textId="77777777" w:rsidR="00A97DC5" w:rsidRDefault="00FC534B" w:rsidP="009A7A83">
      <w:pPr>
        <w:widowControl w:val="0"/>
        <w:spacing w:before="360" w:after="0" w:line="91" w:lineRule="auto"/>
        <w:ind w:left="357"/>
        <w:jc w:val="both"/>
        <w:rPr>
          <w:rFonts w:ascii="Century" w:eastAsia="Century" w:hAnsi="Century" w:cs="Century"/>
          <w:sz w:val="18"/>
          <w:szCs w:val="18"/>
        </w:rPr>
      </w:pPr>
      <w:r>
        <w:rPr>
          <w:rFonts w:ascii="Century" w:eastAsia="Century" w:hAnsi="Century" w:cs="Century"/>
          <w:sz w:val="18"/>
          <w:szCs w:val="18"/>
        </w:rPr>
        <w:t>2.4. Behaving Ethically</w:t>
      </w:r>
    </w:p>
    <w:p w14:paraId="603E128F" w14:textId="77777777" w:rsidR="00A97DC5" w:rsidRDefault="00FC534B" w:rsidP="009A7A83">
      <w:pPr>
        <w:widowControl w:val="0"/>
        <w:spacing w:before="360" w:after="0" w:line="91" w:lineRule="auto"/>
        <w:ind w:left="357"/>
        <w:jc w:val="both"/>
        <w:rPr>
          <w:rFonts w:ascii="Century" w:eastAsia="Century" w:hAnsi="Century" w:cs="Century"/>
          <w:sz w:val="18"/>
          <w:szCs w:val="18"/>
        </w:rPr>
      </w:pPr>
      <w:r>
        <w:rPr>
          <w:rFonts w:ascii="Century" w:eastAsia="Century" w:hAnsi="Century" w:cs="Century"/>
          <w:sz w:val="18"/>
          <w:szCs w:val="18"/>
        </w:rPr>
        <w:t>2.5. Empowering</w:t>
      </w:r>
    </w:p>
    <w:p w14:paraId="485AECE9" w14:textId="77777777" w:rsidR="00A97DC5" w:rsidRDefault="00FC534B" w:rsidP="009A7A83">
      <w:pPr>
        <w:widowControl w:val="0"/>
        <w:spacing w:before="360" w:after="0" w:line="91" w:lineRule="auto"/>
        <w:ind w:left="357"/>
        <w:jc w:val="both"/>
        <w:rPr>
          <w:rFonts w:ascii="Century" w:eastAsia="Century" w:hAnsi="Century" w:cs="Century"/>
          <w:sz w:val="18"/>
          <w:szCs w:val="18"/>
        </w:rPr>
      </w:pPr>
      <w:r>
        <w:rPr>
          <w:rFonts w:ascii="Century" w:eastAsia="Century" w:hAnsi="Century" w:cs="Century"/>
          <w:sz w:val="18"/>
          <w:szCs w:val="18"/>
        </w:rPr>
        <w:t>2.6. Creating Value for the Community</w:t>
      </w:r>
    </w:p>
    <w:p w14:paraId="633F953D" w14:textId="77777777" w:rsidR="00A97DC5" w:rsidRDefault="00FC534B">
      <w:pPr>
        <w:widowControl w:val="0"/>
        <w:spacing w:before="200" w:line="240" w:lineRule="auto"/>
        <w:jc w:val="both"/>
        <w:rPr>
          <w:rFonts w:ascii="Century" w:eastAsia="Century" w:hAnsi="Century" w:cs="Century"/>
          <w:sz w:val="18"/>
          <w:szCs w:val="18"/>
        </w:rPr>
      </w:pPr>
      <w:r>
        <w:rPr>
          <w:rFonts w:ascii="Century" w:eastAsia="Century" w:hAnsi="Century" w:cs="Century"/>
          <w:sz w:val="18"/>
          <w:szCs w:val="18"/>
        </w:rPr>
        <w:t xml:space="preserve">3. Examine </w:t>
      </w:r>
      <w:r>
        <w:rPr>
          <w:rFonts w:ascii="Century" w:eastAsia="Century" w:hAnsi="Century" w:cs="Century"/>
          <w:sz w:val="18"/>
          <w:szCs w:val="18"/>
        </w:rPr>
        <w:t>the significant relationship between the principals’ servant leadership profile and their servant leadership practices.</w:t>
      </w:r>
    </w:p>
    <w:p w14:paraId="194D22E6" w14:textId="77777777" w:rsidR="00A97DC5" w:rsidRDefault="00FC534B">
      <w:pPr>
        <w:widowControl w:val="0"/>
        <w:spacing w:after="0" w:line="240" w:lineRule="auto"/>
        <w:jc w:val="both"/>
        <w:rPr>
          <w:rFonts w:ascii="Century" w:eastAsia="Century" w:hAnsi="Century" w:cs="Century"/>
          <w:sz w:val="24"/>
          <w:szCs w:val="24"/>
        </w:rPr>
      </w:pPr>
      <w:r>
        <w:rPr>
          <w:rFonts w:ascii="Century" w:eastAsia="Century" w:hAnsi="Century" w:cs="Century"/>
          <w:sz w:val="24"/>
          <w:szCs w:val="24"/>
        </w:rPr>
        <w:t>2. METHODOLOGY</w:t>
      </w:r>
    </w:p>
    <w:p w14:paraId="3F408DF2" w14:textId="77777777" w:rsidR="00A97DC5" w:rsidRDefault="00FC534B">
      <w:pPr>
        <w:spacing w:before="120" w:after="0"/>
        <w:jc w:val="both"/>
        <w:rPr>
          <w:rFonts w:ascii="Century" w:eastAsia="Century" w:hAnsi="Century" w:cs="Century"/>
          <w:i/>
        </w:rPr>
      </w:pPr>
      <w:r>
        <w:rPr>
          <w:rFonts w:ascii="Century" w:eastAsia="Century" w:hAnsi="Century" w:cs="Century"/>
          <w:i/>
        </w:rPr>
        <w:t>2.1 Locale of the Study</w:t>
      </w:r>
    </w:p>
    <w:p w14:paraId="2A926631" w14:textId="77777777" w:rsidR="00A97DC5" w:rsidRDefault="00FC534B">
      <w:pPr>
        <w:spacing w:before="240" w:after="240"/>
        <w:jc w:val="both"/>
        <w:rPr>
          <w:rFonts w:ascii="Century" w:eastAsia="Century" w:hAnsi="Century" w:cs="Century"/>
          <w:sz w:val="18"/>
          <w:szCs w:val="18"/>
        </w:rPr>
      </w:pPr>
      <w:r>
        <w:rPr>
          <w:rFonts w:ascii="Century" w:eastAsia="Century" w:hAnsi="Century" w:cs="Century"/>
          <w:sz w:val="18"/>
          <w:szCs w:val="18"/>
        </w:rPr>
        <w:t xml:space="preserve">This study was conducted in public and private high schools in Northern Samar, one of the </w:t>
      </w:r>
      <w:r>
        <w:rPr>
          <w:rFonts w:ascii="Century" w:eastAsia="Century" w:hAnsi="Century" w:cs="Century"/>
          <w:sz w:val="18"/>
          <w:szCs w:val="18"/>
        </w:rPr>
        <w:t>provinces of the Samar Island in Eastern Visayas.</w:t>
      </w:r>
    </w:p>
    <w:p w14:paraId="4D672125" w14:textId="77777777" w:rsidR="00A97DC5" w:rsidRDefault="00FC534B">
      <w:pPr>
        <w:spacing w:before="240" w:after="240"/>
        <w:jc w:val="both"/>
        <w:rPr>
          <w:rFonts w:ascii="Century" w:eastAsia="Century" w:hAnsi="Century" w:cs="Century"/>
          <w:sz w:val="18"/>
          <w:szCs w:val="18"/>
        </w:rPr>
      </w:pPr>
      <w:r>
        <w:rPr>
          <w:rFonts w:ascii="Century" w:eastAsia="Century" w:hAnsi="Century" w:cs="Century"/>
          <w:sz w:val="18"/>
          <w:szCs w:val="18"/>
        </w:rPr>
        <w:t xml:space="preserve">Northern Samar is divided into three (3) major geographical areas, namely: </w:t>
      </w:r>
      <w:proofErr w:type="spellStart"/>
      <w:r>
        <w:rPr>
          <w:rFonts w:ascii="Century" w:eastAsia="Century" w:hAnsi="Century" w:cs="Century"/>
          <w:sz w:val="18"/>
          <w:szCs w:val="18"/>
        </w:rPr>
        <w:t>Balicuatro</w:t>
      </w:r>
      <w:proofErr w:type="spellEnd"/>
      <w:r>
        <w:rPr>
          <w:rFonts w:ascii="Century" w:eastAsia="Century" w:hAnsi="Century" w:cs="Century"/>
          <w:sz w:val="18"/>
          <w:szCs w:val="18"/>
        </w:rPr>
        <w:t xml:space="preserve"> Area, Central Area, and Pacific Area, including the Pacific Valley. It comprises 24 towns or municipalities with 567 reg</w:t>
      </w:r>
      <w:r>
        <w:rPr>
          <w:rFonts w:ascii="Century" w:eastAsia="Century" w:hAnsi="Century" w:cs="Century"/>
          <w:sz w:val="18"/>
          <w:szCs w:val="18"/>
        </w:rPr>
        <w:t xml:space="preserve">istered barangays. It has two legislative districts—the first district covers the </w:t>
      </w:r>
      <w:proofErr w:type="spellStart"/>
      <w:r>
        <w:rPr>
          <w:rFonts w:ascii="Century" w:eastAsia="Century" w:hAnsi="Century" w:cs="Century"/>
          <w:sz w:val="18"/>
          <w:szCs w:val="18"/>
        </w:rPr>
        <w:t>Balicuatro</w:t>
      </w:r>
      <w:proofErr w:type="spellEnd"/>
      <w:r>
        <w:rPr>
          <w:rFonts w:ascii="Century" w:eastAsia="Century" w:hAnsi="Century" w:cs="Century"/>
          <w:sz w:val="18"/>
          <w:szCs w:val="18"/>
        </w:rPr>
        <w:t xml:space="preserve"> and most parts of the Central Area, while the second district covers the Pacific Area and some parts of the Central Area, including Catubig Valley.</w:t>
      </w:r>
    </w:p>
    <w:p w14:paraId="086F5CE4" w14:textId="77777777" w:rsidR="00A97DC5" w:rsidRDefault="00FC534B">
      <w:pPr>
        <w:spacing w:before="240" w:after="240"/>
        <w:jc w:val="both"/>
        <w:rPr>
          <w:rFonts w:ascii="Century" w:eastAsia="Century" w:hAnsi="Century" w:cs="Century"/>
          <w:sz w:val="18"/>
          <w:szCs w:val="18"/>
        </w:rPr>
      </w:pPr>
      <w:r>
        <w:rPr>
          <w:rFonts w:ascii="Century" w:eastAsia="Century" w:hAnsi="Century" w:cs="Century"/>
          <w:sz w:val="18"/>
          <w:szCs w:val="18"/>
        </w:rPr>
        <w:t>According to th</w:t>
      </w:r>
      <w:r>
        <w:rPr>
          <w:rFonts w:ascii="Century" w:eastAsia="Century" w:hAnsi="Century" w:cs="Century"/>
          <w:sz w:val="18"/>
          <w:szCs w:val="18"/>
        </w:rPr>
        <w:t>e Department of Education [DepEd] (2023), the Northern Samar Division has a total of 21 private high schools and 146 public junior and senior high schools covering the different districts. The number of principals corresponds to the number of public and pr</w:t>
      </w:r>
      <w:r>
        <w:rPr>
          <w:rFonts w:ascii="Century" w:eastAsia="Century" w:hAnsi="Century" w:cs="Century"/>
          <w:sz w:val="18"/>
          <w:szCs w:val="18"/>
        </w:rPr>
        <w:t>ivate high schools. There are 2,984 teachers in the public junior and senior high schools in Northern Samar and 288 in private high schools.</w:t>
      </w:r>
    </w:p>
    <w:p w14:paraId="334B3F24" w14:textId="77777777" w:rsidR="00A97DC5" w:rsidRDefault="00FC534B">
      <w:pPr>
        <w:spacing w:before="120" w:after="0"/>
        <w:jc w:val="both"/>
        <w:rPr>
          <w:rFonts w:ascii="Century" w:eastAsia="Century" w:hAnsi="Century" w:cs="Century"/>
          <w:i/>
        </w:rPr>
      </w:pPr>
      <w:r>
        <w:rPr>
          <w:rFonts w:ascii="Century" w:eastAsia="Century" w:hAnsi="Century" w:cs="Century"/>
          <w:i/>
        </w:rPr>
        <w:t>2.2 Research Design</w:t>
      </w:r>
    </w:p>
    <w:p w14:paraId="68C21746" w14:textId="77777777" w:rsidR="00A97DC5" w:rsidRDefault="00FC534B">
      <w:pPr>
        <w:spacing w:before="240" w:after="240"/>
        <w:jc w:val="both"/>
        <w:rPr>
          <w:rFonts w:ascii="Century" w:eastAsia="Century" w:hAnsi="Century" w:cs="Century"/>
          <w:sz w:val="18"/>
          <w:szCs w:val="18"/>
        </w:rPr>
      </w:pPr>
      <w:r>
        <w:rPr>
          <w:rFonts w:ascii="Century" w:eastAsia="Century" w:hAnsi="Century" w:cs="Century"/>
          <w:sz w:val="18"/>
          <w:szCs w:val="18"/>
        </w:rPr>
        <w:t>To assess the principals’ servant leadership and school performance in the Division of Northern</w:t>
      </w:r>
      <w:r>
        <w:rPr>
          <w:rFonts w:ascii="Century" w:eastAsia="Century" w:hAnsi="Century" w:cs="Century"/>
          <w:sz w:val="18"/>
          <w:szCs w:val="18"/>
        </w:rPr>
        <w:t xml:space="preserve"> Samar, the descriptive–correlational research design was employed in this study.</w:t>
      </w:r>
    </w:p>
    <w:p w14:paraId="7903D867" w14:textId="77777777" w:rsidR="00A97DC5" w:rsidRDefault="00FC534B">
      <w:pPr>
        <w:spacing w:before="240" w:after="240"/>
        <w:jc w:val="both"/>
        <w:rPr>
          <w:rFonts w:ascii="Century" w:eastAsia="Century" w:hAnsi="Century" w:cs="Century"/>
          <w:sz w:val="18"/>
          <w:szCs w:val="18"/>
        </w:rPr>
      </w:pPr>
      <w:r>
        <w:rPr>
          <w:rFonts w:ascii="Century" w:eastAsia="Century" w:hAnsi="Century" w:cs="Century"/>
          <w:sz w:val="18"/>
          <w:szCs w:val="18"/>
        </w:rPr>
        <w:t xml:space="preserve">The descriptive design provides a detailed and accurate picture of the characteristics and behavior of a particular population or subject. According to </w:t>
      </w:r>
      <w:proofErr w:type="spellStart"/>
      <w:r>
        <w:rPr>
          <w:rFonts w:ascii="Century" w:eastAsia="Century" w:hAnsi="Century" w:cs="Century"/>
          <w:sz w:val="18"/>
          <w:szCs w:val="18"/>
        </w:rPr>
        <w:t>Sirisilla</w:t>
      </w:r>
      <w:proofErr w:type="spellEnd"/>
      <w:r>
        <w:rPr>
          <w:rFonts w:ascii="Century" w:eastAsia="Century" w:hAnsi="Century" w:cs="Century"/>
          <w:sz w:val="18"/>
          <w:szCs w:val="18"/>
        </w:rPr>
        <w:t xml:space="preserve"> (2023), it d</w:t>
      </w:r>
      <w:r>
        <w:rPr>
          <w:rFonts w:ascii="Century" w:eastAsia="Century" w:hAnsi="Century" w:cs="Century"/>
          <w:sz w:val="18"/>
          <w:szCs w:val="18"/>
        </w:rPr>
        <w:t xml:space="preserve">escribes relationships between variables, patterns, and trends, and compares data </w:t>
      </w:r>
      <w:r>
        <w:rPr>
          <w:rFonts w:ascii="Century" w:eastAsia="Century" w:hAnsi="Century" w:cs="Century"/>
          <w:sz w:val="18"/>
          <w:szCs w:val="18"/>
        </w:rPr>
        <w:t>from multiple sources. Descriptive research designs cannot control conditions nor test hypotheses.</w:t>
      </w:r>
    </w:p>
    <w:p w14:paraId="2391F0EA" w14:textId="77777777" w:rsidR="00A97DC5" w:rsidRDefault="00FC534B">
      <w:pPr>
        <w:spacing w:before="240" w:after="240"/>
        <w:jc w:val="both"/>
        <w:rPr>
          <w:rFonts w:ascii="Century" w:eastAsia="Century" w:hAnsi="Century" w:cs="Century"/>
          <w:sz w:val="18"/>
          <w:szCs w:val="18"/>
        </w:rPr>
      </w:pPr>
      <w:r>
        <w:rPr>
          <w:rFonts w:ascii="Century" w:eastAsia="Century" w:hAnsi="Century" w:cs="Century"/>
          <w:sz w:val="18"/>
          <w:szCs w:val="18"/>
        </w:rPr>
        <w:t>This design used the survey method because it specifically determined the p</w:t>
      </w:r>
      <w:r>
        <w:rPr>
          <w:rFonts w:ascii="Century" w:eastAsia="Century" w:hAnsi="Century" w:cs="Century"/>
          <w:sz w:val="18"/>
          <w:szCs w:val="18"/>
        </w:rPr>
        <w:t>rofessional profile of the principals in Northern Samar, their servant leadership, and school performance.</w:t>
      </w:r>
    </w:p>
    <w:p w14:paraId="30D40079" w14:textId="77777777" w:rsidR="00A97DC5" w:rsidRDefault="00FC534B">
      <w:pPr>
        <w:spacing w:before="240" w:after="240"/>
        <w:jc w:val="both"/>
        <w:rPr>
          <w:rFonts w:ascii="Century" w:eastAsia="Century" w:hAnsi="Century" w:cs="Century"/>
          <w:sz w:val="18"/>
          <w:szCs w:val="18"/>
        </w:rPr>
      </w:pPr>
      <w:r>
        <w:rPr>
          <w:rFonts w:ascii="Century" w:eastAsia="Century" w:hAnsi="Century" w:cs="Century"/>
          <w:sz w:val="18"/>
          <w:szCs w:val="18"/>
        </w:rPr>
        <w:t>This study also used correlational design because it aimed to test the hypotheses on relationships. According to Creswell (2009), correlational resea</w:t>
      </w:r>
      <w:r>
        <w:rPr>
          <w:rFonts w:ascii="Century" w:eastAsia="Century" w:hAnsi="Century" w:cs="Century"/>
          <w:sz w:val="18"/>
          <w:szCs w:val="18"/>
        </w:rPr>
        <w:t>rch is a statistical test used to determine the tendency or pattern for two or more variables or two sets of data to vary consistently, and to what degree a relationship exists between two or more quantifiable variables.</w:t>
      </w:r>
    </w:p>
    <w:p w14:paraId="5022F607" w14:textId="77777777" w:rsidR="00A97DC5" w:rsidRDefault="00FC534B">
      <w:pPr>
        <w:spacing w:before="240" w:after="240"/>
        <w:jc w:val="both"/>
        <w:rPr>
          <w:rFonts w:ascii="Century" w:eastAsia="Century" w:hAnsi="Century" w:cs="Century"/>
          <w:sz w:val="18"/>
          <w:szCs w:val="18"/>
        </w:rPr>
      </w:pPr>
      <w:r>
        <w:rPr>
          <w:rFonts w:ascii="Century" w:eastAsia="Century" w:hAnsi="Century" w:cs="Century"/>
          <w:sz w:val="18"/>
          <w:szCs w:val="18"/>
        </w:rPr>
        <w:t>This method attempted to find out i</w:t>
      </w:r>
      <w:r>
        <w:rPr>
          <w:rFonts w:ascii="Century" w:eastAsia="Century" w:hAnsi="Century" w:cs="Century"/>
          <w:sz w:val="18"/>
          <w:szCs w:val="18"/>
        </w:rPr>
        <w:t>f there was a significant relationship between the independent and dependent variables. In this particular study, the phenomena involved were the assessment of principals’ servant leadership in relation to school performance.</w:t>
      </w:r>
    </w:p>
    <w:p w14:paraId="68453CBD" w14:textId="77777777" w:rsidR="00A97DC5" w:rsidRDefault="00FC534B">
      <w:pPr>
        <w:spacing w:before="120" w:after="0"/>
        <w:jc w:val="both"/>
        <w:rPr>
          <w:rFonts w:ascii="Century" w:eastAsia="Century" w:hAnsi="Century" w:cs="Century"/>
          <w:i/>
        </w:rPr>
      </w:pPr>
      <w:r>
        <w:rPr>
          <w:rFonts w:ascii="Century" w:eastAsia="Century" w:hAnsi="Century" w:cs="Century"/>
          <w:i/>
        </w:rPr>
        <w:t>2.3 Population and Sampling</w:t>
      </w:r>
    </w:p>
    <w:p w14:paraId="43380277" w14:textId="77777777" w:rsidR="00A97DC5" w:rsidRDefault="00FC534B">
      <w:pPr>
        <w:spacing w:before="240" w:after="240"/>
        <w:jc w:val="both"/>
        <w:rPr>
          <w:rFonts w:ascii="Century" w:eastAsia="Century" w:hAnsi="Century" w:cs="Century"/>
          <w:sz w:val="18"/>
          <w:szCs w:val="18"/>
        </w:rPr>
      </w:pPr>
      <w:commentRangeStart w:id="7"/>
      <w:r>
        <w:rPr>
          <w:rFonts w:ascii="Century" w:eastAsia="Century" w:hAnsi="Century" w:cs="Century"/>
          <w:sz w:val="18"/>
          <w:szCs w:val="18"/>
        </w:rPr>
        <w:t>Th</w:t>
      </w:r>
      <w:r>
        <w:rPr>
          <w:rFonts w:ascii="Century" w:eastAsia="Century" w:hAnsi="Century" w:cs="Century"/>
          <w:sz w:val="18"/>
          <w:szCs w:val="18"/>
        </w:rPr>
        <w:t xml:space="preserve">e population of the study consisted </w:t>
      </w:r>
      <w:commentRangeEnd w:id="7"/>
      <w:r w:rsidR="006B2D31">
        <w:rPr>
          <w:rStyle w:val="CommentReference"/>
        </w:rPr>
        <w:commentReference w:id="7"/>
      </w:r>
      <w:r>
        <w:rPr>
          <w:rFonts w:ascii="Century" w:eastAsia="Century" w:hAnsi="Century" w:cs="Century"/>
          <w:sz w:val="18"/>
          <w:szCs w:val="18"/>
        </w:rPr>
        <w:t>of secondary school principals and teachers from both public and private high schools in the Division of Northern Samar. A total of 21 principals from large public high schools were included. In accordance with DepEd Mem</w:t>
      </w:r>
      <w:r>
        <w:rPr>
          <w:rFonts w:ascii="Century" w:eastAsia="Century" w:hAnsi="Century" w:cs="Century"/>
          <w:sz w:val="18"/>
          <w:szCs w:val="18"/>
        </w:rPr>
        <w:t>orandum No. 35, s. 2017, large or big schools are defined as those with a full complement of teachers handling secondary-level instruction.</w:t>
      </w:r>
    </w:p>
    <w:p w14:paraId="56C366F8" w14:textId="77777777" w:rsidR="00A97DC5" w:rsidRDefault="00FC534B">
      <w:pPr>
        <w:spacing w:before="240" w:after="240"/>
        <w:jc w:val="both"/>
        <w:rPr>
          <w:rFonts w:ascii="Century" w:eastAsia="Century" w:hAnsi="Century" w:cs="Century"/>
          <w:sz w:val="18"/>
          <w:szCs w:val="18"/>
        </w:rPr>
      </w:pPr>
      <w:r>
        <w:rPr>
          <w:rFonts w:ascii="Century" w:eastAsia="Century" w:hAnsi="Century" w:cs="Century"/>
          <w:sz w:val="18"/>
          <w:szCs w:val="18"/>
        </w:rPr>
        <w:t xml:space="preserve">To ensure balanced representation, seven (7) principals from private high schools were also included. In geographic </w:t>
      </w:r>
      <w:r>
        <w:rPr>
          <w:rFonts w:ascii="Century" w:eastAsia="Century" w:hAnsi="Century" w:cs="Century"/>
          <w:sz w:val="18"/>
          <w:szCs w:val="18"/>
        </w:rPr>
        <w:t xml:space="preserve">areas with more than one public high school, the random sampling technique was employed to select the target number of </w:t>
      </w:r>
      <w:proofErr w:type="gramStart"/>
      <w:r>
        <w:rPr>
          <w:rFonts w:ascii="Century" w:eastAsia="Century" w:hAnsi="Century" w:cs="Century"/>
          <w:sz w:val="18"/>
          <w:szCs w:val="18"/>
        </w:rPr>
        <w:t>public school</w:t>
      </w:r>
      <w:proofErr w:type="gramEnd"/>
      <w:r>
        <w:rPr>
          <w:rFonts w:ascii="Century" w:eastAsia="Century" w:hAnsi="Century" w:cs="Century"/>
          <w:sz w:val="18"/>
          <w:szCs w:val="18"/>
        </w:rPr>
        <w:t xml:space="preserve"> participants per area—specifically within the Pacific, Central, and </w:t>
      </w:r>
      <w:proofErr w:type="spellStart"/>
      <w:r>
        <w:rPr>
          <w:rFonts w:ascii="Century" w:eastAsia="Century" w:hAnsi="Century" w:cs="Century"/>
          <w:sz w:val="18"/>
          <w:szCs w:val="18"/>
        </w:rPr>
        <w:t>Balicuatro</w:t>
      </w:r>
      <w:proofErr w:type="spellEnd"/>
      <w:r>
        <w:rPr>
          <w:rFonts w:ascii="Century" w:eastAsia="Century" w:hAnsi="Century" w:cs="Century"/>
          <w:sz w:val="18"/>
          <w:szCs w:val="18"/>
        </w:rPr>
        <w:t xml:space="preserve"> districts. In contrast, due to the limited n</w:t>
      </w:r>
      <w:r>
        <w:rPr>
          <w:rFonts w:ascii="Century" w:eastAsia="Century" w:hAnsi="Century" w:cs="Century"/>
          <w:sz w:val="18"/>
          <w:szCs w:val="18"/>
        </w:rPr>
        <w:t>umber of private schools, all eligible private high school principals were automatically included.</w:t>
      </w:r>
    </w:p>
    <w:p w14:paraId="21522CD6" w14:textId="77777777" w:rsidR="00A97DC5" w:rsidRDefault="00FC534B">
      <w:pPr>
        <w:spacing w:before="240" w:after="240"/>
        <w:jc w:val="both"/>
        <w:rPr>
          <w:rFonts w:ascii="Century" w:eastAsia="Century" w:hAnsi="Century" w:cs="Century"/>
          <w:sz w:val="18"/>
          <w:szCs w:val="18"/>
        </w:rPr>
      </w:pPr>
      <w:r>
        <w:rPr>
          <w:rFonts w:ascii="Century" w:eastAsia="Century" w:hAnsi="Century" w:cs="Century"/>
          <w:sz w:val="18"/>
          <w:szCs w:val="18"/>
        </w:rPr>
        <w:t>The study utilized complete enumeration for the selection of both the principals and their respective teachers from the identified public and private schools</w:t>
      </w:r>
      <w:r>
        <w:rPr>
          <w:rFonts w:ascii="Century" w:eastAsia="Century" w:hAnsi="Century" w:cs="Century"/>
          <w:sz w:val="18"/>
          <w:szCs w:val="18"/>
        </w:rPr>
        <w:t xml:space="preserve">. Only teachers who had worked with their current principal for at least two years were considered, ensuring that respondents had sufficient </w:t>
      </w:r>
      <w:r>
        <w:rPr>
          <w:rFonts w:ascii="Century" w:eastAsia="Century" w:hAnsi="Century" w:cs="Century"/>
          <w:sz w:val="18"/>
          <w:szCs w:val="18"/>
        </w:rPr>
        <w:lastRenderedPageBreak/>
        <w:t>familiarity with their school leaders’ practices to provide reliable assessments.</w:t>
      </w:r>
    </w:p>
    <w:p w14:paraId="688EC111" w14:textId="77777777" w:rsidR="00A97DC5" w:rsidRDefault="00FC534B">
      <w:pPr>
        <w:spacing w:before="120" w:after="0"/>
        <w:jc w:val="both"/>
        <w:rPr>
          <w:rFonts w:ascii="Century" w:eastAsia="Century" w:hAnsi="Century" w:cs="Century"/>
          <w:i/>
        </w:rPr>
      </w:pPr>
      <w:r>
        <w:rPr>
          <w:rFonts w:ascii="Century" w:eastAsia="Century" w:hAnsi="Century" w:cs="Century"/>
          <w:i/>
        </w:rPr>
        <w:t>2.4 Respondents</w:t>
      </w:r>
    </w:p>
    <w:p w14:paraId="47919346" w14:textId="77777777" w:rsidR="00A97DC5" w:rsidRDefault="00FC534B">
      <w:pPr>
        <w:spacing w:before="200" w:after="0"/>
        <w:jc w:val="both"/>
        <w:rPr>
          <w:rFonts w:ascii="Century" w:eastAsia="Century" w:hAnsi="Century" w:cs="Century"/>
          <w:sz w:val="18"/>
          <w:szCs w:val="18"/>
        </w:rPr>
      </w:pPr>
      <w:r>
        <w:rPr>
          <w:rFonts w:ascii="Century" w:eastAsia="Century" w:hAnsi="Century" w:cs="Century"/>
          <w:sz w:val="18"/>
          <w:szCs w:val="18"/>
        </w:rPr>
        <w:t>The respondents o</w:t>
      </w:r>
      <w:r>
        <w:rPr>
          <w:rFonts w:ascii="Century" w:eastAsia="Century" w:hAnsi="Century" w:cs="Century"/>
          <w:sz w:val="18"/>
          <w:szCs w:val="18"/>
        </w:rPr>
        <w:t>f the study included 21 public high school principals, 7 private high school principals, and their respective teachers from both public and private secondary schools in the Division of Northern Samar.</w:t>
      </w:r>
    </w:p>
    <w:p w14:paraId="36CBC610" w14:textId="77777777" w:rsidR="00A97DC5" w:rsidRDefault="00FC534B">
      <w:pPr>
        <w:spacing w:before="200" w:after="0"/>
        <w:jc w:val="both"/>
        <w:rPr>
          <w:rFonts w:ascii="Century" w:eastAsia="Century" w:hAnsi="Century" w:cs="Century"/>
          <w:sz w:val="18"/>
          <w:szCs w:val="18"/>
        </w:rPr>
      </w:pPr>
      <w:r>
        <w:rPr>
          <w:rFonts w:ascii="Century" w:eastAsia="Century" w:hAnsi="Century" w:cs="Century"/>
          <w:sz w:val="18"/>
          <w:szCs w:val="18"/>
        </w:rPr>
        <w:t xml:space="preserve">To ensure the credibility and relevance of </w:t>
      </w:r>
      <w:r>
        <w:rPr>
          <w:rFonts w:ascii="Century" w:eastAsia="Century" w:hAnsi="Century" w:cs="Century"/>
          <w:sz w:val="18"/>
          <w:szCs w:val="18"/>
        </w:rPr>
        <w:t>responses, only principals who had served in their respective schools for at least two years were included in the study. The selection of principals followed a proportionate random sampling technique, particularly in areas where multiple high schools exist</w:t>
      </w:r>
      <w:r>
        <w:rPr>
          <w:rFonts w:ascii="Century" w:eastAsia="Century" w:hAnsi="Century" w:cs="Century"/>
          <w:sz w:val="18"/>
          <w:szCs w:val="18"/>
        </w:rPr>
        <w:t>ed within a geographic zone.</w:t>
      </w:r>
    </w:p>
    <w:p w14:paraId="427A214A" w14:textId="77777777" w:rsidR="00A97DC5" w:rsidRDefault="00FC534B">
      <w:pPr>
        <w:spacing w:before="200" w:after="0"/>
        <w:jc w:val="both"/>
        <w:rPr>
          <w:rFonts w:ascii="Century" w:eastAsia="Century" w:hAnsi="Century" w:cs="Century"/>
          <w:sz w:val="18"/>
          <w:szCs w:val="18"/>
        </w:rPr>
      </w:pPr>
      <w:r>
        <w:rPr>
          <w:rFonts w:ascii="Century" w:eastAsia="Century" w:hAnsi="Century" w:cs="Century"/>
          <w:sz w:val="18"/>
          <w:szCs w:val="18"/>
        </w:rPr>
        <w:t>Similarly, teachers who had worked under their current principal for a minimum of two years were chosen as respondents. This criterion ensured that participants had sufficient exposure to their principal’s leadership style. The</w:t>
      </w:r>
      <w:r>
        <w:rPr>
          <w:rFonts w:ascii="Century" w:eastAsia="Century" w:hAnsi="Century" w:cs="Century"/>
          <w:sz w:val="18"/>
          <w:szCs w:val="18"/>
        </w:rPr>
        <w:t xml:space="preserve"> selection of teacher-respondents also followed proportionate random sampling to maintain balanced representation across schools and districts.</w:t>
      </w:r>
    </w:p>
    <w:p w14:paraId="625BE6AD" w14:textId="77777777" w:rsidR="00A97DC5" w:rsidRDefault="00FC534B">
      <w:pPr>
        <w:spacing w:before="120" w:after="0"/>
        <w:jc w:val="both"/>
        <w:rPr>
          <w:rFonts w:ascii="Century" w:eastAsia="Century" w:hAnsi="Century" w:cs="Century"/>
          <w:i/>
        </w:rPr>
      </w:pPr>
      <w:r>
        <w:rPr>
          <w:rFonts w:ascii="Century" w:eastAsia="Century" w:hAnsi="Century" w:cs="Century"/>
          <w:i/>
        </w:rPr>
        <w:t>2.5 Variables</w:t>
      </w:r>
    </w:p>
    <w:p w14:paraId="7AAD7008" w14:textId="77777777" w:rsidR="00A97DC5" w:rsidRDefault="00FC534B">
      <w:pPr>
        <w:spacing w:before="200"/>
        <w:jc w:val="both"/>
        <w:rPr>
          <w:rFonts w:ascii="Century" w:eastAsia="Century" w:hAnsi="Century" w:cs="Century"/>
          <w:sz w:val="18"/>
          <w:szCs w:val="18"/>
        </w:rPr>
      </w:pPr>
      <w:r>
        <w:rPr>
          <w:rFonts w:ascii="Century" w:eastAsia="Century" w:hAnsi="Century" w:cs="Century"/>
          <w:sz w:val="18"/>
          <w:szCs w:val="18"/>
        </w:rPr>
        <w:t>The independent variables included the principal’s profile in terms of educational attainment, eli</w:t>
      </w:r>
      <w:r>
        <w:rPr>
          <w:rFonts w:ascii="Century" w:eastAsia="Century" w:hAnsi="Century" w:cs="Century"/>
          <w:sz w:val="18"/>
          <w:szCs w:val="18"/>
        </w:rPr>
        <w:t>gibility, administrative experience, and training in administration and supervision. Servant leadership was assessed based on personal character, actions, and interactions with others, categorized under four orientations and the dimensions of servant leade</w:t>
      </w:r>
      <w:r>
        <w:rPr>
          <w:rFonts w:ascii="Century" w:eastAsia="Century" w:hAnsi="Century" w:cs="Century"/>
          <w:sz w:val="18"/>
          <w:szCs w:val="18"/>
        </w:rPr>
        <w:t>rship.</w:t>
      </w:r>
    </w:p>
    <w:p w14:paraId="6AAFE667" w14:textId="77777777" w:rsidR="00A97DC5" w:rsidRDefault="00FC534B">
      <w:pPr>
        <w:spacing w:before="200"/>
        <w:jc w:val="both"/>
        <w:rPr>
          <w:rFonts w:ascii="Century" w:eastAsia="Century" w:hAnsi="Century" w:cs="Century"/>
          <w:sz w:val="18"/>
          <w:szCs w:val="18"/>
        </w:rPr>
      </w:pPr>
      <w:r>
        <w:rPr>
          <w:rFonts w:ascii="Century" w:eastAsia="Century" w:hAnsi="Century" w:cs="Century"/>
          <w:sz w:val="18"/>
          <w:szCs w:val="18"/>
        </w:rPr>
        <w:t>The dependent variable was school performance, measured through SMEA results based on the BMEF framework: Access, Equity, Quality, and Resiliency and Well-being.</w:t>
      </w:r>
    </w:p>
    <w:p w14:paraId="7926F53A" w14:textId="77777777" w:rsidR="00A97DC5" w:rsidRDefault="00FC534B">
      <w:pPr>
        <w:spacing w:before="200"/>
        <w:jc w:val="both"/>
        <w:rPr>
          <w:rFonts w:ascii="Century" w:eastAsia="Century" w:hAnsi="Century" w:cs="Century"/>
          <w:sz w:val="18"/>
          <w:szCs w:val="18"/>
        </w:rPr>
      </w:pPr>
      <w:r>
        <w:rPr>
          <w:rFonts w:ascii="Century" w:eastAsia="Century" w:hAnsi="Century" w:cs="Century"/>
          <w:sz w:val="18"/>
          <w:szCs w:val="18"/>
        </w:rPr>
        <w:t>These variables served as inputs for designing a training program for school leaders, w</w:t>
      </w:r>
      <w:r>
        <w:rPr>
          <w:rFonts w:ascii="Century" w:eastAsia="Century" w:hAnsi="Century" w:cs="Century"/>
          <w:sz w:val="18"/>
          <w:szCs w:val="18"/>
        </w:rPr>
        <w:t>hich is the intended output of this study.</w:t>
      </w:r>
    </w:p>
    <w:p w14:paraId="669A9CEB" w14:textId="77777777" w:rsidR="00A97DC5" w:rsidRDefault="00FC534B">
      <w:pPr>
        <w:spacing w:before="120" w:after="0"/>
        <w:jc w:val="both"/>
        <w:rPr>
          <w:rFonts w:ascii="Century" w:eastAsia="Century" w:hAnsi="Century" w:cs="Century"/>
          <w:i/>
        </w:rPr>
      </w:pPr>
      <w:r>
        <w:rPr>
          <w:rFonts w:ascii="Century" w:eastAsia="Century" w:hAnsi="Century" w:cs="Century"/>
          <w:i/>
        </w:rPr>
        <w:t>2.6 Research Instruments</w:t>
      </w:r>
    </w:p>
    <w:p w14:paraId="5482BE1C" w14:textId="77777777" w:rsidR="00A97DC5" w:rsidRDefault="00FC534B">
      <w:pPr>
        <w:spacing w:before="240" w:after="240"/>
        <w:jc w:val="both"/>
        <w:rPr>
          <w:rFonts w:ascii="Century" w:eastAsia="Century" w:hAnsi="Century" w:cs="Century"/>
          <w:sz w:val="18"/>
          <w:szCs w:val="18"/>
        </w:rPr>
      </w:pPr>
      <w:r>
        <w:rPr>
          <w:rFonts w:ascii="Century" w:eastAsia="Century" w:hAnsi="Century" w:cs="Century"/>
          <w:sz w:val="18"/>
          <w:szCs w:val="18"/>
        </w:rPr>
        <w:t>This study utilized three sets of survey questionnaires focusing on the principal’s profile, servant leadership orientations, and the dimensions of servant leadership. The questionnaire fo</w:t>
      </w:r>
      <w:r>
        <w:rPr>
          <w:rFonts w:ascii="Century" w:eastAsia="Century" w:hAnsi="Century" w:cs="Century"/>
          <w:sz w:val="18"/>
          <w:szCs w:val="18"/>
        </w:rPr>
        <w:t xml:space="preserve">r principals consisted of three parts. The first part gathered information on </w:t>
      </w:r>
      <w:r>
        <w:rPr>
          <w:rFonts w:ascii="Century" w:eastAsia="Century" w:hAnsi="Century" w:cs="Century"/>
          <w:sz w:val="18"/>
          <w:szCs w:val="18"/>
        </w:rPr>
        <w:t>the principal’s profile, including highest educational attainment, eligibility, administrative experience, and training or seminars attended in administration and supervision.</w:t>
      </w:r>
    </w:p>
    <w:p w14:paraId="36C410BD" w14:textId="77777777" w:rsidR="00A97DC5" w:rsidRDefault="00FC534B">
      <w:pPr>
        <w:spacing w:before="240" w:after="240"/>
        <w:jc w:val="both"/>
        <w:rPr>
          <w:rFonts w:ascii="Century" w:eastAsia="Century" w:hAnsi="Century" w:cs="Century"/>
          <w:sz w:val="18"/>
          <w:szCs w:val="18"/>
        </w:rPr>
      </w:pPr>
      <w:r>
        <w:rPr>
          <w:rFonts w:ascii="Century" w:eastAsia="Century" w:hAnsi="Century" w:cs="Century"/>
          <w:sz w:val="18"/>
          <w:szCs w:val="18"/>
        </w:rPr>
        <w:t>Th</w:t>
      </w:r>
      <w:r>
        <w:rPr>
          <w:rFonts w:ascii="Century" w:eastAsia="Century" w:hAnsi="Century" w:cs="Century"/>
          <w:sz w:val="18"/>
          <w:szCs w:val="18"/>
        </w:rPr>
        <w:t>e second part assessed the principal’s servant leadership based on 99 indicators derived from four leadership orientations: 30 for character orientation, 20 for people orientation, 24 for task orientation, and 25 for process orientation. These indicators w</w:t>
      </w:r>
      <w:r>
        <w:rPr>
          <w:rFonts w:ascii="Century" w:eastAsia="Century" w:hAnsi="Century" w:cs="Century"/>
          <w:sz w:val="18"/>
          <w:szCs w:val="18"/>
        </w:rPr>
        <w:t>ere adapted from Page and Wong’s Servant Leadership Characteristics.</w:t>
      </w:r>
    </w:p>
    <w:p w14:paraId="1AC2F0F6" w14:textId="77777777" w:rsidR="00A97DC5" w:rsidRDefault="00FC534B">
      <w:pPr>
        <w:spacing w:before="240" w:after="240"/>
        <w:jc w:val="both"/>
        <w:rPr>
          <w:rFonts w:ascii="Century" w:eastAsia="Century" w:hAnsi="Century" w:cs="Century"/>
          <w:sz w:val="18"/>
          <w:szCs w:val="18"/>
        </w:rPr>
      </w:pPr>
      <w:r>
        <w:rPr>
          <w:rFonts w:ascii="Century" w:eastAsia="Century" w:hAnsi="Century" w:cs="Century"/>
          <w:sz w:val="18"/>
          <w:szCs w:val="18"/>
        </w:rPr>
        <w:t xml:space="preserve">The third part focused on the dimensions of servant leadership, including conceptualizing, emotional healing, putting followers first, helping followers grow and succeed, behaving </w:t>
      </w:r>
      <w:r>
        <w:rPr>
          <w:rFonts w:ascii="Century" w:eastAsia="Century" w:hAnsi="Century" w:cs="Century"/>
          <w:sz w:val="18"/>
          <w:szCs w:val="18"/>
        </w:rPr>
        <w:t>ethically, empowering, and creating value for the community. This section included 28 indicators: four for conceptualizing, four for emotional healing, three for putting followers first, five for helping followers succeed, four for behaving ethically, four</w:t>
      </w:r>
      <w:r>
        <w:rPr>
          <w:rFonts w:ascii="Century" w:eastAsia="Century" w:hAnsi="Century" w:cs="Century"/>
          <w:sz w:val="18"/>
          <w:szCs w:val="18"/>
        </w:rPr>
        <w:t xml:space="preserve"> for empowering, and four for creating value for the community. These were adapted from Dr. Robert Liden’s Servant Leadership model.</w:t>
      </w:r>
    </w:p>
    <w:p w14:paraId="43A2E017" w14:textId="77777777" w:rsidR="00A97DC5" w:rsidRDefault="00FC534B">
      <w:pPr>
        <w:spacing w:before="240" w:after="240"/>
        <w:jc w:val="both"/>
        <w:rPr>
          <w:rFonts w:ascii="Century" w:eastAsia="Century" w:hAnsi="Century" w:cs="Century"/>
          <w:sz w:val="18"/>
          <w:szCs w:val="18"/>
        </w:rPr>
      </w:pPr>
      <w:r>
        <w:rPr>
          <w:rFonts w:ascii="Century" w:eastAsia="Century" w:hAnsi="Century" w:cs="Century"/>
          <w:sz w:val="18"/>
          <w:szCs w:val="18"/>
        </w:rPr>
        <w:t>All questionnaires used a 5-point Likert scale. Teacher-respondents were asked to indicate their level of agreement with ea</w:t>
      </w:r>
      <w:r>
        <w:rPr>
          <w:rFonts w:ascii="Century" w:eastAsia="Century" w:hAnsi="Century" w:cs="Century"/>
          <w:sz w:val="18"/>
          <w:szCs w:val="18"/>
        </w:rPr>
        <w:t>ch item, describing the principal’s characteristics and leadership practices. The survey measured both personal character and actions, as well as interactions with others, based on the four orientations and servant leadership dimensions.</w:t>
      </w:r>
    </w:p>
    <w:p w14:paraId="5A7B9A36" w14:textId="77777777" w:rsidR="00A97DC5" w:rsidRDefault="00FC534B">
      <w:pPr>
        <w:spacing w:before="240" w:after="240"/>
        <w:jc w:val="both"/>
        <w:rPr>
          <w:rFonts w:ascii="Century" w:eastAsia="Century" w:hAnsi="Century" w:cs="Century"/>
          <w:sz w:val="18"/>
          <w:szCs w:val="18"/>
        </w:rPr>
      </w:pPr>
      <w:r>
        <w:rPr>
          <w:rFonts w:ascii="Century" w:eastAsia="Century" w:hAnsi="Century" w:cs="Century"/>
          <w:sz w:val="18"/>
          <w:szCs w:val="18"/>
        </w:rPr>
        <w:t>School performance</w:t>
      </w:r>
      <w:r>
        <w:rPr>
          <w:rFonts w:ascii="Century" w:eastAsia="Century" w:hAnsi="Century" w:cs="Century"/>
          <w:sz w:val="18"/>
          <w:szCs w:val="18"/>
        </w:rPr>
        <w:t xml:space="preserve"> data were based on three years of SMEA results, which included indicators on access, quality, governance, and teacher performance.</w:t>
      </w:r>
    </w:p>
    <w:p w14:paraId="52D7EAE0" w14:textId="77777777" w:rsidR="00A97DC5" w:rsidRDefault="00FC534B">
      <w:pPr>
        <w:spacing w:before="120" w:after="0"/>
        <w:jc w:val="both"/>
        <w:rPr>
          <w:rFonts w:ascii="Century" w:eastAsia="Century" w:hAnsi="Century" w:cs="Century"/>
          <w:i/>
        </w:rPr>
      </w:pPr>
      <w:r>
        <w:rPr>
          <w:rFonts w:ascii="Century" w:eastAsia="Century" w:hAnsi="Century" w:cs="Century"/>
          <w:i/>
        </w:rPr>
        <w:t>2.7 Validation of Instruments</w:t>
      </w:r>
    </w:p>
    <w:p w14:paraId="405A645F" w14:textId="77777777" w:rsidR="00A97DC5" w:rsidRDefault="00FC534B">
      <w:pPr>
        <w:spacing w:before="200" w:after="0"/>
        <w:jc w:val="both"/>
        <w:rPr>
          <w:rFonts w:ascii="Century" w:eastAsia="Century" w:hAnsi="Century" w:cs="Century"/>
          <w:sz w:val="18"/>
          <w:szCs w:val="18"/>
        </w:rPr>
      </w:pPr>
      <w:r>
        <w:rPr>
          <w:rFonts w:ascii="Century" w:eastAsia="Century" w:hAnsi="Century" w:cs="Century"/>
          <w:sz w:val="18"/>
          <w:szCs w:val="18"/>
        </w:rPr>
        <w:t>The research instruments used in this study were adapted from two established tools: the Revis</w:t>
      </w:r>
      <w:r>
        <w:rPr>
          <w:rFonts w:ascii="Century" w:eastAsia="Century" w:hAnsi="Century" w:cs="Century"/>
          <w:sz w:val="18"/>
          <w:szCs w:val="18"/>
        </w:rPr>
        <w:t>ed Servant Leadership Profile (SLRP) developed by Page and Wong, and the Servant Leadership Questionnaire designed by Liden et al. These instruments focused on seven key dimensions of servant leadership: conceptualizing, emotional healing, putting follower</w:t>
      </w:r>
      <w:r>
        <w:rPr>
          <w:rFonts w:ascii="Century" w:eastAsia="Century" w:hAnsi="Century" w:cs="Century"/>
          <w:sz w:val="18"/>
          <w:szCs w:val="18"/>
        </w:rPr>
        <w:t>s first, behaving ethically, empowering, creating value for the community, and helping followers grow and succeed.</w:t>
      </w:r>
    </w:p>
    <w:p w14:paraId="66C977E9" w14:textId="77777777" w:rsidR="00A97DC5" w:rsidRDefault="00FC534B">
      <w:pPr>
        <w:spacing w:before="200" w:after="0"/>
        <w:jc w:val="both"/>
        <w:rPr>
          <w:rFonts w:ascii="Century" w:eastAsia="Century" w:hAnsi="Century" w:cs="Century"/>
          <w:sz w:val="18"/>
          <w:szCs w:val="18"/>
        </w:rPr>
      </w:pPr>
      <w:r>
        <w:rPr>
          <w:rFonts w:ascii="Century" w:eastAsia="Century" w:hAnsi="Century" w:cs="Century"/>
          <w:sz w:val="18"/>
          <w:szCs w:val="18"/>
        </w:rPr>
        <w:lastRenderedPageBreak/>
        <w:t>To ensure content validity, the adapted instruments underwent expert validation. The questionnaire items were reviewed by three experienced s</w:t>
      </w:r>
      <w:r>
        <w:rPr>
          <w:rFonts w:ascii="Century" w:eastAsia="Century" w:hAnsi="Century" w:cs="Century"/>
          <w:sz w:val="18"/>
          <w:szCs w:val="18"/>
        </w:rPr>
        <w:t>chool leaders—two public school principals and one private school principal. These validators evaluated the clarity, relevance, and appropriateness of the items within the context of Philippine secondary schools. Based on their feedback, several refinement</w:t>
      </w:r>
      <w:r>
        <w:rPr>
          <w:rFonts w:ascii="Century" w:eastAsia="Century" w:hAnsi="Century" w:cs="Century"/>
          <w:sz w:val="18"/>
          <w:szCs w:val="18"/>
        </w:rPr>
        <w:t>s were made to improve the wording and contextual alignment of selected items.</w:t>
      </w:r>
    </w:p>
    <w:p w14:paraId="5A0A18F5" w14:textId="77777777" w:rsidR="00A97DC5" w:rsidRDefault="00FC534B">
      <w:pPr>
        <w:spacing w:before="200" w:after="0"/>
        <w:jc w:val="both"/>
        <w:rPr>
          <w:rFonts w:ascii="Century" w:eastAsia="Century" w:hAnsi="Century" w:cs="Century"/>
          <w:sz w:val="18"/>
          <w:szCs w:val="18"/>
        </w:rPr>
      </w:pPr>
      <w:r>
        <w:rPr>
          <w:rFonts w:ascii="Century" w:eastAsia="Century" w:hAnsi="Century" w:cs="Century"/>
          <w:sz w:val="18"/>
          <w:szCs w:val="18"/>
        </w:rPr>
        <w:t>The suggestions were carefully incorporated by the researcher before the final administration of the instrument. This validation process ensured that the tool was both contextua</w:t>
      </w:r>
      <w:r>
        <w:rPr>
          <w:rFonts w:ascii="Century" w:eastAsia="Century" w:hAnsi="Century" w:cs="Century"/>
          <w:sz w:val="18"/>
          <w:szCs w:val="18"/>
        </w:rPr>
        <w:t>lly appropriate and aligned with the research objectives, thereby enhancing the reliability and credibility of the data collected.</w:t>
      </w:r>
    </w:p>
    <w:p w14:paraId="506C5DBF" w14:textId="77777777" w:rsidR="00A97DC5" w:rsidRDefault="00FC534B">
      <w:pPr>
        <w:spacing w:before="120" w:after="0"/>
        <w:jc w:val="both"/>
        <w:rPr>
          <w:rFonts w:ascii="Century" w:eastAsia="Century" w:hAnsi="Century" w:cs="Century"/>
          <w:i/>
        </w:rPr>
      </w:pPr>
      <w:r>
        <w:rPr>
          <w:rFonts w:ascii="Century" w:eastAsia="Century" w:hAnsi="Century" w:cs="Century"/>
          <w:i/>
        </w:rPr>
        <w:t>2.8 Data Gathering Procedure</w:t>
      </w:r>
    </w:p>
    <w:p w14:paraId="6855540E" w14:textId="77777777" w:rsidR="00A97DC5" w:rsidRDefault="00FC534B">
      <w:pPr>
        <w:spacing w:before="240" w:after="240"/>
        <w:jc w:val="both"/>
        <w:rPr>
          <w:rFonts w:ascii="Century" w:eastAsia="Century" w:hAnsi="Century" w:cs="Century"/>
          <w:sz w:val="18"/>
          <w:szCs w:val="18"/>
        </w:rPr>
      </w:pPr>
      <w:r>
        <w:rPr>
          <w:rFonts w:ascii="Century" w:eastAsia="Century" w:hAnsi="Century" w:cs="Century"/>
          <w:sz w:val="18"/>
          <w:szCs w:val="18"/>
        </w:rPr>
        <w:t>The researcher first obtained an official list of all public and private high schools in the Div</w:t>
      </w:r>
      <w:r>
        <w:rPr>
          <w:rFonts w:ascii="Century" w:eastAsia="Century" w:hAnsi="Century" w:cs="Century"/>
          <w:sz w:val="18"/>
          <w:szCs w:val="18"/>
        </w:rPr>
        <w:t>ision of Northern Samar, including the names of principals and teachers who had at least two years of teaching or administrative experience under the current school leadership. This criterion ensured that all respondents had sufficient exposure to accurate</w:t>
      </w:r>
      <w:r>
        <w:rPr>
          <w:rFonts w:ascii="Century" w:eastAsia="Century" w:hAnsi="Century" w:cs="Century"/>
          <w:sz w:val="18"/>
          <w:szCs w:val="18"/>
        </w:rPr>
        <w:t>ly assess their principal’s leadership style.</w:t>
      </w:r>
    </w:p>
    <w:p w14:paraId="2C869DF7" w14:textId="77777777" w:rsidR="00A97DC5" w:rsidRDefault="00FC534B">
      <w:pPr>
        <w:spacing w:before="240" w:after="240"/>
        <w:jc w:val="both"/>
        <w:rPr>
          <w:rFonts w:ascii="Century" w:eastAsia="Century" w:hAnsi="Century" w:cs="Century"/>
          <w:sz w:val="18"/>
          <w:szCs w:val="18"/>
        </w:rPr>
      </w:pPr>
      <w:r>
        <w:rPr>
          <w:rFonts w:ascii="Century" w:eastAsia="Century" w:hAnsi="Century" w:cs="Century"/>
          <w:sz w:val="18"/>
          <w:szCs w:val="18"/>
        </w:rPr>
        <w:t>Prior to the distribution of the research instruments, formal permission was secured from the Schools Division Superintendent, allowing the participation of school principals and teachers in the study. This ste</w:t>
      </w:r>
      <w:r>
        <w:rPr>
          <w:rFonts w:ascii="Century" w:eastAsia="Century" w:hAnsi="Century" w:cs="Century"/>
          <w:sz w:val="18"/>
          <w:szCs w:val="18"/>
        </w:rPr>
        <w:t>p ensured compliance with ethical standards and institutional protocols.</w:t>
      </w:r>
    </w:p>
    <w:p w14:paraId="4366D064" w14:textId="77777777" w:rsidR="00A97DC5" w:rsidRDefault="00FC534B">
      <w:pPr>
        <w:spacing w:before="240" w:after="240"/>
        <w:jc w:val="both"/>
        <w:rPr>
          <w:rFonts w:ascii="Century" w:eastAsia="Century" w:hAnsi="Century" w:cs="Century"/>
          <w:sz w:val="18"/>
          <w:szCs w:val="18"/>
        </w:rPr>
      </w:pPr>
      <w:r>
        <w:rPr>
          <w:rFonts w:ascii="Century" w:eastAsia="Century" w:hAnsi="Century" w:cs="Century"/>
          <w:sz w:val="18"/>
          <w:szCs w:val="18"/>
        </w:rPr>
        <w:t>To maintain the authenticity and accuracy of responses, the researcher personally distributed and retrieved the questionnaires from the participating schools. Respondents were briefed</w:t>
      </w:r>
      <w:r>
        <w:rPr>
          <w:rFonts w:ascii="Century" w:eastAsia="Century" w:hAnsi="Century" w:cs="Century"/>
          <w:sz w:val="18"/>
          <w:szCs w:val="18"/>
        </w:rPr>
        <w:t xml:space="preserve"> on the purpose of the study and assured of the confidentiality and voluntary nature of their participation. The data collection process was conducted over a period of one month, providing ample time for completion and retrieval of responses from all selec</w:t>
      </w:r>
      <w:r>
        <w:rPr>
          <w:rFonts w:ascii="Century" w:eastAsia="Century" w:hAnsi="Century" w:cs="Century"/>
          <w:sz w:val="18"/>
          <w:szCs w:val="18"/>
        </w:rPr>
        <w:t>ted schools.</w:t>
      </w:r>
    </w:p>
    <w:p w14:paraId="5A5566FD" w14:textId="77777777" w:rsidR="00A97DC5" w:rsidRDefault="00FC534B">
      <w:pPr>
        <w:spacing w:before="120" w:after="0"/>
        <w:jc w:val="both"/>
        <w:rPr>
          <w:rFonts w:ascii="Century" w:eastAsia="Century" w:hAnsi="Century" w:cs="Century"/>
          <w:i/>
        </w:rPr>
      </w:pPr>
      <w:r>
        <w:rPr>
          <w:rFonts w:ascii="Century" w:eastAsia="Century" w:hAnsi="Century" w:cs="Century"/>
          <w:i/>
        </w:rPr>
        <w:t>2.9 Statistical Treatment of Data</w:t>
      </w:r>
    </w:p>
    <w:p w14:paraId="195CEFDF" w14:textId="77777777" w:rsidR="00A97DC5" w:rsidRDefault="00FC534B">
      <w:pPr>
        <w:spacing w:before="200" w:after="0"/>
        <w:jc w:val="both"/>
        <w:rPr>
          <w:rFonts w:ascii="Century" w:eastAsia="Century" w:hAnsi="Century" w:cs="Century"/>
          <w:sz w:val="18"/>
          <w:szCs w:val="18"/>
        </w:rPr>
      </w:pPr>
      <w:r>
        <w:rPr>
          <w:rFonts w:ascii="Century" w:eastAsia="Century" w:hAnsi="Century" w:cs="Century"/>
          <w:sz w:val="18"/>
          <w:szCs w:val="18"/>
        </w:rPr>
        <w:t>To ensure a systematic and comprehensive analysis of the data gathered in this study, both descriptive and inferential statistical methods were employed.</w:t>
      </w:r>
    </w:p>
    <w:p w14:paraId="1D6B106F" w14:textId="77777777" w:rsidR="00A97DC5" w:rsidRDefault="00FC534B">
      <w:pPr>
        <w:spacing w:before="200" w:after="0"/>
        <w:jc w:val="both"/>
        <w:rPr>
          <w:rFonts w:ascii="Century" w:eastAsia="Century" w:hAnsi="Century" w:cs="Century"/>
          <w:sz w:val="18"/>
          <w:szCs w:val="18"/>
        </w:rPr>
      </w:pPr>
      <w:r>
        <w:rPr>
          <w:rFonts w:ascii="Century" w:eastAsia="Century" w:hAnsi="Century" w:cs="Century"/>
          <w:sz w:val="18"/>
          <w:szCs w:val="18"/>
        </w:rPr>
        <w:t xml:space="preserve">Frequency counts and percentages were used to describe </w:t>
      </w:r>
      <w:r>
        <w:rPr>
          <w:rFonts w:ascii="Century" w:eastAsia="Century" w:hAnsi="Century" w:cs="Century"/>
          <w:sz w:val="18"/>
          <w:szCs w:val="18"/>
        </w:rPr>
        <w:t>the socio-demographic profile of the principal-respondents, including their sex, highest educational attainment, eligibility, years of administrative experience, and training attended. These statistics provided a clear overview of the background characteri</w:t>
      </w:r>
      <w:r>
        <w:rPr>
          <w:rFonts w:ascii="Century" w:eastAsia="Century" w:hAnsi="Century" w:cs="Century"/>
          <w:sz w:val="18"/>
          <w:szCs w:val="18"/>
        </w:rPr>
        <w:t>stics of the school leaders involved in the study.</w:t>
      </w:r>
    </w:p>
    <w:p w14:paraId="2F6244AC" w14:textId="77777777" w:rsidR="00A97DC5" w:rsidRDefault="00FC534B">
      <w:pPr>
        <w:spacing w:before="200" w:after="0"/>
        <w:jc w:val="both"/>
        <w:rPr>
          <w:rFonts w:ascii="Century" w:eastAsia="Century" w:hAnsi="Century" w:cs="Century"/>
          <w:sz w:val="18"/>
          <w:szCs w:val="18"/>
        </w:rPr>
      </w:pPr>
      <w:r>
        <w:rPr>
          <w:rFonts w:ascii="Century" w:eastAsia="Century" w:hAnsi="Century" w:cs="Century"/>
          <w:sz w:val="18"/>
          <w:szCs w:val="18"/>
        </w:rPr>
        <w:t>Means and ranks were applied to analyze the principals’ servant leadership profiles and dimensions, specifically focusing on character orientation, people orientation, task orientation, and process orienta</w:t>
      </w:r>
      <w:r>
        <w:rPr>
          <w:rFonts w:ascii="Century" w:eastAsia="Century" w:hAnsi="Century" w:cs="Century"/>
          <w:sz w:val="18"/>
          <w:szCs w:val="18"/>
        </w:rPr>
        <w:t>tion, as well as on the six servant leadership practices (conceptualizing, emotional healing, putting followers first, behaving ethically, empowering, and creating value for the community). These measures helped determine the relative strength and consiste</w:t>
      </w:r>
      <w:r>
        <w:rPr>
          <w:rFonts w:ascii="Century" w:eastAsia="Century" w:hAnsi="Century" w:cs="Century"/>
          <w:sz w:val="18"/>
          <w:szCs w:val="18"/>
        </w:rPr>
        <w:t>ncy of servant leadership traits as perceived by the teachers.</w:t>
      </w:r>
    </w:p>
    <w:p w14:paraId="67F145DC" w14:textId="77777777" w:rsidR="00A97DC5" w:rsidRDefault="00FC534B">
      <w:pPr>
        <w:spacing w:before="200" w:after="0"/>
        <w:jc w:val="both"/>
        <w:rPr>
          <w:rFonts w:ascii="Century" w:eastAsia="Century" w:hAnsi="Century" w:cs="Century"/>
          <w:sz w:val="18"/>
          <w:szCs w:val="18"/>
        </w:rPr>
      </w:pPr>
      <w:r>
        <w:rPr>
          <w:rFonts w:ascii="Century" w:eastAsia="Century" w:hAnsi="Century" w:cs="Century"/>
          <w:sz w:val="18"/>
          <w:szCs w:val="18"/>
        </w:rPr>
        <w:t>For hypothesis testing, Pearson product-moment correlation coefficient (Pearson r) was utilized to examine the significant relationships between key variables, including the relationship betwee</w:t>
      </w:r>
      <w:r>
        <w:rPr>
          <w:rFonts w:ascii="Century" w:eastAsia="Century" w:hAnsi="Century" w:cs="Century"/>
          <w:sz w:val="18"/>
          <w:szCs w:val="18"/>
        </w:rPr>
        <w:t xml:space="preserve">n: (1) the principal’s servant leadership profile and servant leadership practices, (2) the principal’s demographic profile and school performance, (3) the servant leadership profile and school performance, and (4) servant leadership practices and teacher </w:t>
      </w:r>
      <w:r>
        <w:rPr>
          <w:rFonts w:ascii="Century" w:eastAsia="Century" w:hAnsi="Century" w:cs="Century"/>
          <w:sz w:val="18"/>
          <w:szCs w:val="18"/>
        </w:rPr>
        <w:t>performance.</w:t>
      </w:r>
    </w:p>
    <w:p w14:paraId="2E11FEC9" w14:textId="77777777" w:rsidR="00A97DC5" w:rsidRDefault="00FC534B">
      <w:pPr>
        <w:spacing w:before="200" w:after="0"/>
        <w:jc w:val="both"/>
        <w:rPr>
          <w:rFonts w:ascii="Century" w:eastAsia="Century" w:hAnsi="Century" w:cs="Century"/>
          <w:sz w:val="18"/>
          <w:szCs w:val="18"/>
        </w:rPr>
      </w:pPr>
      <w:r>
        <w:rPr>
          <w:rFonts w:ascii="Century" w:eastAsia="Century" w:hAnsi="Century" w:cs="Century"/>
          <w:sz w:val="18"/>
          <w:szCs w:val="18"/>
        </w:rPr>
        <w:t>All statistical computations were processed using appropriate statistical software, with a significance level set at 0.05 to determine the acceptance or rejection of the null hypotheses.</w:t>
      </w:r>
    </w:p>
    <w:p w14:paraId="03683426" w14:textId="77777777" w:rsidR="00A97DC5" w:rsidRDefault="00FC534B">
      <w:pPr>
        <w:spacing w:before="200" w:after="0"/>
        <w:jc w:val="both"/>
        <w:rPr>
          <w:rFonts w:ascii="Century" w:eastAsia="Century" w:hAnsi="Century" w:cs="Century"/>
          <w:sz w:val="24"/>
          <w:szCs w:val="24"/>
        </w:rPr>
      </w:pPr>
      <w:r>
        <w:rPr>
          <w:rFonts w:ascii="Century" w:eastAsia="Century" w:hAnsi="Century" w:cs="Century"/>
          <w:sz w:val="24"/>
          <w:szCs w:val="24"/>
        </w:rPr>
        <w:t xml:space="preserve">3. </w:t>
      </w:r>
      <w:commentRangeStart w:id="8"/>
      <w:r>
        <w:rPr>
          <w:rFonts w:ascii="Century" w:eastAsia="Century" w:hAnsi="Century" w:cs="Century"/>
          <w:sz w:val="24"/>
          <w:szCs w:val="24"/>
        </w:rPr>
        <w:t xml:space="preserve">RESULTS </w:t>
      </w:r>
      <w:commentRangeEnd w:id="8"/>
      <w:r w:rsidR="00CD038D">
        <w:rPr>
          <w:rStyle w:val="CommentReference"/>
        </w:rPr>
        <w:commentReference w:id="8"/>
      </w:r>
      <w:r>
        <w:rPr>
          <w:rFonts w:ascii="Century" w:eastAsia="Century" w:hAnsi="Century" w:cs="Century"/>
          <w:sz w:val="24"/>
          <w:szCs w:val="24"/>
        </w:rPr>
        <w:t>AND DISCUSSION</w:t>
      </w:r>
    </w:p>
    <w:p w14:paraId="4FA54216" w14:textId="77777777" w:rsidR="00A97DC5" w:rsidRDefault="00FC534B">
      <w:pPr>
        <w:spacing w:before="120" w:after="0"/>
        <w:jc w:val="both"/>
        <w:rPr>
          <w:rFonts w:ascii="Century" w:eastAsia="Century" w:hAnsi="Century" w:cs="Century"/>
          <w:i/>
        </w:rPr>
      </w:pPr>
      <w:r>
        <w:rPr>
          <w:rFonts w:ascii="Century" w:eastAsia="Century" w:hAnsi="Century" w:cs="Century"/>
          <w:i/>
        </w:rPr>
        <w:t>3.1 Servant leadership profile</w:t>
      </w:r>
      <w:r>
        <w:rPr>
          <w:rFonts w:ascii="Century" w:eastAsia="Century" w:hAnsi="Century" w:cs="Century"/>
          <w:i/>
        </w:rPr>
        <w:t xml:space="preserve"> of the principals</w:t>
      </w:r>
    </w:p>
    <w:p w14:paraId="11E52D3F" w14:textId="77777777" w:rsidR="00A97DC5" w:rsidRDefault="00FC534B">
      <w:pPr>
        <w:spacing w:before="120" w:after="0"/>
        <w:jc w:val="both"/>
        <w:rPr>
          <w:rFonts w:ascii="Century" w:eastAsia="Century" w:hAnsi="Century" w:cs="Century"/>
        </w:rPr>
      </w:pPr>
      <w:r>
        <w:rPr>
          <w:rFonts w:ascii="Century" w:eastAsia="Century" w:hAnsi="Century" w:cs="Century"/>
        </w:rPr>
        <w:t>3.1.1 Leader’s Personal Character and Actions</w:t>
      </w:r>
    </w:p>
    <w:p w14:paraId="200588E7" w14:textId="77777777" w:rsidR="00A97DC5" w:rsidRDefault="00FC534B">
      <w:pPr>
        <w:spacing w:before="200"/>
        <w:jc w:val="both"/>
        <w:rPr>
          <w:rFonts w:ascii="Century" w:eastAsia="Century" w:hAnsi="Century" w:cs="Century"/>
          <w:sz w:val="18"/>
          <w:szCs w:val="18"/>
        </w:rPr>
      </w:pPr>
      <w:r>
        <w:rPr>
          <w:rFonts w:ascii="Century" w:eastAsia="Century" w:hAnsi="Century" w:cs="Century"/>
          <w:sz w:val="18"/>
          <w:szCs w:val="18"/>
        </w:rPr>
        <w:t>Based on the findings in Table 1, the three character orientation dimensions with the highest overall means are Integrity (4.32), Serving Others (4.31), and Humility (4.20)—all rated Exceptio</w:t>
      </w:r>
      <w:r>
        <w:rPr>
          <w:rFonts w:ascii="Century" w:eastAsia="Century" w:hAnsi="Century" w:cs="Century"/>
          <w:sz w:val="18"/>
          <w:szCs w:val="18"/>
        </w:rPr>
        <w:t xml:space="preserve">nal by the respondents. These dimensions reflect the core values of servant leadership and emphasize the importance of character in the exercise of leadership, particularly in educational settings. The findings affirm that school leaders in Northern Samar </w:t>
      </w:r>
      <w:r>
        <w:rPr>
          <w:rFonts w:ascii="Century" w:eastAsia="Century" w:hAnsi="Century" w:cs="Century"/>
          <w:sz w:val="18"/>
          <w:szCs w:val="18"/>
        </w:rPr>
        <w:t xml:space="preserve">are widely </w:t>
      </w:r>
      <w:r>
        <w:rPr>
          <w:rFonts w:ascii="Century" w:eastAsia="Century" w:hAnsi="Century" w:cs="Century"/>
          <w:sz w:val="18"/>
          <w:szCs w:val="18"/>
        </w:rPr>
        <w:lastRenderedPageBreak/>
        <w:t>perceived as value-driven, ethical, and service-oriented.</w:t>
      </w:r>
    </w:p>
    <w:p w14:paraId="0F61D68B" w14:textId="77777777" w:rsidR="00A97DC5" w:rsidRDefault="00FC534B">
      <w:pPr>
        <w:spacing w:before="200"/>
        <w:jc w:val="both"/>
        <w:rPr>
          <w:rFonts w:ascii="Century" w:eastAsia="Century" w:hAnsi="Century" w:cs="Century"/>
          <w:sz w:val="18"/>
          <w:szCs w:val="18"/>
        </w:rPr>
      </w:pPr>
      <w:r>
        <w:rPr>
          <w:rFonts w:ascii="Century" w:eastAsia="Century" w:hAnsi="Century" w:cs="Century"/>
          <w:sz w:val="18"/>
          <w:szCs w:val="18"/>
        </w:rPr>
        <w:t xml:space="preserve">In the dimension of Integrity, leaders were recognized for prioritizing ethical decisions over personal image or approval, embodying a principle-centered leadership style. These </w:t>
      </w:r>
      <w:r>
        <w:rPr>
          <w:rFonts w:ascii="Century" w:eastAsia="Century" w:hAnsi="Century" w:cs="Century"/>
          <w:sz w:val="18"/>
          <w:szCs w:val="18"/>
        </w:rPr>
        <w:t>results echo Walker’s (2003) view that ethical leadership is foundational to servant leadership. Page and Wong (2003) also emphasized that authentic servant leaders act based on moral values, not self-interest. In schools, such integrity fosters trust amon</w:t>
      </w:r>
      <w:r>
        <w:rPr>
          <w:rFonts w:ascii="Century" w:eastAsia="Century" w:hAnsi="Century" w:cs="Century"/>
          <w:sz w:val="18"/>
          <w:szCs w:val="18"/>
        </w:rPr>
        <w:t>g staff, students, and the community.</w:t>
      </w:r>
    </w:p>
    <w:p w14:paraId="3770570E" w14:textId="77777777" w:rsidR="00A97DC5" w:rsidRDefault="00FC534B">
      <w:pPr>
        <w:spacing w:before="200"/>
        <w:jc w:val="both"/>
        <w:rPr>
          <w:rFonts w:ascii="Century" w:eastAsia="Century" w:hAnsi="Century" w:cs="Century"/>
          <w:sz w:val="18"/>
          <w:szCs w:val="18"/>
        </w:rPr>
      </w:pPr>
      <w:r>
        <w:rPr>
          <w:rFonts w:ascii="Century" w:eastAsia="Century" w:hAnsi="Century" w:cs="Century"/>
          <w:sz w:val="18"/>
          <w:szCs w:val="18"/>
        </w:rPr>
        <w:t>The Serving Others dimension also scored highly, indicating that leaders are seen not only as administrators but as compassionate individuals who are genuinely committed to meeting the needs of others. This reflects th</w:t>
      </w:r>
      <w:r>
        <w:rPr>
          <w:rFonts w:ascii="Century" w:eastAsia="Century" w:hAnsi="Century" w:cs="Century"/>
          <w:sz w:val="18"/>
          <w:szCs w:val="18"/>
        </w:rPr>
        <w:t>e inclusive nature of their leadership and aligns with Greenleaf’s original concept of servant leadership, which begins with a natural desire to serve. These findings support Ciriello’s (2006) assertion that true leaders promote equity and inclusion in div</w:t>
      </w:r>
      <w:r>
        <w:rPr>
          <w:rFonts w:ascii="Century" w:eastAsia="Century" w:hAnsi="Century" w:cs="Century"/>
          <w:sz w:val="18"/>
          <w:szCs w:val="18"/>
        </w:rPr>
        <w:t>erse settings. In a multi-ethnic and religiously diverse society like the Philippines, this inclusivity is especially important in ensuring equitable education.</w:t>
      </w:r>
    </w:p>
    <w:p w14:paraId="6BC895A4" w14:textId="77777777" w:rsidR="00A97DC5" w:rsidRDefault="00FC534B">
      <w:pPr>
        <w:spacing w:before="200"/>
        <w:jc w:val="both"/>
        <w:rPr>
          <w:rFonts w:ascii="Century" w:eastAsia="Century" w:hAnsi="Century" w:cs="Century"/>
          <w:sz w:val="18"/>
          <w:szCs w:val="18"/>
        </w:rPr>
      </w:pPr>
      <w:r>
        <w:rPr>
          <w:rFonts w:ascii="Century" w:eastAsia="Century" w:hAnsi="Century" w:cs="Century"/>
          <w:sz w:val="18"/>
          <w:szCs w:val="18"/>
        </w:rPr>
        <w:t>In terms of Humility, leaders were highly rated for their modest and self-effacing leadership p</w:t>
      </w:r>
      <w:r>
        <w:rPr>
          <w:rFonts w:ascii="Century" w:eastAsia="Century" w:hAnsi="Century" w:cs="Century"/>
          <w:sz w:val="18"/>
          <w:szCs w:val="18"/>
        </w:rPr>
        <w:t>ractices. This suggests they are not ego-driven but take joy in the success of others—an essential quality in collaborative educational leadership. These results imply that leaders model accountability and openness. Bryant (2003) and Lubin (2001) both emph</w:t>
      </w:r>
      <w:r>
        <w:rPr>
          <w:rFonts w:ascii="Century" w:eastAsia="Century" w:hAnsi="Century" w:cs="Century"/>
          <w:sz w:val="18"/>
          <w:szCs w:val="18"/>
        </w:rPr>
        <w:t>asized that humility enhances team dynamics and builds credibility in leaders. In schools, this quality fosters a culture of mutual respect and continuous improvement.</w:t>
      </w:r>
    </w:p>
    <w:p w14:paraId="0921A174" w14:textId="77777777" w:rsidR="00A97DC5" w:rsidRDefault="00FC534B">
      <w:pPr>
        <w:spacing w:before="200"/>
        <w:jc w:val="both"/>
        <w:rPr>
          <w:rFonts w:ascii="Century" w:eastAsia="Century" w:hAnsi="Century" w:cs="Century"/>
          <w:sz w:val="18"/>
          <w:szCs w:val="18"/>
        </w:rPr>
      </w:pPr>
      <w:r>
        <w:rPr>
          <w:rFonts w:ascii="Century" w:eastAsia="Century" w:hAnsi="Century" w:cs="Century"/>
          <w:sz w:val="18"/>
          <w:szCs w:val="18"/>
        </w:rPr>
        <w:t>These findings strongly reflect the presence of servant leadership traits among school l</w:t>
      </w:r>
      <w:r>
        <w:rPr>
          <w:rFonts w:ascii="Century" w:eastAsia="Century" w:hAnsi="Century" w:cs="Century"/>
          <w:sz w:val="18"/>
          <w:szCs w:val="18"/>
        </w:rPr>
        <w:t>eaders in Northern Samar</w:t>
      </w:r>
      <w:r>
        <w:rPr>
          <w:rFonts w:ascii="Century" w:eastAsia="Century" w:hAnsi="Century" w:cs="Century"/>
          <w:sz w:val="18"/>
          <w:szCs w:val="18"/>
        </w:rPr>
        <w:t xml:space="preserve">. Whether through integrity, humility, or a commitment to serving others, these leaders are perceived as embodying the values that foster positive school climates and effective educational leadership. These results support existing </w:t>
      </w:r>
      <w:r>
        <w:rPr>
          <w:rFonts w:ascii="Century" w:eastAsia="Century" w:hAnsi="Century" w:cs="Century"/>
          <w:sz w:val="18"/>
          <w:szCs w:val="18"/>
        </w:rPr>
        <w:t>literature while also highlighting the relevance of character-oriented leadership in Philippine educational contexts, where moral leadership and inclusive practices are crucial to school effectiveness and community trust.</w:t>
      </w:r>
    </w:p>
    <w:p w14:paraId="6A3B8FC4" w14:textId="77777777" w:rsidR="00A97DC5" w:rsidRDefault="00FC534B">
      <w:pPr>
        <w:spacing w:before="200"/>
        <w:jc w:val="both"/>
        <w:rPr>
          <w:rFonts w:ascii="Century" w:eastAsia="Century" w:hAnsi="Century" w:cs="Century"/>
          <w:sz w:val="18"/>
          <w:szCs w:val="18"/>
        </w:rPr>
      </w:pPr>
      <w:r>
        <w:rPr>
          <w:rFonts w:ascii="Century" w:eastAsia="Century" w:hAnsi="Century" w:cs="Century"/>
          <w:sz w:val="18"/>
          <w:szCs w:val="18"/>
        </w:rPr>
        <w:t xml:space="preserve">The results in Table 1 also </w:t>
      </w:r>
      <w:r>
        <w:rPr>
          <w:rFonts w:ascii="Century" w:eastAsia="Century" w:hAnsi="Century" w:cs="Century"/>
          <w:sz w:val="18"/>
          <w:szCs w:val="18"/>
        </w:rPr>
        <w:t>reveal that school leaders generally exhibit strong People Orientation, with particular strengths in Caring for Others, Empowering Others, and, to a slightly lesser extent, Developing Others. These dimensions are integral to servant leadership, emphasizing</w:t>
      </w:r>
      <w:r>
        <w:rPr>
          <w:rFonts w:ascii="Century" w:eastAsia="Century" w:hAnsi="Century" w:cs="Century"/>
          <w:sz w:val="18"/>
          <w:szCs w:val="18"/>
        </w:rPr>
        <w:t xml:space="preserve"> interpersonal relationships, support for team growth, and the nurturing of leadership potential within the organization. The Grand Mean of 4.19, interpreted as Strong, suggests a very positive perception of people-oriented leadership among the respondents</w:t>
      </w:r>
      <w:r>
        <w:rPr>
          <w:rFonts w:ascii="Century" w:eastAsia="Century" w:hAnsi="Century" w:cs="Century"/>
          <w:sz w:val="18"/>
          <w:szCs w:val="18"/>
        </w:rPr>
        <w:t>.</w:t>
      </w:r>
    </w:p>
    <w:p w14:paraId="0A074DFD" w14:textId="77777777" w:rsidR="00A97DC5" w:rsidRDefault="00FC534B">
      <w:pPr>
        <w:spacing w:before="200"/>
        <w:jc w:val="both"/>
        <w:rPr>
          <w:rFonts w:ascii="Century" w:eastAsia="Century" w:hAnsi="Century" w:cs="Century"/>
          <w:sz w:val="18"/>
          <w:szCs w:val="18"/>
        </w:rPr>
      </w:pPr>
      <w:r>
        <w:rPr>
          <w:rFonts w:ascii="Century" w:eastAsia="Century" w:hAnsi="Century" w:cs="Century"/>
          <w:sz w:val="18"/>
          <w:szCs w:val="18"/>
        </w:rPr>
        <w:t>In the Caring for Others dimension, leaders were rated Exceptional, suggesting a deep appreciation for those who show authentic concern for staff well-being. These findings support Page and Wong’s (2003) contention that servant leaders build trust throug</w:t>
      </w:r>
      <w:r>
        <w:rPr>
          <w:rFonts w:ascii="Century" w:eastAsia="Century" w:hAnsi="Century" w:cs="Century"/>
          <w:sz w:val="18"/>
          <w:szCs w:val="18"/>
        </w:rPr>
        <w:t>h compassion and active presence. However, some items were rated slightly lower, indicating possible variability in leaders' perceived approachability and empathetic listening.</w:t>
      </w:r>
    </w:p>
    <w:p w14:paraId="55479915" w14:textId="77777777" w:rsidR="00A97DC5" w:rsidRDefault="00FC534B">
      <w:pPr>
        <w:spacing w:before="200"/>
        <w:jc w:val="both"/>
        <w:rPr>
          <w:rFonts w:ascii="Century" w:eastAsia="Century" w:hAnsi="Century" w:cs="Century"/>
          <w:sz w:val="18"/>
          <w:szCs w:val="18"/>
        </w:rPr>
      </w:pPr>
      <w:r>
        <w:rPr>
          <w:rFonts w:ascii="Century" w:eastAsia="Century" w:hAnsi="Century" w:cs="Century"/>
          <w:sz w:val="18"/>
          <w:szCs w:val="18"/>
        </w:rPr>
        <w:t>The Empowering Others dimension also received an Exceptional rating overall. Re</w:t>
      </w:r>
      <w:r>
        <w:rPr>
          <w:rFonts w:ascii="Century" w:eastAsia="Century" w:hAnsi="Century" w:cs="Century"/>
          <w:sz w:val="18"/>
          <w:szCs w:val="18"/>
        </w:rPr>
        <w:t>spondents viewed school leaders as supportive of staff autonomy and engagement—key components of empowering leadership. This supports Lubin’s (2001) assertion that servant leadership fosters environments where individuals are encouraged to grow through res</w:t>
      </w:r>
      <w:r>
        <w:rPr>
          <w:rFonts w:ascii="Century" w:eastAsia="Century" w:hAnsi="Century" w:cs="Century"/>
          <w:sz w:val="18"/>
          <w:szCs w:val="18"/>
        </w:rPr>
        <w:t>ponsibility and initiative. Nonetheless, slightly lower ratings on one item suggest some hesitance or perceived limitations in risk-taking or tolerance for failure within the school leadership context.</w:t>
      </w:r>
    </w:p>
    <w:p w14:paraId="36C8A0FB" w14:textId="77777777" w:rsidR="00A97DC5" w:rsidRDefault="00FC534B">
      <w:pPr>
        <w:spacing w:before="200"/>
        <w:jc w:val="both"/>
        <w:rPr>
          <w:rFonts w:ascii="Century" w:eastAsia="Century" w:hAnsi="Century" w:cs="Century"/>
          <w:sz w:val="18"/>
          <w:szCs w:val="18"/>
        </w:rPr>
      </w:pPr>
      <w:r>
        <w:rPr>
          <w:rFonts w:ascii="Century" w:eastAsia="Century" w:hAnsi="Century" w:cs="Century"/>
          <w:sz w:val="18"/>
          <w:szCs w:val="18"/>
        </w:rPr>
        <w:t>In the dimension of Developing Others, the overall mea</w:t>
      </w:r>
      <w:r>
        <w:rPr>
          <w:rFonts w:ascii="Century" w:eastAsia="Century" w:hAnsi="Century" w:cs="Century"/>
          <w:sz w:val="18"/>
          <w:szCs w:val="18"/>
        </w:rPr>
        <w:t>n was slightly lower at 4.14 (Strong). This suggests that while leaders are perceived as supporting personal growth and leadership development, there may still be room for enhancing mentorship and leadership cultivation efforts. These findings align with C</w:t>
      </w:r>
      <w:r>
        <w:rPr>
          <w:rFonts w:ascii="Century" w:eastAsia="Century" w:hAnsi="Century" w:cs="Century"/>
          <w:sz w:val="18"/>
          <w:szCs w:val="18"/>
        </w:rPr>
        <w:t>iriello’s (2006) view that servant leaders develop others not only through training but also by inspiring self-improvement.</w:t>
      </w:r>
    </w:p>
    <w:p w14:paraId="49D49BAB" w14:textId="77777777" w:rsidR="00A97DC5" w:rsidRDefault="00FC534B">
      <w:pPr>
        <w:spacing w:before="200"/>
        <w:jc w:val="both"/>
        <w:rPr>
          <w:rFonts w:ascii="Century" w:eastAsia="Century" w:hAnsi="Century" w:cs="Century"/>
        </w:rPr>
      </w:pPr>
      <w:commentRangeStart w:id="9"/>
      <w:r>
        <w:rPr>
          <w:rFonts w:ascii="Century" w:eastAsia="Century" w:hAnsi="Century" w:cs="Century"/>
          <w:sz w:val="18"/>
          <w:szCs w:val="18"/>
        </w:rPr>
        <w:t>Overall, the results show that school leaders in Northern Samar are perceived as caring, empowering, and value-driven individuals—st</w:t>
      </w:r>
      <w:r>
        <w:rPr>
          <w:rFonts w:ascii="Century" w:eastAsia="Century" w:hAnsi="Century" w:cs="Century"/>
          <w:sz w:val="18"/>
          <w:szCs w:val="18"/>
        </w:rPr>
        <w:t>rongly reflecting the ideals of servant leadership</w:t>
      </w:r>
      <w:commentRangeEnd w:id="9"/>
      <w:r w:rsidR="00CD038D">
        <w:rPr>
          <w:rStyle w:val="CommentReference"/>
        </w:rPr>
        <w:commentReference w:id="9"/>
      </w:r>
      <w:r>
        <w:rPr>
          <w:rFonts w:ascii="Century" w:eastAsia="Century" w:hAnsi="Century" w:cs="Century"/>
          <w:sz w:val="18"/>
          <w:szCs w:val="18"/>
        </w:rPr>
        <w:t xml:space="preserve">. While there is slightly less emphasis on leadership development compared to other people-oriented traits, the general perception remains highly positive. These results affirm the </w:t>
      </w:r>
      <w:r>
        <w:rPr>
          <w:rFonts w:ascii="Century" w:eastAsia="Century" w:hAnsi="Century" w:cs="Century"/>
          <w:sz w:val="18"/>
          <w:szCs w:val="18"/>
        </w:rPr>
        <w:lastRenderedPageBreak/>
        <w:t>importance of servant lea</w:t>
      </w:r>
      <w:r>
        <w:rPr>
          <w:rFonts w:ascii="Century" w:eastAsia="Century" w:hAnsi="Century" w:cs="Century"/>
          <w:sz w:val="18"/>
          <w:szCs w:val="18"/>
        </w:rPr>
        <w:t>dership in fostering effective and ethical educational environments.</w:t>
      </w:r>
    </w:p>
    <w:p w14:paraId="7C64CAD4" w14:textId="77777777" w:rsidR="00A97DC5" w:rsidRDefault="00FC534B">
      <w:pPr>
        <w:spacing w:before="200"/>
        <w:jc w:val="both"/>
        <w:rPr>
          <w:rFonts w:ascii="Century" w:eastAsia="Century" w:hAnsi="Century" w:cs="Century"/>
          <w:sz w:val="18"/>
          <w:szCs w:val="18"/>
        </w:rPr>
      </w:pPr>
      <w:r>
        <w:rPr>
          <w:rFonts w:ascii="Century" w:eastAsia="Century" w:hAnsi="Century" w:cs="Century"/>
          <w:sz w:val="18"/>
          <w:szCs w:val="18"/>
        </w:rPr>
        <w:t>Meanwhile, in terms of process orientation of school leaders in Northern Samar, as reflected in the dimensions of Visioning, Goal Setting, Leading, Modelling, Team Building, and Shared De</w:t>
      </w:r>
      <w:r>
        <w:rPr>
          <w:rFonts w:ascii="Century" w:eastAsia="Century" w:hAnsi="Century" w:cs="Century"/>
          <w:sz w:val="18"/>
          <w:szCs w:val="18"/>
        </w:rPr>
        <w:t>cision-Making. The overall results reflect a strong and consistent emphasis on both achieving organizational goals and fostering inclusive, collaborative processes. The Grand Mean ratings across all dimensions indicate an Exceptional level of servant leade</w:t>
      </w:r>
      <w:r>
        <w:rPr>
          <w:rFonts w:ascii="Century" w:eastAsia="Century" w:hAnsi="Century" w:cs="Century"/>
          <w:sz w:val="18"/>
          <w:szCs w:val="18"/>
        </w:rPr>
        <w:t>rship.</w:t>
      </w:r>
    </w:p>
    <w:p w14:paraId="41C633CE" w14:textId="77777777" w:rsidR="00A97DC5" w:rsidRDefault="00FC534B">
      <w:pPr>
        <w:spacing w:before="200"/>
        <w:jc w:val="both"/>
        <w:rPr>
          <w:rFonts w:ascii="Century" w:eastAsia="Century" w:hAnsi="Century" w:cs="Century"/>
          <w:sz w:val="18"/>
          <w:szCs w:val="18"/>
        </w:rPr>
      </w:pPr>
      <w:r>
        <w:rPr>
          <w:rFonts w:ascii="Century" w:eastAsia="Century" w:hAnsi="Century" w:cs="Century"/>
          <w:sz w:val="18"/>
          <w:szCs w:val="18"/>
        </w:rPr>
        <w:t>In the Visioning dimension, the overall mean was 4.26, indicating that most principals demonstrated a clear alignment with their schools’ vision and mission. These findings align with Greenleaf’s (1970) concept of servant leadership, which emphasize</w:t>
      </w:r>
      <w:r>
        <w:rPr>
          <w:rFonts w:ascii="Century" w:eastAsia="Century" w:hAnsi="Century" w:cs="Century"/>
          <w:sz w:val="18"/>
          <w:szCs w:val="18"/>
        </w:rPr>
        <w:t xml:space="preserve">s that effective leaders possess a sense of higher calling and commit themselves to a vision that transcends self-interest. This also supports </w:t>
      </w:r>
      <w:proofErr w:type="spellStart"/>
      <w:r>
        <w:rPr>
          <w:rFonts w:ascii="Century" w:eastAsia="Century" w:hAnsi="Century" w:cs="Century"/>
          <w:sz w:val="18"/>
          <w:szCs w:val="18"/>
        </w:rPr>
        <w:t>Sergiovanni’s</w:t>
      </w:r>
      <w:proofErr w:type="spellEnd"/>
      <w:r>
        <w:rPr>
          <w:rFonts w:ascii="Century" w:eastAsia="Century" w:hAnsi="Century" w:cs="Century"/>
          <w:sz w:val="18"/>
          <w:szCs w:val="18"/>
        </w:rPr>
        <w:t xml:space="preserve"> (1992) notion of moral leadership, where school heads lead with purpose and value-driven conviction</w:t>
      </w:r>
      <w:r>
        <w:rPr>
          <w:rFonts w:ascii="Century" w:eastAsia="Century" w:hAnsi="Century" w:cs="Century"/>
          <w:sz w:val="18"/>
          <w:szCs w:val="18"/>
        </w:rPr>
        <w:t>.</w:t>
      </w:r>
    </w:p>
    <w:p w14:paraId="6BBE4B5D" w14:textId="77777777" w:rsidR="00A97DC5" w:rsidRDefault="00FC534B">
      <w:pPr>
        <w:spacing w:before="200"/>
        <w:jc w:val="both"/>
        <w:rPr>
          <w:rFonts w:ascii="Century" w:eastAsia="Century" w:hAnsi="Century" w:cs="Century"/>
          <w:sz w:val="18"/>
          <w:szCs w:val="18"/>
        </w:rPr>
      </w:pPr>
      <w:r>
        <w:rPr>
          <w:rFonts w:ascii="Century" w:eastAsia="Century" w:hAnsi="Century" w:cs="Century"/>
          <w:sz w:val="18"/>
          <w:szCs w:val="18"/>
        </w:rPr>
        <w:t>The Goal Setting dimension recorded the highest overall mean among the task orientation components at 4.37. Principals were recognized as focused, disciplined, and results-oriented. These findings are consistent with Covey’s (2002) model of principle-cen</w:t>
      </w:r>
      <w:r>
        <w:rPr>
          <w:rFonts w:ascii="Century" w:eastAsia="Century" w:hAnsi="Century" w:cs="Century"/>
          <w:sz w:val="18"/>
          <w:szCs w:val="18"/>
        </w:rPr>
        <w:t>tered leadership, which highlights the importance of discipline, accountability, and aligning goals with core values. It also resonates with Bass’s (2016) assertion that transformational leaders foster organizational growth by setting high performance expe</w:t>
      </w:r>
      <w:r>
        <w:rPr>
          <w:rFonts w:ascii="Century" w:eastAsia="Century" w:hAnsi="Century" w:cs="Century"/>
          <w:sz w:val="18"/>
          <w:szCs w:val="18"/>
        </w:rPr>
        <w:t>ctations and empowering others to achieve them.</w:t>
      </w:r>
    </w:p>
    <w:p w14:paraId="7E5E0D57" w14:textId="77777777" w:rsidR="00A97DC5" w:rsidRDefault="00FC534B">
      <w:pPr>
        <w:spacing w:before="200"/>
        <w:jc w:val="both"/>
        <w:rPr>
          <w:rFonts w:ascii="Century" w:eastAsia="Century" w:hAnsi="Century" w:cs="Century"/>
          <w:sz w:val="18"/>
          <w:szCs w:val="18"/>
        </w:rPr>
      </w:pPr>
      <w:r>
        <w:rPr>
          <w:rFonts w:ascii="Century" w:eastAsia="Century" w:hAnsi="Century" w:cs="Century"/>
          <w:sz w:val="18"/>
          <w:szCs w:val="18"/>
        </w:rPr>
        <w:t>The Leading dimension also received an Exceptional overall mean of 4.26, indicating that principals are not only visionary and goal-oriented but are also perceived as effective implementers. These findings su</w:t>
      </w:r>
      <w:r>
        <w:rPr>
          <w:rFonts w:ascii="Century" w:eastAsia="Century" w:hAnsi="Century" w:cs="Century"/>
          <w:sz w:val="18"/>
          <w:szCs w:val="18"/>
        </w:rPr>
        <w:t>pport Humphrey (2005) framework of leadership effectiveness, which suggests that leaders influence through shared purpose, clear communication, and consistent follow-through. Slightly lower scores in some areas may suggest room for growth in strategic dele</w:t>
      </w:r>
      <w:r>
        <w:rPr>
          <w:rFonts w:ascii="Century" w:eastAsia="Century" w:hAnsi="Century" w:cs="Century"/>
          <w:sz w:val="18"/>
          <w:szCs w:val="18"/>
        </w:rPr>
        <w:t>gation and assertive decision-making—skills discussed by Wheatley (2002), who argued that servant leaders must act with courage and foresight, particularly when navigating complex organizational challenges.</w:t>
      </w:r>
    </w:p>
    <w:p w14:paraId="7932CBCC" w14:textId="77777777" w:rsidR="00A97DC5" w:rsidRDefault="00FC534B">
      <w:pPr>
        <w:spacing w:before="200"/>
        <w:jc w:val="both"/>
        <w:rPr>
          <w:rFonts w:ascii="Century" w:eastAsia="Century" w:hAnsi="Century" w:cs="Century"/>
          <w:sz w:val="18"/>
          <w:szCs w:val="18"/>
        </w:rPr>
      </w:pPr>
      <w:r>
        <w:rPr>
          <w:rFonts w:ascii="Century" w:eastAsia="Century" w:hAnsi="Century" w:cs="Century"/>
          <w:sz w:val="18"/>
          <w:szCs w:val="18"/>
        </w:rPr>
        <w:t>In terms of Process Orientation, the overall resu</w:t>
      </w:r>
      <w:r>
        <w:rPr>
          <w:rFonts w:ascii="Century" w:eastAsia="Century" w:hAnsi="Century" w:cs="Century"/>
          <w:sz w:val="18"/>
          <w:szCs w:val="18"/>
        </w:rPr>
        <w:t xml:space="preserve">lts were also highly favorable. The dimension of </w:t>
      </w:r>
      <w:r>
        <w:rPr>
          <w:rFonts w:ascii="Century" w:eastAsia="Century" w:hAnsi="Century" w:cs="Century"/>
          <w:sz w:val="18"/>
          <w:szCs w:val="18"/>
        </w:rPr>
        <w:t xml:space="preserve">Modelling recorded a strong mean, indicating that leaders were viewed as role models who embody the values they promote. This supports </w:t>
      </w:r>
      <w:proofErr w:type="spellStart"/>
      <w:r>
        <w:rPr>
          <w:rFonts w:ascii="Century" w:eastAsia="Century" w:hAnsi="Century" w:cs="Century"/>
          <w:sz w:val="18"/>
          <w:szCs w:val="18"/>
        </w:rPr>
        <w:t>Sergiovanni’s</w:t>
      </w:r>
      <w:proofErr w:type="spellEnd"/>
      <w:r>
        <w:rPr>
          <w:rFonts w:ascii="Century" w:eastAsia="Century" w:hAnsi="Century" w:cs="Century"/>
          <w:sz w:val="18"/>
          <w:szCs w:val="18"/>
        </w:rPr>
        <w:t xml:space="preserve"> (1992) view of leadership as stewardship, where leaders mu</w:t>
      </w:r>
      <w:r>
        <w:rPr>
          <w:rFonts w:ascii="Century" w:eastAsia="Century" w:hAnsi="Century" w:cs="Century"/>
          <w:sz w:val="18"/>
          <w:szCs w:val="18"/>
        </w:rPr>
        <w:t>st authentically live out values of service, humility, and responsibility. Greenleaf (1977) likewise emphasized that servant leaders must “model the way,” setting the standard for ethical and service-oriented behavior.</w:t>
      </w:r>
    </w:p>
    <w:p w14:paraId="2CC1416E" w14:textId="77777777" w:rsidR="00A97DC5" w:rsidRDefault="00FC534B">
      <w:pPr>
        <w:spacing w:before="200"/>
        <w:jc w:val="both"/>
        <w:rPr>
          <w:rFonts w:ascii="Century" w:eastAsia="Century" w:hAnsi="Century" w:cs="Century"/>
          <w:sz w:val="18"/>
          <w:szCs w:val="18"/>
        </w:rPr>
      </w:pPr>
      <w:r>
        <w:rPr>
          <w:rFonts w:ascii="Century" w:eastAsia="Century" w:hAnsi="Century" w:cs="Century"/>
          <w:sz w:val="18"/>
          <w:szCs w:val="18"/>
        </w:rPr>
        <w:t>In the Team Building dimension, schoo</w:t>
      </w:r>
      <w:r>
        <w:rPr>
          <w:rFonts w:ascii="Century" w:eastAsia="Century" w:hAnsi="Century" w:cs="Century"/>
          <w:sz w:val="18"/>
          <w:szCs w:val="18"/>
        </w:rPr>
        <w:t>l leaders were perceived as cultivating strong team relationships built on trust, shared vision, and collaboration. These practices reflect Covey’s (2002) principle-centered leadership, which emphasizes cohesion and affirmation within high-performing organ</w:t>
      </w:r>
      <w:r>
        <w:rPr>
          <w:rFonts w:ascii="Century" w:eastAsia="Century" w:hAnsi="Century" w:cs="Century"/>
          <w:sz w:val="18"/>
          <w:szCs w:val="18"/>
        </w:rPr>
        <w:t>izations. Crippen’s (2010) perspective on servant leadership also aligns with these findings, suggesting that recognizing individual contributions leads to more inclusive and empowered school communities.</w:t>
      </w:r>
    </w:p>
    <w:p w14:paraId="0CF7D73B" w14:textId="77777777" w:rsidR="00A97DC5" w:rsidRDefault="00FC534B">
      <w:pPr>
        <w:spacing w:before="200"/>
        <w:jc w:val="both"/>
        <w:rPr>
          <w:rFonts w:ascii="Century" w:eastAsia="Century" w:hAnsi="Century" w:cs="Century"/>
          <w:sz w:val="18"/>
          <w:szCs w:val="18"/>
        </w:rPr>
      </w:pPr>
      <w:r>
        <w:rPr>
          <w:rFonts w:ascii="Century" w:eastAsia="Century" w:hAnsi="Century" w:cs="Century"/>
          <w:sz w:val="18"/>
          <w:szCs w:val="18"/>
        </w:rPr>
        <w:t xml:space="preserve">The Shared Decision-Making dimension also received </w:t>
      </w:r>
      <w:r>
        <w:rPr>
          <w:rFonts w:ascii="Century" w:eastAsia="Century" w:hAnsi="Century" w:cs="Century"/>
          <w:sz w:val="18"/>
          <w:szCs w:val="18"/>
        </w:rPr>
        <w:t xml:space="preserve">strong ratings, reflecting openness among leaders in distributing authority and fostering participative leadership. This finding aligns with Spears’ (2004) ten characteristics of servant leadership, particularly persuasion, listening, and awareness, which </w:t>
      </w:r>
      <w:r>
        <w:rPr>
          <w:rFonts w:ascii="Century" w:eastAsia="Century" w:hAnsi="Century" w:cs="Century"/>
          <w:sz w:val="18"/>
          <w:szCs w:val="18"/>
        </w:rPr>
        <w:t>promote shared responsibility. It also supports Hersey et al. (2001) concept of situational leadership, where empowering others enhances morale and responsiveness.</w:t>
      </w:r>
    </w:p>
    <w:p w14:paraId="1B08A3BD" w14:textId="77777777" w:rsidR="00A97DC5" w:rsidRDefault="00FC534B">
      <w:pPr>
        <w:spacing w:before="200"/>
        <w:jc w:val="both"/>
        <w:rPr>
          <w:rFonts w:ascii="Century" w:eastAsia="Century" w:hAnsi="Century" w:cs="Century"/>
          <w:sz w:val="18"/>
          <w:szCs w:val="18"/>
        </w:rPr>
      </w:pPr>
      <w:r>
        <w:rPr>
          <w:rFonts w:ascii="Century" w:eastAsia="Century" w:hAnsi="Century" w:cs="Century"/>
          <w:sz w:val="18"/>
          <w:szCs w:val="18"/>
        </w:rPr>
        <w:t>Taken together, the overall Grand Mean for the combined dimensions was 4.28, reflecting a hi</w:t>
      </w:r>
      <w:r>
        <w:rPr>
          <w:rFonts w:ascii="Century" w:eastAsia="Century" w:hAnsi="Century" w:cs="Century"/>
          <w:sz w:val="18"/>
          <w:szCs w:val="18"/>
        </w:rPr>
        <w:t>ghly commendable level of task- and process-oriented servant leadership. School leaders in Northern Samar were widely perceived as purpose-driven, collaborative, and values-based in their leadership practices. These findings reinforce Wheatley’s (2002) ass</w:t>
      </w:r>
      <w:r>
        <w:rPr>
          <w:rFonts w:ascii="Century" w:eastAsia="Century" w:hAnsi="Century" w:cs="Century"/>
          <w:sz w:val="18"/>
          <w:szCs w:val="18"/>
        </w:rPr>
        <w:t>ertion that servant leaders act courageously by nurturing trust, collective action, and organizational coherence. By emphasizing both clear direction and inclusive systems, these leaders contribute meaningfully to the development of ethical, effective, and</w:t>
      </w:r>
      <w:r>
        <w:rPr>
          <w:rFonts w:ascii="Century" w:eastAsia="Century" w:hAnsi="Century" w:cs="Century"/>
          <w:sz w:val="18"/>
          <w:szCs w:val="18"/>
        </w:rPr>
        <w:t xml:space="preserve"> sustainable school communities.</w:t>
      </w:r>
    </w:p>
    <w:p w14:paraId="357E5111" w14:textId="77777777" w:rsidR="00A97DC5" w:rsidRDefault="00FC534B">
      <w:pPr>
        <w:spacing w:before="200" w:after="0"/>
        <w:rPr>
          <w:rFonts w:ascii="Century" w:eastAsia="Century" w:hAnsi="Century" w:cs="Century"/>
          <w:sz w:val="18"/>
          <w:szCs w:val="18"/>
        </w:rPr>
      </w:pPr>
      <w:r>
        <w:rPr>
          <w:rFonts w:ascii="Century" w:eastAsia="Century" w:hAnsi="Century" w:cs="Century"/>
          <w:sz w:val="18"/>
          <w:szCs w:val="18"/>
        </w:rPr>
        <w:t>Table 1. Character Orientation and People Orientation</w:t>
      </w:r>
    </w:p>
    <w:tbl>
      <w:tblPr>
        <w:tblStyle w:val="a"/>
        <w:tblW w:w="445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61"/>
        <w:gridCol w:w="1297"/>
        <w:gridCol w:w="1297"/>
      </w:tblGrid>
      <w:tr w:rsidR="00A97DC5" w14:paraId="77FD156C" w14:textId="77777777">
        <w:tc>
          <w:tcPr>
            <w:tcW w:w="1860" w:type="dxa"/>
            <w:tcBorders>
              <w:top w:val="single" w:sz="4" w:space="0" w:color="000000"/>
              <w:left w:val="nil"/>
              <w:bottom w:val="single" w:sz="4" w:space="0" w:color="000000"/>
              <w:right w:val="nil"/>
            </w:tcBorders>
            <w:shd w:val="clear" w:color="auto" w:fill="auto"/>
            <w:tcMar>
              <w:top w:w="0" w:type="dxa"/>
              <w:left w:w="0" w:type="dxa"/>
              <w:bottom w:w="0" w:type="dxa"/>
              <w:right w:w="0" w:type="dxa"/>
            </w:tcMar>
          </w:tcPr>
          <w:p w14:paraId="49F8D6FC" w14:textId="77777777" w:rsidR="00A97DC5" w:rsidRDefault="00FC534B">
            <w:pPr>
              <w:widowControl w:val="0"/>
              <w:spacing w:after="0" w:line="240" w:lineRule="auto"/>
              <w:rPr>
                <w:rFonts w:ascii="Century" w:eastAsia="Century" w:hAnsi="Century" w:cs="Century"/>
                <w:sz w:val="16"/>
                <w:szCs w:val="16"/>
              </w:rPr>
            </w:pPr>
            <w:r>
              <w:rPr>
                <w:rFonts w:ascii="Century" w:eastAsia="Century" w:hAnsi="Century" w:cs="Century"/>
                <w:sz w:val="16"/>
                <w:szCs w:val="16"/>
              </w:rPr>
              <w:t>Character Orientation</w:t>
            </w:r>
          </w:p>
        </w:tc>
        <w:tc>
          <w:tcPr>
            <w:tcW w:w="1297" w:type="dxa"/>
            <w:tcBorders>
              <w:top w:val="single" w:sz="4" w:space="0" w:color="000000"/>
              <w:left w:val="nil"/>
              <w:bottom w:val="single" w:sz="4" w:space="0" w:color="000000"/>
              <w:right w:val="nil"/>
            </w:tcBorders>
            <w:shd w:val="clear" w:color="auto" w:fill="auto"/>
            <w:tcMar>
              <w:top w:w="0" w:type="dxa"/>
              <w:left w:w="0" w:type="dxa"/>
              <w:bottom w:w="0" w:type="dxa"/>
              <w:right w:w="0" w:type="dxa"/>
            </w:tcMar>
          </w:tcPr>
          <w:p w14:paraId="6A5C6B45" w14:textId="77777777" w:rsidR="00A97DC5" w:rsidRDefault="00FC534B">
            <w:pPr>
              <w:widowControl w:val="0"/>
              <w:spacing w:after="0" w:line="240" w:lineRule="auto"/>
              <w:rPr>
                <w:rFonts w:ascii="Century" w:eastAsia="Century" w:hAnsi="Century" w:cs="Century"/>
                <w:sz w:val="16"/>
                <w:szCs w:val="16"/>
              </w:rPr>
            </w:pPr>
            <w:r>
              <w:rPr>
                <w:rFonts w:ascii="Century" w:eastAsia="Century" w:hAnsi="Century" w:cs="Century"/>
                <w:sz w:val="16"/>
                <w:szCs w:val="16"/>
              </w:rPr>
              <w:t>Weighted mean</w:t>
            </w:r>
          </w:p>
        </w:tc>
        <w:tc>
          <w:tcPr>
            <w:tcW w:w="1297" w:type="dxa"/>
            <w:tcBorders>
              <w:top w:val="single" w:sz="4" w:space="0" w:color="000000"/>
              <w:left w:val="nil"/>
              <w:bottom w:val="single" w:sz="4" w:space="0" w:color="000000"/>
              <w:right w:val="nil"/>
            </w:tcBorders>
            <w:shd w:val="clear" w:color="auto" w:fill="auto"/>
            <w:tcMar>
              <w:top w:w="0" w:type="dxa"/>
              <w:left w:w="0" w:type="dxa"/>
              <w:bottom w:w="0" w:type="dxa"/>
              <w:right w:w="0" w:type="dxa"/>
            </w:tcMar>
          </w:tcPr>
          <w:p w14:paraId="768C1B37" w14:textId="77777777" w:rsidR="00A97DC5" w:rsidRDefault="00FC534B">
            <w:pPr>
              <w:widowControl w:val="0"/>
              <w:spacing w:after="0" w:line="240" w:lineRule="auto"/>
              <w:rPr>
                <w:rFonts w:ascii="Century" w:eastAsia="Century" w:hAnsi="Century" w:cs="Century"/>
                <w:sz w:val="16"/>
                <w:szCs w:val="16"/>
              </w:rPr>
            </w:pPr>
            <w:r>
              <w:rPr>
                <w:rFonts w:ascii="Century" w:eastAsia="Century" w:hAnsi="Century" w:cs="Century"/>
                <w:sz w:val="16"/>
                <w:szCs w:val="16"/>
              </w:rPr>
              <w:t>Interpretation</w:t>
            </w:r>
          </w:p>
        </w:tc>
      </w:tr>
      <w:tr w:rsidR="00A97DC5" w14:paraId="56493FC1" w14:textId="77777777">
        <w:tc>
          <w:tcPr>
            <w:tcW w:w="1860" w:type="dxa"/>
            <w:tcBorders>
              <w:top w:val="single" w:sz="4" w:space="0" w:color="000000"/>
              <w:left w:val="nil"/>
              <w:bottom w:val="nil"/>
              <w:right w:val="nil"/>
            </w:tcBorders>
            <w:shd w:val="clear" w:color="auto" w:fill="auto"/>
            <w:tcMar>
              <w:top w:w="0" w:type="dxa"/>
              <w:left w:w="0" w:type="dxa"/>
              <w:bottom w:w="0" w:type="dxa"/>
              <w:right w:w="0" w:type="dxa"/>
            </w:tcMar>
          </w:tcPr>
          <w:p w14:paraId="432BC798" w14:textId="77777777" w:rsidR="00A97DC5" w:rsidRDefault="00FC534B">
            <w:pPr>
              <w:widowControl w:val="0"/>
              <w:spacing w:after="0" w:line="240" w:lineRule="auto"/>
              <w:rPr>
                <w:rFonts w:ascii="Century" w:eastAsia="Century" w:hAnsi="Century" w:cs="Century"/>
                <w:sz w:val="16"/>
                <w:szCs w:val="16"/>
              </w:rPr>
            </w:pPr>
            <w:r>
              <w:rPr>
                <w:rFonts w:ascii="Century" w:eastAsia="Century" w:hAnsi="Century" w:cs="Century"/>
                <w:sz w:val="16"/>
                <w:szCs w:val="16"/>
              </w:rPr>
              <w:t>Integrity</w:t>
            </w:r>
          </w:p>
        </w:tc>
        <w:tc>
          <w:tcPr>
            <w:tcW w:w="1297" w:type="dxa"/>
            <w:tcBorders>
              <w:top w:val="single" w:sz="4" w:space="0" w:color="000000"/>
              <w:left w:val="nil"/>
              <w:bottom w:val="nil"/>
              <w:right w:val="nil"/>
            </w:tcBorders>
            <w:shd w:val="clear" w:color="auto" w:fill="auto"/>
            <w:tcMar>
              <w:top w:w="0" w:type="dxa"/>
              <w:left w:w="0" w:type="dxa"/>
              <w:bottom w:w="0" w:type="dxa"/>
              <w:right w:w="0" w:type="dxa"/>
            </w:tcMar>
          </w:tcPr>
          <w:p w14:paraId="0194F9B3" w14:textId="77777777" w:rsidR="00A97DC5" w:rsidRDefault="00FC534B">
            <w:pPr>
              <w:widowControl w:val="0"/>
              <w:spacing w:after="0" w:line="240" w:lineRule="auto"/>
              <w:rPr>
                <w:rFonts w:ascii="Century" w:eastAsia="Century" w:hAnsi="Century" w:cs="Century"/>
                <w:sz w:val="16"/>
                <w:szCs w:val="16"/>
              </w:rPr>
            </w:pPr>
            <w:r>
              <w:rPr>
                <w:rFonts w:ascii="Century" w:eastAsia="Century" w:hAnsi="Century" w:cs="Century"/>
                <w:sz w:val="16"/>
                <w:szCs w:val="16"/>
              </w:rPr>
              <w:t>4.32</w:t>
            </w:r>
          </w:p>
        </w:tc>
        <w:tc>
          <w:tcPr>
            <w:tcW w:w="1297" w:type="dxa"/>
            <w:tcBorders>
              <w:top w:val="single" w:sz="4" w:space="0" w:color="000000"/>
              <w:left w:val="nil"/>
              <w:bottom w:val="nil"/>
              <w:right w:val="nil"/>
            </w:tcBorders>
            <w:shd w:val="clear" w:color="auto" w:fill="auto"/>
            <w:tcMar>
              <w:top w:w="0" w:type="dxa"/>
              <w:left w:w="0" w:type="dxa"/>
              <w:bottom w:w="0" w:type="dxa"/>
              <w:right w:w="0" w:type="dxa"/>
            </w:tcMar>
          </w:tcPr>
          <w:p w14:paraId="4B3BF595" w14:textId="77777777" w:rsidR="00A97DC5" w:rsidRDefault="00FC534B">
            <w:pPr>
              <w:widowControl w:val="0"/>
              <w:spacing w:after="0" w:line="240" w:lineRule="auto"/>
              <w:rPr>
                <w:rFonts w:ascii="Century" w:eastAsia="Century" w:hAnsi="Century" w:cs="Century"/>
                <w:sz w:val="16"/>
                <w:szCs w:val="16"/>
              </w:rPr>
            </w:pPr>
            <w:r>
              <w:rPr>
                <w:rFonts w:ascii="Century" w:eastAsia="Century" w:hAnsi="Century" w:cs="Century"/>
                <w:sz w:val="16"/>
                <w:szCs w:val="16"/>
              </w:rPr>
              <w:t>Exceptional</w:t>
            </w:r>
          </w:p>
        </w:tc>
      </w:tr>
      <w:tr w:rsidR="00A97DC5" w14:paraId="6451D0EB" w14:textId="77777777">
        <w:tc>
          <w:tcPr>
            <w:tcW w:w="1860" w:type="dxa"/>
            <w:tcBorders>
              <w:top w:val="nil"/>
              <w:left w:val="nil"/>
              <w:bottom w:val="nil"/>
              <w:right w:val="nil"/>
            </w:tcBorders>
            <w:shd w:val="clear" w:color="auto" w:fill="auto"/>
            <w:tcMar>
              <w:top w:w="0" w:type="dxa"/>
              <w:left w:w="0" w:type="dxa"/>
              <w:bottom w:w="0" w:type="dxa"/>
              <w:right w:w="0" w:type="dxa"/>
            </w:tcMar>
          </w:tcPr>
          <w:p w14:paraId="531FA043" w14:textId="77777777" w:rsidR="00A97DC5" w:rsidRDefault="00FC534B">
            <w:pPr>
              <w:widowControl w:val="0"/>
              <w:spacing w:after="0" w:line="240" w:lineRule="auto"/>
              <w:rPr>
                <w:rFonts w:ascii="Century" w:eastAsia="Century" w:hAnsi="Century" w:cs="Century"/>
                <w:sz w:val="16"/>
                <w:szCs w:val="16"/>
              </w:rPr>
            </w:pPr>
            <w:r>
              <w:rPr>
                <w:rFonts w:ascii="Century" w:eastAsia="Century" w:hAnsi="Century" w:cs="Century"/>
                <w:sz w:val="16"/>
                <w:szCs w:val="16"/>
              </w:rPr>
              <w:t>Humility</w:t>
            </w:r>
          </w:p>
        </w:tc>
        <w:tc>
          <w:tcPr>
            <w:tcW w:w="1297" w:type="dxa"/>
            <w:tcBorders>
              <w:top w:val="nil"/>
              <w:left w:val="nil"/>
              <w:bottom w:val="nil"/>
              <w:right w:val="nil"/>
            </w:tcBorders>
            <w:shd w:val="clear" w:color="auto" w:fill="auto"/>
            <w:tcMar>
              <w:top w:w="0" w:type="dxa"/>
              <w:left w:w="0" w:type="dxa"/>
              <w:bottom w:w="0" w:type="dxa"/>
              <w:right w:w="0" w:type="dxa"/>
            </w:tcMar>
          </w:tcPr>
          <w:p w14:paraId="7F53F950" w14:textId="77777777" w:rsidR="00A97DC5" w:rsidRDefault="00FC534B">
            <w:pPr>
              <w:widowControl w:val="0"/>
              <w:spacing w:after="0" w:line="240" w:lineRule="auto"/>
              <w:rPr>
                <w:rFonts w:ascii="Century" w:eastAsia="Century" w:hAnsi="Century" w:cs="Century"/>
                <w:sz w:val="16"/>
                <w:szCs w:val="16"/>
              </w:rPr>
            </w:pPr>
            <w:r>
              <w:rPr>
                <w:rFonts w:ascii="Century" w:eastAsia="Century" w:hAnsi="Century" w:cs="Century"/>
                <w:sz w:val="16"/>
                <w:szCs w:val="16"/>
              </w:rPr>
              <w:t>4.20</w:t>
            </w:r>
          </w:p>
        </w:tc>
        <w:tc>
          <w:tcPr>
            <w:tcW w:w="1297" w:type="dxa"/>
            <w:tcBorders>
              <w:top w:val="nil"/>
              <w:left w:val="nil"/>
              <w:bottom w:val="nil"/>
              <w:right w:val="nil"/>
            </w:tcBorders>
            <w:shd w:val="clear" w:color="auto" w:fill="auto"/>
            <w:tcMar>
              <w:top w:w="0" w:type="dxa"/>
              <w:left w:w="0" w:type="dxa"/>
              <w:bottom w:w="0" w:type="dxa"/>
              <w:right w:w="0" w:type="dxa"/>
            </w:tcMar>
          </w:tcPr>
          <w:p w14:paraId="53905D22" w14:textId="77777777" w:rsidR="00A97DC5" w:rsidRDefault="00FC534B">
            <w:pPr>
              <w:widowControl w:val="0"/>
              <w:spacing w:after="0" w:line="240" w:lineRule="auto"/>
              <w:rPr>
                <w:rFonts w:ascii="Century" w:eastAsia="Century" w:hAnsi="Century" w:cs="Century"/>
                <w:sz w:val="16"/>
                <w:szCs w:val="16"/>
              </w:rPr>
            </w:pPr>
            <w:r>
              <w:rPr>
                <w:rFonts w:ascii="Century" w:eastAsia="Century" w:hAnsi="Century" w:cs="Century"/>
                <w:sz w:val="16"/>
                <w:szCs w:val="16"/>
              </w:rPr>
              <w:t>Exceptional</w:t>
            </w:r>
          </w:p>
        </w:tc>
      </w:tr>
      <w:tr w:rsidR="00A97DC5" w14:paraId="0232D1DD" w14:textId="77777777">
        <w:tc>
          <w:tcPr>
            <w:tcW w:w="1860" w:type="dxa"/>
            <w:tcBorders>
              <w:top w:val="nil"/>
              <w:left w:val="nil"/>
              <w:bottom w:val="single" w:sz="4" w:space="0" w:color="000000"/>
              <w:right w:val="nil"/>
            </w:tcBorders>
            <w:shd w:val="clear" w:color="auto" w:fill="auto"/>
            <w:tcMar>
              <w:top w:w="0" w:type="dxa"/>
              <w:left w:w="0" w:type="dxa"/>
              <w:bottom w:w="0" w:type="dxa"/>
              <w:right w:w="0" w:type="dxa"/>
            </w:tcMar>
          </w:tcPr>
          <w:p w14:paraId="31C8B2F8" w14:textId="77777777" w:rsidR="00A97DC5" w:rsidRDefault="00FC534B">
            <w:pPr>
              <w:widowControl w:val="0"/>
              <w:spacing w:after="0" w:line="240" w:lineRule="auto"/>
              <w:rPr>
                <w:rFonts w:ascii="Century" w:eastAsia="Century" w:hAnsi="Century" w:cs="Century"/>
                <w:sz w:val="16"/>
                <w:szCs w:val="16"/>
              </w:rPr>
            </w:pPr>
            <w:r>
              <w:rPr>
                <w:rFonts w:ascii="Century" w:eastAsia="Century" w:hAnsi="Century" w:cs="Century"/>
                <w:sz w:val="16"/>
                <w:szCs w:val="16"/>
              </w:rPr>
              <w:t>Serving Others</w:t>
            </w:r>
          </w:p>
        </w:tc>
        <w:tc>
          <w:tcPr>
            <w:tcW w:w="1297" w:type="dxa"/>
            <w:tcBorders>
              <w:top w:val="nil"/>
              <w:left w:val="nil"/>
              <w:bottom w:val="single" w:sz="4" w:space="0" w:color="000000"/>
              <w:right w:val="nil"/>
            </w:tcBorders>
            <w:shd w:val="clear" w:color="auto" w:fill="auto"/>
            <w:tcMar>
              <w:top w:w="0" w:type="dxa"/>
              <w:left w:w="0" w:type="dxa"/>
              <w:bottom w:w="0" w:type="dxa"/>
              <w:right w:w="0" w:type="dxa"/>
            </w:tcMar>
          </w:tcPr>
          <w:p w14:paraId="7B86A7A3" w14:textId="77777777" w:rsidR="00A97DC5" w:rsidRDefault="00FC534B">
            <w:pPr>
              <w:widowControl w:val="0"/>
              <w:spacing w:after="0" w:line="240" w:lineRule="auto"/>
              <w:rPr>
                <w:rFonts w:ascii="Century" w:eastAsia="Century" w:hAnsi="Century" w:cs="Century"/>
                <w:sz w:val="16"/>
                <w:szCs w:val="16"/>
              </w:rPr>
            </w:pPr>
            <w:r>
              <w:rPr>
                <w:rFonts w:ascii="Century" w:eastAsia="Century" w:hAnsi="Century" w:cs="Century"/>
                <w:sz w:val="16"/>
                <w:szCs w:val="16"/>
              </w:rPr>
              <w:t>4.31</w:t>
            </w:r>
          </w:p>
        </w:tc>
        <w:tc>
          <w:tcPr>
            <w:tcW w:w="1297" w:type="dxa"/>
            <w:tcBorders>
              <w:top w:val="nil"/>
              <w:left w:val="nil"/>
              <w:bottom w:val="single" w:sz="4" w:space="0" w:color="000000"/>
              <w:right w:val="nil"/>
            </w:tcBorders>
            <w:shd w:val="clear" w:color="auto" w:fill="auto"/>
            <w:tcMar>
              <w:top w:w="0" w:type="dxa"/>
              <w:left w:w="0" w:type="dxa"/>
              <w:bottom w:w="0" w:type="dxa"/>
              <w:right w:w="0" w:type="dxa"/>
            </w:tcMar>
          </w:tcPr>
          <w:p w14:paraId="77DA065B" w14:textId="77777777" w:rsidR="00A97DC5" w:rsidRDefault="00FC534B">
            <w:pPr>
              <w:widowControl w:val="0"/>
              <w:spacing w:after="0" w:line="240" w:lineRule="auto"/>
              <w:rPr>
                <w:rFonts w:ascii="Century" w:eastAsia="Century" w:hAnsi="Century" w:cs="Century"/>
                <w:sz w:val="16"/>
                <w:szCs w:val="16"/>
              </w:rPr>
            </w:pPr>
            <w:r>
              <w:rPr>
                <w:rFonts w:ascii="Century" w:eastAsia="Century" w:hAnsi="Century" w:cs="Century"/>
                <w:sz w:val="16"/>
                <w:szCs w:val="16"/>
              </w:rPr>
              <w:t>Exceptional</w:t>
            </w:r>
          </w:p>
        </w:tc>
      </w:tr>
      <w:tr w:rsidR="00A97DC5" w14:paraId="2BAB7ECC" w14:textId="77777777">
        <w:tc>
          <w:tcPr>
            <w:tcW w:w="1860" w:type="dxa"/>
            <w:tcBorders>
              <w:top w:val="single" w:sz="4" w:space="0" w:color="000000"/>
              <w:left w:val="nil"/>
              <w:bottom w:val="single" w:sz="4" w:space="0" w:color="000000"/>
              <w:right w:val="nil"/>
            </w:tcBorders>
            <w:shd w:val="clear" w:color="auto" w:fill="auto"/>
            <w:tcMar>
              <w:top w:w="0" w:type="dxa"/>
              <w:left w:w="0" w:type="dxa"/>
              <w:bottom w:w="0" w:type="dxa"/>
              <w:right w:w="0" w:type="dxa"/>
            </w:tcMar>
          </w:tcPr>
          <w:p w14:paraId="72A9C80D" w14:textId="77777777" w:rsidR="00A97DC5" w:rsidRDefault="00FC534B">
            <w:pPr>
              <w:widowControl w:val="0"/>
              <w:spacing w:after="0" w:line="240" w:lineRule="auto"/>
              <w:rPr>
                <w:rFonts w:ascii="Century" w:eastAsia="Century" w:hAnsi="Century" w:cs="Century"/>
                <w:sz w:val="16"/>
                <w:szCs w:val="16"/>
              </w:rPr>
            </w:pPr>
            <w:r>
              <w:rPr>
                <w:rFonts w:ascii="Century" w:eastAsia="Century" w:hAnsi="Century" w:cs="Century"/>
                <w:sz w:val="16"/>
                <w:szCs w:val="16"/>
              </w:rPr>
              <w:t>Grand Mean</w:t>
            </w:r>
          </w:p>
        </w:tc>
        <w:tc>
          <w:tcPr>
            <w:tcW w:w="1297" w:type="dxa"/>
            <w:tcBorders>
              <w:top w:val="single" w:sz="4" w:space="0" w:color="000000"/>
              <w:left w:val="nil"/>
              <w:bottom w:val="single" w:sz="4" w:space="0" w:color="000000"/>
              <w:right w:val="nil"/>
            </w:tcBorders>
            <w:shd w:val="clear" w:color="auto" w:fill="auto"/>
            <w:tcMar>
              <w:top w:w="0" w:type="dxa"/>
              <w:left w:w="0" w:type="dxa"/>
              <w:bottom w:w="0" w:type="dxa"/>
              <w:right w:w="0" w:type="dxa"/>
            </w:tcMar>
          </w:tcPr>
          <w:p w14:paraId="766C807A" w14:textId="77777777" w:rsidR="00A97DC5" w:rsidRDefault="00FC534B">
            <w:pPr>
              <w:widowControl w:val="0"/>
              <w:spacing w:after="0" w:line="240" w:lineRule="auto"/>
              <w:rPr>
                <w:rFonts w:ascii="Century" w:eastAsia="Century" w:hAnsi="Century" w:cs="Century"/>
                <w:sz w:val="16"/>
                <w:szCs w:val="16"/>
              </w:rPr>
            </w:pPr>
            <w:r>
              <w:rPr>
                <w:rFonts w:ascii="Century" w:eastAsia="Century" w:hAnsi="Century" w:cs="Century"/>
                <w:sz w:val="16"/>
                <w:szCs w:val="16"/>
              </w:rPr>
              <w:t>4.28</w:t>
            </w:r>
          </w:p>
        </w:tc>
        <w:tc>
          <w:tcPr>
            <w:tcW w:w="1297" w:type="dxa"/>
            <w:tcBorders>
              <w:top w:val="single" w:sz="4" w:space="0" w:color="000000"/>
              <w:left w:val="nil"/>
              <w:bottom w:val="single" w:sz="4" w:space="0" w:color="000000"/>
              <w:right w:val="nil"/>
            </w:tcBorders>
            <w:shd w:val="clear" w:color="auto" w:fill="auto"/>
            <w:tcMar>
              <w:top w:w="0" w:type="dxa"/>
              <w:left w:w="0" w:type="dxa"/>
              <w:bottom w:w="0" w:type="dxa"/>
              <w:right w:w="0" w:type="dxa"/>
            </w:tcMar>
          </w:tcPr>
          <w:p w14:paraId="3B89AC80" w14:textId="77777777" w:rsidR="00A97DC5" w:rsidRDefault="00FC534B">
            <w:pPr>
              <w:widowControl w:val="0"/>
              <w:spacing w:after="0" w:line="240" w:lineRule="auto"/>
              <w:rPr>
                <w:rFonts w:ascii="Century" w:eastAsia="Century" w:hAnsi="Century" w:cs="Century"/>
                <w:sz w:val="16"/>
                <w:szCs w:val="16"/>
              </w:rPr>
            </w:pPr>
            <w:r>
              <w:rPr>
                <w:rFonts w:ascii="Century" w:eastAsia="Century" w:hAnsi="Century" w:cs="Century"/>
                <w:sz w:val="16"/>
                <w:szCs w:val="16"/>
              </w:rPr>
              <w:t>Exceptional</w:t>
            </w:r>
          </w:p>
        </w:tc>
      </w:tr>
      <w:tr w:rsidR="00A97DC5" w14:paraId="3D7EF94A" w14:textId="77777777">
        <w:tc>
          <w:tcPr>
            <w:tcW w:w="1860" w:type="dxa"/>
            <w:tcBorders>
              <w:top w:val="single" w:sz="4" w:space="0" w:color="000000"/>
              <w:left w:val="nil"/>
              <w:bottom w:val="single" w:sz="4" w:space="0" w:color="000000"/>
              <w:right w:val="nil"/>
            </w:tcBorders>
            <w:shd w:val="clear" w:color="auto" w:fill="auto"/>
            <w:tcMar>
              <w:top w:w="0" w:type="dxa"/>
              <w:left w:w="0" w:type="dxa"/>
              <w:bottom w:w="0" w:type="dxa"/>
              <w:right w:w="0" w:type="dxa"/>
            </w:tcMar>
          </w:tcPr>
          <w:p w14:paraId="6D2C18D8" w14:textId="77777777" w:rsidR="00A97DC5" w:rsidRDefault="00FC534B">
            <w:pPr>
              <w:widowControl w:val="0"/>
              <w:spacing w:after="0" w:line="240" w:lineRule="auto"/>
              <w:rPr>
                <w:rFonts w:ascii="Century" w:eastAsia="Century" w:hAnsi="Century" w:cs="Century"/>
                <w:sz w:val="16"/>
                <w:szCs w:val="16"/>
              </w:rPr>
            </w:pPr>
            <w:r>
              <w:rPr>
                <w:rFonts w:ascii="Century" w:eastAsia="Century" w:hAnsi="Century" w:cs="Century"/>
                <w:sz w:val="16"/>
                <w:szCs w:val="16"/>
              </w:rPr>
              <w:t>People Orientation</w:t>
            </w:r>
          </w:p>
        </w:tc>
        <w:tc>
          <w:tcPr>
            <w:tcW w:w="1297" w:type="dxa"/>
            <w:tcBorders>
              <w:top w:val="single" w:sz="4" w:space="0" w:color="000000"/>
              <w:left w:val="nil"/>
              <w:bottom w:val="single" w:sz="4" w:space="0" w:color="000000"/>
              <w:right w:val="nil"/>
            </w:tcBorders>
            <w:shd w:val="clear" w:color="auto" w:fill="auto"/>
            <w:tcMar>
              <w:top w:w="0" w:type="dxa"/>
              <w:left w:w="0" w:type="dxa"/>
              <w:bottom w:w="0" w:type="dxa"/>
              <w:right w:w="0" w:type="dxa"/>
            </w:tcMar>
          </w:tcPr>
          <w:p w14:paraId="4FC21446" w14:textId="77777777" w:rsidR="00A97DC5" w:rsidRDefault="00A97DC5">
            <w:pPr>
              <w:widowControl w:val="0"/>
              <w:spacing w:after="0" w:line="240" w:lineRule="auto"/>
              <w:rPr>
                <w:rFonts w:ascii="Century" w:eastAsia="Century" w:hAnsi="Century" w:cs="Century"/>
                <w:sz w:val="16"/>
                <w:szCs w:val="16"/>
              </w:rPr>
            </w:pPr>
          </w:p>
        </w:tc>
        <w:tc>
          <w:tcPr>
            <w:tcW w:w="1297" w:type="dxa"/>
            <w:tcBorders>
              <w:top w:val="single" w:sz="4" w:space="0" w:color="000000"/>
              <w:left w:val="nil"/>
              <w:bottom w:val="single" w:sz="4" w:space="0" w:color="000000"/>
              <w:right w:val="nil"/>
            </w:tcBorders>
            <w:shd w:val="clear" w:color="auto" w:fill="auto"/>
            <w:tcMar>
              <w:top w:w="0" w:type="dxa"/>
              <w:left w:w="0" w:type="dxa"/>
              <w:bottom w:w="0" w:type="dxa"/>
              <w:right w:w="0" w:type="dxa"/>
            </w:tcMar>
          </w:tcPr>
          <w:p w14:paraId="63909A5E" w14:textId="77777777" w:rsidR="00A97DC5" w:rsidRDefault="00A97DC5">
            <w:pPr>
              <w:widowControl w:val="0"/>
              <w:spacing w:after="0" w:line="240" w:lineRule="auto"/>
              <w:rPr>
                <w:rFonts w:ascii="Century" w:eastAsia="Century" w:hAnsi="Century" w:cs="Century"/>
                <w:sz w:val="16"/>
                <w:szCs w:val="16"/>
              </w:rPr>
            </w:pPr>
          </w:p>
        </w:tc>
      </w:tr>
      <w:tr w:rsidR="00A97DC5" w14:paraId="655D3D01" w14:textId="77777777">
        <w:tc>
          <w:tcPr>
            <w:tcW w:w="1860" w:type="dxa"/>
            <w:tcBorders>
              <w:top w:val="single" w:sz="4" w:space="0" w:color="000000"/>
              <w:left w:val="nil"/>
              <w:bottom w:val="nil"/>
              <w:right w:val="nil"/>
            </w:tcBorders>
            <w:shd w:val="clear" w:color="auto" w:fill="auto"/>
            <w:tcMar>
              <w:top w:w="0" w:type="dxa"/>
              <w:left w:w="0" w:type="dxa"/>
              <w:bottom w:w="0" w:type="dxa"/>
              <w:right w:w="0" w:type="dxa"/>
            </w:tcMar>
          </w:tcPr>
          <w:p w14:paraId="4B2E705C" w14:textId="77777777" w:rsidR="00A97DC5" w:rsidRDefault="00FC534B">
            <w:pPr>
              <w:widowControl w:val="0"/>
              <w:spacing w:after="0" w:line="240" w:lineRule="auto"/>
              <w:rPr>
                <w:rFonts w:ascii="Century" w:eastAsia="Century" w:hAnsi="Century" w:cs="Century"/>
                <w:sz w:val="16"/>
                <w:szCs w:val="16"/>
              </w:rPr>
            </w:pPr>
            <w:r>
              <w:rPr>
                <w:rFonts w:ascii="Century" w:eastAsia="Century" w:hAnsi="Century" w:cs="Century"/>
                <w:sz w:val="16"/>
                <w:szCs w:val="16"/>
              </w:rPr>
              <w:lastRenderedPageBreak/>
              <w:t>Caring for Others</w:t>
            </w:r>
          </w:p>
        </w:tc>
        <w:tc>
          <w:tcPr>
            <w:tcW w:w="1297" w:type="dxa"/>
            <w:tcBorders>
              <w:top w:val="single" w:sz="4" w:space="0" w:color="000000"/>
              <w:left w:val="nil"/>
              <w:bottom w:val="nil"/>
              <w:right w:val="nil"/>
            </w:tcBorders>
            <w:shd w:val="clear" w:color="auto" w:fill="auto"/>
            <w:tcMar>
              <w:top w:w="0" w:type="dxa"/>
              <w:left w:w="0" w:type="dxa"/>
              <w:bottom w:w="0" w:type="dxa"/>
              <w:right w:w="0" w:type="dxa"/>
            </w:tcMar>
          </w:tcPr>
          <w:p w14:paraId="4F996984" w14:textId="77777777" w:rsidR="00A97DC5" w:rsidRDefault="00FC534B">
            <w:pPr>
              <w:widowControl w:val="0"/>
              <w:spacing w:after="0" w:line="240" w:lineRule="auto"/>
              <w:rPr>
                <w:rFonts w:ascii="Century" w:eastAsia="Century" w:hAnsi="Century" w:cs="Century"/>
                <w:sz w:val="16"/>
                <w:szCs w:val="16"/>
              </w:rPr>
            </w:pPr>
            <w:r>
              <w:rPr>
                <w:rFonts w:ascii="Century" w:eastAsia="Century" w:hAnsi="Century" w:cs="Century"/>
                <w:sz w:val="16"/>
                <w:szCs w:val="16"/>
              </w:rPr>
              <w:t>4.22</w:t>
            </w:r>
          </w:p>
        </w:tc>
        <w:tc>
          <w:tcPr>
            <w:tcW w:w="1297" w:type="dxa"/>
            <w:tcBorders>
              <w:top w:val="single" w:sz="4" w:space="0" w:color="000000"/>
              <w:left w:val="nil"/>
              <w:bottom w:val="nil"/>
              <w:right w:val="nil"/>
            </w:tcBorders>
            <w:shd w:val="clear" w:color="auto" w:fill="auto"/>
            <w:tcMar>
              <w:top w:w="0" w:type="dxa"/>
              <w:left w:w="0" w:type="dxa"/>
              <w:bottom w:w="0" w:type="dxa"/>
              <w:right w:w="0" w:type="dxa"/>
            </w:tcMar>
          </w:tcPr>
          <w:p w14:paraId="4B71BC9A" w14:textId="77777777" w:rsidR="00A97DC5" w:rsidRDefault="00FC534B">
            <w:pPr>
              <w:widowControl w:val="0"/>
              <w:spacing w:after="0" w:line="240" w:lineRule="auto"/>
              <w:rPr>
                <w:rFonts w:ascii="Century" w:eastAsia="Century" w:hAnsi="Century" w:cs="Century"/>
                <w:sz w:val="16"/>
                <w:szCs w:val="16"/>
              </w:rPr>
            </w:pPr>
            <w:r>
              <w:rPr>
                <w:rFonts w:ascii="Century" w:eastAsia="Century" w:hAnsi="Century" w:cs="Century"/>
                <w:sz w:val="16"/>
                <w:szCs w:val="16"/>
              </w:rPr>
              <w:t>Exceptional</w:t>
            </w:r>
          </w:p>
        </w:tc>
      </w:tr>
      <w:tr w:rsidR="00A97DC5" w14:paraId="765487A9" w14:textId="77777777">
        <w:tc>
          <w:tcPr>
            <w:tcW w:w="1860" w:type="dxa"/>
            <w:tcBorders>
              <w:top w:val="nil"/>
              <w:left w:val="nil"/>
              <w:bottom w:val="nil"/>
              <w:right w:val="nil"/>
            </w:tcBorders>
            <w:shd w:val="clear" w:color="auto" w:fill="auto"/>
            <w:tcMar>
              <w:top w:w="0" w:type="dxa"/>
              <w:left w:w="0" w:type="dxa"/>
              <w:bottom w:w="0" w:type="dxa"/>
              <w:right w:w="0" w:type="dxa"/>
            </w:tcMar>
          </w:tcPr>
          <w:p w14:paraId="44FA4021" w14:textId="77777777" w:rsidR="00A97DC5" w:rsidRDefault="00FC534B">
            <w:pPr>
              <w:widowControl w:val="0"/>
              <w:spacing w:after="0" w:line="240" w:lineRule="auto"/>
              <w:rPr>
                <w:rFonts w:ascii="Century" w:eastAsia="Century" w:hAnsi="Century" w:cs="Century"/>
                <w:sz w:val="16"/>
                <w:szCs w:val="16"/>
              </w:rPr>
            </w:pPr>
            <w:r>
              <w:rPr>
                <w:rFonts w:ascii="Century" w:eastAsia="Century" w:hAnsi="Century" w:cs="Century"/>
                <w:sz w:val="16"/>
                <w:szCs w:val="16"/>
              </w:rPr>
              <w:t xml:space="preserve">Empowering Others </w:t>
            </w:r>
          </w:p>
        </w:tc>
        <w:tc>
          <w:tcPr>
            <w:tcW w:w="1297" w:type="dxa"/>
            <w:tcBorders>
              <w:top w:val="nil"/>
              <w:left w:val="nil"/>
              <w:bottom w:val="nil"/>
              <w:right w:val="nil"/>
            </w:tcBorders>
            <w:shd w:val="clear" w:color="auto" w:fill="auto"/>
            <w:tcMar>
              <w:top w:w="0" w:type="dxa"/>
              <w:left w:w="0" w:type="dxa"/>
              <w:bottom w:w="0" w:type="dxa"/>
              <w:right w:w="0" w:type="dxa"/>
            </w:tcMar>
          </w:tcPr>
          <w:p w14:paraId="4F7B19FD" w14:textId="77777777" w:rsidR="00A97DC5" w:rsidRDefault="00FC534B">
            <w:pPr>
              <w:widowControl w:val="0"/>
              <w:spacing w:after="0" w:line="240" w:lineRule="auto"/>
              <w:rPr>
                <w:rFonts w:ascii="Century" w:eastAsia="Century" w:hAnsi="Century" w:cs="Century"/>
                <w:sz w:val="16"/>
                <w:szCs w:val="16"/>
              </w:rPr>
            </w:pPr>
            <w:r>
              <w:rPr>
                <w:rFonts w:ascii="Century" w:eastAsia="Century" w:hAnsi="Century" w:cs="Century"/>
                <w:sz w:val="16"/>
                <w:szCs w:val="16"/>
              </w:rPr>
              <w:t>4.24</w:t>
            </w:r>
          </w:p>
        </w:tc>
        <w:tc>
          <w:tcPr>
            <w:tcW w:w="1297" w:type="dxa"/>
            <w:tcBorders>
              <w:top w:val="nil"/>
              <w:left w:val="nil"/>
              <w:bottom w:val="nil"/>
              <w:right w:val="nil"/>
            </w:tcBorders>
            <w:shd w:val="clear" w:color="auto" w:fill="auto"/>
            <w:tcMar>
              <w:top w:w="0" w:type="dxa"/>
              <w:left w:w="0" w:type="dxa"/>
              <w:bottom w:w="0" w:type="dxa"/>
              <w:right w:w="0" w:type="dxa"/>
            </w:tcMar>
          </w:tcPr>
          <w:p w14:paraId="40A0DD3F" w14:textId="77777777" w:rsidR="00A97DC5" w:rsidRDefault="00FC534B">
            <w:pPr>
              <w:widowControl w:val="0"/>
              <w:spacing w:after="0" w:line="240" w:lineRule="auto"/>
              <w:rPr>
                <w:rFonts w:ascii="Century" w:eastAsia="Century" w:hAnsi="Century" w:cs="Century"/>
                <w:sz w:val="16"/>
                <w:szCs w:val="16"/>
              </w:rPr>
            </w:pPr>
            <w:r>
              <w:rPr>
                <w:rFonts w:ascii="Century" w:eastAsia="Century" w:hAnsi="Century" w:cs="Century"/>
                <w:sz w:val="16"/>
                <w:szCs w:val="16"/>
              </w:rPr>
              <w:t>Exceptional</w:t>
            </w:r>
          </w:p>
        </w:tc>
      </w:tr>
      <w:tr w:rsidR="00A97DC5" w14:paraId="4A2FB708" w14:textId="77777777">
        <w:tc>
          <w:tcPr>
            <w:tcW w:w="1860" w:type="dxa"/>
            <w:tcBorders>
              <w:top w:val="nil"/>
              <w:left w:val="nil"/>
              <w:bottom w:val="single" w:sz="4" w:space="0" w:color="000000"/>
              <w:right w:val="nil"/>
            </w:tcBorders>
            <w:shd w:val="clear" w:color="auto" w:fill="auto"/>
            <w:tcMar>
              <w:top w:w="0" w:type="dxa"/>
              <w:left w:w="0" w:type="dxa"/>
              <w:bottom w:w="0" w:type="dxa"/>
              <w:right w:w="0" w:type="dxa"/>
            </w:tcMar>
          </w:tcPr>
          <w:p w14:paraId="23E54D11" w14:textId="77777777" w:rsidR="00A97DC5" w:rsidRDefault="00FC534B">
            <w:pPr>
              <w:widowControl w:val="0"/>
              <w:spacing w:after="0" w:line="240" w:lineRule="auto"/>
              <w:rPr>
                <w:rFonts w:ascii="Century" w:eastAsia="Century" w:hAnsi="Century" w:cs="Century"/>
                <w:sz w:val="16"/>
                <w:szCs w:val="16"/>
              </w:rPr>
            </w:pPr>
            <w:r>
              <w:rPr>
                <w:rFonts w:ascii="Century" w:eastAsia="Century" w:hAnsi="Century" w:cs="Century"/>
                <w:sz w:val="16"/>
                <w:szCs w:val="16"/>
              </w:rPr>
              <w:t>Developing Others</w:t>
            </w:r>
          </w:p>
        </w:tc>
        <w:tc>
          <w:tcPr>
            <w:tcW w:w="1297" w:type="dxa"/>
            <w:tcBorders>
              <w:top w:val="nil"/>
              <w:left w:val="nil"/>
              <w:bottom w:val="single" w:sz="4" w:space="0" w:color="000000"/>
              <w:right w:val="nil"/>
            </w:tcBorders>
            <w:shd w:val="clear" w:color="auto" w:fill="auto"/>
            <w:tcMar>
              <w:top w:w="0" w:type="dxa"/>
              <w:left w:w="0" w:type="dxa"/>
              <w:bottom w:w="0" w:type="dxa"/>
              <w:right w:w="0" w:type="dxa"/>
            </w:tcMar>
          </w:tcPr>
          <w:p w14:paraId="2ECA4398" w14:textId="77777777" w:rsidR="00A97DC5" w:rsidRDefault="00FC534B">
            <w:pPr>
              <w:widowControl w:val="0"/>
              <w:spacing w:after="0" w:line="240" w:lineRule="auto"/>
              <w:rPr>
                <w:rFonts w:ascii="Century" w:eastAsia="Century" w:hAnsi="Century" w:cs="Century"/>
                <w:sz w:val="16"/>
                <w:szCs w:val="16"/>
              </w:rPr>
            </w:pPr>
            <w:r>
              <w:rPr>
                <w:rFonts w:ascii="Century" w:eastAsia="Century" w:hAnsi="Century" w:cs="Century"/>
                <w:sz w:val="16"/>
                <w:szCs w:val="16"/>
              </w:rPr>
              <w:t>4.14</w:t>
            </w:r>
          </w:p>
        </w:tc>
        <w:tc>
          <w:tcPr>
            <w:tcW w:w="1297" w:type="dxa"/>
            <w:tcBorders>
              <w:top w:val="nil"/>
              <w:left w:val="nil"/>
              <w:bottom w:val="single" w:sz="4" w:space="0" w:color="000000"/>
              <w:right w:val="nil"/>
            </w:tcBorders>
            <w:shd w:val="clear" w:color="auto" w:fill="auto"/>
            <w:tcMar>
              <w:top w:w="0" w:type="dxa"/>
              <w:left w:w="0" w:type="dxa"/>
              <w:bottom w:w="0" w:type="dxa"/>
              <w:right w:w="0" w:type="dxa"/>
            </w:tcMar>
          </w:tcPr>
          <w:p w14:paraId="208FDD76" w14:textId="77777777" w:rsidR="00A97DC5" w:rsidRDefault="00FC534B">
            <w:pPr>
              <w:widowControl w:val="0"/>
              <w:spacing w:after="0" w:line="240" w:lineRule="auto"/>
              <w:rPr>
                <w:rFonts w:ascii="Century" w:eastAsia="Century" w:hAnsi="Century" w:cs="Century"/>
                <w:sz w:val="16"/>
                <w:szCs w:val="16"/>
              </w:rPr>
            </w:pPr>
            <w:r>
              <w:rPr>
                <w:rFonts w:ascii="Century" w:eastAsia="Century" w:hAnsi="Century" w:cs="Century"/>
                <w:sz w:val="16"/>
                <w:szCs w:val="16"/>
              </w:rPr>
              <w:t>Strong</w:t>
            </w:r>
          </w:p>
        </w:tc>
      </w:tr>
      <w:tr w:rsidR="00A97DC5" w14:paraId="4032D71B" w14:textId="77777777">
        <w:tc>
          <w:tcPr>
            <w:tcW w:w="1860" w:type="dxa"/>
            <w:tcBorders>
              <w:top w:val="single" w:sz="4" w:space="0" w:color="000000"/>
              <w:left w:val="nil"/>
              <w:bottom w:val="single" w:sz="4" w:space="0" w:color="000000"/>
              <w:right w:val="nil"/>
            </w:tcBorders>
            <w:shd w:val="clear" w:color="auto" w:fill="auto"/>
            <w:tcMar>
              <w:top w:w="0" w:type="dxa"/>
              <w:left w:w="0" w:type="dxa"/>
              <w:bottom w:w="0" w:type="dxa"/>
              <w:right w:w="0" w:type="dxa"/>
            </w:tcMar>
          </w:tcPr>
          <w:p w14:paraId="238D8C78" w14:textId="77777777" w:rsidR="00A97DC5" w:rsidRDefault="00FC534B">
            <w:pPr>
              <w:widowControl w:val="0"/>
              <w:spacing w:after="0" w:line="240" w:lineRule="auto"/>
              <w:rPr>
                <w:rFonts w:ascii="Century" w:eastAsia="Century" w:hAnsi="Century" w:cs="Century"/>
                <w:sz w:val="16"/>
                <w:szCs w:val="16"/>
              </w:rPr>
            </w:pPr>
            <w:r>
              <w:rPr>
                <w:rFonts w:ascii="Century" w:eastAsia="Century" w:hAnsi="Century" w:cs="Century"/>
                <w:sz w:val="16"/>
                <w:szCs w:val="16"/>
              </w:rPr>
              <w:t>Grand Mean</w:t>
            </w:r>
          </w:p>
        </w:tc>
        <w:tc>
          <w:tcPr>
            <w:tcW w:w="1297" w:type="dxa"/>
            <w:tcBorders>
              <w:top w:val="single" w:sz="4" w:space="0" w:color="000000"/>
              <w:left w:val="nil"/>
              <w:bottom w:val="single" w:sz="4" w:space="0" w:color="000000"/>
              <w:right w:val="nil"/>
            </w:tcBorders>
            <w:shd w:val="clear" w:color="auto" w:fill="auto"/>
            <w:tcMar>
              <w:top w:w="0" w:type="dxa"/>
              <w:left w:w="0" w:type="dxa"/>
              <w:bottom w:w="0" w:type="dxa"/>
              <w:right w:w="0" w:type="dxa"/>
            </w:tcMar>
          </w:tcPr>
          <w:p w14:paraId="085293EA" w14:textId="77777777" w:rsidR="00A97DC5" w:rsidRDefault="00FC534B">
            <w:pPr>
              <w:widowControl w:val="0"/>
              <w:spacing w:after="0" w:line="240" w:lineRule="auto"/>
              <w:rPr>
                <w:rFonts w:ascii="Century" w:eastAsia="Century" w:hAnsi="Century" w:cs="Century"/>
                <w:sz w:val="16"/>
                <w:szCs w:val="16"/>
              </w:rPr>
            </w:pPr>
            <w:r>
              <w:rPr>
                <w:rFonts w:ascii="Century" w:eastAsia="Century" w:hAnsi="Century" w:cs="Century"/>
                <w:sz w:val="16"/>
                <w:szCs w:val="16"/>
              </w:rPr>
              <w:t>4.19</w:t>
            </w:r>
          </w:p>
        </w:tc>
        <w:tc>
          <w:tcPr>
            <w:tcW w:w="1297" w:type="dxa"/>
            <w:tcBorders>
              <w:top w:val="single" w:sz="4" w:space="0" w:color="000000"/>
              <w:left w:val="nil"/>
              <w:bottom w:val="single" w:sz="4" w:space="0" w:color="000000"/>
              <w:right w:val="nil"/>
            </w:tcBorders>
            <w:shd w:val="clear" w:color="auto" w:fill="auto"/>
            <w:tcMar>
              <w:top w:w="0" w:type="dxa"/>
              <w:left w:w="0" w:type="dxa"/>
              <w:bottom w:w="0" w:type="dxa"/>
              <w:right w:w="0" w:type="dxa"/>
            </w:tcMar>
          </w:tcPr>
          <w:p w14:paraId="630133F3" w14:textId="77777777" w:rsidR="00A97DC5" w:rsidRDefault="00FC534B">
            <w:pPr>
              <w:widowControl w:val="0"/>
              <w:spacing w:after="0" w:line="240" w:lineRule="auto"/>
              <w:rPr>
                <w:rFonts w:ascii="Century" w:eastAsia="Century" w:hAnsi="Century" w:cs="Century"/>
                <w:sz w:val="16"/>
                <w:szCs w:val="16"/>
              </w:rPr>
            </w:pPr>
            <w:r>
              <w:rPr>
                <w:rFonts w:ascii="Century" w:eastAsia="Century" w:hAnsi="Century" w:cs="Century"/>
                <w:sz w:val="16"/>
                <w:szCs w:val="16"/>
              </w:rPr>
              <w:t>Strong</w:t>
            </w:r>
          </w:p>
        </w:tc>
      </w:tr>
      <w:tr w:rsidR="00A97DC5" w14:paraId="60CEAF19" w14:textId="77777777">
        <w:tc>
          <w:tcPr>
            <w:tcW w:w="1860" w:type="dxa"/>
            <w:tcBorders>
              <w:top w:val="single" w:sz="4" w:space="0" w:color="000000"/>
              <w:left w:val="nil"/>
              <w:bottom w:val="single" w:sz="4" w:space="0" w:color="000000"/>
              <w:right w:val="nil"/>
            </w:tcBorders>
            <w:shd w:val="clear" w:color="auto" w:fill="auto"/>
            <w:tcMar>
              <w:top w:w="0" w:type="dxa"/>
              <w:left w:w="0" w:type="dxa"/>
              <w:bottom w:w="0" w:type="dxa"/>
              <w:right w:w="0" w:type="dxa"/>
            </w:tcMar>
          </w:tcPr>
          <w:p w14:paraId="7972FAE0" w14:textId="77777777" w:rsidR="00A97DC5" w:rsidRDefault="00FC534B">
            <w:pPr>
              <w:widowControl w:val="0"/>
              <w:spacing w:after="0" w:line="240" w:lineRule="auto"/>
              <w:rPr>
                <w:rFonts w:ascii="Century" w:eastAsia="Century" w:hAnsi="Century" w:cs="Century"/>
                <w:sz w:val="16"/>
                <w:szCs w:val="16"/>
              </w:rPr>
            </w:pPr>
            <w:r>
              <w:rPr>
                <w:rFonts w:ascii="Century" w:eastAsia="Century" w:hAnsi="Century" w:cs="Century"/>
                <w:sz w:val="16"/>
                <w:szCs w:val="16"/>
              </w:rPr>
              <w:t>Task Orientation</w:t>
            </w:r>
          </w:p>
        </w:tc>
        <w:tc>
          <w:tcPr>
            <w:tcW w:w="1297" w:type="dxa"/>
            <w:tcBorders>
              <w:top w:val="single" w:sz="4" w:space="0" w:color="000000"/>
              <w:left w:val="nil"/>
              <w:bottom w:val="single" w:sz="4" w:space="0" w:color="000000"/>
              <w:right w:val="nil"/>
            </w:tcBorders>
            <w:shd w:val="clear" w:color="auto" w:fill="auto"/>
            <w:tcMar>
              <w:top w:w="0" w:type="dxa"/>
              <w:left w:w="0" w:type="dxa"/>
              <w:bottom w:w="0" w:type="dxa"/>
              <w:right w:w="0" w:type="dxa"/>
            </w:tcMar>
          </w:tcPr>
          <w:p w14:paraId="4B0F5BEF" w14:textId="77777777" w:rsidR="00A97DC5" w:rsidRDefault="00FC534B">
            <w:pPr>
              <w:widowControl w:val="0"/>
              <w:spacing w:after="0" w:line="240" w:lineRule="auto"/>
              <w:rPr>
                <w:rFonts w:ascii="Century" w:eastAsia="Century" w:hAnsi="Century" w:cs="Century"/>
                <w:sz w:val="16"/>
                <w:szCs w:val="16"/>
              </w:rPr>
            </w:pPr>
            <w:r>
              <w:rPr>
                <w:rFonts w:ascii="Century" w:eastAsia="Century" w:hAnsi="Century" w:cs="Century"/>
                <w:sz w:val="16"/>
                <w:szCs w:val="16"/>
              </w:rPr>
              <w:t>Weighted mean</w:t>
            </w:r>
          </w:p>
        </w:tc>
        <w:tc>
          <w:tcPr>
            <w:tcW w:w="1297" w:type="dxa"/>
            <w:tcBorders>
              <w:top w:val="single" w:sz="4" w:space="0" w:color="000000"/>
              <w:left w:val="nil"/>
              <w:bottom w:val="single" w:sz="4" w:space="0" w:color="000000"/>
              <w:right w:val="nil"/>
            </w:tcBorders>
            <w:shd w:val="clear" w:color="auto" w:fill="auto"/>
            <w:tcMar>
              <w:top w:w="0" w:type="dxa"/>
              <w:left w:w="0" w:type="dxa"/>
              <w:bottom w:w="0" w:type="dxa"/>
              <w:right w:w="0" w:type="dxa"/>
            </w:tcMar>
          </w:tcPr>
          <w:p w14:paraId="2746C3B5" w14:textId="77777777" w:rsidR="00A97DC5" w:rsidRDefault="00FC534B">
            <w:pPr>
              <w:widowControl w:val="0"/>
              <w:spacing w:after="0" w:line="240" w:lineRule="auto"/>
              <w:rPr>
                <w:rFonts w:ascii="Century" w:eastAsia="Century" w:hAnsi="Century" w:cs="Century"/>
                <w:sz w:val="16"/>
                <w:szCs w:val="16"/>
              </w:rPr>
            </w:pPr>
            <w:r>
              <w:rPr>
                <w:rFonts w:ascii="Century" w:eastAsia="Century" w:hAnsi="Century" w:cs="Century"/>
                <w:sz w:val="16"/>
                <w:szCs w:val="16"/>
              </w:rPr>
              <w:t>Interpretation</w:t>
            </w:r>
          </w:p>
        </w:tc>
      </w:tr>
      <w:tr w:rsidR="00A97DC5" w14:paraId="6B477497" w14:textId="77777777">
        <w:tc>
          <w:tcPr>
            <w:tcW w:w="1860" w:type="dxa"/>
            <w:tcBorders>
              <w:top w:val="single" w:sz="4" w:space="0" w:color="000000"/>
              <w:left w:val="nil"/>
              <w:bottom w:val="nil"/>
              <w:right w:val="nil"/>
            </w:tcBorders>
            <w:shd w:val="clear" w:color="auto" w:fill="auto"/>
            <w:tcMar>
              <w:top w:w="0" w:type="dxa"/>
              <w:left w:w="0" w:type="dxa"/>
              <w:bottom w:w="0" w:type="dxa"/>
              <w:right w:w="0" w:type="dxa"/>
            </w:tcMar>
          </w:tcPr>
          <w:p w14:paraId="742042B2" w14:textId="77777777" w:rsidR="00A97DC5" w:rsidRDefault="00FC534B">
            <w:pPr>
              <w:widowControl w:val="0"/>
              <w:spacing w:after="0" w:line="240" w:lineRule="auto"/>
              <w:rPr>
                <w:rFonts w:ascii="Century" w:eastAsia="Century" w:hAnsi="Century" w:cs="Century"/>
                <w:sz w:val="16"/>
                <w:szCs w:val="16"/>
              </w:rPr>
            </w:pPr>
            <w:r>
              <w:rPr>
                <w:rFonts w:ascii="Century" w:eastAsia="Century" w:hAnsi="Century" w:cs="Century"/>
                <w:sz w:val="16"/>
                <w:szCs w:val="16"/>
              </w:rPr>
              <w:t>Visioning</w:t>
            </w:r>
          </w:p>
        </w:tc>
        <w:tc>
          <w:tcPr>
            <w:tcW w:w="1297" w:type="dxa"/>
            <w:tcBorders>
              <w:top w:val="single" w:sz="4" w:space="0" w:color="000000"/>
              <w:left w:val="nil"/>
              <w:bottom w:val="nil"/>
              <w:right w:val="nil"/>
            </w:tcBorders>
            <w:shd w:val="clear" w:color="auto" w:fill="auto"/>
            <w:tcMar>
              <w:top w:w="0" w:type="dxa"/>
              <w:left w:w="0" w:type="dxa"/>
              <w:bottom w:w="0" w:type="dxa"/>
              <w:right w:w="0" w:type="dxa"/>
            </w:tcMar>
          </w:tcPr>
          <w:p w14:paraId="14ABA718" w14:textId="77777777" w:rsidR="00A97DC5" w:rsidRDefault="00FC534B">
            <w:pPr>
              <w:widowControl w:val="0"/>
              <w:spacing w:after="0" w:line="240" w:lineRule="auto"/>
              <w:rPr>
                <w:rFonts w:ascii="Century" w:eastAsia="Century" w:hAnsi="Century" w:cs="Century"/>
                <w:sz w:val="16"/>
                <w:szCs w:val="16"/>
              </w:rPr>
            </w:pPr>
            <w:r>
              <w:rPr>
                <w:rFonts w:ascii="Century" w:eastAsia="Century" w:hAnsi="Century" w:cs="Century"/>
                <w:sz w:val="16"/>
                <w:szCs w:val="16"/>
              </w:rPr>
              <w:t>4.26</w:t>
            </w:r>
          </w:p>
        </w:tc>
        <w:tc>
          <w:tcPr>
            <w:tcW w:w="1297" w:type="dxa"/>
            <w:tcBorders>
              <w:top w:val="single" w:sz="4" w:space="0" w:color="000000"/>
              <w:left w:val="nil"/>
              <w:bottom w:val="nil"/>
              <w:right w:val="nil"/>
            </w:tcBorders>
            <w:shd w:val="clear" w:color="auto" w:fill="auto"/>
            <w:tcMar>
              <w:top w:w="0" w:type="dxa"/>
              <w:left w:w="0" w:type="dxa"/>
              <w:bottom w:w="0" w:type="dxa"/>
              <w:right w:w="0" w:type="dxa"/>
            </w:tcMar>
          </w:tcPr>
          <w:p w14:paraId="18360416" w14:textId="77777777" w:rsidR="00A97DC5" w:rsidRDefault="00FC534B">
            <w:pPr>
              <w:widowControl w:val="0"/>
              <w:spacing w:after="0" w:line="240" w:lineRule="auto"/>
              <w:rPr>
                <w:rFonts w:ascii="Century" w:eastAsia="Century" w:hAnsi="Century" w:cs="Century"/>
                <w:sz w:val="16"/>
                <w:szCs w:val="16"/>
              </w:rPr>
            </w:pPr>
            <w:r>
              <w:rPr>
                <w:rFonts w:ascii="Century" w:eastAsia="Century" w:hAnsi="Century" w:cs="Century"/>
                <w:sz w:val="16"/>
                <w:szCs w:val="16"/>
              </w:rPr>
              <w:t>Exceptional</w:t>
            </w:r>
          </w:p>
        </w:tc>
      </w:tr>
      <w:tr w:rsidR="00A97DC5" w14:paraId="31D1E418" w14:textId="77777777">
        <w:tc>
          <w:tcPr>
            <w:tcW w:w="1860" w:type="dxa"/>
            <w:tcBorders>
              <w:top w:val="nil"/>
              <w:left w:val="nil"/>
              <w:bottom w:val="nil"/>
              <w:right w:val="nil"/>
            </w:tcBorders>
            <w:shd w:val="clear" w:color="auto" w:fill="auto"/>
            <w:tcMar>
              <w:top w:w="0" w:type="dxa"/>
              <w:left w:w="0" w:type="dxa"/>
              <w:bottom w:w="0" w:type="dxa"/>
              <w:right w:w="0" w:type="dxa"/>
            </w:tcMar>
          </w:tcPr>
          <w:p w14:paraId="2F50B254" w14:textId="77777777" w:rsidR="00A97DC5" w:rsidRDefault="00FC534B">
            <w:pPr>
              <w:widowControl w:val="0"/>
              <w:spacing w:after="0" w:line="240" w:lineRule="auto"/>
              <w:rPr>
                <w:rFonts w:ascii="Century" w:eastAsia="Century" w:hAnsi="Century" w:cs="Century"/>
                <w:sz w:val="16"/>
                <w:szCs w:val="16"/>
              </w:rPr>
            </w:pPr>
            <w:r>
              <w:rPr>
                <w:rFonts w:ascii="Century" w:eastAsia="Century" w:hAnsi="Century" w:cs="Century"/>
                <w:sz w:val="16"/>
                <w:szCs w:val="16"/>
              </w:rPr>
              <w:t xml:space="preserve">Goal </w:t>
            </w:r>
            <w:r>
              <w:rPr>
                <w:rFonts w:ascii="Century" w:eastAsia="Century" w:hAnsi="Century" w:cs="Century"/>
                <w:sz w:val="16"/>
                <w:szCs w:val="16"/>
              </w:rPr>
              <w:t>Setting</w:t>
            </w:r>
          </w:p>
        </w:tc>
        <w:tc>
          <w:tcPr>
            <w:tcW w:w="1297" w:type="dxa"/>
            <w:tcBorders>
              <w:top w:val="nil"/>
              <w:left w:val="nil"/>
              <w:bottom w:val="nil"/>
              <w:right w:val="nil"/>
            </w:tcBorders>
            <w:shd w:val="clear" w:color="auto" w:fill="auto"/>
            <w:tcMar>
              <w:top w:w="0" w:type="dxa"/>
              <w:left w:w="0" w:type="dxa"/>
              <w:bottom w:w="0" w:type="dxa"/>
              <w:right w:w="0" w:type="dxa"/>
            </w:tcMar>
          </w:tcPr>
          <w:p w14:paraId="45D60287" w14:textId="77777777" w:rsidR="00A97DC5" w:rsidRDefault="00FC534B">
            <w:pPr>
              <w:widowControl w:val="0"/>
              <w:spacing w:after="0" w:line="240" w:lineRule="auto"/>
              <w:rPr>
                <w:rFonts w:ascii="Century" w:eastAsia="Century" w:hAnsi="Century" w:cs="Century"/>
                <w:sz w:val="16"/>
                <w:szCs w:val="16"/>
              </w:rPr>
            </w:pPr>
            <w:r>
              <w:rPr>
                <w:rFonts w:ascii="Century" w:eastAsia="Century" w:hAnsi="Century" w:cs="Century"/>
                <w:sz w:val="16"/>
                <w:szCs w:val="16"/>
              </w:rPr>
              <w:t>4.37</w:t>
            </w:r>
          </w:p>
        </w:tc>
        <w:tc>
          <w:tcPr>
            <w:tcW w:w="1297" w:type="dxa"/>
            <w:tcBorders>
              <w:top w:val="nil"/>
              <w:left w:val="nil"/>
              <w:bottom w:val="nil"/>
              <w:right w:val="nil"/>
            </w:tcBorders>
            <w:shd w:val="clear" w:color="auto" w:fill="auto"/>
            <w:tcMar>
              <w:top w:w="0" w:type="dxa"/>
              <w:left w:w="0" w:type="dxa"/>
              <w:bottom w:w="0" w:type="dxa"/>
              <w:right w:w="0" w:type="dxa"/>
            </w:tcMar>
          </w:tcPr>
          <w:p w14:paraId="3E2BCFDB" w14:textId="77777777" w:rsidR="00A97DC5" w:rsidRDefault="00FC534B">
            <w:pPr>
              <w:widowControl w:val="0"/>
              <w:spacing w:after="0" w:line="240" w:lineRule="auto"/>
              <w:rPr>
                <w:rFonts w:ascii="Century" w:eastAsia="Century" w:hAnsi="Century" w:cs="Century"/>
                <w:sz w:val="16"/>
                <w:szCs w:val="16"/>
              </w:rPr>
            </w:pPr>
            <w:r>
              <w:rPr>
                <w:rFonts w:ascii="Century" w:eastAsia="Century" w:hAnsi="Century" w:cs="Century"/>
                <w:sz w:val="16"/>
                <w:szCs w:val="16"/>
              </w:rPr>
              <w:t>Exceptional</w:t>
            </w:r>
          </w:p>
        </w:tc>
      </w:tr>
      <w:tr w:rsidR="00A97DC5" w14:paraId="44A5DA04" w14:textId="77777777">
        <w:tc>
          <w:tcPr>
            <w:tcW w:w="1860" w:type="dxa"/>
            <w:tcBorders>
              <w:top w:val="nil"/>
              <w:left w:val="nil"/>
              <w:bottom w:val="single" w:sz="4" w:space="0" w:color="000000"/>
              <w:right w:val="nil"/>
            </w:tcBorders>
            <w:shd w:val="clear" w:color="auto" w:fill="auto"/>
            <w:tcMar>
              <w:top w:w="0" w:type="dxa"/>
              <w:left w:w="0" w:type="dxa"/>
              <w:bottom w:w="0" w:type="dxa"/>
              <w:right w:w="0" w:type="dxa"/>
            </w:tcMar>
          </w:tcPr>
          <w:p w14:paraId="5C2836E5" w14:textId="77777777" w:rsidR="00A97DC5" w:rsidRDefault="00FC534B">
            <w:pPr>
              <w:widowControl w:val="0"/>
              <w:spacing w:after="0" w:line="240" w:lineRule="auto"/>
              <w:rPr>
                <w:rFonts w:ascii="Century" w:eastAsia="Century" w:hAnsi="Century" w:cs="Century"/>
                <w:sz w:val="16"/>
                <w:szCs w:val="16"/>
              </w:rPr>
            </w:pPr>
            <w:r>
              <w:rPr>
                <w:rFonts w:ascii="Century" w:eastAsia="Century" w:hAnsi="Century" w:cs="Century"/>
                <w:sz w:val="16"/>
                <w:szCs w:val="16"/>
              </w:rPr>
              <w:t>Leading</w:t>
            </w:r>
          </w:p>
        </w:tc>
        <w:tc>
          <w:tcPr>
            <w:tcW w:w="1297" w:type="dxa"/>
            <w:tcBorders>
              <w:top w:val="nil"/>
              <w:left w:val="nil"/>
              <w:bottom w:val="single" w:sz="4" w:space="0" w:color="000000"/>
              <w:right w:val="nil"/>
            </w:tcBorders>
            <w:shd w:val="clear" w:color="auto" w:fill="auto"/>
            <w:tcMar>
              <w:top w:w="0" w:type="dxa"/>
              <w:left w:w="0" w:type="dxa"/>
              <w:bottom w:w="0" w:type="dxa"/>
              <w:right w:w="0" w:type="dxa"/>
            </w:tcMar>
          </w:tcPr>
          <w:p w14:paraId="0DCEE8A7" w14:textId="77777777" w:rsidR="00A97DC5" w:rsidRDefault="00FC534B">
            <w:pPr>
              <w:widowControl w:val="0"/>
              <w:spacing w:after="0" w:line="240" w:lineRule="auto"/>
              <w:rPr>
                <w:rFonts w:ascii="Century" w:eastAsia="Century" w:hAnsi="Century" w:cs="Century"/>
                <w:sz w:val="16"/>
                <w:szCs w:val="16"/>
              </w:rPr>
            </w:pPr>
            <w:r>
              <w:rPr>
                <w:rFonts w:ascii="Century" w:eastAsia="Century" w:hAnsi="Century" w:cs="Century"/>
                <w:sz w:val="16"/>
                <w:szCs w:val="16"/>
              </w:rPr>
              <w:t>4.26</w:t>
            </w:r>
          </w:p>
        </w:tc>
        <w:tc>
          <w:tcPr>
            <w:tcW w:w="1297" w:type="dxa"/>
            <w:tcBorders>
              <w:top w:val="nil"/>
              <w:left w:val="nil"/>
              <w:bottom w:val="single" w:sz="4" w:space="0" w:color="000000"/>
              <w:right w:val="nil"/>
            </w:tcBorders>
            <w:shd w:val="clear" w:color="auto" w:fill="auto"/>
            <w:tcMar>
              <w:top w:w="0" w:type="dxa"/>
              <w:left w:w="0" w:type="dxa"/>
              <w:bottom w:w="0" w:type="dxa"/>
              <w:right w:w="0" w:type="dxa"/>
            </w:tcMar>
          </w:tcPr>
          <w:p w14:paraId="55C01300" w14:textId="77777777" w:rsidR="00A97DC5" w:rsidRDefault="00FC534B">
            <w:pPr>
              <w:widowControl w:val="0"/>
              <w:spacing w:after="0" w:line="240" w:lineRule="auto"/>
              <w:rPr>
                <w:rFonts w:ascii="Century" w:eastAsia="Century" w:hAnsi="Century" w:cs="Century"/>
                <w:sz w:val="16"/>
                <w:szCs w:val="16"/>
              </w:rPr>
            </w:pPr>
            <w:r>
              <w:rPr>
                <w:rFonts w:ascii="Century" w:eastAsia="Century" w:hAnsi="Century" w:cs="Century"/>
                <w:sz w:val="16"/>
                <w:szCs w:val="16"/>
              </w:rPr>
              <w:t>Exceptional</w:t>
            </w:r>
          </w:p>
        </w:tc>
      </w:tr>
      <w:tr w:rsidR="00A97DC5" w14:paraId="3DB7EB35" w14:textId="77777777">
        <w:tc>
          <w:tcPr>
            <w:tcW w:w="1860" w:type="dxa"/>
            <w:tcBorders>
              <w:top w:val="single" w:sz="4" w:space="0" w:color="000000"/>
              <w:left w:val="nil"/>
              <w:bottom w:val="single" w:sz="4" w:space="0" w:color="000000"/>
              <w:right w:val="nil"/>
            </w:tcBorders>
            <w:shd w:val="clear" w:color="auto" w:fill="auto"/>
            <w:tcMar>
              <w:top w:w="0" w:type="dxa"/>
              <w:left w:w="0" w:type="dxa"/>
              <w:bottom w:w="0" w:type="dxa"/>
              <w:right w:w="0" w:type="dxa"/>
            </w:tcMar>
          </w:tcPr>
          <w:p w14:paraId="29A99E53" w14:textId="77777777" w:rsidR="00A97DC5" w:rsidRDefault="00FC534B">
            <w:pPr>
              <w:widowControl w:val="0"/>
              <w:spacing w:after="0" w:line="240" w:lineRule="auto"/>
              <w:rPr>
                <w:rFonts w:ascii="Century" w:eastAsia="Century" w:hAnsi="Century" w:cs="Century"/>
                <w:sz w:val="16"/>
                <w:szCs w:val="16"/>
              </w:rPr>
            </w:pPr>
            <w:r>
              <w:rPr>
                <w:rFonts w:ascii="Century" w:eastAsia="Century" w:hAnsi="Century" w:cs="Century"/>
                <w:sz w:val="16"/>
                <w:szCs w:val="16"/>
              </w:rPr>
              <w:t>Grand Mean</w:t>
            </w:r>
          </w:p>
        </w:tc>
        <w:tc>
          <w:tcPr>
            <w:tcW w:w="1297" w:type="dxa"/>
            <w:tcBorders>
              <w:top w:val="single" w:sz="4" w:space="0" w:color="000000"/>
              <w:left w:val="nil"/>
              <w:bottom w:val="single" w:sz="4" w:space="0" w:color="000000"/>
              <w:right w:val="nil"/>
            </w:tcBorders>
            <w:shd w:val="clear" w:color="auto" w:fill="auto"/>
            <w:tcMar>
              <w:top w:w="0" w:type="dxa"/>
              <w:left w:w="0" w:type="dxa"/>
              <w:bottom w:w="0" w:type="dxa"/>
              <w:right w:w="0" w:type="dxa"/>
            </w:tcMar>
          </w:tcPr>
          <w:p w14:paraId="6B2BABF1" w14:textId="77777777" w:rsidR="00A97DC5" w:rsidRDefault="00FC534B">
            <w:pPr>
              <w:widowControl w:val="0"/>
              <w:spacing w:after="0" w:line="240" w:lineRule="auto"/>
              <w:rPr>
                <w:rFonts w:ascii="Century" w:eastAsia="Century" w:hAnsi="Century" w:cs="Century"/>
                <w:sz w:val="16"/>
                <w:szCs w:val="16"/>
              </w:rPr>
            </w:pPr>
            <w:r>
              <w:rPr>
                <w:rFonts w:ascii="Century" w:eastAsia="Century" w:hAnsi="Century" w:cs="Century"/>
                <w:sz w:val="16"/>
                <w:szCs w:val="16"/>
              </w:rPr>
              <w:t>4.30</w:t>
            </w:r>
          </w:p>
        </w:tc>
        <w:tc>
          <w:tcPr>
            <w:tcW w:w="1297" w:type="dxa"/>
            <w:tcBorders>
              <w:top w:val="single" w:sz="4" w:space="0" w:color="000000"/>
              <w:left w:val="nil"/>
              <w:bottom w:val="single" w:sz="4" w:space="0" w:color="000000"/>
              <w:right w:val="nil"/>
            </w:tcBorders>
            <w:shd w:val="clear" w:color="auto" w:fill="auto"/>
            <w:tcMar>
              <w:top w:w="0" w:type="dxa"/>
              <w:left w:w="0" w:type="dxa"/>
              <w:bottom w:w="0" w:type="dxa"/>
              <w:right w:w="0" w:type="dxa"/>
            </w:tcMar>
          </w:tcPr>
          <w:p w14:paraId="05703BEF" w14:textId="77777777" w:rsidR="00A97DC5" w:rsidRDefault="00FC534B">
            <w:pPr>
              <w:widowControl w:val="0"/>
              <w:spacing w:after="0" w:line="240" w:lineRule="auto"/>
              <w:rPr>
                <w:rFonts w:ascii="Century" w:eastAsia="Century" w:hAnsi="Century" w:cs="Century"/>
                <w:sz w:val="16"/>
                <w:szCs w:val="16"/>
              </w:rPr>
            </w:pPr>
            <w:r>
              <w:rPr>
                <w:rFonts w:ascii="Century" w:eastAsia="Century" w:hAnsi="Century" w:cs="Century"/>
                <w:sz w:val="16"/>
                <w:szCs w:val="16"/>
              </w:rPr>
              <w:t>Exceptional</w:t>
            </w:r>
          </w:p>
        </w:tc>
      </w:tr>
      <w:tr w:rsidR="00A97DC5" w14:paraId="02AB0FB7" w14:textId="77777777">
        <w:tc>
          <w:tcPr>
            <w:tcW w:w="1860" w:type="dxa"/>
            <w:tcBorders>
              <w:top w:val="single" w:sz="4" w:space="0" w:color="000000"/>
              <w:left w:val="nil"/>
              <w:bottom w:val="single" w:sz="4" w:space="0" w:color="000000"/>
              <w:right w:val="nil"/>
            </w:tcBorders>
            <w:shd w:val="clear" w:color="auto" w:fill="auto"/>
            <w:tcMar>
              <w:top w:w="0" w:type="dxa"/>
              <w:left w:w="0" w:type="dxa"/>
              <w:bottom w:w="0" w:type="dxa"/>
              <w:right w:w="0" w:type="dxa"/>
            </w:tcMar>
          </w:tcPr>
          <w:p w14:paraId="53C7309C" w14:textId="77777777" w:rsidR="00A97DC5" w:rsidRDefault="00FC534B">
            <w:pPr>
              <w:widowControl w:val="0"/>
              <w:spacing w:after="0" w:line="240" w:lineRule="auto"/>
              <w:rPr>
                <w:rFonts w:ascii="Century" w:eastAsia="Century" w:hAnsi="Century" w:cs="Century"/>
                <w:sz w:val="16"/>
                <w:szCs w:val="16"/>
              </w:rPr>
            </w:pPr>
            <w:r>
              <w:rPr>
                <w:rFonts w:ascii="Century" w:eastAsia="Century" w:hAnsi="Century" w:cs="Century"/>
                <w:sz w:val="16"/>
                <w:szCs w:val="16"/>
              </w:rPr>
              <w:t>Process Orientation</w:t>
            </w:r>
          </w:p>
        </w:tc>
        <w:tc>
          <w:tcPr>
            <w:tcW w:w="1297" w:type="dxa"/>
            <w:tcBorders>
              <w:top w:val="single" w:sz="4" w:space="0" w:color="000000"/>
              <w:bottom w:val="single" w:sz="4" w:space="0" w:color="000000"/>
            </w:tcBorders>
            <w:shd w:val="clear" w:color="auto" w:fill="auto"/>
            <w:tcMar>
              <w:top w:w="0" w:type="dxa"/>
              <w:left w:w="0" w:type="dxa"/>
              <w:bottom w:w="0" w:type="dxa"/>
              <w:right w:w="0" w:type="dxa"/>
            </w:tcMar>
          </w:tcPr>
          <w:p w14:paraId="1BA0C124" w14:textId="77777777" w:rsidR="00A97DC5" w:rsidRDefault="00A97DC5">
            <w:pPr>
              <w:widowControl w:val="0"/>
              <w:spacing w:after="0" w:line="240" w:lineRule="auto"/>
              <w:rPr>
                <w:rFonts w:ascii="Century" w:eastAsia="Century" w:hAnsi="Century" w:cs="Century"/>
                <w:sz w:val="16"/>
                <w:szCs w:val="16"/>
              </w:rPr>
            </w:pPr>
          </w:p>
        </w:tc>
        <w:tc>
          <w:tcPr>
            <w:tcW w:w="1297" w:type="dxa"/>
            <w:tcBorders>
              <w:top w:val="single" w:sz="4" w:space="0" w:color="000000"/>
              <w:bottom w:val="single" w:sz="4" w:space="0" w:color="000000"/>
              <w:right w:val="nil"/>
            </w:tcBorders>
            <w:shd w:val="clear" w:color="auto" w:fill="auto"/>
            <w:tcMar>
              <w:top w:w="0" w:type="dxa"/>
              <w:left w:w="0" w:type="dxa"/>
              <w:bottom w:w="0" w:type="dxa"/>
              <w:right w:w="0" w:type="dxa"/>
            </w:tcMar>
          </w:tcPr>
          <w:p w14:paraId="011E4E36" w14:textId="77777777" w:rsidR="00A97DC5" w:rsidRDefault="00A97DC5">
            <w:pPr>
              <w:widowControl w:val="0"/>
              <w:spacing w:after="0" w:line="240" w:lineRule="auto"/>
              <w:rPr>
                <w:rFonts w:ascii="Century" w:eastAsia="Century" w:hAnsi="Century" w:cs="Century"/>
                <w:sz w:val="16"/>
                <w:szCs w:val="16"/>
              </w:rPr>
            </w:pPr>
          </w:p>
        </w:tc>
      </w:tr>
      <w:tr w:rsidR="00A97DC5" w14:paraId="315F439E" w14:textId="77777777">
        <w:tc>
          <w:tcPr>
            <w:tcW w:w="1860" w:type="dxa"/>
            <w:tcBorders>
              <w:top w:val="single" w:sz="4" w:space="0" w:color="000000"/>
              <w:left w:val="nil"/>
              <w:bottom w:val="nil"/>
              <w:right w:val="nil"/>
            </w:tcBorders>
            <w:shd w:val="clear" w:color="auto" w:fill="auto"/>
            <w:tcMar>
              <w:top w:w="0" w:type="dxa"/>
              <w:left w:w="0" w:type="dxa"/>
              <w:bottom w:w="0" w:type="dxa"/>
              <w:right w:w="0" w:type="dxa"/>
            </w:tcMar>
          </w:tcPr>
          <w:p w14:paraId="77868564" w14:textId="77777777" w:rsidR="00A97DC5" w:rsidRDefault="00FC534B">
            <w:pPr>
              <w:widowControl w:val="0"/>
              <w:spacing w:after="0" w:line="240" w:lineRule="auto"/>
              <w:rPr>
                <w:rFonts w:ascii="Century" w:eastAsia="Century" w:hAnsi="Century" w:cs="Century"/>
                <w:sz w:val="16"/>
                <w:szCs w:val="16"/>
              </w:rPr>
            </w:pPr>
            <w:r>
              <w:rPr>
                <w:rFonts w:ascii="Century" w:eastAsia="Century" w:hAnsi="Century" w:cs="Century"/>
                <w:sz w:val="16"/>
                <w:szCs w:val="16"/>
              </w:rPr>
              <w:t>Modelling</w:t>
            </w:r>
          </w:p>
        </w:tc>
        <w:tc>
          <w:tcPr>
            <w:tcW w:w="1297" w:type="dxa"/>
            <w:tcBorders>
              <w:top w:val="single" w:sz="4" w:space="0" w:color="000000"/>
              <w:left w:val="nil"/>
              <w:bottom w:val="nil"/>
              <w:right w:val="nil"/>
            </w:tcBorders>
            <w:shd w:val="clear" w:color="auto" w:fill="auto"/>
            <w:tcMar>
              <w:top w:w="0" w:type="dxa"/>
              <w:left w:w="0" w:type="dxa"/>
              <w:bottom w:w="0" w:type="dxa"/>
              <w:right w:w="0" w:type="dxa"/>
            </w:tcMar>
          </w:tcPr>
          <w:p w14:paraId="7EB85594" w14:textId="77777777" w:rsidR="00A97DC5" w:rsidRDefault="00FC534B">
            <w:pPr>
              <w:widowControl w:val="0"/>
              <w:spacing w:after="0" w:line="240" w:lineRule="auto"/>
              <w:rPr>
                <w:rFonts w:ascii="Century" w:eastAsia="Century" w:hAnsi="Century" w:cs="Century"/>
                <w:sz w:val="16"/>
                <w:szCs w:val="16"/>
              </w:rPr>
            </w:pPr>
            <w:r>
              <w:rPr>
                <w:rFonts w:ascii="Century" w:eastAsia="Century" w:hAnsi="Century" w:cs="Century"/>
                <w:sz w:val="16"/>
                <w:szCs w:val="16"/>
              </w:rPr>
              <w:t>4.20</w:t>
            </w:r>
          </w:p>
        </w:tc>
        <w:tc>
          <w:tcPr>
            <w:tcW w:w="1297" w:type="dxa"/>
            <w:tcBorders>
              <w:top w:val="single" w:sz="4" w:space="0" w:color="000000"/>
              <w:left w:val="nil"/>
              <w:bottom w:val="nil"/>
              <w:right w:val="nil"/>
            </w:tcBorders>
            <w:shd w:val="clear" w:color="auto" w:fill="auto"/>
            <w:tcMar>
              <w:top w:w="0" w:type="dxa"/>
              <w:left w:w="0" w:type="dxa"/>
              <w:bottom w:w="0" w:type="dxa"/>
              <w:right w:w="0" w:type="dxa"/>
            </w:tcMar>
          </w:tcPr>
          <w:p w14:paraId="00B81737" w14:textId="77777777" w:rsidR="00A97DC5" w:rsidRDefault="00FC534B">
            <w:pPr>
              <w:widowControl w:val="0"/>
              <w:spacing w:after="0" w:line="240" w:lineRule="auto"/>
              <w:rPr>
                <w:rFonts w:ascii="Century" w:eastAsia="Century" w:hAnsi="Century" w:cs="Century"/>
                <w:sz w:val="16"/>
                <w:szCs w:val="16"/>
              </w:rPr>
            </w:pPr>
            <w:r>
              <w:rPr>
                <w:rFonts w:ascii="Century" w:eastAsia="Century" w:hAnsi="Century" w:cs="Century"/>
                <w:sz w:val="16"/>
                <w:szCs w:val="16"/>
              </w:rPr>
              <w:t>Exceptional</w:t>
            </w:r>
          </w:p>
        </w:tc>
      </w:tr>
      <w:tr w:rsidR="00A97DC5" w14:paraId="191A05EF" w14:textId="77777777">
        <w:tc>
          <w:tcPr>
            <w:tcW w:w="1860" w:type="dxa"/>
            <w:tcBorders>
              <w:top w:val="nil"/>
              <w:left w:val="nil"/>
              <w:bottom w:val="nil"/>
              <w:right w:val="nil"/>
            </w:tcBorders>
            <w:shd w:val="clear" w:color="auto" w:fill="auto"/>
            <w:tcMar>
              <w:top w:w="0" w:type="dxa"/>
              <w:left w:w="0" w:type="dxa"/>
              <w:bottom w:w="0" w:type="dxa"/>
              <w:right w:w="0" w:type="dxa"/>
            </w:tcMar>
          </w:tcPr>
          <w:p w14:paraId="2EB1C570" w14:textId="77777777" w:rsidR="00A97DC5" w:rsidRDefault="00FC534B">
            <w:pPr>
              <w:widowControl w:val="0"/>
              <w:spacing w:after="0" w:line="240" w:lineRule="auto"/>
              <w:rPr>
                <w:rFonts w:ascii="Century" w:eastAsia="Century" w:hAnsi="Century" w:cs="Century"/>
                <w:sz w:val="16"/>
                <w:szCs w:val="16"/>
              </w:rPr>
            </w:pPr>
            <w:r>
              <w:rPr>
                <w:rFonts w:ascii="Century" w:eastAsia="Century" w:hAnsi="Century" w:cs="Century"/>
                <w:sz w:val="16"/>
                <w:szCs w:val="16"/>
              </w:rPr>
              <w:t>Team Building</w:t>
            </w:r>
          </w:p>
        </w:tc>
        <w:tc>
          <w:tcPr>
            <w:tcW w:w="1297" w:type="dxa"/>
            <w:tcBorders>
              <w:top w:val="nil"/>
              <w:left w:val="nil"/>
              <w:bottom w:val="nil"/>
              <w:right w:val="nil"/>
            </w:tcBorders>
            <w:shd w:val="clear" w:color="auto" w:fill="auto"/>
            <w:tcMar>
              <w:top w:w="0" w:type="dxa"/>
              <w:left w:w="0" w:type="dxa"/>
              <w:bottom w:w="0" w:type="dxa"/>
              <w:right w:w="0" w:type="dxa"/>
            </w:tcMar>
          </w:tcPr>
          <w:p w14:paraId="74F03223" w14:textId="77777777" w:rsidR="00A97DC5" w:rsidRDefault="00FC534B">
            <w:pPr>
              <w:widowControl w:val="0"/>
              <w:spacing w:after="0" w:line="240" w:lineRule="auto"/>
              <w:rPr>
                <w:rFonts w:ascii="Century" w:eastAsia="Century" w:hAnsi="Century" w:cs="Century"/>
                <w:sz w:val="16"/>
                <w:szCs w:val="16"/>
              </w:rPr>
            </w:pPr>
            <w:r>
              <w:rPr>
                <w:rFonts w:ascii="Century" w:eastAsia="Century" w:hAnsi="Century" w:cs="Century"/>
                <w:sz w:val="16"/>
                <w:szCs w:val="16"/>
              </w:rPr>
              <w:t>4.28</w:t>
            </w:r>
          </w:p>
        </w:tc>
        <w:tc>
          <w:tcPr>
            <w:tcW w:w="1297" w:type="dxa"/>
            <w:tcBorders>
              <w:top w:val="nil"/>
              <w:left w:val="nil"/>
              <w:bottom w:val="nil"/>
              <w:right w:val="nil"/>
            </w:tcBorders>
            <w:shd w:val="clear" w:color="auto" w:fill="auto"/>
            <w:tcMar>
              <w:top w:w="0" w:type="dxa"/>
              <w:left w:w="0" w:type="dxa"/>
              <w:bottom w:w="0" w:type="dxa"/>
              <w:right w:w="0" w:type="dxa"/>
            </w:tcMar>
          </w:tcPr>
          <w:p w14:paraId="3DC0661C" w14:textId="77777777" w:rsidR="00A97DC5" w:rsidRDefault="00FC534B">
            <w:pPr>
              <w:widowControl w:val="0"/>
              <w:spacing w:after="0" w:line="240" w:lineRule="auto"/>
              <w:rPr>
                <w:rFonts w:ascii="Century" w:eastAsia="Century" w:hAnsi="Century" w:cs="Century"/>
                <w:sz w:val="16"/>
                <w:szCs w:val="16"/>
              </w:rPr>
            </w:pPr>
            <w:r>
              <w:rPr>
                <w:rFonts w:ascii="Century" w:eastAsia="Century" w:hAnsi="Century" w:cs="Century"/>
                <w:sz w:val="16"/>
                <w:szCs w:val="16"/>
              </w:rPr>
              <w:t>Exceptional</w:t>
            </w:r>
          </w:p>
        </w:tc>
      </w:tr>
      <w:tr w:rsidR="00A97DC5" w14:paraId="38994942" w14:textId="77777777">
        <w:tc>
          <w:tcPr>
            <w:tcW w:w="1860" w:type="dxa"/>
            <w:tcBorders>
              <w:top w:val="nil"/>
              <w:left w:val="nil"/>
              <w:bottom w:val="single" w:sz="4" w:space="0" w:color="000000"/>
              <w:right w:val="nil"/>
            </w:tcBorders>
            <w:shd w:val="clear" w:color="auto" w:fill="auto"/>
            <w:tcMar>
              <w:top w:w="0" w:type="dxa"/>
              <w:left w:w="0" w:type="dxa"/>
              <w:bottom w:w="0" w:type="dxa"/>
              <w:right w:w="0" w:type="dxa"/>
            </w:tcMar>
          </w:tcPr>
          <w:p w14:paraId="1662596D" w14:textId="77777777" w:rsidR="00A97DC5" w:rsidRDefault="00FC534B">
            <w:pPr>
              <w:widowControl w:val="0"/>
              <w:spacing w:after="0" w:line="240" w:lineRule="auto"/>
              <w:rPr>
                <w:rFonts w:ascii="Century" w:eastAsia="Century" w:hAnsi="Century" w:cs="Century"/>
                <w:sz w:val="16"/>
                <w:szCs w:val="16"/>
              </w:rPr>
            </w:pPr>
            <w:r>
              <w:rPr>
                <w:rFonts w:ascii="Century" w:eastAsia="Century" w:hAnsi="Century" w:cs="Century"/>
                <w:sz w:val="16"/>
                <w:szCs w:val="16"/>
              </w:rPr>
              <w:t>Shared Decision Making</w:t>
            </w:r>
          </w:p>
        </w:tc>
        <w:tc>
          <w:tcPr>
            <w:tcW w:w="1297" w:type="dxa"/>
            <w:tcBorders>
              <w:top w:val="nil"/>
              <w:left w:val="nil"/>
              <w:bottom w:val="single" w:sz="4" w:space="0" w:color="000000"/>
              <w:right w:val="nil"/>
            </w:tcBorders>
            <w:shd w:val="clear" w:color="auto" w:fill="auto"/>
            <w:tcMar>
              <w:top w:w="0" w:type="dxa"/>
              <w:left w:w="0" w:type="dxa"/>
              <w:bottom w:w="0" w:type="dxa"/>
              <w:right w:w="0" w:type="dxa"/>
            </w:tcMar>
          </w:tcPr>
          <w:p w14:paraId="560D5588" w14:textId="77777777" w:rsidR="00A97DC5" w:rsidRDefault="00FC534B">
            <w:pPr>
              <w:widowControl w:val="0"/>
              <w:spacing w:after="0" w:line="240" w:lineRule="auto"/>
              <w:rPr>
                <w:rFonts w:ascii="Century" w:eastAsia="Century" w:hAnsi="Century" w:cs="Century"/>
                <w:sz w:val="16"/>
                <w:szCs w:val="16"/>
              </w:rPr>
            </w:pPr>
            <w:r>
              <w:rPr>
                <w:rFonts w:ascii="Century" w:eastAsia="Century" w:hAnsi="Century" w:cs="Century"/>
                <w:sz w:val="16"/>
                <w:szCs w:val="16"/>
              </w:rPr>
              <w:t>4.24</w:t>
            </w:r>
          </w:p>
        </w:tc>
        <w:tc>
          <w:tcPr>
            <w:tcW w:w="1297" w:type="dxa"/>
            <w:tcBorders>
              <w:top w:val="nil"/>
              <w:left w:val="nil"/>
              <w:bottom w:val="single" w:sz="4" w:space="0" w:color="000000"/>
              <w:right w:val="nil"/>
            </w:tcBorders>
            <w:shd w:val="clear" w:color="auto" w:fill="auto"/>
            <w:tcMar>
              <w:top w:w="0" w:type="dxa"/>
              <w:left w:w="0" w:type="dxa"/>
              <w:bottom w:w="0" w:type="dxa"/>
              <w:right w:w="0" w:type="dxa"/>
            </w:tcMar>
          </w:tcPr>
          <w:p w14:paraId="58971F51" w14:textId="77777777" w:rsidR="00A97DC5" w:rsidRDefault="00FC534B">
            <w:pPr>
              <w:widowControl w:val="0"/>
              <w:spacing w:after="0" w:line="240" w:lineRule="auto"/>
              <w:rPr>
                <w:rFonts w:ascii="Century" w:eastAsia="Century" w:hAnsi="Century" w:cs="Century"/>
                <w:sz w:val="16"/>
                <w:szCs w:val="16"/>
              </w:rPr>
            </w:pPr>
            <w:r>
              <w:rPr>
                <w:rFonts w:ascii="Century" w:eastAsia="Century" w:hAnsi="Century" w:cs="Century"/>
                <w:sz w:val="16"/>
                <w:szCs w:val="16"/>
              </w:rPr>
              <w:t>Exceptional</w:t>
            </w:r>
          </w:p>
        </w:tc>
      </w:tr>
      <w:tr w:rsidR="00A97DC5" w14:paraId="2434F65E" w14:textId="77777777">
        <w:tc>
          <w:tcPr>
            <w:tcW w:w="1860" w:type="dxa"/>
            <w:tcBorders>
              <w:top w:val="single" w:sz="4" w:space="0" w:color="000000"/>
              <w:left w:val="nil"/>
              <w:bottom w:val="single" w:sz="4" w:space="0" w:color="000000"/>
              <w:right w:val="nil"/>
            </w:tcBorders>
            <w:shd w:val="clear" w:color="auto" w:fill="auto"/>
            <w:tcMar>
              <w:top w:w="0" w:type="dxa"/>
              <w:left w:w="0" w:type="dxa"/>
              <w:bottom w:w="0" w:type="dxa"/>
              <w:right w:w="0" w:type="dxa"/>
            </w:tcMar>
          </w:tcPr>
          <w:p w14:paraId="6B9C32DB" w14:textId="77777777" w:rsidR="00A97DC5" w:rsidRDefault="00FC534B">
            <w:pPr>
              <w:widowControl w:val="0"/>
              <w:spacing w:after="0" w:line="240" w:lineRule="auto"/>
              <w:rPr>
                <w:rFonts w:ascii="Century" w:eastAsia="Century" w:hAnsi="Century" w:cs="Century"/>
                <w:sz w:val="16"/>
                <w:szCs w:val="16"/>
              </w:rPr>
            </w:pPr>
            <w:r>
              <w:rPr>
                <w:rFonts w:ascii="Century" w:eastAsia="Century" w:hAnsi="Century" w:cs="Century"/>
                <w:sz w:val="16"/>
                <w:szCs w:val="16"/>
              </w:rPr>
              <w:t>Grand Mean</w:t>
            </w:r>
          </w:p>
        </w:tc>
        <w:tc>
          <w:tcPr>
            <w:tcW w:w="1297" w:type="dxa"/>
            <w:tcBorders>
              <w:top w:val="single" w:sz="4" w:space="0" w:color="000000"/>
              <w:left w:val="nil"/>
              <w:bottom w:val="single" w:sz="4" w:space="0" w:color="000000"/>
              <w:right w:val="nil"/>
            </w:tcBorders>
            <w:shd w:val="clear" w:color="auto" w:fill="auto"/>
            <w:tcMar>
              <w:top w:w="0" w:type="dxa"/>
              <w:left w:w="0" w:type="dxa"/>
              <w:bottom w:w="0" w:type="dxa"/>
              <w:right w:w="0" w:type="dxa"/>
            </w:tcMar>
          </w:tcPr>
          <w:p w14:paraId="6257D924" w14:textId="77777777" w:rsidR="00A97DC5" w:rsidRDefault="00FC534B">
            <w:pPr>
              <w:widowControl w:val="0"/>
              <w:spacing w:after="0" w:line="240" w:lineRule="auto"/>
              <w:rPr>
                <w:rFonts w:ascii="Century" w:eastAsia="Century" w:hAnsi="Century" w:cs="Century"/>
                <w:sz w:val="16"/>
                <w:szCs w:val="16"/>
              </w:rPr>
            </w:pPr>
            <w:r>
              <w:rPr>
                <w:rFonts w:ascii="Century" w:eastAsia="Century" w:hAnsi="Century" w:cs="Century"/>
                <w:sz w:val="16"/>
                <w:szCs w:val="16"/>
              </w:rPr>
              <w:t>4.24</w:t>
            </w:r>
          </w:p>
        </w:tc>
        <w:tc>
          <w:tcPr>
            <w:tcW w:w="1297" w:type="dxa"/>
            <w:tcBorders>
              <w:top w:val="single" w:sz="4" w:space="0" w:color="000000"/>
              <w:left w:val="nil"/>
              <w:bottom w:val="single" w:sz="4" w:space="0" w:color="000000"/>
              <w:right w:val="nil"/>
            </w:tcBorders>
            <w:shd w:val="clear" w:color="auto" w:fill="auto"/>
            <w:tcMar>
              <w:top w:w="0" w:type="dxa"/>
              <w:left w:w="0" w:type="dxa"/>
              <w:bottom w:w="0" w:type="dxa"/>
              <w:right w:w="0" w:type="dxa"/>
            </w:tcMar>
          </w:tcPr>
          <w:p w14:paraId="5F323555" w14:textId="77777777" w:rsidR="00A97DC5" w:rsidRDefault="00FC534B">
            <w:pPr>
              <w:widowControl w:val="0"/>
              <w:spacing w:after="0" w:line="240" w:lineRule="auto"/>
              <w:rPr>
                <w:rFonts w:ascii="Century" w:eastAsia="Century" w:hAnsi="Century" w:cs="Century"/>
                <w:sz w:val="16"/>
                <w:szCs w:val="16"/>
              </w:rPr>
            </w:pPr>
            <w:r>
              <w:rPr>
                <w:rFonts w:ascii="Century" w:eastAsia="Century" w:hAnsi="Century" w:cs="Century"/>
                <w:sz w:val="16"/>
                <w:szCs w:val="16"/>
              </w:rPr>
              <w:t>Exceptional</w:t>
            </w:r>
          </w:p>
        </w:tc>
      </w:tr>
    </w:tbl>
    <w:p w14:paraId="1EDC2AA0" w14:textId="77777777" w:rsidR="00A97DC5" w:rsidRDefault="00FC534B">
      <w:pPr>
        <w:spacing w:before="200"/>
        <w:jc w:val="both"/>
        <w:rPr>
          <w:rFonts w:ascii="Century" w:eastAsia="Century" w:hAnsi="Century" w:cs="Century"/>
          <w:i/>
        </w:rPr>
      </w:pPr>
      <w:r>
        <w:rPr>
          <w:rFonts w:ascii="Century" w:eastAsia="Century" w:hAnsi="Century" w:cs="Century"/>
          <w:i/>
        </w:rPr>
        <w:t xml:space="preserve">3.2 Level of </w:t>
      </w:r>
      <w:r>
        <w:rPr>
          <w:rFonts w:ascii="Century" w:eastAsia="Century" w:hAnsi="Century" w:cs="Century"/>
          <w:i/>
        </w:rPr>
        <w:t>Servant Leadership Practices of the Principals</w:t>
      </w:r>
    </w:p>
    <w:p w14:paraId="7F5BF19F" w14:textId="77777777" w:rsidR="00A97DC5" w:rsidRDefault="00FC534B">
      <w:pPr>
        <w:spacing w:before="200"/>
        <w:jc w:val="both"/>
        <w:rPr>
          <w:rFonts w:ascii="Century" w:eastAsia="Century" w:hAnsi="Century" w:cs="Century"/>
          <w:sz w:val="18"/>
          <w:szCs w:val="18"/>
        </w:rPr>
      </w:pPr>
      <w:r>
        <w:rPr>
          <w:rFonts w:ascii="Century" w:eastAsia="Century" w:hAnsi="Century" w:cs="Century"/>
          <w:sz w:val="18"/>
          <w:szCs w:val="18"/>
        </w:rPr>
        <w:t>Table 2 presents the combined results of six core dimensions of servant leadership: Conceptualizing, Emotional Healing, Putting Followers First, Behaving Ethically, Empowering, and Creating Value for the Commu</w:t>
      </w:r>
      <w:r>
        <w:rPr>
          <w:rFonts w:ascii="Century" w:eastAsia="Century" w:hAnsi="Century" w:cs="Century"/>
          <w:sz w:val="18"/>
          <w:szCs w:val="18"/>
        </w:rPr>
        <w:t xml:space="preserve">nity. These dimensions reflect how school leaders in Northern Samar embody the deeper psychological, moral, and community-centered traits of servant leadership beyond tasks and processes. The overall findings indicate that these school leaders demonstrate </w:t>
      </w:r>
      <w:r>
        <w:rPr>
          <w:rFonts w:ascii="Century" w:eastAsia="Century" w:hAnsi="Century" w:cs="Century"/>
          <w:sz w:val="18"/>
          <w:szCs w:val="18"/>
        </w:rPr>
        <w:t>a strong servant leadership orientation, with grand means consistently interpreted as either Exceptional Strategic Thinking or Strong but Inconsistent—suggesting high potential with varying levels of consistency across dimensions.</w:t>
      </w:r>
    </w:p>
    <w:p w14:paraId="05515521" w14:textId="77777777" w:rsidR="00A97DC5" w:rsidRDefault="00FC534B">
      <w:pPr>
        <w:spacing w:before="200"/>
        <w:jc w:val="both"/>
        <w:rPr>
          <w:rFonts w:ascii="Century" w:eastAsia="Century" w:hAnsi="Century" w:cs="Century"/>
          <w:sz w:val="18"/>
          <w:szCs w:val="18"/>
        </w:rPr>
      </w:pPr>
      <w:r>
        <w:rPr>
          <w:rFonts w:ascii="Century" w:eastAsia="Century" w:hAnsi="Century" w:cs="Century"/>
          <w:sz w:val="18"/>
          <w:szCs w:val="18"/>
        </w:rPr>
        <w:t>In the Conceptualizing di</w:t>
      </w:r>
      <w:r>
        <w:rPr>
          <w:rFonts w:ascii="Century" w:eastAsia="Century" w:hAnsi="Century" w:cs="Century"/>
          <w:sz w:val="18"/>
          <w:szCs w:val="18"/>
        </w:rPr>
        <w:t>mension (Grand Mean = 3.91), school leaders demonstrated competence in strategic thinking, organizational awareness, and guiding others through complex challenges. However, inconsistencies were observed in areas involving interpersonal trust and consultati</w:t>
      </w:r>
      <w:r>
        <w:rPr>
          <w:rFonts w:ascii="Century" w:eastAsia="Century" w:hAnsi="Century" w:cs="Century"/>
          <w:sz w:val="18"/>
          <w:szCs w:val="18"/>
        </w:rPr>
        <w:t>ve decision-making. These findings suggest a need to balance cognitive leadership with emotional intelligence—particularly approachability, empathy, and openness. As Patterson (2003) and Greenleaf (1977) noted, a servant leader must not only think ahead bu</w:t>
      </w:r>
      <w:r>
        <w:rPr>
          <w:rFonts w:ascii="Century" w:eastAsia="Century" w:hAnsi="Century" w:cs="Century"/>
          <w:sz w:val="18"/>
          <w:szCs w:val="18"/>
        </w:rPr>
        <w:t>t also be relationally present. Leadership mentoring, reflective practice, and consultative management could help strengthen this dimension further.</w:t>
      </w:r>
    </w:p>
    <w:p w14:paraId="1C3B89EA" w14:textId="77777777" w:rsidR="00A97DC5" w:rsidRDefault="00FC534B">
      <w:pPr>
        <w:spacing w:before="200"/>
        <w:jc w:val="both"/>
        <w:rPr>
          <w:rFonts w:ascii="Century" w:eastAsia="Century" w:hAnsi="Century" w:cs="Century"/>
          <w:sz w:val="18"/>
          <w:szCs w:val="18"/>
        </w:rPr>
      </w:pPr>
      <w:r>
        <w:rPr>
          <w:rFonts w:ascii="Century" w:eastAsia="Century" w:hAnsi="Century" w:cs="Century"/>
          <w:sz w:val="18"/>
          <w:szCs w:val="18"/>
        </w:rPr>
        <w:t>For Emotional Healing (Grand Mean = 4.05), results indicate that many principals are empathetic and support</w:t>
      </w:r>
      <w:r>
        <w:rPr>
          <w:rFonts w:ascii="Century" w:eastAsia="Century" w:hAnsi="Century" w:cs="Century"/>
          <w:sz w:val="18"/>
          <w:szCs w:val="18"/>
        </w:rPr>
        <w:t xml:space="preserve">ive, though emotional sensitivity is not always embedded in daily leadership practice. Leaders were viewed as caring, but there remains room to deepen emotional presence and trust-building behaviors. As Ciriello (2006) and Wheatley (2002) emphasize, </w:t>
      </w:r>
      <w:r>
        <w:rPr>
          <w:rFonts w:ascii="Century" w:eastAsia="Century" w:hAnsi="Century" w:cs="Century"/>
          <w:sz w:val="18"/>
          <w:szCs w:val="18"/>
        </w:rPr>
        <w:t>compas</w:t>
      </w:r>
      <w:r>
        <w:rPr>
          <w:rFonts w:ascii="Century" w:eastAsia="Century" w:hAnsi="Century" w:cs="Century"/>
          <w:sz w:val="18"/>
          <w:szCs w:val="18"/>
        </w:rPr>
        <w:t>sion and moral care are central to servant leadership—particularly in educational contexts where relationships directly affect school climate and teacher retention.</w:t>
      </w:r>
    </w:p>
    <w:p w14:paraId="33268EF4" w14:textId="77777777" w:rsidR="00A97DC5" w:rsidRDefault="00FC534B">
      <w:pPr>
        <w:spacing w:before="200"/>
        <w:jc w:val="both"/>
        <w:rPr>
          <w:rFonts w:ascii="Century" w:eastAsia="Century" w:hAnsi="Century" w:cs="Century"/>
          <w:sz w:val="18"/>
          <w:szCs w:val="18"/>
        </w:rPr>
      </w:pPr>
      <w:r>
        <w:rPr>
          <w:rFonts w:ascii="Century" w:eastAsia="Century" w:hAnsi="Century" w:cs="Century"/>
          <w:sz w:val="18"/>
          <w:szCs w:val="18"/>
        </w:rPr>
        <w:t>The Putting Followers First dimension received one of the strongest evaluations, with a Gra</w:t>
      </w:r>
      <w:r>
        <w:rPr>
          <w:rFonts w:ascii="Century" w:eastAsia="Century" w:hAnsi="Century" w:cs="Century"/>
          <w:sz w:val="18"/>
          <w:szCs w:val="18"/>
        </w:rPr>
        <w:t>nd Mean of 4.25, interpreted as Exceptional. This highlights a consistent perception that school leaders prioritize the well-being, professional growth, and success of their staff. These results align with Page and Wong’s (2003) servant leadership framewor</w:t>
      </w:r>
      <w:r>
        <w:rPr>
          <w:rFonts w:ascii="Century" w:eastAsia="Century" w:hAnsi="Century" w:cs="Century"/>
          <w:sz w:val="18"/>
          <w:szCs w:val="18"/>
        </w:rPr>
        <w:t>k and Patterson’s (2003) view of empowerment and ethical service as core virtues. School leaders in the study were seen as ethical mentors and facilitators of professional development—qualities essential for fostering high morale and staff retention.</w:t>
      </w:r>
    </w:p>
    <w:p w14:paraId="69470247" w14:textId="77777777" w:rsidR="00A97DC5" w:rsidRDefault="00FC534B">
      <w:pPr>
        <w:spacing w:before="200"/>
        <w:jc w:val="both"/>
        <w:rPr>
          <w:rFonts w:ascii="Century" w:eastAsia="Century" w:hAnsi="Century" w:cs="Century"/>
          <w:sz w:val="18"/>
          <w:szCs w:val="18"/>
        </w:rPr>
      </w:pPr>
      <w:r>
        <w:rPr>
          <w:rFonts w:ascii="Century" w:eastAsia="Century" w:hAnsi="Century" w:cs="Century"/>
          <w:sz w:val="18"/>
          <w:szCs w:val="18"/>
        </w:rPr>
        <w:t>In Be</w:t>
      </w:r>
      <w:r>
        <w:rPr>
          <w:rFonts w:ascii="Century" w:eastAsia="Century" w:hAnsi="Century" w:cs="Century"/>
          <w:sz w:val="18"/>
          <w:szCs w:val="18"/>
        </w:rPr>
        <w:t>having Ethically (Grand Mean = 4.37), school principals were regarded as morally grounded, trustworthy, and sincere—hallmarks of servant leadership. This is consistent with Spears’ (2004) and Covey’s (2002) arguments that ethical behavior forms the foundat</w:t>
      </w:r>
      <w:r>
        <w:rPr>
          <w:rFonts w:ascii="Century" w:eastAsia="Century" w:hAnsi="Century" w:cs="Century"/>
          <w:sz w:val="18"/>
          <w:szCs w:val="18"/>
        </w:rPr>
        <w:t>ion of influence and legitimacy in leadership. While some inconsistencies were noted in self-sacrificial aspects, the overall strength of this dimension reflects a leadership culture built on integrity and moral conviction.</w:t>
      </w:r>
    </w:p>
    <w:p w14:paraId="642F3D40" w14:textId="77777777" w:rsidR="00A97DC5" w:rsidRDefault="00FC534B">
      <w:pPr>
        <w:spacing w:before="200"/>
        <w:jc w:val="both"/>
        <w:rPr>
          <w:rFonts w:ascii="Century" w:eastAsia="Century" w:hAnsi="Century" w:cs="Century"/>
          <w:sz w:val="18"/>
          <w:szCs w:val="18"/>
        </w:rPr>
      </w:pPr>
      <w:r>
        <w:rPr>
          <w:rFonts w:ascii="Century" w:eastAsia="Century" w:hAnsi="Century" w:cs="Century"/>
          <w:sz w:val="18"/>
          <w:szCs w:val="18"/>
        </w:rPr>
        <w:t>The Empowering dimension receive</w:t>
      </w:r>
      <w:r>
        <w:rPr>
          <w:rFonts w:ascii="Century" w:eastAsia="Century" w:hAnsi="Century" w:cs="Century"/>
          <w:sz w:val="18"/>
          <w:szCs w:val="18"/>
        </w:rPr>
        <w:t>d a Grand Mean of 4.19, interpreted as Strong but Inconsistent. This suggests that while leaders generally support autonomy and distributed leadership, there may be variability in how consistently they mentor and develop their teams. These findings echo Lu</w:t>
      </w:r>
      <w:r>
        <w:rPr>
          <w:rFonts w:ascii="Century" w:eastAsia="Century" w:hAnsi="Century" w:cs="Century"/>
          <w:sz w:val="18"/>
          <w:szCs w:val="18"/>
        </w:rPr>
        <w:t>bin’s (2001) and Girard’s (2000) observations that servant leaders may support task delegation but are less consistent in long-term staff development. Still, the positive ratings affirm a strong foundation for empowerment that could be deepened through int</w:t>
      </w:r>
      <w:r>
        <w:rPr>
          <w:rFonts w:ascii="Century" w:eastAsia="Century" w:hAnsi="Century" w:cs="Century"/>
          <w:sz w:val="18"/>
          <w:szCs w:val="18"/>
        </w:rPr>
        <w:t>entional mentoring practices.</w:t>
      </w:r>
    </w:p>
    <w:p w14:paraId="034DA9D4" w14:textId="77777777" w:rsidR="00A97DC5" w:rsidRDefault="00FC534B">
      <w:pPr>
        <w:spacing w:before="200"/>
        <w:jc w:val="both"/>
        <w:rPr>
          <w:rFonts w:ascii="Century" w:eastAsia="Century" w:hAnsi="Century" w:cs="Century"/>
          <w:sz w:val="18"/>
          <w:szCs w:val="18"/>
        </w:rPr>
      </w:pPr>
      <w:r>
        <w:rPr>
          <w:rFonts w:ascii="Century" w:eastAsia="Century" w:hAnsi="Century" w:cs="Century"/>
          <w:sz w:val="18"/>
          <w:szCs w:val="18"/>
        </w:rPr>
        <w:t>Lastly, in Creating Value for the Community, the Grand Mean was 4.21, indicating strong community-minded leadership. Principals were seen as active contributors to civic and social well-being beyond school walls. These finding</w:t>
      </w:r>
      <w:r>
        <w:rPr>
          <w:rFonts w:ascii="Century" w:eastAsia="Century" w:hAnsi="Century" w:cs="Century"/>
          <w:sz w:val="18"/>
          <w:szCs w:val="18"/>
        </w:rPr>
        <w:t>s support Greenleaf’s (1977) view of the servant leader as a steward of the community, and Spears’ (2004) emphasis on community building as a core leadership function. However, slightly lower scores in areas related to innovation and advocacy suggest an op</w:t>
      </w:r>
      <w:r>
        <w:rPr>
          <w:rFonts w:ascii="Century" w:eastAsia="Century" w:hAnsi="Century" w:cs="Century"/>
          <w:sz w:val="18"/>
          <w:szCs w:val="18"/>
        </w:rPr>
        <w:t xml:space="preserve">portunity to </w:t>
      </w:r>
      <w:r>
        <w:rPr>
          <w:rFonts w:ascii="Century" w:eastAsia="Century" w:hAnsi="Century" w:cs="Century"/>
          <w:sz w:val="18"/>
          <w:szCs w:val="18"/>
        </w:rPr>
        <w:lastRenderedPageBreak/>
        <w:t>strengthen leadership impact through creative, equity-focused community initiatives.</w:t>
      </w:r>
    </w:p>
    <w:p w14:paraId="5578DADE" w14:textId="77777777" w:rsidR="00A97DC5" w:rsidRDefault="00FC534B">
      <w:pPr>
        <w:spacing w:before="200"/>
        <w:jc w:val="both"/>
        <w:rPr>
          <w:rFonts w:ascii="Century" w:eastAsia="Century" w:hAnsi="Century" w:cs="Century"/>
          <w:sz w:val="18"/>
          <w:szCs w:val="18"/>
        </w:rPr>
      </w:pPr>
      <w:r>
        <w:rPr>
          <w:rFonts w:ascii="Century" w:eastAsia="Century" w:hAnsi="Century" w:cs="Century"/>
          <w:sz w:val="18"/>
          <w:szCs w:val="18"/>
        </w:rPr>
        <w:t>In summary, the results from Table 2 confirm that school leaders in Northern Samar display meaningful engagement across all six servant leadership dimensions.</w:t>
      </w:r>
      <w:r>
        <w:rPr>
          <w:rFonts w:ascii="Century" w:eastAsia="Century" w:hAnsi="Century" w:cs="Century"/>
          <w:sz w:val="18"/>
          <w:szCs w:val="18"/>
        </w:rPr>
        <w:t xml:space="preserve"> Their strongest traits lie in ethical behavior, putting followers first, and community involvement, with emerging potential in conceptualizing, empowering, and emotional healing. These findings affirm the relevance of servant leadership in educational con</w:t>
      </w:r>
      <w:r>
        <w:rPr>
          <w:rFonts w:ascii="Century" w:eastAsia="Century" w:hAnsi="Century" w:cs="Century"/>
          <w:sz w:val="18"/>
          <w:szCs w:val="18"/>
        </w:rPr>
        <w:t xml:space="preserve">texts—particularly in fostering inclusive, ethical, and resilient learning communities. As Patterson (2003) and Spears (2004) emphasized, the servant leader’s purpose is not just institutional success, but human flourishing within </w:t>
      </w:r>
      <w:r>
        <w:rPr>
          <w:rFonts w:ascii="Century" w:eastAsia="Century" w:hAnsi="Century" w:cs="Century"/>
          <w:sz w:val="18"/>
          <w:szCs w:val="18"/>
        </w:rPr>
        <w:t>and beyond the organizati</w:t>
      </w:r>
      <w:r>
        <w:rPr>
          <w:rFonts w:ascii="Century" w:eastAsia="Century" w:hAnsi="Century" w:cs="Century"/>
          <w:sz w:val="18"/>
          <w:szCs w:val="18"/>
        </w:rPr>
        <w:t>on—a principle well reflected in the practices of Northern Samar’s school leaders.</w:t>
      </w:r>
    </w:p>
    <w:p w14:paraId="187160FA" w14:textId="77777777" w:rsidR="00A97DC5" w:rsidRDefault="00FC534B">
      <w:pPr>
        <w:spacing w:before="200" w:after="0"/>
        <w:rPr>
          <w:rFonts w:ascii="Century" w:eastAsia="Century" w:hAnsi="Century" w:cs="Century"/>
          <w:sz w:val="18"/>
          <w:szCs w:val="18"/>
        </w:rPr>
      </w:pPr>
      <w:r>
        <w:rPr>
          <w:rFonts w:ascii="Century" w:eastAsia="Century" w:hAnsi="Century" w:cs="Century"/>
          <w:sz w:val="18"/>
          <w:szCs w:val="18"/>
        </w:rPr>
        <w:t>Table 2. Level of Servant Leadership Practices of the Principals</w:t>
      </w:r>
    </w:p>
    <w:tbl>
      <w:tblPr>
        <w:tblStyle w:val="a0"/>
        <w:tblW w:w="447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60"/>
        <w:gridCol w:w="705"/>
        <w:gridCol w:w="1905"/>
      </w:tblGrid>
      <w:tr w:rsidR="00A97DC5" w14:paraId="59169340" w14:textId="77777777">
        <w:tc>
          <w:tcPr>
            <w:tcW w:w="1860" w:type="dxa"/>
            <w:tcBorders>
              <w:top w:val="single" w:sz="4" w:space="0" w:color="000000"/>
              <w:left w:val="nil"/>
              <w:bottom w:val="single" w:sz="4" w:space="0" w:color="000000"/>
              <w:right w:val="nil"/>
            </w:tcBorders>
            <w:shd w:val="clear" w:color="auto" w:fill="auto"/>
            <w:tcMar>
              <w:top w:w="0" w:type="dxa"/>
              <w:left w:w="0" w:type="dxa"/>
              <w:bottom w:w="0" w:type="dxa"/>
              <w:right w:w="0" w:type="dxa"/>
            </w:tcMar>
            <w:vAlign w:val="center"/>
          </w:tcPr>
          <w:p w14:paraId="50A217A2" w14:textId="77777777" w:rsidR="00A97DC5" w:rsidRDefault="00FC534B">
            <w:pPr>
              <w:widowControl w:val="0"/>
              <w:spacing w:after="0" w:line="240" w:lineRule="auto"/>
              <w:rPr>
                <w:rFonts w:ascii="Century" w:eastAsia="Century" w:hAnsi="Century" w:cs="Century"/>
                <w:sz w:val="16"/>
                <w:szCs w:val="16"/>
              </w:rPr>
            </w:pPr>
            <w:r>
              <w:rPr>
                <w:rFonts w:ascii="Century" w:eastAsia="Century" w:hAnsi="Century" w:cs="Century"/>
                <w:sz w:val="16"/>
                <w:szCs w:val="16"/>
              </w:rPr>
              <w:t>Servant Leadership Practices</w:t>
            </w:r>
          </w:p>
        </w:tc>
        <w:tc>
          <w:tcPr>
            <w:tcW w:w="705" w:type="dxa"/>
            <w:tcBorders>
              <w:top w:val="single" w:sz="4" w:space="0" w:color="000000"/>
              <w:left w:val="nil"/>
              <w:bottom w:val="single" w:sz="4" w:space="0" w:color="000000"/>
              <w:right w:val="nil"/>
            </w:tcBorders>
            <w:shd w:val="clear" w:color="auto" w:fill="auto"/>
            <w:tcMar>
              <w:top w:w="0" w:type="dxa"/>
              <w:left w:w="0" w:type="dxa"/>
              <w:bottom w:w="0" w:type="dxa"/>
              <w:right w:w="0" w:type="dxa"/>
            </w:tcMar>
            <w:vAlign w:val="center"/>
          </w:tcPr>
          <w:p w14:paraId="75718042" w14:textId="77777777" w:rsidR="00A97DC5" w:rsidRDefault="00FC534B">
            <w:pPr>
              <w:widowControl w:val="0"/>
              <w:spacing w:after="0" w:line="240" w:lineRule="auto"/>
              <w:jc w:val="center"/>
              <w:rPr>
                <w:rFonts w:ascii="Century" w:eastAsia="Century" w:hAnsi="Century" w:cs="Century"/>
                <w:sz w:val="16"/>
                <w:szCs w:val="16"/>
              </w:rPr>
            </w:pPr>
            <w:r>
              <w:rPr>
                <w:rFonts w:ascii="Century" w:eastAsia="Century" w:hAnsi="Century" w:cs="Century"/>
                <w:sz w:val="16"/>
                <w:szCs w:val="16"/>
              </w:rPr>
              <w:t>Weighted mean</w:t>
            </w:r>
          </w:p>
        </w:tc>
        <w:tc>
          <w:tcPr>
            <w:tcW w:w="1905" w:type="dxa"/>
            <w:tcBorders>
              <w:top w:val="single" w:sz="4" w:space="0" w:color="000000"/>
              <w:left w:val="nil"/>
              <w:bottom w:val="single" w:sz="4" w:space="0" w:color="000000"/>
              <w:right w:val="nil"/>
            </w:tcBorders>
            <w:shd w:val="clear" w:color="auto" w:fill="auto"/>
            <w:tcMar>
              <w:top w:w="0" w:type="dxa"/>
              <w:left w:w="0" w:type="dxa"/>
              <w:bottom w:w="0" w:type="dxa"/>
              <w:right w:w="0" w:type="dxa"/>
            </w:tcMar>
            <w:vAlign w:val="center"/>
          </w:tcPr>
          <w:p w14:paraId="1E525F16" w14:textId="77777777" w:rsidR="00A97DC5" w:rsidRDefault="00FC534B">
            <w:pPr>
              <w:widowControl w:val="0"/>
              <w:spacing w:after="0" w:line="240" w:lineRule="auto"/>
              <w:jc w:val="center"/>
              <w:rPr>
                <w:rFonts w:ascii="Century" w:eastAsia="Century" w:hAnsi="Century" w:cs="Century"/>
                <w:sz w:val="16"/>
                <w:szCs w:val="16"/>
              </w:rPr>
            </w:pPr>
            <w:r>
              <w:rPr>
                <w:rFonts w:ascii="Century" w:eastAsia="Century" w:hAnsi="Century" w:cs="Century"/>
                <w:sz w:val="16"/>
                <w:szCs w:val="16"/>
              </w:rPr>
              <w:t>Interpretation</w:t>
            </w:r>
          </w:p>
        </w:tc>
      </w:tr>
      <w:tr w:rsidR="00A97DC5" w14:paraId="01EF8D53" w14:textId="77777777">
        <w:tc>
          <w:tcPr>
            <w:tcW w:w="1860" w:type="dxa"/>
            <w:tcBorders>
              <w:top w:val="single" w:sz="4" w:space="0" w:color="000000"/>
              <w:left w:val="nil"/>
              <w:bottom w:val="single" w:sz="4" w:space="0" w:color="000000"/>
              <w:right w:val="nil"/>
            </w:tcBorders>
            <w:shd w:val="clear" w:color="auto" w:fill="auto"/>
            <w:tcMar>
              <w:top w:w="0" w:type="dxa"/>
              <w:left w:w="0" w:type="dxa"/>
              <w:bottom w:w="0" w:type="dxa"/>
              <w:right w:w="0" w:type="dxa"/>
            </w:tcMar>
            <w:vAlign w:val="center"/>
          </w:tcPr>
          <w:p w14:paraId="521BEA4C" w14:textId="77777777" w:rsidR="00A97DC5" w:rsidRDefault="00FC534B">
            <w:pPr>
              <w:widowControl w:val="0"/>
              <w:spacing w:after="0" w:line="240" w:lineRule="auto"/>
              <w:rPr>
                <w:rFonts w:ascii="Century" w:eastAsia="Century" w:hAnsi="Century" w:cs="Century"/>
                <w:sz w:val="16"/>
                <w:szCs w:val="16"/>
              </w:rPr>
            </w:pPr>
            <w:r>
              <w:rPr>
                <w:rFonts w:ascii="Century" w:eastAsia="Century" w:hAnsi="Century" w:cs="Century"/>
                <w:sz w:val="16"/>
                <w:szCs w:val="16"/>
              </w:rPr>
              <w:t>Conceptualizing</w:t>
            </w:r>
          </w:p>
        </w:tc>
        <w:tc>
          <w:tcPr>
            <w:tcW w:w="705" w:type="dxa"/>
            <w:tcBorders>
              <w:top w:val="single" w:sz="4" w:space="0" w:color="000000"/>
              <w:left w:val="nil"/>
              <w:bottom w:val="single" w:sz="4" w:space="0" w:color="000000"/>
              <w:right w:val="nil"/>
            </w:tcBorders>
            <w:shd w:val="clear" w:color="auto" w:fill="auto"/>
            <w:tcMar>
              <w:top w:w="0" w:type="dxa"/>
              <w:left w:w="0" w:type="dxa"/>
              <w:bottom w:w="0" w:type="dxa"/>
              <w:right w:w="0" w:type="dxa"/>
            </w:tcMar>
            <w:vAlign w:val="center"/>
          </w:tcPr>
          <w:p w14:paraId="13F83C9B" w14:textId="77777777" w:rsidR="00A97DC5" w:rsidRDefault="00FC534B">
            <w:pPr>
              <w:widowControl w:val="0"/>
              <w:spacing w:after="0" w:line="240" w:lineRule="auto"/>
              <w:jc w:val="center"/>
              <w:rPr>
                <w:rFonts w:ascii="Century" w:eastAsia="Century" w:hAnsi="Century" w:cs="Century"/>
                <w:sz w:val="16"/>
                <w:szCs w:val="16"/>
              </w:rPr>
            </w:pPr>
            <w:r>
              <w:rPr>
                <w:rFonts w:ascii="Century" w:eastAsia="Century" w:hAnsi="Century" w:cs="Century"/>
                <w:sz w:val="16"/>
                <w:szCs w:val="16"/>
              </w:rPr>
              <w:t>3.91</w:t>
            </w:r>
          </w:p>
        </w:tc>
        <w:tc>
          <w:tcPr>
            <w:tcW w:w="1905" w:type="dxa"/>
            <w:tcBorders>
              <w:top w:val="single" w:sz="4" w:space="0" w:color="000000"/>
              <w:left w:val="nil"/>
              <w:bottom w:val="single" w:sz="4" w:space="0" w:color="000000"/>
              <w:right w:val="nil"/>
            </w:tcBorders>
            <w:shd w:val="clear" w:color="auto" w:fill="auto"/>
            <w:tcMar>
              <w:top w:w="0" w:type="dxa"/>
              <w:left w:w="0" w:type="dxa"/>
              <w:bottom w:w="0" w:type="dxa"/>
              <w:right w:w="0" w:type="dxa"/>
            </w:tcMar>
            <w:vAlign w:val="center"/>
          </w:tcPr>
          <w:p w14:paraId="3539B55D" w14:textId="77777777" w:rsidR="00A97DC5" w:rsidRDefault="00FC534B">
            <w:pPr>
              <w:widowControl w:val="0"/>
              <w:spacing w:after="0" w:line="240" w:lineRule="auto"/>
              <w:jc w:val="right"/>
              <w:rPr>
                <w:rFonts w:ascii="Century" w:eastAsia="Century" w:hAnsi="Century" w:cs="Century"/>
                <w:sz w:val="16"/>
                <w:szCs w:val="16"/>
              </w:rPr>
            </w:pPr>
            <w:r>
              <w:rPr>
                <w:rFonts w:ascii="Century" w:eastAsia="Century" w:hAnsi="Century" w:cs="Century"/>
                <w:sz w:val="16"/>
                <w:szCs w:val="16"/>
              </w:rPr>
              <w:t xml:space="preserve">Strong but </w:t>
            </w:r>
            <w:r>
              <w:rPr>
                <w:rFonts w:ascii="Century" w:eastAsia="Century" w:hAnsi="Century" w:cs="Century"/>
                <w:sz w:val="16"/>
                <w:szCs w:val="16"/>
              </w:rPr>
              <w:t>inconsistent</w:t>
            </w:r>
          </w:p>
        </w:tc>
      </w:tr>
      <w:tr w:rsidR="00A97DC5" w14:paraId="2BBB9CE8" w14:textId="77777777">
        <w:tc>
          <w:tcPr>
            <w:tcW w:w="1860" w:type="dxa"/>
            <w:tcBorders>
              <w:top w:val="single" w:sz="4" w:space="0" w:color="000000"/>
              <w:left w:val="nil"/>
              <w:bottom w:val="single" w:sz="4" w:space="0" w:color="000000"/>
              <w:right w:val="nil"/>
            </w:tcBorders>
            <w:shd w:val="clear" w:color="auto" w:fill="auto"/>
            <w:tcMar>
              <w:top w:w="0" w:type="dxa"/>
              <w:left w:w="0" w:type="dxa"/>
              <w:bottom w:w="0" w:type="dxa"/>
              <w:right w:w="0" w:type="dxa"/>
            </w:tcMar>
            <w:vAlign w:val="center"/>
          </w:tcPr>
          <w:p w14:paraId="5E0D6924" w14:textId="77777777" w:rsidR="00A97DC5" w:rsidRDefault="00FC534B">
            <w:pPr>
              <w:widowControl w:val="0"/>
              <w:spacing w:after="0" w:line="240" w:lineRule="auto"/>
              <w:rPr>
                <w:rFonts w:ascii="Century" w:eastAsia="Century" w:hAnsi="Century" w:cs="Century"/>
                <w:sz w:val="16"/>
                <w:szCs w:val="16"/>
              </w:rPr>
            </w:pPr>
            <w:r>
              <w:rPr>
                <w:rFonts w:ascii="Century" w:eastAsia="Century" w:hAnsi="Century" w:cs="Century"/>
                <w:sz w:val="16"/>
                <w:szCs w:val="16"/>
              </w:rPr>
              <w:t>Emotional Healing</w:t>
            </w:r>
          </w:p>
        </w:tc>
        <w:tc>
          <w:tcPr>
            <w:tcW w:w="705" w:type="dxa"/>
            <w:tcBorders>
              <w:top w:val="single" w:sz="4" w:space="0" w:color="000000"/>
              <w:left w:val="nil"/>
              <w:bottom w:val="single" w:sz="4" w:space="0" w:color="000000"/>
              <w:right w:val="nil"/>
            </w:tcBorders>
            <w:shd w:val="clear" w:color="auto" w:fill="auto"/>
            <w:tcMar>
              <w:top w:w="0" w:type="dxa"/>
              <w:left w:w="0" w:type="dxa"/>
              <w:bottom w:w="0" w:type="dxa"/>
              <w:right w:w="0" w:type="dxa"/>
            </w:tcMar>
            <w:vAlign w:val="center"/>
          </w:tcPr>
          <w:p w14:paraId="43876891" w14:textId="77777777" w:rsidR="00A97DC5" w:rsidRDefault="00FC534B">
            <w:pPr>
              <w:widowControl w:val="0"/>
              <w:spacing w:after="0" w:line="240" w:lineRule="auto"/>
              <w:jc w:val="center"/>
              <w:rPr>
                <w:rFonts w:ascii="Century" w:eastAsia="Century" w:hAnsi="Century" w:cs="Century"/>
                <w:sz w:val="16"/>
                <w:szCs w:val="16"/>
              </w:rPr>
            </w:pPr>
            <w:r>
              <w:rPr>
                <w:rFonts w:ascii="Century" w:eastAsia="Century" w:hAnsi="Century" w:cs="Century"/>
                <w:sz w:val="16"/>
                <w:szCs w:val="16"/>
              </w:rPr>
              <w:t>4.05</w:t>
            </w:r>
          </w:p>
        </w:tc>
        <w:tc>
          <w:tcPr>
            <w:tcW w:w="1905" w:type="dxa"/>
            <w:tcBorders>
              <w:top w:val="single" w:sz="4" w:space="0" w:color="000000"/>
              <w:left w:val="nil"/>
              <w:bottom w:val="single" w:sz="4" w:space="0" w:color="000000"/>
              <w:right w:val="nil"/>
            </w:tcBorders>
            <w:shd w:val="clear" w:color="auto" w:fill="auto"/>
            <w:tcMar>
              <w:top w:w="0" w:type="dxa"/>
              <w:left w:w="0" w:type="dxa"/>
              <w:bottom w:w="0" w:type="dxa"/>
              <w:right w:w="0" w:type="dxa"/>
            </w:tcMar>
            <w:vAlign w:val="center"/>
          </w:tcPr>
          <w:p w14:paraId="3CC34F07" w14:textId="77777777" w:rsidR="00A97DC5" w:rsidRDefault="00FC534B">
            <w:pPr>
              <w:widowControl w:val="0"/>
              <w:spacing w:after="0" w:line="240" w:lineRule="auto"/>
              <w:jc w:val="right"/>
              <w:rPr>
                <w:rFonts w:ascii="Century" w:eastAsia="Century" w:hAnsi="Century" w:cs="Century"/>
                <w:sz w:val="16"/>
                <w:szCs w:val="16"/>
              </w:rPr>
            </w:pPr>
            <w:r>
              <w:rPr>
                <w:rFonts w:ascii="Century" w:eastAsia="Century" w:hAnsi="Century" w:cs="Century"/>
                <w:sz w:val="16"/>
                <w:szCs w:val="16"/>
              </w:rPr>
              <w:t>Strong but inconsistent</w:t>
            </w:r>
          </w:p>
        </w:tc>
      </w:tr>
      <w:tr w:rsidR="00A97DC5" w14:paraId="0C0F3556" w14:textId="77777777">
        <w:tc>
          <w:tcPr>
            <w:tcW w:w="1860" w:type="dxa"/>
            <w:tcBorders>
              <w:top w:val="single" w:sz="4" w:space="0" w:color="000000"/>
              <w:left w:val="nil"/>
              <w:bottom w:val="single" w:sz="4" w:space="0" w:color="000000"/>
              <w:right w:val="nil"/>
            </w:tcBorders>
            <w:shd w:val="clear" w:color="auto" w:fill="auto"/>
            <w:tcMar>
              <w:top w:w="0" w:type="dxa"/>
              <w:left w:w="0" w:type="dxa"/>
              <w:bottom w:w="0" w:type="dxa"/>
              <w:right w:w="0" w:type="dxa"/>
            </w:tcMar>
            <w:vAlign w:val="center"/>
          </w:tcPr>
          <w:p w14:paraId="577F3032" w14:textId="77777777" w:rsidR="00A97DC5" w:rsidRDefault="00FC534B">
            <w:pPr>
              <w:widowControl w:val="0"/>
              <w:spacing w:after="0" w:line="240" w:lineRule="auto"/>
              <w:rPr>
                <w:rFonts w:ascii="Century" w:eastAsia="Century" w:hAnsi="Century" w:cs="Century"/>
                <w:sz w:val="16"/>
                <w:szCs w:val="16"/>
              </w:rPr>
            </w:pPr>
            <w:r>
              <w:rPr>
                <w:rFonts w:ascii="Century" w:eastAsia="Century" w:hAnsi="Century" w:cs="Century"/>
                <w:sz w:val="16"/>
                <w:szCs w:val="16"/>
              </w:rPr>
              <w:t xml:space="preserve">Putting Followers </w:t>
            </w:r>
          </w:p>
          <w:p w14:paraId="4568C5AE" w14:textId="77777777" w:rsidR="00A97DC5" w:rsidRDefault="00FC534B">
            <w:pPr>
              <w:widowControl w:val="0"/>
              <w:spacing w:after="0" w:line="240" w:lineRule="auto"/>
              <w:rPr>
                <w:rFonts w:ascii="Century" w:eastAsia="Century" w:hAnsi="Century" w:cs="Century"/>
                <w:sz w:val="16"/>
                <w:szCs w:val="16"/>
              </w:rPr>
            </w:pPr>
            <w:r>
              <w:rPr>
                <w:rFonts w:ascii="Century" w:eastAsia="Century" w:hAnsi="Century" w:cs="Century"/>
                <w:sz w:val="16"/>
                <w:szCs w:val="16"/>
              </w:rPr>
              <w:t>First</w:t>
            </w:r>
          </w:p>
        </w:tc>
        <w:tc>
          <w:tcPr>
            <w:tcW w:w="705" w:type="dxa"/>
            <w:tcBorders>
              <w:top w:val="single" w:sz="4" w:space="0" w:color="000000"/>
              <w:left w:val="nil"/>
              <w:bottom w:val="single" w:sz="4" w:space="0" w:color="000000"/>
              <w:right w:val="nil"/>
            </w:tcBorders>
            <w:shd w:val="clear" w:color="auto" w:fill="auto"/>
            <w:tcMar>
              <w:top w:w="0" w:type="dxa"/>
              <w:left w:w="0" w:type="dxa"/>
              <w:bottom w:w="0" w:type="dxa"/>
              <w:right w:w="0" w:type="dxa"/>
            </w:tcMar>
            <w:vAlign w:val="center"/>
          </w:tcPr>
          <w:p w14:paraId="5F74840B" w14:textId="77777777" w:rsidR="00A97DC5" w:rsidRDefault="00FC534B">
            <w:pPr>
              <w:widowControl w:val="0"/>
              <w:spacing w:after="0" w:line="240" w:lineRule="auto"/>
              <w:jc w:val="center"/>
              <w:rPr>
                <w:rFonts w:ascii="Century" w:eastAsia="Century" w:hAnsi="Century" w:cs="Century"/>
                <w:sz w:val="16"/>
                <w:szCs w:val="16"/>
              </w:rPr>
            </w:pPr>
            <w:r>
              <w:rPr>
                <w:rFonts w:ascii="Century" w:eastAsia="Century" w:hAnsi="Century" w:cs="Century"/>
                <w:sz w:val="16"/>
                <w:szCs w:val="16"/>
              </w:rPr>
              <w:t>4.25</w:t>
            </w:r>
          </w:p>
        </w:tc>
        <w:tc>
          <w:tcPr>
            <w:tcW w:w="1905" w:type="dxa"/>
            <w:tcBorders>
              <w:top w:val="single" w:sz="4" w:space="0" w:color="000000"/>
              <w:left w:val="nil"/>
              <w:bottom w:val="single" w:sz="4" w:space="0" w:color="000000"/>
              <w:right w:val="nil"/>
            </w:tcBorders>
            <w:shd w:val="clear" w:color="auto" w:fill="auto"/>
            <w:tcMar>
              <w:top w:w="0" w:type="dxa"/>
              <w:left w:w="0" w:type="dxa"/>
              <w:bottom w:w="0" w:type="dxa"/>
              <w:right w:w="0" w:type="dxa"/>
            </w:tcMar>
            <w:vAlign w:val="center"/>
          </w:tcPr>
          <w:p w14:paraId="13FA800D" w14:textId="77777777" w:rsidR="00A97DC5" w:rsidRDefault="00FC534B">
            <w:pPr>
              <w:widowControl w:val="0"/>
              <w:spacing w:after="0" w:line="240" w:lineRule="auto"/>
              <w:jc w:val="right"/>
              <w:rPr>
                <w:rFonts w:ascii="Century" w:eastAsia="Century" w:hAnsi="Century" w:cs="Century"/>
                <w:sz w:val="16"/>
                <w:szCs w:val="16"/>
              </w:rPr>
            </w:pPr>
            <w:r>
              <w:rPr>
                <w:rFonts w:ascii="Century" w:eastAsia="Century" w:hAnsi="Century" w:cs="Century"/>
                <w:sz w:val="16"/>
                <w:szCs w:val="16"/>
              </w:rPr>
              <w:t>Exceptional strategic thinking</w:t>
            </w:r>
          </w:p>
        </w:tc>
      </w:tr>
      <w:tr w:rsidR="00A97DC5" w14:paraId="31D05110" w14:textId="77777777">
        <w:tc>
          <w:tcPr>
            <w:tcW w:w="1860" w:type="dxa"/>
            <w:tcBorders>
              <w:top w:val="single" w:sz="4" w:space="0" w:color="000000"/>
              <w:left w:val="nil"/>
              <w:bottom w:val="single" w:sz="4" w:space="0" w:color="000000"/>
              <w:right w:val="nil"/>
            </w:tcBorders>
            <w:shd w:val="clear" w:color="auto" w:fill="auto"/>
            <w:tcMar>
              <w:top w:w="0" w:type="dxa"/>
              <w:left w:w="0" w:type="dxa"/>
              <w:bottom w:w="0" w:type="dxa"/>
              <w:right w:w="0" w:type="dxa"/>
            </w:tcMar>
            <w:vAlign w:val="center"/>
          </w:tcPr>
          <w:p w14:paraId="3E7DEA13" w14:textId="77777777" w:rsidR="00A97DC5" w:rsidRDefault="00FC534B">
            <w:pPr>
              <w:widowControl w:val="0"/>
              <w:spacing w:after="0" w:line="240" w:lineRule="auto"/>
              <w:rPr>
                <w:rFonts w:ascii="Century" w:eastAsia="Century" w:hAnsi="Century" w:cs="Century"/>
                <w:sz w:val="16"/>
                <w:szCs w:val="16"/>
              </w:rPr>
            </w:pPr>
            <w:r>
              <w:rPr>
                <w:rFonts w:ascii="Century" w:eastAsia="Century" w:hAnsi="Century" w:cs="Century"/>
                <w:sz w:val="16"/>
                <w:szCs w:val="16"/>
              </w:rPr>
              <w:t xml:space="preserve">Behaving </w:t>
            </w:r>
          </w:p>
          <w:p w14:paraId="7F89BFD4" w14:textId="77777777" w:rsidR="00A97DC5" w:rsidRDefault="00FC534B">
            <w:pPr>
              <w:widowControl w:val="0"/>
              <w:spacing w:after="0" w:line="240" w:lineRule="auto"/>
              <w:rPr>
                <w:rFonts w:ascii="Century" w:eastAsia="Century" w:hAnsi="Century" w:cs="Century"/>
                <w:sz w:val="16"/>
                <w:szCs w:val="16"/>
              </w:rPr>
            </w:pPr>
            <w:r>
              <w:rPr>
                <w:rFonts w:ascii="Century" w:eastAsia="Century" w:hAnsi="Century" w:cs="Century"/>
                <w:sz w:val="16"/>
                <w:szCs w:val="16"/>
              </w:rPr>
              <w:t>Ethically</w:t>
            </w:r>
          </w:p>
        </w:tc>
        <w:tc>
          <w:tcPr>
            <w:tcW w:w="705" w:type="dxa"/>
            <w:tcBorders>
              <w:top w:val="single" w:sz="4" w:space="0" w:color="000000"/>
              <w:left w:val="nil"/>
              <w:bottom w:val="single" w:sz="4" w:space="0" w:color="000000"/>
              <w:right w:val="nil"/>
            </w:tcBorders>
            <w:shd w:val="clear" w:color="auto" w:fill="auto"/>
            <w:tcMar>
              <w:top w:w="0" w:type="dxa"/>
              <w:left w:w="0" w:type="dxa"/>
              <w:bottom w:w="0" w:type="dxa"/>
              <w:right w:w="0" w:type="dxa"/>
            </w:tcMar>
            <w:vAlign w:val="center"/>
          </w:tcPr>
          <w:p w14:paraId="62911B8E" w14:textId="77777777" w:rsidR="00A97DC5" w:rsidRDefault="00FC534B">
            <w:pPr>
              <w:widowControl w:val="0"/>
              <w:spacing w:after="0" w:line="240" w:lineRule="auto"/>
              <w:jc w:val="center"/>
              <w:rPr>
                <w:rFonts w:ascii="Century" w:eastAsia="Century" w:hAnsi="Century" w:cs="Century"/>
                <w:sz w:val="16"/>
                <w:szCs w:val="16"/>
              </w:rPr>
            </w:pPr>
            <w:r>
              <w:rPr>
                <w:rFonts w:ascii="Century" w:eastAsia="Century" w:hAnsi="Century" w:cs="Century"/>
                <w:sz w:val="16"/>
                <w:szCs w:val="16"/>
              </w:rPr>
              <w:t>4.37</w:t>
            </w:r>
          </w:p>
        </w:tc>
        <w:tc>
          <w:tcPr>
            <w:tcW w:w="1905" w:type="dxa"/>
            <w:tcBorders>
              <w:top w:val="single" w:sz="4" w:space="0" w:color="000000"/>
              <w:left w:val="nil"/>
              <w:bottom w:val="single" w:sz="4" w:space="0" w:color="000000"/>
              <w:right w:val="nil"/>
            </w:tcBorders>
            <w:shd w:val="clear" w:color="auto" w:fill="auto"/>
            <w:tcMar>
              <w:top w:w="0" w:type="dxa"/>
              <w:left w:w="0" w:type="dxa"/>
              <w:bottom w:w="0" w:type="dxa"/>
              <w:right w:w="0" w:type="dxa"/>
            </w:tcMar>
            <w:vAlign w:val="center"/>
          </w:tcPr>
          <w:p w14:paraId="73DAF405" w14:textId="77777777" w:rsidR="00A97DC5" w:rsidRDefault="00FC534B">
            <w:pPr>
              <w:widowControl w:val="0"/>
              <w:spacing w:after="0" w:line="240" w:lineRule="auto"/>
              <w:jc w:val="right"/>
              <w:rPr>
                <w:rFonts w:ascii="Century" w:eastAsia="Century" w:hAnsi="Century" w:cs="Century"/>
                <w:sz w:val="16"/>
                <w:szCs w:val="16"/>
              </w:rPr>
            </w:pPr>
            <w:r>
              <w:rPr>
                <w:rFonts w:ascii="Century" w:eastAsia="Century" w:hAnsi="Century" w:cs="Century"/>
                <w:sz w:val="16"/>
                <w:szCs w:val="16"/>
              </w:rPr>
              <w:t>Exceptional strategic thinking</w:t>
            </w:r>
          </w:p>
        </w:tc>
      </w:tr>
      <w:tr w:rsidR="00A97DC5" w14:paraId="1877C1D5" w14:textId="77777777">
        <w:tc>
          <w:tcPr>
            <w:tcW w:w="1860" w:type="dxa"/>
            <w:tcBorders>
              <w:top w:val="single" w:sz="4" w:space="0" w:color="000000"/>
              <w:left w:val="nil"/>
              <w:bottom w:val="single" w:sz="4" w:space="0" w:color="000000"/>
              <w:right w:val="nil"/>
            </w:tcBorders>
            <w:shd w:val="clear" w:color="auto" w:fill="auto"/>
            <w:tcMar>
              <w:top w:w="0" w:type="dxa"/>
              <w:left w:w="0" w:type="dxa"/>
              <w:bottom w:w="0" w:type="dxa"/>
              <w:right w:w="0" w:type="dxa"/>
            </w:tcMar>
            <w:vAlign w:val="center"/>
          </w:tcPr>
          <w:p w14:paraId="1FC2A65C" w14:textId="77777777" w:rsidR="00A97DC5" w:rsidRDefault="00FC534B">
            <w:pPr>
              <w:widowControl w:val="0"/>
              <w:spacing w:after="0" w:line="240" w:lineRule="auto"/>
              <w:rPr>
                <w:rFonts w:ascii="Century" w:eastAsia="Century" w:hAnsi="Century" w:cs="Century"/>
                <w:sz w:val="16"/>
                <w:szCs w:val="16"/>
              </w:rPr>
            </w:pPr>
            <w:r>
              <w:rPr>
                <w:rFonts w:ascii="Century" w:eastAsia="Century" w:hAnsi="Century" w:cs="Century"/>
                <w:sz w:val="16"/>
                <w:szCs w:val="16"/>
              </w:rPr>
              <w:t>Empowering</w:t>
            </w:r>
          </w:p>
        </w:tc>
        <w:tc>
          <w:tcPr>
            <w:tcW w:w="705" w:type="dxa"/>
            <w:tcBorders>
              <w:top w:val="single" w:sz="4" w:space="0" w:color="000000"/>
              <w:left w:val="nil"/>
              <w:bottom w:val="single" w:sz="4" w:space="0" w:color="000000"/>
              <w:right w:val="nil"/>
            </w:tcBorders>
            <w:shd w:val="clear" w:color="auto" w:fill="auto"/>
            <w:tcMar>
              <w:top w:w="0" w:type="dxa"/>
              <w:left w:w="0" w:type="dxa"/>
              <w:bottom w:w="0" w:type="dxa"/>
              <w:right w:w="0" w:type="dxa"/>
            </w:tcMar>
            <w:vAlign w:val="center"/>
          </w:tcPr>
          <w:p w14:paraId="0974DF35" w14:textId="77777777" w:rsidR="00A97DC5" w:rsidRDefault="00FC534B">
            <w:pPr>
              <w:widowControl w:val="0"/>
              <w:spacing w:after="0" w:line="240" w:lineRule="auto"/>
              <w:jc w:val="center"/>
              <w:rPr>
                <w:rFonts w:ascii="Century" w:eastAsia="Century" w:hAnsi="Century" w:cs="Century"/>
                <w:sz w:val="16"/>
                <w:szCs w:val="16"/>
              </w:rPr>
            </w:pPr>
            <w:r>
              <w:rPr>
                <w:rFonts w:ascii="Century" w:eastAsia="Century" w:hAnsi="Century" w:cs="Century"/>
                <w:sz w:val="16"/>
                <w:szCs w:val="16"/>
              </w:rPr>
              <w:t>4.19</w:t>
            </w:r>
          </w:p>
        </w:tc>
        <w:tc>
          <w:tcPr>
            <w:tcW w:w="1905" w:type="dxa"/>
            <w:tcBorders>
              <w:top w:val="single" w:sz="4" w:space="0" w:color="000000"/>
              <w:left w:val="nil"/>
              <w:bottom w:val="single" w:sz="4" w:space="0" w:color="000000"/>
              <w:right w:val="nil"/>
            </w:tcBorders>
            <w:shd w:val="clear" w:color="auto" w:fill="auto"/>
            <w:tcMar>
              <w:top w:w="0" w:type="dxa"/>
              <w:left w:w="0" w:type="dxa"/>
              <w:bottom w:w="0" w:type="dxa"/>
              <w:right w:w="0" w:type="dxa"/>
            </w:tcMar>
            <w:vAlign w:val="center"/>
          </w:tcPr>
          <w:p w14:paraId="63A3A82D" w14:textId="77777777" w:rsidR="00A97DC5" w:rsidRDefault="00FC534B">
            <w:pPr>
              <w:widowControl w:val="0"/>
              <w:spacing w:after="0" w:line="240" w:lineRule="auto"/>
              <w:jc w:val="right"/>
              <w:rPr>
                <w:rFonts w:ascii="Century" w:eastAsia="Century" w:hAnsi="Century" w:cs="Century"/>
                <w:sz w:val="16"/>
                <w:szCs w:val="16"/>
              </w:rPr>
            </w:pPr>
            <w:proofErr w:type="gramStart"/>
            <w:r>
              <w:rPr>
                <w:rFonts w:ascii="Century" w:eastAsia="Century" w:hAnsi="Century" w:cs="Century"/>
                <w:sz w:val="16"/>
                <w:szCs w:val="16"/>
              </w:rPr>
              <w:t>Strong  but</w:t>
            </w:r>
            <w:proofErr w:type="gramEnd"/>
            <w:r>
              <w:rPr>
                <w:rFonts w:ascii="Century" w:eastAsia="Century" w:hAnsi="Century" w:cs="Century"/>
                <w:sz w:val="16"/>
                <w:szCs w:val="16"/>
              </w:rPr>
              <w:t xml:space="preserve"> inconsistent</w:t>
            </w:r>
          </w:p>
        </w:tc>
      </w:tr>
      <w:tr w:rsidR="00A97DC5" w14:paraId="798B2290" w14:textId="77777777">
        <w:tc>
          <w:tcPr>
            <w:tcW w:w="1860" w:type="dxa"/>
            <w:tcBorders>
              <w:top w:val="single" w:sz="4" w:space="0" w:color="000000"/>
              <w:left w:val="nil"/>
              <w:bottom w:val="single" w:sz="4" w:space="0" w:color="000000"/>
              <w:right w:val="nil"/>
            </w:tcBorders>
            <w:shd w:val="clear" w:color="auto" w:fill="auto"/>
            <w:tcMar>
              <w:top w:w="0" w:type="dxa"/>
              <w:left w:w="0" w:type="dxa"/>
              <w:bottom w:w="0" w:type="dxa"/>
              <w:right w:w="0" w:type="dxa"/>
            </w:tcMar>
            <w:vAlign w:val="center"/>
          </w:tcPr>
          <w:p w14:paraId="4553C90B" w14:textId="77777777" w:rsidR="00A97DC5" w:rsidRDefault="00FC534B">
            <w:pPr>
              <w:widowControl w:val="0"/>
              <w:spacing w:after="0" w:line="240" w:lineRule="auto"/>
              <w:rPr>
                <w:rFonts w:ascii="Century" w:eastAsia="Century" w:hAnsi="Century" w:cs="Century"/>
                <w:sz w:val="16"/>
                <w:szCs w:val="16"/>
              </w:rPr>
            </w:pPr>
            <w:r>
              <w:rPr>
                <w:rFonts w:ascii="Century" w:eastAsia="Century" w:hAnsi="Century" w:cs="Century"/>
                <w:sz w:val="16"/>
                <w:szCs w:val="16"/>
              </w:rPr>
              <w:t xml:space="preserve">Creating Value for the </w:t>
            </w:r>
            <w:r>
              <w:rPr>
                <w:rFonts w:ascii="Century" w:eastAsia="Century" w:hAnsi="Century" w:cs="Century"/>
                <w:sz w:val="16"/>
                <w:szCs w:val="16"/>
              </w:rPr>
              <w:t>Community</w:t>
            </w:r>
          </w:p>
        </w:tc>
        <w:tc>
          <w:tcPr>
            <w:tcW w:w="705" w:type="dxa"/>
            <w:tcBorders>
              <w:top w:val="single" w:sz="4" w:space="0" w:color="000000"/>
              <w:left w:val="nil"/>
              <w:bottom w:val="single" w:sz="4" w:space="0" w:color="000000"/>
              <w:right w:val="nil"/>
            </w:tcBorders>
            <w:shd w:val="clear" w:color="auto" w:fill="auto"/>
            <w:tcMar>
              <w:top w:w="0" w:type="dxa"/>
              <w:left w:w="0" w:type="dxa"/>
              <w:bottom w:w="0" w:type="dxa"/>
              <w:right w:w="0" w:type="dxa"/>
            </w:tcMar>
            <w:vAlign w:val="center"/>
          </w:tcPr>
          <w:p w14:paraId="3A547B78" w14:textId="77777777" w:rsidR="00A97DC5" w:rsidRDefault="00FC534B">
            <w:pPr>
              <w:widowControl w:val="0"/>
              <w:spacing w:after="0" w:line="240" w:lineRule="auto"/>
              <w:jc w:val="center"/>
              <w:rPr>
                <w:rFonts w:ascii="Century" w:eastAsia="Century" w:hAnsi="Century" w:cs="Century"/>
                <w:sz w:val="16"/>
                <w:szCs w:val="16"/>
              </w:rPr>
            </w:pPr>
            <w:r>
              <w:rPr>
                <w:rFonts w:ascii="Century" w:eastAsia="Century" w:hAnsi="Century" w:cs="Century"/>
                <w:sz w:val="16"/>
                <w:szCs w:val="16"/>
              </w:rPr>
              <w:t>4.21</w:t>
            </w:r>
          </w:p>
        </w:tc>
        <w:tc>
          <w:tcPr>
            <w:tcW w:w="1905" w:type="dxa"/>
            <w:tcBorders>
              <w:top w:val="single" w:sz="4" w:space="0" w:color="000000"/>
              <w:left w:val="nil"/>
              <w:bottom w:val="single" w:sz="4" w:space="0" w:color="000000"/>
              <w:right w:val="nil"/>
            </w:tcBorders>
            <w:shd w:val="clear" w:color="auto" w:fill="auto"/>
            <w:tcMar>
              <w:top w:w="0" w:type="dxa"/>
              <w:left w:w="0" w:type="dxa"/>
              <w:bottom w:w="0" w:type="dxa"/>
              <w:right w:w="0" w:type="dxa"/>
            </w:tcMar>
            <w:vAlign w:val="center"/>
          </w:tcPr>
          <w:p w14:paraId="56118794" w14:textId="77777777" w:rsidR="00A97DC5" w:rsidRDefault="00FC534B">
            <w:pPr>
              <w:widowControl w:val="0"/>
              <w:spacing w:after="0" w:line="240" w:lineRule="auto"/>
              <w:jc w:val="right"/>
              <w:rPr>
                <w:rFonts w:ascii="Century" w:eastAsia="Century" w:hAnsi="Century" w:cs="Century"/>
                <w:sz w:val="16"/>
                <w:szCs w:val="16"/>
              </w:rPr>
            </w:pPr>
            <w:r>
              <w:rPr>
                <w:rFonts w:ascii="Century" w:eastAsia="Century" w:hAnsi="Century" w:cs="Century"/>
                <w:sz w:val="16"/>
                <w:szCs w:val="16"/>
              </w:rPr>
              <w:t>Exceptional strategic thinking</w:t>
            </w:r>
          </w:p>
        </w:tc>
      </w:tr>
    </w:tbl>
    <w:p w14:paraId="69B9DA6F" w14:textId="77777777" w:rsidR="00A97DC5" w:rsidRDefault="00A97DC5">
      <w:pPr>
        <w:spacing w:before="120" w:after="0"/>
        <w:ind w:left="360" w:hanging="360"/>
        <w:jc w:val="both"/>
        <w:rPr>
          <w:rFonts w:ascii="Century" w:eastAsia="Century" w:hAnsi="Century" w:cs="Century"/>
          <w:sz w:val="18"/>
          <w:szCs w:val="18"/>
        </w:rPr>
        <w:sectPr w:rsidR="00A97DC5">
          <w:type w:val="continuous"/>
          <w:pgSz w:w="12240" w:h="15840"/>
          <w:pgMar w:top="1440" w:right="1440" w:bottom="1440" w:left="1440" w:header="0" w:footer="720" w:gutter="0"/>
          <w:cols w:num="2" w:space="720" w:equalWidth="0">
            <w:col w:w="4464" w:space="432"/>
            <w:col w:w="4464" w:space="0"/>
          </w:cols>
        </w:sectPr>
      </w:pPr>
    </w:p>
    <w:p w14:paraId="19FDB25D" w14:textId="77777777" w:rsidR="00A97DC5" w:rsidRDefault="00A97DC5">
      <w:pPr>
        <w:spacing w:after="0" w:line="288" w:lineRule="auto"/>
        <w:jc w:val="both"/>
        <w:rPr>
          <w:rFonts w:ascii="Century" w:eastAsia="Century" w:hAnsi="Century" w:cs="Century"/>
          <w:sz w:val="18"/>
          <w:szCs w:val="18"/>
        </w:rPr>
      </w:pPr>
    </w:p>
    <w:p w14:paraId="34B04BB0" w14:textId="77777777" w:rsidR="00A97DC5" w:rsidRDefault="00FC534B">
      <w:pPr>
        <w:spacing w:after="0" w:line="288" w:lineRule="auto"/>
        <w:jc w:val="both"/>
        <w:rPr>
          <w:rFonts w:ascii="Century" w:eastAsia="Century" w:hAnsi="Century" w:cs="Century"/>
          <w:sz w:val="18"/>
          <w:szCs w:val="18"/>
        </w:rPr>
      </w:pPr>
      <w:r>
        <w:rPr>
          <w:rFonts w:ascii="Century" w:eastAsia="Century" w:hAnsi="Century" w:cs="Century"/>
          <w:sz w:val="18"/>
          <w:szCs w:val="18"/>
        </w:rPr>
        <w:t>Table 3. Relationship between the principal’s servant leadership profile and the dimensions of servant leadership practices</w:t>
      </w:r>
    </w:p>
    <w:tbl>
      <w:tblPr>
        <w:tblStyle w:val="a1"/>
        <w:tblW w:w="934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81"/>
        <w:gridCol w:w="1261"/>
        <w:gridCol w:w="1168"/>
        <w:gridCol w:w="1167"/>
        <w:gridCol w:w="1167"/>
        <w:gridCol w:w="1167"/>
        <w:gridCol w:w="1167"/>
        <w:gridCol w:w="1167"/>
      </w:tblGrid>
      <w:tr w:rsidR="00A97DC5" w14:paraId="1A07ACA7" w14:textId="77777777">
        <w:trPr>
          <w:trHeight w:val="60"/>
        </w:trPr>
        <w:tc>
          <w:tcPr>
            <w:tcW w:w="1080" w:type="dxa"/>
            <w:vMerge w:val="restart"/>
            <w:tcBorders>
              <w:top w:val="single" w:sz="3" w:space="0" w:color="000000"/>
              <w:left w:val="nil"/>
              <w:bottom w:val="single" w:sz="3" w:space="0" w:color="000000"/>
              <w:right w:val="nil"/>
            </w:tcBorders>
            <w:tcMar>
              <w:top w:w="0" w:type="dxa"/>
              <w:left w:w="120" w:type="dxa"/>
              <w:bottom w:w="0" w:type="dxa"/>
              <w:right w:w="120" w:type="dxa"/>
            </w:tcMar>
            <w:vAlign w:val="center"/>
          </w:tcPr>
          <w:p w14:paraId="6A5477BA" w14:textId="77777777" w:rsidR="00A97DC5" w:rsidRDefault="00FC534B">
            <w:pPr>
              <w:spacing w:after="0" w:line="288" w:lineRule="auto"/>
              <w:jc w:val="both"/>
              <w:rPr>
                <w:rFonts w:ascii="Century" w:eastAsia="Century" w:hAnsi="Century" w:cs="Century"/>
                <w:sz w:val="16"/>
                <w:szCs w:val="16"/>
              </w:rPr>
            </w:pPr>
            <w:r>
              <w:rPr>
                <w:rFonts w:ascii="Century" w:eastAsia="Century" w:hAnsi="Century" w:cs="Century"/>
                <w:sz w:val="16"/>
                <w:szCs w:val="16"/>
              </w:rPr>
              <w:t>Servant Leadership Profile</w:t>
            </w:r>
          </w:p>
        </w:tc>
        <w:tc>
          <w:tcPr>
            <w:tcW w:w="1260" w:type="dxa"/>
            <w:vMerge w:val="restart"/>
            <w:tcBorders>
              <w:top w:val="single" w:sz="3" w:space="0" w:color="000000"/>
              <w:left w:val="nil"/>
              <w:bottom w:val="single" w:sz="3" w:space="0" w:color="000000"/>
              <w:right w:val="nil"/>
            </w:tcBorders>
            <w:tcMar>
              <w:top w:w="0" w:type="dxa"/>
              <w:left w:w="120" w:type="dxa"/>
              <w:bottom w:w="0" w:type="dxa"/>
              <w:right w:w="120" w:type="dxa"/>
            </w:tcMar>
            <w:vAlign w:val="center"/>
          </w:tcPr>
          <w:p w14:paraId="4581FDC6" w14:textId="77777777" w:rsidR="00A97DC5" w:rsidRDefault="00FC534B">
            <w:pPr>
              <w:spacing w:after="0" w:line="288" w:lineRule="auto"/>
              <w:jc w:val="both"/>
              <w:rPr>
                <w:rFonts w:ascii="Century" w:eastAsia="Century" w:hAnsi="Century" w:cs="Century"/>
                <w:sz w:val="16"/>
                <w:szCs w:val="16"/>
              </w:rPr>
            </w:pPr>
            <w:r>
              <w:rPr>
                <w:rFonts w:ascii="Century" w:eastAsia="Century" w:hAnsi="Century" w:cs="Century"/>
                <w:sz w:val="16"/>
                <w:szCs w:val="16"/>
              </w:rPr>
              <w:t>Parameters</w:t>
            </w:r>
          </w:p>
        </w:tc>
        <w:tc>
          <w:tcPr>
            <w:tcW w:w="7002" w:type="dxa"/>
            <w:gridSpan w:val="6"/>
            <w:tcBorders>
              <w:top w:val="single" w:sz="3" w:space="0" w:color="000000"/>
              <w:left w:val="nil"/>
              <w:bottom w:val="single" w:sz="3" w:space="0" w:color="000000"/>
              <w:right w:val="nil"/>
            </w:tcBorders>
            <w:tcMar>
              <w:top w:w="0" w:type="dxa"/>
              <w:left w:w="120" w:type="dxa"/>
              <w:bottom w:w="0" w:type="dxa"/>
              <w:right w:w="120" w:type="dxa"/>
            </w:tcMar>
          </w:tcPr>
          <w:p w14:paraId="26F181A7" w14:textId="77777777" w:rsidR="00A97DC5" w:rsidRDefault="00FC534B">
            <w:pPr>
              <w:spacing w:after="0" w:line="288" w:lineRule="auto"/>
              <w:jc w:val="center"/>
              <w:rPr>
                <w:rFonts w:ascii="Century" w:eastAsia="Century" w:hAnsi="Century" w:cs="Century"/>
                <w:sz w:val="16"/>
                <w:szCs w:val="16"/>
              </w:rPr>
            </w:pPr>
            <w:r>
              <w:rPr>
                <w:rFonts w:ascii="Century" w:eastAsia="Century" w:hAnsi="Century" w:cs="Century"/>
                <w:sz w:val="16"/>
                <w:szCs w:val="16"/>
              </w:rPr>
              <w:t xml:space="preserve">Servant </w:t>
            </w:r>
            <w:r>
              <w:rPr>
                <w:rFonts w:ascii="Century" w:eastAsia="Century" w:hAnsi="Century" w:cs="Century"/>
                <w:sz w:val="16"/>
                <w:szCs w:val="16"/>
              </w:rPr>
              <w:t>Leadership Practices</w:t>
            </w:r>
          </w:p>
        </w:tc>
      </w:tr>
      <w:tr w:rsidR="00A97DC5" w14:paraId="78B8992A" w14:textId="77777777">
        <w:trPr>
          <w:trHeight w:val="451"/>
        </w:trPr>
        <w:tc>
          <w:tcPr>
            <w:tcW w:w="1080" w:type="dxa"/>
            <w:vMerge/>
            <w:tcBorders>
              <w:top w:val="single" w:sz="3" w:space="0" w:color="000000"/>
              <w:left w:val="nil"/>
              <w:bottom w:val="single" w:sz="3" w:space="0" w:color="000000"/>
              <w:right w:val="nil"/>
            </w:tcBorders>
            <w:shd w:val="clear" w:color="auto" w:fill="auto"/>
            <w:tcMar>
              <w:top w:w="100" w:type="dxa"/>
              <w:left w:w="100" w:type="dxa"/>
              <w:bottom w:w="100" w:type="dxa"/>
              <w:right w:w="100" w:type="dxa"/>
            </w:tcMar>
          </w:tcPr>
          <w:p w14:paraId="337732FF" w14:textId="77777777" w:rsidR="00A97DC5" w:rsidRDefault="00A97DC5">
            <w:pPr>
              <w:spacing w:before="120" w:after="0" w:line="240" w:lineRule="auto"/>
              <w:ind w:left="360"/>
              <w:jc w:val="both"/>
              <w:rPr>
                <w:rFonts w:ascii="Century" w:eastAsia="Century" w:hAnsi="Century" w:cs="Century"/>
                <w:sz w:val="16"/>
                <w:szCs w:val="16"/>
              </w:rPr>
            </w:pPr>
          </w:p>
        </w:tc>
        <w:tc>
          <w:tcPr>
            <w:tcW w:w="1260" w:type="dxa"/>
            <w:vMerge/>
            <w:tcBorders>
              <w:top w:val="single" w:sz="3" w:space="0" w:color="000000"/>
              <w:left w:val="nil"/>
              <w:bottom w:val="single" w:sz="3" w:space="0" w:color="000000"/>
              <w:right w:val="nil"/>
            </w:tcBorders>
            <w:shd w:val="clear" w:color="auto" w:fill="auto"/>
            <w:tcMar>
              <w:top w:w="100" w:type="dxa"/>
              <w:left w:w="100" w:type="dxa"/>
              <w:bottom w:w="100" w:type="dxa"/>
              <w:right w:w="100" w:type="dxa"/>
            </w:tcMar>
          </w:tcPr>
          <w:p w14:paraId="7EEC408B" w14:textId="77777777" w:rsidR="00A97DC5" w:rsidRDefault="00A97DC5">
            <w:pPr>
              <w:spacing w:before="120" w:after="0" w:line="240" w:lineRule="auto"/>
              <w:ind w:left="360"/>
              <w:jc w:val="both"/>
              <w:rPr>
                <w:rFonts w:ascii="Century" w:eastAsia="Century" w:hAnsi="Century" w:cs="Century"/>
                <w:sz w:val="16"/>
                <w:szCs w:val="16"/>
              </w:rPr>
            </w:pPr>
          </w:p>
        </w:tc>
        <w:tc>
          <w:tcPr>
            <w:tcW w:w="1167" w:type="dxa"/>
            <w:tcBorders>
              <w:top w:val="single" w:sz="3" w:space="0" w:color="000000"/>
              <w:left w:val="nil"/>
              <w:bottom w:val="single" w:sz="3" w:space="0" w:color="000000"/>
              <w:right w:val="nil"/>
            </w:tcBorders>
            <w:shd w:val="clear" w:color="auto" w:fill="auto"/>
            <w:tcMar>
              <w:top w:w="0" w:type="dxa"/>
              <w:left w:w="120" w:type="dxa"/>
              <w:bottom w:w="0" w:type="dxa"/>
              <w:right w:w="120" w:type="dxa"/>
            </w:tcMar>
          </w:tcPr>
          <w:p w14:paraId="48750184" w14:textId="77777777" w:rsidR="00A97DC5" w:rsidRDefault="00FC534B">
            <w:pPr>
              <w:spacing w:after="0" w:line="288" w:lineRule="auto"/>
              <w:jc w:val="center"/>
              <w:rPr>
                <w:rFonts w:ascii="Century" w:eastAsia="Century" w:hAnsi="Century" w:cs="Century"/>
                <w:sz w:val="16"/>
                <w:szCs w:val="16"/>
              </w:rPr>
            </w:pPr>
            <w:r>
              <w:rPr>
                <w:rFonts w:ascii="Century" w:eastAsia="Century" w:hAnsi="Century" w:cs="Century"/>
                <w:sz w:val="16"/>
                <w:szCs w:val="16"/>
              </w:rPr>
              <w:t>Conceptualizing</w:t>
            </w:r>
          </w:p>
        </w:tc>
        <w:tc>
          <w:tcPr>
            <w:tcW w:w="1167" w:type="dxa"/>
            <w:tcBorders>
              <w:top w:val="single" w:sz="3" w:space="0" w:color="000000"/>
              <w:left w:val="nil"/>
              <w:bottom w:val="single" w:sz="3" w:space="0" w:color="000000"/>
              <w:right w:val="nil"/>
            </w:tcBorders>
            <w:shd w:val="clear" w:color="auto" w:fill="auto"/>
            <w:tcMar>
              <w:top w:w="0" w:type="dxa"/>
              <w:left w:w="120" w:type="dxa"/>
              <w:bottom w:w="0" w:type="dxa"/>
              <w:right w:w="120" w:type="dxa"/>
            </w:tcMar>
          </w:tcPr>
          <w:p w14:paraId="4BC809E2" w14:textId="77777777" w:rsidR="00A97DC5" w:rsidRDefault="00FC534B">
            <w:pPr>
              <w:spacing w:after="0" w:line="288" w:lineRule="auto"/>
              <w:jc w:val="center"/>
              <w:rPr>
                <w:rFonts w:ascii="Century" w:eastAsia="Century" w:hAnsi="Century" w:cs="Century"/>
                <w:sz w:val="16"/>
                <w:szCs w:val="16"/>
              </w:rPr>
            </w:pPr>
            <w:r>
              <w:rPr>
                <w:rFonts w:ascii="Century" w:eastAsia="Century" w:hAnsi="Century" w:cs="Century"/>
                <w:sz w:val="16"/>
                <w:szCs w:val="16"/>
              </w:rPr>
              <w:t>Emotional Healing</w:t>
            </w:r>
          </w:p>
        </w:tc>
        <w:tc>
          <w:tcPr>
            <w:tcW w:w="1167" w:type="dxa"/>
            <w:tcBorders>
              <w:top w:val="single" w:sz="3" w:space="0" w:color="000000"/>
              <w:left w:val="nil"/>
              <w:bottom w:val="single" w:sz="3" w:space="0" w:color="000000"/>
              <w:right w:val="nil"/>
            </w:tcBorders>
            <w:shd w:val="clear" w:color="auto" w:fill="auto"/>
            <w:tcMar>
              <w:top w:w="0" w:type="dxa"/>
              <w:left w:w="120" w:type="dxa"/>
              <w:bottom w:w="0" w:type="dxa"/>
              <w:right w:w="120" w:type="dxa"/>
            </w:tcMar>
          </w:tcPr>
          <w:p w14:paraId="542FF047" w14:textId="77777777" w:rsidR="00A97DC5" w:rsidRDefault="00FC534B">
            <w:pPr>
              <w:spacing w:after="0" w:line="288" w:lineRule="auto"/>
              <w:jc w:val="center"/>
              <w:rPr>
                <w:rFonts w:ascii="Century" w:eastAsia="Century" w:hAnsi="Century" w:cs="Century"/>
                <w:sz w:val="16"/>
                <w:szCs w:val="16"/>
              </w:rPr>
            </w:pPr>
            <w:r>
              <w:rPr>
                <w:rFonts w:ascii="Century" w:eastAsia="Century" w:hAnsi="Century" w:cs="Century"/>
                <w:sz w:val="16"/>
                <w:szCs w:val="16"/>
              </w:rPr>
              <w:t>Putting followers first</w:t>
            </w:r>
          </w:p>
        </w:tc>
        <w:tc>
          <w:tcPr>
            <w:tcW w:w="1167" w:type="dxa"/>
            <w:tcBorders>
              <w:top w:val="single" w:sz="3" w:space="0" w:color="000000"/>
              <w:left w:val="nil"/>
              <w:bottom w:val="single" w:sz="3" w:space="0" w:color="000000"/>
              <w:right w:val="nil"/>
            </w:tcBorders>
            <w:shd w:val="clear" w:color="auto" w:fill="auto"/>
            <w:tcMar>
              <w:top w:w="0" w:type="dxa"/>
              <w:left w:w="120" w:type="dxa"/>
              <w:bottom w:w="0" w:type="dxa"/>
              <w:right w:w="120" w:type="dxa"/>
            </w:tcMar>
          </w:tcPr>
          <w:p w14:paraId="4E21B114" w14:textId="77777777" w:rsidR="00A97DC5" w:rsidRDefault="00FC534B">
            <w:pPr>
              <w:spacing w:after="0" w:line="288" w:lineRule="auto"/>
              <w:jc w:val="center"/>
              <w:rPr>
                <w:rFonts w:ascii="Century" w:eastAsia="Century" w:hAnsi="Century" w:cs="Century"/>
                <w:sz w:val="16"/>
                <w:szCs w:val="16"/>
              </w:rPr>
            </w:pPr>
            <w:r>
              <w:rPr>
                <w:rFonts w:ascii="Century" w:eastAsia="Century" w:hAnsi="Century" w:cs="Century"/>
                <w:sz w:val="16"/>
                <w:szCs w:val="16"/>
              </w:rPr>
              <w:t>Behaving ethically</w:t>
            </w:r>
          </w:p>
        </w:tc>
        <w:tc>
          <w:tcPr>
            <w:tcW w:w="1167" w:type="dxa"/>
            <w:tcBorders>
              <w:top w:val="single" w:sz="3" w:space="0" w:color="000000"/>
              <w:left w:val="nil"/>
              <w:bottom w:val="single" w:sz="3" w:space="0" w:color="000000"/>
              <w:right w:val="nil"/>
            </w:tcBorders>
            <w:shd w:val="clear" w:color="auto" w:fill="auto"/>
            <w:tcMar>
              <w:top w:w="0" w:type="dxa"/>
              <w:left w:w="120" w:type="dxa"/>
              <w:bottom w:w="0" w:type="dxa"/>
              <w:right w:w="120" w:type="dxa"/>
            </w:tcMar>
          </w:tcPr>
          <w:p w14:paraId="7D932B92" w14:textId="77777777" w:rsidR="00A97DC5" w:rsidRDefault="00FC534B">
            <w:pPr>
              <w:spacing w:after="0" w:line="288" w:lineRule="auto"/>
              <w:jc w:val="center"/>
              <w:rPr>
                <w:rFonts w:ascii="Century" w:eastAsia="Century" w:hAnsi="Century" w:cs="Century"/>
                <w:sz w:val="16"/>
                <w:szCs w:val="16"/>
              </w:rPr>
            </w:pPr>
            <w:r>
              <w:rPr>
                <w:rFonts w:ascii="Century" w:eastAsia="Century" w:hAnsi="Century" w:cs="Century"/>
                <w:sz w:val="16"/>
                <w:szCs w:val="16"/>
              </w:rPr>
              <w:t>Empowering</w:t>
            </w:r>
          </w:p>
        </w:tc>
        <w:tc>
          <w:tcPr>
            <w:tcW w:w="1167" w:type="dxa"/>
            <w:tcBorders>
              <w:top w:val="single" w:sz="3" w:space="0" w:color="000000"/>
              <w:left w:val="nil"/>
              <w:bottom w:val="single" w:sz="3" w:space="0" w:color="000000"/>
              <w:right w:val="nil"/>
            </w:tcBorders>
            <w:shd w:val="clear" w:color="auto" w:fill="auto"/>
            <w:tcMar>
              <w:top w:w="0" w:type="dxa"/>
              <w:left w:w="120" w:type="dxa"/>
              <w:bottom w:w="0" w:type="dxa"/>
              <w:right w:w="120" w:type="dxa"/>
            </w:tcMar>
          </w:tcPr>
          <w:p w14:paraId="11FB820B" w14:textId="77777777" w:rsidR="00A97DC5" w:rsidRDefault="00FC534B">
            <w:pPr>
              <w:spacing w:after="0" w:line="288" w:lineRule="auto"/>
              <w:jc w:val="center"/>
              <w:rPr>
                <w:rFonts w:ascii="Century" w:eastAsia="Century" w:hAnsi="Century" w:cs="Century"/>
                <w:sz w:val="16"/>
                <w:szCs w:val="16"/>
              </w:rPr>
            </w:pPr>
            <w:r>
              <w:rPr>
                <w:rFonts w:ascii="Century" w:eastAsia="Century" w:hAnsi="Century" w:cs="Century"/>
                <w:sz w:val="16"/>
                <w:szCs w:val="16"/>
              </w:rPr>
              <w:t>Creating value for the community</w:t>
            </w:r>
          </w:p>
        </w:tc>
      </w:tr>
      <w:tr w:rsidR="00A97DC5" w14:paraId="04CF1BB9" w14:textId="77777777">
        <w:trPr>
          <w:trHeight w:val="120"/>
        </w:trPr>
        <w:tc>
          <w:tcPr>
            <w:tcW w:w="9342" w:type="dxa"/>
            <w:gridSpan w:val="8"/>
            <w:tcBorders>
              <w:top w:val="single" w:sz="3" w:space="0" w:color="000000"/>
              <w:left w:val="nil"/>
              <w:bottom w:val="single" w:sz="4" w:space="0" w:color="000000"/>
              <w:right w:val="nil"/>
            </w:tcBorders>
            <w:shd w:val="clear" w:color="auto" w:fill="auto"/>
            <w:tcMar>
              <w:top w:w="0" w:type="dxa"/>
              <w:left w:w="120" w:type="dxa"/>
              <w:bottom w:w="0" w:type="dxa"/>
              <w:right w:w="120" w:type="dxa"/>
            </w:tcMar>
            <w:vAlign w:val="center"/>
          </w:tcPr>
          <w:p w14:paraId="5CD8D0CC" w14:textId="77777777" w:rsidR="00A97DC5" w:rsidRDefault="00FC534B">
            <w:pPr>
              <w:spacing w:after="0" w:line="288" w:lineRule="auto"/>
              <w:jc w:val="both"/>
              <w:rPr>
                <w:rFonts w:ascii="Century" w:eastAsia="Century" w:hAnsi="Century" w:cs="Century"/>
                <w:sz w:val="16"/>
                <w:szCs w:val="16"/>
              </w:rPr>
            </w:pPr>
            <w:r>
              <w:rPr>
                <w:rFonts w:ascii="Century" w:eastAsia="Century" w:hAnsi="Century" w:cs="Century"/>
                <w:sz w:val="16"/>
                <w:szCs w:val="16"/>
              </w:rPr>
              <w:t>Personal Character and Actions</w:t>
            </w:r>
          </w:p>
        </w:tc>
      </w:tr>
      <w:tr w:rsidR="00A97DC5" w14:paraId="35834BE7" w14:textId="77777777">
        <w:trPr>
          <w:trHeight w:val="212"/>
        </w:trPr>
        <w:tc>
          <w:tcPr>
            <w:tcW w:w="1080" w:type="dxa"/>
            <w:vMerge w:val="restart"/>
            <w:tcBorders>
              <w:top w:val="single" w:sz="4" w:space="0" w:color="000000"/>
              <w:left w:val="nil"/>
              <w:bottom w:val="single" w:sz="3" w:space="0" w:color="000000"/>
              <w:right w:val="nil"/>
            </w:tcBorders>
            <w:shd w:val="clear" w:color="auto" w:fill="auto"/>
            <w:tcMar>
              <w:top w:w="0" w:type="dxa"/>
              <w:left w:w="120" w:type="dxa"/>
              <w:bottom w:w="0" w:type="dxa"/>
              <w:right w:w="120" w:type="dxa"/>
            </w:tcMar>
          </w:tcPr>
          <w:p w14:paraId="1867341E" w14:textId="77777777" w:rsidR="00A97DC5" w:rsidRDefault="00FC534B">
            <w:pPr>
              <w:spacing w:after="0" w:line="288" w:lineRule="auto"/>
              <w:jc w:val="both"/>
              <w:rPr>
                <w:rFonts w:ascii="Century" w:eastAsia="Century" w:hAnsi="Century" w:cs="Century"/>
                <w:sz w:val="16"/>
                <w:szCs w:val="16"/>
              </w:rPr>
            </w:pPr>
            <w:r>
              <w:rPr>
                <w:rFonts w:ascii="Century" w:eastAsia="Century" w:hAnsi="Century" w:cs="Century"/>
                <w:sz w:val="16"/>
                <w:szCs w:val="16"/>
              </w:rPr>
              <w:t>Character Orientation</w:t>
            </w:r>
          </w:p>
        </w:tc>
        <w:tc>
          <w:tcPr>
            <w:tcW w:w="1260" w:type="dxa"/>
            <w:tcBorders>
              <w:top w:val="single" w:sz="4" w:space="0" w:color="000000"/>
              <w:left w:val="nil"/>
              <w:bottom w:val="nil"/>
              <w:right w:val="nil"/>
            </w:tcBorders>
            <w:shd w:val="clear" w:color="auto" w:fill="auto"/>
            <w:tcMar>
              <w:top w:w="0" w:type="dxa"/>
              <w:left w:w="120" w:type="dxa"/>
              <w:bottom w:w="0" w:type="dxa"/>
              <w:right w:w="120" w:type="dxa"/>
            </w:tcMar>
            <w:vAlign w:val="bottom"/>
          </w:tcPr>
          <w:p w14:paraId="4A47274F" w14:textId="77777777" w:rsidR="00A97DC5" w:rsidRDefault="00FC534B">
            <w:pPr>
              <w:spacing w:after="0" w:line="288" w:lineRule="auto"/>
              <w:jc w:val="both"/>
              <w:rPr>
                <w:rFonts w:ascii="Century" w:eastAsia="Century" w:hAnsi="Century" w:cs="Century"/>
                <w:sz w:val="16"/>
                <w:szCs w:val="16"/>
              </w:rPr>
            </w:pPr>
            <w:r>
              <w:rPr>
                <w:rFonts w:ascii="Century" w:eastAsia="Century" w:hAnsi="Century" w:cs="Century"/>
                <w:sz w:val="16"/>
                <w:szCs w:val="16"/>
              </w:rPr>
              <w:t>Pearson r</w:t>
            </w:r>
          </w:p>
        </w:tc>
        <w:tc>
          <w:tcPr>
            <w:tcW w:w="1167" w:type="dxa"/>
            <w:tcBorders>
              <w:top w:val="single" w:sz="4" w:space="0" w:color="000000"/>
              <w:left w:val="nil"/>
              <w:bottom w:val="nil"/>
              <w:right w:val="nil"/>
            </w:tcBorders>
            <w:shd w:val="clear" w:color="auto" w:fill="auto"/>
            <w:tcMar>
              <w:top w:w="0" w:type="dxa"/>
              <w:left w:w="120" w:type="dxa"/>
              <w:bottom w:w="0" w:type="dxa"/>
              <w:right w:w="120" w:type="dxa"/>
            </w:tcMar>
            <w:vAlign w:val="bottom"/>
          </w:tcPr>
          <w:p w14:paraId="26BBD552" w14:textId="77777777" w:rsidR="00A97DC5" w:rsidRDefault="00FC534B">
            <w:pPr>
              <w:spacing w:after="0" w:line="288" w:lineRule="auto"/>
              <w:jc w:val="center"/>
              <w:rPr>
                <w:rFonts w:ascii="Century" w:eastAsia="Century" w:hAnsi="Century" w:cs="Century"/>
                <w:sz w:val="16"/>
                <w:szCs w:val="16"/>
              </w:rPr>
            </w:pPr>
            <w:r>
              <w:rPr>
                <w:rFonts w:ascii="Century" w:eastAsia="Century" w:hAnsi="Century" w:cs="Century"/>
                <w:sz w:val="16"/>
                <w:szCs w:val="16"/>
              </w:rPr>
              <w:t>0.582</w:t>
            </w:r>
          </w:p>
        </w:tc>
        <w:tc>
          <w:tcPr>
            <w:tcW w:w="1167" w:type="dxa"/>
            <w:tcBorders>
              <w:top w:val="single" w:sz="4" w:space="0" w:color="000000"/>
              <w:left w:val="nil"/>
              <w:bottom w:val="nil"/>
              <w:right w:val="nil"/>
            </w:tcBorders>
            <w:shd w:val="clear" w:color="auto" w:fill="auto"/>
            <w:tcMar>
              <w:top w:w="0" w:type="dxa"/>
              <w:left w:w="120" w:type="dxa"/>
              <w:bottom w:w="0" w:type="dxa"/>
              <w:right w:w="120" w:type="dxa"/>
            </w:tcMar>
            <w:vAlign w:val="bottom"/>
          </w:tcPr>
          <w:p w14:paraId="0EF3798B" w14:textId="77777777" w:rsidR="00A97DC5" w:rsidRDefault="00FC534B">
            <w:pPr>
              <w:spacing w:after="0" w:line="288" w:lineRule="auto"/>
              <w:jc w:val="center"/>
              <w:rPr>
                <w:rFonts w:ascii="Century" w:eastAsia="Century" w:hAnsi="Century" w:cs="Century"/>
                <w:sz w:val="16"/>
                <w:szCs w:val="16"/>
              </w:rPr>
            </w:pPr>
            <w:r>
              <w:rPr>
                <w:rFonts w:ascii="Century" w:eastAsia="Century" w:hAnsi="Century" w:cs="Century"/>
                <w:sz w:val="16"/>
                <w:szCs w:val="16"/>
              </w:rPr>
              <w:t>-0.104</w:t>
            </w:r>
          </w:p>
        </w:tc>
        <w:tc>
          <w:tcPr>
            <w:tcW w:w="1167" w:type="dxa"/>
            <w:tcBorders>
              <w:top w:val="single" w:sz="4" w:space="0" w:color="000000"/>
              <w:left w:val="nil"/>
              <w:bottom w:val="nil"/>
              <w:right w:val="nil"/>
            </w:tcBorders>
            <w:shd w:val="clear" w:color="auto" w:fill="auto"/>
            <w:tcMar>
              <w:top w:w="0" w:type="dxa"/>
              <w:left w:w="120" w:type="dxa"/>
              <w:bottom w:w="0" w:type="dxa"/>
              <w:right w:w="120" w:type="dxa"/>
            </w:tcMar>
            <w:vAlign w:val="bottom"/>
          </w:tcPr>
          <w:p w14:paraId="2D8A794D" w14:textId="77777777" w:rsidR="00A97DC5" w:rsidRDefault="00FC534B">
            <w:pPr>
              <w:spacing w:after="0" w:line="288" w:lineRule="auto"/>
              <w:jc w:val="center"/>
              <w:rPr>
                <w:rFonts w:ascii="Century" w:eastAsia="Century" w:hAnsi="Century" w:cs="Century"/>
                <w:sz w:val="16"/>
                <w:szCs w:val="16"/>
              </w:rPr>
            </w:pPr>
            <w:r>
              <w:rPr>
                <w:rFonts w:ascii="Century" w:eastAsia="Century" w:hAnsi="Century" w:cs="Century"/>
                <w:sz w:val="16"/>
                <w:szCs w:val="16"/>
              </w:rPr>
              <w:t>-0.580</w:t>
            </w:r>
          </w:p>
        </w:tc>
        <w:tc>
          <w:tcPr>
            <w:tcW w:w="1167" w:type="dxa"/>
            <w:tcBorders>
              <w:top w:val="single" w:sz="4" w:space="0" w:color="000000"/>
              <w:left w:val="nil"/>
              <w:bottom w:val="nil"/>
              <w:right w:val="nil"/>
            </w:tcBorders>
            <w:shd w:val="clear" w:color="auto" w:fill="auto"/>
            <w:tcMar>
              <w:top w:w="0" w:type="dxa"/>
              <w:left w:w="120" w:type="dxa"/>
              <w:bottom w:w="0" w:type="dxa"/>
              <w:right w:w="120" w:type="dxa"/>
            </w:tcMar>
            <w:vAlign w:val="bottom"/>
          </w:tcPr>
          <w:p w14:paraId="345C5478" w14:textId="77777777" w:rsidR="00A97DC5" w:rsidRDefault="00FC534B">
            <w:pPr>
              <w:spacing w:after="0" w:line="288" w:lineRule="auto"/>
              <w:jc w:val="center"/>
              <w:rPr>
                <w:rFonts w:ascii="Century" w:eastAsia="Century" w:hAnsi="Century" w:cs="Century"/>
                <w:sz w:val="16"/>
                <w:szCs w:val="16"/>
              </w:rPr>
            </w:pPr>
            <w:r>
              <w:rPr>
                <w:rFonts w:ascii="Century" w:eastAsia="Century" w:hAnsi="Century" w:cs="Century"/>
                <w:sz w:val="16"/>
                <w:szCs w:val="16"/>
              </w:rPr>
              <w:t>0.103</w:t>
            </w:r>
          </w:p>
        </w:tc>
        <w:tc>
          <w:tcPr>
            <w:tcW w:w="1167" w:type="dxa"/>
            <w:tcBorders>
              <w:top w:val="single" w:sz="4" w:space="0" w:color="000000"/>
              <w:left w:val="nil"/>
              <w:bottom w:val="nil"/>
              <w:right w:val="nil"/>
            </w:tcBorders>
            <w:shd w:val="clear" w:color="auto" w:fill="auto"/>
            <w:tcMar>
              <w:top w:w="0" w:type="dxa"/>
              <w:left w:w="120" w:type="dxa"/>
              <w:bottom w:w="0" w:type="dxa"/>
              <w:right w:w="120" w:type="dxa"/>
            </w:tcMar>
            <w:vAlign w:val="bottom"/>
          </w:tcPr>
          <w:p w14:paraId="55213CBC" w14:textId="77777777" w:rsidR="00A97DC5" w:rsidRDefault="00FC534B">
            <w:pPr>
              <w:spacing w:after="0" w:line="288" w:lineRule="auto"/>
              <w:jc w:val="center"/>
              <w:rPr>
                <w:rFonts w:ascii="Century" w:eastAsia="Century" w:hAnsi="Century" w:cs="Century"/>
                <w:sz w:val="16"/>
                <w:szCs w:val="16"/>
              </w:rPr>
            </w:pPr>
            <w:r>
              <w:rPr>
                <w:rFonts w:ascii="Century" w:eastAsia="Century" w:hAnsi="Century" w:cs="Century"/>
                <w:sz w:val="16"/>
                <w:szCs w:val="16"/>
              </w:rPr>
              <w:t>0.039</w:t>
            </w:r>
          </w:p>
        </w:tc>
        <w:tc>
          <w:tcPr>
            <w:tcW w:w="1167" w:type="dxa"/>
            <w:tcBorders>
              <w:top w:val="single" w:sz="4" w:space="0" w:color="000000"/>
              <w:left w:val="nil"/>
              <w:bottom w:val="nil"/>
              <w:right w:val="nil"/>
            </w:tcBorders>
            <w:shd w:val="clear" w:color="auto" w:fill="auto"/>
            <w:tcMar>
              <w:top w:w="0" w:type="dxa"/>
              <w:left w:w="120" w:type="dxa"/>
              <w:bottom w:w="0" w:type="dxa"/>
              <w:right w:w="120" w:type="dxa"/>
            </w:tcMar>
            <w:vAlign w:val="bottom"/>
          </w:tcPr>
          <w:p w14:paraId="7723DA86" w14:textId="77777777" w:rsidR="00A97DC5" w:rsidRDefault="00FC534B">
            <w:pPr>
              <w:spacing w:after="0" w:line="288" w:lineRule="auto"/>
              <w:jc w:val="center"/>
              <w:rPr>
                <w:rFonts w:ascii="Century" w:eastAsia="Century" w:hAnsi="Century" w:cs="Century"/>
                <w:sz w:val="16"/>
                <w:szCs w:val="16"/>
              </w:rPr>
            </w:pPr>
            <w:r>
              <w:rPr>
                <w:rFonts w:ascii="Century" w:eastAsia="Century" w:hAnsi="Century" w:cs="Century"/>
                <w:sz w:val="16"/>
                <w:szCs w:val="16"/>
              </w:rPr>
              <w:t>0.391</w:t>
            </w:r>
          </w:p>
        </w:tc>
      </w:tr>
      <w:tr w:rsidR="00A97DC5" w14:paraId="242AB363" w14:textId="77777777">
        <w:trPr>
          <w:trHeight w:val="212"/>
        </w:trPr>
        <w:tc>
          <w:tcPr>
            <w:tcW w:w="1080" w:type="dxa"/>
            <w:vMerge/>
            <w:tcBorders>
              <w:top w:val="single" w:sz="3" w:space="0" w:color="000000"/>
              <w:left w:val="nil"/>
              <w:bottom w:val="single" w:sz="3" w:space="0" w:color="000000"/>
              <w:right w:val="nil"/>
            </w:tcBorders>
            <w:shd w:val="clear" w:color="auto" w:fill="auto"/>
            <w:tcMar>
              <w:top w:w="100" w:type="dxa"/>
              <w:left w:w="100" w:type="dxa"/>
              <w:bottom w:w="100" w:type="dxa"/>
              <w:right w:w="100" w:type="dxa"/>
            </w:tcMar>
          </w:tcPr>
          <w:p w14:paraId="0903B543" w14:textId="77777777" w:rsidR="00A97DC5" w:rsidRDefault="00A97DC5">
            <w:pPr>
              <w:spacing w:before="120" w:after="0" w:line="240" w:lineRule="auto"/>
              <w:ind w:left="360"/>
              <w:jc w:val="both"/>
              <w:rPr>
                <w:rFonts w:ascii="Century" w:eastAsia="Century" w:hAnsi="Century" w:cs="Century"/>
                <w:sz w:val="16"/>
                <w:szCs w:val="16"/>
              </w:rPr>
            </w:pPr>
          </w:p>
        </w:tc>
        <w:tc>
          <w:tcPr>
            <w:tcW w:w="1260" w:type="dxa"/>
            <w:tcBorders>
              <w:top w:val="nil"/>
              <w:left w:val="nil"/>
              <w:bottom w:val="nil"/>
              <w:right w:val="nil"/>
            </w:tcBorders>
            <w:shd w:val="clear" w:color="auto" w:fill="auto"/>
            <w:tcMar>
              <w:top w:w="0" w:type="dxa"/>
              <w:left w:w="120" w:type="dxa"/>
              <w:bottom w:w="0" w:type="dxa"/>
              <w:right w:w="120" w:type="dxa"/>
            </w:tcMar>
            <w:vAlign w:val="bottom"/>
          </w:tcPr>
          <w:p w14:paraId="6E4D84BB" w14:textId="77777777" w:rsidR="00A97DC5" w:rsidRDefault="00FC534B">
            <w:pPr>
              <w:spacing w:after="0" w:line="288" w:lineRule="auto"/>
              <w:jc w:val="both"/>
              <w:rPr>
                <w:rFonts w:ascii="Century" w:eastAsia="Century" w:hAnsi="Century" w:cs="Century"/>
                <w:sz w:val="16"/>
                <w:szCs w:val="16"/>
              </w:rPr>
            </w:pPr>
            <w:r>
              <w:rPr>
                <w:rFonts w:ascii="Century" w:eastAsia="Century" w:hAnsi="Century" w:cs="Century"/>
                <w:sz w:val="16"/>
                <w:szCs w:val="16"/>
              </w:rPr>
              <w:t>Sig.</w:t>
            </w:r>
          </w:p>
        </w:tc>
        <w:tc>
          <w:tcPr>
            <w:tcW w:w="1167" w:type="dxa"/>
            <w:tcBorders>
              <w:top w:val="nil"/>
              <w:left w:val="nil"/>
              <w:bottom w:val="nil"/>
              <w:right w:val="nil"/>
            </w:tcBorders>
            <w:shd w:val="clear" w:color="auto" w:fill="auto"/>
            <w:tcMar>
              <w:top w:w="0" w:type="dxa"/>
              <w:left w:w="120" w:type="dxa"/>
              <w:bottom w:w="0" w:type="dxa"/>
              <w:right w:w="120" w:type="dxa"/>
            </w:tcMar>
            <w:vAlign w:val="bottom"/>
          </w:tcPr>
          <w:p w14:paraId="2EE9FF62" w14:textId="77777777" w:rsidR="00A97DC5" w:rsidRDefault="00FC534B">
            <w:pPr>
              <w:spacing w:after="0" w:line="288" w:lineRule="auto"/>
              <w:jc w:val="center"/>
              <w:rPr>
                <w:rFonts w:ascii="Century" w:eastAsia="Century" w:hAnsi="Century" w:cs="Century"/>
                <w:sz w:val="16"/>
                <w:szCs w:val="16"/>
              </w:rPr>
            </w:pPr>
            <w:r>
              <w:rPr>
                <w:rFonts w:ascii="Century" w:eastAsia="Century" w:hAnsi="Century" w:cs="Century"/>
                <w:sz w:val="16"/>
                <w:szCs w:val="16"/>
              </w:rPr>
              <w:t>0.000</w:t>
            </w:r>
          </w:p>
        </w:tc>
        <w:tc>
          <w:tcPr>
            <w:tcW w:w="1167" w:type="dxa"/>
            <w:tcBorders>
              <w:top w:val="nil"/>
              <w:left w:val="nil"/>
              <w:bottom w:val="nil"/>
              <w:right w:val="nil"/>
            </w:tcBorders>
            <w:shd w:val="clear" w:color="auto" w:fill="auto"/>
            <w:tcMar>
              <w:top w:w="0" w:type="dxa"/>
              <w:left w:w="120" w:type="dxa"/>
              <w:bottom w:w="0" w:type="dxa"/>
              <w:right w:w="120" w:type="dxa"/>
            </w:tcMar>
            <w:vAlign w:val="bottom"/>
          </w:tcPr>
          <w:p w14:paraId="61F71968" w14:textId="77777777" w:rsidR="00A97DC5" w:rsidRDefault="00FC534B">
            <w:pPr>
              <w:spacing w:after="0" w:line="288" w:lineRule="auto"/>
              <w:jc w:val="center"/>
              <w:rPr>
                <w:rFonts w:ascii="Century" w:eastAsia="Century" w:hAnsi="Century" w:cs="Century"/>
                <w:sz w:val="16"/>
                <w:szCs w:val="16"/>
              </w:rPr>
            </w:pPr>
            <w:r>
              <w:rPr>
                <w:rFonts w:ascii="Century" w:eastAsia="Century" w:hAnsi="Century" w:cs="Century"/>
                <w:sz w:val="16"/>
                <w:szCs w:val="16"/>
              </w:rPr>
              <w:t>0.063</w:t>
            </w:r>
          </w:p>
        </w:tc>
        <w:tc>
          <w:tcPr>
            <w:tcW w:w="1167" w:type="dxa"/>
            <w:tcBorders>
              <w:top w:val="nil"/>
              <w:left w:val="nil"/>
              <w:bottom w:val="nil"/>
              <w:right w:val="nil"/>
            </w:tcBorders>
            <w:shd w:val="clear" w:color="auto" w:fill="auto"/>
            <w:tcMar>
              <w:top w:w="0" w:type="dxa"/>
              <w:left w:w="120" w:type="dxa"/>
              <w:bottom w:w="0" w:type="dxa"/>
              <w:right w:w="120" w:type="dxa"/>
            </w:tcMar>
            <w:vAlign w:val="bottom"/>
          </w:tcPr>
          <w:p w14:paraId="5F969D92" w14:textId="77777777" w:rsidR="00A97DC5" w:rsidRDefault="00FC534B">
            <w:pPr>
              <w:spacing w:after="0" w:line="288" w:lineRule="auto"/>
              <w:jc w:val="center"/>
              <w:rPr>
                <w:rFonts w:ascii="Century" w:eastAsia="Century" w:hAnsi="Century" w:cs="Century"/>
                <w:sz w:val="16"/>
                <w:szCs w:val="16"/>
              </w:rPr>
            </w:pPr>
            <w:r>
              <w:rPr>
                <w:rFonts w:ascii="Century" w:eastAsia="Century" w:hAnsi="Century" w:cs="Century"/>
                <w:sz w:val="16"/>
                <w:szCs w:val="16"/>
              </w:rPr>
              <w:t>0.031</w:t>
            </w:r>
          </w:p>
        </w:tc>
        <w:tc>
          <w:tcPr>
            <w:tcW w:w="1167" w:type="dxa"/>
            <w:tcBorders>
              <w:top w:val="nil"/>
              <w:left w:val="nil"/>
              <w:bottom w:val="nil"/>
              <w:right w:val="nil"/>
            </w:tcBorders>
            <w:shd w:val="clear" w:color="auto" w:fill="auto"/>
            <w:tcMar>
              <w:top w:w="0" w:type="dxa"/>
              <w:left w:w="120" w:type="dxa"/>
              <w:bottom w:w="0" w:type="dxa"/>
              <w:right w:w="120" w:type="dxa"/>
            </w:tcMar>
            <w:vAlign w:val="bottom"/>
          </w:tcPr>
          <w:p w14:paraId="3027CE5F" w14:textId="77777777" w:rsidR="00A97DC5" w:rsidRDefault="00FC534B">
            <w:pPr>
              <w:spacing w:after="0" w:line="288" w:lineRule="auto"/>
              <w:jc w:val="center"/>
              <w:rPr>
                <w:rFonts w:ascii="Century" w:eastAsia="Century" w:hAnsi="Century" w:cs="Century"/>
                <w:sz w:val="16"/>
                <w:szCs w:val="16"/>
              </w:rPr>
            </w:pPr>
            <w:r>
              <w:rPr>
                <w:rFonts w:ascii="Century" w:eastAsia="Century" w:hAnsi="Century" w:cs="Century"/>
                <w:sz w:val="16"/>
                <w:szCs w:val="16"/>
              </w:rPr>
              <w:t>0.240</w:t>
            </w:r>
          </w:p>
        </w:tc>
        <w:tc>
          <w:tcPr>
            <w:tcW w:w="1167" w:type="dxa"/>
            <w:tcBorders>
              <w:top w:val="nil"/>
              <w:left w:val="nil"/>
              <w:bottom w:val="nil"/>
              <w:right w:val="nil"/>
            </w:tcBorders>
            <w:shd w:val="clear" w:color="auto" w:fill="auto"/>
            <w:tcMar>
              <w:top w:w="0" w:type="dxa"/>
              <w:left w:w="120" w:type="dxa"/>
              <w:bottom w:w="0" w:type="dxa"/>
              <w:right w:w="120" w:type="dxa"/>
            </w:tcMar>
            <w:vAlign w:val="bottom"/>
          </w:tcPr>
          <w:p w14:paraId="0224CE4F" w14:textId="77777777" w:rsidR="00A97DC5" w:rsidRDefault="00FC534B">
            <w:pPr>
              <w:spacing w:after="0" w:line="288" w:lineRule="auto"/>
              <w:jc w:val="center"/>
              <w:rPr>
                <w:rFonts w:ascii="Century" w:eastAsia="Century" w:hAnsi="Century" w:cs="Century"/>
                <w:sz w:val="16"/>
                <w:szCs w:val="16"/>
              </w:rPr>
            </w:pPr>
            <w:r>
              <w:rPr>
                <w:rFonts w:ascii="Century" w:eastAsia="Century" w:hAnsi="Century" w:cs="Century"/>
                <w:sz w:val="16"/>
                <w:szCs w:val="16"/>
              </w:rPr>
              <w:t>0.299</w:t>
            </w:r>
          </w:p>
        </w:tc>
        <w:tc>
          <w:tcPr>
            <w:tcW w:w="1167" w:type="dxa"/>
            <w:tcBorders>
              <w:top w:val="nil"/>
              <w:left w:val="nil"/>
              <w:bottom w:val="nil"/>
              <w:right w:val="nil"/>
            </w:tcBorders>
            <w:shd w:val="clear" w:color="auto" w:fill="auto"/>
            <w:tcMar>
              <w:top w:w="0" w:type="dxa"/>
              <w:left w:w="120" w:type="dxa"/>
              <w:bottom w:w="0" w:type="dxa"/>
              <w:right w:w="120" w:type="dxa"/>
            </w:tcMar>
            <w:vAlign w:val="bottom"/>
          </w:tcPr>
          <w:p w14:paraId="590B5E3A" w14:textId="77777777" w:rsidR="00A97DC5" w:rsidRDefault="00FC534B">
            <w:pPr>
              <w:spacing w:after="0" w:line="288" w:lineRule="auto"/>
              <w:jc w:val="center"/>
              <w:rPr>
                <w:rFonts w:ascii="Century" w:eastAsia="Century" w:hAnsi="Century" w:cs="Century"/>
                <w:sz w:val="16"/>
                <w:szCs w:val="16"/>
              </w:rPr>
            </w:pPr>
            <w:r>
              <w:rPr>
                <w:rFonts w:ascii="Century" w:eastAsia="Century" w:hAnsi="Century" w:cs="Century"/>
                <w:sz w:val="16"/>
                <w:szCs w:val="16"/>
              </w:rPr>
              <w:t>0.035</w:t>
            </w:r>
          </w:p>
        </w:tc>
      </w:tr>
      <w:tr w:rsidR="00A97DC5" w14:paraId="3080FE12" w14:textId="77777777">
        <w:trPr>
          <w:trHeight w:val="384"/>
        </w:trPr>
        <w:tc>
          <w:tcPr>
            <w:tcW w:w="1080" w:type="dxa"/>
            <w:vMerge/>
            <w:tcBorders>
              <w:top w:val="single" w:sz="3" w:space="0" w:color="000000"/>
              <w:left w:val="nil"/>
              <w:bottom w:val="single" w:sz="3" w:space="0" w:color="000000"/>
              <w:right w:val="nil"/>
            </w:tcBorders>
            <w:shd w:val="clear" w:color="auto" w:fill="auto"/>
            <w:tcMar>
              <w:top w:w="100" w:type="dxa"/>
              <w:left w:w="100" w:type="dxa"/>
              <w:bottom w:w="100" w:type="dxa"/>
              <w:right w:w="100" w:type="dxa"/>
            </w:tcMar>
          </w:tcPr>
          <w:p w14:paraId="15309F0E" w14:textId="77777777" w:rsidR="00A97DC5" w:rsidRDefault="00A97DC5">
            <w:pPr>
              <w:spacing w:before="120" w:after="0" w:line="240" w:lineRule="auto"/>
              <w:ind w:left="360"/>
              <w:jc w:val="both"/>
              <w:rPr>
                <w:rFonts w:ascii="Century" w:eastAsia="Century" w:hAnsi="Century" w:cs="Century"/>
                <w:sz w:val="16"/>
                <w:szCs w:val="16"/>
              </w:rPr>
            </w:pPr>
          </w:p>
        </w:tc>
        <w:tc>
          <w:tcPr>
            <w:tcW w:w="1260" w:type="dxa"/>
            <w:tcBorders>
              <w:top w:val="nil"/>
              <w:left w:val="nil"/>
              <w:bottom w:val="single" w:sz="3" w:space="0" w:color="000000"/>
              <w:right w:val="nil"/>
            </w:tcBorders>
            <w:shd w:val="clear" w:color="auto" w:fill="auto"/>
            <w:tcMar>
              <w:top w:w="0" w:type="dxa"/>
              <w:left w:w="120" w:type="dxa"/>
              <w:bottom w:w="0" w:type="dxa"/>
              <w:right w:w="120" w:type="dxa"/>
            </w:tcMar>
            <w:vAlign w:val="bottom"/>
          </w:tcPr>
          <w:p w14:paraId="05529782" w14:textId="77777777" w:rsidR="00A97DC5" w:rsidRDefault="00FC534B">
            <w:pPr>
              <w:spacing w:after="0" w:line="288" w:lineRule="auto"/>
              <w:jc w:val="both"/>
              <w:rPr>
                <w:rFonts w:ascii="Century" w:eastAsia="Century" w:hAnsi="Century" w:cs="Century"/>
                <w:sz w:val="16"/>
                <w:szCs w:val="16"/>
              </w:rPr>
            </w:pPr>
            <w:r>
              <w:rPr>
                <w:rFonts w:ascii="Century" w:eastAsia="Century" w:hAnsi="Century" w:cs="Century"/>
                <w:sz w:val="16"/>
                <w:szCs w:val="16"/>
              </w:rPr>
              <w:t>Interpretation</w:t>
            </w:r>
          </w:p>
        </w:tc>
        <w:tc>
          <w:tcPr>
            <w:tcW w:w="1167" w:type="dxa"/>
            <w:tcBorders>
              <w:top w:val="nil"/>
              <w:left w:val="nil"/>
              <w:bottom w:val="single" w:sz="3" w:space="0" w:color="000000"/>
              <w:right w:val="nil"/>
            </w:tcBorders>
            <w:shd w:val="clear" w:color="auto" w:fill="auto"/>
            <w:tcMar>
              <w:top w:w="0" w:type="dxa"/>
              <w:left w:w="120" w:type="dxa"/>
              <w:bottom w:w="0" w:type="dxa"/>
              <w:right w:w="120" w:type="dxa"/>
            </w:tcMar>
            <w:vAlign w:val="bottom"/>
          </w:tcPr>
          <w:p w14:paraId="4C8B0B46" w14:textId="77777777" w:rsidR="00A97DC5" w:rsidRDefault="00FC534B">
            <w:pPr>
              <w:spacing w:after="0" w:line="288" w:lineRule="auto"/>
              <w:jc w:val="center"/>
              <w:rPr>
                <w:rFonts w:ascii="Century" w:eastAsia="Century" w:hAnsi="Century" w:cs="Century"/>
                <w:sz w:val="16"/>
                <w:szCs w:val="16"/>
              </w:rPr>
            </w:pPr>
            <w:r>
              <w:rPr>
                <w:rFonts w:ascii="Century" w:eastAsia="Century" w:hAnsi="Century" w:cs="Century"/>
                <w:sz w:val="16"/>
                <w:szCs w:val="16"/>
              </w:rPr>
              <w:t>Significant</w:t>
            </w:r>
          </w:p>
        </w:tc>
        <w:tc>
          <w:tcPr>
            <w:tcW w:w="1167" w:type="dxa"/>
            <w:tcBorders>
              <w:top w:val="nil"/>
              <w:left w:val="nil"/>
              <w:bottom w:val="single" w:sz="3" w:space="0" w:color="000000"/>
              <w:right w:val="nil"/>
            </w:tcBorders>
            <w:shd w:val="clear" w:color="auto" w:fill="auto"/>
            <w:tcMar>
              <w:top w:w="0" w:type="dxa"/>
              <w:left w:w="120" w:type="dxa"/>
              <w:bottom w:w="0" w:type="dxa"/>
              <w:right w:w="120" w:type="dxa"/>
            </w:tcMar>
            <w:vAlign w:val="bottom"/>
          </w:tcPr>
          <w:p w14:paraId="0D3C6D5A" w14:textId="77777777" w:rsidR="00A97DC5" w:rsidRDefault="00FC534B">
            <w:pPr>
              <w:spacing w:after="0" w:line="288" w:lineRule="auto"/>
              <w:jc w:val="center"/>
              <w:rPr>
                <w:rFonts w:ascii="Century" w:eastAsia="Century" w:hAnsi="Century" w:cs="Century"/>
                <w:sz w:val="16"/>
                <w:szCs w:val="16"/>
              </w:rPr>
            </w:pPr>
            <w:r>
              <w:rPr>
                <w:rFonts w:ascii="Century" w:eastAsia="Century" w:hAnsi="Century" w:cs="Century"/>
                <w:sz w:val="16"/>
                <w:szCs w:val="16"/>
              </w:rPr>
              <w:t>Not Significant</w:t>
            </w:r>
          </w:p>
        </w:tc>
        <w:tc>
          <w:tcPr>
            <w:tcW w:w="1167" w:type="dxa"/>
            <w:tcBorders>
              <w:top w:val="nil"/>
              <w:left w:val="nil"/>
              <w:bottom w:val="single" w:sz="3" w:space="0" w:color="000000"/>
              <w:right w:val="nil"/>
            </w:tcBorders>
            <w:shd w:val="clear" w:color="auto" w:fill="auto"/>
            <w:tcMar>
              <w:top w:w="0" w:type="dxa"/>
              <w:left w:w="120" w:type="dxa"/>
              <w:bottom w:w="0" w:type="dxa"/>
              <w:right w:w="120" w:type="dxa"/>
            </w:tcMar>
            <w:vAlign w:val="bottom"/>
          </w:tcPr>
          <w:p w14:paraId="623BBEE7" w14:textId="77777777" w:rsidR="00A97DC5" w:rsidRDefault="00FC534B">
            <w:pPr>
              <w:spacing w:after="0" w:line="288" w:lineRule="auto"/>
              <w:jc w:val="center"/>
              <w:rPr>
                <w:rFonts w:ascii="Century" w:eastAsia="Century" w:hAnsi="Century" w:cs="Century"/>
                <w:sz w:val="16"/>
                <w:szCs w:val="16"/>
              </w:rPr>
            </w:pPr>
            <w:r>
              <w:rPr>
                <w:rFonts w:ascii="Century" w:eastAsia="Century" w:hAnsi="Century" w:cs="Century"/>
                <w:sz w:val="16"/>
                <w:szCs w:val="16"/>
              </w:rPr>
              <w:t>Significant</w:t>
            </w:r>
          </w:p>
        </w:tc>
        <w:tc>
          <w:tcPr>
            <w:tcW w:w="1167" w:type="dxa"/>
            <w:tcBorders>
              <w:top w:val="nil"/>
              <w:left w:val="nil"/>
              <w:bottom w:val="single" w:sz="3" w:space="0" w:color="000000"/>
              <w:right w:val="nil"/>
            </w:tcBorders>
            <w:shd w:val="clear" w:color="auto" w:fill="auto"/>
            <w:tcMar>
              <w:top w:w="0" w:type="dxa"/>
              <w:left w:w="120" w:type="dxa"/>
              <w:bottom w:w="0" w:type="dxa"/>
              <w:right w:w="120" w:type="dxa"/>
            </w:tcMar>
            <w:vAlign w:val="bottom"/>
          </w:tcPr>
          <w:p w14:paraId="2917A060" w14:textId="77777777" w:rsidR="00A97DC5" w:rsidRDefault="00FC534B">
            <w:pPr>
              <w:spacing w:after="0" w:line="288" w:lineRule="auto"/>
              <w:jc w:val="center"/>
              <w:rPr>
                <w:rFonts w:ascii="Century" w:eastAsia="Century" w:hAnsi="Century" w:cs="Century"/>
                <w:sz w:val="16"/>
                <w:szCs w:val="16"/>
              </w:rPr>
            </w:pPr>
            <w:r>
              <w:rPr>
                <w:rFonts w:ascii="Century" w:eastAsia="Century" w:hAnsi="Century" w:cs="Century"/>
                <w:sz w:val="16"/>
                <w:szCs w:val="16"/>
              </w:rPr>
              <w:t>Not Significant</w:t>
            </w:r>
          </w:p>
        </w:tc>
        <w:tc>
          <w:tcPr>
            <w:tcW w:w="1167" w:type="dxa"/>
            <w:tcBorders>
              <w:top w:val="nil"/>
              <w:left w:val="nil"/>
              <w:bottom w:val="single" w:sz="3" w:space="0" w:color="000000"/>
              <w:right w:val="nil"/>
            </w:tcBorders>
            <w:shd w:val="clear" w:color="auto" w:fill="auto"/>
            <w:tcMar>
              <w:top w:w="0" w:type="dxa"/>
              <w:left w:w="120" w:type="dxa"/>
              <w:bottom w:w="0" w:type="dxa"/>
              <w:right w:w="120" w:type="dxa"/>
            </w:tcMar>
            <w:vAlign w:val="bottom"/>
          </w:tcPr>
          <w:p w14:paraId="0A705167" w14:textId="77777777" w:rsidR="00A97DC5" w:rsidRDefault="00FC534B">
            <w:pPr>
              <w:spacing w:after="0" w:line="288" w:lineRule="auto"/>
              <w:jc w:val="center"/>
              <w:rPr>
                <w:rFonts w:ascii="Century" w:eastAsia="Century" w:hAnsi="Century" w:cs="Century"/>
                <w:sz w:val="16"/>
                <w:szCs w:val="16"/>
              </w:rPr>
            </w:pPr>
            <w:r>
              <w:rPr>
                <w:rFonts w:ascii="Century" w:eastAsia="Century" w:hAnsi="Century" w:cs="Century"/>
                <w:sz w:val="16"/>
                <w:szCs w:val="16"/>
              </w:rPr>
              <w:t>Not Significant</w:t>
            </w:r>
          </w:p>
        </w:tc>
        <w:tc>
          <w:tcPr>
            <w:tcW w:w="1167" w:type="dxa"/>
            <w:tcBorders>
              <w:top w:val="nil"/>
              <w:left w:val="nil"/>
              <w:bottom w:val="single" w:sz="3" w:space="0" w:color="000000"/>
              <w:right w:val="nil"/>
            </w:tcBorders>
            <w:shd w:val="clear" w:color="auto" w:fill="auto"/>
            <w:tcMar>
              <w:top w:w="0" w:type="dxa"/>
              <w:left w:w="120" w:type="dxa"/>
              <w:bottom w:w="0" w:type="dxa"/>
              <w:right w:w="120" w:type="dxa"/>
            </w:tcMar>
            <w:vAlign w:val="bottom"/>
          </w:tcPr>
          <w:p w14:paraId="11EF9DAF" w14:textId="77777777" w:rsidR="00A97DC5" w:rsidRDefault="00FC534B">
            <w:pPr>
              <w:spacing w:after="0" w:line="288" w:lineRule="auto"/>
              <w:jc w:val="center"/>
              <w:rPr>
                <w:rFonts w:ascii="Century" w:eastAsia="Century" w:hAnsi="Century" w:cs="Century"/>
                <w:sz w:val="16"/>
                <w:szCs w:val="16"/>
              </w:rPr>
            </w:pPr>
            <w:r>
              <w:rPr>
                <w:rFonts w:ascii="Century" w:eastAsia="Century" w:hAnsi="Century" w:cs="Century"/>
                <w:sz w:val="16"/>
                <w:szCs w:val="16"/>
              </w:rPr>
              <w:t>Significant</w:t>
            </w:r>
          </w:p>
        </w:tc>
      </w:tr>
      <w:tr w:rsidR="00A97DC5" w14:paraId="6D5BA7E4" w14:textId="77777777">
        <w:trPr>
          <w:trHeight w:val="212"/>
        </w:trPr>
        <w:tc>
          <w:tcPr>
            <w:tcW w:w="1080" w:type="dxa"/>
            <w:vMerge w:val="restart"/>
            <w:tcBorders>
              <w:top w:val="single" w:sz="3" w:space="0" w:color="000000"/>
              <w:left w:val="nil"/>
              <w:bottom w:val="single" w:sz="3" w:space="0" w:color="000000"/>
              <w:right w:val="nil"/>
            </w:tcBorders>
            <w:shd w:val="clear" w:color="auto" w:fill="auto"/>
            <w:tcMar>
              <w:top w:w="0" w:type="dxa"/>
              <w:left w:w="120" w:type="dxa"/>
              <w:bottom w:w="0" w:type="dxa"/>
              <w:right w:w="120" w:type="dxa"/>
            </w:tcMar>
          </w:tcPr>
          <w:p w14:paraId="5F9FB48E" w14:textId="77777777" w:rsidR="00A97DC5" w:rsidRDefault="00FC534B">
            <w:pPr>
              <w:spacing w:after="0" w:line="288" w:lineRule="auto"/>
              <w:jc w:val="both"/>
              <w:rPr>
                <w:rFonts w:ascii="Century" w:eastAsia="Century" w:hAnsi="Century" w:cs="Century"/>
                <w:sz w:val="16"/>
                <w:szCs w:val="16"/>
              </w:rPr>
            </w:pPr>
            <w:r>
              <w:rPr>
                <w:rFonts w:ascii="Century" w:eastAsia="Century" w:hAnsi="Century" w:cs="Century"/>
                <w:sz w:val="16"/>
                <w:szCs w:val="16"/>
              </w:rPr>
              <w:t>People Orientation</w:t>
            </w:r>
          </w:p>
        </w:tc>
        <w:tc>
          <w:tcPr>
            <w:tcW w:w="1260" w:type="dxa"/>
            <w:tcBorders>
              <w:top w:val="single" w:sz="3" w:space="0" w:color="000000"/>
              <w:left w:val="nil"/>
              <w:bottom w:val="nil"/>
              <w:right w:val="nil"/>
            </w:tcBorders>
            <w:shd w:val="clear" w:color="auto" w:fill="auto"/>
            <w:tcMar>
              <w:top w:w="0" w:type="dxa"/>
              <w:left w:w="120" w:type="dxa"/>
              <w:bottom w:w="0" w:type="dxa"/>
              <w:right w:w="120" w:type="dxa"/>
            </w:tcMar>
            <w:vAlign w:val="bottom"/>
          </w:tcPr>
          <w:p w14:paraId="0CDE9863" w14:textId="77777777" w:rsidR="00A97DC5" w:rsidRDefault="00FC534B">
            <w:pPr>
              <w:spacing w:after="0" w:line="288" w:lineRule="auto"/>
              <w:jc w:val="both"/>
              <w:rPr>
                <w:rFonts w:ascii="Century" w:eastAsia="Century" w:hAnsi="Century" w:cs="Century"/>
                <w:sz w:val="16"/>
                <w:szCs w:val="16"/>
              </w:rPr>
            </w:pPr>
            <w:r>
              <w:rPr>
                <w:rFonts w:ascii="Century" w:eastAsia="Century" w:hAnsi="Century" w:cs="Century"/>
                <w:sz w:val="16"/>
                <w:szCs w:val="16"/>
              </w:rPr>
              <w:t>Pearson r</w:t>
            </w:r>
          </w:p>
        </w:tc>
        <w:tc>
          <w:tcPr>
            <w:tcW w:w="1167" w:type="dxa"/>
            <w:tcBorders>
              <w:top w:val="single" w:sz="3" w:space="0" w:color="000000"/>
              <w:left w:val="nil"/>
              <w:bottom w:val="nil"/>
              <w:right w:val="nil"/>
            </w:tcBorders>
            <w:shd w:val="clear" w:color="auto" w:fill="auto"/>
            <w:tcMar>
              <w:top w:w="0" w:type="dxa"/>
              <w:left w:w="120" w:type="dxa"/>
              <w:bottom w:w="0" w:type="dxa"/>
              <w:right w:w="120" w:type="dxa"/>
            </w:tcMar>
            <w:vAlign w:val="bottom"/>
          </w:tcPr>
          <w:p w14:paraId="5288B78D" w14:textId="77777777" w:rsidR="00A97DC5" w:rsidRDefault="00FC534B">
            <w:pPr>
              <w:spacing w:after="0" w:line="288" w:lineRule="auto"/>
              <w:jc w:val="center"/>
              <w:rPr>
                <w:rFonts w:ascii="Century" w:eastAsia="Century" w:hAnsi="Century" w:cs="Century"/>
                <w:sz w:val="16"/>
                <w:szCs w:val="16"/>
              </w:rPr>
            </w:pPr>
            <w:r>
              <w:rPr>
                <w:rFonts w:ascii="Century" w:eastAsia="Century" w:hAnsi="Century" w:cs="Century"/>
                <w:sz w:val="16"/>
                <w:szCs w:val="16"/>
              </w:rPr>
              <w:t>0.083</w:t>
            </w:r>
          </w:p>
        </w:tc>
        <w:tc>
          <w:tcPr>
            <w:tcW w:w="1167" w:type="dxa"/>
            <w:tcBorders>
              <w:top w:val="single" w:sz="3" w:space="0" w:color="000000"/>
              <w:left w:val="nil"/>
              <w:bottom w:val="nil"/>
              <w:right w:val="nil"/>
            </w:tcBorders>
            <w:shd w:val="clear" w:color="auto" w:fill="auto"/>
            <w:tcMar>
              <w:top w:w="0" w:type="dxa"/>
              <w:left w:w="120" w:type="dxa"/>
              <w:bottom w:w="0" w:type="dxa"/>
              <w:right w:w="120" w:type="dxa"/>
            </w:tcMar>
            <w:vAlign w:val="bottom"/>
          </w:tcPr>
          <w:p w14:paraId="61F66ECB" w14:textId="77777777" w:rsidR="00A97DC5" w:rsidRDefault="00FC534B">
            <w:pPr>
              <w:spacing w:after="0" w:line="288" w:lineRule="auto"/>
              <w:jc w:val="center"/>
              <w:rPr>
                <w:rFonts w:ascii="Century" w:eastAsia="Century" w:hAnsi="Century" w:cs="Century"/>
                <w:sz w:val="16"/>
                <w:szCs w:val="16"/>
              </w:rPr>
            </w:pPr>
            <w:r>
              <w:rPr>
                <w:rFonts w:ascii="Century" w:eastAsia="Century" w:hAnsi="Century" w:cs="Century"/>
                <w:sz w:val="16"/>
                <w:szCs w:val="16"/>
              </w:rPr>
              <w:t>-0.314</w:t>
            </w:r>
          </w:p>
        </w:tc>
        <w:tc>
          <w:tcPr>
            <w:tcW w:w="1167" w:type="dxa"/>
            <w:tcBorders>
              <w:top w:val="single" w:sz="3" w:space="0" w:color="000000"/>
              <w:left w:val="nil"/>
              <w:bottom w:val="nil"/>
              <w:right w:val="nil"/>
            </w:tcBorders>
            <w:shd w:val="clear" w:color="auto" w:fill="auto"/>
            <w:tcMar>
              <w:top w:w="0" w:type="dxa"/>
              <w:left w:w="120" w:type="dxa"/>
              <w:bottom w:w="0" w:type="dxa"/>
              <w:right w:w="120" w:type="dxa"/>
            </w:tcMar>
            <w:vAlign w:val="bottom"/>
          </w:tcPr>
          <w:p w14:paraId="46054207" w14:textId="77777777" w:rsidR="00A97DC5" w:rsidRDefault="00FC534B">
            <w:pPr>
              <w:spacing w:after="0" w:line="288" w:lineRule="auto"/>
              <w:jc w:val="center"/>
              <w:rPr>
                <w:rFonts w:ascii="Century" w:eastAsia="Century" w:hAnsi="Century" w:cs="Century"/>
                <w:sz w:val="16"/>
                <w:szCs w:val="16"/>
              </w:rPr>
            </w:pPr>
            <w:r>
              <w:rPr>
                <w:rFonts w:ascii="Century" w:eastAsia="Century" w:hAnsi="Century" w:cs="Century"/>
                <w:sz w:val="16"/>
                <w:szCs w:val="16"/>
              </w:rPr>
              <w:t>0.020</w:t>
            </w:r>
          </w:p>
        </w:tc>
        <w:tc>
          <w:tcPr>
            <w:tcW w:w="1167" w:type="dxa"/>
            <w:tcBorders>
              <w:top w:val="single" w:sz="3" w:space="0" w:color="000000"/>
              <w:left w:val="nil"/>
              <w:bottom w:val="nil"/>
              <w:right w:val="nil"/>
            </w:tcBorders>
            <w:shd w:val="clear" w:color="auto" w:fill="auto"/>
            <w:tcMar>
              <w:top w:w="0" w:type="dxa"/>
              <w:left w:w="120" w:type="dxa"/>
              <w:bottom w:w="0" w:type="dxa"/>
              <w:right w:w="120" w:type="dxa"/>
            </w:tcMar>
            <w:vAlign w:val="bottom"/>
          </w:tcPr>
          <w:p w14:paraId="52C2F00B" w14:textId="77777777" w:rsidR="00A97DC5" w:rsidRDefault="00FC534B">
            <w:pPr>
              <w:spacing w:after="0" w:line="288" w:lineRule="auto"/>
              <w:jc w:val="center"/>
              <w:rPr>
                <w:rFonts w:ascii="Century" w:eastAsia="Century" w:hAnsi="Century" w:cs="Century"/>
                <w:sz w:val="16"/>
                <w:szCs w:val="16"/>
              </w:rPr>
            </w:pPr>
            <w:r>
              <w:rPr>
                <w:rFonts w:ascii="Century" w:eastAsia="Century" w:hAnsi="Century" w:cs="Century"/>
                <w:sz w:val="16"/>
                <w:szCs w:val="16"/>
              </w:rPr>
              <w:t>0.399</w:t>
            </w:r>
          </w:p>
        </w:tc>
        <w:tc>
          <w:tcPr>
            <w:tcW w:w="1167" w:type="dxa"/>
            <w:tcBorders>
              <w:top w:val="single" w:sz="3" w:space="0" w:color="000000"/>
              <w:left w:val="nil"/>
              <w:bottom w:val="nil"/>
              <w:right w:val="nil"/>
            </w:tcBorders>
            <w:shd w:val="clear" w:color="auto" w:fill="auto"/>
            <w:tcMar>
              <w:top w:w="0" w:type="dxa"/>
              <w:left w:w="120" w:type="dxa"/>
              <w:bottom w:w="0" w:type="dxa"/>
              <w:right w:w="120" w:type="dxa"/>
            </w:tcMar>
            <w:vAlign w:val="bottom"/>
          </w:tcPr>
          <w:p w14:paraId="1B7FA63F" w14:textId="77777777" w:rsidR="00A97DC5" w:rsidRDefault="00FC534B">
            <w:pPr>
              <w:spacing w:after="0" w:line="288" w:lineRule="auto"/>
              <w:jc w:val="center"/>
              <w:rPr>
                <w:rFonts w:ascii="Century" w:eastAsia="Century" w:hAnsi="Century" w:cs="Century"/>
                <w:sz w:val="16"/>
                <w:szCs w:val="16"/>
              </w:rPr>
            </w:pPr>
            <w:r>
              <w:rPr>
                <w:rFonts w:ascii="Century" w:eastAsia="Century" w:hAnsi="Century" w:cs="Century"/>
                <w:sz w:val="16"/>
                <w:szCs w:val="16"/>
              </w:rPr>
              <w:t>0.047</w:t>
            </w:r>
          </w:p>
        </w:tc>
        <w:tc>
          <w:tcPr>
            <w:tcW w:w="1167" w:type="dxa"/>
            <w:tcBorders>
              <w:top w:val="single" w:sz="3" w:space="0" w:color="000000"/>
              <w:left w:val="nil"/>
              <w:bottom w:val="nil"/>
              <w:right w:val="nil"/>
            </w:tcBorders>
            <w:shd w:val="clear" w:color="auto" w:fill="auto"/>
            <w:tcMar>
              <w:top w:w="0" w:type="dxa"/>
              <w:left w:w="120" w:type="dxa"/>
              <w:bottom w:w="0" w:type="dxa"/>
              <w:right w:w="120" w:type="dxa"/>
            </w:tcMar>
            <w:vAlign w:val="bottom"/>
          </w:tcPr>
          <w:p w14:paraId="0B1986F9" w14:textId="77777777" w:rsidR="00A97DC5" w:rsidRDefault="00FC534B">
            <w:pPr>
              <w:spacing w:after="0" w:line="288" w:lineRule="auto"/>
              <w:jc w:val="center"/>
              <w:rPr>
                <w:rFonts w:ascii="Century" w:eastAsia="Century" w:hAnsi="Century" w:cs="Century"/>
                <w:sz w:val="16"/>
                <w:szCs w:val="16"/>
              </w:rPr>
            </w:pPr>
            <w:r>
              <w:rPr>
                <w:rFonts w:ascii="Century" w:eastAsia="Century" w:hAnsi="Century" w:cs="Century"/>
                <w:sz w:val="16"/>
                <w:szCs w:val="16"/>
              </w:rPr>
              <w:t>0.111</w:t>
            </w:r>
          </w:p>
        </w:tc>
      </w:tr>
      <w:tr w:rsidR="00A97DC5" w14:paraId="0E632708" w14:textId="77777777">
        <w:trPr>
          <w:trHeight w:val="212"/>
        </w:trPr>
        <w:tc>
          <w:tcPr>
            <w:tcW w:w="1080" w:type="dxa"/>
            <w:vMerge/>
            <w:tcBorders>
              <w:top w:val="single" w:sz="3" w:space="0" w:color="000000"/>
              <w:left w:val="nil"/>
              <w:bottom w:val="single" w:sz="3" w:space="0" w:color="000000"/>
              <w:right w:val="nil"/>
            </w:tcBorders>
            <w:shd w:val="clear" w:color="auto" w:fill="auto"/>
            <w:tcMar>
              <w:top w:w="100" w:type="dxa"/>
              <w:left w:w="100" w:type="dxa"/>
              <w:bottom w:w="100" w:type="dxa"/>
              <w:right w:w="100" w:type="dxa"/>
            </w:tcMar>
          </w:tcPr>
          <w:p w14:paraId="7044C0D3" w14:textId="77777777" w:rsidR="00A97DC5" w:rsidRDefault="00A97DC5">
            <w:pPr>
              <w:spacing w:before="120" w:after="0" w:line="240" w:lineRule="auto"/>
              <w:ind w:left="360"/>
              <w:jc w:val="both"/>
              <w:rPr>
                <w:rFonts w:ascii="Century" w:eastAsia="Century" w:hAnsi="Century" w:cs="Century"/>
                <w:sz w:val="16"/>
                <w:szCs w:val="16"/>
              </w:rPr>
            </w:pPr>
          </w:p>
        </w:tc>
        <w:tc>
          <w:tcPr>
            <w:tcW w:w="1260" w:type="dxa"/>
            <w:tcBorders>
              <w:top w:val="nil"/>
              <w:left w:val="nil"/>
              <w:bottom w:val="nil"/>
              <w:right w:val="nil"/>
            </w:tcBorders>
            <w:shd w:val="clear" w:color="auto" w:fill="auto"/>
            <w:tcMar>
              <w:top w:w="0" w:type="dxa"/>
              <w:left w:w="120" w:type="dxa"/>
              <w:bottom w:w="0" w:type="dxa"/>
              <w:right w:w="120" w:type="dxa"/>
            </w:tcMar>
            <w:vAlign w:val="bottom"/>
          </w:tcPr>
          <w:p w14:paraId="18A6472E" w14:textId="77777777" w:rsidR="00A97DC5" w:rsidRDefault="00FC534B">
            <w:pPr>
              <w:spacing w:after="0" w:line="288" w:lineRule="auto"/>
              <w:jc w:val="both"/>
              <w:rPr>
                <w:rFonts w:ascii="Century" w:eastAsia="Century" w:hAnsi="Century" w:cs="Century"/>
                <w:sz w:val="16"/>
                <w:szCs w:val="16"/>
              </w:rPr>
            </w:pPr>
            <w:r>
              <w:rPr>
                <w:rFonts w:ascii="Century" w:eastAsia="Century" w:hAnsi="Century" w:cs="Century"/>
                <w:sz w:val="16"/>
                <w:szCs w:val="16"/>
              </w:rPr>
              <w:t>Sig.</w:t>
            </w:r>
          </w:p>
        </w:tc>
        <w:tc>
          <w:tcPr>
            <w:tcW w:w="1167" w:type="dxa"/>
            <w:tcBorders>
              <w:top w:val="nil"/>
              <w:left w:val="nil"/>
              <w:bottom w:val="nil"/>
              <w:right w:val="nil"/>
            </w:tcBorders>
            <w:shd w:val="clear" w:color="auto" w:fill="auto"/>
            <w:tcMar>
              <w:top w:w="0" w:type="dxa"/>
              <w:left w:w="120" w:type="dxa"/>
              <w:bottom w:w="0" w:type="dxa"/>
              <w:right w:w="120" w:type="dxa"/>
            </w:tcMar>
            <w:vAlign w:val="bottom"/>
          </w:tcPr>
          <w:p w14:paraId="3E05722C" w14:textId="77777777" w:rsidR="00A97DC5" w:rsidRDefault="00FC534B">
            <w:pPr>
              <w:spacing w:after="0" w:line="288" w:lineRule="auto"/>
              <w:jc w:val="center"/>
              <w:rPr>
                <w:rFonts w:ascii="Century" w:eastAsia="Century" w:hAnsi="Century" w:cs="Century"/>
                <w:sz w:val="16"/>
                <w:szCs w:val="16"/>
              </w:rPr>
            </w:pPr>
            <w:r>
              <w:rPr>
                <w:rFonts w:ascii="Century" w:eastAsia="Century" w:hAnsi="Century" w:cs="Century"/>
                <w:sz w:val="16"/>
                <w:szCs w:val="16"/>
              </w:rPr>
              <w:t>0.330</w:t>
            </w:r>
          </w:p>
        </w:tc>
        <w:tc>
          <w:tcPr>
            <w:tcW w:w="1167" w:type="dxa"/>
            <w:tcBorders>
              <w:top w:val="nil"/>
              <w:left w:val="nil"/>
              <w:bottom w:val="nil"/>
              <w:right w:val="nil"/>
            </w:tcBorders>
            <w:shd w:val="clear" w:color="auto" w:fill="auto"/>
            <w:tcMar>
              <w:top w:w="0" w:type="dxa"/>
              <w:left w:w="120" w:type="dxa"/>
              <w:bottom w:w="0" w:type="dxa"/>
              <w:right w:w="120" w:type="dxa"/>
            </w:tcMar>
            <w:vAlign w:val="bottom"/>
          </w:tcPr>
          <w:p w14:paraId="71F9E03E" w14:textId="77777777" w:rsidR="00A97DC5" w:rsidRDefault="00FC534B">
            <w:pPr>
              <w:spacing w:after="0" w:line="288" w:lineRule="auto"/>
              <w:jc w:val="center"/>
              <w:rPr>
                <w:rFonts w:ascii="Century" w:eastAsia="Century" w:hAnsi="Century" w:cs="Century"/>
                <w:sz w:val="16"/>
                <w:szCs w:val="16"/>
              </w:rPr>
            </w:pPr>
            <w:r>
              <w:rPr>
                <w:rFonts w:ascii="Century" w:eastAsia="Century" w:hAnsi="Century" w:cs="Century"/>
                <w:sz w:val="16"/>
                <w:szCs w:val="16"/>
              </w:rPr>
              <w:t>0.034</w:t>
            </w:r>
          </w:p>
        </w:tc>
        <w:tc>
          <w:tcPr>
            <w:tcW w:w="1167" w:type="dxa"/>
            <w:tcBorders>
              <w:top w:val="nil"/>
              <w:left w:val="nil"/>
              <w:bottom w:val="nil"/>
              <w:right w:val="nil"/>
            </w:tcBorders>
            <w:shd w:val="clear" w:color="auto" w:fill="auto"/>
            <w:tcMar>
              <w:top w:w="0" w:type="dxa"/>
              <w:left w:w="120" w:type="dxa"/>
              <w:bottom w:w="0" w:type="dxa"/>
              <w:right w:w="120" w:type="dxa"/>
            </w:tcMar>
            <w:vAlign w:val="bottom"/>
          </w:tcPr>
          <w:p w14:paraId="1A1C97B2" w14:textId="77777777" w:rsidR="00A97DC5" w:rsidRDefault="00FC534B">
            <w:pPr>
              <w:spacing w:after="0" w:line="288" w:lineRule="auto"/>
              <w:jc w:val="center"/>
              <w:rPr>
                <w:rFonts w:ascii="Century" w:eastAsia="Century" w:hAnsi="Century" w:cs="Century"/>
                <w:sz w:val="16"/>
                <w:szCs w:val="16"/>
              </w:rPr>
            </w:pPr>
            <w:r>
              <w:rPr>
                <w:rFonts w:ascii="Century" w:eastAsia="Century" w:hAnsi="Century" w:cs="Century"/>
                <w:sz w:val="16"/>
                <w:szCs w:val="16"/>
              </w:rPr>
              <w:t>0.230</w:t>
            </w:r>
          </w:p>
        </w:tc>
        <w:tc>
          <w:tcPr>
            <w:tcW w:w="1167" w:type="dxa"/>
            <w:tcBorders>
              <w:top w:val="nil"/>
              <w:left w:val="nil"/>
              <w:bottom w:val="nil"/>
              <w:right w:val="nil"/>
            </w:tcBorders>
            <w:shd w:val="clear" w:color="auto" w:fill="auto"/>
            <w:tcMar>
              <w:top w:w="0" w:type="dxa"/>
              <w:left w:w="120" w:type="dxa"/>
              <w:bottom w:w="0" w:type="dxa"/>
              <w:right w:w="120" w:type="dxa"/>
            </w:tcMar>
            <w:vAlign w:val="bottom"/>
          </w:tcPr>
          <w:p w14:paraId="55F4542A" w14:textId="77777777" w:rsidR="00A97DC5" w:rsidRDefault="00FC534B">
            <w:pPr>
              <w:spacing w:after="0" w:line="288" w:lineRule="auto"/>
              <w:jc w:val="center"/>
              <w:rPr>
                <w:rFonts w:ascii="Century" w:eastAsia="Century" w:hAnsi="Century" w:cs="Century"/>
                <w:sz w:val="16"/>
                <w:szCs w:val="16"/>
              </w:rPr>
            </w:pPr>
            <w:r>
              <w:rPr>
                <w:rFonts w:ascii="Century" w:eastAsia="Century" w:hAnsi="Century" w:cs="Century"/>
                <w:sz w:val="16"/>
                <w:szCs w:val="16"/>
              </w:rPr>
              <w:t>0.035</w:t>
            </w:r>
          </w:p>
        </w:tc>
        <w:tc>
          <w:tcPr>
            <w:tcW w:w="1167" w:type="dxa"/>
            <w:tcBorders>
              <w:top w:val="nil"/>
              <w:left w:val="nil"/>
              <w:bottom w:val="nil"/>
              <w:right w:val="nil"/>
            </w:tcBorders>
            <w:shd w:val="clear" w:color="auto" w:fill="auto"/>
            <w:tcMar>
              <w:top w:w="0" w:type="dxa"/>
              <w:left w:w="120" w:type="dxa"/>
              <w:bottom w:w="0" w:type="dxa"/>
              <w:right w:w="120" w:type="dxa"/>
            </w:tcMar>
            <w:vAlign w:val="bottom"/>
          </w:tcPr>
          <w:p w14:paraId="194DBA8F" w14:textId="77777777" w:rsidR="00A97DC5" w:rsidRDefault="00FC534B">
            <w:pPr>
              <w:spacing w:after="0" w:line="288" w:lineRule="auto"/>
              <w:jc w:val="center"/>
              <w:rPr>
                <w:rFonts w:ascii="Century" w:eastAsia="Century" w:hAnsi="Century" w:cs="Century"/>
                <w:sz w:val="16"/>
                <w:szCs w:val="16"/>
              </w:rPr>
            </w:pPr>
            <w:r>
              <w:rPr>
                <w:rFonts w:ascii="Century" w:eastAsia="Century" w:hAnsi="Century" w:cs="Century"/>
                <w:sz w:val="16"/>
                <w:szCs w:val="16"/>
              </w:rPr>
              <w:t>0.590</w:t>
            </w:r>
          </w:p>
        </w:tc>
        <w:tc>
          <w:tcPr>
            <w:tcW w:w="1167" w:type="dxa"/>
            <w:tcBorders>
              <w:top w:val="nil"/>
              <w:left w:val="nil"/>
              <w:bottom w:val="nil"/>
              <w:right w:val="nil"/>
            </w:tcBorders>
            <w:shd w:val="clear" w:color="auto" w:fill="auto"/>
            <w:tcMar>
              <w:top w:w="0" w:type="dxa"/>
              <w:left w:w="120" w:type="dxa"/>
              <w:bottom w:w="0" w:type="dxa"/>
              <w:right w:w="120" w:type="dxa"/>
            </w:tcMar>
            <w:vAlign w:val="bottom"/>
          </w:tcPr>
          <w:p w14:paraId="55FAB79F" w14:textId="77777777" w:rsidR="00A97DC5" w:rsidRDefault="00FC534B">
            <w:pPr>
              <w:spacing w:after="0" w:line="288" w:lineRule="auto"/>
              <w:jc w:val="center"/>
              <w:rPr>
                <w:rFonts w:ascii="Century" w:eastAsia="Century" w:hAnsi="Century" w:cs="Century"/>
                <w:sz w:val="16"/>
                <w:szCs w:val="16"/>
              </w:rPr>
            </w:pPr>
            <w:r>
              <w:rPr>
                <w:rFonts w:ascii="Century" w:eastAsia="Century" w:hAnsi="Century" w:cs="Century"/>
                <w:sz w:val="16"/>
                <w:szCs w:val="16"/>
              </w:rPr>
              <w:t>0.240</w:t>
            </w:r>
          </w:p>
        </w:tc>
      </w:tr>
      <w:tr w:rsidR="00A97DC5" w14:paraId="2CFC80A1" w14:textId="77777777">
        <w:trPr>
          <w:trHeight w:val="384"/>
        </w:trPr>
        <w:tc>
          <w:tcPr>
            <w:tcW w:w="1080" w:type="dxa"/>
            <w:vMerge/>
            <w:tcBorders>
              <w:top w:val="single" w:sz="3" w:space="0" w:color="000000"/>
              <w:left w:val="nil"/>
              <w:bottom w:val="single" w:sz="3" w:space="0" w:color="000000"/>
              <w:right w:val="nil"/>
            </w:tcBorders>
            <w:shd w:val="clear" w:color="auto" w:fill="auto"/>
            <w:tcMar>
              <w:top w:w="100" w:type="dxa"/>
              <w:left w:w="100" w:type="dxa"/>
              <w:bottom w:w="100" w:type="dxa"/>
              <w:right w:w="100" w:type="dxa"/>
            </w:tcMar>
          </w:tcPr>
          <w:p w14:paraId="0CDD1056" w14:textId="77777777" w:rsidR="00A97DC5" w:rsidRDefault="00A97DC5">
            <w:pPr>
              <w:spacing w:before="120" w:after="0" w:line="240" w:lineRule="auto"/>
              <w:ind w:left="360"/>
              <w:jc w:val="both"/>
              <w:rPr>
                <w:rFonts w:ascii="Century" w:eastAsia="Century" w:hAnsi="Century" w:cs="Century"/>
                <w:sz w:val="16"/>
                <w:szCs w:val="16"/>
              </w:rPr>
            </w:pPr>
          </w:p>
        </w:tc>
        <w:tc>
          <w:tcPr>
            <w:tcW w:w="1260" w:type="dxa"/>
            <w:tcBorders>
              <w:top w:val="nil"/>
              <w:left w:val="nil"/>
              <w:bottom w:val="single" w:sz="3" w:space="0" w:color="000000"/>
              <w:right w:val="nil"/>
            </w:tcBorders>
            <w:shd w:val="clear" w:color="auto" w:fill="auto"/>
            <w:tcMar>
              <w:top w:w="0" w:type="dxa"/>
              <w:left w:w="120" w:type="dxa"/>
              <w:bottom w:w="0" w:type="dxa"/>
              <w:right w:w="120" w:type="dxa"/>
            </w:tcMar>
            <w:vAlign w:val="bottom"/>
          </w:tcPr>
          <w:p w14:paraId="17C87016" w14:textId="77777777" w:rsidR="00A97DC5" w:rsidRDefault="00FC534B">
            <w:pPr>
              <w:spacing w:after="0" w:line="288" w:lineRule="auto"/>
              <w:jc w:val="both"/>
              <w:rPr>
                <w:rFonts w:ascii="Century" w:eastAsia="Century" w:hAnsi="Century" w:cs="Century"/>
                <w:sz w:val="16"/>
                <w:szCs w:val="16"/>
              </w:rPr>
            </w:pPr>
            <w:r>
              <w:rPr>
                <w:rFonts w:ascii="Century" w:eastAsia="Century" w:hAnsi="Century" w:cs="Century"/>
                <w:sz w:val="16"/>
                <w:szCs w:val="16"/>
              </w:rPr>
              <w:t>Interpretation</w:t>
            </w:r>
          </w:p>
        </w:tc>
        <w:tc>
          <w:tcPr>
            <w:tcW w:w="1167" w:type="dxa"/>
            <w:tcBorders>
              <w:top w:val="nil"/>
              <w:left w:val="nil"/>
              <w:bottom w:val="single" w:sz="3" w:space="0" w:color="000000"/>
              <w:right w:val="nil"/>
            </w:tcBorders>
            <w:shd w:val="clear" w:color="auto" w:fill="auto"/>
            <w:tcMar>
              <w:top w:w="0" w:type="dxa"/>
              <w:left w:w="120" w:type="dxa"/>
              <w:bottom w:w="0" w:type="dxa"/>
              <w:right w:w="120" w:type="dxa"/>
            </w:tcMar>
            <w:vAlign w:val="bottom"/>
          </w:tcPr>
          <w:p w14:paraId="7F80C259" w14:textId="77777777" w:rsidR="00A97DC5" w:rsidRDefault="00FC534B">
            <w:pPr>
              <w:spacing w:after="0" w:line="288" w:lineRule="auto"/>
              <w:jc w:val="center"/>
              <w:rPr>
                <w:rFonts w:ascii="Century" w:eastAsia="Century" w:hAnsi="Century" w:cs="Century"/>
                <w:sz w:val="16"/>
                <w:szCs w:val="16"/>
              </w:rPr>
            </w:pPr>
            <w:r>
              <w:rPr>
                <w:rFonts w:ascii="Century" w:eastAsia="Century" w:hAnsi="Century" w:cs="Century"/>
                <w:sz w:val="16"/>
                <w:szCs w:val="16"/>
              </w:rPr>
              <w:t>Not Significant</w:t>
            </w:r>
          </w:p>
        </w:tc>
        <w:tc>
          <w:tcPr>
            <w:tcW w:w="1167" w:type="dxa"/>
            <w:tcBorders>
              <w:top w:val="nil"/>
              <w:left w:val="nil"/>
              <w:bottom w:val="single" w:sz="3" w:space="0" w:color="000000"/>
              <w:right w:val="nil"/>
            </w:tcBorders>
            <w:shd w:val="clear" w:color="auto" w:fill="auto"/>
            <w:tcMar>
              <w:top w:w="0" w:type="dxa"/>
              <w:left w:w="120" w:type="dxa"/>
              <w:bottom w:w="0" w:type="dxa"/>
              <w:right w:w="120" w:type="dxa"/>
            </w:tcMar>
            <w:vAlign w:val="bottom"/>
          </w:tcPr>
          <w:p w14:paraId="09ACBFAE" w14:textId="77777777" w:rsidR="00A97DC5" w:rsidRDefault="00FC534B">
            <w:pPr>
              <w:spacing w:after="0" w:line="288" w:lineRule="auto"/>
              <w:jc w:val="center"/>
              <w:rPr>
                <w:rFonts w:ascii="Century" w:eastAsia="Century" w:hAnsi="Century" w:cs="Century"/>
                <w:sz w:val="16"/>
                <w:szCs w:val="16"/>
              </w:rPr>
            </w:pPr>
            <w:r>
              <w:rPr>
                <w:rFonts w:ascii="Century" w:eastAsia="Century" w:hAnsi="Century" w:cs="Century"/>
                <w:sz w:val="16"/>
                <w:szCs w:val="16"/>
              </w:rPr>
              <w:t>Significant</w:t>
            </w:r>
          </w:p>
        </w:tc>
        <w:tc>
          <w:tcPr>
            <w:tcW w:w="1167" w:type="dxa"/>
            <w:tcBorders>
              <w:top w:val="nil"/>
              <w:left w:val="nil"/>
              <w:bottom w:val="single" w:sz="3" w:space="0" w:color="000000"/>
              <w:right w:val="nil"/>
            </w:tcBorders>
            <w:shd w:val="clear" w:color="auto" w:fill="auto"/>
            <w:tcMar>
              <w:top w:w="0" w:type="dxa"/>
              <w:left w:w="120" w:type="dxa"/>
              <w:bottom w:w="0" w:type="dxa"/>
              <w:right w:w="120" w:type="dxa"/>
            </w:tcMar>
            <w:vAlign w:val="bottom"/>
          </w:tcPr>
          <w:p w14:paraId="434226B1" w14:textId="77777777" w:rsidR="00A97DC5" w:rsidRDefault="00FC534B">
            <w:pPr>
              <w:spacing w:after="0" w:line="288" w:lineRule="auto"/>
              <w:jc w:val="center"/>
              <w:rPr>
                <w:rFonts w:ascii="Century" w:eastAsia="Century" w:hAnsi="Century" w:cs="Century"/>
                <w:sz w:val="16"/>
                <w:szCs w:val="16"/>
              </w:rPr>
            </w:pPr>
            <w:r>
              <w:rPr>
                <w:rFonts w:ascii="Century" w:eastAsia="Century" w:hAnsi="Century" w:cs="Century"/>
                <w:sz w:val="16"/>
                <w:szCs w:val="16"/>
              </w:rPr>
              <w:t>Not Significant</w:t>
            </w:r>
          </w:p>
        </w:tc>
        <w:tc>
          <w:tcPr>
            <w:tcW w:w="1167" w:type="dxa"/>
            <w:tcBorders>
              <w:top w:val="nil"/>
              <w:left w:val="nil"/>
              <w:bottom w:val="single" w:sz="3" w:space="0" w:color="000000"/>
              <w:right w:val="nil"/>
            </w:tcBorders>
            <w:shd w:val="clear" w:color="auto" w:fill="auto"/>
            <w:tcMar>
              <w:top w:w="0" w:type="dxa"/>
              <w:left w:w="120" w:type="dxa"/>
              <w:bottom w:w="0" w:type="dxa"/>
              <w:right w:w="120" w:type="dxa"/>
            </w:tcMar>
            <w:vAlign w:val="bottom"/>
          </w:tcPr>
          <w:p w14:paraId="5BD31BC8" w14:textId="77777777" w:rsidR="00A97DC5" w:rsidRDefault="00FC534B">
            <w:pPr>
              <w:spacing w:after="0" w:line="288" w:lineRule="auto"/>
              <w:jc w:val="center"/>
              <w:rPr>
                <w:rFonts w:ascii="Century" w:eastAsia="Century" w:hAnsi="Century" w:cs="Century"/>
                <w:sz w:val="16"/>
                <w:szCs w:val="16"/>
              </w:rPr>
            </w:pPr>
            <w:r>
              <w:rPr>
                <w:rFonts w:ascii="Century" w:eastAsia="Century" w:hAnsi="Century" w:cs="Century"/>
                <w:sz w:val="16"/>
                <w:szCs w:val="16"/>
              </w:rPr>
              <w:t>Significant</w:t>
            </w:r>
          </w:p>
        </w:tc>
        <w:tc>
          <w:tcPr>
            <w:tcW w:w="1167" w:type="dxa"/>
            <w:tcBorders>
              <w:top w:val="nil"/>
              <w:left w:val="nil"/>
              <w:bottom w:val="single" w:sz="3" w:space="0" w:color="000000"/>
              <w:right w:val="nil"/>
            </w:tcBorders>
            <w:shd w:val="clear" w:color="auto" w:fill="auto"/>
            <w:tcMar>
              <w:top w:w="0" w:type="dxa"/>
              <w:left w:w="120" w:type="dxa"/>
              <w:bottom w:w="0" w:type="dxa"/>
              <w:right w:w="120" w:type="dxa"/>
            </w:tcMar>
            <w:vAlign w:val="bottom"/>
          </w:tcPr>
          <w:p w14:paraId="4CDDAC6F" w14:textId="77777777" w:rsidR="00A97DC5" w:rsidRDefault="00FC534B">
            <w:pPr>
              <w:spacing w:after="0" w:line="288" w:lineRule="auto"/>
              <w:jc w:val="center"/>
              <w:rPr>
                <w:rFonts w:ascii="Century" w:eastAsia="Century" w:hAnsi="Century" w:cs="Century"/>
                <w:sz w:val="16"/>
                <w:szCs w:val="16"/>
              </w:rPr>
            </w:pPr>
            <w:r>
              <w:rPr>
                <w:rFonts w:ascii="Century" w:eastAsia="Century" w:hAnsi="Century" w:cs="Century"/>
                <w:sz w:val="16"/>
                <w:szCs w:val="16"/>
              </w:rPr>
              <w:t>Not Significant</w:t>
            </w:r>
          </w:p>
        </w:tc>
        <w:tc>
          <w:tcPr>
            <w:tcW w:w="1167" w:type="dxa"/>
            <w:tcBorders>
              <w:top w:val="nil"/>
              <w:left w:val="nil"/>
              <w:bottom w:val="single" w:sz="3" w:space="0" w:color="000000"/>
              <w:right w:val="nil"/>
            </w:tcBorders>
            <w:shd w:val="clear" w:color="auto" w:fill="auto"/>
            <w:tcMar>
              <w:top w:w="0" w:type="dxa"/>
              <w:left w:w="120" w:type="dxa"/>
              <w:bottom w:w="0" w:type="dxa"/>
              <w:right w:w="120" w:type="dxa"/>
            </w:tcMar>
            <w:vAlign w:val="bottom"/>
          </w:tcPr>
          <w:p w14:paraId="6F2D03ED" w14:textId="77777777" w:rsidR="00A97DC5" w:rsidRDefault="00FC534B">
            <w:pPr>
              <w:spacing w:after="0" w:line="288" w:lineRule="auto"/>
              <w:jc w:val="center"/>
              <w:rPr>
                <w:rFonts w:ascii="Century" w:eastAsia="Century" w:hAnsi="Century" w:cs="Century"/>
                <w:sz w:val="16"/>
                <w:szCs w:val="16"/>
              </w:rPr>
            </w:pPr>
            <w:r>
              <w:rPr>
                <w:rFonts w:ascii="Century" w:eastAsia="Century" w:hAnsi="Century" w:cs="Century"/>
                <w:sz w:val="16"/>
                <w:szCs w:val="16"/>
              </w:rPr>
              <w:t>Not Significant</w:t>
            </w:r>
          </w:p>
        </w:tc>
      </w:tr>
      <w:tr w:rsidR="00A97DC5" w14:paraId="2C5CF421" w14:textId="77777777">
        <w:trPr>
          <w:trHeight w:val="192"/>
        </w:trPr>
        <w:tc>
          <w:tcPr>
            <w:tcW w:w="9342" w:type="dxa"/>
            <w:gridSpan w:val="8"/>
            <w:tcBorders>
              <w:top w:val="single" w:sz="3" w:space="0" w:color="000000"/>
              <w:left w:val="nil"/>
              <w:bottom w:val="single" w:sz="3" w:space="0" w:color="000000"/>
              <w:right w:val="nil"/>
            </w:tcBorders>
            <w:shd w:val="clear" w:color="auto" w:fill="auto"/>
            <w:tcMar>
              <w:top w:w="0" w:type="dxa"/>
              <w:left w:w="120" w:type="dxa"/>
              <w:bottom w:w="0" w:type="dxa"/>
              <w:right w:w="120" w:type="dxa"/>
            </w:tcMar>
            <w:vAlign w:val="center"/>
          </w:tcPr>
          <w:p w14:paraId="6DDF58C2" w14:textId="77777777" w:rsidR="00A97DC5" w:rsidRDefault="00FC534B">
            <w:pPr>
              <w:spacing w:after="0" w:line="288" w:lineRule="auto"/>
              <w:jc w:val="both"/>
              <w:rPr>
                <w:rFonts w:ascii="Century" w:eastAsia="Century" w:hAnsi="Century" w:cs="Century"/>
                <w:sz w:val="16"/>
                <w:szCs w:val="16"/>
              </w:rPr>
            </w:pPr>
            <w:r>
              <w:rPr>
                <w:rFonts w:ascii="Century" w:eastAsia="Century" w:hAnsi="Century" w:cs="Century"/>
                <w:sz w:val="16"/>
                <w:szCs w:val="16"/>
              </w:rPr>
              <w:t>Leader's Interaction with others</w:t>
            </w:r>
          </w:p>
        </w:tc>
      </w:tr>
      <w:tr w:rsidR="00A97DC5" w14:paraId="56748C56" w14:textId="77777777">
        <w:trPr>
          <w:trHeight w:val="192"/>
        </w:trPr>
        <w:tc>
          <w:tcPr>
            <w:tcW w:w="1080" w:type="dxa"/>
            <w:vMerge w:val="restart"/>
            <w:tcBorders>
              <w:top w:val="single" w:sz="3" w:space="0" w:color="000000"/>
              <w:left w:val="nil"/>
              <w:bottom w:val="single" w:sz="3" w:space="0" w:color="000000"/>
              <w:right w:val="nil"/>
            </w:tcBorders>
            <w:shd w:val="clear" w:color="auto" w:fill="auto"/>
            <w:tcMar>
              <w:top w:w="0" w:type="dxa"/>
              <w:left w:w="120" w:type="dxa"/>
              <w:bottom w:w="0" w:type="dxa"/>
              <w:right w:w="120" w:type="dxa"/>
            </w:tcMar>
          </w:tcPr>
          <w:p w14:paraId="050E4DF7" w14:textId="77777777" w:rsidR="00A97DC5" w:rsidRDefault="00FC534B">
            <w:pPr>
              <w:spacing w:after="0" w:line="288" w:lineRule="auto"/>
              <w:jc w:val="both"/>
              <w:rPr>
                <w:rFonts w:ascii="Century" w:eastAsia="Century" w:hAnsi="Century" w:cs="Century"/>
                <w:sz w:val="16"/>
                <w:szCs w:val="16"/>
              </w:rPr>
            </w:pPr>
            <w:r>
              <w:rPr>
                <w:rFonts w:ascii="Century" w:eastAsia="Century" w:hAnsi="Century" w:cs="Century"/>
                <w:sz w:val="16"/>
                <w:szCs w:val="16"/>
              </w:rPr>
              <w:t>Task Orientation</w:t>
            </w:r>
          </w:p>
        </w:tc>
        <w:tc>
          <w:tcPr>
            <w:tcW w:w="1260" w:type="dxa"/>
            <w:tcBorders>
              <w:top w:val="single" w:sz="3" w:space="0" w:color="000000"/>
              <w:left w:val="nil"/>
              <w:bottom w:val="nil"/>
              <w:right w:val="nil"/>
            </w:tcBorders>
            <w:shd w:val="clear" w:color="auto" w:fill="auto"/>
            <w:tcMar>
              <w:top w:w="0" w:type="dxa"/>
              <w:left w:w="120" w:type="dxa"/>
              <w:bottom w:w="0" w:type="dxa"/>
              <w:right w:w="120" w:type="dxa"/>
            </w:tcMar>
            <w:vAlign w:val="bottom"/>
          </w:tcPr>
          <w:p w14:paraId="10D1A425" w14:textId="77777777" w:rsidR="00A97DC5" w:rsidRDefault="00FC534B">
            <w:pPr>
              <w:spacing w:after="0" w:line="288" w:lineRule="auto"/>
              <w:jc w:val="both"/>
              <w:rPr>
                <w:rFonts w:ascii="Century" w:eastAsia="Century" w:hAnsi="Century" w:cs="Century"/>
                <w:sz w:val="16"/>
                <w:szCs w:val="16"/>
              </w:rPr>
            </w:pPr>
            <w:r>
              <w:rPr>
                <w:rFonts w:ascii="Century" w:eastAsia="Century" w:hAnsi="Century" w:cs="Century"/>
                <w:sz w:val="16"/>
                <w:szCs w:val="16"/>
              </w:rPr>
              <w:t>Pearson r</w:t>
            </w:r>
          </w:p>
        </w:tc>
        <w:tc>
          <w:tcPr>
            <w:tcW w:w="1167" w:type="dxa"/>
            <w:tcBorders>
              <w:top w:val="single" w:sz="3" w:space="0" w:color="000000"/>
              <w:left w:val="nil"/>
              <w:bottom w:val="nil"/>
              <w:right w:val="nil"/>
            </w:tcBorders>
            <w:shd w:val="clear" w:color="auto" w:fill="auto"/>
            <w:tcMar>
              <w:top w:w="0" w:type="dxa"/>
              <w:left w:w="120" w:type="dxa"/>
              <w:bottom w:w="0" w:type="dxa"/>
              <w:right w:w="120" w:type="dxa"/>
            </w:tcMar>
            <w:vAlign w:val="bottom"/>
          </w:tcPr>
          <w:p w14:paraId="5592E7BF" w14:textId="77777777" w:rsidR="00A97DC5" w:rsidRDefault="00FC534B">
            <w:pPr>
              <w:spacing w:after="0" w:line="288" w:lineRule="auto"/>
              <w:jc w:val="center"/>
              <w:rPr>
                <w:rFonts w:ascii="Century" w:eastAsia="Century" w:hAnsi="Century" w:cs="Century"/>
                <w:sz w:val="16"/>
                <w:szCs w:val="16"/>
              </w:rPr>
            </w:pPr>
            <w:r>
              <w:rPr>
                <w:rFonts w:ascii="Century" w:eastAsia="Century" w:hAnsi="Century" w:cs="Century"/>
                <w:sz w:val="16"/>
                <w:szCs w:val="16"/>
              </w:rPr>
              <w:t>0.399</w:t>
            </w:r>
          </w:p>
        </w:tc>
        <w:tc>
          <w:tcPr>
            <w:tcW w:w="1167" w:type="dxa"/>
            <w:tcBorders>
              <w:top w:val="single" w:sz="3" w:space="0" w:color="000000"/>
              <w:left w:val="nil"/>
              <w:bottom w:val="nil"/>
              <w:right w:val="nil"/>
            </w:tcBorders>
            <w:shd w:val="clear" w:color="auto" w:fill="auto"/>
            <w:tcMar>
              <w:top w:w="0" w:type="dxa"/>
              <w:left w:w="120" w:type="dxa"/>
              <w:bottom w:w="0" w:type="dxa"/>
              <w:right w:w="120" w:type="dxa"/>
            </w:tcMar>
            <w:vAlign w:val="bottom"/>
          </w:tcPr>
          <w:p w14:paraId="7FD16F16" w14:textId="77777777" w:rsidR="00A97DC5" w:rsidRDefault="00FC534B">
            <w:pPr>
              <w:spacing w:after="0" w:line="288" w:lineRule="auto"/>
              <w:jc w:val="center"/>
              <w:rPr>
                <w:rFonts w:ascii="Century" w:eastAsia="Century" w:hAnsi="Century" w:cs="Century"/>
                <w:sz w:val="16"/>
                <w:szCs w:val="16"/>
              </w:rPr>
            </w:pPr>
            <w:r>
              <w:rPr>
                <w:rFonts w:ascii="Century" w:eastAsia="Century" w:hAnsi="Century" w:cs="Century"/>
                <w:sz w:val="16"/>
                <w:szCs w:val="16"/>
              </w:rPr>
              <w:t>0.389</w:t>
            </w:r>
          </w:p>
        </w:tc>
        <w:tc>
          <w:tcPr>
            <w:tcW w:w="1167" w:type="dxa"/>
            <w:tcBorders>
              <w:top w:val="single" w:sz="3" w:space="0" w:color="000000"/>
              <w:left w:val="nil"/>
              <w:bottom w:val="nil"/>
              <w:right w:val="nil"/>
            </w:tcBorders>
            <w:shd w:val="clear" w:color="auto" w:fill="auto"/>
            <w:tcMar>
              <w:top w:w="0" w:type="dxa"/>
              <w:left w:w="120" w:type="dxa"/>
              <w:bottom w:w="0" w:type="dxa"/>
              <w:right w:w="120" w:type="dxa"/>
            </w:tcMar>
            <w:vAlign w:val="bottom"/>
          </w:tcPr>
          <w:p w14:paraId="209FA3FE" w14:textId="77777777" w:rsidR="00A97DC5" w:rsidRDefault="00FC534B">
            <w:pPr>
              <w:spacing w:after="0" w:line="288" w:lineRule="auto"/>
              <w:jc w:val="center"/>
              <w:rPr>
                <w:rFonts w:ascii="Century" w:eastAsia="Century" w:hAnsi="Century" w:cs="Century"/>
                <w:sz w:val="16"/>
                <w:szCs w:val="16"/>
              </w:rPr>
            </w:pPr>
            <w:r>
              <w:rPr>
                <w:rFonts w:ascii="Century" w:eastAsia="Century" w:hAnsi="Century" w:cs="Century"/>
                <w:sz w:val="16"/>
                <w:szCs w:val="16"/>
              </w:rPr>
              <w:t>0.480</w:t>
            </w:r>
          </w:p>
        </w:tc>
        <w:tc>
          <w:tcPr>
            <w:tcW w:w="1167" w:type="dxa"/>
            <w:tcBorders>
              <w:top w:val="single" w:sz="3" w:space="0" w:color="000000"/>
              <w:left w:val="nil"/>
              <w:bottom w:val="nil"/>
              <w:right w:val="nil"/>
            </w:tcBorders>
            <w:shd w:val="clear" w:color="auto" w:fill="auto"/>
            <w:tcMar>
              <w:top w:w="0" w:type="dxa"/>
              <w:left w:w="120" w:type="dxa"/>
              <w:bottom w:w="0" w:type="dxa"/>
              <w:right w:w="120" w:type="dxa"/>
            </w:tcMar>
            <w:vAlign w:val="bottom"/>
          </w:tcPr>
          <w:p w14:paraId="27630AA3" w14:textId="77777777" w:rsidR="00A97DC5" w:rsidRDefault="00FC534B">
            <w:pPr>
              <w:spacing w:after="0" w:line="288" w:lineRule="auto"/>
              <w:jc w:val="center"/>
              <w:rPr>
                <w:rFonts w:ascii="Century" w:eastAsia="Century" w:hAnsi="Century" w:cs="Century"/>
                <w:sz w:val="16"/>
                <w:szCs w:val="16"/>
              </w:rPr>
            </w:pPr>
            <w:r>
              <w:rPr>
                <w:rFonts w:ascii="Century" w:eastAsia="Century" w:hAnsi="Century" w:cs="Century"/>
                <w:sz w:val="16"/>
                <w:szCs w:val="16"/>
              </w:rPr>
              <w:t>0.109</w:t>
            </w:r>
          </w:p>
        </w:tc>
        <w:tc>
          <w:tcPr>
            <w:tcW w:w="1167" w:type="dxa"/>
            <w:tcBorders>
              <w:top w:val="single" w:sz="3" w:space="0" w:color="000000"/>
              <w:left w:val="nil"/>
              <w:bottom w:val="nil"/>
              <w:right w:val="nil"/>
            </w:tcBorders>
            <w:shd w:val="clear" w:color="auto" w:fill="auto"/>
            <w:tcMar>
              <w:top w:w="0" w:type="dxa"/>
              <w:left w:w="120" w:type="dxa"/>
              <w:bottom w:w="0" w:type="dxa"/>
              <w:right w:w="120" w:type="dxa"/>
            </w:tcMar>
            <w:vAlign w:val="bottom"/>
          </w:tcPr>
          <w:p w14:paraId="1D9BCE02" w14:textId="77777777" w:rsidR="00A97DC5" w:rsidRDefault="00FC534B">
            <w:pPr>
              <w:spacing w:after="0" w:line="288" w:lineRule="auto"/>
              <w:jc w:val="center"/>
              <w:rPr>
                <w:rFonts w:ascii="Century" w:eastAsia="Century" w:hAnsi="Century" w:cs="Century"/>
                <w:sz w:val="16"/>
                <w:szCs w:val="16"/>
              </w:rPr>
            </w:pPr>
            <w:r>
              <w:rPr>
                <w:rFonts w:ascii="Century" w:eastAsia="Century" w:hAnsi="Century" w:cs="Century"/>
                <w:sz w:val="16"/>
                <w:szCs w:val="16"/>
              </w:rPr>
              <w:t>0.106</w:t>
            </w:r>
          </w:p>
        </w:tc>
        <w:tc>
          <w:tcPr>
            <w:tcW w:w="1167" w:type="dxa"/>
            <w:tcBorders>
              <w:top w:val="single" w:sz="3" w:space="0" w:color="000000"/>
              <w:left w:val="nil"/>
              <w:bottom w:val="nil"/>
              <w:right w:val="nil"/>
            </w:tcBorders>
            <w:shd w:val="clear" w:color="auto" w:fill="auto"/>
            <w:tcMar>
              <w:top w:w="0" w:type="dxa"/>
              <w:left w:w="120" w:type="dxa"/>
              <w:bottom w:w="0" w:type="dxa"/>
              <w:right w:w="120" w:type="dxa"/>
            </w:tcMar>
            <w:vAlign w:val="bottom"/>
          </w:tcPr>
          <w:p w14:paraId="7D3ADE71" w14:textId="77777777" w:rsidR="00A97DC5" w:rsidRDefault="00FC534B">
            <w:pPr>
              <w:spacing w:after="0" w:line="288" w:lineRule="auto"/>
              <w:jc w:val="center"/>
              <w:rPr>
                <w:rFonts w:ascii="Century" w:eastAsia="Century" w:hAnsi="Century" w:cs="Century"/>
                <w:sz w:val="16"/>
                <w:szCs w:val="16"/>
              </w:rPr>
            </w:pPr>
            <w:r>
              <w:rPr>
                <w:rFonts w:ascii="Century" w:eastAsia="Century" w:hAnsi="Century" w:cs="Century"/>
                <w:sz w:val="16"/>
                <w:szCs w:val="16"/>
              </w:rPr>
              <w:t>0.117</w:t>
            </w:r>
          </w:p>
        </w:tc>
      </w:tr>
      <w:tr w:rsidR="00A97DC5" w14:paraId="460BA0B6" w14:textId="77777777">
        <w:trPr>
          <w:trHeight w:val="192"/>
        </w:trPr>
        <w:tc>
          <w:tcPr>
            <w:tcW w:w="1080" w:type="dxa"/>
            <w:vMerge/>
            <w:tcBorders>
              <w:top w:val="single" w:sz="3" w:space="0" w:color="000000"/>
              <w:left w:val="nil"/>
              <w:bottom w:val="single" w:sz="3" w:space="0" w:color="000000"/>
              <w:right w:val="nil"/>
            </w:tcBorders>
            <w:shd w:val="clear" w:color="auto" w:fill="auto"/>
            <w:tcMar>
              <w:top w:w="100" w:type="dxa"/>
              <w:left w:w="100" w:type="dxa"/>
              <w:bottom w:w="100" w:type="dxa"/>
              <w:right w:w="100" w:type="dxa"/>
            </w:tcMar>
          </w:tcPr>
          <w:p w14:paraId="50389FAD" w14:textId="77777777" w:rsidR="00A97DC5" w:rsidRDefault="00A97DC5">
            <w:pPr>
              <w:spacing w:before="120" w:after="0" w:line="240" w:lineRule="auto"/>
              <w:ind w:left="360"/>
              <w:jc w:val="both"/>
              <w:rPr>
                <w:rFonts w:ascii="Century" w:eastAsia="Century" w:hAnsi="Century" w:cs="Century"/>
                <w:sz w:val="16"/>
                <w:szCs w:val="16"/>
              </w:rPr>
            </w:pPr>
          </w:p>
        </w:tc>
        <w:tc>
          <w:tcPr>
            <w:tcW w:w="1260" w:type="dxa"/>
            <w:tcBorders>
              <w:top w:val="nil"/>
              <w:left w:val="nil"/>
              <w:bottom w:val="nil"/>
              <w:right w:val="nil"/>
            </w:tcBorders>
            <w:shd w:val="clear" w:color="auto" w:fill="auto"/>
            <w:tcMar>
              <w:top w:w="0" w:type="dxa"/>
              <w:left w:w="120" w:type="dxa"/>
              <w:bottom w:w="0" w:type="dxa"/>
              <w:right w:w="120" w:type="dxa"/>
            </w:tcMar>
            <w:vAlign w:val="bottom"/>
          </w:tcPr>
          <w:p w14:paraId="275280EC" w14:textId="77777777" w:rsidR="00A97DC5" w:rsidRDefault="00FC534B">
            <w:pPr>
              <w:spacing w:after="0" w:line="288" w:lineRule="auto"/>
              <w:jc w:val="both"/>
              <w:rPr>
                <w:rFonts w:ascii="Century" w:eastAsia="Century" w:hAnsi="Century" w:cs="Century"/>
                <w:sz w:val="16"/>
                <w:szCs w:val="16"/>
              </w:rPr>
            </w:pPr>
            <w:r>
              <w:rPr>
                <w:rFonts w:ascii="Century" w:eastAsia="Century" w:hAnsi="Century" w:cs="Century"/>
                <w:sz w:val="16"/>
                <w:szCs w:val="16"/>
              </w:rPr>
              <w:t>Sig.</w:t>
            </w:r>
          </w:p>
        </w:tc>
        <w:tc>
          <w:tcPr>
            <w:tcW w:w="1167" w:type="dxa"/>
            <w:tcBorders>
              <w:top w:val="nil"/>
              <w:left w:val="nil"/>
              <w:bottom w:val="nil"/>
              <w:right w:val="nil"/>
            </w:tcBorders>
            <w:shd w:val="clear" w:color="auto" w:fill="auto"/>
            <w:tcMar>
              <w:top w:w="0" w:type="dxa"/>
              <w:left w:w="120" w:type="dxa"/>
              <w:bottom w:w="0" w:type="dxa"/>
              <w:right w:w="120" w:type="dxa"/>
            </w:tcMar>
            <w:vAlign w:val="bottom"/>
          </w:tcPr>
          <w:p w14:paraId="2328A5BE" w14:textId="77777777" w:rsidR="00A97DC5" w:rsidRDefault="00FC534B">
            <w:pPr>
              <w:spacing w:after="0" w:line="288" w:lineRule="auto"/>
              <w:jc w:val="center"/>
              <w:rPr>
                <w:rFonts w:ascii="Century" w:eastAsia="Century" w:hAnsi="Century" w:cs="Century"/>
                <w:sz w:val="16"/>
                <w:szCs w:val="16"/>
              </w:rPr>
            </w:pPr>
            <w:r>
              <w:rPr>
                <w:rFonts w:ascii="Century" w:eastAsia="Century" w:hAnsi="Century" w:cs="Century"/>
                <w:sz w:val="16"/>
                <w:szCs w:val="16"/>
              </w:rPr>
              <w:t>0.020</w:t>
            </w:r>
          </w:p>
        </w:tc>
        <w:tc>
          <w:tcPr>
            <w:tcW w:w="1167" w:type="dxa"/>
            <w:tcBorders>
              <w:top w:val="nil"/>
              <w:left w:val="nil"/>
              <w:bottom w:val="nil"/>
              <w:right w:val="nil"/>
            </w:tcBorders>
            <w:shd w:val="clear" w:color="auto" w:fill="auto"/>
            <w:tcMar>
              <w:top w:w="0" w:type="dxa"/>
              <w:left w:w="120" w:type="dxa"/>
              <w:bottom w:w="0" w:type="dxa"/>
              <w:right w:w="120" w:type="dxa"/>
            </w:tcMar>
            <w:vAlign w:val="bottom"/>
          </w:tcPr>
          <w:p w14:paraId="696B32DA" w14:textId="77777777" w:rsidR="00A97DC5" w:rsidRDefault="00FC534B">
            <w:pPr>
              <w:spacing w:after="0" w:line="288" w:lineRule="auto"/>
              <w:jc w:val="center"/>
              <w:rPr>
                <w:rFonts w:ascii="Century" w:eastAsia="Century" w:hAnsi="Century" w:cs="Century"/>
                <w:sz w:val="16"/>
                <w:szCs w:val="16"/>
              </w:rPr>
            </w:pPr>
            <w:r>
              <w:rPr>
                <w:rFonts w:ascii="Century" w:eastAsia="Century" w:hAnsi="Century" w:cs="Century"/>
                <w:sz w:val="16"/>
                <w:szCs w:val="16"/>
              </w:rPr>
              <w:t>0.021</w:t>
            </w:r>
          </w:p>
        </w:tc>
        <w:tc>
          <w:tcPr>
            <w:tcW w:w="1167" w:type="dxa"/>
            <w:tcBorders>
              <w:top w:val="nil"/>
              <w:left w:val="nil"/>
              <w:bottom w:val="nil"/>
              <w:right w:val="nil"/>
            </w:tcBorders>
            <w:shd w:val="clear" w:color="auto" w:fill="auto"/>
            <w:tcMar>
              <w:top w:w="0" w:type="dxa"/>
              <w:left w:w="120" w:type="dxa"/>
              <w:bottom w:w="0" w:type="dxa"/>
              <w:right w:w="120" w:type="dxa"/>
            </w:tcMar>
            <w:vAlign w:val="bottom"/>
          </w:tcPr>
          <w:p w14:paraId="508AC450" w14:textId="77777777" w:rsidR="00A97DC5" w:rsidRDefault="00FC534B">
            <w:pPr>
              <w:spacing w:after="0" w:line="288" w:lineRule="auto"/>
              <w:jc w:val="center"/>
              <w:rPr>
                <w:rFonts w:ascii="Century" w:eastAsia="Century" w:hAnsi="Century" w:cs="Century"/>
                <w:sz w:val="16"/>
                <w:szCs w:val="16"/>
              </w:rPr>
            </w:pPr>
            <w:r>
              <w:rPr>
                <w:rFonts w:ascii="Century" w:eastAsia="Century" w:hAnsi="Century" w:cs="Century"/>
                <w:sz w:val="16"/>
                <w:szCs w:val="16"/>
              </w:rPr>
              <w:t>0.004</w:t>
            </w:r>
          </w:p>
        </w:tc>
        <w:tc>
          <w:tcPr>
            <w:tcW w:w="1167" w:type="dxa"/>
            <w:tcBorders>
              <w:top w:val="nil"/>
              <w:left w:val="nil"/>
              <w:bottom w:val="nil"/>
              <w:right w:val="nil"/>
            </w:tcBorders>
            <w:shd w:val="clear" w:color="auto" w:fill="auto"/>
            <w:tcMar>
              <w:top w:w="0" w:type="dxa"/>
              <w:left w:w="120" w:type="dxa"/>
              <w:bottom w:w="0" w:type="dxa"/>
              <w:right w:w="120" w:type="dxa"/>
            </w:tcMar>
            <w:vAlign w:val="bottom"/>
          </w:tcPr>
          <w:p w14:paraId="769A1936" w14:textId="77777777" w:rsidR="00A97DC5" w:rsidRDefault="00FC534B">
            <w:pPr>
              <w:spacing w:after="0" w:line="288" w:lineRule="auto"/>
              <w:jc w:val="center"/>
              <w:rPr>
                <w:rFonts w:ascii="Century" w:eastAsia="Century" w:hAnsi="Century" w:cs="Century"/>
                <w:sz w:val="16"/>
                <w:szCs w:val="16"/>
              </w:rPr>
            </w:pPr>
            <w:r>
              <w:rPr>
                <w:rFonts w:ascii="Century" w:eastAsia="Century" w:hAnsi="Century" w:cs="Century"/>
                <w:sz w:val="16"/>
                <w:szCs w:val="16"/>
              </w:rPr>
              <w:t>0.614</w:t>
            </w:r>
          </w:p>
        </w:tc>
        <w:tc>
          <w:tcPr>
            <w:tcW w:w="1167" w:type="dxa"/>
            <w:tcBorders>
              <w:top w:val="nil"/>
              <w:left w:val="nil"/>
              <w:bottom w:val="nil"/>
              <w:right w:val="nil"/>
            </w:tcBorders>
            <w:shd w:val="clear" w:color="auto" w:fill="auto"/>
            <w:tcMar>
              <w:top w:w="0" w:type="dxa"/>
              <w:left w:w="120" w:type="dxa"/>
              <w:bottom w:w="0" w:type="dxa"/>
              <w:right w:w="120" w:type="dxa"/>
            </w:tcMar>
            <w:vAlign w:val="bottom"/>
          </w:tcPr>
          <w:p w14:paraId="10C618E4" w14:textId="77777777" w:rsidR="00A97DC5" w:rsidRDefault="00FC534B">
            <w:pPr>
              <w:spacing w:after="0" w:line="288" w:lineRule="auto"/>
              <w:jc w:val="center"/>
              <w:rPr>
                <w:rFonts w:ascii="Century" w:eastAsia="Century" w:hAnsi="Century" w:cs="Century"/>
                <w:sz w:val="16"/>
                <w:szCs w:val="16"/>
              </w:rPr>
            </w:pPr>
            <w:r>
              <w:rPr>
                <w:rFonts w:ascii="Century" w:eastAsia="Century" w:hAnsi="Century" w:cs="Century"/>
                <w:sz w:val="16"/>
                <w:szCs w:val="16"/>
              </w:rPr>
              <w:t>0.647</w:t>
            </w:r>
          </w:p>
        </w:tc>
        <w:tc>
          <w:tcPr>
            <w:tcW w:w="1167" w:type="dxa"/>
            <w:tcBorders>
              <w:top w:val="nil"/>
              <w:left w:val="nil"/>
              <w:bottom w:val="nil"/>
              <w:right w:val="nil"/>
            </w:tcBorders>
            <w:shd w:val="clear" w:color="auto" w:fill="auto"/>
            <w:tcMar>
              <w:top w:w="0" w:type="dxa"/>
              <w:left w:w="120" w:type="dxa"/>
              <w:bottom w:w="0" w:type="dxa"/>
              <w:right w:w="120" w:type="dxa"/>
            </w:tcMar>
            <w:vAlign w:val="bottom"/>
          </w:tcPr>
          <w:p w14:paraId="1AB5A870" w14:textId="77777777" w:rsidR="00A97DC5" w:rsidRDefault="00FC534B">
            <w:pPr>
              <w:spacing w:after="0" w:line="288" w:lineRule="auto"/>
              <w:jc w:val="center"/>
              <w:rPr>
                <w:rFonts w:ascii="Century" w:eastAsia="Century" w:hAnsi="Century" w:cs="Century"/>
                <w:sz w:val="16"/>
                <w:szCs w:val="16"/>
              </w:rPr>
            </w:pPr>
            <w:r>
              <w:rPr>
                <w:rFonts w:ascii="Century" w:eastAsia="Century" w:hAnsi="Century" w:cs="Century"/>
                <w:sz w:val="16"/>
                <w:szCs w:val="16"/>
              </w:rPr>
              <w:t>0.061</w:t>
            </w:r>
          </w:p>
        </w:tc>
      </w:tr>
      <w:tr w:rsidR="00A97DC5" w14:paraId="32284C91" w14:textId="77777777">
        <w:trPr>
          <w:trHeight w:val="384"/>
        </w:trPr>
        <w:tc>
          <w:tcPr>
            <w:tcW w:w="1080" w:type="dxa"/>
            <w:vMerge/>
            <w:tcBorders>
              <w:top w:val="single" w:sz="3" w:space="0" w:color="000000"/>
              <w:left w:val="nil"/>
              <w:bottom w:val="single" w:sz="3" w:space="0" w:color="000000"/>
              <w:right w:val="nil"/>
            </w:tcBorders>
            <w:shd w:val="clear" w:color="auto" w:fill="auto"/>
            <w:tcMar>
              <w:top w:w="100" w:type="dxa"/>
              <w:left w:w="100" w:type="dxa"/>
              <w:bottom w:w="100" w:type="dxa"/>
              <w:right w:w="100" w:type="dxa"/>
            </w:tcMar>
          </w:tcPr>
          <w:p w14:paraId="47213FA8" w14:textId="77777777" w:rsidR="00A97DC5" w:rsidRDefault="00A97DC5">
            <w:pPr>
              <w:spacing w:before="120" w:after="0" w:line="240" w:lineRule="auto"/>
              <w:ind w:left="360"/>
              <w:jc w:val="both"/>
              <w:rPr>
                <w:rFonts w:ascii="Century" w:eastAsia="Century" w:hAnsi="Century" w:cs="Century"/>
                <w:sz w:val="16"/>
                <w:szCs w:val="16"/>
              </w:rPr>
            </w:pPr>
          </w:p>
        </w:tc>
        <w:tc>
          <w:tcPr>
            <w:tcW w:w="1260" w:type="dxa"/>
            <w:tcBorders>
              <w:top w:val="nil"/>
              <w:left w:val="nil"/>
              <w:bottom w:val="single" w:sz="3" w:space="0" w:color="000000"/>
              <w:right w:val="nil"/>
            </w:tcBorders>
            <w:shd w:val="clear" w:color="auto" w:fill="auto"/>
            <w:tcMar>
              <w:top w:w="0" w:type="dxa"/>
              <w:left w:w="120" w:type="dxa"/>
              <w:bottom w:w="0" w:type="dxa"/>
              <w:right w:w="120" w:type="dxa"/>
            </w:tcMar>
            <w:vAlign w:val="bottom"/>
          </w:tcPr>
          <w:p w14:paraId="6193EC31" w14:textId="77777777" w:rsidR="00A97DC5" w:rsidRDefault="00FC534B">
            <w:pPr>
              <w:spacing w:after="0" w:line="288" w:lineRule="auto"/>
              <w:jc w:val="both"/>
              <w:rPr>
                <w:rFonts w:ascii="Century" w:eastAsia="Century" w:hAnsi="Century" w:cs="Century"/>
                <w:sz w:val="16"/>
                <w:szCs w:val="16"/>
              </w:rPr>
            </w:pPr>
            <w:r>
              <w:rPr>
                <w:rFonts w:ascii="Century" w:eastAsia="Century" w:hAnsi="Century" w:cs="Century"/>
                <w:sz w:val="16"/>
                <w:szCs w:val="16"/>
              </w:rPr>
              <w:t>Interpretation</w:t>
            </w:r>
          </w:p>
        </w:tc>
        <w:tc>
          <w:tcPr>
            <w:tcW w:w="1167" w:type="dxa"/>
            <w:tcBorders>
              <w:top w:val="nil"/>
              <w:left w:val="nil"/>
              <w:bottom w:val="single" w:sz="3" w:space="0" w:color="000000"/>
              <w:right w:val="nil"/>
            </w:tcBorders>
            <w:shd w:val="clear" w:color="auto" w:fill="auto"/>
            <w:tcMar>
              <w:top w:w="0" w:type="dxa"/>
              <w:left w:w="120" w:type="dxa"/>
              <w:bottom w:w="0" w:type="dxa"/>
              <w:right w:w="120" w:type="dxa"/>
            </w:tcMar>
            <w:vAlign w:val="bottom"/>
          </w:tcPr>
          <w:p w14:paraId="02D8FDAE" w14:textId="77777777" w:rsidR="00A97DC5" w:rsidRDefault="00FC534B">
            <w:pPr>
              <w:spacing w:after="0" w:line="288" w:lineRule="auto"/>
              <w:jc w:val="center"/>
              <w:rPr>
                <w:rFonts w:ascii="Century" w:eastAsia="Century" w:hAnsi="Century" w:cs="Century"/>
                <w:sz w:val="16"/>
                <w:szCs w:val="16"/>
              </w:rPr>
            </w:pPr>
            <w:r>
              <w:rPr>
                <w:rFonts w:ascii="Century" w:eastAsia="Century" w:hAnsi="Century" w:cs="Century"/>
                <w:sz w:val="16"/>
                <w:szCs w:val="16"/>
              </w:rPr>
              <w:t>Significant</w:t>
            </w:r>
          </w:p>
        </w:tc>
        <w:tc>
          <w:tcPr>
            <w:tcW w:w="1167" w:type="dxa"/>
            <w:tcBorders>
              <w:top w:val="nil"/>
              <w:left w:val="nil"/>
              <w:bottom w:val="single" w:sz="3" w:space="0" w:color="000000"/>
              <w:right w:val="nil"/>
            </w:tcBorders>
            <w:shd w:val="clear" w:color="auto" w:fill="auto"/>
            <w:tcMar>
              <w:top w:w="0" w:type="dxa"/>
              <w:left w:w="120" w:type="dxa"/>
              <w:bottom w:w="0" w:type="dxa"/>
              <w:right w:w="120" w:type="dxa"/>
            </w:tcMar>
            <w:vAlign w:val="bottom"/>
          </w:tcPr>
          <w:p w14:paraId="5988A293" w14:textId="77777777" w:rsidR="00A97DC5" w:rsidRDefault="00FC534B">
            <w:pPr>
              <w:spacing w:after="0" w:line="288" w:lineRule="auto"/>
              <w:jc w:val="center"/>
              <w:rPr>
                <w:rFonts w:ascii="Century" w:eastAsia="Century" w:hAnsi="Century" w:cs="Century"/>
                <w:sz w:val="16"/>
                <w:szCs w:val="16"/>
              </w:rPr>
            </w:pPr>
            <w:r>
              <w:rPr>
                <w:rFonts w:ascii="Century" w:eastAsia="Century" w:hAnsi="Century" w:cs="Century"/>
                <w:sz w:val="16"/>
                <w:szCs w:val="16"/>
              </w:rPr>
              <w:t>Significant</w:t>
            </w:r>
          </w:p>
        </w:tc>
        <w:tc>
          <w:tcPr>
            <w:tcW w:w="1167" w:type="dxa"/>
            <w:tcBorders>
              <w:top w:val="nil"/>
              <w:left w:val="nil"/>
              <w:bottom w:val="single" w:sz="3" w:space="0" w:color="000000"/>
              <w:right w:val="nil"/>
            </w:tcBorders>
            <w:shd w:val="clear" w:color="auto" w:fill="auto"/>
            <w:tcMar>
              <w:top w:w="0" w:type="dxa"/>
              <w:left w:w="120" w:type="dxa"/>
              <w:bottom w:w="0" w:type="dxa"/>
              <w:right w:w="120" w:type="dxa"/>
            </w:tcMar>
            <w:vAlign w:val="bottom"/>
          </w:tcPr>
          <w:p w14:paraId="69D1BB3E" w14:textId="77777777" w:rsidR="00A97DC5" w:rsidRDefault="00FC534B">
            <w:pPr>
              <w:spacing w:after="0" w:line="288" w:lineRule="auto"/>
              <w:jc w:val="center"/>
              <w:rPr>
                <w:rFonts w:ascii="Century" w:eastAsia="Century" w:hAnsi="Century" w:cs="Century"/>
                <w:sz w:val="16"/>
                <w:szCs w:val="16"/>
              </w:rPr>
            </w:pPr>
            <w:r>
              <w:rPr>
                <w:rFonts w:ascii="Century" w:eastAsia="Century" w:hAnsi="Century" w:cs="Century"/>
                <w:sz w:val="16"/>
                <w:szCs w:val="16"/>
              </w:rPr>
              <w:t>Significant</w:t>
            </w:r>
          </w:p>
        </w:tc>
        <w:tc>
          <w:tcPr>
            <w:tcW w:w="1167" w:type="dxa"/>
            <w:tcBorders>
              <w:top w:val="nil"/>
              <w:left w:val="nil"/>
              <w:bottom w:val="single" w:sz="3" w:space="0" w:color="000000"/>
              <w:right w:val="nil"/>
            </w:tcBorders>
            <w:shd w:val="clear" w:color="auto" w:fill="auto"/>
            <w:tcMar>
              <w:top w:w="0" w:type="dxa"/>
              <w:left w:w="120" w:type="dxa"/>
              <w:bottom w:w="0" w:type="dxa"/>
              <w:right w:w="120" w:type="dxa"/>
            </w:tcMar>
            <w:vAlign w:val="bottom"/>
          </w:tcPr>
          <w:p w14:paraId="2E092233" w14:textId="77777777" w:rsidR="00A97DC5" w:rsidRDefault="00FC534B">
            <w:pPr>
              <w:spacing w:after="0" w:line="288" w:lineRule="auto"/>
              <w:jc w:val="center"/>
              <w:rPr>
                <w:rFonts w:ascii="Century" w:eastAsia="Century" w:hAnsi="Century" w:cs="Century"/>
                <w:sz w:val="16"/>
                <w:szCs w:val="16"/>
              </w:rPr>
            </w:pPr>
            <w:r>
              <w:rPr>
                <w:rFonts w:ascii="Century" w:eastAsia="Century" w:hAnsi="Century" w:cs="Century"/>
                <w:sz w:val="16"/>
                <w:szCs w:val="16"/>
              </w:rPr>
              <w:t>Not Significant</w:t>
            </w:r>
          </w:p>
        </w:tc>
        <w:tc>
          <w:tcPr>
            <w:tcW w:w="1167" w:type="dxa"/>
            <w:tcBorders>
              <w:top w:val="nil"/>
              <w:left w:val="nil"/>
              <w:bottom w:val="single" w:sz="3" w:space="0" w:color="000000"/>
              <w:right w:val="nil"/>
            </w:tcBorders>
            <w:shd w:val="clear" w:color="auto" w:fill="auto"/>
            <w:tcMar>
              <w:top w:w="0" w:type="dxa"/>
              <w:left w:w="120" w:type="dxa"/>
              <w:bottom w:w="0" w:type="dxa"/>
              <w:right w:w="120" w:type="dxa"/>
            </w:tcMar>
            <w:vAlign w:val="bottom"/>
          </w:tcPr>
          <w:p w14:paraId="2F71CEDA" w14:textId="77777777" w:rsidR="00A97DC5" w:rsidRDefault="00FC534B">
            <w:pPr>
              <w:spacing w:after="0" w:line="288" w:lineRule="auto"/>
              <w:jc w:val="center"/>
              <w:rPr>
                <w:rFonts w:ascii="Century" w:eastAsia="Century" w:hAnsi="Century" w:cs="Century"/>
                <w:sz w:val="16"/>
                <w:szCs w:val="16"/>
              </w:rPr>
            </w:pPr>
            <w:r>
              <w:rPr>
                <w:rFonts w:ascii="Century" w:eastAsia="Century" w:hAnsi="Century" w:cs="Century"/>
                <w:sz w:val="16"/>
                <w:szCs w:val="16"/>
              </w:rPr>
              <w:t>Not Significant</w:t>
            </w:r>
          </w:p>
        </w:tc>
        <w:tc>
          <w:tcPr>
            <w:tcW w:w="1167" w:type="dxa"/>
            <w:tcBorders>
              <w:top w:val="nil"/>
              <w:left w:val="nil"/>
              <w:bottom w:val="single" w:sz="3" w:space="0" w:color="000000"/>
              <w:right w:val="nil"/>
            </w:tcBorders>
            <w:shd w:val="clear" w:color="auto" w:fill="auto"/>
            <w:tcMar>
              <w:top w:w="0" w:type="dxa"/>
              <w:left w:w="120" w:type="dxa"/>
              <w:bottom w:w="0" w:type="dxa"/>
              <w:right w:w="120" w:type="dxa"/>
            </w:tcMar>
            <w:vAlign w:val="bottom"/>
          </w:tcPr>
          <w:p w14:paraId="3C19503F" w14:textId="77777777" w:rsidR="00A97DC5" w:rsidRDefault="00FC534B">
            <w:pPr>
              <w:spacing w:after="0" w:line="288" w:lineRule="auto"/>
              <w:jc w:val="center"/>
              <w:rPr>
                <w:rFonts w:ascii="Century" w:eastAsia="Century" w:hAnsi="Century" w:cs="Century"/>
                <w:sz w:val="16"/>
                <w:szCs w:val="16"/>
              </w:rPr>
            </w:pPr>
            <w:r>
              <w:rPr>
                <w:rFonts w:ascii="Century" w:eastAsia="Century" w:hAnsi="Century" w:cs="Century"/>
                <w:sz w:val="16"/>
                <w:szCs w:val="16"/>
              </w:rPr>
              <w:t>Not Significant</w:t>
            </w:r>
          </w:p>
        </w:tc>
      </w:tr>
      <w:tr w:rsidR="00A97DC5" w14:paraId="4C4F5E8D" w14:textId="77777777">
        <w:trPr>
          <w:trHeight w:val="192"/>
        </w:trPr>
        <w:tc>
          <w:tcPr>
            <w:tcW w:w="1080" w:type="dxa"/>
            <w:vMerge w:val="restart"/>
            <w:tcBorders>
              <w:top w:val="single" w:sz="3" w:space="0" w:color="000000"/>
              <w:left w:val="nil"/>
              <w:bottom w:val="single" w:sz="3" w:space="0" w:color="000000"/>
              <w:right w:val="nil"/>
            </w:tcBorders>
            <w:shd w:val="clear" w:color="auto" w:fill="auto"/>
            <w:tcMar>
              <w:top w:w="0" w:type="dxa"/>
              <w:left w:w="120" w:type="dxa"/>
              <w:bottom w:w="0" w:type="dxa"/>
              <w:right w:w="120" w:type="dxa"/>
            </w:tcMar>
          </w:tcPr>
          <w:p w14:paraId="4F0E1BAF" w14:textId="77777777" w:rsidR="00A97DC5" w:rsidRDefault="00FC534B">
            <w:pPr>
              <w:spacing w:after="0" w:line="288" w:lineRule="auto"/>
              <w:jc w:val="both"/>
              <w:rPr>
                <w:rFonts w:ascii="Century" w:eastAsia="Century" w:hAnsi="Century" w:cs="Century"/>
                <w:sz w:val="16"/>
                <w:szCs w:val="16"/>
              </w:rPr>
            </w:pPr>
            <w:r>
              <w:rPr>
                <w:rFonts w:ascii="Century" w:eastAsia="Century" w:hAnsi="Century" w:cs="Century"/>
                <w:sz w:val="16"/>
                <w:szCs w:val="16"/>
              </w:rPr>
              <w:t xml:space="preserve">Process Orientation </w:t>
            </w:r>
          </w:p>
        </w:tc>
        <w:tc>
          <w:tcPr>
            <w:tcW w:w="1260" w:type="dxa"/>
            <w:tcBorders>
              <w:top w:val="single" w:sz="3" w:space="0" w:color="000000"/>
              <w:left w:val="nil"/>
              <w:bottom w:val="nil"/>
              <w:right w:val="nil"/>
            </w:tcBorders>
            <w:shd w:val="clear" w:color="auto" w:fill="auto"/>
            <w:tcMar>
              <w:top w:w="0" w:type="dxa"/>
              <w:left w:w="120" w:type="dxa"/>
              <w:bottom w:w="0" w:type="dxa"/>
              <w:right w:w="120" w:type="dxa"/>
            </w:tcMar>
            <w:vAlign w:val="bottom"/>
          </w:tcPr>
          <w:p w14:paraId="6B48ED93" w14:textId="77777777" w:rsidR="00A97DC5" w:rsidRDefault="00FC534B">
            <w:pPr>
              <w:spacing w:after="0" w:line="288" w:lineRule="auto"/>
              <w:jc w:val="both"/>
              <w:rPr>
                <w:rFonts w:ascii="Century" w:eastAsia="Century" w:hAnsi="Century" w:cs="Century"/>
                <w:sz w:val="16"/>
                <w:szCs w:val="16"/>
              </w:rPr>
            </w:pPr>
            <w:r>
              <w:rPr>
                <w:rFonts w:ascii="Century" w:eastAsia="Century" w:hAnsi="Century" w:cs="Century"/>
                <w:sz w:val="16"/>
                <w:szCs w:val="16"/>
              </w:rPr>
              <w:t>Pearson r</w:t>
            </w:r>
          </w:p>
        </w:tc>
        <w:tc>
          <w:tcPr>
            <w:tcW w:w="1167" w:type="dxa"/>
            <w:tcBorders>
              <w:top w:val="single" w:sz="3" w:space="0" w:color="000000"/>
              <w:left w:val="nil"/>
              <w:bottom w:val="nil"/>
              <w:right w:val="nil"/>
            </w:tcBorders>
            <w:shd w:val="clear" w:color="auto" w:fill="auto"/>
            <w:tcMar>
              <w:top w:w="0" w:type="dxa"/>
              <w:left w:w="120" w:type="dxa"/>
              <w:bottom w:w="0" w:type="dxa"/>
              <w:right w:w="120" w:type="dxa"/>
            </w:tcMar>
            <w:vAlign w:val="bottom"/>
          </w:tcPr>
          <w:p w14:paraId="67CF1AE8" w14:textId="77777777" w:rsidR="00A97DC5" w:rsidRDefault="00FC534B">
            <w:pPr>
              <w:spacing w:after="0" w:line="288" w:lineRule="auto"/>
              <w:jc w:val="center"/>
              <w:rPr>
                <w:rFonts w:ascii="Century" w:eastAsia="Century" w:hAnsi="Century" w:cs="Century"/>
                <w:sz w:val="16"/>
                <w:szCs w:val="16"/>
              </w:rPr>
            </w:pPr>
            <w:r>
              <w:rPr>
                <w:rFonts w:ascii="Century" w:eastAsia="Century" w:hAnsi="Century" w:cs="Century"/>
                <w:sz w:val="16"/>
                <w:szCs w:val="16"/>
              </w:rPr>
              <w:t>0.101</w:t>
            </w:r>
          </w:p>
        </w:tc>
        <w:tc>
          <w:tcPr>
            <w:tcW w:w="1167" w:type="dxa"/>
            <w:tcBorders>
              <w:top w:val="single" w:sz="3" w:space="0" w:color="000000"/>
              <w:left w:val="nil"/>
              <w:bottom w:val="nil"/>
              <w:right w:val="nil"/>
            </w:tcBorders>
            <w:shd w:val="clear" w:color="auto" w:fill="auto"/>
            <w:tcMar>
              <w:top w:w="0" w:type="dxa"/>
              <w:left w:w="120" w:type="dxa"/>
              <w:bottom w:w="0" w:type="dxa"/>
              <w:right w:w="120" w:type="dxa"/>
            </w:tcMar>
            <w:vAlign w:val="bottom"/>
          </w:tcPr>
          <w:p w14:paraId="0F4835E3" w14:textId="77777777" w:rsidR="00A97DC5" w:rsidRDefault="00FC534B">
            <w:pPr>
              <w:spacing w:after="0" w:line="288" w:lineRule="auto"/>
              <w:jc w:val="center"/>
              <w:rPr>
                <w:rFonts w:ascii="Century" w:eastAsia="Century" w:hAnsi="Century" w:cs="Century"/>
                <w:sz w:val="16"/>
                <w:szCs w:val="16"/>
              </w:rPr>
            </w:pPr>
            <w:r>
              <w:rPr>
                <w:rFonts w:ascii="Century" w:eastAsia="Century" w:hAnsi="Century" w:cs="Century"/>
                <w:sz w:val="16"/>
                <w:szCs w:val="16"/>
              </w:rPr>
              <w:t>0.055</w:t>
            </w:r>
          </w:p>
        </w:tc>
        <w:tc>
          <w:tcPr>
            <w:tcW w:w="1167" w:type="dxa"/>
            <w:tcBorders>
              <w:top w:val="single" w:sz="3" w:space="0" w:color="000000"/>
              <w:left w:val="nil"/>
              <w:bottom w:val="nil"/>
              <w:right w:val="nil"/>
            </w:tcBorders>
            <w:shd w:val="clear" w:color="auto" w:fill="auto"/>
            <w:tcMar>
              <w:top w:w="0" w:type="dxa"/>
              <w:left w:w="120" w:type="dxa"/>
              <w:bottom w:w="0" w:type="dxa"/>
              <w:right w:w="120" w:type="dxa"/>
            </w:tcMar>
            <w:vAlign w:val="bottom"/>
          </w:tcPr>
          <w:p w14:paraId="604805C0" w14:textId="77777777" w:rsidR="00A97DC5" w:rsidRDefault="00FC534B">
            <w:pPr>
              <w:spacing w:after="0" w:line="288" w:lineRule="auto"/>
              <w:jc w:val="center"/>
              <w:rPr>
                <w:rFonts w:ascii="Century" w:eastAsia="Century" w:hAnsi="Century" w:cs="Century"/>
                <w:sz w:val="16"/>
                <w:szCs w:val="16"/>
              </w:rPr>
            </w:pPr>
            <w:r>
              <w:rPr>
                <w:rFonts w:ascii="Century" w:eastAsia="Century" w:hAnsi="Century" w:cs="Century"/>
                <w:sz w:val="16"/>
                <w:szCs w:val="16"/>
              </w:rPr>
              <w:t>0.104</w:t>
            </w:r>
          </w:p>
        </w:tc>
        <w:tc>
          <w:tcPr>
            <w:tcW w:w="1167" w:type="dxa"/>
            <w:tcBorders>
              <w:top w:val="single" w:sz="3" w:space="0" w:color="000000"/>
              <w:left w:val="nil"/>
              <w:bottom w:val="nil"/>
              <w:right w:val="nil"/>
            </w:tcBorders>
            <w:shd w:val="clear" w:color="auto" w:fill="auto"/>
            <w:tcMar>
              <w:top w:w="0" w:type="dxa"/>
              <w:left w:w="120" w:type="dxa"/>
              <w:bottom w:w="0" w:type="dxa"/>
              <w:right w:w="120" w:type="dxa"/>
            </w:tcMar>
            <w:vAlign w:val="bottom"/>
          </w:tcPr>
          <w:p w14:paraId="4611911C" w14:textId="77777777" w:rsidR="00A97DC5" w:rsidRDefault="00FC534B">
            <w:pPr>
              <w:spacing w:after="0" w:line="288" w:lineRule="auto"/>
              <w:jc w:val="center"/>
              <w:rPr>
                <w:rFonts w:ascii="Century" w:eastAsia="Century" w:hAnsi="Century" w:cs="Century"/>
                <w:sz w:val="16"/>
                <w:szCs w:val="16"/>
              </w:rPr>
            </w:pPr>
            <w:r>
              <w:rPr>
                <w:rFonts w:ascii="Century" w:eastAsia="Century" w:hAnsi="Century" w:cs="Century"/>
                <w:sz w:val="16"/>
                <w:szCs w:val="16"/>
              </w:rPr>
              <w:t>0.105</w:t>
            </w:r>
          </w:p>
        </w:tc>
        <w:tc>
          <w:tcPr>
            <w:tcW w:w="1167" w:type="dxa"/>
            <w:tcBorders>
              <w:top w:val="single" w:sz="3" w:space="0" w:color="000000"/>
              <w:left w:val="nil"/>
              <w:bottom w:val="nil"/>
              <w:right w:val="nil"/>
            </w:tcBorders>
            <w:shd w:val="clear" w:color="auto" w:fill="auto"/>
            <w:tcMar>
              <w:top w:w="0" w:type="dxa"/>
              <w:left w:w="120" w:type="dxa"/>
              <w:bottom w:w="0" w:type="dxa"/>
              <w:right w:w="120" w:type="dxa"/>
            </w:tcMar>
            <w:vAlign w:val="bottom"/>
          </w:tcPr>
          <w:p w14:paraId="2AF8AA67" w14:textId="77777777" w:rsidR="00A97DC5" w:rsidRDefault="00FC534B">
            <w:pPr>
              <w:spacing w:after="0" w:line="288" w:lineRule="auto"/>
              <w:jc w:val="center"/>
              <w:rPr>
                <w:rFonts w:ascii="Century" w:eastAsia="Century" w:hAnsi="Century" w:cs="Century"/>
                <w:sz w:val="16"/>
                <w:szCs w:val="16"/>
              </w:rPr>
            </w:pPr>
            <w:r>
              <w:rPr>
                <w:rFonts w:ascii="Century" w:eastAsia="Century" w:hAnsi="Century" w:cs="Century"/>
                <w:sz w:val="16"/>
                <w:szCs w:val="16"/>
              </w:rPr>
              <w:t>0.101</w:t>
            </w:r>
          </w:p>
        </w:tc>
        <w:tc>
          <w:tcPr>
            <w:tcW w:w="1167" w:type="dxa"/>
            <w:tcBorders>
              <w:top w:val="single" w:sz="3" w:space="0" w:color="000000"/>
              <w:left w:val="nil"/>
              <w:bottom w:val="nil"/>
              <w:right w:val="nil"/>
            </w:tcBorders>
            <w:shd w:val="clear" w:color="auto" w:fill="auto"/>
            <w:tcMar>
              <w:top w:w="0" w:type="dxa"/>
              <w:left w:w="120" w:type="dxa"/>
              <w:bottom w:w="0" w:type="dxa"/>
              <w:right w:w="120" w:type="dxa"/>
            </w:tcMar>
            <w:vAlign w:val="bottom"/>
          </w:tcPr>
          <w:p w14:paraId="20ADF2FC" w14:textId="77777777" w:rsidR="00A97DC5" w:rsidRDefault="00FC534B">
            <w:pPr>
              <w:spacing w:after="0" w:line="288" w:lineRule="auto"/>
              <w:jc w:val="center"/>
              <w:rPr>
                <w:rFonts w:ascii="Century" w:eastAsia="Century" w:hAnsi="Century" w:cs="Century"/>
                <w:sz w:val="16"/>
                <w:szCs w:val="16"/>
              </w:rPr>
            </w:pPr>
            <w:r>
              <w:rPr>
                <w:rFonts w:ascii="Century" w:eastAsia="Century" w:hAnsi="Century" w:cs="Century"/>
                <w:sz w:val="16"/>
                <w:szCs w:val="16"/>
              </w:rPr>
              <w:t>0.448</w:t>
            </w:r>
          </w:p>
        </w:tc>
      </w:tr>
      <w:tr w:rsidR="00A97DC5" w14:paraId="38EBC8CA" w14:textId="77777777">
        <w:trPr>
          <w:trHeight w:val="192"/>
        </w:trPr>
        <w:tc>
          <w:tcPr>
            <w:tcW w:w="1080" w:type="dxa"/>
            <w:vMerge/>
            <w:tcBorders>
              <w:top w:val="single" w:sz="3" w:space="0" w:color="000000"/>
              <w:left w:val="nil"/>
              <w:bottom w:val="single" w:sz="3" w:space="0" w:color="000000"/>
              <w:right w:val="nil"/>
            </w:tcBorders>
            <w:shd w:val="clear" w:color="auto" w:fill="auto"/>
            <w:tcMar>
              <w:top w:w="100" w:type="dxa"/>
              <w:left w:w="100" w:type="dxa"/>
              <w:bottom w:w="100" w:type="dxa"/>
              <w:right w:w="100" w:type="dxa"/>
            </w:tcMar>
          </w:tcPr>
          <w:p w14:paraId="1BEB191F" w14:textId="77777777" w:rsidR="00A97DC5" w:rsidRDefault="00A97DC5">
            <w:pPr>
              <w:spacing w:before="120" w:after="0" w:line="240" w:lineRule="auto"/>
              <w:ind w:left="360"/>
              <w:jc w:val="both"/>
              <w:rPr>
                <w:rFonts w:ascii="Century" w:eastAsia="Century" w:hAnsi="Century" w:cs="Century"/>
                <w:sz w:val="16"/>
                <w:szCs w:val="16"/>
              </w:rPr>
            </w:pPr>
          </w:p>
        </w:tc>
        <w:tc>
          <w:tcPr>
            <w:tcW w:w="1260" w:type="dxa"/>
            <w:tcBorders>
              <w:top w:val="nil"/>
              <w:left w:val="nil"/>
              <w:bottom w:val="nil"/>
              <w:right w:val="nil"/>
            </w:tcBorders>
            <w:shd w:val="clear" w:color="auto" w:fill="auto"/>
            <w:tcMar>
              <w:top w:w="0" w:type="dxa"/>
              <w:left w:w="120" w:type="dxa"/>
              <w:bottom w:w="0" w:type="dxa"/>
              <w:right w:w="120" w:type="dxa"/>
            </w:tcMar>
            <w:vAlign w:val="bottom"/>
          </w:tcPr>
          <w:p w14:paraId="252F8232" w14:textId="77777777" w:rsidR="00A97DC5" w:rsidRDefault="00FC534B">
            <w:pPr>
              <w:spacing w:after="0" w:line="288" w:lineRule="auto"/>
              <w:jc w:val="both"/>
              <w:rPr>
                <w:rFonts w:ascii="Century" w:eastAsia="Century" w:hAnsi="Century" w:cs="Century"/>
                <w:sz w:val="16"/>
                <w:szCs w:val="16"/>
              </w:rPr>
            </w:pPr>
            <w:r>
              <w:rPr>
                <w:rFonts w:ascii="Century" w:eastAsia="Century" w:hAnsi="Century" w:cs="Century"/>
                <w:sz w:val="16"/>
                <w:szCs w:val="16"/>
              </w:rPr>
              <w:t>Sig.</w:t>
            </w:r>
          </w:p>
        </w:tc>
        <w:tc>
          <w:tcPr>
            <w:tcW w:w="1167" w:type="dxa"/>
            <w:tcBorders>
              <w:top w:val="nil"/>
              <w:left w:val="nil"/>
              <w:bottom w:val="nil"/>
              <w:right w:val="nil"/>
            </w:tcBorders>
            <w:shd w:val="clear" w:color="auto" w:fill="auto"/>
            <w:tcMar>
              <w:top w:w="0" w:type="dxa"/>
              <w:left w:w="120" w:type="dxa"/>
              <w:bottom w:w="0" w:type="dxa"/>
              <w:right w:w="120" w:type="dxa"/>
            </w:tcMar>
            <w:vAlign w:val="bottom"/>
          </w:tcPr>
          <w:p w14:paraId="2AA27A07" w14:textId="77777777" w:rsidR="00A97DC5" w:rsidRDefault="00FC534B">
            <w:pPr>
              <w:spacing w:after="0" w:line="288" w:lineRule="auto"/>
              <w:jc w:val="center"/>
              <w:rPr>
                <w:rFonts w:ascii="Century" w:eastAsia="Century" w:hAnsi="Century" w:cs="Century"/>
                <w:sz w:val="16"/>
                <w:szCs w:val="16"/>
              </w:rPr>
            </w:pPr>
            <w:r>
              <w:rPr>
                <w:rFonts w:ascii="Century" w:eastAsia="Century" w:hAnsi="Century" w:cs="Century"/>
                <w:sz w:val="16"/>
                <w:szCs w:val="16"/>
              </w:rPr>
              <w:t>0.423</w:t>
            </w:r>
          </w:p>
        </w:tc>
        <w:tc>
          <w:tcPr>
            <w:tcW w:w="1167" w:type="dxa"/>
            <w:tcBorders>
              <w:top w:val="nil"/>
              <w:left w:val="nil"/>
              <w:bottom w:val="nil"/>
              <w:right w:val="nil"/>
            </w:tcBorders>
            <w:shd w:val="clear" w:color="auto" w:fill="auto"/>
            <w:tcMar>
              <w:top w:w="0" w:type="dxa"/>
              <w:left w:w="120" w:type="dxa"/>
              <w:bottom w:w="0" w:type="dxa"/>
              <w:right w:w="120" w:type="dxa"/>
            </w:tcMar>
            <w:vAlign w:val="bottom"/>
          </w:tcPr>
          <w:p w14:paraId="36302B6C" w14:textId="77777777" w:rsidR="00A97DC5" w:rsidRDefault="00FC534B">
            <w:pPr>
              <w:spacing w:after="0" w:line="288" w:lineRule="auto"/>
              <w:jc w:val="center"/>
              <w:rPr>
                <w:rFonts w:ascii="Century" w:eastAsia="Century" w:hAnsi="Century" w:cs="Century"/>
                <w:sz w:val="16"/>
                <w:szCs w:val="16"/>
              </w:rPr>
            </w:pPr>
            <w:r>
              <w:rPr>
                <w:rFonts w:ascii="Century" w:eastAsia="Century" w:hAnsi="Century" w:cs="Century"/>
                <w:sz w:val="16"/>
                <w:szCs w:val="16"/>
              </w:rPr>
              <w:t>0.340</w:t>
            </w:r>
          </w:p>
        </w:tc>
        <w:tc>
          <w:tcPr>
            <w:tcW w:w="1167" w:type="dxa"/>
            <w:tcBorders>
              <w:top w:val="nil"/>
              <w:left w:val="nil"/>
              <w:bottom w:val="nil"/>
              <w:right w:val="nil"/>
            </w:tcBorders>
            <w:shd w:val="clear" w:color="auto" w:fill="auto"/>
            <w:tcMar>
              <w:top w:w="0" w:type="dxa"/>
              <w:left w:w="120" w:type="dxa"/>
              <w:bottom w:w="0" w:type="dxa"/>
              <w:right w:w="120" w:type="dxa"/>
            </w:tcMar>
            <w:vAlign w:val="bottom"/>
          </w:tcPr>
          <w:p w14:paraId="70FE8FA5" w14:textId="77777777" w:rsidR="00A97DC5" w:rsidRDefault="00FC534B">
            <w:pPr>
              <w:spacing w:after="0" w:line="288" w:lineRule="auto"/>
              <w:jc w:val="center"/>
              <w:rPr>
                <w:rFonts w:ascii="Century" w:eastAsia="Century" w:hAnsi="Century" w:cs="Century"/>
                <w:sz w:val="16"/>
                <w:szCs w:val="16"/>
              </w:rPr>
            </w:pPr>
            <w:r>
              <w:rPr>
                <w:rFonts w:ascii="Century" w:eastAsia="Century" w:hAnsi="Century" w:cs="Century"/>
                <w:sz w:val="16"/>
                <w:szCs w:val="16"/>
              </w:rPr>
              <w:t>0.543</w:t>
            </w:r>
          </w:p>
        </w:tc>
        <w:tc>
          <w:tcPr>
            <w:tcW w:w="1167" w:type="dxa"/>
            <w:tcBorders>
              <w:top w:val="nil"/>
              <w:left w:val="nil"/>
              <w:bottom w:val="nil"/>
              <w:right w:val="nil"/>
            </w:tcBorders>
            <w:shd w:val="clear" w:color="auto" w:fill="auto"/>
            <w:tcMar>
              <w:top w:w="0" w:type="dxa"/>
              <w:left w:w="120" w:type="dxa"/>
              <w:bottom w:w="0" w:type="dxa"/>
              <w:right w:w="120" w:type="dxa"/>
            </w:tcMar>
            <w:vAlign w:val="bottom"/>
          </w:tcPr>
          <w:p w14:paraId="70D99CBB" w14:textId="77777777" w:rsidR="00A97DC5" w:rsidRDefault="00FC534B">
            <w:pPr>
              <w:spacing w:after="0" w:line="288" w:lineRule="auto"/>
              <w:jc w:val="center"/>
              <w:rPr>
                <w:rFonts w:ascii="Century" w:eastAsia="Century" w:hAnsi="Century" w:cs="Century"/>
                <w:sz w:val="16"/>
                <w:szCs w:val="16"/>
              </w:rPr>
            </w:pPr>
            <w:r>
              <w:rPr>
                <w:rFonts w:ascii="Century" w:eastAsia="Century" w:hAnsi="Century" w:cs="Century"/>
                <w:sz w:val="16"/>
                <w:szCs w:val="16"/>
              </w:rPr>
              <w:t>0.059</w:t>
            </w:r>
          </w:p>
        </w:tc>
        <w:tc>
          <w:tcPr>
            <w:tcW w:w="1167" w:type="dxa"/>
            <w:tcBorders>
              <w:top w:val="nil"/>
              <w:left w:val="nil"/>
              <w:bottom w:val="nil"/>
              <w:right w:val="nil"/>
            </w:tcBorders>
            <w:shd w:val="clear" w:color="auto" w:fill="auto"/>
            <w:tcMar>
              <w:top w:w="0" w:type="dxa"/>
              <w:left w:w="120" w:type="dxa"/>
              <w:bottom w:w="0" w:type="dxa"/>
              <w:right w:w="120" w:type="dxa"/>
            </w:tcMar>
            <w:vAlign w:val="bottom"/>
          </w:tcPr>
          <w:p w14:paraId="675EB26F" w14:textId="77777777" w:rsidR="00A97DC5" w:rsidRDefault="00FC534B">
            <w:pPr>
              <w:spacing w:after="0" w:line="288" w:lineRule="auto"/>
              <w:jc w:val="center"/>
              <w:rPr>
                <w:rFonts w:ascii="Century" w:eastAsia="Century" w:hAnsi="Century" w:cs="Century"/>
                <w:sz w:val="16"/>
                <w:szCs w:val="16"/>
              </w:rPr>
            </w:pPr>
            <w:r>
              <w:rPr>
                <w:rFonts w:ascii="Century" w:eastAsia="Century" w:hAnsi="Century" w:cs="Century"/>
                <w:sz w:val="16"/>
                <w:szCs w:val="16"/>
              </w:rPr>
              <w:t>0.314</w:t>
            </w:r>
          </w:p>
        </w:tc>
        <w:tc>
          <w:tcPr>
            <w:tcW w:w="1167" w:type="dxa"/>
            <w:tcBorders>
              <w:top w:val="nil"/>
              <w:left w:val="nil"/>
              <w:bottom w:val="nil"/>
              <w:right w:val="nil"/>
            </w:tcBorders>
            <w:shd w:val="clear" w:color="auto" w:fill="auto"/>
            <w:tcMar>
              <w:top w:w="0" w:type="dxa"/>
              <w:left w:w="120" w:type="dxa"/>
              <w:bottom w:w="0" w:type="dxa"/>
              <w:right w:w="120" w:type="dxa"/>
            </w:tcMar>
            <w:vAlign w:val="bottom"/>
          </w:tcPr>
          <w:p w14:paraId="36F039F2" w14:textId="77777777" w:rsidR="00A97DC5" w:rsidRDefault="00FC534B">
            <w:pPr>
              <w:spacing w:after="0" w:line="288" w:lineRule="auto"/>
              <w:jc w:val="center"/>
              <w:rPr>
                <w:rFonts w:ascii="Century" w:eastAsia="Century" w:hAnsi="Century" w:cs="Century"/>
                <w:sz w:val="16"/>
                <w:szCs w:val="16"/>
              </w:rPr>
            </w:pPr>
            <w:r>
              <w:rPr>
                <w:rFonts w:ascii="Century" w:eastAsia="Century" w:hAnsi="Century" w:cs="Century"/>
                <w:sz w:val="16"/>
                <w:szCs w:val="16"/>
              </w:rPr>
              <w:t>0.011</w:t>
            </w:r>
          </w:p>
        </w:tc>
      </w:tr>
      <w:tr w:rsidR="00A97DC5" w14:paraId="754099AE" w14:textId="77777777">
        <w:trPr>
          <w:trHeight w:val="384"/>
        </w:trPr>
        <w:tc>
          <w:tcPr>
            <w:tcW w:w="1080" w:type="dxa"/>
            <w:vMerge/>
            <w:tcBorders>
              <w:top w:val="single" w:sz="3" w:space="0" w:color="000000"/>
              <w:left w:val="nil"/>
              <w:bottom w:val="single" w:sz="3" w:space="0" w:color="000000"/>
              <w:right w:val="nil"/>
            </w:tcBorders>
            <w:shd w:val="clear" w:color="auto" w:fill="auto"/>
            <w:tcMar>
              <w:top w:w="100" w:type="dxa"/>
              <w:left w:w="100" w:type="dxa"/>
              <w:bottom w:w="100" w:type="dxa"/>
              <w:right w:w="100" w:type="dxa"/>
            </w:tcMar>
          </w:tcPr>
          <w:p w14:paraId="4882B8FC" w14:textId="77777777" w:rsidR="00A97DC5" w:rsidRDefault="00A97DC5">
            <w:pPr>
              <w:spacing w:before="120" w:after="0" w:line="240" w:lineRule="auto"/>
              <w:ind w:left="360"/>
              <w:jc w:val="both"/>
              <w:rPr>
                <w:rFonts w:ascii="Century" w:eastAsia="Century" w:hAnsi="Century" w:cs="Century"/>
                <w:sz w:val="16"/>
                <w:szCs w:val="16"/>
              </w:rPr>
            </w:pPr>
          </w:p>
        </w:tc>
        <w:tc>
          <w:tcPr>
            <w:tcW w:w="1260" w:type="dxa"/>
            <w:tcBorders>
              <w:top w:val="nil"/>
              <w:left w:val="nil"/>
              <w:bottom w:val="single" w:sz="3" w:space="0" w:color="000000"/>
              <w:right w:val="nil"/>
            </w:tcBorders>
            <w:shd w:val="clear" w:color="auto" w:fill="auto"/>
            <w:tcMar>
              <w:top w:w="0" w:type="dxa"/>
              <w:left w:w="120" w:type="dxa"/>
              <w:bottom w:w="0" w:type="dxa"/>
              <w:right w:w="120" w:type="dxa"/>
            </w:tcMar>
            <w:vAlign w:val="bottom"/>
          </w:tcPr>
          <w:p w14:paraId="59FF7FF3" w14:textId="77777777" w:rsidR="00A97DC5" w:rsidRDefault="00FC534B">
            <w:pPr>
              <w:spacing w:after="0" w:line="288" w:lineRule="auto"/>
              <w:jc w:val="both"/>
              <w:rPr>
                <w:rFonts w:ascii="Century" w:eastAsia="Century" w:hAnsi="Century" w:cs="Century"/>
                <w:sz w:val="16"/>
                <w:szCs w:val="16"/>
              </w:rPr>
            </w:pPr>
            <w:r>
              <w:rPr>
                <w:rFonts w:ascii="Century" w:eastAsia="Century" w:hAnsi="Century" w:cs="Century"/>
                <w:sz w:val="16"/>
                <w:szCs w:val="16"/>
              </w:rPr>
              <w:t>Interpretation</w:t>
            </w:r>
          </w:p>
        </w:tc>
        <w:tc>
          <w:tcPr>
            <w:tcW w:w="1167" w:type="dxa"/>
            <w:tcBorders>
              <w:top w:val="nil"/>
              <w:left w:val="nil"/>
              <w:bottom w:val="single" w:sz="3" w:space="0" w:color="000000"/>
              <w:right w:val="nil"/>
            </w:tcBorders>
            <w:shd w:val="clear" w:color="auto" w:fill="auto"/>
            <w:tcMar>
              <w:top w:w="0" w:type="dxa"/>
              <w:left w:w="120" w:type="dxa"/>
              <w:bottom w:w="0" w:type="dxa"/>
              <w:right w:w="120" w:type="dxa"/>
            </w:tcMar>
            <w:vAlign w:val="bottom"/>
          </w:tcPr>
          <w:p w14:paraId="39DC7667" w14:textId="77777777" w:rsidR="00A97DC5" w:rsidRDefault="00FC534B">
            <w:pPr>
              <w:spacing w:after="0" w:line="288" w:lineRule="auto"/>
              <w:jc w:val="center"/>
              <w:rPr>
                <w:rFonts w:ascii="Century" w:eastAsia="Century" w:hAnsi="Century" w:cs="Century"/>
                <w:sz w:val="16"/>
                <w:szCs w:val="16"/>
              </w:rPr>
            </w:pPr>
            <w:r>
              <w:rPr>
                <w:rFonts w:ascii="Century" w:eastAsia="Century" w:hAnsi="Century" w:cs="Century"/>
                <w:sz w:val="16"/>
                <w:szCs w:val="16"/>
              </w:rPr>
              <w:t>Not Significant</w:t>
            </w:r>
          </w:p>
        </w:tc>
        <w:tc>
          <w:tcPr>
            <w:tcW w:w="1167" w:type="dxa"/>
            <w:tcBorders>
              <w:top w:val="nil"/>
              <w:left w:val="nil"/>
              <w:bottom w:val="single" w:sz="3" w:space="0" w:color="000000"/>
              <w:right w:val="nil"/>
            </w:tcBorders>
            <w:shd w:val="clear" w:color="auto" w:fill="auto"/>
            <w:tcMar>
              <w:top w:w="0" w:type="dxa"/>
              <w:left w:w="120" w:type="dxa"/>
              <w:bottom w:w="0" w:type="dxa"/>
              <w:right w:w="120" w:type="dxa"/>
            </w:tcMar>
            <w:vAlign w:val="bottom"/>
          </w:tcPr>
          <w:p w14:paraId="59B72130" w14:textId="77777777" w:rsidR="00A97DC5" w:rsidRDefault="00FC534B">
            <w:pPr>
              <w:spacing w:after="0" w:line="288" w:lineRule="auto"/>
              <w:jc w:val="center"/>
              <w:rPr>
                <w:rFonts w:ascii="Century" w:eastAsia="Century" w:hAnsi="Century" w:cs="Century"/>
                <w:sz w:val="16"/>
                <w:szCs w:val="16"/>
              </w:rPr>
            </w:pPr>
            <w:r>
              <w:rPr>
                <w:rFonts w:ascii="Century" w:eastAsia="Century" w:hAnsi="Century" w:cs="Century"/>
                <w:sz w:val="16"/>
                <w:szCs w:val="16"/>
              </w:rPr>
              <w:t xml:space="preserve">Not </w:t>
            </w:r>
            <w:r>
              <w:rPr>
                <w:rFonts w:ascii="Century" w:eastAsia="Century" w:hAnsi="Century" w:cs="Century"/>
                <w:sz w:val="16"/>
                <w:szCs w:val="16"/>
              </w:rPr>
              <w:t>Significant</w:t>
            </w:r>
          </w:p>
        </w:tc>
        <w:tc>
          <w:tcPr>
            <w:tcW w:w="1167" w:type="dxa"/>
            <w:tcBorders>
              <w:top w:val="nil"/>
              <w:left w:val="nil"/>
              <w:bottom w:val="single" w:sz="3" w:space="0" w:color="000000"/>
              <w:right w:val="nil"/>
            </w:tcBorders>
            <w:shd w:val="clear" w:color="auto" w:fill="auto"/>
            <w:tcMar>
              <w:top w:w="0" w:type="dxa"/>
              <w:left w:w="120" w:type="dxa"/>
              <w:bottom w:w="0" w:type="dxa"/>
              <w:right w:w="120" w:type="dxa"/>
            </w:tcMar>
            <w:vAlign w:val="bottom"/>
          </w:tcPr>
          <w:p w14:paraId="61810B1F" w14:textId="77777777" w:rsidR="00A97DC5" w:rsidRDefault="00FC534B">
            <w:pPr>
              <w:spacing w:after="0" w:line="288" w:lineRule="auto"/>
              <w:jc w:val="center"/>
              <w:rPr>
                <w:rFonts w:ascii="Century" w:eastAsia="Century" w:hAnsi="Century" w:cs="Century"/>
                <w:sz w:val="16"/>
                <w:szCs w:val="16"/>
              </w:rPr>
            </w:pPr>
            <w:r>
              <w:rPr>
                <w:rFonts w:ascii="Century" w:eastAsia="Century" w:hAnsi="Century" w:cs="Century"/>
                <w:sz w:val="16"/>
                <w:szCs w:val="16"/>
              </w:rPr>
              <w:t>Not Significant</w:t>
            </w:r>
          </w:p>
        </w:tc>
        <w:tc>
          <w:tcPr>
            <w:tcW w:w="1167" w:type="dxa"/>
            <w:tcBorders>
              <w:top w:val="nil"/>
              <w:left w:val="nil"/>
              <w:bottom w:val="single" w:sz="3" w:space="0" w:color="000000"/>
              <w:right w:val="nil"/>
            </w:tcBorders>
            <w:shd w:val="clear" w:color="auto" w:fill="auto"/>
            <w:tcMar>
              <w:top w:w="0" w:type="dxa"/>
              <w:left w:w="120" w:type="dxa"/>
              <w:bottom w:w="0" w:type="dxa"/>
              <w:right w:w="120" w:type="dxa"/>
            </w:tcMar>
            <w:vAlign w:val="bottom"/>
          </w:tcPr>
          <w:p w14:paraId="2E94988D" w14:textId="77777777" w:rsidR="00A97DC5" w:rsidRDefault="00FC534B">
            <w:pPr>
              <w:spacing w:after="0" w:line="288" w:lineRule="auto"/>
              <w:jc w:val="center"/>
              <w:rPr>
                <w:rFonts w:ascii="Century" w:eastAsia="Century" w:hAnsi="Century" w:cs="Century"/>
                <w:sz w:val="16"/>
                <w:szCs w:val="16"/>
              </w:rPr>
            </w:pPr>
            <w:r>
              <w:rPr>
                <w:rFonts w:ascii="Century" w:eastAsia="Century" w:hAnsi="Century" w:cs="Century"/>
                <w:sz w:val="16"/>
                <w:szCs w:val="16"/>
              </w:rPr>
              <w:t>Significant</w:t>
            </w:r>
          </w:p>
        </w:tc>
        <w:tc>
          <w:tcPr>
            <w:tcW w:w="1167" w:type="dxa"/>
            <w:tcBorders>
              <w:top w:val="nil"/>
              <w:left w:val="nil"/>
              <w:bottom w:val="single" w:sz="3" w:space="0" w:color="000000"/>
              <w:right w:val="nil"/>
            </w:tcBorders>
            <w:shd w:val="clear" w:color="auto" w:fill="auto"/>
            <w:tcMar>
              <w:top w:w="0" w:type="dxa"/>
              <w:left w:w="120" w:type="dxa"/>
              <w:bottom w:w="0" w:type="dxa"/>
              <w:right w:w="120" w:type="dxa"/>
            </w:tcMar>
            <w:vAlign w:val="bottom"/>
          </w:tcPr>
          <w:p w14:paraId="15AD2F78" w14:textId="77777777" w:rsidR="00A97DC5" w:rsidRDefault="00FC534B">
            <w:pPr>
              <w:spacing w:after="0" w:line="288" w:lineRule="auto"/>
              <w:jc w:val="center"/>
              <w:rPr>
                <w:rFonts w:ascii="Century" w:eastAsia="Century" w:hAnsi="Century" w:cs="Century"/>
                <w:sz w:val="16"/>
                <w:szCs w:val="16"/>
              </w:rPr>
            </w:pPr>
            <w:r>
              <w:rPr>
                <w:rFonts w:ascii="Century" w:eastAsia="Century" w:hAnsi="Century" w:cs="Century"/>
                <w:sz w:val="16"/>
                <w:szCs w:val="16"/>
              </w:rPr>
              <w:t>Not Significant</w:t>
            </w:r>
          </w:p>
        </w:tc>
        <w:tc>
          <w:tcPr>
            <w:tcW w:w="1167" w:type="dxa"/>
            <w:tcBorders>
              <w:top w:val="nil"/>
              <w:left w:val="nil"/>
              <w:bottom w:val="single" w:sz="3" w:space="0" w:color="000000"/>
              <w:right w:val="nil"/>
            </w:tcBorders>
            <w:shd w:val="clear" w:color="auto" w:fill="auto"/>
            <w:tcMar>
              <w:top w:w="0" w:type="dxa"/>
              <w:left w:w="120" w:type="dxa"/>
              <w:bottom w:w="0" w:type="dxa"/>
              <w:right w:w="120" w:type="dxa"/>
            </w:tcMar>
            <w:vAlign w:val="bottom"/>
          </w:tcPr>
          <w:p w14:paraId="3002C4B1" w14:textId="77777777" w:rsidR="00A97DC5" w:rsidRDefault="00FC534B">
            <w:pPr>
              <w:spacing w:after="0" w:line="288" w:lineRule="auto"/>
              <w:jc w:val="center"/>
              <w:rPr>
                <w:rFonts w:ascii="Century" w:eastAsia="Century" w:hAnsi="Century" w:cs="Century"/>
                <w:sz w:val="16"/>
                <w:szCs w:val="16"/>
              </w:rPr>
            </w:pPr>
            <w:r>
              <w:rPr>
                <w:rFonts w:ascii="Century" w:eastAsia="Century" w:hAnsi="Century" w:cs="Century"/>
                <w:sz w:val="16"/>
                <w:szCs w:val="16"/>
              </w:rPr>
              <w:t>Significant</w:t>
            </w:r>
          </w:p>
        </w:tc>
      </w:tr>
    </w:tbl>
    <w:p w14:paraId="4A54B12E" w14:textId="77777777" w:rsidR="00A97DC5" w:rsidRDefault="00A97DC5">
      <w:pPr>
        <w:spacing w:before="120" w:after="0" w:line="240" w:lineRule="auto"/>
        <w:jc w:val="both"/>
        <w:rPr>
          <w:rFonts w:ascii="Century" w:eastAsia="Century" w:hAnsi="Century" w:cs="Century"/>
          <w:sz w:val="16"/>
          <w:szCs w:val="16"/>
        </w:rPr>
        <w:sectPr w:rsidR="00A97DC5">
          <w:type w:val="continuous"/>
          <w:pgSz w:w="12240" w:h="15840"/>
          <w:pgMar w:top="1440" w:right="1440" w:bottom="1440" w:left="1440" w:header="0" w:footer="720" w:gutter="0"/>
          <w:cols w:space="720" w:equalWidth="0">
            <w:col w:w="9360" w:space="0"/>
          </w:cols>
        </w:sectPr>
      </w:pPr>
    </w:p>
    <w:p w14:paraId="2E1E0D0D" w14:textId="77777777" w:rsidR="00A97DC5" w:rsidRDefault="00FC534B">
      <w:pPr>
        <w:spacing w:before="120" w:after="0"/>
        <w:jc w:val="both"/>
        <w:rPr>
          <w:rFonts w:ascii="Century" w:eastAsia="Century" w:hAnsi="Century" w:cs="Century"/>
          <w:i/>
        </w:rPr>
      </w:pPr>
      <w:r>
        <w:rPr>
          <w:rFonts w:ascii="Century" w:eastAsia="Century" w:hAnsi="Century" w:cs="Century"/>
          <w:i/>
        </w:rPr>
        <w:lastRenderedPageBreak/>
        <w:t>3.3 Relationship between the principal’s servant leadership profile and the dimensions of servant leadership practices</w:t>
      </w:r>
    </w:p>
    <w:p w14:paraId="51E76F4F" w14:textId="77777777" w:rsidR="00A97DC5" w:rsidRDefault="00FC534B">
      <w:pPr>
        <w:spacing w:before="200"/>
        <w:jc w:val="both"/>
        <w:rPr>
          <w:rFonts w:ascii="Century" w:eastAsia="Century" w:hAnsi="Century" w:cs="Century"/>
          <w:sz w:val="18"/>
          <w:szCs w:val="18"/>
        </w:rPr>
      </w:pPr>
      <w:r>
        <w:rPr>
          <w:rFonts w:ascii="Century" w:eastAsia="Century" w:hAnsi="Century" w:cs="Century"/>
          <w:sz w:val="18"/>
          <w:szCs w:val="18"/>
        </w:rPr>
        <w:t xml:space="preserve">Table 3 presents the test of relationships between </w:t>
      </w:r>
      <w:r>
        <w:rPr>
          <w:rFonts w:ascii="Century" w:eastAsia="Century" w:hAnsi="Century" w:cs="Century"/>
          <w:sz w:val="18"/>
          <w:szCs w:val="18"/>
        </w:rPr>
        <w:t>principals’ servant leadership profiles—divided into Personal Character and Actions, and Leader’s Interaction with Others—and the dimensions of servant leadership practices, including Conceptualizing, Emotional Healing, Putting Followers First, Behaving Et</w:t>
      </w:r>
      <w:r>
        <w:rPr>
          <w:rFonts w:ascii="Century" w:eastAsia="Century" w:hAnsi="Century" w:cs="Century"/>
          <w:sz w:val="18"/>
          <w:szCs w:val="18"/>
        </w:rPr>
        <w:t>hically, Empowering, and Creating Value for the Community. Several statistically significant correlations emerged, providing insights into which leadership attributes most strongly influence servant leadership behaviors in the school setting.</w:t>
      </w:r>
    </w:p>
    <w:p w14:paraId="36A5FD65" w14:textId="77777777" w:rsidR="00A97DC5" w:rsidRDefault="00FC534B">
      <w:pPr>
        <w:spacing w:before="200"/>
        <w:jc w:val="both"/>
        <w:rPr>
          <w:rFonts w:ascii="Century" w:eastAsia="Century" w:hAnsi="Century" w:cs="Century"/>
          <w:sz w:val="18"/>
          <w:szCs w:val="18"/>
        </w:rPr>
      </w:pPr>
      <w:r>
        <w:rPr>
          <w:rFonts w:ascii="Century" w:eastAsia="Century" w:hAnsi="Century" w:cs="Century"/>
          <w:sz w:val="18"/>
          <w:szCs w:val="18"/>
        </w:rPr>
        <w:t>Under Persona</w:t>
      </w:r>
      <w:r>
        <w:rPr>
          <w:rFonts w:ascii="Century" w:eastAsia="Century" w:hAnsi="Century" w:cs="Century"/>
          <w:sz w:val="18"/>
          <w:szCs w:val="18"/>
        </w:rPr>
        <w:t>l Character and Actions, Character Orientation showed a significant positive correlation with Conceptualizing (r = 0.582, p = 0.000) and Creating Value for the Community (r = 0.391, p = 0.035), while interestingly showing a significant negative correlation</w:t>
      </w:r>
      <w:r>
        <w:rPr>
          <w:rFonts w:ascii="Century" w:eastAsia="Century" w:hAnsi="Century" w:cs="Century"/>
          <w:sz w:val="18"/>
          <w:szCs w:val="18"/>
        </w:rPr>
        <w:t xml:space="preserve"> with Putting Followers First (r = -0.580, p = 0.031). The positive link between character orientation and conceptualizing supports Greenleaf’s (1977) principle that morally grounded leaders can think more strategically and serve more effectively, as their</w:t>
      </w:r>
      <w:r>
        <w:rPr>
          <w:rFonts w:ascii="Century" w:eastAsia="Century" w:hAnsi="Century" w:cs="Century"/>
          <w:sz w:val="18"/>
          <w:szCs w:val="18"/>
        </w:rPr>
        <w:t xml:space="preserve"> integrity provides clarity and focus. Similarly, the relationship with community engagement reinforces Spears’ (2004) emphasis on stewardship and community building as critical servant leadership traits. However, the negative relationship with Putting Fol</w:t>
      </w:r>
      <w:r>
        <w:rPr>
          <w:rFonts w:ascii="Century" w:eastAsia="Century" w:hAnsi="Century" w:cs="Century"/>
          <w:sz w:val="18"/>
          <w:szCs w:val="18"/>
        </w:rPr>
        <w:t>lowers First is unexpected and may point to a possible tension between strong personal ethical standards and the flexibility sometimes required in prioritizing others’ interests—suggesting a leadership paradox similar to what Wheaton (1999) observed when s</w:t>
      </w:r>
      <w:r>
        <w:rPr>
          <w:rFonts w:ascii="Century" w:eastAsia="Century" w:hAnsi="Century" w:cs="Century"/>
          <w:sz w:val="18"/>
          <w:szCs w:val="18"/>
        </w:rPr>
        <w:t>ervant leaders struggled to balance organizational roles with self-sacrificing behaviors.</w:t>
      </w:r>
    </w:p>
    <w:p w14:paraId="18F6E169" w14:textId="77777777" w:rsidR="00A97DC5" w:rsidRDefault="00FC534B">
      <w:pPr>
        <w:spacing w:before="200"/>
        <w:jc w:val="both"/>
        <w:rPr>
          <w:rFonts w:ascii="Century" w:eastAsia="Century" w:hAnsi="Century" w:cs="Century"/>
          <w:sz w:val="18"/>
          <w:szCs w:val="18"/>
        </w:rPr>
      </w:pPr>
      <w:r>
        <w:rPr>
          <w:rFonts w:ascii="Century" w:eastAsia="Century" w:hAnsi="Century" w:cs="Century"/>
          <w:sz w:val="18"/>
          <w:szCs w:val="18"/>
        </w:rPr>
        <w:t>In contrast, People Orientation was significantly related to only two areas: it had a negative correlation with Emotional Healing (r = -0.314, p = 0.034) and a positi</w:t>
      </w:r>
      <w:r>
        <w:rPr>
          <w:rFonts w:ascii="Century" w:eastAsia="Century" w:hAnsi="Century" w:cs="Century"/>
          <w:sz w:val="18"/>
          <w:szCs w:val="18"/>
        </w:rPr>
        <w:t xml:space="preserve">ve correlation with Behaving Ethically (r = 0.399, p = 0.035). The latter supports Covey’s (2002) and Page &amp; Wong’s (2003) assertion that leaders who value others are more likely to act ethically. The negative relationship with Emotional Healing, however, </w:t>
      </w:r>
      <w:r>
        <w:rPr>
          <w:rFonts w:ascii="Century" w:eastAsia="Century" w:hAnsi="Century" w:cs="Century"/>
          <w:sz w:val="18"/>
          <w:szCs w:val="18"/>
        </w:rPr>
        <w:t xml:space="preserve">may suggest that despite valuing others, some leaders are not consistently perceived </w:t>
      </w:r>
      <w:r>
        <w:rPr>
          <w:rFonts w:ascii="Century" w:eastAsia="Century" w:hAnsi="Century" w:cs="Century"/>
          <w:sz w:val="18"/>
          <w:szCs w:val="18"/>
        </w:rPr>
        <w:t>as emotionally available—a pattern also noted in the Jennings (1999) study, where principals were admired for their values but lacked emotional connection in practice.</w:t>
      </w:r>
    </w:p>
    <w:p w14:paraId="52324B31" w14:textId="77777777" w:rsidR="00A97DC5" w:rsidRDefault="00FC534B">
      <w:pPr>
        <w:spacing w:before="200"/>
        <w:jc w:val="both"/>
        <w:rPr>
          <w:rFonts w:ascii="Century" w:eastAsia="Century" w:hAnsi="Century" w:cs="Century"/>
          <w:sz w:val="18"/>
          <w:szCs w:val="18"/>
        </w:rPr>
      </w:pPr>
      <w:r>
        <w:rPr>
          <w:rFonts w:ascii="Century" w:eastAsia="Century" w:hAnsi="Century" w:cs="Century"/>
          <w:sz w:val="18"/>
          <w:szCs w:val="18"/>
        </w:rPr>
        <w:t>Fro</w:t>
      </w:r>
      <w:r>
        <w:rPr>
          <w:rFonts w:ascii="Century" w:eastAsia="Century" w:hAnsi="Century" w:cs="Century"/>
          <w:sz w:val="18"/>
          <w:szCs w:val="18"/>
        </w:rPr>
        <w:t>m the perspective of Leader’s Interaction with Others, Task Orientation yielded significant positive correlations with Conceptualizing (r = 0.399, p = 0.020), Emotional Healing (r = 0.389, p = 0.021), and Putting Followers First (r = 0.480, p = 0.004). The</w:t>
      </w:r>
      <w:r>
        <w:rPr>
          <w:rFonts w:ascii="Century" w:eastAsia="Century" w:hAnsi="Century" w:cs="Century"/>
          <w:sz w:val="18"/>
          <w:szCs w:val="18"/>
        </w:rPr>
        <w:t>se findings indicate that goal-driven leaders can still practice compassion, collaboration, and ethical support—challenging the notion that task orientation excludes emotional or relational leadership. This echoes Burns’ (2002) view of transformational lea</w:t>
      </w:r>
      <w:r>
        <w:rPr>
          <w:rFonts w:ascii="Century" w:eastAsia="Century" w:hAnsi="Century" w:cs="Century"/>
          <w:sz w:val="18"/>
          <w:szCs w:val="18"/>
        </w:rPr>
        <w:t>dership, where vision-driven leaders motivate others while nurturing emotional bonds. It also affirms Humphrey (2014) and Bass (2016), who emphasized that visionary leaders can be both strategic and people-centered when servant leadership principles are in</w:t>
      </w:r>
      <w:r>
        <w:rPr>
          <w:rFonts w:ascii="Century" w:eastAsia="Century" w:hAnsi="Century" w:cs="Century"/>
          <w:sz w:val="18"/>
          <w:szCs w:val="18"/>
        </w:rPr>
        <w:t>tegrated.</w:t>
      </w:r>
    </w:p>
    <w:p w14:paraId="6E7B6CAB" w14:textId="77777777" w:rsidR="00A97DC5" w:rsidRDefault="00FC534B">
      <w:pPr>
        <w:spacing w:before="200"/>
        <w:jc w:val="both"/>
        <w:rPr>
          <w:rFonts w:ascii="Century" w:eastAsia="Century" w:hAnsi="Century" w:cs="Century"/>
          <w:sz w:val="18"/>
          <w:szCs w:val="18"/>
        </w:rPr>
      </w:pPr>
      <w:r>
        <w:rPr>
          <w:rFonts w:ascii="Century" w:eastAsia="Century" w:hAnsi="Century" w:cs="Century"/>
          <w:sz w:val="18"/>
          <w:szCs w:val="18"/>
        </w:rPr>
        <w:t>Lastly, Process Orientation was found to be significantly correlated with Behaving Ethically (r = 0.105, p = 0.059) and more strongly with Creating Value for the Community (r = 0.448, p = 0.011). The strong link with community service aligns with</w:t>
      </w:r>
      <w:r>
        <w:rPr>
          <w:rFonts w:ascii="Century" w:eastAsia="Century" w:hAnsi="Century" w:cs="Century"/>
          <w:sz w:val="18"/>
          <w:szCs w:val="18"/>
        </w:rPr>
        <w:t xml:space="preserve"> Contee-Borders (2002) study, which highlighted that process-driven leaders who model, build teams, and share decisions are often most effective in fostering community partnerships. It also supports Patterson’s (2003) framework, in which service beyond the</w:t>
      </w:r>
      <w:r>
        <w:rPr>
          <w:rFonts w:ascii="Century" w:eastAsia="Century" w:hAnsi="Century" w:cs="Century"/>
          <w:sz w:val="18"/>
          <w:szCs w:val="18"/>
        </w:rPr>
        <w:t xml:space="preserve"> organization is a hallmark of virtuous leadership.</w:t>
      </w:r>
    </w:p>
    <w:p w14:paraId="1004BC1C" w14:textId="77777777" w:rsidR="00A97DC5" w:rsidRDefault="00FC534B">
      <w:pPr>
        <w:widowControl w:val="0"/>
        <w:spacing w:after="0" w:line="240" w:lineRule="auto"/>
        <w:rPr>
          <w:rFonts w:ascii="Century" w:eastAsia="Century" w:hAnsi="Century" w:cs="Century"/>
          <w:sz w:val="28"/>
          <w:szCs w:val="28"/>
        </w:rPr>
      </w:pPr>
      <w:r>
        <w:rPr>
          <w:rFonts w:ascii="Century" w:eastAsia="Century" w:hAnsi="Century" w:cs="Century"/>
          <w:sz w:val="24"/>
          <w:szCs w:val="24"/>
        </w:rPr>
        <w:t>4.  CONCLUSIONS</w:t>
      </w:r>
    </w:p>
    <w:p w14:paraId="20B12583" w14:textId="77777777" w:rsidR="00A97DC5" w:rsidRDefault="00FC534B">
      <w:pPr>
        <w:spacing w:before="200"/>
        <w:jc w:val="both"/>
        <w:rPr>
          <w:rFonts w:ascii="Century" w:eastAsia="Century" w:hAnsi="Century" w:cs="Century"/>
          <w:sz w:val="18"/>
          <w:szCs w:val="18"/>
        </w:rPr>
      </w:pPr>
      <w:r>
        <w:rPr>
          <w:rFonts w:ascii="Century" w:eastAsia="Century" w:hAnsi="Century" w:cs="Century"/>
          <w:sz w:val="18"/>
          <w:szCs w:val="18"/>
        </w:rPr>
        <w:t xml:space="preserve">The study </w:t>
      </w:r>
      <w:commentRangeStart w:id="10"/>
      <w:r>
        <w:rPr>
          <w:rFonts w:ascii="Century" w:eastAsia="Century" w:hAnsi="Century" w:cs="Century"/>
          <w:sz w:val="18"/>
          <w:szCs w:val="18"/>
        </w:rPr>
        <w:t xml:space="preserve">concludes that findings </w:t>
      </w:r>
      <w:commentRangeEnd w:id="10"/>
      <w:r w:rsidR="00CD038D">
        <w:rPr>
          <w:rStyle w:val="CommentReference"/>
        </w:rPr>
        <w:commentReference w:id="10"/>
      </w:r>
      <w:r>
        <w:rPr>
          <w:rFonts w:ascii="Century" w:eastAsia="Century" w:hAnsi="Century" w:cs="Century"/>
          <w:sz w:val="18"/>
          <w:szCs w:val="18"/>
        </w:rPr>
        <w:t xml:space="preserve">on the servant leadership profile indicate that school principals exhibit strong character orientation and people orientation, particularly in integrity, </w:t>
      </w:r>
      <w:r>
        <w:rPr>
          <w:rFonts w:ascii="Century" w:eastAsia="Century" w:hAnsi="Century" w:cs="Century"/>
          <w:sz w:val="18"/>
          <w:szCs w:val="18"/>
        </w:rPr>
        <w:t>humility, and caring for others. However, slight inconsistencies were observed in areas like vulnerability, acknowledging dependence on others, and openness to feedback—highlighting areas where leadership practice could be made more humanizing and inclusiv</w:t>
      </w:r>
      <w:r>
        <w:rPr>
          <w:rFonts w:ascii="Century" w:eastAsia="Century" w:hAnsi="Century" w:cs="Century"/>
          <w:sz w:val="18"/>
          <w:szCs w:val="18"/>
        </w:rPr>
        <w:t>e.</w:t>
      </w:r>
    </w:p>
    <w:p w14:paraId="46F8D3ED" w14:textId="77777777" w:rsidR="00A97DC5" w:rsidRDefault="00FC534B">
      <w:pPr>
        <w:spacing w:before="200"/>
        <w:jc w:val="both"/>
        <w:rPr>
          <w:rFonts w:ascii="Century" w:eastAsia="Century" w:hAnsi="Century" w:cs="Century"/>
          <w:sz w:val="18"/>
          <w:szCs w:val="18"/>
        </w:rPr>
      </w:pPr>
      <w:r>
        <w:rPr>
          <w:rFonts w:ascii="Century" w:eastAsia="Century" w:hAnsi="Century" w:cs="Century"/>
          <w:sz w:val="18"/>
          <w:szCs w:val="18"/>
        </w:rPr>
        <w:t xml:space="preserve">In terms of leader interaction, principals demonstrated exceptional competence in goal-setting, modeling behavior, and team-building. These competencies are essential to maintaining school direction and motivation among staff. </w:t>
      </w:r>
      <w:r>
        <w:rPr>
          <w:rFonts w:ascii="Century" w:eastAsia="Century" w:hAnsi="Century" w:cs="Century"/>
          <w:sz w:val="18"/>
          <w:szCs w:val="18"/>
        </w:rPr>
        <w:lastRenderedPageBreak/>
        <w:t>However, areas like matchi</w:t>
      </w:r>
      <w:r>
        <w:rPr>
          <w:rFonts w:ascii="Century" w:eastAsia="Century" w:hAnsi="Century" w:cs="Century"/>
          <w:sz w:val="18"/>
          <w:szCs w:val="18"/>
        </w:rPr>
        <w:t>ng people to roles and empowering decision-making showed slight weaknesses, implying that servant leadership must go beyond inspiration and incorporate practical delegation and support.</w:t>
      </w:r>
    </w:p>
    <w:p w14:paraId="52E713EC" w14:textId="77777777" w:rsidR="00A97DC5" w:rsidRDefault="00A97DC5">
      <w:pPr>
        <w:spacing w:before="200"/>
        <w:jc w:val="both"/>
        <w:rPr>
          <w:rFonts w:ascii="Century" w:eastAsia="Century" w:hAnsi="Century" w:cs="Century"/>
          <w:sz w:val="18"/>
          <w:szCs w:val="18"/>
        </w:rPr>
      </w:pPr>
    </w:p>
    <w:p w14:paraId="05F422FF" w14:textId="77777777" w:rsidR="00A97DC5" w:rsidRDefault="00FC534B">
      <w:pPr>
        <w:spacing w:before="200"/>
        <w:jc w:val="both"/>
        <w:rPr>
          <w:rFonts w:ascii="Century" w:eastAsia="Century" w:hAnsi="Century" w:cs="Century"/>
          <w:sz w:val="18"/>
          <w:szCs w:val="18"/>
        </w:rPr>
      </w:pPr>
      <w:r>
        <w:rPr>
          <w:rFonts w:ascii="Century" w:eastAsia="Century" w:hAnsi="Century" w:cs="Century"/>
          <w:sz w:val="18"/>
          <w:szCs w:val="18"/>
        </w:rPr>
        <w:t>The level of servant leadership practices was generally rated as “Exc</w:t>
      </w:r>
      <w:r>
        <w:rPr>
          <w:rFonts w:ascii="Century" w:eastAsia="Century" w:hAnsi="Century" w:cs="Century"/>
          <w:sz w:val="18"/>
          <w:szCs w:val="18"/>
        </w:rPr>
        <w:t>eptional,” especially in Putting Followers First, Behaving Ethically, and Empowering. Nevertheless, Conceptualizing and Emotional Healing showed “Strong but inconsistent” interpretations. This suggests that while leaders are strong in moral action and peop</w:t>
      </w:r>
      <w:r>
        <w:rPr>
          <w:rFonts w:ascii="Century" w:eastAsia="Century" w:hAnsi="Century" w:cs="Century"/>
          <w:sz w:val="18"/>
          <w:szCs w:val="18"/>
        </w:rPr>
        <w:t>le development, more consistent strategic planning and emotional intelligence are needed to complete the servant leadership model.</w:t>
      </w:r>
    </w:p>
    <w:p w14:paraId="01EF5773" w14:textId="77777777" w:rsidR="00A97DC5" w:rsidRDefault="00FC534B">
      <w:pPr>
        <w:spacing w:before="200"/>
        <w:jc w:val="both"/>
        <w:rPr>
          <w:rFonts w:ascii="Century" w:eastAsia="Century" w:hAnsi="Century" w:cs="Century"/>
          <w:sz w:val="18"/>
          <w:szCs w:val="18"/>
        </w:rPr>
      </w:pPr>
      <w:r>
        <w:rPr>
          <w:rFonts w:ascii="Century" w:eastAsia="Century" w:hAnsi="Century" w:cs="Century"/>
          <w:sz w:val="18"/>
          <w:szCs w:val="18"/>
        </w:rPr>
        <w:t xml:space="preserve">The analysis of relationships shows that servant leadership profiles correlate significantly with various servant leadership </w:t>
      </w:r>
      <w:r>
        <w:rPr>
          <w:rFonts w:ascii="Century" w:eastAsia="Century" w:hAnsi="Century" w:cs="Century"/>
          <w:sz w:val="18"/>
          <w:szCs w:val="18"/>
        </w:rPr>
        <w:t>practices, particularly those involving character and task orientation. This validates the theoretical framework of servant leadership, where a leader’s internal values and external behavior influence their leadership consistency and effectiveness. Specifi</w:t>
      </w:r>
      <w:r>
        <w:rPr>
          <w:rFonts w:ascii="Century" w:eastAsia="Century" w:hAnsi="Century" w:cs="Century"/>
          <w:sz w:val="18"/>
          <w:szCs w:val="18"/>
        </w:rPr>
        <w:t>cally, statistically significant relationships were found between Character Orientation and practices like Conceptualizing (r = 0.582, p = .000), Putting Followers First (r = -0.580, p = .031), and Creating Value for the Community (r = 0.391, p = .035), wh</w:t>
      </w:r>
      <w:r>
        <w:rPr>
          <w:rFonts w:ascii="Century" w:eastAsia="Century" w:hAnsi="Century" w:cs="Century"/>
          <w:sz w:val="18"/>
          <w:szCs w:val="18"/>
        </w:rPr>
        <w:t>ile Task Orientation also showed significant correlations with several practices, including Putting Followers First (r = 0.480, p = .004).</w:t>
      </w:r>
    </w:p>
    <w:p w14:paraId="55FA7CD7" w14:textId="77777777" w:rsidR="00A97DC5" w:rsidRDefault="00FC534B">
      <w:pPr>
        <w:spacing w:before="200"/>
        <w:jc w:val="both"/>
        <w:rPr>
          <w:rFonts w:ascii="Century" w:eastAsia="Century" w:hAnsi="Century" w:cs="Century"/>
          <w:sz w:val="18"/>
          <w:szCs w:val="18"/>
        </w:rPr>
      </w:pPr>
      <w:r>
        <w:rPr>
          <w:rFonts w:ascii="Century" w:eastAsia="Century" w:hAnsi="Century" w:cs="Century"/>
          <w:sz w:val="18"/>
          <w:szCs w:val="18"/>
        </w:rPr>
        <w:t>Principals’ servant leadership traits—particularly character orientation, people orientation, and task orientation—ar</w:t>
      </w:r>
      <w:r>
        <w:rPr>
          <w:rFonts w:ascii="Century" w:eastAsia="Century" w:hAnsi="Century" w:cs="Century"/>
          <w:sz w:val="18"/>
          <w:szCs w:val="18"/>
        </w:rPr>
        <w:t>e significantly associated with improved school access and governance. These findings suggest that leadership development should prioritize values-based and strategic training to improve school governance and access.</w:t>
      </w:r>
    </w:p>
    <w:p w14:paraId="05942871" w14:textId="77777777" w:rsidR="00A97DC5" w:rsidRDefault="00FC534B">
      <w:pPr>
        <w:spacing w:before="200"/>
        <w:jc w:val="both"/>
        <w:rPr>
          <w:rFonts w:ascii="Century" w:eastAsia="Century" w:hAnsi="Century" w:cs="Century"/>
          <w:sz w:val="18"/>
          <w:szCs w:val="18"/>
        </w:rPr>
      </w:pPr>
      <w:r>
        <w:rPr>
          <w:rFonts w:ascii="Century" w:eastAsia="Century" w:hAnsi="Century" w:cs="Century"/>
          <w:sz w:val="18"/>
          <w:szCs w:val="18"/>
        </w:rPr>
        <w:t>Servant leadership practices such as em</w:t>
      </w:r>
      <w:r>
        <w:rPr>
          <w:rFonts w:ascii="Century" w:eastAsia="Century" w:hAnsi="Century" w:cs="Century"/>
          <w:sz w:val="18"/>
          <w:szCs w:val="18"/>
        </w:rPr>
        <w:t>otional healing, putting followers first, ethical behavior, and empowering are significantly related to better teacher performance, underscoring the importance of supportive and trust-based leadership. This implies that school leaders should cultivate emot</w:t>
      </w:r>
      <w:r>
        <w:rPr>
          <w:rFonts w:ascii="Century" w:eastAsia="Century" w:hAnsi="Century" w:cs="Century"/>
          <w:sz w:val="18"/>
          <w:szCs w:val="18"/>
        </w:rPr>
        <w:t xml:space="preserve">ionally intelligent and empowering practices to enhance teacher effectiveness, which can be </w:t>
      </w:r>
      <w:r>
        <w:rPr>
          <w:rFonts w:ascii="Century" w:eastAsia="Century" w:hAnsi="Century" w:cs="Century"/>
          <w:sz w:val="18"/>
          <w:szCs w:val="18"/>
        </w:rPr>
        <w:t>reinforced through targeted leadership training and mentoring programs.</w:t>
      </w:r>
    </w:p>
    <w:p w14:paraId="1FE0237C" w14:textId="77777777" w:rsidR="00A97DC5" w:rsidRDefault="00FC534B">
      <w:pPr>
        <w:spacing w:before="200"/>
        <w:jc w:val="both"/>
        <w:rPr>
          <w:rFonts w:ascii="Century" w:eastAsia="Century" w:hAnsi="Century" w:cs="Century"/>
          <w:sz w:val="18"/>
          <w:szCs w:val="18"/>
        </w:rPr>
      </w:pPr>
      <w:r>
        <w:rPr>
          <w:rFonts w:ascii="Century" w:eastAsia="Century" w:hAnsi="Century" w:cs="Century"/>
          <w:sz w:val="18"/>
          <w:szCs w:val="18"/>
        </w:rPr>
        <w:t>Based on the study’s findings, a training program was designed to enhance school leaders' co</w:t>
      </w:r>
      <w:r>
        <w:rPr>
          <w:rFonts w:ascii="Century" w:eastAsia="Century" w:hAnsi="Century" w:cs="Century"/>
          <w:sz w:val="18"/>
          <w:szCs w:val="18"/>
        </w:rPr>
        <w:t>mpetencies in both personal and relational dimensions of servant leadership. The program focuses on ethical grounding, emotional intelligence, strategic thinking, and inclusive governance.</w:t>
      </w:r>
    </w:p>
    <w:p w14:paraId="74BE1ADE" w14:textId="77777777" w:rsidR="00A97DC5" w:rsidRDefault="00FC534B">
      <w:pPr>
        <w:widowControl w:val="0"/>
        <w:spacing w:after="0" w:line="240" w:lineRule="auto"/>
        <w:rPr>
          <w:rFonts w:ascii="Century" w:eastAsia="Century" w:hAnsi="Century" w:cs="Century"/>
          <w:sz w:val="18"/>
          <w:szCs w:val="18"/>
        </w:rPr>
      </w:pPr>
      <w:r>
        <w:rPr>
          <w:rFonts w:ascii="Century" w:eastAsia="Century" w:hAnsi="Century" w:cs="Century"/>
          <w:sz w:val="24"/>
          <w:szCs w:val="24"/>
        </w:rPr>
        <w:t>5.  REFERENCES</w:t>
      </w:r>
    </w:p>
    <w:p w14:paraId="3C19BA26" w14:textId="77777777" w:rsidR="00A97DC5" w:rsidRDefault="00FC534B">
      <w:pPr>
        <w:spacing w:before="120" w:after="0"/>
        <w:ind w:left="360"/>
        <w:jc w:val="both"/>
        <w:rPr>
          <w:rFonts w:ascii="Century" w:eastAsia="Century" w:hAnsi="Century" w:cs="Century"/>
          <w:sz w:val="18"/>
          <w:szCs w:val="18"/>
        </w:rPr>
      </w:pPr>
      <w:r>
        <w:rPr>
          <w:rFonts w:ascii="Century" w:eastAsia="Century" w:hAnsi="Century" w:cs="Century"/>
          <w:sz w:val="18"/>
          <w:szCs w:val="18"/>
        </w:rPr>
        <w:t xml:space="preserve">Bryant, S. R. (2003). Servant leadership and public </w:t>
      </w:r>
      <w:r>
        <w:rPr>
          <w:rFonts w:ascii="Century" w:eastAsia="Century" w:hAnsi="Century" w:cs="Century"/>
          <w:sz w:val="18"/>
          <w:szCs w:val="18"/>
        </w:rPr>
        <w:t xml:space="preserve">managers. Dissertation Abstracts International,64(02),634A. (UMI No. 3082716) </w:t>
      </w:r>
    </w:p>
    <w:p w14:paraId="42071540" w14:textId="77777777" w:rsidR="00A97DC5" w:rsidRDefault="00FC534B">
      <w:pPr>
        <w:spacing w:before="120" w:after="0"/>
        <w:ind w:left="360"/>
        <w:jc w:val="both"/>
        <w:rPr>
          <w:rFonts w:ascii="Century" w:eastAsia="Century" w:hAnsi="Century" w:cs="Century"/>
          <w:sz w:val="18"/>
          <w:szCs w:val="18"/>
        </w:rPr>
      </w:pPr>
      <w:r>
        <w:rPr>
          <w:rFonts w:ascii="Century" w:eastAsia="Century" w:hAnsi="Century" w:cs="Century"/>
          <w:sz w:val="18"/>
          <w:szCs w:val="18"/>
        </w:rPr>
        <w:t>Burns, J. (2002). Leadership, Harper and Row New York, NY</w:t>
      </w:r>
    </w:p>
    <w:p w14:paraId="24C7231A" w14:textId="77777777" w:rsidR="00A97DC5" w:rsidRDefault="00FC534B">
      <w:pPr>
        <w:spacing w:before="120" w:after="0"/>
        <w:ind w:left="360"/>
        <w:jc w:val="both"/>
        <w:rPr>
          <w:rFonts w:ascii="Century" w:eastAsia="Century" w:hAnsi="Century" w:cs="Century"/>
          <w:sz w:val="18"/>
          <w:szCs w:val="18"/>
        </w:rPr>
      </w:pPr>
      <w:r>
        <w:rPr>
          <w:rFonts w:ascii="Century" w:eastAsia="Century" w:hAnsi="Century" w:cs="Century"/>
          <w:sz w:val="18"/>
          <w:szCs w:val="18"/>
        </w:rPr>
        <w:t xml:space="preserve">Ciriello. (2006). Catholic School Leadership. </w:t>
      </w:r>
    </w:p>
    <w:p w14:paraId="069A50AD" w14:textId="77777777" w:rsidR="00A97DC5" w:rsidRDefault="00FC534B">
      <w:pPr>
        <w:spacing w:before="120" w:after="0"/>
        <w:ind w:left="360"/>
        <w:jc w:val="both"/>
        <w:rPr>
          <w:rFonts w:ascii="Century" w:eastAsia="Century" w:hAnsi="Century" w:cs="Century"/>
          <w:sz w:val="18"/>
          <w:szCs w:val="18"/>
        </w:rPr>
      </w:pPr>
      <w:r>
        <w:rPr>
          <w:rFonts w:ascii="Century" w:eastAsia="Century" w:hAnsi="Century" w:cs="Century"/>
          <w:sz w:val="18"/>
          <w:szCs w:val="18"/>
        </w:rPr>
        <w:t>Contee-Borders, A. K. (2002). A case study defining servant leadership i</w:t>
      </w:r>
      <w:r>
        <w:rPr>
          <w:rFonts w:ascii="Century" w:eastAsia="Century" w:hAnsi="Century" w:cs="Century"/>
          <w:sz w:val="18"/>
          <w:szCs w:val="18"/>
        </w:rPr>
        <w:t xml:space="preserve">n the workplace. Dissertation Abstracts International,63(10),3631A. (UMI No. 3069348) </w:t>
      </w:r>
    </w:p>
    <w:p w14:paraId="6915A11C" w14:textId="77777777" w:rsidR="00A97DC5" w:rsidRDefault="00FC534B">
      <w:pPr>
        <w:spacing w:before="120" w:after="0"/>
        <w:ind w:left="360"/>
        <w:jc w:val="both"/>
        <w:rPr>
          <w:rFonts w:ascii="Century" w:eastAsia="Century" w:hAnsi="Century" w:cs="Century"/>
          <w:sz w:val="18"/>
          <w:szCs w:val="18"/>
        </w:rPr>
      </w:pPr>
      <w:r>
        <w:rPr>
          <w:rFonts w:ascii="Century" w:eastAsia="Century" w:hAnsi="Century" w:cs="Century"/>
          <w:sz w:val="18"/>
          <w:szCs w:val="18"/>
        </w:rPr>
        <w:t>Covey, S. R. (2002). Servant-Leadership and community leadership in the twenty-first century. In L.C. Spears &amp; M. Lawrence (Eds.), Focus on leadership: Servant leadershi</w:t>
      </w:r>
      <w:r>
        <w:rPr>
          <w:rFonts w:ascii="Century" w:eastAsia="Century" w:hAnsi="Century" w:cs="Century"/>
          <w:sz w:val="18"/>
          <w:szCs w:val="18"/>
        </w:rPr>
        <w:t>p for the 21st century (pp. 27-33). New York: John Wiley &amp; Sons. (2002)</w:t>
      </w:r>
    </w:p>
    <w:p w14:paraId="7DD2AC13" w14:textId="77777777" w:rsidR="00A97DC5" w:rsidRDefault="00FC534B">
      <w:pPr>
        <w:spacing w:before="120" w:after="0"/>
        <w:ind w:left="360"/>
        <w:jc w:val="both"/>
        <w:rPr>
          <w:rFonts w:ascii="Century" w:eastAsia="Century" w:hAnsi="Century" w:cs="Century"/>
          <w:sz w:val="18"/>
          <w:szCs w:val="18"/>
        </w:rPr>
      </w:pPr>
      <w:r>
        <w:rPr>
          <w:rFonts w:ascii="Century" w:eastAsia="Century" w:hAnsi="Century" w:cs="Century"/>
          <w:sz w:val="18"/>
          <w:szCs w:val="18"/>
        </w:rPr>
        <w:t xml:space="preserve">Creswell, J. W. (2009). Research design: Qualitative, quantitative, and mixed methods </w:t>
      </w:r>
      <w:proofErr w:type="gramStart"/>
      <w:r>
        <w:rPr>
          <w:rFonts w:ascii="Century" w:eastAsia="Century" w:hAnsi="Century" w:cs="Century"/>
          <w:sz w:val="18"/>
          <w:szCs w:val="18"/>
        </w:rPr>
        <w:t>approaches</w:t>
      </w:r>
      <w:proofErr w:type="gramEnd"/>
      <w:r>
        <w:rPr>
          <w:rFonts w:ascii="Century" w:eastAsia="Century" w:hAnsi="Century" w:cs="Century"/>
          <w:sz w:val="18"/>
          <w:szCs w:val="18"/>
        </w:rPr>
        <w:t xml:space="preserve"> (3rd ed.). SAGE Publications.</w:t>
      </w:r>
    </w:p>
    <w:p w14:paraId="16204D3D" w14:textId="77777777" w:rsidR="00A97DC5" w:rsidRDefault="00FC534B">
      <w:pPr>
        <w:spacing w:before="120" w:after="0"/>
        <w:ind w:left="360"/>
        <w:jc w:val="both"/>
        <w:rPr>
          <w:rFonts w:ascii="Century" w:eastAsia="Century" w:hAnsi="Century" w:cs="Century"/>
          <w:sz w:val="18"/>
          <w:szCs w:val="18"/>
        </w:rPr>
      </w:pPr>
      <w:r>
        <w:rPr>
          <w:rFonts w:ascii="Century" w:eastAsia="Century" w:hAnsi="Century" w:cs="Century"/>
          <w:sz w:val="18"/>
          <w:szCs w:val="18"/>
        </w:rPr>
        <w:t>Crippen, C. (2010) Serve, Teach, and Lead: It's All about</w:t>
      </w:r>
      <w:r>
        <w:rPr>
          <w:rFonts w:ascii="Century" w:eastAsia="Century" w:hAnsi="Century" w:cs="Century"/>
          <w:sz w:val="18"/>
          <w:szCs w:val="18"/>
        </w:rPr>
        <w:t xml:space="preserve"> Relationships, </w:t>
      </w:r>
      <w:proofErr w:type="spellStart"/>
      <w:r>
        <w:rPr>
          <w:rFonts w:ascii="Century" w:eastAsia="Century" w:hAnsi="Century" w:cs="Century"/>
          <w:sz w:val="18"/>
          <w:szCs w:val="18"/>
        </w:rPr>
        <w:t>InSight</w:t>
      </w:r>
      <w:proofErr w:type="spellEnd"/>
      <w:r>
        <w:rPr>
          <w:rFonts w:ascii="Century" w:eastAsia="Century" w:hAnsi="Century" w:cs="Century"/>
          <w:sz w:val="18"/>
          <w:szCs w:val="18"/>
        </w:rPr>
        <w:t xml:space="preserve">: A Journal of Scholarly </w:t>
      </w:r>
      <w:proofErr w:type="spellStart"/>
      <w:proofErr w:type="gramStart"/>
      <w:r>
        <w:rPr>
          <w:rFonts w:ascii="Century" w:eastAsia="Century" w:hAnsi="Century" w:cs="Century"/>
          <w:sz w:val="18"/>
          <w:szCs w:val="18"/>
        </w:rPr>
        <w:t>Teaching,Volume</w:t>
      </w:r>
      <w:proofErr w:type="spellEnd"/>
      <w:proofErr w:type="gramEnd"/>
      <w:r>
        <w:rPr>
          <w:rFonts w:ascii="Century" w:eastAsia="Century" w:hAnsi="Century" w:cs="Century"/>
          <w:sz w:val="18"/>
          <w:szCs w:val="18"/>
        </w:rPr>
        <w:t xml:space="preserve"> 5, pp. 27-36</w:t>
      </w:r>
    </w:p>
    <w:p w14:paraId="703FEC35" w14:textId="77777777" w:rsidR="00A97DC5" w:rsidRDefault="00FC534B">
      <w:pPr>
        <w:spacing w:before="120" w:after="0"/>
        <w:ind w:left="360"/>
        <w:jc w:val="both"/>
        <w:rPr>
          <w:rFonts w:ascii="Century" w:eastAsia="Century" w:hAnsi="Century" w:cs="Century"/>
          <w:sz w:val="18"/>
          <w:szCs w:val="18"/>
        </w:rPr>
      </w:pPr>
      <w:r>
        <w:rPr>
          <w:rFonts w:ascii="Century" w:eastAsia="Century" w:hAnsi="Century" w:cs="Century"/>
          <w:sz w:val="18"/>
          <w:szCs w:val="18"/>
        </w:rPr>
        <w:t xml:space="preserve">Darrick, W. (2020). Servant leadership, teacher satisfaction, and performance. [Unpublished doctoral dissertation]. </w:t>
      </w:r>
    </w:p>
    <w:p w14:paraId="5F559F4B" w14:textId="77777777" w:rsidR="00A97DC5" w:rsidRDefault="00FC534B">
      <w:pPr>
        <w:spacing w:before="120" w:after="0"/>
        <w:ind w:left="360"/>
        <w:jc w:val="both"/>
        <w:rPr>
          <w:rFonts w:ascii="Century" w:eastAsia="Century" w:hAnsi="Century" w:cs="Century"/>
          <w:sz w:val="18"/>
          <w:szCs w:val="18"/>
        </w:rPr>
      </w:pPr>
      <w:r>
        <w:rPr>
          <w:rFonts w:ascii="Century" w:eastAsia="Century" w:hAnsi="Century" w:cs="Century"/>
          <w:sz w:val="18"/>
          <w:szCs w:val="18"/>
        </w:rPr>
        <w:t xml:space="preserve">Eva, N., Robin, M., </w:t>
      </w:r>
      <w:proofErr w:type="spellStart"/>
      <w:r>
        <w:rPr>
          <w:rFonts w:ascii="Century" w:eastAsia="Century" w:hAnsi="Century" w:cs="Century"/>
          <w:sz w:val="18"/>
          <w:szCs w:val="18"/>
        </w:rPr>
        <w:t>Sendjaya</w:t>
      </w:r>
      <w:proofErr w:type="spellEnd"/>
      <w:r>
        <w:rPr>
          <w:rFonts w:ascii="Century" w:eastAsia="Century" w:hAnsi="Century" w:cs="Century"/>
          <w:sz w:val="18"/>
          <w:szCs w:val="18"/>
        </w:rPr>
        <w:t xml:space="preserve">, S., van </w:t>
      </w:r>
      <w:proofErr w:type="spellStart"/>
      <w:r>
        <w:rPr>
          <w:rFonts w:ascii="Century" w:eastAsia="Century" w:hAnsi="Century" w:cs="Century"/>
          <w:sz w:val="18"/>
          <w:szCs w:val="18"/>
        </w:rPr>
        <w:t>Dierendonck</w:t>
      </w:r>
      <w:proofErr w:type="spellEnd"/>
      <w:r>
        <w:rPr>
          <w:rFonts w:ascii="Century" w:eastAsia="Century" w:hAnsi="Century" w:cs="Century"/>
          <w:sz w:val="18"/>
          <w:szCs w:val="18"/>
        </w:rPr>
        <w:t>, D., &amp; Liden, R. C. (2019). Servant leadership: A systematic review and call for future r</w:t>
      </w:r>
      <w:r>
        <w:rPr>
          <w:rFonts w:ascii="Century" w:eastAsia="Century" w:hAnsi="Century" w:cs="Century"/>
          <w:sz w:val="18"/>
          <w:szCs w:val="18"/>
        </w:rPr>
        <w:t>esearch. The Leadership Quarterly, 30(1), 111–132. https://doi.org/10.1016/j.leaqua.2018.07.004</w:t>
      </w:r>
    </w:p>
    <w:p w14:paraId="72CCEBC4" w14:textId="77777777" w:rsidR="00A97DC5" w:rsidRDefault="00FC534B">
      <w:pPr>
        <w:spacing w:before="120" w:after="0"/>
        <w:ind w:left="360"/>
        <w:jc w:val="both"/>
        <w:rPr>
          <w:rFonts w:ascii="Century" w:eastAsia="Century" w:hAnsi="Century" w:cs="Century"/>
          <w:sz w:val="18"/>
          <w:szCs w:val="18"/>
        </w:rPr>
      </w:pPr>
      <w:r>
        <w:rPr>
          <w:rFonts w:ascii="Century" w:eastAsia="Century" w:hAnsi="Century" w:cs="Century"/>
          <w:sz w:val="18"/>
          <w:szCs w:val="18"/>
        </w:rPr>
        <w:t>Girard, S. H. (2000). Servant Leadership qualities exhibited by Illinois public school district superintendents. Dissertation Abstracts International,61 (05), 1</w:t>
      </w:r>
      <w:r>
        <w:rPr>
          <w:rFonts w:ascii="Century" w:eastAsia="Century" w:hAnsi="Century" w:cs="Century"/>
          <w:sz w:val="18"/>
          <w:szCs w:val="18"/>
        </w:rPr>
        <w:t xml:space="preserve">690A. (UMI No. 9973347) </w:t>
      </w:r>
    </w:p>
    <w:p w14:paraId="3A7DB125" w14:textId="77777777" w:rsidR="00A97DC5" w:rsidRDefault="00FC534B">
      <w:pPr>
        <w:spacing w:before="120" w:after="0"/>
        <w:ind w:left="360"/>
        <w:jc w:val="both"/>
        <w:rPr>
          <w:rFonts w:ascii="Century" w:eastAsia="Century" w:hAnsi="Century" w:cs="Century"/>
          <w:sz w:val="18"/>
          <w:szCs w:val="18"/>
        </w:rPr>
      </w:pPr>
      <w:r>
        <w:rPr>
          <w:rFonts w:ascii="Century" w:eastAsia="Century" w:hAnsi="Century" w:cs="Century"/>
          <w:sz w:val="18"/>
          <w:szCs w:val="18"/>
        </w:rPr>
        <w:lastRenderedPageBreak/>
        <w:t>Greenleaf, R. K. (1977). The servant as leader. The Greenleaf Center for Servant Leadership.</w:t>
      </w:r>
    </w:p>
    <w:p w14:paraId="0301A47F" w14:textId="77777777" w:rsidR="00A97DC5" w:rsidRDefault="00FC534B">
      <w:pPr>
        <w:spacing w:before="120" w:after="0"/>
        <w:ind w:left="360"/>
        <w:jc w:val="both"/>
        <w:rPr>
          <w:rFonts w:ascii="Century" w:eastAsia="Century" w:hAnsi="Century" w:cs="Century"/>
          <w:sz w:val="18"/>
          <w:szCs w:val="18"/>
        </w:rPr>
      </w:pPr>
      <w:r>
        <w:rPr>
          <w:rFonts w:ascii="Century" w:eastAsia="Century" w:hAnsi="Century" w:cs="Century"/>
          <w:sz w:val="18"/>
          <w:szCs w:val="18"/>
        </w:rPr>
        <w:t xml:space="preserve">Hersey, P., Blanchard, K. H., &amp; </w:t>
      </w:r>
      <w:proofErr w:type="spellStart"/>
      <w:r>
        <w:rPr>
          <w:rFonts w:ascii="Century" w:eastAsia="Century" w:hAnsi="Century" w:cs="Century"/>
          <w:sz w:val="18"/>
          <w:szCs w:val="18"/>
        </w:rPr>
        <w:t>Natemeyer</w:t>
      </w:r>
      <w:proofErr w:type="spellEnd"/>
      <w:r>
        <w:rPr>
          <w:rFonts w:ascii="Century" w:eastAsia="Century" w:hAnsi="Century" w:cs="Century"/>
          <w:sz w:val="18"/>
          <w:szCs w:val="18"/>
        </w:rPr>
        <w:t>, W. E. (2001). Situational leadership and power. In J. W. Newstrom &amp; K. Davis (Eds.), Classics o</w:t>
      </w:r>
      <w:r>
        <w:rPr>
          <w:rFonts w:ascii="Century" w:eastAsia="Century" w:hAnsi="Century" w:cs="Century"/>
          <w:sz w:val="18"/>
          <w:szCs w:val="18"/>
        </w:rPr>
        <w:t>f organizational behavior (4th ed., p. 321). Waveland Press.</w:t>
      </w:r>
    </w:p>
    <w:p w14:paraId="71105D9F" w14:textId="77777777" w:rsidR="00A97DC5" w:rsidRDefault="00FC534B">
      <w:pPr>
        <w:spacing w:before="120" w:after="0"/>
        <w:ind w:left="360"/>
        <w:jc w:val="both"/>
        <w:rPr>
          <w:rFonts w:ascii="Century" w:eastAsia="Century" w:hAnsi="Century" w:cs="Century"/>
          <w:sz w:val="18"/>
          <w:szCs w:val="18"/>
        </w:rPr>
      </w:pPr>
      <w:r>
        <w:rPr>
          <w:rFonts w:ascii="Century" w:eastAsia="Century" w:hAnsi="Century" w:cs="Century"/>
          <w:sz w:val="18"/>
          <w:szCs w:val="18"/>
        </w:rPr>
        <w:t>Humphrey, R. H. (2014). Effective leadership: Theory, cases, and applications. SAGE. https://doi.org/10.4135/9781544308524</w:t>
      </w:r>
    </w:p>
    <w:p w14:paraId="1BE49387" w14:textId="77777777" w:rsidR="00A97DC5" w:rsidRDefault="00FC534B">
      <w:pPr>
        <w:spacing w:before="120" w:after="0"/>
        <w:ind w:left="360"/>
        <w:jc w:val="both"/>
        <w:rPr>
          <w:rFonts w:ascii="Century" w:eastAsia="Century" w:hAnsi="Century" w:cs="Century"/>
          <w:sz w:val="18"/>
          <w:szCs w:val="18"/>
        </w:rPr>
      </w:pPr>
      <w:r>
        <w:rPr>
          <w:rFonts w:ascii="Century" w:eastAsia="Century" w:hAnsi="Century" w:cs="Century"/>
          <w:sz w:val="18"/>
          <w:szCs w:val="18"/>
        </w:rPr>
        <w:t>Jennings, D. B. (2002). Those who would lead must first serve: The praxi</w:t>
      </w:r>
      <w:r>
        <w:rPr>
          <w:rFonts w:ascii="Century" w:eastAsia="Century" w:hAnsi="Century" w:cs="Century"/>
          <w:sz w:val="18"/>
          <w:szCs w:val="18"/>
        </w:rPr>
        <w:t xml:space="preserve">s of servant leadership by public school principals. Dissertation Abstracts International, 63 (04) 1207A. (UMI No. 3049171) </w:t>
      </w:r>
    </w:p>
    <w:p w14:paraId="2AFC68B4" w14:textId="77777777" w:rsidR="00A97DC5" w:rsidRDefault="00FC534B">
      <w:pPr>
        <w:spacing w:before="120" w:after="0"/>
        <w:ind w:left="360"/>
        <w:jc w:val="both"/>
        <w:rPr>
          <w:rFonts w:ascii="Century" w:eastAsia="Century" w:hAnsi="Century" w:cs="Century"/>
          <w:sz w:val="18"/>
          <w:szCs w:val="18"/>
        </w:rPr>
      </w:pPr>
      <w:r>
        <w:rPr>
          <w:rFonts w:ascii="Century" w:eastAsia="Century" w:hAnsi="Century" w:cs="Century"/>
          <w:sz w:val="18"/>
          <w:szCs w:val="18"/>
        </w:rPr>
        <w:t>Lubin, K. A. (2001). Visionary leader behaviors and their congruency with servant leader characteristics. Dissertation Abstracts In</w:t>
      </w:r>
      <w:r>
        <w:rPr>
          <w:rFonts w:ascii="Century" w:eastAsia="Century" w:hAnsi="Century" w:cs="Century"/>
          <w:sz w:val="18"/>
          <w:szCs w:val="18"/>
        </w:rPr>
        <w:t xml:space="preserve">ternational,62 (02),449A (UMI No. 3042390) </w:t>
      </w:r>
    </w:p>
    <w:p w14:paraId="30497FE2" w14:textId="77777777" w:rsidR="00A97DC5" w:rsidRDefault="00FC534B">
      <w:pPr>
        <w:spacing w:before="120" w:after="0"/>
        <w:ind w:left="360"/>
        <w:jc w:val="both"/>
        <w:rPr>
          <w:rFonts w:ascii="Century" w:eastAsia="Century" w:hAnsi="Century" w:cs="Century"/>
          <w:sz w:val="18"/>
          <w:szCs w:val="18"/>
        </w:rPr>
      </w:pPr>
      <w:r>
        <w:rPr>
          <w:rFonts w:ascii="Century" w:eastAsia="Century" w:hAnsi="Century" w:cs="Century"/>
          <w:sz w:val="18"/>
          <w:szCs w:val="18"/>
        </w:rPr>
        <w:t xml:space="preserve">Page, D., &amp; Wong, T. P. (2000). A conceptual framework for measuring servant leadership. In S. </w:t>
      </w:r>
      <w:proofErr w:type="spellStart"/>
      <w:r>
        <w:rPr>
          <w:rFonts w:ascii="Century" w:eastAsia="Century" w:hAnsi="Century" w:cs="Century"/>
          <w:sz w:val="18"/>
          <w:szCs w:val="18"/>
        </w:rPr>
        <w:t>Adjibolosoo</w:t>
      </w:r>
      <w:proofErr w:type="spellEnd"/>
      <w:r>
        <w:rPr>
          <w:rFonts w:ascii="Century" w:eastAsia="Century" w:hAnsi="Century" w:cs="Century"/>
          <w:sz w:val="18"/>
          <w:szCs w:val="18"/>
        </w:rPr>
        <w:t xml:space="preserve"> (Ed.), The human factor in shaping the course of history and development (pp. 69–110). University Press o</w:t>
      </w:r>
      <w:r>
        <w:rPr>
          <w:rFonts w:ascii="Century" w:eastAsia="Century" w:hAnsi="Century" w:cs="Century"/>
          <w:sz w:val="18"/>
          <w:szCs w:val="18"/>
        </w:rPr>
        <w:t>f America.</w:t>
      </w:r>
    </w:p>
    <w:p w14:paraId="0EBBC750" w14:textId="77777777" w:rsidR="00A97DC5" w:rsidRDefault="00FC534B">
      <w:pPr>
        <w:spacing w:before="120" w:after="0"/>
        <w:ind w:left="360"/>
        <w:jc w:val="both"/>
        <w:rPr>
          <w:rFonts w:ascii="Century" w:eastAsia="Century" w:hAnsi="Century" w:cs="Century"/>
          <w:sz w:val="18"/>
          <w:szCs w:val="18"/>
        </w:rPr>
      </w:pPr>
      <w:r>
        <w:rPr>
          <w:rFonts w:ascii="Century" w:eastAsia="Century" w:hAnsi="Century" w:cs="Century"/>
          <w:sz w:val="18"/>
          <w:szCs w:val="18"/>
        </w:rPr>
        <w:t>Patterson, K. A. (2003). Servant leadership: A theoretical model (Doctoral dissertation, Regent University). ProQuest Dissertations Publishing.</w:t>
      </w:r>
    </w:p>
    <w:p w14:paraId="54DA031B" w14:textId="77777777" w:rsidR="00A97DC5" w:rsidRDefault="00FC534B">
      <w:pPr>
        <w:spacing w:before="120" w:after="0"/>
        <w:ind w:left="360"/>
        <w:jc w:val="both"/>
        <w:rPr>
          <w:rFonts w:ascii="Century" w:eastAsia="Century" w:hAnsi="Century" w:cs="Century"/>
          <w:sz w:val="18"/>
          <w:szCs w:val="18"/>
        </w:rPr>
      </w:pPr>
      <w:proofErr w:type="spellStart"/>
      <w:r>
        <w:rPr>
          <w:rFonts w:ascii="Century" w:eastAsia="Century" w:hAnsi="Century" w:cs="Century"/>
          <w:sz w:val="18"/>
          <w:szCs w:val="18"/>
        </w:rPr>
        <w:t>Sergiovanni</w:t>
      </w:r>
      <w:proofErr w:type="spellEnd"/>
      <w:r>
        <w:rPr>
          <w:rFonts w:ascii="Century" w:eastAsia="Century" w:hAnsi="Century" w:cs="Century"/>
          <w:sz w:val="18"/>
          <w:szCs w:val="18"/>
        </w:rPr>
        <w:t xml:space="preserve">, T. (1992). Moral leadership. San Francisco: Josey-Bass, 68-72,125-139. </w:t>
      </w:r>
    </w:p>
    <w:p w14:paraId="4AB601BE" w14:textId="77777777" w:rsidR="00A97DC5" w:rsidRDefault="00FC534B">
      <w:pPr>
        <w:spacing w:before="120" w:after="0"/>
        <w:ind w:left="360"/>
        <w:jc w:val="both"/>
        <w:rPr>
          <w:rFonts w:ascii="Century" w:eastAsia="Century" w:hAnsi="Century" w:cs="Century"/>
          <w:sz w:val="18"/>
          <w:szCs w:val="18"/>
        </w:rPr>
      </w:pPr>
      <w:proofErr w:type="spellStart"/>
      <w:r>
        <w:rPr>
          <w:rFonts w:ascii="Century" w:eastAsia="Century" w:hAnsi="Century" w:cs="Century"/>
          <w:sz w:val="18"/>
          <w:szCs w:val="18"/>
        </w:rPr>
        <w:t>Sirisilla</w:t>
      </w:r>
      <w:proofErr w:type="spellEnd"/>
      <w:r>
        <w:rPr>
          <w:rFonts w:ascii="Century" w:eastAsia="Century" w:hAnsi="Century" w:cs="Century"/>
          <w:sz w:val="18"/>
          <w:szCs w:val="18"/>
        </w:rPr>
        <w:t>, V. (2</w:t>
      </w:r>
      <w:r>
        <w:rPr>
          <w:rFonts w:ascii="Century" w:eastAsia="Century" w:hAnsi="Century" w:cs="Century"/>
          <w:sz w:val="18"/>
          <w:szCs w:val="18"/>
        </w:rPr>
        <w:t>023). Leadership practices and school outcomes in public institutions. [Unpublished manuscript or dissertation].</w:t>
      </w:r>
    </w:p>
    <w:p w14:paraId="436DB52F" w14:textId="77777777" w:rsidR="00A97DC5" w:rsidRDefault="00FC534B">
      <w:pPr>
        <w:spacing w:before="120" w:after="0"/>
        <w:ind w:left="360"/>
        <w:jc w:val="both"/>
        <w:rPr>
          <w:rFonts w:ascii="Century" w:eastAsia="Century" w:hAnsi="Century" w:cs="Century"/>
          <w:sz w:val="18"/>
          <w:szCs w:val="18"/>
        </w:rPr>
      </w:pPr>
      <w:r>
        <w:rPr>
          <w:rFonts w:ascii="Century" w:eastAsia="Century" w:hAnsi="Century" w:cs="Century"/>
          <w:sz w:val="18"/>
          <w:szCs w:val="18"/>
        </w:rPr>
        <w:t>Spears, L. C. (Ed.). (2004). Reflections on leadership: How Robert K. Greenleaf's theory of servant leadership influenced today's top managemen</w:t>
      </w:r>
      <w:r>
        <w:rPr>
          <w:rFonts w:ascii="Century" w:eastAsia="Century" w:hAnsi="Century" w:cs="Century"/>
          <w:sz w:val="18"/>
          <w:szCs w:val="18"/>
        </w:rPr>
        <w:t>t thinkers. John Wiley &amp; Sons.</w:t>
      </w:r>
    </w:p>
    <w:p w14:paraId="62CC99C6" w14:textId="77777777" w:rsidR="00A97DC5" w:rsidRDefault="00FC534B">
      <w:pPr>
        <w:spacing w:before="120" w:after="0"/>
        <w:ind w:left="360"/>
        <w:jc w:val="both"/>
        <w:rPr>
          <w:rFonts w:ascii="Century" w:eastAsia="Century" w:hAnsi="Century" w:cs="Century"/>
          <w:sz w:val="18"/>
          <w:szCs w:val="18"/>
        </w:rPr>
      </w:pPr>
      <w:r>
        <w:rPr>
          <w:rFonts w:ascii="Century" w:eastAsia="Century" w:hAnsi="Century" w:cs="Century"/>
          <w:sz w:val="18"/>
          <w:szCs w:val="18"/>
        </w:rPr>
        <w:t xml:space="preserve">Walker, L. A. (2003). Phenomenological profiles of selected Illinois public school superintendents as servant leaders. Dissertation Abstracts International, 64(12),4308A. (UMI No. 3114457). </w:t>
      </w:r>
    </w:p>
    <w:p w14:paraId="5E3428A1" w14:textId="77777777" w:rsidR="00A97DC5" w:rsidRDefault="00FC534B">
      <w:pPr>
        <w:spacing w:before="120" w:after="0"/>
        <w:ind w:left="360"/>
        <w:jc w:val="both"/>
        <w:rPr>
          <w:rFonts w:ascii="Century" w:eastAsia="Century" w:hAnsi="Century" w:cs="Century"/>
          <w:sz w:val="18"/>
          <w:szCs w:val="18"/>
        </w:rPr>
      </w:pPr>
      <w:r>
        <w:rPr>
          <w:rFonts w:ascii="Century" w:eastAsia="Century" w:hAnsi="Century" w:cs="Century"/>
          <w:sz w:val="18"/>
          <w:szCs w:val="18"/>
        </w:rPr>
        <w:t>Wheatly, M. (2002). The servant le</w:t>
      </w:r>
      <w:r>
        <w:rPr>
          <w:rFonts w:ascii="Century" w:eastAsia="Century" w:hAnsi="Century" w:cs="Century"/>
          <w:sz w:val="18"/>
          <w:szCs w:val="18"/>
        </w:rPr>
        <w:t xml:space="preserve">ader-from hero to host. Voices o Servant Leadership Series, Booklet 7. Indianapolis: The Greenleaf Center for Servant Leadership. </w:t>
      </w:r>
    </w:p>
    <w:p w14:paraId="12079151" w14:textId="77777777" w:rsidR="00A97DC5" w:rsidRDefault="00FC534B">
      <w:pPr>
        <w:spacing w:before="120" w:after="0"/>
        <w:ind w:left="360"/>
        <w:jc w:val="both"/>
        <w:rPr>
          <w:rFonts w:ascii="Century" w:eastAsia="Century" w:hAnsi="Century" w:cs="Century"/>
          <w:sz w:val="18"/>
          <w:szCs w:val="18"/>
        </w:rPr>
      </w:pPr>
      <w:r>
        <w:rPr>
          <w:rFonts w:ascii="Century" w:eastAsia="Century" w:hAnsi="Century" w:cs="Century"/>
          <w:sz w:val="18"/>
          <w:szCs w:val="18"/>
        </w:rPr>
        <w:t>Wheaton, C. E. (1999). Servant leadership and the public-school superintendents. Dissertation Abstracts International,60(05),</w:t>
      </w:r>
      <w:r>
        <w:rPr>
          <w:rFonts w:ascii="Century" w:eastAsia="Century" w:hAnsi="Century" w:cs="Century"/>
          <w:sz w:val="18"/>
          <w:szCs w:val="18"/>
        </w:rPr>
        <w:t xml:space="preserve"> 1418A (UMI No. 9931545) WWW. jdsupra.com/legal news/servant- leadership-during-a-time-of-48761/, accessed 3 June 2021</w:t>
      </w:r>
    </w:p>
    <w:p w14:paraId="475E8852" w14:textId="77777777" w:rsidR="00A97DC5" w:rsidRDefault="00A97DC5">
      <w:pPr>
        <w:spacing w:before="120" w:after="0" w:line="240" w:lineRule="auto"/>
        <w:ind w:left="360" w:hanging="360"/>
        <w:jc w:val="both"/>
        <w:rPr>
          <w:rFonts w:ascii="Century" w:eastAsia="Century" w:hAnsi="Century" w:cs="Century"/>
          <w:sz w:val="16"/>
          <w:szCs w:val="16"/>
        </w:rPr>
      </w:pPr>
    </w:p>
    <w:sectPr w:rsidR="00A97DC5">
      <w:type w:val="continuous"/>
      <w:pgSz w:w="12240" w:h="15840"/>
      <w:pgMar w:top="1440" w:right="1440" w:bottom="1440" w:left="1440" w:header="0" w:footer="720" w:gutter="0"/>
      <w:cols w:num="2" w:space="720" w:equalWidth="0">
        <w:col w:w="4320" w:space="720"/>
        <w:col w:w="4320" w:space="0"/>
      </w:cols>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Kana Safrina Rouzi" w:date="2025-07-03T08:50:00Z" w:initials="KSR">
    <w:p w14:paraId="00457AE7" w14:textId="452C1097" w:rsidR="000D3CEB" w:rsidRDefault="000D3CEB">
      <w:pPr>
        <w:pStyle w:val="CommentText"/>
      </w:pPr>
      <w:r>
        <w:rPr>
          <w:rStyle w:val="CommentReference"/>
        </w:rPr>
        <w:annotationRef/>
      </w:r>
      <w:r w:rsidRPr="000D3CEB">
        <w:t>Which city, should be stated</w:t>
      </w:r>
      <w:r>
        <w:t>.</w:t>
      </w:r>
    </w:p>
    <w:p w14:paraId="46854599" w14:textId="6B5277F8" w:rsidR="00EB73EB" w:rsidRDefault="005E61ED">
      <w:pPr>
        <w:pStyle w:val="CommentText"/>
      </w:pPr>
      <w:r w:rsidRPr="005E61ED">
        <w:t>The abstract omits important details, such as the location of the study (Northern Samar, Philippines) and the sample size (the number of principals and teachers involved). Including these details would enhance the clarity of the research and allow readers to better understand its scope.</w:t>
      </w:r>
    </w:p>
    <w:p w14:paraId="03FFC984" w14:textId="06E285A4" w:rsidR="000D3CEB" w:rsidRDefault="000D3CEB">
      <w:pPr>
        <w:pStyle w:val="CommentText"/>
      </w:pPr>
    </w:p>
    <w:p w14:paraId="3B2D94A5" w14:textId="2B0801C9" w:rsidR="000D3CEB" w:rsidRDefault="000D3CEB">
      <w:pPr>
        <w:pStyle w:val="CommentText"/>
      </w:pPr>
      <w:r w:rsidRPr="000D3CEB">
        <w:t>To explicitly reflect the research's main focus, methodology, and geographical context, one might consider a title like this:</w:t>
      </w:r>
    </w:p>
    <w:p w14:paraId="6D3945D2" w14:textId="77777777" w:rsidR="000D3CEB" w:rsidRDefault="000D3CEB">
      <w:pPr>
        <w:pStyle w:val="CommentText"/>
      </w:pPr>
    </w:p>
    <w:p w14:paraId="07A3BA5F" w14:textId="01932A3F" w:rsidR="000D3CEB" w:rsidRDefault="000D3CEB">
      <w:pPr>
        <w:pStyle w:val="CommentText"/>
      </w:pPr>
      <w:r>
        <w:t>“</w:t>
      </w:r>
      <w:r>
        <w:t>The Interplay Between Leadership Attributes and Servant Practices: A Study of Public and Private High School Principals in Northern Samar</w:t>
      </w:r>
      <w:r>
        <w:t>”.</w:t>
      </w:r>
    </w:p>
    <w:p w14:paraId="021FEEB0" w14:textId="04889AB5" w:rsidR="000D3CEB" w:rsidRDefault="000D3CEB">
      <w:pPr>
        <w:pStyle w:val="CommentText"/>
      </w:pPr>
    </w:p>
  </w:comment>
  <w:comment w:id="1" w:author="Kana Safrina Rouzi" w:date="2025-07-03T08:53:00Z" w:initials="KSR">
    <w:p w14:paraId="5D1FE642" w14:textId="278472D6" w:rsidR="000D3CEB" w:rsidRDefault="000D3CEB">
      <w:pPr>
        <w:pStyle w:val="CommentText"/>
      </w:pPr>
      <w:r>
        <w:rPr>
          <w:rStyle w:val="CommentReference"/>
        </w:rPr>
        <w:annotationRef/>
      </w:r>
      <w:r w:rsidRPr="000D3CEB">
        <w:t>Before revealing the objectives, first explain the research gap or urgency of this research.</w:t>
      </w:r>
      <w:r w:rsidR="005E61ED">
        <w:t xml:space="preserve"> It </w:t>
      </w:r>
      <w:proofErr w:type="gramStart"/>
      <w:r w:rsidR="005E61ED">
        <w:t xml:space="preserve">should </w:t>
      </w:r>
      <w:r w:rsidR="005E61ED" w:rsidRPr="005E61ED">
        <w:t xml:space="preserve"> mention</w:t>
      </w:r>
      <w:proofErr w:type="gramEnd"/>
      <w:r w:rsidR="005E61ED" w:rsidRPr="005E61ED">
        <w:t xml:space="preserve"> the gap that this study addresses or how it contributes new knowledge beyond merely confirming existing servant leadership theory. Stating its novelty in a Philippine or Southeast Asian context would strengthen its impact.</w:t>
      </w:r>
    </w:p>
  </w:comment>
  <w:comment w:id="2" w:author="Kana Safrina Rouzi" w:date="2025-07-03T09:21:00Z" w:initials="KSR">
    <w:p w14:paraId="6AFD55AD" w14:textId="14EA6A81" w:rsidR="005E61ED" w:rsidRDefault="005E61ED">
      <w:pPr>
        <w:pStyle w:val="CommentText"/>
      </w:pPr>
      <w:r>
        <w:rPr>
          <w:rStyle w:val="CommentReference"/>
        </w:rPr>
        <w:annotationRef/>
      </w:r>
      <w:r w:rsidRPr="005E61ED">
        <w:t xml:space="preserve">The list of all six leadership </w:t>
      </w:r>
      <w:proofErr w:type="gramStart"/>
      <w:r w:rsidRPr="005E61ED">
        <w:t>practices  and</w:t>
      </w:r>
      <w:proofErr w:type="gramEnd"/>
      <w:r w:rsidRPr="005E61ED">
        <w:t xml:space="preserve"> four orientations could be condensed. This level of detail may overwhelm readers and is better suited for the main body of the text.</w:t>
      </w:r>
    </w:p>
  </w:comment>
  <w:comment w:id="3" w:author="Kana Safrina Rouzi" w:date="2025-07-03T09:41:00Z" w:initials="KSR">
    <w:p w14:paraId="1BA995BA" w14:textId="77777777" w:rsidR="006B2D31" w:rsidRDefault="006B2D31" w:rsidP="006B2D31">
      <w:pPr>
        <w:pStyle w:val="CommentText"/>
      </w:pPr>
      <w:r>
        <w:rPr>
          <w:rStyle w:val="CommentReference"/>
        </w:rPr>
        <w:annotationRef/>
      </w:r>
    </w:p>
    <w:p w14:paraId="53E1B492" w14:textId="77777777" w:rsidR="006B2D31" w:rsidRDefault="006B2D31" w:rsidP="006B2D31">
      <w:pPr>
        <w:pStyle w:val="CommentText"/>
      </w:pPr>
      <w:r>
        <w:t>1.</w:t>
      </w:r>
      <w:r>
        <w:tab/>
        <w:t>How many principals are the subjects?</w:t>
      </w:r>
    </w:p>
    <w:p w14:paraId="14D92121" w14:textId="77777777" w:rsidR="006B2D31" w:rsidRDefault="006B2D31" w:rsidP="006B2D31">
      <w:pPr>
        <w:pStyle w:val="CommentText"/>
      </w:pPr>
      <w:r>
        <w:t>2.</w:t>
      </w:r>
      <w:r>
        <w:tab/>
        <w:t>What instrument was used?</w:t>
      </w:r>
    </w:p>
    <w:p w14:paraId="68D8AB87" w14:textId="77777777" w:rsidR="006B2D31" w:rsidRDefault="006B2D31" w:rsidP="006B2D31">
      <w:pPr>
        <w:pStyle w:val="CommentText"/>
      </w:pPr>
      <w:r>
        <w:t>3.</w:t>
      </w:r>
      <w:r>
        <w:tab/>
        <w:t>What variables were used in this study?</w:t>
      </w:r>
    </w:p>
    <w:p w14:paraId="464BF6B8" w14:textId="5B395141" w:rsidR="006B2D31" w:rsidRDefault="006B2D31" w:rsidP="006B2D31">
      <w:pPr>
        <w:pStyle w:val="CommentText"/>
      </w:pPr>
      <w:r>
        <w:t>4.</w:t>
      </w:r>
      <w:r>
        <w:tab/>
        <w:t>What analysis technique was used?</w:t>
      </w:r>
    </w:p>
  </w:comment>
  <w:comment w:id="4" w:author="Kana Safrina Rouzi" w:date="2025-07-03T09:25:00Z" w:initials="KSR">
    <w:p w14:paraId="1F364CE4" w14:textId="77FF9E19" w:rsidR="005E61ED" w:rsidRDefault="005E61ED">
      <w:pPr>
        <w:pStyle w:val="CommentText"/>
      </w:pPr>
      <w:r>
        <w:rPr>
          <w:rStyle w:val="CommentReference"/>
        </w:rPr>
        <w:annotationRef/>
      </w:r>
      <w:r w:rsidRPr="005E61ED">
        <w:t xml:space="preserve">The introduction presents a strong rationale and theoretical foundation for the study, establishing its relevance and timeliness. However, the text would benefit from restructuring to be more concise, to have a stronger empirical focus, and to have an improved academic tone. Minor to moderate revisions </w:t>
      </w:r>
      <w:proofErr w:type="gramStart"/>
      <w:r w:rsidRPr="005E61ED">
        <w:t>are</w:t>
      </w:r>
      <w:proofErr w:type="gramEnd"/>
      <w:r w:rsidRPr="005E61ED">
        <w:t xml:space="preserve"> recommended to improve clarity and scholarly presentation.</w:t>
      </w:r>
    </w:p>
  </w:comment>
  <w:comment w:id="5" w:author="Kana Safrina Rouzi" w:date="2025-07-03T09:37:00Z" w:initials="KSR">
    <w:p w14:paraId="67BEBBDC" w14:textId="29AE5FF7" w:rsidR="006B2D31" w:rsidRDefault="006B2D31">
      <w:pPr>
        <w:pStyle w:val="CommentText"/>
      </w:pPr>
      <w:r>
        <w:rPr>
          <w:rStyle w:val="CommentReference"/>
        </w:rPr>
        <w:annotationRef/>
      </w:r>
      <w:r w:rsidRPr="006B2D31">
        <w:t>Some sentences are lengthy, narrative in tone, or repetitive, which can reduce clarity and conciseness.</w:t>
      </w:r>
    </w:p>
  </w:comment>
  <w:comment w:id="6" w:author="Kana Safrina Rouzi" w:date="2025-07-03T09:43:00Z" w:initials="KSR">
    <w:p w14:paraId="40EF0414" w14:textId="2F67FD88" w:rsidR="006B2D31" w:rsidRDefault="006B2D31">
      <w:pPr>
        <w:pStyle w:val="CommentText"/>
      </w:pPr>
      <w:r>
        <w:rPr>
          <w:rStyle w:val="CommentReference"/>
        </w:rPr>
        <w:annotationRef/>
      </w:r>
      <w:r w:rsidRPr="006B2D31">
        <w:t>The description of the research objectives should be contained within one paragraph.</w:t>
      </w:r>
    </w:p>
  </w:comment>
  <w:comment w:id="7" w:author="Kana Safrina Rouzi" w:date="2025-07-03T09:45:00Z" w:initials="KSR">
    <w:p w14:paraId="43761795" w14:textId="2BD50B2F" w:rsidR="006B2D31" w:rsidRDefault="006B2D31">
      <w:pPr>
        <w:pStyle w:val="CommentText"/>
      </w:pPr>
      <w:r>
        <w:rPr>
          <w:rStyle w:val="CommentReference"/>
        </w:rPr>
        <w:annotationRef/>
      </w:r>
      <w:r w:rsidRPr="006B2D31">
        <w:t>The methodology is well-structured and appropriate for the study objectives. However, it requires minor to moderate revisions, particularly regarding the reporting of instrument reliability and teacher sample size, as well as more concise formatting to improve readability.</w:t>
      </w:r>
    </w:p>
  </w:comment>
  <w:comment w:id="8" w:author="Kana Safrina Rouzi" w:date="2025-07-03T09:48:00Z" w:initials="KSR">
    <w:p w14:paraId="3588C8D9" w14:textId="5B8DEAA6" w:rsidR="00CD038D" w:rsidRDefault="00CD038D">
      <w:pPr>
        <w:pStyle w:val="CommentText"/>
      </w:pPr>
      <w:r>
        <w:rPr>
          <w:rStyle w:val="CommentReference"/>
        </w:rPr>
        <w:annotationRef/>
      </w:r>
    </w:p>
  </w:comment>
  <w:comment w:id="9" w:author="Kana Safrina Rouzi" w:date="2025-07-03T09:48:00Z" w:initials="KSR">
    <w:p w14:paraId="2E78A11E" w14:textId="77777777" w:rsidR="00CD038D" w:rsidRPr="00CD038D" w:rsidRDefault="00CD038D" w:rsidP="00CD038D">
      <w:pPr>
        <w:pStyle w:val="NormalWeb"/>
      </w:pPr>
      <w:r>
        <w:rPr>
          <w:rStyle w:val="CommentReference"/>
        </w:rPr>
        <w:annotationRef/>
      </w:r>
      <w:r w:rsidRPr="00CD038D">
        <w:t>The discussion becomes descriptive rather than analytical when author viewpoints are listed instead of integrated to interrogate the findings.</w:t>
      </w:r>
    </w:p>
    <w:p w14:paraId="59E53B21" w14:textId="77777777" w:rsidR="00CD038D" w:rsidRPr="00CD038D" w:rsidRDefault="00CD038D">
      <w:pPr>
        <w:pStyle w:val="CommentText"/>
        <w:rPr>
          <w:rFonts w:ascii="Times New Roman" w:hAnsi="Times New Roman" w:cs="Times New Roman"/>
        </w:rPr>
      </w:pPr>
    </w:p>
    <w:p w14:paraId="6E6FB686" w14:textId="0C28DC61" w:rsidR="00CD038D" w:rsidRPr="00CD038D" w:rsidRDefault="00CD038D">
      <w:pPr>
        <w:pStyle w:val="CommentText"/>
        <w:rPr>
          <w:rFonts w:ascii="Times New Roman" w:hAnsi="Times New Roman" w:cs="Times New Roman"/>
        </w:rPr>
      </w:pPr>
      <w:r w:rsidRPr="00CD038D">
        <w:rPr>
          <w:rFonts w:ascii="Times New Roman" w:hAnsi="Times New Roman" w:cs="Times New Roman"/>
        </w:rPr>
        <w:t>Break up long paragraphs into smaller, focused discussions (e.g., one per leadership dimension).</w:t>
      </w:r>
    </w:p>
  </w:comment>
  <w:comment w:id="10" w:author="Kana Safrina Rouzi" w:date="2025-07-03T09:54:00Z" w:initials="KSR">
    <w:p w14:paraId="7709674F" w14:textId="77777777" w:rsidR="00CD038D" w:rsidRDefault="00CD038D" w:rsidP="00CD038D">
      <w:pPr>
        <w:pStyle w:val="CommentText"/>
        <w:numPr>
          <w:ilvl w:val="0"/>
          <w:numId w:val="1"/>
        </w:numPr>
      </w:pPr>
      <w:r>
        <w:rPr>
          <w:rStyle w:val="CommentReference"/>
        </w:rPr>
        <w:annotationRef/>
      </w:r>
      <w:r>
        <w:t>The conclusion offers a clear and useful summary of the findings but could be improved with moderate revisions.</w:t>
      </w:r>
    </w:p>
    <w:p w14:paraId="3ECD4067" w14:textId="77777777" w:rsidR="00CD038D" w:rsidRDefault="00CD038D" w:rsidP="00CD038D">
      <w:pPr>
        <w:pStyle w:val="CommentText"/>
      </w:pPr>
    </w:p>
    <w:p w14:paraId="632C8F40" w14:textId="77777777" w:rsidR="00CD038D" w:rsidRDefault="00CD038D" w:rsidP="00CD038D">
      <w:pPr>
        <w:pStyle w:val="CommentText"/>
        <w:numPr>
          <w:ilvl w:val="0"/>
          <w:numId w:val="1"/>
        </w:numPr>
      </w:pPr>
      <w:r>
        <w:t>Include limitations and scope boundaries.</w:t>
      </w:r>
    </w:p>
    <w:p w14:paraId="3F80704D" w14:textId="77777777" w:rsidR="00CD038D" w:rsidRDefault="00CD038D" w:rsidP="00CD038D">
      <w:pPr>
        <w:pStyle w:val="CommentText"/>
      </w:pPr>
    </w:p>
    <w:p w14:paraId="3D6122F3" w14:textId="68781C0C" w:rsidR="00CD038D" w:rsidRDefault="00CD038D" w:rsidP="00CD038D">
      <w:pPr>
        <w:pStyle w:val="CommentText"/>
        <w:numPr>
          <w:ilvl w:val="0"/>
          <w:numId w:val="1"/>
        </w:numPr>
      </w:pPr>
      <w:r>
        <w:t>offer directions for future research;</w:t>
      </w:r>
    </w:p>
    <w:p w14:paraId="52868A1C" w14:textId="77777777" w:rsidR="00CD038D" w:rsidRDefault="00CD038D" w:rsidP="00CD038D">
      <w:pPr>
        <w:pStyle w:val="CommentText"/>
      </w:pPr>
    </w:p>
    <w:p w14:paraId="436EE416" w14:textId="0E6D391B" w:rsidR="00CD038D" w:rsidRDefault="00CD038D" w:rsidP="00CD038D">
      <w:pPr>
        <w:pStyle w:val="CommentText"/>
        <w:numPr>
          <w:ilvl w:val="0"/>
          <w:numId w:val="1"/>
        </w:numPr>
      </w:pPr>
      <w:r>
        <w:t>It should also avoid redundant phrasing.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21FEEB0" w15:done="0"/>
  <w15:commentEx w15:paraId="5D1FE642" w15:done="0"/>
  <w15:commentEx w15:paraId="6AFD55AD" w15:done="0"/>
  <w15:commentEx w15:paraId="464BF6B8" w15:done="0"/>
  <w15:commentEx w15:paraId="1F364CE4" w15:done="0"/>
  <w15:commentEx w15:paraId="67BEBBDC" w15:done="0"/>
  <w15:commentEx w15:paraId="40EF0414" w15:done="0"/>
  <w15:commentEx w15:paraId="43761795" w15:done="0"/>
  <w15:commentEx w15:paraId="3588C8D9" w15:done="0"/>
  <w15:commentEx w15:paraId="6E6FB686" w15:done="0"/>
  <w15:commentEx w15:paraId="436EE41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10C2CD" w16cex:dateUtc="2025-07-03T01:50:00Z"/>
  <w16cex:commentExtensible w16cex:durableId="2C10C3A7" w16cex:dateUtc="2025-07-03T01:53:00Z"/>
  <w16cex:commentExtensible w16cex:durableId="2C10CA2E" w16cex:dateUtc="2025-07-03T02:21:00Z"/>
  <w16cex:commentExtensible w16cex:durableId="2C10CEE3" w16cex:dateUtc="2025-07-03T02:41:00Z"/>
  <w16cex:commentExtensible w16cex:durableId="2C10CB14" w16cex:dateUtc="2025-07-03T02:25:00Z"/>
  <w16cex:commentExtensible w16cex:durableId="2C10CDE4" w16cex:dateUtc="2025-07-03T02:37:00Z"/>
  <w16cex:commentExtensible w16cex:durableId="2C10CF28" w16cex:dateUtc="2025-07-03T02:43:00Z"/>
  <w16cex:commentExtensible w16cex:durableId="2C10CFC1" w16cex:dateUtc="2025-07-03T02:45:00Z"/>
  <w16cex:commentExtensible w16cex:durableId="2C10D067" w16cex:dateUtc="2025-07-03T02:48:00Z"/>
  <w16cex:commentExtensible w16cex:durableId="2C10D07F" w16cex:dateUtc="2025-07-03T02:48:00Z"/>
  <w16cex:commentExtensible w16cex:durableId="2C10D1DC" w16cex:dateUtc="2025-07-03T02: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21FEEB0" w16cid:durableId="2C10C2CD"/>
  <w16cid:commentId w16cid:paraId="5D1FE642" w16cid:durableId="2C10C3A7"/>
  <w16cid:commentId w16cid:paraId="6AFD55AD" w16cid:durableId="2C10CA2E"/>
  <w16cid:commentId w16cid:paraId="464BF6B8" w16cid:durableId="2C10CEE3"/>
  <w16cid:commentId w16cid:paraId="1F364CE4" w16cid:durableId="2C10CB14"/>
  <w16cid:commentId w16cid:paraId="67BEBBDC" w16cid:durableId="2C10CDE4"/>
  <w16cid:commentId w16cid:paraId="40EF0414" w16cid:durableId="2C10CF28"/>
  <w16cid:commentId w16cid:paraId="43761795" w16cid:durableId="2C10CFC1"/>
  <w16cid:commentId w16cid:paraId="3588C8D9" w16cid:durableId="2C10D067"/>
  <w16cid:commentId w16cid:paraId="6E6FB686" w16cid:durableId="2C10D07F"/>
  <w16cid:commentId w16cid:paraId="436EE416" w16cid:durableId="2C10D1D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BD8E1C" w14:textId="77777777" w:rsidR="00FC534B" w:rsidRDefault="00FC534B">
      <w:pPr>
        <w:spacing w:after="0" w:line="240" w:lineRule="auto"/>
      </w:pPr>
      <w:r>
        <w:separator/>
      </w:r>
    </w:p>
  </w:endnote>
  <w:endnote w:type="continuationSeparator" w:id="0">
    <w:p w14:paraId="66EDA78E" w14:textId="77777777" w:rsidR="00FC534B" w:rsidRDefault="00FC53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B1475" w14:textId="77777777" w:rsidR="00A97DC5" w:rsidRDefault="00FC534B">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365C8959" w14:textId="77777777" w:rsidR="00A97DC5" w:rsidRDefault="00A97DC5">
    <w:pPr>
      <w:pBdr>
        <w:top w:val="nil"/>
        <w:left w:val="nil"/>
        <w:bottom w:val="nil"/>
        <w:right w:val="nil"/>
        <w:between w:val="nil"/>
      </w:pBdr>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80C49" w14:textId="77777777" w:rsidR="00A97DC5" w:rsidRDefault="00FC534B">
    <w:pPr>
      <w:pBdr>
        <w:top w:val="nil"/>
        <w:left w:val="nil"/>
        <w:bottom w:val="nil"/>
        <w:right w:val="nil"/>
        <w:between w:val="nil"/>
      </w:pBdr>
      <w:tabs>
        <w:tab w:val="center" w:pos="4680"/>
        <w:tab w:val="right" w:pos="9360"/>
      </w:tabs>
      <w:spacing w:after="0" w:line="240" w:lineRule="auto"/>
      <w:jc w:val="center"/>
      <w:rPr>
        <w:rFonts w:ascii="Century" w:eastAsia="Century" w:hAnsi="Century" w:cs="Century"/>
        <w:color w:val="000000"/>
        <w:sz w:val="18"/>
        <w:szCs w:val="18"/>
      </w:rPr>
    </w:pPr>
    <w:r>
      <w:rPr>
        <w:rFonts w:ascii="Century" w:eastAsia="Century" w:hAnsi="Century" w:cs="Century"/>
        <w:color w:val="000000"/>
        <w:sz w:val="18"/>
        <w:szCs w:val="18"/>
      </w:rPr>
      <w:fldChar w:fldCharType="begin"/>
    </w:r>
    <w:r>
      <w:rPr>
        <w:rFonts w:ascii="Century" w:eastAsia="Century" w:hAnsi="Century" w:cs="Century"/>
        <w:color w:val="000000"/>
        <w:sz w:val="18"/>
        <w:szCs w:val="18"/>
      </w:rPr>
      <w:instrText>PAGE</w:instrText>
    </w:r>
    <w:r>
      <w:rPr>
        <w:rFonts w:ascii="Century" w:eastAsia="Century" w:hAnsi="Century" w:cs="Century"/>
        <w:color w:val="000000"/>
        <w:sz w:val="18"/>
        <w:szCs w:val="18"/>
      </w:rPr>
      <w:fldChar w:fldCharType="separate"/>
    </w:r>
    <w:r w:rsidR="001E07DC">
      <w:rPr>
        <w:rFonts w:ascii="Century" w:eastAsia="Century" w:hAnsi="Century" w:cs="Century"/>
        <w:noProof/>
        <w:color w:val="000000"/>
        <w:sz w:val="18"/>
        <w:szCs w:val="18"/>
      </w:rPr>
      <w:t>1</w:t>
    </w:r>
    <w:r>
      <w:rPr>
        <w:rFonts w:ascii="Century" w:eastAsia="Century" w:hAnsi="Century" w:cs="Century"/>
        <w:color w:val="000000"/>
        <w:sz w:val="18"/>
        <w:szCs w:val="18"/>
      </w:rPr>
      <w:fldChar w:fldCharType="end"/>
    </w:r>
  </w:p>
  <w:p w14:paraId="061BFCDA" w14:textId="77777777" w:rsidR="00A97DC5" w:rsidRDefault="00A97DC5">
    <w:pPr>
      <w:pBdr>
        <w:top w:val="nil"/>
        <w:left w:val="nil"/>
        <w:bottom w:val="nil"/>
        <w:right w:val="nil"/>
        <w:between w:val="nil"/>
      </w:pBdr>
      <w:spacing w:after="0" w:line="240" w:lineRule="auto"/>
      <w:jc w:val="center"/>
      <w:rPr>
        <w:rFonts w:ascii="Century" w:eastAsia="Century" w:hAnsi="Century" w:cs="Century"/>
        <w:color w:val="000000"/>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F7141" w14:textId="77777777" w:rsidR="00A97DC5" w:rsidRDefault="00A97DC5">
    <w:pPr>
      <w:pBdr>
        <w:top w:val="nil"/>
        <w:left w:val="nil"/>
        <w:bottom w:val="nil"/>
        <w:right w:val="nil"/>
        <w:between w:val="nil"/>
      </w:pBdr>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B1C7E" w14:textId="77777777" w:rsidR="00FC534B" w:rsidRDefault="00FC534B">
      <w:pPr>
        <w:spacing w:after="0" w:line="240" w:lineRule="auto"/>
      </w:pPr>
      <w:r>
        <w:separator/>
      </w:r>
    </w:p>
  </w:footnote>
  <w:footnote w:type="continuationSeparator" w:id="0">
    <w:p w14:paraId="51CE6B14" w14:textId="77777777" w:rsidR="00FC534B" w:rsidRDefault="00FC53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DED19" w14:textId="69D20326" w:rsidR="00A97DC5" w:rsidRDefault="00FC534B">
    <w:pPr>
      <w:pBdr>
        <w:top w:val="nil"/>
        <w:left w:val="nil"/>
        <w:bottom w:val="nil"/>
        <w:right w:val="nil"/>
        <w:between w:val="nil"/>
      </w:pBdr>
      <w:spacing w:after="0" w:line="240" w:lineRule="auto"/>
      <w:rPr>
        <w:color w:val="000000"/>
      </w:rPr>
    </w:pPr>
    <w:r>
      <w:rPr>
        <w:noProof/>
      </w:rPr>
      <w:pict w14:anchorId="2B474F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2508610"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D3E46" w14:textId="59E91094" w:rsidR="00A97DC5" w:rsidRDefault="00FC534B">
    <w:pPr>
      <w:pBdr>
        <w:top w:val="nil"/>
        <w:left w:val="nil"/>
        <w:bottom w:val="nil"/>
        <w:right w:val="nil"/>
        <w:between w:val="nil"/>
      </w:pBdr>
      <w:spacing w:after="0" w:line="240" w:lineRule="auto"/>
      <w:ind w:left="-1350"/>
      <w:rPr>
        <w:color w:val="000000"/>
      </w:rPr>
    </w:pPr>
    <w:r>
      <w:rPr>
        <w:noProof/>
      </w:rPr>
      <w:pict w14:anchorId="2F869A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2508611" o:spid="_x0000_s2051" type="#_x0000_t136" style="position:absolute;left:0;text-align:left;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r w:rsidR="00BE25DD">
      <w:rPr>
        <w:rFonts w:ascii="Times New Roman" w:eastAsia="Times New Roman" w:hAnsi="Times New Roman" w:cs="Times New Roman"/>
        <w:color w:val="000000"/>
        <w:sz w:val="2"/>
        <w:szCs w:val="2"/>
        <w:highlight w:val="black"/>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36FAF" w14:textId="5DF0DB38" w:rsidR="00A97DC5" w:rsidRDefault="00FC534B">
    <w:pPr>
      <w:pBdr>
        <w:top w:val="nil"/>
        <w:left w:val="nil"/>
        <w:bottom w:val="nil"/>
        <w:right w:val="nil"/>
        <w:between w:val="nil"/>
      </w:pBdr>
      <w:spacing w:after="0" w:line="240" w:lineRule="auto"/>
      <w:rPr>
        <w:color w:val="000000"/>
      </w:rPr>
    </w:pPr>
    <w:r>
      <w:rPr>
        <w:noProof/>
      </w:rPr>
      <w:pict w14:anchorId="011D59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2508609"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C2582"/>
    <w:multiLevelType w:val="hybridMultilevel"/>
    <w:tmpl w:val="6A0001F8"/>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na Safrina Rouzi">
    <w15:presenceInfo w15:providerId="Windows Live" w15:userId="713389ca61340f2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DC5"/>
    <w:rsid w:val="000D3CEB"/>
    <w:rsid w:val="001E07DC"/>
    <w:rsid w:val="005E61ED"/>
    <w:rsid w:val="00602F2F"/>
    <w:rsid w:val="00693AD6"/>
    <w:rsid w:val="006B2D31"/>
    <w:rsid w:val="009A7A83"/>
    <w:rsid w:val="009F3320"/>
    <w:rsid w:val="00A97DC5"/>
    <w:rsid w:val="00AC15AC"/>
    <w:rsid w:val="00BA14E4"/>
    <w:rsid w:val="00BB426C"/>
    <w:rsid w:val="00BE25DD"/>
    <w:rsid w:val="00CD038D"/>
    <w:rsid w:val="00EB73EB"/>
    <w:rsid w:val="00F43F05"/>
    <w:rsid w:val="00FC53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F757B32"/>
  <w15:docId w15:val="{1B9DFFF2-5BA1-4D0F-B618-265766B96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PH"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100" w:type="dxa"/>
        <w:left w:w="100" w:type="dxa"/>
        <w:bottom w:w="100" w:type="dxa"/>
        <w:right w:w="100"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 w:type="table" w:customStyle="1" w:styleId="a1">
    <w:basedOn w:val="TableNormal0"/>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1E07DC"/>
    <w:rPr>
      <w:color w:val="0000FF" w:themeColor="hyperlink"/>
      <w:u w:val="single"/>
    </w:rPr>
  </w:style>
  <w:style w:type="character" w:styleId="UnresolvedMention">
    <w:name w:val="Unresolved Mention"/>
    <w:basedOn w:val="DefaultParagraphFont"/>
    <w:uiPriority w:val="99"/>
    <w:semiHidden/>
    <w:unhideWhenUsed/>
    <w:rsid w:val="001E07DC"/>
    <w:rPr>
      <w:color w:val="605E5C"/>
      <w:shd w:val="clear" w:color="auto" w:fill="E1DFDD"/>
    </w:rPr>
  </w:style>
  <w:style w:type="character" w:styleId="CommentReference">
    <w:name w:val="annotation reference"/>
    <w:basedOn w:val="DefaultParagraphFont"/>
    <w:uiPriority w:val="99"/>
    <w:semiHidden/>
    <w:unhideWhenUsed/>
    <w:rsid w:val="000D3CEB"/>
    <w:rPr>
      <w:sz w:val="16"/>
      <w:szCs w:val="16"/>
    </w:rPr>
  </w:style>
  <w:style w:type="paragraph" w:styleId="CommentText">
    <w:name w:val="annotation text"/>
    <w:basedOn w:val="Normal"/>
    <w:link w:val="CommentTextChar"/>
    <w:uiPriority w:val="99"/>
    <w:semiHidden/>
    <w:unhideWhenUsed/>
    <w:rsid w:val="000D3CEB"/>
    <w:pPr>
      <w:spacing w:line="240" w:lineRule="auto"/>
    </w:pPr>
    <w:rPr>
      <w:sz w:val="20"/>
      <w:szCs w:val="20"/>
    </w:rPr>
  </w:style>
  <w:style w:type="character" w:customStyle="1" w:styleId="CommentTextChar">
    <w:name w:val="Comment Text Char"/>
    <w:basedOn w:val="DefaultParagraphFont"/>
    <w:link w:val="CommentText"/>
    <w:uiPriority w:val="99"/>
    <w:semiHidden/>
    <w:rsid w:val="000D3CEB"/>
    <w:rPr>
      <w:sz w:val="20"/>
      <w:szCs w:val="20"/>
    </w:rPr>
  </w:style>
  <w:style w:type="paragraph" w:styleId="CommentSubject">
    <w:name w:val="annotation subject"/>
    <w:basedOn w:val="CommentText"/>
    <w:next w:val="CommentText"/>
    <w:link w:val="CommentSubjectChar"/>
    <w:uiPriority w:val="99"/>
    <w:semiHidden/>
    <w:unhideWhenUsed/>
    <w:rsid w:val="000D3CEB"/>
    <w:rPr>
      <w:b/>
      <w:bCs/>
    </w:rPr>
  </w:style>
  <w:style w:type="character" w:customStyle="1" w:styleId="CommentSubjectChar">
    <w:name w:val="Comment Subject Char"/>
    <w:basedOn w:val="CommentTextChar"/>
    <w:link w:val="CommentSubject"/>
    <w:uiPriority w:val="99"/>
    <w:semiHidden/>
    <w:rsid w:val="000D3CEB"/>
    <w:rPr>
      <w:b/>
      <w:bCs/>
      <w:sz w:val="20"/>
      <w:szCs w:val="20"/>
    </w:rPr>
  </w:style>
  <w:style w:type="paragraph" w:styleId="NormalWeb">
    <w:name w:val="Normal (Web)"/>
    <w:basedOn w:val="Normal"/>
    <w:uiPriority w:val="99"/>
    <w:semiHidden/>
    <w:unhideWhenUsed/>
    <w:rsid w:val="00CD038D"/>
    <w:pPr>
      <w:spacing w:before="100" w:beforeAutospacing="1" w:after="100" w:afterAutospacing="1" w:line="240" w:lineRule="auto"/>
    </w:pPr>
    <w:rPr>
      <w:rFonts w:ascii="Times New Roman" w:eastAsia="Times New Roman" w:hAnsi="Times New Roman" w:cs="Times New Roman"/>
      <w:sz w:val="24"/>
      <w:szCs w:val="24"/>
      <w:lang w:val="en-ID" w:eastAsia="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474971">
      <w:bodyDiv w:val="1"/>
      <w:marLeft w:val="0"/>
      <w:marRight w:val="0"/>
      <w:marTop w:val="0"/>
      <w:marBottom w:val="0"/>
      <w:divBdr>
        <w:top w:val="none" w:sz="0" w:space="0" w:color="auto"/>
        <w:left w:val="none" w:sz="0" w:space="0" w:color="auto"/>
        <w:bottom w:val="none" w:sz="0" w:space="0" w:color="auto"/>
        <w:right w:val="none" w:sz="0" w:space="0" w:color="auto"/>
      </w:divBdr>
    </w:div>
    <w:div w:id="529223102">
      <w:bodyDiv w:val="1"/>
      <w:marLeft w:val="0"/>
      <w:marRight w:val="0"/>
      <w:marTop w:val="0"/>
      <w:marBottom w:val="0"/>
      <w:divBdr>
        <w:top w:val="none" w:sz="0" w:space="0" w:color="auto"/>
        <w:left w:val="none" w:sz="0" w:space="0" w:color="auto"/>
        <w:bottom w:val="none" w:sz="0" w:space="0" w:color="auto"/>
        <w:right w:val="none" w:sz="0" w:space="0" w:color="auto"/>
      </w:divBdr>
    </w:div>
    <w:div w:id="12503112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microsoft.com/office/2018/08/relationships/commentsExtensible" Target="commentsExtensible.xml"/><Relationship Id="rId19" Type="http://schemas.openxmlformats.org/officeDocument/2006/relationships/theme" Target="theme/theme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12</Pages>
  <Words>7021</Words>
  <Characters>40024</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Kana Safrina Rouzi</cp:lastModifiedBy>
  <cp:revision>8</cp:revision>
  <dcterms:created xsi:type="dcterms:W3CDTF">2025-07-01T06:27:00Z</dcterms:created>
  <dcterms:modified xsi:type="dcterms:W3CDTF">2025-07-03T02:55:00Z</dcterms:modified>
</cp:coreProperties>
</file>