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7078E" w:rsidTr="002643B3">
        <w:trPr>
          <w:trHeight w:val="290"/>
        </w:trPr>
        <w:tc>
          <w:tcPr>
            <w:tcW w:w="5000" w:type="pct"/>
            <w:gridSpan w:val="2"/>
            <w:tcBorders>
              <w:top w:val="nil"/>
              <w:left w:val="nil"/>
              <w:right w:val="nil"/>
            </w:tcBorders>
          </w:tcPr>
          <w:p w:rsidR="00602F7D" w:rsidRPr="0007078E" w:rsidRDefault="00602F7D" w:rsidP="00F2643C">
            <w:pPr>
              <w:pStyle w:val="Heading2"/>
              <w:jc w:val="left"/>
              <w:rPr>
                <w:rFonts w:ascii="Arial" w:hAnsi="Arial" w:cs="Arial"/>
                <w:b w:val="0"/>
                <w:bCs w:val="0"/>
                <w:lang w:val="en-GB"/>
              </w:rPr>
            </w:pPr>
          </w:p>
        </w:tc>
      </w:tr>
      <w:tr w:rsidR="0000007A" w:rsidRPr="0007078E" w:rsidTr="002643B3">
        <w:trPr>
          <w:trHeight w:val="290"/>
        </w:trPr>
        <w:tc>
          <w:tcPr>
            <w:tcW w:w="1234" w:type="pct"/>
          </w:tcPr>
          <w:p w:rsidR="0000007A" w:rsidRPr="0007078E" w:rsidRDefault="0000007A" w:rsidP="00696CAD">
            <w:pPr>
              <w:pStyle w:val="BodyText"/>
              <w:ind w:left="90"/>
              <w:jc w:val="left"/>
              <w:rPr>
                <w:rFonts w:ascii="Arial" w:hAnsi="Arial" w:cs="Arial"/>
                <w:bCs/>
                <w:sz w:val="20"/>
                <w:szCs w:val="20"/>
                <w:lang w:val="en-GB"/>
              </w:rPr>
            </w:pPr>
            <w:r w:rsidRPr="0007078E">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07078E" w:rsidRDefault="003B2059" w:rsidP="00E65EB7">
            <w:pPr>
              <w:rPr>
                <w:rFonts w:ascii="Arial" w:hAnsi="Arial" w:cs="Arial"/>
                <w:b/>
                <w:bCs/>
                <w:color w:val="0000FF"/>
                <w:sz w:val="20"/>
                <w:szCs w:val="20"/>
              </w:rPr>
            </w:pPr>
            <w:hyperlink r:id="rId8" w:history="1">
              <w:r w:rsidR="002E2438" w:rsidRPr="0007078E">
                <w:rPr>
                  <w:rStyle w:val="Hyperlink"/>
                  <w:rFonts w:ascii="Arial" w:hAnsi="Arial" w:cs="Arial"/>
                  <w:b/>
                  <w:bCs/>
                  <w:sz w:val="20"/>
                  <w:szCs w:val="20"/>
                </w:rPr>
                <w:t>Asian Journal of Economics, Business and Accounting</w:t>
              </w:r>
            </w:hyperlink>
          </w:p>
        </w:tc>
      </w:tr>
      <w:tr w:rsidR="0000007A" w:rsidRPr="0007078E" w:rsidTr="002643B3">
        <w:trPr>
          <w:trHeight w:val="290"/>
        </w:trPr>
        <w:tc>
          <w:tcPr>
            <w:tcW w:w="1234" w:type="pct"/>
          </w:tcPr>
          <w:p w:rsidR="0000007A" w:rsidRPr="0007078E" w:rsidRDefault="0000007A" w:rsidP="00696CAD">
            <w:pPr>
              <w:pStyle w:val="BodyText"/>
              <w:ind w:left="90"/>
              <w:jc w:val="left"/>
              <w:rPr>
                <w:rFonts w:ascii="Arial" w:hAnsi="Arial" w:cs="Arial"/>
                <w:bCs/>
                <w:sz w:val="20"/>
                <w:szCs w:val="20"/>
                <w:lang w:val="en-GB"/>
              </w:rPr>
            </w:pPr>
            <w:r w:rsidRPr="0007078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07078E" w:rsidRDefault="00BE0608" w:rsidP="00F3669D">
            <w:pPr>
              <w:pStyle w:val="NormalWeb"/>
              <w:spacing w:before="0" w:beforeAutospacing="0" w:after="0" w:afterAutospacing="0"/>
              <w:rPr>
                <w:rFonts w:ascii="Arial" w:hAnsi="Arial" w:cs="Arial"/>
                <w:b/>
                <w:bCs/>
                <w:sz w:val="20"/>
                <w:szCs w:val="20"/>
                <w:lang w:val="en-GB"/>
              </w:rPr>
            </w:pPr>
            <w:r w:rsidRPr="0007078E">
              <w:rPr>
                <w:rFonts w:ascii="Arial" w:hAnsi="Arial" w:cs="Arial"/>
                <w:b/>
                <w:bCs/>
                <w:sz w:val="20"/>
                <w:szCs w:val="20"/>
                <w:lang w:val="en-GB"/>
              </w:rPr>
              <w:t>Ms_AJEBA_142836</w:t>
            </w:r>
          </w:p>
        </w:tc>
      </w:tr>
      <w:tr w:rsidR="0000007A" w:rsidRPr="0007078E" w:rsidTr="002643B3">
        <w:trPr>
          <w:trHeight w:val="650"/>
        </w:trPr>
        <w:tc>
          <w:tcPr>
            <w:tcW w:w="1234" w:type="pct"/>
          </w:tcPr>
          <w:p w:rsidR="0000007A" w:rsidRPr="0007078E" w:rsidRDefault="0000007A" w:rsidP="00696CAD">
            <w:pPr>
              <w:pStyle w:val="BodyText"/>
              <w:ind w:left="90"/>
              <w:jc w:val="left"/>
              <w:rPr>
                <w:rFonts w:ascii="Arial" w:hAnsi="Arial" w:cs="Arial"/>
                <w:bCs/>
                <w:sz w:val="20"/>
                <w:szCs w:val="20"/>
                <w:lang w:val="en-GB"/>
              </w:rPr>
            </w:pPr>
            <w:r w:rsidRPr="0007078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07078E" w:rsidRDefault="00BE0608" w:rsidP="000450FC">
            <w:pPr>
              <w:pStyle w:val="NormalWeb"/>
              <w:spacing w:before="0" w:beforeAutospacing="0" w:after="0" w:afterAutospacing="0"/>
              <w:rPr>
                <w:rFonts w:ascii="Arial" w:hAnsi="Arial" w:cs="Arial"/>
                <w:b/>
                <w:sz w:val="20"/>
                <w:szCs w:val="20"/>
                <w:lang w:val="en-GB"/>
              </w:rPr>
            </w:pPr>
            <w:r w:rsidRPr="0007078E">
              <w:rPr>
                <w:rFonts w:ascii="Arial" w:hAnsi="Arial" w:cs="Arial"/>
                <w:b/>
                <w:sz w:val="20"/>
                <w:szCs w:val="20"/>
                <w:lang w:val="en-GB"/>
              </w:rPr>
              <w:t>DE-DOLLARISATION FROM A HISTORICAL PERSPECTIVE: BRICS PLANS, TARIFF THREATS, AND NEW CURRENCY MULTIPOLARITY</w:t>
            </w:r>
          </w:p>
        </w:tc>
      </w:tr>
      <w:tr w:rsidR="00CF0BBB" w:rsidRPr="0007078E" w:rsidTr="002643B3">
        <w:trPr>
          <w:trHeight w:val="332"/>
        </w:trPr>
        <w:tc>
          <w:tcPr>
            <w:tcW w:w="1234" w:type="pct"/>
          </w:tcPr>
          <w:p w:rsidR="00CF0BBB" w:rsidRPr="0007078E" w:rsidRDefault="00CF0BBB" w:rsidP="00696CAD">
            <w:pPr>
              <w:pStyle w:val="BodyText"/>
              <w:ind w:left="90"/>
              <w:jc w:val="left"/>
              <w:rPr>
                <w:rFonts w:ascii="Arial" w:hAnsi="Arial" w:cs="Arial"/>
                <w:bCs/>
                <w:sz w:val="20"/>
                <w:szCs w:val="20"/>
                <w:lang w:val="en-GB"/>
              </w:rPr>
            </w:pPr>
            <w:r w:rsidRPr="0007078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07078E" w:rsidRDefault="00CF0BBB" w:rsidP="000450FC">
            <w:pPr>
              <w:pStyle w:val="NormalWeb"/>
              <w:spacing w:before="0" w:beforeAutospacing="0" w:after="0" w:afterAutospacing="0"/>
              <w:rPr>
                <w:rFonts w:ascii="Arial" w:hAnsi="Arial" w:cs="Arial"/>
                <w:b/>
                <w:sz w:val="20"/>
                <w:szCs w:val="20"/>
                <w:lang w:val="en-GB"/>
              </w:rPr>
            </w:pPr>
          </w:p>
        </w:tc>
      </w:tr>
    </w:tbl>
    <w:p w:rsidR="00037D52" w:rsidRPr="0007078E" w:rsidRDefault="00037D52" w:rsidP="0000007A">
      <w:pPr>
        <w:pStyle w:val="BodyText"/>
        <w:rPr>
          <w:rFonts w:ascii="Arial" w:hAnsi="Arial" w:cs="Arial"/>
          <w:b/>
          <w:bCs/>
          <w:sz w:val="20"/>
          <w:szCs w:val="20"/>
          <w:u w:val="single"/>
          <w:lang w:val="en-GB"/>
        </w:rPr>
      </w:pPr>
    </w:p>
    <w:p w:rsidR="00605952" w:rsidRPr="0007078E" w:rsidRDefault="00605952" w:rsidP="0000007A">
      <w:pPr>
        <w:pStyle w:val="BodyText"/>
        <w:rPr>
          <w:rFonts w:ascii="Arial" w:hAnsi="Arial" w:cs="Arial"/>
          <w:b/>
          <w:bCs/>
          <w:sz w:val="20"/>
          <w:szCs w:val="20"/>
          <w:u w:val="single"/>
          <w:lang w:val="en-GB"/>
        </w:rPr>
      </w:pPr>
    </w:p>
    <w:p w:rsidR="00E82DF5" w:rsidRPr="0007078E" w:rsidRDefault="00E82DF5" w:rsidP="00E82DF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E82DF5" w:rsidRPr="0007078E">
        <w:tc>
          <w:tcPr>
            <w:tcW w:w="5000" w:type="pct"/>
            <w:gridSpan w:val="3"/>
            <w:tcBorders>
              <w:top w:val="nil"/>
              <w:left w:val="nil"/>
              <w:right w:val="nil"/>
            </w:tcBorders>
            <w:noWrap/>
          </w:tcPr>
          <w:p w:rsidR="00E82DF5" w:rsidRPr="0007078E" w:rsidRDefault="00E82DF5">
            <w:pPr>
              <w:pStyle w:val="Heading2"/>
              <w:jc w:val="left"/>
              <w:rPr>
                <w:rFonts w:ascii="Arial" w:hAnsi="Arial" w:cs="Arial"/>
                <w:lang w:val="en-GB"/>
              </w:rPr>
            </w:pPr>
            <w:r w:rsidRPr="0007078E">
              <w:rPr>
                <w:rFonts w:ascii="Arial" w:hAnsi="Arial" w:cs="Arial"/>
                <w:highlight w:val="yellow"/>
                <w:lang w:val="en-GB"/>
              </w:rPr>
              <w:t>PART  1:</w:t>
            </w:r>
            <w:r w:rsidRPr="0007078E">
              <w:rPr>
                <w:rFonts w:ascii="Arial" w:hAnsi="Arial" w:cs="Arial"/>
                <w:lang w:val="en-GB"/>
              </w:rPr>
              <w:t xml:space="preserve"> Comments</w:t>
            </w:r>
          </w:p>
          <w:p w:rsidR="00E82DF5" w:rsidRPr="0007078E" w:rsidRDefault="00E82DF5">
            <w:pPr>
              <w:rPr>
                <w:rFonts w:ascii="Arial" w:hAnsi="Arial" w:cs="Arial"/>
                <w:sz w:val="20"/>
                <w:szCs w:val="20"/>
                <w:lang w:val="en-GB"/>
              </w:rPr>
            </w:pPr>
          </w:p>
        </w:tc>
      </w:tr>
      <w:tr w:rsidR="00E82DF5" w:rsidRPr="0007078E">
        <w:tc>
          <w:tcPr>
            <w:tcW w:w="1265" w:type="pct"/>
            <w:noWrap/>
          </w:tcPr>
          <w:p w:rsidR="00E82DF5" w:rsidRPr="0007078E" w:rsidRDefault="00E82DF5">
            <w:pPr>
              <w:pStyle w:val="Heading2"/>
              <w:jc w:val="left"/>
              <w:rPr>
                <w:rFonts w:ascii="Arial" w:hAnsi="Arial" w:cs="Arial"/>
                <w:lang w:val="en-GB"/>
              </w:rPr>
            </w:pPr>
          </w:p>
        </w:tc>
        <w:tc>
          <w:tcPr>
            <w:tcW w:w="2212" w:type="pct"/>
          </w:tcPr>
          <w:p w:rsidR="00E82DF5" w:rsidRPr="0007078E" w:rsidRDefault="00E82DF5">
            <w:pPr>
              <w:pStyle w:val="Heading2"/>
              <w:jc w:val="left"/>
              <w:rPr>
                <w:rFonts w:ascii="Arial" w:hAnsi="Arial" w:cs="Arial"/>
                <w:lang w:val="en-GB"/>
              </w:rPr>
            </w:pPr>
            <w:r w:rsidRPr="0007078E">
              <w:rPr>
                <w:rFonts w:ascii="Arial" w:hAnsi="Arial" w:cs="Arial"/>
                <w:lang w:val="en-GB"/>
              </w:rPr>
              <w:t>Reviewer’s comment</w:t>
            </w:r>
          </w:p>
          <w:p w:rsidR="00EF54EA" w:rsidRPr="0007078E" w:rsidRDefault="00EF54EA" w:rsidP="00EF54EA">
            <w:pPr>
              <w:rPr>
                <w:rFonts w:ascii="Arial" w:hAnsi="Arial" w:cs="Arial"/>
                <w:b/>
                <w:bCs/>
                <w:sz w:val="20"/>
                <w:szCs w:val="20"/>
              </w:rPr>
            </w:pPr>
            <w:r w:rsidRPr="0007078E">
              <w:rPr>
                <w:rFonts w:ascii="Arial" w:hAnsi="Arial" w:cs="Arial"/>
                <w:b/>
                <w:bCs/>
                <w:sz w:val="20"/>
                <w:szCs w:val="20"/>
                <w:highlight w:val="yellow"/>
              </w:rPr>
              <w:t>Artificial Intelligence (AI) generated or assisted review comments are strictly prohibited during peer review.</w:t>
            </w:r>
          </w:p>
          <w:p w:rsidR="00EF54EA" w:rsidRPr="0007078E" w:rsidRDefault="00EF54EA" w:rsidP="00EF54EA">
            <w:pPr>
              <w:rPr>
                <w:rFonts w:ascii="Arial" w:hAnsi="Arial" w:cs="Arial"/>
                <w:sz w:val="20"/>
                <w:szCs w:val="20"/>
                <w:lang w:val="en-GB"/>
              </w:rPr>
            </w:pPr>
          </w:p>
        </w:tc>
        <w:tc>
          <w:tcPr>
            <w:tcW w:w="1523" w:type="pct"/>
          </w:tcPr>
          <w:p w:rsidR="003A04AA" w:rsidRPr="0007078E" w:rsidRDefault="003A04AA" w:rsidP="003A04AA">
            <w:pPr>
              <w:spacing w:after="160" w:line="256" w:lineRule="auto"/>
              <w:rPr>
                <w:rFonts w:ascii="Arial" w:eastAsia="Calibri" w:hAnsi="Arial" w:cs="Arial"/>
                <w:kern w:val="2"/>
                <w:sz w:val="20"/>
                <w:szCs w:val="20"/>
                <w:lang w:val="en-IN"/>
              </w:rPr>
            </w:pPr>
            <w:r w:rsidRPr="0007078E">
              <w:rPr>
                <w:rFonts w:ascii="Arial" w:eastAsia="Calibri" w:hAnsi="Arial" w:cs="Arial"/>
                <w:b/>
                <w:kern w:val="2"/>
                <w:sz w:val="20"/>
                <w:szCs w:val="20"/>
                <w:lang w:val="en-IN"/>
              </w:rPr>
              <w:t>Author’s Feedback</w:t>
            </w:r>
            <w:r w:rsidRPr="0007078E">
              <w:rPr>
                <w:rFonts w:ascii="Arial" w:eastAsia="Calibri" w:hAnsi="Arial" w:cs="Arial"/>
                <w:kern w:val="2"/>
                <w:sz w:val="20"/>
                <w:szCs w:val="20"/>
                <w:lang w:val="en-IN"/>
              </w:rPr>
              <w:t xml:space="preserve"> (It is mandatory that authors should write his/her feedback here)</w:t>
            </w:r>
          </w:p>
          <w:p w:rsidR="00E82DF5" w:rsidRPr="0007078E" w:rsidRDefault="00E82DF5">
            <w:pPr>
              <w:pStyle w:val="Heading2"/>
              <w:jc w:val="left"/>
              <w:rPr>
                <w:rFonts w:ascii="Arial" w:hAnsi="Arial" w:cs="Arial"/>
                <w:b w:val="0"/>
                <w:lang w:val="en-GB"/>
              </w:rPr>
            </w:pPr>
          </w:p>
        </w:tc>
      </w:tr>
      <w:tr w:rsidR="00E82DF5" w:rsidRPr="0007078E">
        <w:trPr>
          <w:trHeight w:val="1264"/>
        </w:trPr>
        <w:tc>
          <w:tcPr>
            <w:tcW w:w="1265" w:type="pct"/>
            <w:noWrap/>
          </w:tcPr>
          <w:p w:rsidR="00E82DF5" w:rsidRPr="0007078E" w:rsidRDefault="00E82DF5">
            <w:pPr>
              <w:ind w:left="360"/>
              <w:rPr>
                <w:rFonts w:ascii="Arial" w:hAnsi="Arial" w:cs="Arial"/>
                <w:b/>
                <w:bCs/>
                <w:sz w:val="20"/>
                <w:szCs w:val="20"/>
                <w:lang w:val="en-GB"/>
              </w:rPr>
            </w:pPr>
            <w:r w:rsidRPr="0007078E">
              <w:rPr>
                <w:rFonts w:ascii="Arial" w:hAnsi="Arial" w:cs="Arial"/>
                <w:b/>
                <w:bCs/>
                <w:sz w:val="20"/>
                <w:szCs w:val="20"/>
                <w:lang w:val="en-GB"/>
              </w:rPr>
              <w:t>Please write a few sentences regarding the importance of this manuscript for the scientific community. A minimum of 3-4 sentences may be required for this part.</w:t>
            </w:r>
          </w:p>
          <w:p w:rsidR="00E82DF5" w:rsidRPr="0007078E" w:rsidRDefault="00E82DF5">
            <w:pPr>
              <w:ind w:left="360"/>
              <w:rPr>
                <w:rFonts w:ascii="Arial" w:eastAsia="MS Mincho" w:hAnsi="Arial" w:cs="Arial"/>
                <w:b/>
                <w:bCs/>
                <w:sz w:val="20"/>
                <w:szCs w:val="20"/>
                <w:lang w:val="en-GB"/>
              </w:rPr>
            </w:pPr>
          </w:p>
        </w:tc>
        <w:tc>
          <w:tcPr>
            <w:tcW w:w="2212" w:type="pct"/>
          </w:tcPr>
          <w:p w:rsidR="00974435" w:rsidRPr="0007078E" w:rsidRDefault="00974435" w:rsidP="00974435">
            <w:pPr>
              <w:pStyle w:val="NormalWeb"/>
              <w:spacing w:before="0" w:beforeAutospacing="0" w:after="0" w:afterAutospacing="0"/>
              <w:jc w:val="both"/>
              <w:rPr>
                <w:rFonts w:ascii="Arial" w:hAnsi="Arial" w:cs="Arial"/>
                <w:sz w:val="20"/>
                <w:szCs w:val="20"/>
                <w:lang w:eastAsia="zh-TW"/>
              </w:rPr>
            </w:pPr>
            <w:r w:rsidRPr="0007078E">
              <w:rPr>
                <w:rFonts w:ascii="Arial" w:hAnsi="Arial" w:cs="Arial"/>
                <w:sz w:val="20"/>
                <w:szCs w:val="20"/>
              </w:rPr>
              <w:t>This study contributes to the literature on international monetary transitions by positioning the BRICS de-</w:t>
            </w:r>
            <w:proofErr w:type="spellStart"/>
            <w:r w:rsidRPr="0007078E">
              <w:rPr>
                <w:rFonts w:ascii="Arial" w:hAnsi="Arial" w:cs="Arial"/>
                <w:sz w:val="20"/>
                <w:szCs w:val="20"/>
              </w:rPr>
              <w:t>dollarisation</w:t>
            </w:r>
            <w:proofErr w:type="spellEnd"/>
            <w:r w:rsidRPr="0007078E">
              <w:rPr>
                <w:rFonts w:ascii="Arial" w:hAnsi="Arial" w:cs="Arial"/>
                <w:sz w:val="20"/>
                <w:szCs w:val="20"/>
              </w:rPr>
              <w:t xml:space="preserve"> initiative within a broader historical and structural context. </w:t>
            </w:r>
          </w:p>
          <w:p w:rsidR="00974435" w:rsidRPr="0007078E" w:rsidRDefault="00974435" w:rsidP="00974435">
            <w:pPr>
              <w:pStyle w:val="NormalWeb"/>
              <w:numPr>
                <w:ilvl w:val="0"/>
                <w:numId w:val="13"/>
              </w:numPr>
              <w:spacing w:before="0" w:beforeAutospacing="0" w:after="0" w:afterAutospacing="0"/>
              <w:jc w:val="both"/>
              <w:rPr>
                <w:rFonts w:ascii="Arial" w:hAnsi="Arial" w:cs="Arial"/>
                <w:sz w:val="20"/>
                <w:szCs w:val="20"/>
                <w:lang w:eastAsia="zh-TW"/>
              </w:rPr>
            </w:pPr>
            <w:r w:rsidRPr="0007078E">
              <w:rPr>
                <w:rFonts w:ascii="Arial" w:hAnsi="Arial" w:cs="Arial"/>
                <w:sz w:val="20"/>
                <w:szCs w:val="20"/>
              </w:rPr>
              <w:t>Theoretically, it reframes de-</w:t>
            </w:r>
            <w:proofErr w:type="spellStart"/>
            <w:r w:rsidRPr="0007078E">
              <w:rPr>
                <w:rFonts w:ascii="Arial" w:hAnsi="Arial" w:cs="Arial"/>
                <w:sz w:val="20"/>
                <w:szCs w:val="20"/>
              </w:rPr>
              <w:t>dollarisation</w:t>
            </w:r>
            <w:proofErr w:type="spellEnd"/>
            <w:r w:rsidRPr="0007078E">
              <w:rPr>
                <w:rFonts w:ascii="Arial" w:hAnsi="Arial" w:cs="Arial"/>
                <w:sz w:val="20"/>
                <w:szCs w:val="20"/>
              </w:rPr>
              <w:t xml:space="preserve"> as part of a recurring cycle of global currency shifts, rather than an isolated event, drawing parallels with the decline of sterling and the collapse of Bretton Woods. </w:t>
            </w:r>
          </w:p>
          <w:p w:rsidR="00974435" w:rsidRPr="0007078E" w:rsidRDefault="00974435" w:rsidP="00974435">
            <w:pPr>
              <w:pStyle w:val="NormalWeb"/>
              <w:numPr>
                <w:ilvl w:val="0"/>
                <w:numId w:val="13"/>
              </w:numPr>
              <w:spacing w:before="0" w:beforeAutospacing="0" w:after="0" w:afterAutospacing="0"/>
              <w:jc w:val="both"/>
              <w:rPr>
                <w:rFonts w:ascii="Arial" w:hAnsi="Arial" w:cs="Arial"/>
                <w:sz w:val="20"/>
                <w:szCs w:val="20"/>
                <w:lang w:eastAsia="zh-TW"/>
              </w:rPr>
            </w:pPr>
            <w:r w:rsidRPr="0007078E">
              <w:rPr>
                <w:rFonts w:ascii="Arial" w:hAnsi="Arial" w:cs="Arial"/>
                <w:sz w:val="20"/>
                <w:szCs w:val="20"/>
              </w:rPr>
              <w:t xml:space="preserve">Empirically, the paper integrates data from IMF COFER, BIS, and SWIFT to provide robust evidence of the gradual decline in the U.S. dollar’s dominance and the parallel rise of emerging-market currencies, particularly the RMB. </w:t>
            </w:r>
          </w:p>
          <w:p w:rsidR="00974435" w:rsidRPr="0007078E" w:rsidRDefault="00974435" w:rsidP="00974435">
            <w:pPr>
              <w:pStyle w:val="NormalWeb"/>
              <w:numPr>
                <w:ilvl w:val="0"/>
                <w:numId w:val="13"/>
              </w:numPr>
              <w:spacing w:before="0" w:beforeAutospacing="0" w:after="0" w:afterAutospacing="0"/>
              <w:jc w:val="both"/>
              <w:rPr>
                <w:rFonts w:ascii="Arial" w:hAnsi="Arial" w:cs="Arial"/>
                <w:sz w:val="20"/>
                <w:szCs w:val="20"/>
                <w:lang w:eastAsia="zh-TW"/>
              </w:rPr>
            </w:pPr>
            <w:r w:rsidRPr="0007078E">
              <w:rPr>
                <w:rFonts w:ascii="Arial" w:hAnsi="Arial" w:cs="Arial"/>
                <w:sz w:val="20"/>
                <w:szCs w:val="20"/>
              </w:rPr>
              <w:t>At the institutional level, the analysis highlights how BRICS mechanisms—such as bilateral swap arrangements, the Contingent Reserve Arrangement, and China’s Cross-Border Interbank Payment System—translate de-</w:t>
            </w:r>
            <w:proofErr w:type="spellStart"/>
            <w:r w:rsidRPr="0007078E">
              <w:rPr>
                <w:rFonts w:ascii="Arial" w:hAnsi="Arial" w:cs="Arial"/>
                <w:sz w:val="20"/>
                <w:szCs w:val="20"/>
              </w:rPr>
              <w:t>dollarisation</w:t>
            </w:r>
            <w:proofErr w:type="spellEnd"/>
            <w:r w:rsidRPr="0007078E">
              <w:rPr>
                <w:rFonts w:ascii="Arial" w:hAnsi="Arial" w:cs="Arial"/>
                <w:sz w:val="20"/>
                <w:szCs w:val="20"/>
              </w:rPr>
              <w:t xml:space="preserve"> rhetoric into concrete financial infrastructure. </w:t>
            </w:r>
          </w:p>
          <w:p w:rsidR="00974435" w:rsidRPr="0007078E" w:rsidRDefault="00974435" w:rsidP="00974435">
            <w:pPr>
              <w:pStyle w:val="NormalWeb"/>
              <w:numPr>
                <w:ilvl w:val="0"/>
                <w:numId w:val="13"/>
              </w:numPr>
              <w:spacing w:before="0" w:beforeAutospacing="0" w:after="0" w:afterAutospacing="0"/>
              <w:jc w:val="both"/>
              <w:rPr>
                <w:rFonts w:ascii="Arial" w:hAnsi="Arial" w:cs="Arial"/>
                <w:sz w:val="20"/>
                <w:szCs w:val="20"/>
                <w:lang w:eastAsia="zh-TW"/>
              </w:rPr>
            </w:pPr>
            <w:r w:rsidRPr="0007078E">
              <w:rPr>
                <w:rFonts w:ascii="Arial" w:hAnsi="Arial" w:cs="Arial"/>
                <w:sz w:val="20"/>
                <w:szCs w:val="20"/>
              </w:rPr>
              <w:t>Geopolitically, the findings situate de-</w:t>
            </w:r>
            <w:proofErr w:type="spellStart"/>
            <w:r w:rsidRPr="0007078E">
              <w:rPr>
                <w:rFonts w:ascii="Arial" w:hAnsi="Arial" w:cs="Arial"/>
                <w:sz w:val="20"/>
                <w:szCs w:val="20"/>
              </w:rPr>
              <w:t>dollarisation</w:t>
            </w:r>
            <w:proofErr w:type="spellEnd"/>
            <w:r w:rsidRPr="0007078E">
              <w:rPr>
                <w:rFonts w:ascii="Arial" w:hAnsi="Arial" w:cs="Arial"/>
                <w:sz w:val="20"/>
                <w:szCs w:val="20"/>
              </w:rPr>
              <w:t xml:space="preserve"> within the shift toward a more multipolar world, with implications for monetary independence, reduced U.S. policy spillovers, and regional financial resilience. </w:t>
            </w:r>
          </w:p>
          <w:p w:rsidR="00E82DF5" w:rsidRPr="0007078E" w:rsidRDefault="00974435" w:rsidP="00974435">
            <w:pPr>
              <w:spacing w:before="100" w:beforeAutospacing="1" w:after="100" w:afterAutospacing="1"/>
              <w:rPr>
                <w:rFonts w:ascii="Arial" w:eastAsia="PMingLiU" w:hAnsi="Arial" w:cs="Arial"/>
                <w:sz w:val="20"/>
                <w:szCs w:val="20"/>
                <w:lang w:eastAsia="zh-TW"/>
              </w:rPr>
            </w:pPr>
            <w:r w:rsidRPr="0007078E">
              <w:rPr>
                <w:rFonts w:ascii="Arial" w:hAnsi="Arial" w:cs="Arial"/>
                <w:sz w:val="20"/>
                <w:szCs w:val="20"/>
              </w:rPr>
              <w:t>Overall, the study advances theory, deepens empirical understanding, and offers policy-relevant insights into the evolving architecture of the international monetary system.</w:t>
            </w:r>
          </w:p>
        </w:tc>
        <w:tc>
          <w:tcPr>
            <w:tcW w:w="1523" w:type="pct"/>
          </w:tcPr>
          <w:p w:rsidR="00E82DF5" w:rsidRPr="0007078E" w:rsidRDefault="00E82DF5">
            <w:pPr>
              <w:pStyle w:val="Heading2"/>
              <w:jc w:val="left"/>
              <w:rPr>
                <w:rFonts w:ascii="Arial" w:hAnsi="Arial" w:cs="Arial"/>
                <w:b w:val="0"/>
                <w:lang w:val="en-GB"/>
              </w:rPr>
            </w:pPr>
          </w:p>
        </w:tc>
      </w:tr>
      <w:tr w:rsidR="00E82DF5" w:rsidRPr="0007078E">
        <w:trPr>
          <w:trHeight w:val="1262"/>
        </w:trPr>
        <w:tc>
          <w:tcPr>
            <w:tcW w:w="1265" w:type="pct"/>
            <w:noWrap/>
          </w:tcPr>
          <w:p w:rsidR="00E82DF5" w:rsidRPr="0007078E" w:rsidRDefault="00E82DF5">
            <w:pPr>
              <w:ind w:left="360"/>
              <w:rPr>
                <w:rFonts w:ascii="Arial" w:hAnsi="Arial" w:cs="Arial"/>
                <w:b/>
                <w:bCs/>
                <w:sz w:val="20"/>
                <w:szCs w:val="20"/>
                <w:lang w:val="en-GB"/>
              </w:rPr>
            </w:pPr>
            <w:r w:rsidRPr="0007078E">
              <w:rPr>
                <w:rFonts w:ascii="Arial" w:hAnsi="Arial" w:cs="Arial"/>
                <w:b/>
                <w:bCs/>
                <w:sz w:val="20"/>
                <w:szCs w:val="20"/>
                <w:lang w:val="en-GB"/>
              </w:rPr>
              <w:t>Is the title of the article suitable?</w:t>
            </w:r>
          </w:p>
          <w:p w:rsidR="00E82DF5" w:rsidRPr="0007078E" w:rsidRDefault="00E82DF5">
            <w:pPr>
              <w:ind w:left="360"/>
              <w:rPr>
                <w:rFonts w:ascii="Arial" w:hAnsi="Arial" w:cs="Arial"/>
                <w:b/>
                <w:bCs/>
                <w:sz w:val="20"/>
                <w:szCs w:val="20"/>
                <w:lang w:val="en-GB"/>
              </w:rPr>
            </w:pPr>
            <w:r w:rsidRPr="0007078E">
              <w:rPr>
                <w:rFonts w:ascii="Arial" w:hAnsi="Arial" w:cs="Arial"/>
                <w:b/>
                <w:bCs/>
                <w:sz w:val="20"/>
                <w:szCs w:val="20"/>
                <w:lang w:val="en-GB"/>
              </w:rPr>
              <w:t>(If not please suggest an alternative title)</w:t>
            </w:r>
          </w:p>
          <w:p w:rsidR="00E82DF5" w:rsidRPr="0007078E" w:rsidRDefault="00E82DF5">
            <w:pPr>
              <w:pStyle w:val="Heading2"/>
              <w:jc w:val="left"/>
              <w:rPr>
                <w:rFonts w:ascii="Arial" w:hAnsi="Arial" w:cs="Arial"/>
                <w:u w:val="single"/>
                <w:lang w:val="en-GB"/>
              </w:rPr>
            </w:pPr>
          </w:p>
        </w:tc>
        <w:tc>
          <w:tcPr>
            <w:tcW w:w="2212" w:type="pct"/>
          </w:tcPr>
          <w:p w:rsidR="00E82DF5" w:rsidRPr="0007078E" w:rsidRDefault="00974435" w:rsidP="00974435">
            <w:pPr>
              <w:rPr>
                <w:rFonts w:ascii="Arial" w:eastAsia="PMingLiU" w:hAnsi="Arial" w:cs="Arial"/>
                <w:b/>
                <w:bCs/>
                <w:sz w:val="20"/>
                <w:szCs w:val="20"/>
                <w:lang w:val="en-GB" w:eastAsia="zh-TW"/>
              </w:rPr>
            </w:pPr>
            <w:r w:rsidRPr="0007078E">
              <w:rPr>
                <w:rFonts w:ascii="Arial" w:eastAsia="PMingLiU" w:hAnsi="Arial" w:cs="Arial"/>
                <w:b/>
                <w:bCs/>
                <w:sz w:val="20"/>
                <w:szCs w:val="20"/>
                <w:lang w:val="en-GB" w:eastAsia="zh-TW"/>
              </w:rPr>
              <w:t>Yes.</w:t>
            </w:r>
          </w:p>
        </w:tc>
        <w:tc>
          <w:tcPr>
            <w:tcW w:w="1523" w:type="pct"/>
          </w:tcPr>
          <w:p w:rsidR="00E82DF5" w:rsidRPr="0007078E" w:rsidRDefault="00E82DF5">
            <w:pPr>
              <w:pStyle w:val="Heading2"/>
              <w:jc w:val="left"/>
              <w:rPr>
                <w:rFonts w:ascii="Arial" w:hAnsi="Arial" w:cs="Arial"/>
                <w:b w:val="0"/>
                <w:lang w:val="en-GB"/>
              </w:rPr>
            </w:pPr>
          </w:p>
        </w:tc>
      </w:tr>
      <w:tr w:rsidR="00E82DF5" w:rsidRPr="0007078E">
        <w:trPr>
          <w:trHeight w:val="1262"/>
        </w:trPr>
        <w:tc>
          <w:tcPr>
            <w:tcW w:w="1265" w:type="pct"/>
            <w:noWrap/>
          </w:tcPr>
          <w:p w:rsidR="00E82DF5" w:rsidRPr="0007078E" w:rsidRDefault="00E82DF5">
            <w:pPr>
              <w:pStyle w:val="Heading2"/>
              <w:ind w:left="360"/>
              <w:jc w:val="left"/>
              <w:rPr>
                <w:rFonts w:ascii="Arial" w:hAnsi="Arial" w:cs="Arial"/>
                <w:lang w:val="en-GB"/>
              </w:rPr>
            </w:pPr>
            <w:r w:rsidRPr="0007078E">
              <w:rPr>
                <w:rFonts w:ascii="Arial" w:hAnsi="Arial" w:cs="Arial"/>
                <w:lang w:val="en-GB"/>
              </w:rPr>
              <w:t>Is the abstract of the article comprehensive? Do you suggest the addition (or deletion) of some points in this section? Please write your suggestions here.</w:t>
            </w:r>
          </w:p>
          <w:p w:rsidR="00E82DF5" w:rsidRPr="0007078E" w:rsidRDefault="00E82DF5">
            <w:pPr>
              <w:pStyle w:val="Heading2"/>
              <w:jc w:val="left"/>
              <w:rPr>
                <w:rFonts w:ascii="Arial" w:hAnsi="Arial" w:cs="Arial"/>
                <w:u w:val="single"/>
                <w:lang w:val="en-GB"/>
              </w:rPr>
            </w:pPr>
          </w:p>
        </w:tc>
        <w:tc>
          <w:tcPr>
            <w:tcW w:w="2212" w:type="pct"/>
          </w:tcPr>
          <w:p w:rsidR="00E82DF5" w:rsidRPr="0007078E" w:rsidRDefault="00974435" w:rsidP="00974435">
            <w:pPr>
              <w:rPr>
                <w:rFonts w:ascii="Arial" w:eastAsia="PMingLiU" w:hAnsi="Arial" w:cs="Arial"/>
                <w:b/>
                <w:bCs/>
                <w:sz w:val="20"/>
                <w:szCs w:val="20"/>
                <w:lang w:val="en-GB" w:eastAsia="zh-TW"/>
              </w:rPr>
            </w:pPr>
            <w:r w:rsidRPr="0007078E">
              <w:rPr>
                <w:rFonts w:ascii="Arial" w:eastAsia="PMingLiU" w:hAnsi="Arial" w:cs="Arial"/>
                <w:b/>
                <w:bCs/>
                <w:sz w:val="20"/>
                <w:szCs w:val="20"/>
                <w:lang w:val="en-GB" w:eastAsia="zh-TW"/>
              </w:rPr>
              <w:t>Yes.</w:t>
            </w:r>
          </w:p>
        </w:tc>
        <w:tc>
          <w:tcPr>
            <w:tcW w:w="1523" w:type="pct"/>
          </w:tcPr>
          <w:p w:rsidR="00E82DF5" w:rsidRPr="0007078E" w:rsidRDefault="00E82DF5">
            <w:pPr>
              <w:pStyle w:val="Heading2"/>
              <w:jc w:val="left"/>
              <w:rPr>
                <w:rFonts w:ascii="Arial" w:hAnsi="Arial" w:cs="Arial"/>
                <w:b w:val="0"/>
                <w:lang w:val="en-GB"/>
              </w:rPr>
            </w:pPr>
          </w:p>
        </w:tc>
      </w:tr>
      <w:tr w:rsidR="00E82DF5" w:rsidRPr="0007078E">
        <w:trPr>
          <w:trHeight w:val="704"/>
        </w:trPr>
        <w:tc>
          <w:tcPr>
            <w:tcW w:w="1265" w:type="pct"/>
            <w:noWrap/>
          </w:tcPr>
          <w:p w:rsidR="00E82DF5" w:rsidRPr="0007078E" w:rsidRDefault="00E82DF5">
            <w:pPr>
              <w:pStyle w:val="Heading2"/>
              <w:ind w:left="360"/>
              <w:jc w:val="left"/>
              <w:rPr>
                <w:rFonts w:ascii="Arial" w:hAnsi="Arial" w:cs="Arial"/>
                <w:b w:val="0"/>
                <w:bCs w:val="0"/>
                <w:u w:val="single"/>
                <w:lang w:val="en-GB"/>
              </w:rPr>
            </w:pPr>
            <w:r w:rsidRPr="0007078E">
              <w:rPr>
                <w:rFonts w:ascii="Arial" w:hAnsi="Arial" w:cs="Arial"/>
                <w:lang w:val="en-GB"/>
              </w:rPr>
              <w:t>Is the manuscript scientifically, correct? Please write here.</w:t>
            </w:r>
          </w:p>
        </w:tc>
        <w:tc>
          <w:tcPr>
            <w:tcW w:w="2212" w:type="pct"/>
          </w:tcPr>
          <w:p w:rsidR="00E82DF5" w:rsidRPr="0007078E" w:rsidRDefault="00974435">
            <w:pPr>
              <w:pStyle w:val="ListParagraph"/>
              <w:ind w:left="0"/>
              <w:rPr>
                <w:rFonts w:ascii="Arial" w:hAnsi="Arial" w:cs="Arial"/>
                <w:bCs/>
                <w:sz w:val="20"/>
                <w:szCs w:val="20"/>
                <w:lang w:val="en-GB"/>
              </w:rPr>
            </w:pPr>
            <w:r w:rsidRPr="0007078E">
              <w:rPr>
                <w:rFonts w:ascii="Arial" w:eastAsia="PMingLiU" w:hAnsi="Arial" w:cs="Arial"/>
                <w:b/>
                <w:bCs/>
                <w:sz w:val="20"/>
                <w:szCs w:val="20"/>
                <w:lang w:val="en-GB" w:eastAsia="zh-TW"/>
              </w:rPr>
              <w:t>Yes.</w:t>
            </w:r>
          </w:p>
        </w:tc>
        <w:tc>
          <w:tcPr>
            <w:tcW w:w="1523" w:type="pct"/>
          </w:tcPr>
          <w:p w:rsidR="00E82DF5" w:rsidRPr="0007078E" w:rsidRDefault="00E82DF5">
            <w:pPr>
              <w:pStyle w:val="Heading2"/>
              <w:jc w:val="left"/>
              <w:rPr>
                <w:rFonts w:ascii="Arial" w:hAnsi="Arial" w:cs="Arial"/>
                <w:b w:val="0"/>
                <w:lang w:val="en-GB"/>
              </w:rPr>
            </w:pPr>
          </w:p>
        </w:tc>
      </w:tr>
      <w:tr w:rsidR="00E82DF5" w:rsidRPr="0007078E">
        <w:trPr>
          <w:trHeight w:val="703"/>
        </w:trPr>
        <w:tc>
          <w:tcPr>
            <w:tcW w:w="1265" w:type="pct"/>
            <w:noWrap/>
          </w:tcPr>
          <w:p w:rsidR="00E82DF5" w:rsidRPr="0007078E" w:rsidRDefault="00E82DF5">
            <w:pPr>
              <w:ind w:left="360"/>
              <w:rPr>
                <w:rFonts w:ascii="Arial" w:hAnsi="Arial" w:cs="Arial"/>
                <w:b/>
                <w:bCs/>
                <w:sz w:val="20"/>
                <w:szCs w:val="20"/>
                <w:lang w:val="en-GB"/>
              </w:rPr>
            </w:pPr>
            <w:r w:rsidRPr="0007078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E82DF5" w:rsidRPr="0007078E" w:rsidRDefault="00974435">
            <w:pPr>
              <w:pStyle w:val="ListParagraph"/>
              <w:ind w:left="0"/>
              <w:rPr>
                <w:rFonts w:ascii="Arial" w:hAnsi="Arial" w:cs="Arial"/>
                <w:bCs/>
                <w:sz w:val="20"/>
                <w:szCs w:val="20"/>
                <w:lang w:val="en-GB"/>
              </w:rPr>
            </w:pPr>
            <w:r w:rsidRPr="0007078E">
              <w:rPr>
                <w:rFonts w:ascii="Arial" w:eastAsia="PMingLiU" w:hAnsi="Arial" w:cs="Arial"/>
                <w:b/>
                <w:bCs/>
                <w:sz w:val="20"/>
                <w:szCs w:val="20"/>
                <w:lang w:val="en-GB" w:eastAsia="zh-TW"/>
              </w:rPr>
              <w:t>Yes.</w:t>
            </w:r>
          </w:p>
        </w:tc>
        <w:tc>
          <w:tcPr>
            <w:tcW w:w="1523" w:type="pct"/>
          </w:tcPr>
          <w:p w:rsidR="00E82DF5" w:rsidRPr="0007078E" w:rsidRDefault="00E82DF5">
            <w:pPr>
              <w:pStyle w:val="Heading2"/>
              <w:jc w:val="left"/>
              <w:rPr>
                <w:rFonts w:ascii="Arial" w:hAnsi="Arial" w:cs="Arial"/>
                <w:b w:val="0"/>
                <w:lang w:val="en-GB"/>
              </w:rPr>
            </w:pPr>
          </w:p>
        </w:tc>
      </w:tr>
      <w:tr w:rsidR="00E82DF5" w:rsidRPr="0007078E">
        <w:trPr>
          <w:trHeight w:val="386"/>
        </w:trPr>
        <w:tc>
          <w:tcPr>
            <w:tcW w:w="1265" w:type="pct"/>
            <w:noWrap/>
          </w:tcPr>
          <w:p w:rsidR="00E82DF5" w:rsidRPr="0007078E" w:rsidRDefault="00E82DF5">
            <w:pPr>
              <w:pStyle w:val="Heading2"/>
              <w:ind w:left="360"/>
              <w:jc w:val="left"/>
              <w:rPr>
                <w:rFonts w:ascii="Arial" w:hAnsi="Arial" w:cs="Arial"/>
                <w:bCs w:val="0"/>
                <w:lang w:val="en-GB"/>
              </w:rPr>
            </w:pPr>
            <w:r w:rsidRPr="0007078E">
              <w:rPr>
                <w:rFonts w:ascii="Arial" w:hAnsi="Arial" w:cs="Arial"/>
                <w:bCs w:val="0"/>
                <w:lang w:val="en-GB"/>
              </w:rPr>
              <w:lastRenderedPageBreak/>
              <w:t>Is the language/English quality of the article suitable for scholarly communications?</w:t>
            </w:r>
          </w:p>
          <w:p w:rsidR="00E82DF5" w:rsidRPr="0007078E" w:rsidRDefault="00E82DF5">
            <w:pPr>
              <w:rPr>
                <w:rFonts w:ascii="Arial" w:hAnsi="Arial" w:cs="Arial"/>
                <w:sz w:val="20"/>
                <w:szCs w:val="20"/>
                <w:lang w:val="en-GB"/>
              </w:rPr>
            </w:pPr>
          </w:p>
        </w:tc>
        <w:tc>
          <w:tcPr>
            <w:tcW w:w="2212" w:type="pct"/>
          </w:tcPr>
          <w:p w:rsidR="00E82DF5" w:rsidRPr="0007078E" w:rsidRDefault="00974435">
            <w:pPr>
              <w:rPr>
                <w:rFonts w:ascii="Arial" w:hAnsi="Arial" w:cs="Arial"/>
                <w:sz w:val="20"/>
                <w:szCs w:val="20"/>
                <w:lang w:val="en-GB"/>
              </w:rPr>
            </w:pPr>
            <w:r w:rsidRPr="0007078E">
              <w:rPr>
                <w:rFonts w:ascii="Arial" w:eastAsia="PMingLiU" w:hAnsi="Arial" w:cs="Arial"/>
                <w:b/>
                <w:bCs/>
                <w:sz w:val="20"/>
                <w:szCs w:val="20"/>
                <w:lang w:val="en-GB" w:eastAsia="zh-TW"/>
              </w:rPr>
              <w:t>Yes.</w:t>
            </w:r>
          </w:p>
        </w:tc>
        <w:tc>
          <w:tcPr>
            <w:tcW w:w="1523" w:type="pct"/>
          </w:tcPr>
          <w:p w:rsidR="00E82DF5" w:rsidRPr="0007078E" w:rsidRDefault="00E82DF5">
            <w:pPr>
              <w:rPr>
                <w:rFonts w:ascii="Arial" w:hAnsi="Arial" w:cs="Arial"/>
                <w:sz w:val="20"/>
                <w:szCs w:val="20"/>
                <w:lang w:val="en-GB"/>
              </w:rPr>
            </w:pPr>
          </w:p>
        </w:tc>
      </w:tr>
      <w:tr w:rsidR="00E82DF5" w:rsidRPr="0007078E">
        <w:trPr>
          <w:trHeight w:val="1178"/>
        </w:trPr>
        <w:tc>
          <w:tcPr>
            <w:tcW w:w="1265" w:type="pct"/>
            <w:noWrap/>
          </w:tcPr>
          <w:p w:rsidR="00E82DF5" w:rsidRPr="0007078E" w:rsidRDefault="00E82DF5">
            <w:pPr>
              <w:pStyle w:val="Heading2"/>
              <w:jc w:val="left"/>
              <w:rPr>
                <w:rFonts w:ascii="Arial" w:hAnsi="Arial" w:cs="Arial"/>
                <w:b w:val="0"/>
                <w:bCs w:val="0"/>
                <w:lang w:val="en-GB"/>
              </w:rPr>
            </w:pPr>
            <w:r w:rsidRPr="0007078E">
              <w:rPr>
                <w:rFonts w:ascii="Arial" w:hAnsi="Arial" w:cs="Arial"/>
                <w:bCs w:val="0"/>
                <w:u w:val="single"/>
                <w:lang w:val="en-GB"/>
              </w:rPr>
              <w:t>Optional/General</w:t>
            </w:r>
            <w:r w:rsidRPr="0007078E">
              <w:rPr>
                <w:rFonts w:ascii="Arial" w:hAnsi="Arial" w:cs="Arial"/>
                <w:bCs w:val="0"/>
                <w:lang w:val="en-GB"/>
              </w:rPr>
              <w:t xml:space="preserve"> </w:t>
            </w:r>
            <w:r w:rsidRPr="0007078E">
              <w:rPr>
                <w:rFonts w:ascii="Arial" w:hAnsi="Arial" w:cs="Arial"/>
                <w:b w:val="0"/>
                <w:bCs w:val="0"/>
                <w:lang w:val="en-GB"/>
              </w:rPr>
              <w:t>comments</w:t>
            </w:r>
          </w:p>
          <w:p w:rsidR="00E82DF5" w:rsidRPr="0007078E" w:rsidRDefault="00E82DF5">
            <w:pPr>
              <w:pStyle w:val="Heading2"/>
              <w:jc w:val="left"/>
              <w:rPr>
                <w:rFonts w:ascii="Arial" w:hAnsi="Arial" w:cs="Arial"/>
                <w:b w:val="0"/>
                <w:lang w:val="en-GB"/>
              </w:rPr>
            </w:pPr>
          </w:p>
        </w:tc>
        <w:tc>
          <w:tcPr>
            <w:tcW w:w="2212" w:type="pct"/>
          </w:tcPr>
          <w:p w:rsidR="00974435" w:rsidRPr="0007078E" w:rsidRDefault="00974435" w:rsidP="00974435">
            <w:pPr>
              <w:spacing w:before="100" w:beforeAutospacing="1" w:after="100" w:afterAutospacing="1"/>
              <w:rPr>
                <w:rFonts w:ascii="Arial" w:eastAsia="PMingLiU" w:hAnsi="Arial" w:cs="Arial"/>
                <w:sz w:val="20"/>
                <w:szCs w:val="20"/>
                <w:lang w:eastAsia="zh-TW"/>
              </w:rPr>
            </w:pPr>
            <w:r w:rsidRPr="0007078E">
              <w:rPr>
                <w:rFonts w:ascii="Arial" w:eastAsia="PMingLiU" w:hAnsi="Arial" w:cs="Arial"/>
                <w:sz w:val="20"/>
                <w:szCs w:val="20"/>
                <w:lang w:eastAsia="zh-TW"/>
              </w:rPr>
              <w:t xml:space="preserve">This article provides a </w:t>
            </w:r>
            <w:r w:rsidRPr="0007078E">
              <w:rPr>
                <w:rFonts w:ascii="Arial" w:eastAsia="PMingLiU" w:hAnsi="Arial" w:cs="Arial"/>
                <w:bCs/>
                <w:sz w:val="20"/>
                <w:szCs w:val="20"/>
                <w:lang w:eastAsia="zh-TW"/>
              </w:rPr>
              <w:t>rigorous, historically grounded, and empirically supported analysis</w:t>
            </w:r>
            <w:r w:rsidRPr="0007078E">
              <w:rPr>
                <w:rFonts w:ascii="Arial" w:eastAsia="PMingLiU" w:hAnsi="Arial" w:cs="Arial"/>
                <w:sz w:val="20"/>
                <w:szCs w:val="20"/>
                <w:lang w:eastAsia="zh-TW"/>
              </w:rPr>
              <w:t xml:space="preserve"> of the BRICS-sponsored de-</w:t>
            </w:r>
            <w:proofErr w:type="spellStart"/>
            <w:r w:rsidRPr="0007078E">
              <w:rPr>
                <w:rFonts w:ascii="Arial" w:eastAsia="PMingLiU" w:hAnsi="Arial" w:cs="Arial"/>
                <w:sz w:val="20"/>
                <w:szCs w:val="20"/>
                <w:lang w:eastAsia="zh-TW"/>
              </w:rPr>
              <w:t>dollarisation</w:t>
            </w:r>
            <w:proofErr w:type="spellEnd"/>
            <w:r w:rsidRPr="0007078E">
              <w:rPr>
                <w:rFonts w:ascii="Arial" w:eastAsia="PMingLiU" w:hAnsi="Arial" w:cs="Arial"/>
                <w:sz w:val="20"/>
                <w:szCs w:val="20"/>
                <w:lang w:eastAsia="zh-TW"/>
              </w:rPr>
              <w:t xml:space="preserve"> campaign. By situating current developments within the broader history of international monetary transitions, the paper avoids overly speculative or sensationalist narratives and instead offers a </w:t>
            </w:r>
            <w:r w:rsidRPr="0007078E">
              <w:rPr>
                <w:rFonts w:ascii="Arial" w:eastAsia="PMingLiU" w:hAnsi="Arial" w:cs="Arial"/>
                <w:bCs/>
                <w:sz w:val="20"/>
                <w:szCs w:val="20"/>
                <w:lang w:eastAsia="zh-TW"/>
              </w:rPr>
              <w:t>measured, evidence-based perspective</w:t>
            </w:r>
            <w:r w:rsidRPr="0007078E">
              <w:rPr>
                <w:rFonts w:ascii="Arial" w:eastAsia="PMingLiU" w:hAnsi="Arial" w:cs="Arial"/>
                <w:sz w:val="20"/>
                <w:szCs w:val="20"/>
                <w:lang w:eastAsia="zh-TW"/>
              </w:rPr>
              <w:t xml:space="preserve">. </w:t>
            </w:r>
          </w:p>
          <w:p w:rsidR="00E82DF5" w:rsidRPr="0007078E" w:rsidRDefault="00974435" w:rsidP="00974435">
            <w:pPr>
              <w:pStyle w:val="NormalWeb"/>
              <w:spacing w:before="0" w:beforeAutospacing="0" w:after="0" w:afterAutospacing="0"/>
              <w:jc w:val="both"/>
              <w:rPr>
                <w:rFonts w:ascii="Arial" w:hAnsi="Arial" w:cs="Arial"/>
                <w:b/>
                <w:sz w:val="20"/>
                <w:szCs w:val="20"/>
                <w:lang w:val="en-GB"/>
              </w:rPr>
            </w:pPr>
            <w:r w:rsidRPr="0007078E">
              <w:rPr>
                <w:rFonts w:ascii="Arial" w:eastAsia="PMingLiU" w:hAnsi="Arial" w:cs="Arial"/>
                <w:sz w:val="20"/>
                <w:szCs w:val="20"/>
                <w:lang w:eastAsia="zh-TW"/>
              </w:rPr>
              <w:t xml:space="preserve">The balanced use of </w:t>
            </w:r>
            <w:r w:rsidRPr="0007078E">
              <w:rPr>
                <w:rFonts w:ascii="Arial" w:eastAsia="PMingLiU" w:hAnsi="Arial" w:cs="Arial"/>
                <w:bCs/>
                <w:sz w:val="20"/>
                <w:szCs w:val="20"/>
                <w:lang w:eastAsia="zh-TW"/>
              </w:rPr>
              <w:t>historical precedent, empirical data, and institutional analysis</w:t>
            </w:r>
            <w:r w:rsidRPr="0007078E">
              <w:rPr>
                <w:rFonts w:ascii="Arial" w:eastAsia="PMingLiU" w:hAnsi="Arial" w:cs="Arial"/>
                <w:sz w:val="20"/>
                <w:szCs w:val="20"/>
                <w:lang w:eastAsia="zh-TW"/>
              </w:rPr>
              <w:t xml:space="preserve"> makes this work highly relevant not only for international political economy scholars but also for policymakers grappling with the evolving global monetary order. The writing is precise, and the argument is persuasive, blending theoretical insight with practical observations about the structural limits and opportunities of de-</w:t>
            </w:r>
            <w:proofErr w:type="spellStart"/>
            <w:r w:rsidRPr="0007078E">
              <w:rPr>
                <w:rFonts w:ascii="Arial" w:eastAsia="PMingLiU" w:hAnsi="Arial" w:cs="Arial"/>
                <w:sz w:val="20"/>
                <w:szCs w:val="20"/>
                <w:lang w:eastAsia="zh-TW"/>
              </w:rPr>
              <w:t>dollarisation</w:t>
            </w:r>
            <w:proofErr w:type="spellEnd"/>
            <w:r w:rsidRPr="0007078E">
              <w:rPr>
                <w:rFonts w:ascii="Arial" w:eastAsia="PMingLiU" w:hAnsi="Arial" w:cs="Arial"/>
                <w:sz w:val="20"/>
                <w:szCs w:val="20"/>
                <w:lang w:eastAsia="zh-TW"/>
              </w:rPr>
              <w:t>.</w:t>
            </w:r>
          </w:p>
        </w:tc>
        <w:tc>
          <w:tcPr>
            <w:tcW w:w="1523" w:type="pct"/>
          </w:tcPr>
          <w:p w:rsidR="00E82DF5" w:rsidRPr="0007078E" w:rsidRDefault="00E82DF5">
            <w:pPr>
              <w:rPr>
                <w:rFonts w:ascii="Arial" w:hAnsi="Arial" w:cs="Arial"/>
                <w:sz w:val="20"/>
                <w:szCs w:val="20"/>
                <w:lang w:val="en-GB"/>
              </w:rPr>
            </w:pPr>
          </w:p>
        </w:tc>
      </w:tr>
      <w:bookmarkEnd w:id="0"/>
      <w:bookmarkEnd w:id="1"/>
    </w:tbl>
    <w:p w:rsidR="00EC224F" w:rsidRPr="0007078E" w:rsidRDefault="00EC224F" w:rsidP="00EF153D">
      <w:pPr>
        <w:pStyle w:val="BodyText"/>
        <w:rPr>
          <w:rFonts w:ascii="Arial" w:hAnsi="Arial" w:cs="Arial"/>
          <w:sz w:val="20"/>
          <w:szCs w:val="20"/>
          <w:lang w:val="en-GB"/>
        </w:rPr>
      </w:pPr>
    </w:p>
    <w:p w:rsidR="00EC224F" w:rsidRPr="0007078E" w:rsidRDefault="00EC224F" w:rsidP="00EF153D">
      <w:pPr>
        <w:pStyle w:val="BodyText"/>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EC224F" w:rsidRPr="0007078E" w:rsidTr="00EC224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C224F" w:rsidRPr="0007078E" w:rsidRDefault="00EC224F">
            <w:pPr>
              <w:spacing w:line="276" w:lineRule="auto"/>
              <w:rPr>
                <w:rFonts w:ascii="Arial" w:eastAsia="Arial Unicode MS" w:hAnsi="Arial" w:cs="Arial"/>
                <w:b/>
                <w:sz w:val="20"/>
                <w:szCs w:val="20"/>
                <w:u w:val="single"/>
                <w:lang w:val="en-GB"/>
              </w:rPr>
            </w:pPr>
            <w:bookmarkStart w:id="2" w:name="_Hlk156057883"/>
            <w:bookmarkStart w:id="3" w:name="_Hlk156057704"/>
            <w:r w:rsidRPr="0007078E">
              <w:rPr>
                <w:rFonts w:ascii="Arial" w:eastAsia="Arial Unicode MS" w:hAnsi="Arial" w:cs="Arial"/>
                <w:b/>
                <w:sz w:val="20"/>
                <w:szCs w:val="20"/>
                <w:highlight w:val="yellow"/>
                <w:u w:val="single"/>
                <w:lang w:val="en-GB"/>
              </w:rPr>
              <w:t>PART  2:</w:t>
            </w:r>
            <w:r w:rsidRPr="0007078E">
              <w:rPr>
                <w:rFonts w:ascii="Arial" w:eastAsia="Arial Unicode MS" w:hAnsi="Arial" w:cs="Arial"/>
                <w:b/>
                <w:sz w:val="20"/>
                <w:szCs w:val="20"/>
                <w:u w:val="single"/>
                <w:lang w:val="en-GB"/>
              </w:rPr>
              <w:t xml:space="preserve"> </w:t>
            </w:r>
          </w:p>
          <w:p w:rsidR="00EC224F" w:rsidRPr="0007078E" w:rsidRDefault="00EC224F">
            <w:pPr>
              <w:spacing w:line="276" w:lineRule="auto"/>
              <w:rPr>
                <w:rFonts w:ascii="Arial" w:eastAsia="Arial Unicode MS" w:hAnsi="Arial" w:cs="Arial"/>
                <w:b/>
                <w:sz w:val="20"/>
                <w:szCs w:val="20"/>
                <w:u w:val="single"/>
                <w:lang w:val="en-GB"/>
              </w:rPr>
            </w:pPr>
          </w:p>
        </w:tc>
      </w:tr>
      <w:tr w:rsidR="00EC224F" w:rsidRPr="0007078E" w:rsidTr="00EC224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C224F" w:rsidRPr="0007078E" w:rsidRDefault="00EC224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C224F" w:rsidRPr="0007078E" w:rsidRDefault="00EC224F">
            <w:pPr>
              <w:keepNext/>
              <w:spacing w:line="276" w:lineRule="auto"/>
              <w:outlineLvl w:val="1"/>
              <w:rPr>
                <w:rFonts w:ascii="Arial" w:eastAsia="MS Mincho" w:hAnsi="Arial" w:cs="Arial"/>
                <w:b/>
                <w:bCs/>
                <w:sz w:val="20"/>
                <w:szCs w:val="20"/>
                <w:lang w:val="en-GB"/>
              </w:rPr>
            </w:pPr>
            <w:r w:rsidRPr="0007078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C224F" w:rsidRPr="0007078E" w:rsidRDefault="00EC224F">
            <w:pPr>
              <w:spacing w:after="160" w:line="252" w:lineRule="auto"/>
              <w:rPr>
                <w:rFonts w:ascii="Arial" w:eastAsia="Calibri" w:hAnsi="Arial" w:cs="Arial"/>
                <w:kern w:val="2"/>
                <w:sz w:val="20"/>
                <w:szCs w:val="20"/>
                <w:lang w:val="en-IN"/>
              </w:rPr>
            </w:pPr>
            <w:r w:rsidRPr="0007078E">
              <w:rPr>
                <w:rFonts w:ascii="Arial" w:eastAsia="Calibri" w:hAnsi="Arial" w:cs="Arial"/>
                <w:b/>
                <w:kern w:val="2"/>
                <w:sz w:val="20"/>
                <w:szCs w:val="20"/>
                <w:lang w:val="en-IN"/>
              </w:rPr>
              <w:t>Author’s Feedback</w:t>
            </w:r>
            <w:r w:rsidRPr="0007078E">
              <w:rPr>
                <w:rFonts w:ascii="Arial" w:eastAsia="Calibri" w:hAnsi="Arial" w:cs="Arial"/>
                <w:kern w:val="2"/>
                <w:sz w:val="20"/>
                <w:szCs w:val="20"/>
                <w:lang w:val="en-IN"/>
              </w:rPr>
              <w:t xml:space="preserve"> (It is mandatory that authors should write his/her feedback here)</w:t>
            </w:r>
          </w:p>
          <w:p w:rsidR="00EC224F" w:rsidRPr="0007078E" w:rsidRDefault="00EC224F">
            <w:pPr>
              <w:keepNext/>
              <w:spacing w:line="276" w:lineRule="auto"/>
              <w:outlineLvl w:val="1"/>
              <w:rPr>
                <w:rFonts w:ascii="Arial" w:eastAsia="MS Mincho" w:hAnsi="Arial" w:cs="Arial"/>
                <w:bCs/>
                <w:sz w:val="20"/>
                <w:szCs w:val="20"/>
                <w:lang w:val="en-GB"/>
              </w:rPr>
            </w:pPr>
          </w:p>
        </w:tc>
      </w:tr>
      <w:tr w:rsidR="00EC224F" w:rsidRPr="0007078E" w:rsidTr="00EC224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C224F" w:rsidRPr="0007078E" w:rsidRDefault="00EC224F">
            <w:pPr>
              <w:spacing w:line="276" w:lineRule="auto"/>
              <w:rPr>
                <w:rFonts w:ascii="Arial" w:eastAsia="Arial Unicode MS" w:hAnsi="Arial" w:cs="Arial"/>
                <w:b/>
                <w:sz w:val="20"/>
                <w:szCs w:val="20"/>
                <w:lang w:val="en-GB"/>
              </w:rPr>
            </w:pPr>
            <w:r w:rsidRPr="0007078E">
              <w:rPr>
                <w:rFonts w:ascii="Arial" w:eastAsia="Arial Unicode MS" w:hAnsi="Arial" w:cs="Arial"/>
                <w:b/>
                <w:sz w:val="20"/>
                <w:szCs w:val="20"/>
                <w:lang w:val="en-GB"/>
              </w:rPr>
              <w:t xml:space="preserve">Are there ethical issues in this manuscript? </w:t>
            </w:r>
          </w:p>
          <w:p w:rsidR="00EC224F" w:rsidRPr="0007078E" w:rsidRDefault="00EC224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224F" w:rsidRPr="0007078E" w:rsidRDefault="00EC224F">
            <w:pPr>
              <w:spacing w:line="276" w:lineRule="auto"/>
              <w:rPr>
                <w:rFonts w:ascii="Arial" w:eastAsia="Arial Unicode MS" w:hAnsi="Arial" w:cs="Arial"/>
                <w:i/>
                <w:iCs/>
                <w:sz w:val="20"/>
                <w:szCs w:val="20"/>
                <w:u w:val="single"/>
                <w:lang w:val="en-GB"/>
              </w:rPr>
            </w:pPr>
            <w:r w:rsidRPr="0007078E">
              <w:rPr>
                <w:rFonts w:ascii="Arial" w:eastAsia="Arial Unicode MS" w:hAnsi="Arial" w:cs="Arial"/>
                <w:i/>
                <w:iCs/>
                <w:sz w:val="20"/>
                <w:szCs w:val="20"/>
                <w:u w:val="single"/>
                <w:lang w:val="en-GB"/>
              </w:rPr>
              <w:t xml:space="preserve">(If yes, </w:t>
            </w:r>
            <w:proofErr w:type="gramStart"/>
            <w:r w:rsidRPr="0007078E">
              <w:rPr>
                <w:rFonts w:ascii="Arial" w:eastAsia="Arial Unicode MS" w:hAnsi="Arial" w:cs="Arial"/>
                <w:i/>
                <w:iCs/>
                <w:sz w:val="20"/>
                <w:szCs w:val="20"/>
                <w:u w:val="single"/>
                <w:lang w:val="en-GB"/>
              </w:rPr>
              <w:t>Kindly</w:t>
            </w:r>
            <w:proofErr w:type="gramEnd"/>
            <w:r w:rsidRPr="0007078E">
              <w:rPr>
                <w:rFonts w:ascii="Arial" w:eastAsia="Arial Unicode MS" w:hAnsi="Arial" w:cs="Arial"/>
                <w:i/>
                <w:iCs/>
                <w:sz w:val="20"/>
                <w:szCs w:val="20"/>
                <w:u w:val="single"/>
                <w:lang w:val="en-GB"/>
              </w:rPr>
              <w:t xml:space="preserve"> please write down the ethical issues here in details)</w:t>
            </w:r>
          </w:p>
          <w:p w:rsidR="00EC224F" w:rsidRPr="0007078E" w:rsidRDefault="00EC224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C224F" w:rsidRPr="0007078E" w:rsidRDefault="00EC224F">
            <w:pPr>
              <w:spacing w:line="276" w:lineRule="auto"/>
              <w:rPr>
                <w:rFonts w:ascii="Arial" w:eastAsia="Arial Unicode MS" w:hAnsi="Arial" w:cs="Arial"/>
                <w:sz w:val="20"/>
                <w:szCs w:val="20"/>
                <w:lang w:val="en-GB"/>
              </w:rPr>
            </w:pPr>
          </w:p>
          <w:p w:rsidR="00EC224F" w:rsidRPr="0007078E" w:rsidRDefault="00EC224F">
            <w:pPr>
              <w:spacing w:line="276" w:lineRule="auto"/>
              <w:rPr>
                <w:rFonts w:ascii="Arial" w:eastAsia="Arial Unicode MS" w:hAnsi="Arial" w:cs="Arial"/>
                <w:sz w:val="20"/>
                <w:szCs w:val="20"/>
                <w:lang w:val="en-GB"/>
              </w:rPr>
            </w:pPr>
          </w:p>
          <w:p w:rsidR="00EC224F" w:rsidRPr="0007078E" w:rsidRDefault="00EC224F">
            <w:pPr>
              <w:spacing w:line="276" w:lineRule="auto"/>
              <w:rPr>
                <w:rFonts w:ascii="Arial" w:eastAsia="Arial Unicode MS" w:hAnsi="Arial" w:cs="Arial"/>
                <w:sz w:val="20"/>
                <w:szCs w:val="20"/>
                <w:lang w:val="en-GB"/>
              </w:rPr>
            </w:pPr>
          </w:p>
        </w:tc>
      </w:tr>
      <w:bookmarkEnd w:id="2"/>
    </w:tbl>
    <w:p w:rsidR="00EC224F" w:rsidRPr="0007078E" w:rsidRDefault="00EC224F" w:rsidP="00EC224F">
      <w:pPr>
        <w:rPr>
          <w:rFonts w:ascii="Arial" w:hAnsi="Arial" w:cs="Arial"/>
          <w:sz w:val="20"/>
          <w:szCs w:val="20"/>
        </w:rPr>
      </w:pPr>
    </w:p>
    <w:p w:rsidR="00EC224F" w:rsidRPr="0007078E" w:rsidRDefault="00EC224F" w:rsidP="00EC224F">
      <w:pPr>
        <w:rPr>
          <w:rFonts w:ascii="Arial" w:hAnsi="Arial" w:cs="Arial"/>
          <w:sz w:val="20"/>
          <w:szCs w:val="20"/>
        </w:rPr>
      </w:pPr>
    </w:p>
    <w:p w:rsidR="0007078E" w:rsidRPr="0007078E" w:rsidRDefault="0007078E" w:rsidP="0007078E">
      <w:pPr>
        <w:rPr>
          <w:rFonts w:ascii="Arial" w:hAnsi="Arial" w:cs="Arial"/>
          <w:b/>
          <w:sz w:val="20"/>
          <w:szCs w:val="20"/>
          <w:u w:val="single"/>
        </w:rPr>
      </w:pPr>
      <w:bookmarkStart w:id="4" w:name="_Hlk206676258"/>
      <w:r w:rsidRPr="0007078E">
        <w:rPr>
          <w:rFonts w:ascii="Arial" w:hAnsi="Arial" w:cs="Arial"/>
          <w:b/>
          <w:sz w:val="20"/>
          <w:szCs w:val="20"/>
          <w:u w:val="single"/>
        </w:rPr>
        <w:t>Reviewer details:</w:t>
      </w:r>
    </w:p>
    <w:bookmarkEnd w:id="4"/>
    <w:p w:rsidR="00EC224F" w:rsidRPr="0007078E" w:rsidRDefault="00EC224F" w:rsidP="00EC224F">
      <w:pPr>
        <w:rPr>
          <w:rFonts w:ascii="Arial" w:hAnsi="Arial" w:cs="Arial"/>
          <w:bCs/>
          <w:sz w:val="20"/>
          <w:szCs w:val="20"/>
          <w:u w:val="single"/>
          <w:lang w:val="en-GB"/>
        </w:rPr>
      </w:pPr>
    </w:p>
    <w:p w:rsidR="0007078E" w:rsidRPr="0007078E" w:rsidRDefault="0007078E" w:rsidP="0007078E">
      <w:pPr>
        <w:rPr>
          <w:rFonts w:ascii="Arial" w:hAnsi="Arial" w:cs="Arial"/>
          <w:b/>
          <w:bCs/>
          <w:sz w:val="20"/>
          <w:szCs w:val="20"/>
          <w:lang w:val="en-GB"/>
        </w:rPr>
      </w:pPr>
      <w:bookmarkStart w:id="5" w:name="_Hlk206676308"/>
      <w:bookmarkStart w:id="6" w:name="_GoBack"/>
      <w:r w:rsidRPr="0007078E">
        <w:rPr>
          <w:rFonts w:ascii="Arial" w:hAnsi="Arial" w:cs="Arial"/>
          <w:b/>
          <w:bCs/>
          <w:sz w:val="20"/>
          <w:szCs w:val="20"/>
          <w:lang w:val="en-GB"/>
        </w:rPr>
        <w:t xml:space="preserve">Tsung-Han </w:t>
      </w:r>
      <w:proofErr w:type="spellStart"/>
      <w:r w:rsidRPr="0007078E">
        <w:rPr>
          <w:rFonts w:ascii="Arial" w:hAnsi="Arial" w:cs="Arial"/>
          <w:b/>
          <w:bCs/>
          <w:sz w:val="20"/>
          <w:szCs w:val="20"/>
          <w:lang w:val="en-GB"/>
        </w:rPr>
        <w:t>Ke</w:t>
      </w:r>
      <w:proofErr w:type="spellEnd"/>
      <w:r w:rsidRPr="0007078E">
        <w:rPr>
          <w:rFonts w:ascii="Arial" w:hAnsi="Arial" w:cs="Arial"/>
          <w:b/>
          <w:bCs/>
          <w:sz w:val="20"/>
          <w:szCs w:val="20"/>
          <w:lang w:val="en-GB"/>
        </w:rPr>
        <w:t xml:space="preserve">, </w:t>
      </w:r>
      <w:r w:rsidRPr="0007078E">
        <w:rPr>
          <w:rFonts w:ascii="Arial" w:hAnsi="Arial" w:cs="Arial"/>
          <w:b/>
          <w:bCs/>
          <w:sz w:val="20"/>
          <w:szCs w:val="20"/>
          <w:lang w:val="en-GB"/>
        </w:rPr>
        <w:t>Providence University</w:t>
      </w:r>
      <w:r w:rsidRPr="0007078E">
        <w:rPr>
          <w:rFonts w:ascii="Arial" w:hAnsi="Arial" w:cs="Arial"/>
          <w:b/>
          <w:bCs/>
          <w:sz w:val="20"/>
          <w:szCs w:val="20"/>
          <w:lang w:val="en-GB"/>
        </w:rPr>
        <w:t xml:space="preserve">, </w:t>
      </w:r>
      <w:r w:rsidRPr="0007078E">
        <w:rPr>
          <w:rFonts w:ascii="Arial" w:hAnsi="Arial" w:cs="Arial"/>
          <w:b/>
          <w:bCs/>
          <w:sz w:val="20"/>
          <w:szCs w:val="20"/>
          <w:lang w:val="en-GB"/>
        </w:rPr>
        <w:t>Taiwan</w:t>
      </w:r>
    </w:p>
    <w:bookmarkEnd w:id="3"/>
    <w:bookmarkEnd w:id="5"/>
    <w:bookmarkEnd w:id="6"/>
    <w:p w:rsidR="00EC224F" w:rsidRPr="0007078E" w:rsidRDefault="00EC224F" w:rsidP="00EC224F">
      <w:pPr>
        <w:rPr>
          <w:rFonts w:ascii="Arial" w:hAnsi="Arial" w:cs="Arial"/>
          <w:sz w:val="20"/>
          <w:szCs w:val="20"/>
        </w:rPr>
      </w:pPr>
    </w:p>
    <w:p w:rsidR="00EC224F" w:rsidRPr="0007078E" w:rsidRDefault="00EC224F" w:rsidP="00EF153D">
      <w:pPr>
        <w:pStyle w:val="BodyText"/>
        <w:rPr>
          <w:rFonts w:ascii="Arial" w:hAnsi="Arial" w:cs="Arial"/>
          <w:sz w:val="20"/>
          <w:szCs w:val="20"/>
          <w:lang w:val="en-GB"/>
        </w:rPr>
      </w:pPr>
    </w:p>
    <w:sectPr w:rsidR="00EC224F" w:rsidRPr="0007078E" w:rsidSect="00B4332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059" w:rsidRPr="0000007A" w:rsidRDefault="003B2059" w:rsidP="0099583E">
      <w:r>
        <w:separator/>
      </w:r>
    </w:p>
  </w:endnote>
  <w:endnote w:type="continuationSeparator" w:id="0">
    <w:p w:rsidR="003B2059" w:rsidRPr="0000007A" w:rsidRDefault="003B205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938BD" w:rsidRPr="00D938BD">
      <w:rPr>
        <w:sz w:val="16"/>
      </w:rPr>
      <w:t xml:space="preserve">Version: </w:t>
    </w:r>
    <w:r w:rsidR="00F70534">
      <w:rPr>
        <w:sz w:val="16"/>
      </w:rPr>
      <w:t>3</w:t>
    </w:r>
    <w:r w:rsidR="00D938BD" w:rsidRPr="00D938BD">
      <w:rPr>
        <w:sz w:val="16"/>
      </w:rPr>
      <w:t xml:space="preserve"> (0</w:t>
    </w:r>
    <w:r w:rsidR="00F70534">
      <w:rPr>
        <w:sz w:val="16"/>
      </w:rPr>
      <w:t>7</w:t>
    </w:r>
    <w:r w:rsidR="00D938BD" w:rsidRPr="00D938B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059" w:rsidRPr="0000007A" w:rsidRDefault="003B2059" w:rsidP="0099583E">
      <w:r>
        <w:separator/>
      </w:r>
    </w:p>
  </w:footnote>
  <w:footnote w:type="continuationSeparator" w:id="0">
    <w:p w:rsidR="003B2059" w:rsidRPr="0000007A" w:rsidRDefault="003B205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7053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4E33EA"/>
    <w:multiLevelType w:val="hybridMultilevel"/>
    <w:tmpl w:val="E9201DDE"/>
    <w:lvl w:ilvl="0" w:tplc="FD00A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078E"/>
    <w:rsid w:val="00084D7C"/>
    <w:rsid w:val="00091112"/>
    <w:rsid w:val="000936AC"/>
    <w:rsid w:val="00095A59"/>
    <w:rsid w:val="000A2134"/>
    <w:rsid w:val="000A6F41"/>
    <w:rsid w:val="000A7F1D"/>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32BC"/>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2438"/>
    <w:rsid w:val="002E6D86"/>
    <w:rsid w:val="002F6935"/>
    <w:rsid w:val="00312559"/>
    <w:rsid w:val="003204B8"/>
    <w:rsid w:val="0033692F"/>
    <w:rsid w:val="00346223"/>
    <w:rsid w:val="003A04AA"/>
    <w:rsid w:val="003A04E7"/>
    <w:rsid w:val="003A4991"/>
    <w:rsid w:val="003A6E1A"/>
    <w:rsid w:val="003B2059"/>
    <w:rsid w:val="003B2172"/>
    <w:rsid w:val="003E746A"/>
    <w:rsid w:val="0042465A"/>
    <w:rsid w:val="004356CC"/>
    <w:rsid w:val="00435B36"/>
    <w:rsid w:val="00442B24"/>
    <w:rsid w:val="0044444D"/>
    <w:rsid w:val="0044519B"/>
    <w:rsid w:val="00445B35"/>
    <w:rsid w:val="00446659"/>
    <w:rsid w:val="00451388"/>
    <w:rsid w:val="00457AB1"/>
    <w:rsid w:val="00457BC0"/>
    <w:rsid w:val="00462996"/>
    <w:rsid w:val="004674B4"/>
    <w:rsid w:val="00491CD4"/>
    <w:rsid w:val="004B4CAD"/>
    <w:rsid w:val="004B4FDC"/>
    <w:rsid w:val="004C3DF1"/>
    <w:rsid w:val="004D2E36"/>
    <w:rsid w:val="004D59FF"/>
    <w:rsid w:val="00503AB6"/>
    <w:rsid w:val="005047C5"/>
    <w:rsid w:val="00510920"/>
    <w:rsid w:val="00515D6E"/>
    <w:rsid w:val="00521812"/>
    <w:rsid w:val="00523D2C"/>
    <w:rsid w:val="00531C82"/>
    <w:rsid w:val="005339A8"/>
    <w:rsid w:val="00533FC1"/>
    <w:rsid w:val="0054564B"/>
    <w:rsid w:val="00545A13"/>
    <w:rsid w:val="00546343"/>
    <w:rsid w:val="00557CD3"/>
    <w:rsid w:val="00560D3C"/>
    <w:rsid w:val="00567DE0"/>
    <w:rsid w:val="00572574"/>
    <w:rsid w:val="005735A5"/>
    <w:rsid w:val="005A5BE0"/>
    <w:rsid w:val="005B12E0"/>
    <w:rsid w:val="005B2ED6"/>
    <w:rsid w:val="005C25A0"/>
    <w:rsid w:val="005D230D"/>
    <w:rsid w:val="00602DB2"/>
    <w:rsid w:val="00602F7D"/>
    <w:rsid w:val="00605952"/>
    <w:rsid w:val="00614586"/>
    <w:rsid w:val="00620677"/>
    <w:rsid w:val="00624032"/>
    <w:rsid w:val="006305AC"/>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7762"/>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5B6E"/>
    <w:rsid w:val="008F36E4"/>
    <w:rsid w:val="009324B5"/>
    <w:rsid w:val="00933C8B"/>
    <w:rsid w:val="00947965"/>
    <w:rsid w:val="009553EC"/>
    <w:rsid w:val="0097330E"/>
    <w:rsid w:val="00974330"/>
    <w:rsid w:val="00974435"/>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953B7"/>
    <w:rsid w:val="00AA41B3"/>
    <w:rsid w:val="00AA6670"/>
    <w:rsid w:val="00AB1ED6"/>
    <w:rsid w:val="00AB397D"/>
    <w:rsid w:val="00AB638A"/>
    <w:rsid w:val="00AB6E43"/>
    <w:rsid w:val="00AC1349"/>
    <w:rsid w:val="00AD6C51"/>
    <w:rsid w:val="00AF3016"/>
    <w:rsid w:val="00AF5CBC"/>
    <w:rsid w:val="00B03A45"/>
    <w:rsid w:val="00B066E6"/>
    <w:rsid w:val="00B2236C"/>
    <w:rsid w:val="00B22FE6"/>
    <w:rsid w:val="00B3033D"/>
    <w:rsid w:val="00B356AF"/>
    <w:rsid w:val="00B43327"/>
    <w:rsid w:val="00B6006C"/>
    <w:rsid w:val="00B62087"/>
    <w:rsid w:val="00B62F41"/>
    <w:rsid w:val="00B73785"/>
    <w:rsid w:val="00B760E1"/>
    <w:rsid w:val="00B7629D"/>
    <w:rsid w:val="00B807F8"/>
    <w:rsid w:val="00B858FF"/>
    <w:rsid w:val="00BA1AB3"/>
    <w:rsid w:val="00BA6421"/>
    <w:rsid w:val="00BB34E6"/>
    <w:rsid w:val="00BB4FEC"/>
    <w:rsid w:val="00BC402F"/>
    <w:rsid w:val="00BD27BA"/>
    <w:rsid w:val="00BE0608"/>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26D03"/>
    <w:rsid w:val="00D3257B"/>
    <w:rsid w:val="00D40416"/>
    <w:rsid w:val="00D45CF7"/>
    <w:rsid w:val="00D4782A"/>
    <w:rsid w:val="00D7603E"/>
    <w:rsid w:val="00D8579C"/>
    <w:rsid w:val="00D90124"/>
    <w:rsid w:val="00D938BD"/>
    <w:rsid w:val="00D9392F"/>
    <w:rsid w:val="00D940D3"/>
    <w:rsid w:val="00DA41F5"/>
    <w:rsid w:val="00DB5B54"/>
    <w:rsid w:val="00DB7E1B"/>
    <w:rsid w:val="00DC1D81"/>
    <w:rsid w:val="00E451EA"/>
    <w:rsid w:val="00E53E52"/>
    <w:rsid w:val="00E57F4B"/>
    <w:rsid w:val="00E63889"/>
    <w:rsid w:val="00E65EB7"/>
    <w:rsid w:val="00E71C8D"/>
    <w:rsid w:val="00E72360"/>
    <w:rsid w:val="00E803C6"/>
    <w:rsid w:val="00E82DF5"/>
    <w:rsid w:val="00E972A7"/>
    <w:rsid w:val="00EA2839"/>
    <w:rsid w:val="00EB3E91"/>
    <w:rsid w:val="00EC224F"/>
    <w:rsid w:val="00EC6894"/>
    <w:rsid w:val="00ED6B12"/>
    <w:rsid w:val="00EE0D3E"/>
    <w:rsid w:val="00EF153D"/>
    <w:rsid w:val="00EF326D"/>
    <w:rsid w:val="00EF53FE"/>
    <w:rsid w:val="00EF54EA"/>
    <w:rsid w:val="00F245A7"/>
    <w:rsid w:val="00F2643C"/>
    <w:rsid w:val="00F3295A"/>
    <w:rsid w:val="00F34D8E"/>
    <w:rsid w:val="00F3669D"/>
    <w:rsid w:val="00F405F8"/>
    <w:rsid w:val="00F41154"/>
    <w:rsid w:val="00F4700F"/>
    <w:rsid w:val="00F51F7F"/>
    <w:rsid w:val="00F573EA"/>
    <w:rsid w:val="00F57E9D"/>
    <w:rsid w:val="00F70534"/>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D9F95"/>
  <w15:docId w15:val="{13EB604D-BE7C-4CFD-8A75-863DF299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9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303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2704997">
      <w:bodyDiv w:val="1"/>
      <w:marLeft w:val="0"/>
      <w:marRight w:val="0"/>
      <w:marTop w:val="0"/>
      <w:marBottom w:val="0"/>
      <w:divBdr>
        <w:top w:val="none" w:sz="0" w:space="0" w:color="auto"/>
        <w:left w:val="none" w:sz="0" w:space="0" w:color="auto"/>
        <w:bottom w:val="none" w:sz="0" w:space="0" w:color="auto"/>
        <w:right w:val="none" w:sz="0" w:space="0" w:color="auto"/>
      </w:divBdr>
    </w:div>
    <w:div w:id="415328008">
      <w:bodyDiv w:val="1"/>
      <w:marLeft w:val="0"/>
      <w:marRight w:val="0"/>
      <w:marTop w:val="0"/>
      <w:marBottom w:val="0"/>
      <w:divBdr>
        <w:top w:val="none" w:sz="0" w:space="0" w:color="auto"/>
        <w:left w:val="none" w:sz="0" w:space="0" w:color="auto"/>
        <w:bottom w:val="none" w:sz="0" w:space="0" w:color="auto"/>
        <w:right w:val="none" w:sz="0" w:space="0" w:color="auto"/>
      </w:divBdr>
    </w:div>
    <w:div w:id="47383383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7249508">
      <w:bodyDiv w:val="1"/>
      <w:marLeft w:val="0"/>
      <w:marRight w:val="0"/>
      <w:marTop w:val="0"/>
      <w:marBottom w:val="0"/>
      <w:divBdr>
        <w:top w:val="none" w:sz="0" w:space="0" w:color="auto"/>
        <w:left w:val="none" w:sz="0" w:space="0" w:color="auto"/>
        <w:bottom w:val="none" w:sz="0" w:space="0" w:color="auto"/>
        <w:right w:val="none" w:sz="0" w:space="0" w:color="auto"/>
      </w:divBdr>
    </w:div>
    <w:div w:id="642470382">
      <w:bodyDiv w:val="1"/>
      <w:marLeft w:val="0"/>
      <w:marRight w:val="0"/>
      <w:marTop w:val="0"/>
      <w:marBottom w:val="0"/>
      <w:divBdr>
        <w:top w:val="none" w:sz="0" w:space="0" w:color="auto"/>
        <w:left w:val="none" w:sz="0" w:space="0" w:color="auto"/>
        <w:bottom w:val="none" w:sz="0" w:space="0" w:color="auto"/>
        <w:right w:val="none" w:sz="0" w:space="0" w:color="auto"/>
      </w:divBdr>
    </w:div>
    <w:div w:id="8075480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1517898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48238708">
      <w:bodyDiv w:val="1"/>
      <w:marLeft w:val="0"/>
      <w:marRight w:val="0"/>
      <w:marTop w:val="0"/>
      <w:marBottom w:val="0"/>
      <w:divBdr>
        <w:top w:val="none" w:sz="0" w:space="0" w:color="auto"/>
        <w:left w:val="none" w:sz="0" w:space="0" w:color="auto"/>
        <w:bottom w:val="none" w:sz="0" w:space="0" w:color="auto"/>
        <w:right w:val="none" w:sz="0" w:space="0" w:color="auto"/>
      </w:divBdr>
    </w:div>
    <w:div w:id="1967081460">
      <w:bodyDiv w:val="1"/>
      <w:marLeft w:val="0"/>
      <w:marRight w:val="0"/>
      <w:marTop w:val="0"/>
      <w:marBottom w:val="0"/>
      <w:divBdr>
        <w:top w:val="none" w:sz="0" w:space="0" w:color="auto"/>
        <w:left w:val="none" w:sz="0" w:space="0" w:color="auto"/>
        <w:bottom w:val="none" w:sz="0" w:space="0" w:color="auto"/>
        <w:right w:val="none" w:sz="0" w:space="0" w:color="auto"/>
      </w:divBdr>
    </w:div>
    <w:div w:id="19760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ba.com/index.php/AJE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72C79-F83A-4C7F-82B1-587B0178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6</cp:revision>
  <dcterms:created xsi:type="dcterms:W3CDTF">2025-08-16T14:27:00Z</dcterms:created>
  <dcterms:modified xsi:type="dcterms:W3CDTF">2025-08-21T08:14:00Z</dcterms:modified>
</cp:coreProperties>
</file>