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8797B" w14:textId="5FAB0AB2" w:rsidR="00D308A4" w:rsidRDefault="00070141" w:rsidP="00D308A4">
      <w:pPr>
        <w:spacing w:after="160" w:line="256" w:lineRule="auto"/>
        <w:jc w:val="center"/>
        <w:rPr>
          <w:rFonts w:ascii="Arial" w:hAnsi="Arial" w:cs="Arial"/>
          <w:b/>
          <w:bCs/>
        </w:rPr>
      </w:pPr>
      <w:bookmarkStart w:id="0" w:name="_Toc497842377"/>
      <w:bookmarkStart w:id="1" w:name="_Toc516849216"/>
      <w:bookmarkStart w:id="2" w:name="_Toc516911563"/>
      <w:bookmarkStart w:id="3" w:name="_Toc516911894"/>
      <w:bookmarkStart w:id="4" w:name="_Toc516913286"/>
      <w:bookmarkStart w:id="5" w:name="_Toc143611025"/>
      <w:bookmarkStart w:id="6" w:name="_Toc200694747"/>
      <w:bookmarkStart w:id="7" w:name="_Toc497842382"/>
      <w:bookmarkStart w:id="8" w:name="_Toc516849218"/>
      <w:bookmarkStart w:id="9" w:name="_Hlk200463713"/>
      <w:bookmarkStart w:id="10" w:name="_GoBack"/>
      <w:bookmarkEnd w:id="10"/>
      <w:r w:rsidRPr="003B19DA">
        <w:rPr>
          <w:rFonts w:ascii="Arial" w:hAnsi="Arial" w:cs="Arial"/>
          <w:b/>
          <w:bCs/>
        </w:rPr>
        <w:t xml:space="preserve">The Digital Key: Unlocking Financial Inclusion for Rural </w:t>
      </w:r>
      <w:r w:rsidR="003B0E2A" w:rsidRPr="003B19DA">
        <w:rPr>
          <w:rFonts w:ascii="Arial" w:hAnsi="Arial" w:cs="Arial"/>
          <w:b/>
          <w:bCs/>
        </w:rPr>
        <w:t xml:space="preserve">Women in </w:t>
      </w:r>
      <w:commentRangeStart w:id="11"/>
      <w:r w:rsidR="003B0E2A" w:rsidRPr="003B19DA">
        <w:rPr>
          <w:rFonts w:ascii="Arial" w:hAnsi="Arial" w:cs="Arial"/>
          <w:b/>
          <w:bCs/>
        </w:rPr>
        <w:t>Kenya</w:t>
      </w:r>
      <w:commentRangeEnd w:id="11"/>
      <w:r w:rsidR="00D5766B">
        <w:rPr>
          <w:rStyle w:val="CommentReference"/>
        </w:rPr>
        <w:commentReference w:id="11"/>
      </w:r>
    </w:p>
    <w:p w14:paraId="0CB91076" w14:textId="77777777" w:rsidR="009B4DCC" w:rsidRPr="003B19DA" w:rsidRDefault="009B4DCC" w:rsidP="00D308A4">
      <w:pPr>
        <w:spacing w:after="160" w:line="256" w:lineRule="auto"/>
        <w:jc w:val="center"/>
        <w:rPr>
          <w:rFonts w:ascii="Arial" w:hAnsi="Arial" w:cs="Arial"/>
          <w:b/>
          <w:bCs/>
          <w:i/>
        </w:rPr>
      </w:pPr>
    </w:p>
    <w:p w14:paraId="20F96A85" w14:textId="77777777" w:rsidR="00D308A4" w:rsidRPr="003B19DA" w:rsidRDefault="00D308A4" w:rsidP="003B19DA">
      <w:pPr>
        <w:keepNext/>
        <w:keepLines/>
        <w:spacing w:before="240" w:after="160" w:line="256" w:lineRule="auto"/>
        <w:jc w:val="both"/>
        <w:outlineLvl w:val="0"/>
        <w:rPr>
          <w:rFonts w:ascii="Arial" w:eastAsia="Times New Roman" w:hAnsi="Arial" w:cs="Arial"/>
          <w:b/>
        </w:rPr>
      </w:pPr>
      <w:bookmarkStart w:id="12" w:name="_Toc103872049"/>
      <w:bookmarkStart w:id="13" w:name="_Toc516913288"/>
      <w:bookmarkStart w:id="14" w:name="_Toc102732406"/>
      <w:bookmarkStart w:id="15" w:name="_Toc102738864"/>
      <w:bookmarkEnd w:id="0"/>
      <w:bookmarkEnd w:id="1"/>
      <w:bookmarkEnd w:id="2"/>
      <w:bookmarkEnd w:id="3"/>
      <w:bookmarkEnd w:id="4"/>
      <w:r w:rsidRPr="003B19DA">
        <w:rPr>
          <w:rFonts w:ascii="Arial" w:eastAsia="Times New Roman" w:hAnsi="Arial" w:cs="Arial"/>
          <w:b/>
        </w:rPr>
        <w:t>ABSTRACT</w:t>
      </w:r>
      <w:bookmarkEnd w:id="12"/>
    </w:p>
    <w:p w14:paraId="05B320E0" w14:textId="30E01603" w:rsidR="002A4546" w:rsidRPr="003B19DA" w:rsidRDefault="002A4546" w:rsidP="003B19DA">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This study investigates the transformative influence of digital finance on the financial inclusion of rural women in Kenya. </w:t>
      </w:r>
      <w:commentRangeStart w:id="16"/>
      <w:r w:rsidRPr="003B19DA">
        <w:rPr>
          <w:rFonts w:ascii="Arial" w:hAnsi="Arial" w:cs="Arial"/>
          <w:kern w:val="2"/>
          <w:sz w:val="20"/>
          <w:szCs w:val="20"/>
          <w14:ligatures w14:val="standardContextual"/>
        </w:rPr>
        <w:t>Despite being the backbone of the rural economy, women in these areas often face significant barriers to accessing traditional banking services, including geographical distance, lack of collateral, and socio-cultural norms</w:t>
      </w:r>
      <w:commentRangeEnd w:id="16"/>
      <w:r w:rsidR="00D5766B">
        <w:rPr>
          <w:rStyle w:val="CommentReference"/>
        </w:rPr>
        <w:commentReference w:id="16"/>
      </w:r>
      <w:r w:rsidRPr="003B19DA">
        <w:rPr>
          <w:rFonts w:ascii="Arial" w:hAnsi="Arial" w:cs="Arial"/>
          <w:kern w:val="2"/>
          <w:sz w:val="20"/>
          <w:szCs w:val="20"/>
          <w14:ligatures w14:val="standardContextual"/>
        </w:rPr>
        <w:t>. The advent of digital financial services (DFS), such as mobile money (M-</w:t>
      </w:r>
      <w:proofErr w:type="spellStart"/>
      <w:r w:rsidRPr="003B19DA">
        <w:rPr>
          <w:rFonts w:ascii="Arial" w:hAnsi="Arial" w:cs="Arial"/>
          <w:kern w:val="2"/>
          <w:sz w:val="20"/>
          <w:szCs w:val="20"/>
          <w14:ligatures w14:val="standardContextual"/>
        </w:rPr>
        <w:t>Pesa</w:t>
      </w:r>
      <w:proofErr w:type="spellEnd"/>
      <w:r w:rsidRPr="003B19DA">
        <w:rPr>
          <w:rFonts w:ascii="Arial" w:hAnsi="Arial" w:cs="Arial"/>
          <w:kern w:val="2"/>
          <w:sz w:val="20"/>
          <w:szCs w:val="20"/>
          <w14:ligatures w14:val="standardContextual"/>
        </w:rPr>
        <w:t>), micro-lending platforms (M-</w:t>
      </w:r>
      <w:proofErr w:type="spellStart"/>
      <w:r w:rsidRPr="003B19DA">
        <w:rPr>
          <w:rFonts w:ascii="Arial" w:hAnsi="Arial" w:cs="Arial"/>
          <w:kern w:val="2"/>
          <w:sz w:val="20"/>
          <w:szCs w:val="20"/>
          <w14:ligatures w14:val="standardContextual"/>
        </w:rPr>
        <w:t>Shwari</w:t>
      </w:r>
      <w:proofErr w:type="spellEnd"/>
      <w:r w:rsidRPr="003B19DA">
        <w:rPr>
          <w:rFonts w:ascii="Arial" w:hAnsi="Arial" w:cs="Arial"/>
          <w:kern w:val="2"/>
          <w:sz w:val="20"/>
          <w:szCs w:val="20"/>
          <w14:ligatures w14:val="standardContextual"/>
        </w:rPr>
        <w:t xml:space="preserve">), and digital savings groups, </w:t>
      </w:r>
      <w:commentRangeStart w:id="17"/>
      <w:r w:rsidRPr="003B19DA">
        <w:rPr>
          <w:rFonts w:ascii="Arial" w:hAnsi="Arial" w:cs="Arial"/>
          <w:kern w:val="2"/>
          <w:sz w:val="20"/>
          <w:szCs w:val="20"/>
          <w14:ligatures w14:val="standardContextual"/>
        </w:rPr>
        <w:t>has</w:t>
      </w:r>
      <w:commentRangeEnd w:id="17"/>
      <w:r w:rsidR="00D5766B">
        <w:rPr>
          <w:rStyle w:val="CommentReference"/>
        </w:rPr>
        <w:commentReference w:id="17"/>
      </w:r>
      <w:r w:rsidRPr="003B19DA">
        <w:rPr>
          <w:rFonts w:ascii="Arial" w:hAnsi="Arial" w:cs="Arial"/>
          <w:kern w:val="2"/>
          <w:sz w:val="20"/>
          <w:szCs w:val="20"/>
          <w14:ligatures w14:val="standardContextual"/>
        </w:rPr>
        <w:t xml:space="preserve"> the </w:t>
      </w:r>
      <w:commentRangeStart w:id="18"/>
      <w:r w:rsidRPr="003B19DA">
        <w:rPr>
          <w:rFonts w:ascii="Arial" w:hAnsi="Arial" w:cs="Arial"/>
          <w:kern w:val="2"/>
          <w:sz w:val="20"/>
          <w:szCs w:val="20"/>
          <w14:ligatures w14:val="standardContextual"/>
        </w:rPr>
        <w:t>potentia</w:t>
      </w:r>
      <w:commentRangeEnd w:id="18"/>
      <w:r w:rsidR="00EE3E39">
        <w:rPr>
          <w:rStyle w:val="CommentReference"/>
        </w:rPr>
        <w:commentReference w:id="18"/>
      </w:r>
      <w:r w:rsidRPr="003B19DA">
        <w:rPr>
          <w:rFonts w:ascii="Arial" w:hAnsi="Arial" w:cs="Arial"/>
          <w:kern w:val="2"/>
          <w:sz w:val="20"/>
          <w:szCs w:val="20"/>
          <w14:ligatures w14:val="standardContextual"/>
        </w:rPr>
        <w:t xml:space="preserve">l to overcome these obstacles and significantly enhance their financial participation. This research employs a cross-sectional descriptive design on a sample of 1000 rural Kenyan women purposively selected. Using the partial Least Squares Structural Equation Model (PLS SEM) and the chi-Square test of independence the study </w:t>
      </w:r>
      <w:commentRangeStart w:id="19"/>
      <w:r w:rsidRPr="003B19DA">
        <w:rPr>
          <w:rFonts w:ascii="Arial" w:hAnsi="Arial" w:cs="Arial"/>
          <w:kern w:val="2"/>
          <w:sz w:val="20"/>
          <w:szCs w:val="20"/>
          <w14:ligatures w14:val="standardContextual"/>
        </w:rPr>
        <w:t>establishes</w:t>
      </w:r>
      <w:commentRangeEnd w:id="19"/>
      <w:r w:rsidR="00EE3E39">
        <w:rPr>
          <w:rStyle w:val="CommentReference"/>
        </w:rPr>
        <w:commentReference w:id="19"/>
      </w:r>
      <w:r w:rsidRPr="003B19DA">
        <w:rPr>
          <w:rFonts w:ascii="Arial" w:hAnsi="Arial" w:cs="Arial"/>
          <w:kern w:val="2"/>
          <w:sz w:val="20"/>
          <w:szCs w:val="20"/>
          <w14:ligatures w14:val="standardContextual"/>
        </w:rPr>
        <w:t xml:space="preserve"> relationship that exists between adoption and usage if digital payment systems and access and usage of formal financial services. The findings indicate a strong positive relationship between the use of digital financial systems and increased financial inclusion among rural Kenyan women. The study highlights that digital finance not only provides a convenient and secure way to save and transact but also serves as a gateway to formal financial services and entrepreneurial opportunities. The </w:t>
      </w:r>
      <w:commentRangeStart w:id="20"/>
      <w:r w:rsidRPr="003B19DA">
        <w:rPr>
          <w:rFonts w:ascii="Arial" w:hAnsi="Arial" w:cs="Arial"/>
          <w:kern w:val="2"/>
          <w:sz w:val="20"/>
          <w:szCs w:val="20"/>
          <w14:ligatures w14:val="standardContextual"/>
        </w:rPr>
        <w:t>abstract</w:t>
      </w:r>
      <w:commentRangeEnd w:id="20"/>
      <w:r w:rsidR="00EE3E39">
        <w:rPr>
          <w:rStyle w:val="CommentReference"/>
        </w:rPr>
        <w:commentReference w:id="20"/>
      </w:r>
      <w:r w:rsidRPr="003B19DA">
        <w:rPr>
          <w:rFonts w:ascii="Arial" w:hAnsi="Arial" w:cs="Arial"/>
          <w:kern w:val="2"/>
          <w:sz w:val="20"/>
          <w:szCs w:val="20"/>
          <w14:ligatures w14:val="standardContextual"/>
        </w:rPr>
        <w:t xml:space="preserve"> concludes </w:t>
      </w:r>
      <w:commentRangeStart w:id="21"/>
      <w:r w:rsidRPr="003B19DA">
        <w:rPr>
          <w:rFonts w:ascii="Arial" w:hAnsi="Arial" w:cs="Arial"/>
          <w:kern w:val="2"/>
          <w:sz w:val="20"/>
          <w:szCs w:val="20"/>
          <w14:ligatures w14:val="standardContextual"/>
        </w:rPr>
        <w:t>by emphasizing the need for targeted policies and digital literacy programs to ensure that this digital revolution effectively and equitably empowers rural women, thereby contributing to broader economic development and gender equality in Kenya.</w:t>
      </w:r>
      <w:commentRangeEnd w:id="21"/>
      <w:r w:rsidR="00EE3E39">
        <w:rPr>
          <w:rStyle w:val="CommentReference"/>
        </w:rPr>
        <w:commentReference w:id="21"/>
      </w:r>
    </w:p>
    <w:p w14:paraId="6C6F03FE" w14:textId="071EF57E" w:rsidR="003628B7" w:rsidRPr="003B19DA" w:rsidRDefault="00D308A4" w:rsidP="003B19DA">
      <w:pPr>
        <w:spacing w:after="160" w:line="240" w:lineRule="auto"/>
        <w:jc w:val="both"/>
        <w:rPr>
          <w:rFonts w:ascii="Arial" w:hAnsi="Arial" w:cs="Arial"/>
          <w:i/>
          <w:iCs/>
          <w:sz w:val="20"/>
          <w:szCs w:val="20"/>
        </w:rPr>
      </w:pPr>
      <w:r w:rsidRPr="003B19DA">
        <w:rPr>
          <w:rFonts w:ascii="Arial" w:hAnsi="Arial" w:cs="Arial"/>
          <w:b/>
          <w:sz w:val="20"/>
          <w:szCs w:val="20"/>
        </w:rPr>
        <w:t>Key words:</w:t>
      </w:r>
      <w:r w:rsidRPr="003B19DA">
        <w:rPr>
          <w:rFonts w:ascii="Arial" w:hAnsi="Arial" w:cs="Arial"/>
          <w:sz w:val="20"/>
          <w:szCs w:val="20"/>
        </w:rPr>
        <w:t xml:space="preserve"> </w:t>
      </w:r>
      <w:r w:rsidR="002A4546" w:rsidRPr="003B19DA">
        <w:rPr>
          <w:rFonts w:ascii="Arial" w:hAnsi="Arial" w:cs="Arial"/>
          <w:i/>
          <w:iCs/>
          <w:sz w:val="20"/>
          <w:szCs w:val="20"/>
        </w:rPr>
        <w:t>Digital Finance</w:t>
      </w:r>
      <w:r w:rsidRPr="003B19DA">
        <w:rPr>
          <w:rFonts w:ascii="Arial" w:hAnsi="Arial" w:cs="Arial"/>
          <w:i/>
          <w:iCs/>
          <w:sz w:val="20"/>
          <w:szCs w:val="20"/>
        </w:rPr>
        <w:t xml:space="preserve">, </w:t>
      </w:r>
      <w:r w:rsidR="002A4546" w:rsidRPr="003B19DA">
        <w:rPr>
          <w:rFonts w:ascii="Arial" w:hAnsi="Arial" w:cs="Arial"/>
          <w:i/>
          <w:iCs/>
          <w:sz w:val="20"/>
          <w:szCs w:val="20"/>
        </w:rPr>
        <w:t xml:space="preserve">Digital Financial Services, </w:t>
      </w:r>
      <w:proofErr w:type="spellStart"/>
      <w:r w:rsidR="002A4546" w:rsidRPr="003B19DA">
        <w:rPr>
          <w:rFonts w:ascii="Arial" w:hAnsi="Arial" w:cs="Arial"/>
          <w:i/>
          <w:iCs/>
          <w:sz w:val="20"/>
          <w:szCs w:val="20"/>
        </w:rPr>
        <w:t>FinTech</w:t>
      </w:r>
      <w:proofErr w:type="spellEnd"/>
      <w:r w:rsidR="002A4546" w:rsidRPr="003B19DA">
        <w:rPr>
          <w:rFonts w:ascii="Arial" w:hAnsi="Arial" w:cs="Arial"/>
          <w:i/>
          <w:iCs/>
          <w:sz w:val="20"/>
          <w:szCs w:val="20"/>
        </w:rPr>
        <w:t xml:space="preserve">, </w:t>
      </w:r>
      <w:r w:rsidRPr="003B19DA">
        <w:rPr>
          <w:rFonts w:ascii="Arial" w:hAnsi="Arial" w:cs="Arial"/>
          <w:i/>
          <w:iCs/>
          <w:sz w:val="20"/>
          <w:szCs w:val="20"/>
        </w:rPr>
        <w:t xml:space="preserve">Financial Inclusion, </w:t>
      </w:r>
      <w:r w:rsidR="002A4546" w:rsidRPr="003B19DA">
        <w:rPr>
          <w:rFonts w:ascii="Arial" w:hAnsi="Arial" w:cs="Arial"/>
          <w:i/>
          <w:iCs/>
          <w:sz w:val="20"/>
          <w:szCs w:val="20"/>
        </w:rPr>
        <w:t>Digital Divide</w:t>
      </w:r>
      <w:r w:rsidR="00070141" w:rsidRPr="003B19DA">
        <w:rPr>
          <w:rFonts w:ascii="Arial" w:hAnsi="Arial" w:cs="Arial"/>
          <w:i/>
          <w:iCs/>
          <w:sz w:val="20"/>
          <w:szCs w:val="20"/>
        </w:rPr>
        <w:t>, digital Key</w:t>
      </w:r>
      <w:r w:rsidRPr="003B19DA">
        <w:rPr>
          <w:rFonts w:ascii="Arial" w:hAnsi="Arial" w:cs="Arial"/>
          <w:i/>
          <w:iCs/>
          <w:sz w:val="20"/>
          <w:szCs w:val="20"/>
        </w:rPr>
        <w:t>.</w:t>
      </w:r>
    </w:p>
    <w:p w14:paraId="1F14A3BE" w14:textId="656E7715" w:rsidR="003628B7" w:rsidRPr="00070141" w:rsidRDefault="003628B7">
      <w:pPr>
        <w:spacing w:after="0" w:line="240" w:lineRule="auto"/>
        <w:rPr>
          <w:rFonts w:ascii="Times New Roman" w:hAnsi="Times New Roman"/>
          <w:i/>
          <w:iCs/>
        </w:rPr>
      </w:pPr>
    </w:p>
    <w:bookmarkEnd w:id="5"/>
    <w:bookmarkEnd w:id="6"/>
    <w:bookmarkEnd w:id="7"/>
    <w:bookmarkEnd w:id="8"/>
    <w:bookmarkEnd w:id="13"/>
    <w:bookmarkEnd w:id="14"/>
    <w:bookmarkEnd w:id="15"/>
    <w:p w14:paraId="37F7519E" w14:textId="6C2E7EC8" w:rsidR="00200FD3" w:rsidRPr="003B19DA" w:rsidRDefault="003621F3" w:rsidP="003B19DA">
      <w:pPr>
        <w:pStyle w:val="Heading2"/>
        <w:numPr>
          <w:ilvl w:val="0"/>
          <w:numId w:val="61"/>
        </w:numPr>
      </w:pPr>
      <w:r w:rsidRPr="003B19DA">
        <w:t>Introduction</w:t>
      </w:r>
    </w:p>
    <w:p w14:paraId="503AFEFA" w14:textId="77777777" w:rsidR="00E10984" w:rsidRPr="003B19DA" w:rsidRDefault="00E10984" w:rsidP="002A4546">
      <w:pPr>
        <w:shd w:val="clear" w:color="auto" w:fill="FFFFFF"/>
        <w:spacing w:before="100" w:beforeAutospacing="1" w:after="100" w:afterAutospacing="1" w:line="240" w:lineRule="auto"/>
        <w:jc w:val="both"/>
        <w:rPr>
          <w:rFonts w:ascii="Arial" w:hAnsi="Arial" w:cs="Arial"/>
          <w:sz w:val="20"/>
          <w:szCs w:val="20"/>
        </w:rPr>
      </w:pPr>
      <w:commentRangeStart w:id="22"/>
      <w:r w:rsidRPr="003B19DA">
        <w:rPr>
          <w:rFonts w:ascii="Arial" w:hAnsi="Arial" w:cs="Arial"/>
          <w:sz w:val="20"/>
          <w:szCs w:val="20"/>
        </w:rPr>
        <w:t xml:space="preserve">Financial inclusion has become a key concern for governments globally and a core pillar of global </w:t>
      </w:r>
      <w:commentRangeEnd w:id="22"/>
      <w:r w:rsidR="00CB1556">
        <w:rPr>
          <w:rStyle w:val="CommentReference"/>
        </w:rPr>
        <w:commentReference w:id="22"/>
      </w:r>
      <w:r w:rsidRPr="003B19DA">
        <w:rPr>
          <w:rFonts w:ascii="Arial" w:hAnsi="Arial" w:cs="Arial"/>
          <w:sz w:val="20"/>
          <w:szCs w:val="20"/>
        </w:rPr>
        <w:t>development, as recognized by the G20 (</w:t>
      </w:r>
      <w:commentRangeStart w:id="23"/>
      <w:proofErr w:type="spellStart"/>
      <w:r w:rsidRPr="003B19DA">
        <w:rPr>
          <w:rFonts w:ascii="Arial" w:hAnsi="Arial" w:cs="Arial"/>
          <w:sz w:val="20"/>
          <w:szCs w:val="20"/>
        </w:rPr>
        <w:t>Buch</w:t>
      </w:r>
      <w:proofErr w:type="spellEnd"/>
      <w:r w:rsidRPr="003B19DA">
        <w:rPr>
          <w:rFonts w:ascii="Arial" w:hAnsi="Arial" w:cs="Arial"/>
          <w:sz w:val="20"/>
          <w:szCs w:val="20"/>
        </w:rPr>
        <w:t>, 2017</w:t>
      </w:r>
      <w:commentRangeEnd w:id="23"/>
      <w:r w:rsidR="00525DE9">
        <w:rPr>
          <w:rStyle w:val="CommentReference"/>
        </w:rPr>
        <w:commentReference w:id="23"/>
      </w:r>
      <w:r w:rsidRPr="003B19DA">
        <w:rPr>
          <w:rFonts w:ascii="Arial" w:hAnsi="Arial" w:cs="Arial"/>
          <w:sz w:val="20"/>
          <w:szCs w:val="20"/>
        </w:rPr>
        <w:t xml:space="preserve">). </w:t>
      </w:r>
      <w:commentRangeStart w:id="24"/>
      <w:r w:rsidRPr="003B19DA">
        <w:rPr>
          <w:rFonts w:ascii="Arial" w:hAnsi="Arial" w:cs="Arial"/>
          <w:sz w:val="20"/>
          <w:szCs w:val="20"/>
        </w:rPr>
        <w:t>This is because a lack of access to financial services for vulnerable and low-income groups can hinder economic growth and exacerbate inequality (</w:t>
      </w:r>
      <w:proofErr w:type="spellStart"/>
      <w:r w:rsidRPr="003B19DA">
        <w:rPr>
          <w:rFonts w:ascii="Arial" w:hAnsi="Arial" w:cs="Arial"/>
          <w:sz w:val="20"/>
          <w:szCs w:val="20"/>
        </w:rPr>
        <w:t>Demirguc-Kunt</w:t>
      </w:r>
      <w:proofErr w:type="spellEnd"/>
      <w:r w:rsidRPr="003B19DA">
        <w:rPr>
          <w:rFonts w:ascii="Arial" w:hAnsi="Arial" w:cs="Arial"/>
          <w:sz w:val="20"/>
          <w:szCs w:val="20"/>
        </w:rPr>
        <w:t xml:space="preserve"> et al., 2008; </w:t>
      </w:r>
      <w:proofErr w:type="spellStart"/>
      <w:r w:rsidRPr="003B19DA">
        <w:rPr>
          <w:rFonts w:ascii="Arial" w:hAnsi="Arial" w:cs="Arial"/>
          <w:sz w:val="20"/>
          <w:szCs w:val="20"/>
        </w:rPr>
        <w:t>Widarwati</w:t>
      </w:r>
      <w:proofErr w:type="spellEnd"/>
      <w:r w:rsidRPr="003B19DA">
        <w:rPr>
          <w:rFonts w:ascii="Arial" w:hAnsi="Arial" w:cs="Arial"/>
          <w:sz w:val="20"/>
          <w:szCs w:val="20"/>
        </w:rPr>
        <w:t xml:space="preserve"> et al., 2022).</w:t>
      </w:r>
      <w:commentRangeEnd w:id="24"/>
      <w:r w:rsidR="00CB1556">
        <w:rPr>
          <w:rStyle w:val="CommentReference"/>
        </w:rPr>
        <w:commentReference w:id="24"/>
      </w:r>
      <w:r w:rsidRPr="003B19DA">
        <w:rPr>
          <w:rFonts w:ascii="Arial" w:hAnsi="Arial" w:cs="Arial"/>
          <w:sz w:val="20"/>
          <w:szCs w:val="20"/>
        </w:rPr>
        <w:t xml:space="preserve"> Financial inclusion involves providing affordable and useful financial products and services, such as credit, savings, and insurance, </w:t>
      </w:r>
      <w:commentRangeStart w:id="25"/>
      <w:r w:rsidRPr="003B19DA">
        <w:rPr>
          <w:rFonts w:ascii="Arial" w:hAnsi="Arial" w:cs="Arial"/>
          <w:sz w:val="20"/>
          <w:szCs w:val="20"/>
        </w:rPr>
        <w:t xml:space="preserve">to bring </w:t>
      </w:r>
      <w:commentRangeEnd w:id="25"/>
      <w:r w:rsidR="00F84F4F">
        <w:rPr>
          <w:rStyle w:val="CommentReference"/>
        </w:rPr>
        <w:commentReference w:id="25"/>
      </w:r>
      <w:r w:rsidRPr="003B19DA">
        <w:rPr>
          <w:rFonts w:ascii="Arial" w:hAnsi="Arial" w:cs="Arial"/>
          <w:sz w:val="20"/>
          <w:szCs w:val="20"/>
        </w:rPr>
        <w:t>excluded populations into the formal financial sector (</w:t>
      </w:r>
      <w:commentRangeStart w:id="26"/>
      <w:proofErr w:type="spellStart"/>
      <w:r w:rsidRPr="003B19DA">
        <w:rPr>
          <w:rFonts w:ascii="Arial" w:hAnsi="Arial" w:cs="Arial"/>
          <w:sz w:val="20"/>
          <w:szCs w:val="20"/>
        </w:rPr>
        <w:t>Sowjanga</w:t>
      </w:r>
      <w:proofErr w:type="spellEnd"/>
      <w:r w:rsidRPr="003B19DA">
        <w:rPr>
          <w:rFonts w:ascii="Arial" w:hAnsi="Arial" w:cs="Arial"/>
          <w:sz w:val="20"/>
          <w:szCs w:val="20"/>
        </w:rPr>
        <w:t xml:space="preserve"> et al., 2015</w:t>
      </w:r>
      <w:commentRangeEnd w:id="26"/>
      <w:r w:rsidR="00525DE9">
        <w:rPr>
          <w:rStyle w:val="CommentReference"/>
        </w:rPr>
        <w:commentReference w:id="26"/>
      </w:r>
      <w:r w:rsidRPr="003B19DA">
        <w:rPr>
          <w:rFonts w:ascii="Arial" w:hAnsi="Arial" w:cs="Arial"/>
          <w:sz w:val="20"/>
          <w:szCs w:val="20"/>
        </w:rPr>
        <w:t>; World Bank, 2018). The aim is to reduce poverty and inequality while fostering economic development.</w:t>
      </w:r>
    </w:p>
    <w:p w14:paraId="02B73C7A" w14:textId="77777777" w:rsidR="00E10984" w:rsidRPr="003B19DA" w:rsidRDefault="00E10984" w:rsidP="002A4546">
      <w:pPr>
        <w:shd w:val="clear" w:color="auto" w:fill="FFFFFF"/>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 xml:space="preserve">Over the past decade, significant progress has been made in increasing financial inclusion worldwide. According to the World Bank’s Global </w:t>
      </w:r>
      <w:proofErr w:type="spellStart"/>
      <w:r w:rsidRPr="003B19DA">
        <w:rPr>
          <w:rFonts w:ascii="Arial" w:hAnsi="Arial" w:cs="Arial"/>
          <w:sz w:val="20"/>
          <w:szCs w:val="20"/>
        </w:rPr>
        <w:t>Findex</w:t>
      </w:r>
      <w:proofErr w:type="spellEnd"/>
      <w:r w:rsidRPr="003B19DA">
        <w:rPr>
          <w:rFonts w:ascii="Arial" w:hAnsi="Arial" w:cs="Arial"/>
          <w:sz w:val="20"/>
          <w:szCs w:val="20"/>
        </w:rPr>
        <w:t xml:space="preserve"> survey (2021), adult account ownership has risen to 76% globally and 71% in developing economies. While countries like the USA and South Africa have high rates of financial inclusion at 95% and 91% respectively, regions such as South Asia lag behind with a 68% rate. Even within countries with high overall inclusion, disparities exist. In Kenya, despite a high overall financial inclusion rate of 84%, significant segments of the population remain partially or fully excluded, particularly women in rural areas (</w:t>
      </w:r>
      <w:proofErr w:type="spellStart"/>
      <w:r w:rsidRPr="003B19DA">
        <w:rPr>
          <w:rFonts w:ascii="Arial" w:hAnsi="Arial" w:cs="Arial"/>
          <w:sz w:val="20"/>
          <w:szCs w:val="20"/>
        </w:rPr>
        <w:t>FinAccess</w:t>
      </w:r>
      <w:proofErr w:type="spellEnd"/>
      <w:r w:rsidRPr="003B19DA">
        <w:rPr>
          <w:rFonts w:ascii="Arial" w:hAnsi="Arial" w:cs="Arial"/>
          <w:sz w:val="20"/>
          <w:szCs w:val="20"/>
        </w:rPr>
        <w:t xml:space="preserve"> Survey Report, 2021; </w:t>
      </w:r>
      <w:proofErr w:type="spellStart"/>
      <w:r w:rsidRPr="003B19DA">
        <w:rPr>
          <w:rFonts w:ascii="Arial" w:hAnsi="Arial" w:cs="Arial"/>
          <w:sz w:val="20"/>
          <w:szCs w:val="20"/>
        </w:rPr>
        <w:t>FinAccess</w:t>
      </w:r>
      <w:proofErr w:type="spellEnd"/>
      <w:r w:rsidRPr="003B19DA">
        <w:rPr>
          <w:rFonts w:ascii="Arial" w:hAnsi="Arial" w:cs="Arial"/>
          <w:sz w:val="20"/>
          <w:szCs w:val="20"/>
        </w:rPr>
        <w:t xml:space="preserve"> Deep Dives Report, 2023).</w:t>
      </w:r>
    </w:p>
    <w:p w14:paraId="63898E7C" w14:textId="08D80D22" w:rsidR="009F5C65" w:rsidRPr="003B19DA" w:rsidRDefault="00E10984" w:rsidP="002A4546">
      <w:pPr>
        <w:shd w:val="clear" w:color="auto" w:fill="FFFFFF"/>
        <w:spacing w:before="100" w:beforeAutospacing="1" w:after="100" w:afterAutospacing="1" w:line="240" w:lineRule="auto"/>
        <w:jc w:val="both"/>
        <w:rPr>
          <w:rFonts w:ascii="Arial" w:eastAsiaTheme="minorHAnsi" w:hAnsi="Arial" w:cs="Arial"/>
          <w:kern w:val="2"/>
          <w:sz w:val="20"/>
          <w:szCs w:val="20"/>
          <w:shd w:val="clear" w:color="auto" w:fill="FFFFFF"/>
          <w14:ligatures w14:val="standardContextual"/>
        </w:rPr>
      </w:pPr>
      <w:r w:rsidRPr="003B19DA">
        <w:rPr>
          <w:rFonts w:ascii="Arial" w:hAnsi="Arial" w:cs="Arial"/>
          <w:sz w:val="20"/>
          <w:szCs w:val="20"/>
        </w:rPr>
        <w:t xml:space="preserve">To address these persistent gaps, policymakers are increasingly turning to digital finance as a driver for financial inclusion. Digital finance leverages technology, such as mobile phones and computers, to extend financial services to the unbanked and underserved populations, reducing costs and providing more </w:t>
      </w:r>
      <w:r w:rsidRPr="003B19DA">
        <w:rPr>
          <w:rFonts w:ascii="Arial" w:hAnsi="Arial" w:cs="Arial"/>
          <w:sz w:val="20"/>
          <w:szCs w:val="20"/>
        </w:rPr>
        <w:lastRenderedPageBreak/>
        <w:t>convenient access (Asian Development Bank, 2016; Gibson et al., 2015; Yang et al., 2020). However, the effectiveness of digital finance is challenged by barriers like low financial and digital literacy, particularly among rural women (</w:t>
      </w:r>
      <w:proofErr w:type="spellStart"/>
      <w:r w:rsidRPr="003B19DA">
        <w:rPr>
          <w:rFonts w:ascii="Arial" w:hAnsi="Arial" w:cs="Arial"/>
          <w:sz w:val="20"/>
          <w:szCs w:val="20"/>
        </w:rPr>
        <w:t>Ozili</w:t>
      </w:r>
      <w:proofErr w:type="spellEnd"/>
      <w:r w:rsidRPr="003B19DA">
        <w:rPr>
          <w:rFonts w:ascii="Arial" w:hAnsi="Arial" w:cs="Arial"/>
          <w:sz w:val="20"/>
          <w:szCs w:val="20"/>
        </w:rPr>
        <w:t>, 2018; OECD, 2018). These challenges are compounded by a lack of access to digital technologies, gender biases, and sociocultural norms, all of which hinder women's ability to utilize digital financial services and achieve full financial inclusion.</w:t>
      </w:r>
    </w:p>
    <w:p w14:paraId="42A766FE" w14:textId="5EDBCF39" w:rsidR="00CE5A15" w:rsidRPr="003B19DA" w:rsidRDefault="00A64860" w:rsidP="003B19DA">
      <w:pPr>
        <w:pStyle w:val="ListParagraph"/>
        <w:numPr>
          <w:ilvl w:val="1"/>
          <w:numId w:val="59"/>
        </w:numPr>
        <w:shd w:val="clear" w:color="auto" w:fill="FFFFFF"/>
        <w:spacing w:before="100" w:beforeAutospacing="1" w:after="100" w:afterAutospacing="1" w:line="240" w:lineRule="auto"/>
        <w:ind w:left="720"/>
        <w:jc w:val="both"/>
        <w:rPr>
          <w:rFonts w:ascii="Arial" w:eastAsiaTheme="minorHAnsi" w:hAnsi="Arial" w:cs="Arial"/>
          <w:b/>
          <w:bCs/>
          <w:kern w:val="2"/>
          <w:sz w:val="20"/>
          <w:szCs w:val="20"/>
          <w:shd w:val="clear" w:color="auto" w:fill="FFFFFF"/>
          <w14:ligatures w14:val="standardContextual"/>
        </w:rPr>
      </w:pPr>
      <w:r w:rsidRPr="003B19DA">
        <w:rPr>
          <w:rFonts w:ascii="Arial" w:eastAsiaTheme="minorHAnsi" w:hAnsi="Arial" w:cs="Arial"/>
          <w:b/>
          <w:bCs/>
          <w:kern w:val="2"/>
          <w:sz w:val="20"/>
          <w:szCs w:val="20"/>
          <w:shd w:val="clear" w:color="auto" w:fill="FFFFFF"/>
          <w14:ligatures w14:val="standardContextual"/>
        </w:rPr>
        <w:t>The Concept of</w:t>
      </w:r>
      <w:r w:rsidR="00CE5A15" w:rsidRPr="003B19DA">
        <w:rPr>
          <w:rFonts w:ascii="Arial" w:hAnsi="Arial" w:cs="Arial"/>
          <w:sz w:val="20"/>
          <w:szCs w:val="20"/>
        </w:rPr>
        <w:t xml:space="preserve"> </w:t>
      </w:r>
      <w:r w:rsidR="00CE5A15" w:rsidRPr="003B19DA">
        <w:rPr>
          <w:rFonts w:ascii="Arial" w:hAnsi="Arial" w:cs="Arial"/>
          <w:b/>
          <w:bCs/>
          <w:sz w:val="20"/>
          <w:szCs w:val="20"/>
        </w:rPr>
        <w:t>Digital Finance</w:t>
      </w:r>
    </w:p>
    <w:p w14:paraId="2B26EA07" w14:textId="77777777" w:rsidR="00CE5A15" w:rsidRPr="003B19DA" w:rsidRDefault="00CE5A15" w:rsidP="002A4546">
      <w:pPr>
        <w:shd w:val="clear" w:color="auto" w:fill="FFFFFF"/>
        <w:spacing w:after="0" w:line="240" w:lineRule="auto"/>
        <w:jc w:val="both"/>
        <w:rPr>
          <w:rFonts w:ascii="Arial" w:hAnsi="Arial" w:cs="Arial"/>
          <w:sz w:val="20"/>
          <w:szCs w:val="20"/>
        </w:rPr>
      </w:pPr>
      <w:proofErr w:type="spellStart"/>
      <w:r w:rsidRPr="003B19DA">
        <w:rPr>
          <w:rFonts w:ascii="Arial" w:hAnsi="Arial" w:cs="Arial"/>
          <w:sz w:val="20"/>
          <w:szCs w:val="20"/>
        </w:rPr>
        <w:t>Ozili</w:t>
      </w:r>
      <w:proofErr w:type="spellEnd"/>
      <w:r w:rsidRPr="003B19DA">
        <w:rPr>
          <w:rFonts w:ascii="Arial" w:hAnsi="Arial" w:cs="Arial"/>
          <w:sz w:val="20"/>
          <w:szCs w:val="20"/>
        </w:rPr>
        <w:t xml:space="preserve"> (2020) defines digital finance as the delivery of traditional financial services through mobile phones, personal computers, the internet or cards that are linked to a reliable digital payment system. For digital finance to be complete</w:t>
      </w:r>
      <w:commentRangeStart w:id="27"/>
      <w:r w:rsidRPr="003B19DA">
        <w:rPr>
          <w:rFonts w:ascii="Arial" w:hAnsi="Arial" w:cs="Arial"/>
          <w:sz w:val="20"/>
          <w:szCs w:val="20"/>
        </w:rPr>
        <w:t xml:space="preserve">, there has to be a </w:t>
      </w:r>
      <w:commentRangeEnd w:id="27"/>
      <w:r w:rsidR="00DF7308">
        <w:rPr>
          <w:rStyle w:val="CommentReference"/>
        </w:rPr>
        <w:commentReference w:id="27"/>
      </w:r>
      <w:r w:rsidRPr="003B19DA">
        <w:rPr>
          <w:rFonts w:ascii="Arial" w:hAnsi="Arial" w:cs="Arial"/>
          <w:sz w:val="20"/>
          <w:szCs w:val="20"/>
        </w:rPr>
        <w:t xml:space="preserve">technological device which can be used to deliver the financial services. Digital finance therefore, includes all products, services, technology or infrastructure that enable individuals and communities to have access to payments, savings, and credit facilities through the internet without the need of visiting the bank or financial service provider </w:t>
      </w:r>
      <w:commentRangeStart w:id="28"/>
      <w:r w:rsidRPr="003B19DA">
        <w:rPr>
          <w:rFonts w:ascii="Arial" w:hAnsi="Arial" w:cs="Arial"/>
          <w:sz w:val="20"/>
          <w:szCs w:val="20"/>
        </w:rPr>
        <w:t>(</w:t>
      </w:r>
      <w:proofErr w:type="spellStart"/>
      <w:r w:rsidRPr="003B19DA">
        <w:rPr>
          <w:rFonts w:ascii="Arial" w:hAnsi="Arial" w:cs="Arial"/>
          <w:sz w:val="20"/>
          <w:szCs w:val="20"/>
        </w:rPr>
        <w:t>Gomber</w:t>
      </w:r>
      <w:proofErr w:type="spellEnd"/>
      <w:r w:rsidRPr="003B19DA">
        <w:rPr>
          <w:rFonts w:ascii="Arial" w:hAnsi="Arial" w:cs="Arial"/>
          <w:sz w:val="20"/>
          <w:szCs w:val="20"/>
        </w:rPr>
        <w:t xml:space="preserve"> et al., (2017</w:t>
      </w:r>
      <w:commentRangeEnd w:id="28"/>
      <w:r w:rsidR="00525DE9">
        <w:rPr>
          <w:rStyle w:val="CommentReference"/>
        </w:rPr>
        <w:commentReference w:id="28"/>
      </w:r>
      <w:r w:rsidRPr="003B19DA">
        <w:rPr>
          <w:rFonts w:ascii="Arial" w:hAnsi="Arial" w:cs="Arial"/>
          <w:sz w:val="20"/>
          <w:szCs w:val="20"/>
        </w:rPr>
        <w:t xml:space="preserve">). </w:t>
      </w:r>
    </w:p>
    <w:p w14:paraId="0EECDA86" w14:textId="77777777" w:rsidR="00CE5A15" w:rsidRPr="003B19DA" w:rsidRDefault="00CE5A15" w:rsidP="003628B7">
      <w:pPr>
        <w:shd w:val="clear" w:color="auto" w:fill="FFFFFF"/>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Digital finance is a means of extending financial services to the financially excluded and undeserved population in the community like women (Yang et al., 2020). It facilitates payments via mobile devices which has been of great help to individuals, households and community at large in managing personal assets while at the same time providing more convenient access to finance and financial services thus greater financial inclusion. In rural areas, digital finance plays a major role of improving peoples (low income and poor) access to basic financial services leading to greater financial inclusion. Through digital finance, the underprivileged are able to transact and access basic financial services from the comfort of their homes making them financially included.</w:t>
      </w:r>
    </w:p>
    <w:p w14:paraId="2F880133" w14:textId="77777777" w:rsidR="00CE5A15" w:rsidRPr="003B19DA" w:rsidRDefault="00CE5A15" w:rsidP="003628B7">
      <w:pPr>
        <w:shd w:val="clear" w:color="auto" w:fill="FFFFFF"/>
        <w:spacing w:before="120" w:after="0" w:line="240" w:lineRule="auto"/>
        <w:jc w:val="both"/>
        <w:rPr>
          <w:rFonts w:ascii="Arial" w:hAnsi="Arial" w:cs="Arial"/>
          <w:sz w:val="20"/>
          <w:szCs w:val="20"/>
        </w:rPr>
      </w:pPr>
      <w:commentRangeStart w:id="29"/>
      <w:r w:rsidRPr="003B19DA">
        <w:rPr>
          <w:rFonts w:ascii="Arial" w:hAnsi="Arial" w:cs="Arial"/>
          <w:sz w:val="20"/>
          <w:szCs w:val="20"/>
        </w:rPr>
        <w:t xml:space="preserve">When these financial services are delivered using alternative delivery channels other than the traditional way, they are called digital financial services. </w:t>
      </w:r>
      <w:commentRangeEnd w:id="29"/>
      <w:r w:rsidR="00525DE9">
        <w:rPr>
          <w:rStyle w:val="CommentReference"/>
        </w:rPr>
        <w:commentReference w:id="29"/>
      </w:r>
    </w:p>
    <w:p w14:paraId="0FA2D60D" w14:textId="20F84F98" w:rsidR="00CE5A15" w:rsidRPr="003B19DA" w:rsidRDefault="00CE5A15" w:rsidP="003628B7">
      <w:pPr>
        <w:shd w:val="clear" w:color="auto" w:fill="FFFFFF"/>
        <w:spacing w:before="100" w:beforeAutospacing="1" w:after="100" w:afterAutospacing="1" w:line="240" w:lineRule="auto"/>
        <w:jc w:val="both"/>
        <w:rPr>
          <w:rFonts w:ascii="Arial" w:hAnsi="Arial" w:cs="Arial"/>
          <w:b/>
          <w:bCs/>
          <w:sz w:val="20"/>
          <w:szCs w:val="20"/>
        </w:rPr>
      </w:pPr>
      <w:commentRangeStart w:id="30"/>
      <w:r w:rsidRPr="003B19DA">
        <w:rPr>
          <w:rFonts w:ascii="Arial" w:hAnsi="Arial" w:cs="Arial"/>
          <w:b/>
          <w:bCs/>
          <w:sz w:val="20"/>
          <w:szCs w:val="20"/>
        </w:rPr>
        <w:t>1.1.</w:t>
      </w:r>
      <w:r w:rsidR="002A4546" w:rsidRPr="003B19DA">
        <w:rPr>
          <w:rFonts w:ascii="Arial" w:hAnsi="Arial" w:cs="Arial"/>
          <w:b/>
          <w:bCs/>
          <w:sz w:val="20"/>
          <w:szCs w:val="20"/>
        </w:rPr>
        <w:t>1</w:t>
      </w:r>
      <w:r w:rsidRPr="003B19DA">
        <w:rPr>
          <w:rFonts w:ascii="Arial" w:hAnsi="Arial" w:cs="Arial"/>
          <w:b/>
          <w:bCs/>
          <w:sz w:val="20"/>
          <w:szCs w:val="20"/>
        </w:rPr>
        <w:tab/>
        <w:t>The Concept of Digital Finance Services</w:t>
      </w:r>
      <w:commentRangeEnd w:id="30"/>
      <w:r w:rsidR="00525DE9">
        <w:rPr>
          <w:rStyle w:val="CommentReference"/>
        </w:rPr>
        <w:commentReference w:id="30"/>
      </w:r>
    </w:p>
    <w:p w14:paraId="74FA6000" w14:textId="77777777" w:rsidR="00CE5A15" w:rsidRPr="003B19DA" w:rsidRDefault="00CE5A15" w:rsidP="002A4546">
      <w:pPr>
        <w:shd w:val="clear" w:color="auto" w:fill="FFFFFF"/>
        <w:spacing w:after="0" w:line="240" w:lineRule="auto"/>
        <w:jc w:val="both"/>
        <w:rPr>
          <w:rFonts w:ascii="Arial" w:hAnsi="Arial" w:cs="Arial"/>
          <w:sz w:val="20"/>
          <w:szCs w:val="20"/>
        </w:rPr>
      </w:pPr>
      <w:r w:rsidRPr="003B19DA">
        <w:rPr>
          <w:rFonts w:ascii="Arial" w:hAnsi="Arial" w:cs="Arial"/>
          <w:sz w:val="20"/>
          <w:szCs w:val="20"/>
        </w:rPr>
        <w:t xml:space="preserve">Digital Financial Services are financial services delivered through alternative delivery channels like mobile phones, personal computer, internet, cards linked to a reliable digital payment system (Yang et al. 2020). These services can be delivered through bank led models like those provided through mobile phones including e-mobile am mobile money. They can also be delivered through non-bank led models like internet and telecommunication providers (Gibson et al., 2015). All these financial services rely on digital technology for their delivery and use by customers otherwise called </w:t>
      </w:r>
      <w:proofErr w:type="spellStart"/>
      <w:r w:rsidRPr="003B19DA">
        <w:rPr>
          <w:rFonts w:ascii="Arial" w:hAnsi="Arial" w:cs="Arial"/>
          <w:sz w:val="20"/>
          <w:szCs w:val="20"/>
        </w:rPr>
        <w:t>Fintech</w:t>
      </w:r>
      <w:proofErr w:type="spellEnd"/>
      <w:r w:rsidRPr="003B19DA">
        <w:rPr>
          <w:rFonts w:ascii="Arial" w:hAnsi="Arial" w:cs="Arial"/>
          <w:sz w:val="20"/>
          <w:szCs w:val="20"/>
        </w:rPr>
        <w:t>.</w:t>
      </w:r>
    </w:p>
    <w:p w14:paraId="4441D171" w14:textId="238D497C" w:rsidR="00CE5A15" w:rsidRPr="003B19DA" w:rsidRDefault="00CE5A15" w:rsidP="003628B7">
      <w:pPr>
        <w:shd w:val="clear" w:color="auto" w:fill="FFFFFF"/>
        <w:spacing w:before="100" w:beforeAutospacing="1" w:after="100" w:afterAutospacing="1" w:line="240" w:lineRule="auto"/>
        <w:jc w:val="both"/>
        <w:rPr>
          <w:rFonts w:ascii="Arial" w:hAnsi="Arial" w:cs="Arial"/>
          <w:b/>
          <w:bCs/>
          <w:sz w:val="20"/>
          <w:szCs w:val="20"/>
        </w:rPr>
      </w:pPr>
      <w:r w:rsidRPr="003B19DA">
        <w:rPr>
          <w:rFonts w:ascii="Arial" w:hAnsi="Arial" w:cs="Arial"/>
          <w:b/>
          <w:bCs/>
          <w:sz w:val="20"/>
          <w:szCs w:val="20"/>
        </w:rPr>
        <w:t>1.1.2</w:t>
      </w:r>
      <w:r w:rsidRPr="003B19DA">
        <w:rPr>
          <w:rFonts w:ascii="Arial" w:hAnsi="Arial" w:cs="Arial"/>
          <w:b/>
          <w:bCs/>
          <w:sz w:val="20"/>
          <w:szCs w:val="20"/>
        </w:rPr>
        <w:tab/>
        <w:t xml:space="preserve">The Concept of </w:t>
      </w:r>
      <w:proofErr w:type="spellStart"/>
      <w:r w:rsidRPr="003B19DA">
        <w:rPr>
          <w:rFonts w:ascii="Arial" w:hAnsi="Arial" w:cs="Arial"/>
          <w:b/>
          <w:bCs/>
          <w:sz w:val="20"/>
          <w:szCs w:val="20"/>
        </w:rPr>
        <w:t>Fintech</w:t>
      </w:r>
      <w:proofErr w:type="spellEnd"/>
    </w:p>
    <w:p w14:paraId="2C0CB631" w14:textId="77777777" w:rsidR="00CE5A15" w:rsidRPr="003B19DA" w:rsidRDefault="00CE5A15" w:rsidP="002A4546">
      <w:pPr>
        <w:shd w:val="clear" w:color="auto" w:fill="FFFFFF"/>
        <w:spacing w:after="0" w:line="240" w:lineRule="auto"/>
        <w:jc w:val="both"/>
        <w:rPr>
          <w:rFonts w:ascii="Arial" w:hAnsi="Arial" w:cs="Arial"/>
          <w:sz w:val="20"/>
          <w:szCs w:val="20"/>
        </w:rPr>
      </w:pPr>
      <w:proofErr w:type="spellStart"/>
      <w:r w:rsidRPr="003B19DA">
        <w:rPr>
          <w:rFonts w:ascii="Arial" w:hAnsi="Arial" w:cs="Arial"/>
          <w:sz w:val="20"/>
          <w:szCs w:val="20"/>
        </w:rPr>
        <w:t>Fintech</w:t>
      </w:r>
      <w:proofErr w:type="spellEnd"/>
      <w:r w:rsidRPr="003B19DA">
        <w:rPr>
          <w:rFonts w:ascii="Arial" w:hAnsi="Arial" w:cs="Arial"/>
          <w:sz w:val="20"/>
          <w:szCs w:val="20"/>
        </w:rPr>
        <w:t xml:space="preserve"> according to </w:t>
      </w:r>
      <w:proofErr w:type="spellStart"/>
      <w:r w:rsidRPr="003B19DA">
        <w:rPr>
          <w:rFonts w:ascii="Arial" w:hAnsi="Arial" w:cs="Arial"/>
          <w:sz w:val="20"/>
          <w:szCs w:val="20"/>
        </w:rPr>
        <w:t>Ozili</w:t>
      </w:r>
      <w:proofErr w:type="spellEnd"/>
      <w:r w:rsidRPr="003B19DA">
        <w:rPr>
          <w:rFonts w:ascii="Arial" w:hAnsi="Arial" w:cs="Arial"/>
          <w:sz w:val="20"/>
          <w:szCs w:val="20"/>
        </w:rPr>
        <w:t xml:space="preserve"> (2018) is the delivery of financial and banking services through modern technological innovation. It uses software, mobile applications, and other technologies created to improve and automate traditional forms of finance for businesses and consumers. </w:t>
      </w:r>
      <w:proofErr w:type="spellStart"/>
      <w:r w:rsidRPr="003B19DA">
        <w:rPr>
          <w:rFonts w:ascii="Arial" w:hAnsi="Arial" w:cs="Arial"/>
          <w:sz w:val="20"/>
          <w:szCs w:val="20"/>
        </w:rPr>
        <w:t>Fintech</w:t>
      </w:r>
      <w:proofErr w:type="spellEnd"/>
      <w:r w:rsidRPr="003B19DA">
        <w:rPr>
          <w:rFonts w:ascii="Arial" w:hAnsi="Arial" w:cs="Arial"/>
          <w:sz w:val="20"/>
          <w:szCs w:val="20"/>
        </w:rPr>
        <w:t xml:space="preserve"> is used to improve and automate the delivery and use of financial services.</w:t>
      </w:r>
    </w:p>
    <w:p w14:paraId="7EB63CFB" w14:textId="77777777" w:rsidR="00CE5A15" w:rsidRPr="003B19DA" w:rsidRDefault="00CE5A15" w:rsidP="002A4546">
      <w:pPr>
        <w:shd w:val="clear" w:color="auto" w:fill="FFFFFF"/>
        <w:spacing w:after="0" w:line="240" w:lineRule="auto"/>
        <w:jc w:val="both"/>
        <w:rPr>
          <w:rFonts w:ascii="Arial" w:hAnsi="Arial" w:cs="Arial"/>
          <w:sz w:val="20"/>
          <w:szCs w:val="20"/>
        </w:rPr>
      </w:pPr>
      <w:r w:rsidRPr="003B19DA">
        <w:rPr>
          <w:rFonts w:ascii="Arial" w:hAnsi="Arial" w:cs="Arial"/>
          <w:sz w:val="20"/>
          <w:szCs w:val="20"/>
        </w:rPr>
        <w:t xml:space="preserve">For instance, a </w:t>
      </w:r>
      <w:proofErr w:type="spellStart"/>
      <w:r w:rsidRPr="003B19DA">
        <w:rPr>
          <w:rFonts w:ascii="Arial" w:hAnsi="Arial" w:cs="Arial"/>
          <w:sz w:val="20"/>
          <w:szCs w:val="20"/>
        </w:rPr>
        <w:t>Fintech</w:t>
      </w:r>
      <w:proofErr w:type="spellEnd"/>
      <w:r w:rsidRPr="003B19DA">
        <w:rPr>
          <w:rFonts w:ascii="Arial" w:hAnsi="Arial" w:cs="Arial"/>
          <w:sz w:val="20"/>
          <w:szCs w:val="20"/>
        </w:rPr>
        <w:t xml:space="preserve"> provider, uses a technology platform, whether online or offline, to provide new financial services or to improve the delivery of existing financial service for their customers </w:t>
      </w:r>
      <w:commentRangeStart w:id="31"/>
      <w:r w:rsidRPr="003B19DA">
        <w:rPr>
          <w:rFonts w:ascii="Arial" w:hAnsi="Arial" w:cs="Arial"/>
          <w:sz w:val="20"/>
          <w:szCs w:val="20"/>
        </w:rPr>
        <w:t>(</w:t>
      </w:r>
      <w:proofErr w:type="spellStart"/>
      <w:r w:rsidRPr="003B19DA">
        <w:rPr>
          <w:rFonts w:ascii="Arial" w:hAnsi="Arial" w:cs="Arial"/>
          <w:sz w:val="20"/>
          <w:szCs w:val="20"/>
        </w:rPr>
        <w:t>Arner</w:t>
      </w:r>
      <w:proofErr w:type="spellEnd"/>
      <w:r w:rsidRPr="003B19DA">
        <w:rPr>
          <w:rFonts w:ascii="Arial" w:hAnsi="Arial" w:cs="Arial"/>
          <w:sz w:val="20"/>
          <w:szCs w:val="20"/>
        </w:rPr>
        <w:t xml:space="preserve"> et al. 2015). </w:t>
      </w:r>
      <w:commentRangeEnd w:id="31"/>
      <w:r w:rsidR="00525DE9">
        <w:rPr>
          <w:rStyle w:val="CommentReference"/>
        </w:rPr>
        <w:commentReference w:id="31"/>
      </w:r>
      <w:r w:rsidRPr="003B19DA">
        <w:rPr>
          <w:rFonts w:ascii="Arial" w:hAnsi="Arial" w:cs="Arial"/>
          <w:sz w:val="20"/>
          <w:szCs w:val="20"/>
        </w:rPr>
        <w:t>This basically means that new financial services or existing financial services are made accessible through technology that can be connected to the internet or not.</w:t>
      </w:r>
    </w:p>
    <w:p w14:paraId="304E5874" w14:textId="0B7F03FD" w:rsidR="00CE5A15" w:rsidRPr="003B19DA" w:rsidRDefault="00CE5A15" w:rsidP="003628B7">
      <w:pPr>
        <w:shd w:val="clear" w:color="auto" w:fill="FFFFFF"/>
        <w:spacing w:before="100" w:beforeAutospacing="1" w:after="100" w:afterAutospacing="1" w:line="240" w:lineRule="auto"/>
        <w:jc w:val="both"/>
        <w:rPr>
          <w:rFonts w:ascii="Arial" w:hAnsi="Arial" w:cs="Arial"/>
          <w:b/>
          <w:bCs/>
          <w:sz w:val="20"/>
          <w:szCs w:val="20"/>
        </w:rPr>
      </w:pPr>
      <w:r w:rsidRPr="003B19DA">
        <w:rPr>
          <w:rFonts w:ascii="Arial" w:hAnsi="Arial" w:cs="Arial"/>
          <w:b/>
          <w:bCs/>
          <w:sz w:val="20"/>
          <w:szCs w:val="20"/>
        </w:rPr>
        <w:t>1.1.3</w:t>
      </w:r>
      <w:r w:rsidRPr="003B19DA">
        <w:rPr>
          <w:rFonts w:ascii="Arial" w:hAnsi="Arial" w:cs="Arial"/>
          <w:b/>
          <w:bCs/>
          <w:sz w:val="20"/>
          <w:szCs w:val="20"/>
        </w:rPr>
        <w:tab/>
        <w:t>The Concept of Internet Technology</w:t>
      </w:r>
    </w:p>
    <w:p w14:paraId="20C7C69A" w14:textId="77777777" w:rsidR="00CE5A15" w:rsidRPr="003B19DA" w:rsidRDefault="00CE5A15" w:rsidP="002A4546">
      <w:pPr>
        <w:shd w:val="clear" w:color="auto" w:fill="FFFFFF"/>
        <w:spacing w:after="0" w:line="240" w:lineRule="auto"/>
        <w:jc w:val="both"/>
        <w:rPr>
          <w:rFonts w:ascii="Arial" w:hAnsi="Arial" w:cs="Arial"/>
          <w:sz w:val="20"/>
          <w:szCs w:val="20"/>
        </w:rPr>
      </w:pPr>
      <w:r w:rsidRPr="003B19DA">
        <w:rPr>
          <w:rFonts w:ascii="Arial" w:hAnsi="Arial" w:cs="Arial"/>
          <w:sz w:val="20"/>
          <w:szCs w:val="20"/>
        </w:rPr>
        <w:lastRenderedPageBreak/>
        <w:t xml:space="preserve">Internet technology on the other hand is an enabler of </w:t>
      </w:r>
      <w:proofErr w:type="spellStart"/>
      <w:r w:rsidRPr="003B19DA">
        <w:rPr>
          <w:rFonts w:ascii="Arial" w:hAnsi="Arial" w:cs="Arial"/>
          <w:sz w:val="20"/>
          <w:szCs w:val="20"/>
        </w:rPr>
        <w:t>Fintech</w:t>
      </w:r>
      <w:proofErr w:type="spellEnd"/>
      <w:r w:rsidRPr="003B19DA">
        <w:rPr>
          <w:rFonts w:ascii="Arial" w:hAnsi="Arial" w:cs="Arial"/>
          <w:sz w:val="20"/>
          <w:szCs w:val="20"/>
        </w:rPr>
        <w:t>, and refers to the ability of the Internet to transmit information and data through different systems (</w:t>
      </w:r>
      <w:proofErr w:type="spellStart"/>
      <w:r w:rsidRPr="003B19DA">
        <w:rPr>
          <w:rFonts w:ascii="Arial" w:hAnsi="Arial" w:cs="Arial"/>
          <w:sz w:val="20"/>
          <w:szCs w:val="20"/>
        </w:rPr>
        <w:t>Ozili</w:t>
      </w:r>
      <w:proofErr w:type="spellEnd"/>
      <w:r w:rsidRPr="003B19DA">
        <w:rPr>
          <w:rFonts w:ascii="Arial" w:hAnsi="Arial" w:cs="Arial"/>
          <w:sz w:val="20"/>
          <w:szCs w:val="20"/>
        </w:rPr>
        <w:t xml:space="preserve"> 2018). It is basically the ability of the bank to incorporate internet via technological innovation to interact with its customers. On its own, internet technology does not qualify to be </w:t>
      </w:r>
      <w:proofErr w:type="spellStart"/>
      <w:r w:rsidRPr="003B19DA">
        <w:rPr>
          <w:rFonts w:ascii="Arial" w:hAnsi="Arial" w:cs="Arial"/>
          <w:sz w:val="20"/>
          <w:szCs w:val="20"/>
        </w:rPr>
        <w:t>Fintech</w:t>
      </w:r>
      <w:proofErr w:type="spellEnd"/>
      <w:r w:rsidRPr="003B19DA">
        <w:rPr>
          <w:rFonts w:ascii="Arial" w:hAnsi="Arial" w:cs="Arial"/>
          <w:sz w:val="20"/>
          <w:szCs w:val="20"/>
        </w:rPr>
        <w:t xml:space="preserve"> as other services and information other than financial services can be accessed. For it to be </w:t>
      </w:r>
      <w:proofErr w:type="spellStart"/>
      <w:r w:rsidRPr="003B19DA">
        <w:rPr>
          <w:rFonts w:ascii="Arial" w:hAnsi="Arial" w:cs="Arial"/>
          <w:sz w:val="20"/>
          <w:szCs w:val="20"/>
        </w:rPr>
        <w:t>Fintech</w:t>
      </w:r>
      <w:proofErr w:type="spellEnd"/>
      <w:r w:rsidRPr="003B19DA">
        <w:rPr>
          <w:rFonts w:ascii="Arial" w:hAnsi="Arial" w:cs="Arial"/>
          <w:sz w:val="20"/>
          <w:szCs w:val="20"/>
        </w:rPr>
        <w:t xml:space="preserve">, it must have the concept of financial services being accessed and delivered using technology. </w:t>
      </w:r>
    </w:p>
    <w:p w14:paraId="79C854EB" w14:textId="136A94F1" w:rsidR="00A64860" w:rsidRPr="003B19DA" w:rsidRDefault="00CE5A15" w:rsidP="002A4546">
      <w:pPr>
        <w:shd w:val="clear" w:color="auto" w:fill="FFFFFF"/>
        <w:spacing w:before="120" w:after="0" w:line="240" w:lineRule="auto"/>
        <w:jc w:val="both"/>
        <w:rPr>
          <w:rFonts w:ascii="Arial" w:hAnsi="Arial" w:cs="Arial"/>
          <w:b/>
          <w:bCs/>
          <w:sz w:val="20"/>
          <w:szCs w:val="20"/>
          <w:lang w:eastAsia="x-none"/>
        </w:rPr>
      </w:pPr>
      <w:commentRangeStart w:id="32"/>
      <w:r w:rsidRPr="003B19DA">
        <w:rPr>
          <w:rFonts w:ascii="Arial" w:hAnsi="Arial" w:cs="Arial"/>
          <w:b/>
          <w:bCs/>
          <w:sz w:val="20"/>
          <w:szCs w:val="20"/>
        </w:rPr>
        <w:t>1.2</w:t>
      </w:r>
      <w:r w:rsidRPr="003B19DA">
        <w:rPr>
          <w:rFonts w:ascii="Arial" w:hAnsi="Arial" w:cs="Arial"/>
          <w:b/>
          <w:bCs/>
          <w:sz w:val="20"/>
          <w:szCs w:val="20"/>
        </w:rPr>
        <w:tab/>
      </w:r>
      <w:r w:rsidR="00A64860" w:rsidRPr="003B19DA">
        <w:rPr>
          <w:rFonts w:ascii="Arial" w:hAnsi="Arial" w:cs="Arial"/>
          <w:b/>
          <w:bCs/>
          <w:sz w:val="20"/>
          <w:szCs w:val="20"/>
          <w:lang w:eastAsia="x-none"/>
        </w:rPr>
        <w:t xml:space="preserve">The </w:t>
      </w:r>
      <w:r w:rsidR="00077F63" w:rsidRPr="003B19DA">
        <w:rPr>
          <w:rFonts w:ascii="Arial" w:hAnsi="Arial" w:cs="Arial"/>
          <w:b/>
          <w:bCs/>
          <w:sz w:val="20"/>
          <w:szCs w:val="20"/>
          <w:lang w:eastAsia="x-none"/>
        </w:rPr>
        <w:t>C</w:t>
      </w:r>
      <w:r w:rsidR="00A64860" w:rsidRPr="003B19DA">
        <w:rPr>
          <w:rFonts w:ascii="Arial" w:hAnsi="Arial" w:cs="Arial"/>
          <w:b/>
          <w:bCs/>
          <w:sz w:val="20"/>
          <w:szCs w:val="20"/>
          <w:lang w:eastAsia="x-none"/>
        </w:rPr>
        <w:t>oncept of Financial Inclusion</w:t>
      </w:r>
      <w:commentRangeEnd w:id="32"/>
      <w:r w:rsidR="007605A7">
        <w:rPr>
          <w:rStyle w:val="CommentReference"/>
        </w:rPr>
        <w:commentReference w:id="32"/>
      </w:r>
    </w:p>
    <w:p w14:paraId="115337EF" w14:textId="33E9E112" w:rsidR="00A64860" w:rsidRPr="003B19DA" w:rsidRDefault="00A64860" w:rsidP="003B19DA">
      <w:pPr>
        <w:pStyle w:val="ListParagraph"/>
        <w:shd w:val="clear" w:color="auto" w:fill="FFFFFF"/>
        <w:spacing w:before="100" w:beforeAutospacing="1" w:after="100" w:afterAutospacing="1" w:line="240" w:lineRule="auto"/>
        <w:ind w:left="0"/>
        <w:jc w:val="both"/>
        <w:rPr>
          <w:rFonts w:ascii="Arial" w:hAnsi="Arial" w:cs="Arial"/>
          <w:sz w:val="20"/>
          <w:szCs w:val="20"/>
          <w:lang w:eastAsia="x-none"/>
        </w:rPr>
      </w:pPr>
      <w:r w:rsidRPr="003B19DA">
        <w:rPr>
          <w:rFonts w:ascii="Arial" w:hAnsi="Arial" w:cs="Arial"/>
          <w:sz w:val="20"/>
          <w:szCs w:val="20"/>
          <w:lang w:eastAsia="x-none"/>
        </w:rPr>
        <w:t>Financial inclusion is the process of ensuring access to financial services and timely and adequate credit when needed by vulnerable groups like the weaker sections and low-income groups at an affordable cost (</w:t>
      </w:r>
      <w:proofErr w:type="spellStart"/>
      <w:r w:rsidRPr="003B19DA">
        <w:rPr>
          <w:rFonts w:ascii="Arial" w:hAnsi="Arial" w:cs="Arial"/>
          <w:sz w:val="20"/>
          <w:szCs w:val="20"/>
          <w:lang w:eastAsia="x-none"/>
        </w:rPr>
        <w:t>Sowjanga</w:t>
      </w:r>
      <w:proofErr w:type="spellEnd"/>
      <w:r w:rsidRPr="003B19DA">
        <w:rPr>
          <w:rFonts w:ascii="Arial" w:hAnsi="Arial" w:cs="Arial"/>
          <w:sz w:val="20"/>
          <w:szCs w:val="20"/>
          <w:lang w:eastAsia="x-none"/>
        </w:rPr>
        <w:t xml:space="preserve"> </w:t>
      </w:r>
      <w:r w:rsidRPr="003B19DA">
        <w:rPr>
          <w:rFonts w:ascii="Arial" w:hAnsi="Arial" w:cs="Arial"/>
          <w:i/>
          <w:iCs/>
          <w:sz w:val="20"/>
          <w:szCs w:val="20"/>
          <w:lang w:eastAsia="x-none"/>
        </w:rPr>
        <w:t>et al.,</w:t>
      </w:r>
      <w:r w:rsidRPr="003B19DA">
        <w:rPr>
          <w:rFonts w:ascii="Arial" w:hAnsi="Arial" w:cs="Arial"/>
          <w:sz w:val="20"/>
          <w:szCs w:val="20"/>
          <w:lang w:eastAsia="x-none"/>
        </w:rPr>
        <w:t xml:space="preserve"> 2015). It is the access to financial products and services which are affordable and useful and that meet the needs of transactions, payments, savings, credit and insurance delivered in a responsible and sustainable way (The World Bank, 2018).</w:t>
      </w:r>
      <w:r w:rsidRPr="003B19DA">
        <w:rPr>
          <w:rFonts w:ascii="Arial" w:hAnsi="Arial" w:cs="Arial"/>
          <w:sz w:val="20"/>
          <w:szCs w:val="20"/>
        </w:rPr>
        <w:t xml:space="preserve"> </w:t>
      </w:r>
      <w:r w:rsidRPr="003B19DA">
        <w:rPr>
          <w:rFonts w:ascii="Arial" w:hAnsi="Arial" w:cs="Arial"/>
          <w:sz w:val="20"/>
          <w:szCs w:val="20"/>
          <w:lang w:eastAsia="x-none"/>
        </w:rPr>
        <w:t xml:space="preserve">Over the past decade, Kenya has made significant strides in financial inclusion. This is attributed to the rise of mobile money like </w:t>
      </w:r>
      <w:proofErr w:type="spellStart"/>
      <w:r w:rsidRPr="003B19DA">
        <w:rPr>
          <w:rFonts w:ascii="Arial" w:hAnsi="Arial" w:cs="Arial"/>
          <w:sz w:val="20"/>
          <w:szCs w:val="20"/>
          <w:lang w:eastAsia="x-none"/>
        </w:rPr>
        <w:t>Mpesa</w:t>
      </w:r>
      <w:proofErr w:type="spellEnd"/>
      <w:r w:rsidRPr="003B19DA">
        <w:rPr>
          <w:rFonts w:ascii="Arial" w:hAnsi="Arial" w:cs="Arial"/>
          <w:sz w:val="20"/>
          <w:szCs w:val="20"/>
          <w:lang w:eastAsia="x-none"/>
        </w:rPr>
        <w:t xml:space="preserve"> that made financial services accessible to millions of Kenyans. According to the </w:t>
      </w:r>
      <w:proofErr w:type="spellStart"/>
      <w:r w:rsidRPr="003B19DA">
        <w:rPr>
          <w:rFonts w:ascii="Arial" w:hAnsi="Arial" w:cs="Arial"/>
          <w:sz w:val="20"/>
          <w:szCs w:val="20"/>
          <w:lang w:eastAsia="x-none"/>
        </w:rPr>
        <w:t>FinAccess</w:t>
      </w:r>
      <w:proofErr w:type="spellEnd"/>
      <w:r w:rsidRPr="003B19DA">
        <w:rPr>
          <w:rFonts w:ascii="Arial" w:hAnsi="Arial" w:cs="Arial"/>
          <w:sz w:val="20"/>
          <w:szCs w:val="20"/>
          <w:lang w:eastAsia="x-none"/>
        </w:rPr>
        <w:t xml:space="preserve"> survey report (2021), Kenya’s financial inclusion index as measured by financial access at 84%.</w:t>
      </w:r>
    </w:p>
    <w:p w14:paraId="3EEF08C6" w14:textId="7023A401" w:rsidR="00723136" w:rsidRPr="003B19DA" w:rsidRDefault="002061F5" w:rsidP="003B19DA">
      <w:pPr>
        <w:pStyle w:val="Heading1"/>
      </w:pPr>
      <w:r w:rsidRPr="003B19DA">
        <w:t>Literature Review</w:t>
      </w:r>
    </w:p>
    <w:p w14:paraId="65CFDFD7" w14:textId="7889046F" w:rsidR="00871718" w:rsidRPr="003B19DA" w:rsidRDefault="00723136" w:rsidP="002A4546">
      <w:pPr>
        <w:spacing w:before="120" w:after="160" w:line="240" w:lineRule="auto"/>
        <w:jc w:val="both"/>
        <w:rPr>
          <w:rFonts w:ascii="Arial" w:hAnsi="Arial" w:cs="Arial"/>
          <w:sz w:val="20"/>
          <w:szCs w:val="20"/>
          <w:lang w:eastAsia="x-none"/>
        </w:rPr>
      </w:pPr>
      <w:commentRangeStart w:id="33"/>
      <w:r w:rsidRPr="003B19DA">
        <w:rPr>
          <w:rFonts w:ascii="Arial" w:hAnsi="Arial" w:cs="Arial"/>
          <w:sz w:val="20"/>
          <w:szCs w:val="20"/>
          <w:lang w:eastAsia="x-none"/>
        </w:rPr>
        <w:t xml:space="preserve">The </w:t>
      </w:r>
      <w:r w:rsidR="00E42C90" w:rsidRPr="003B19DA">
        <w:rPr>
          <w:rFonts w:ascii="Arial" w:hAnsi="Arial" w:cs="Arial"/>
          <w:sz w:val="20"/>
          <w:szCs w:val="20"/>
          <w:lang w:eastAsia="x-none"/>
        </w:rPr>
        <w:t xml:space="preserve">key theory in this study is the </w:t>
      </w:r>
      <w:r w:rsidR="00871718" w:rsidRPr="003B19DA">
        <w:rPr>
          <w:rFonts w:ascii="Arial" w:hAnsi="Arial" w:cs="Arial"/>
          <w:sz w:val="20"/>
          <w:szCs w:val="20"/>
          <w:lang w:eastAsia="x-none"/>
        </w:rPr>
        <w:t>Diffusion Innovation Theory</w:t>
      </w:r>
      <w:r w:rsidRPr="003B19DA">
        <w:rPr>
          <w:rFonts w:ascii="Arial" w:hAnsi="Arial" w:cs="Arial"/>
          <w:sz w:val="20"/>
          <w:szCs w:val="20"/>
          <w:lang w:eastAsia="x-none"/>
        </w:rPr>
        <w:t xml:space="preserve"> </w:t>
      </w:r>
      <w:r w:rsidR="00E42C90" w:rsidRPr="003B19DA">
        <w:rPr>
          <w:rFonts w:ascii="Arial" w:hAnsi="Arial" w:cs="Arial"/>
          <w:sz w:val="20"/>
          <w:szCs w:val="20"/>
          <w:lang w:eastAsia="x-none"/>
        </w:rPr>
        <w:t xml:space="preserve">that </w:t>
      </w:r>
      <w:r w:rsidR="00871718" w:rsidRPr="003B19DA">
        <w:rPr>
          <w:rFonts w:ascii="Arial" w:hAnsi="Arial" w:cs="Arial"/>
          <w:sz w:val="20"/>
          <w:szCs w:val="20"/>
          <w:lang w:eastAsia="x-none"/>
        </w:rPr>
        <w:t xml:space="preserve">states that “the adoption of a new </w:t>
      </w:r>
      <w:commentRangeEnd w:id="33"/>
      <w:r w:rsidR="007605A7">
        <w:rPr>
          <w:rStyle w:val="CommentReference"/>
        </w:rPr>
        <w:commentReference w:id="33"/>
      </w:r>
      <w:r w:rsidR="00871718" w:rsidRPr="003B19DA">
        <w:rPr>
          <w:rFonts w:ascii="Arial" w:hAnsi="Arial" w:cs="Arial"/>
          <w:sz w:val="20"/>
          <w:szCs w:val="20"/>
          <w:lang w:eastAsia="x-none"/>
        </w:rPr>
        <w:t xml:space="preserve">product, service or idea is not an overnight phenomenon, it happens simultaneously across all people in a society.” people adapt </w:t>
      </w:r>
      <w:commentRangeStart w:id="34"/>
      <w:r w:rsidR="00871718" w:rsidRPr="003B19DA">
        <w:rPr>
          <w:rFonts w:ascii="Arial" w:hAnsi="Arial" w:cs="Arial"/>
          <w:sz w:val="20"/>
          <w:szCs w:val="20"/>
          <w:lang w:eastAsia="x-none"/>
        </w:rPr>
        <w:t>to innovation differently thus the five adopter categories</w:t>
      </w:r>
      <w:commentRangeEnd w:id="34"/>
      <w:r w:rsidR="007605A7">
        <w:rPr>
          <w:rStyle w:val="CommentReference"/>
        </w:rPr>
        <w:commentReference w:id="34"/>
      </w:r>
      <w:r w:rsidR="00871718" w:rsidRPr="003B19DA">
        <w:rPr>
          <w:rFonts w:ascii="Arial" w:hAnsi="Arial" w:cs="Arial"/>
          <w:sz w:val="20"/>
          <w:szCs w:val="20"/>
          <w:lang w:eastAsia="x-none"/>
        </w:rPr>
        <w:t xml:space="preserve">. The theory relates well with the adoption of digital finance, you find that people adopt and embrace technology and, in this case, digital finance differently. Before adoption of digital finance, there has to be some sort of stages in the sense that people need to be aware of digital finance, they must be persuaded that it’s something worth trying which leads them into making a decision on whether to try it out or not. This then is followed by an evaluation of the digital product. </w:t>
      </w:r>
    </w:p>
    <w:p w14:paraId="3F24A97A" w14:textId="77777777" w:rsidR="00C308D7" w:rsidRDefault="008A6704" w:rsidP="003628B7">
      <w:pPr>
        <w:spacing w:before="100" w:beforeAutospacing="1" w:after="100" w:afterAutospacing="1" w:line="240" w:lineRule="auto"/>
        <w:jc w:val="both"/>
        <w:rPr>
          <w:rFonts w:ascii="Arial" w:hAnsi="Arial" w:cs="Arial"/>
          <w:sz w:val="20"/>
          <w:szCs w:val="20"/>
          <w:shd w:val="clear" w:color="auto" w:fill="FFFFFF"/>
          <w:lang w:val="en-GB"/>
        </w:rPr>
      </w:pPr>
      <w:commentRangeStart w:id="35"/>
      <w:r w:rsidRPr="003B19DA">
        <w:rPr>
          <w:rFonts w:ascii="Arial" w:hAnsi="Arial" w:cs="Arial"/>
          <w:sz w:val="20"/>
          <w:szCs w:val="20"/>
        </w:rPr>
        <w:t xml:space="preserve">Digital finance is a means of extending financial services to the </w:t>
      </w:r>
      <w:commentRangeEnd w:id="35"/>
      <w:r w:rsidR="00C308D7">
        <w:rPr>
          <w:rStyle w:val="CommentReference"/>
        </w:rPr>
        <w:commentReference w:id="35"/>
      </w:r>
      <w:r w:rsidRPr="003B19DA">
        <w:rPr>
          <w:rFonts w:ascii="Arial" w:hAnsi="Arial" w:cs="Arial"/>
          <w:sz w:val="20"/>
          <w:szCs w:val="20"/>
        </w:rPr>
        <w:t xml:space="preserve">financially excluded and undeserved population in the community like women (Yang </w:t>
      </w:r>
      <w:r w:rsidRPr="003B19DA">
        <w:rPr>
          <w:rFonts w:ascii="Arial" w:hAnsi="Arial" w:cs="Arial"/>
          <w:i/>
          <w:iCs/>
          <w:sz w:val="20"/>
          <w:szCs w:val="20"/>
        </w:rPr>
        <w:t>et al.,</w:t>
      </w:r>
      <w:r w:rsidRPr="003B19DA">
        <w:rPr>
          <w:rFonts w:ascii="Arial" w:hAnsi="Arial" w:cs="Arial"/>
          <w:sz w:val="20"/>
          <w:szCs w:val="20"/>
        </w:rPr>
        <w:t xml:space="preserve"> 2020). It facilitates payments via mobile devices which has been of great help to individuals, households and community at large in managing personal assets while at the same time providing more convenient access to finance and financial services thus greater financial inclusion. </w:t>
      </w:r>
      <w:r w:rsidRPr="003B19DA">
        <w:rPr>
          <w:rFonts w:ascii="Arial" w:hAnsi="Arial" w:cs="Arial"/>
          <w:sz w:val="20"/>
          <w:szCs w:val="20"/>
          <w:shd w:val="clear" w:color="auto" w:fill="FFFFFF"/>
          <w:lang w:val="en-GB"/>
        </w:rPr>
        <w:t>In rural areas, digital finance plays a major role of improving peoples (low income and poor) access to basic financial services leading to greater financial inclusion.</w:t>
      </w:r>
    </w:p>
    <w:p w14:paraId="7266BBF5" w14:textId="7C8674B9" w:rsidR="008A6704" w:rsidRPr="003B19DA" w:rsidRDefault="008A6704" w:rsidP="003628B7">
      <w:pPr>
        <w:spacing w:before="100" w:beforeAutospacing="1" w:after="100" w:afterAutospacing="1" w:line="240" w:lineRule="auto"/>
        <w:jc w:val="both"/>
        <w:rPr>
          <w:rFonts w:ascii="Arial" w:hAnsi="Arial" w:cs="Arial"/>
          <w:sz w:val="20"/>
          <w:szCs w:val="20"/>
          <w:shd w:val="clear" w:color="auto" w:fill="FFFFFF"/>
        </w:rPr>
      </w:pPr>
      <w:r w:rsidRPr="003B19DA">
        <w:rPr>
          <w:rFonts w:ascii="Arial" w:hAnsi="Arial" w:cs="Arial"/>
          <w:sz w:val="20"/>
          <w:szCs w:val="20"/>
          <w:shd w:val="clear" w:color="auto" w:fill="FFFFFF"/>
          <w:lang w:val="en-GB"/>
        </w:rPr>
        <w:t xml:space="preserve"> </w:t>
      </w:r>
      <w:commentRangeStart w:id="36"/>
      <w:proofErr w:type="spellStart"/>
      <w:r w:rsidRPr="003B19DA">
        <w:rPr>
          <w:rFonts w:ascii="Arial" w:hAnsi="Arial" w:cs="Arial"/>
          <w:sz w:val="20"/>
          <w:szCs w:val="20"/>
          <w:shd w:val="clear" w:color="auto" w:fill="FFFFFF"/>
        </w:rPr>
        <w:t>Widarwati</w:t>
      </w:r>
      <w:proofErr w:type="spellEnd"/>
      <w:r w:rsidRPr="003B19DA">
        <w:rPr>
          <w:rFonts w:ascii="Arial" w:hAnsi="Arial" w:cs="Arial"/>
          <w:sz w:val="20"/>
          <w:szCs w:val="20"/>
          <w:shd w:val="clear" w:color="auto" w:fill="FFFFFF"/>
        </w:rPr>
        <w:t xml:space="preserve"> </w:t>
      </w:r>
      <w:r w:rsidRPr="003B19DA">
        <w:rPr>
          <w:rFonts w:ascii="Arial" w:hAnsi="Arial" w:cs="Arial"/>
          <w:i/>
          <w:iCs/>
          <w:sz w:val="20"/>
          <w:szCs w:val="20"/>
          <w:shd w:val="clear" w:color="auto" w:fill="FFFFFF"/>
        </w:rPr>
        <w:t>et al.,</w:t>
      </w:r>
      <w:r w:rsidRPr="003B19DA">
        <w:rPr>
          <w:rFonts w:ascii="Arial" w:hAnsi="Arial" w:cs="Arial"/>
          <w:sz w:val="20"/>
          <w:szCs w:val="20"/>
          <w:shd w:val="clear" w:color="auto" w:fill="FFFFFF"/>
        </w:rPr>
        <w:t xml:space="preserve"> (2022) </w:t>
      </w:r>
      <w:commentRangeEnd w:id="36"/>
      <w:r w:rsidR="00C308D7">
        <w:rPr>
          <w:rStyle w:val="CommentReference"/>
        </w:rPr>
        <w:commentReference w:id="36"/>
      </w:r>
      <w:r w:rsidRPr="003B19DA">
        <w:rPr>
          <w:rFonts w:ascii="Arial" w:hAnsi="Arial" w:cs="Arial"/>
          <w:sz w:val="20"/>
          <w:szCs w:val="20"/>
          <w:shd w:val="clear" w:color="auto" w:fill="FFFFFF"/>
        </w:rPr>
        <w:t xml:space="preserve">investigated the effect of digital finance on financial inclusion on Indonesian Banking industry. Yearly data from the banking industry from the Indonesian Stock Exchange (IDX) 2013- 2019 with a sample of 6 banks were used. Digital finance was looked at in terms of internet banking and mobile banking and the average digital finance (ADF) measurement was used to measure the internet and mobile banking transactions. Panel data regression model was employed to test the hypothesis. The findings revealed that digital finance impacts financial inclusion through digital financial services that facilitate access to financial services. Therefore, increasing and decreasing internet banking and mobile banking influence credit penetration. This corresponds with </w:t>
      </w:r>
      <w:proofErr w:type="spellStart"/>
      <w:r w:rsidRPr="003B19DA">
        <w:rPr>
          <w:rFonts w:ascii="Arial" w:hAnsi="Arial" w:cs="Arial"/>
          <w:sz w:val="20"/>
          <w:szCs w:val="20"/>
          <w:shd w:val="clear" w:color="auto" w:fill="FFFFFF"/>
        </w:rPr>
        <w:t>Kan</w:t>
      </w:r>
      <w:proofErr w:type="spellEnd"/>
      <w:r w:rsidRPr="003B19DA">
        <w:rPr>
          <w:rFonts w:ascii="Arial" w:hAnsi="Arial" w:cs="Arial"/>
          <w:sz w:val="20"/>
          <w:szCs w:val="20"/>
          <w:shd w:val="clear" w:color="auto" w:fill="FFFFFF"/>
        </w:rPr>
        <w:t xml:space="preserve"> and Sun (2022) who investigated the impact of digital finance on innovation and research and development of technology. Financial data on technology based on SMEs on the growth enterprise market from 2013 – 2020 (China Growth Enterprise Market Listed Company data) was used. Fixed effect model was employed to test the impact of digital finance and financial flexibility on enterprise research and development investment from the external environment and the internal mechanisms. The findings revealed that digital finance through breadth of </w:t>
      </w:r>
      <w:r w:rsidRPr="003B19DA">
        <w:rPr>
          <w:rFonts w:ascii="Arial" w:hAnsi="Arial" w:cs="Arial"/>
          <w:sz w:val="20"/>
          <w:szCs w:val="20"/>
          <w:shd w:val="clear" w:color="auto" w:fill="FFFFFF"/>
        </w:rPr>
        <w:lastRenderedPageBreak/>
        <w:t>coverage, depth of use and degree of digitization has a positive impact on research and development investment of technological based SMEs.</w:t>
      </w:r>
    </w:p>
    <w:p w14:paraId="6A45AA1A" w14:textId="77777777" w:rsidR="008A6704" w:rsidRPr="003B19DA" w:rsidRDefault="008A6704" w:rsidP="003628B7">
      <w:pPr>
        <w:spacing w:before="100" w:beforeAutospacing="1" w:after="100" w:afterAutospacing="1" w:line="240" w:lineRule="auto"/>
        <w:jc w:val="both"/>
        <w:rPr>
          <w:rFonts w:ascii="Arial" w:hAnsi="Arial" w:cs="Arial"/>
          <w:sz w:val="20"/>
          <w:szCs w:val="20"/>
          <w:shd w:val="clear" w:color="auto" w:fill="FFFFFF"/>
        </w:rPr>
      </w:pPr>
      <w:proofErr w:type="spellStart"/>
      <w:r w:rsidRPr="003B19DA">
        <w:rPr>
          <w:rFonts w:ascii="Arial" w:hAnsi="Arial" w:cs="Arial"/>
          <w:sz w:val="20"/>
          <w:szCs w:val="20"/>
          <w:shd w:val="clear" w:color="auto" w:fill="FFFFFF"/>
        </w:rPr>
        <w:t>Aljabri</w:t>
      </w:r>
      <w:proofErr w:type="spellEnd"/>
      <w:r w:rsidRPr="003B19DA">
        <w:rPr>
          <w:rFonts w:ascii="Arial" w:hAnsi="Arial" w:cs="Arial"/>
          <w:sz w:val="20"/>
          <w:szCs w:val="20"/>
          <w:shd w:val="clear" w:color="auto" w:fill="FFFFFF"/>
        </w:rPr>
        <w:t xml:space="preserve"> and </w:t>
      </w:r>
      <w:proofErr w:type="spellStart"/>
      <w:r w:rsidRPr="003B19DA">
        <w:rPr>
          <w:rFonts w:ascii="Arial" w:hAnsi="Arial" w:cs="Arial"/>
          <w:sz w:val="20"/>
          <w:szCs w:val="20"/>
          <w:shd w:val="clear" w:color="auto" w:fill="FFFFFF"/>
        </w:rPr>
        <w:t>Sohail</w:t>
      </w:r>
      <w:proofErr w:type="spellEnd"/>
      <w:r w:rsidRPr="003B19DA">
        <w:rPr>
          <w:rFonts w:ascii="Arial" w:hAnsi="Arial" w:cs="Arial"/>
          <w:sz w:val="20"/>
          <w:szCs w:val="20"/>
          <w:shd w:val="clear" w:color="auto" w:fill="FFFFFF"/>
        </w:rPr>
        <w:t xml:space="preserve"> (2012) investigated factors affecting mobile banking adoption in Saudi Arabia. All adult individuals residing in Saudi Arabia who were conveniently sampled to a sample size of 330 actual mobile banking users, who were used for data collection. 2-part self-administered questionnaires where the first part captured demographic characteristics and usage while the 2</w:t>
      </w:r>
      <w:r w:rsidRPr="003B19DA">
        <w:rPr>
          <w:rFonts w:ascii="Arial" w:hAnsi="Arial" w:cs="Arial"/>
          <w:sz w:val="20"/>
          <w:szCs w:val="20"/>
          <w:shd w:val="clear" w:color="auto" w:fill="FFFFFF"/>
          <w:vertAlign w:val="superscript"/>
        </w:rPr>
        <w:t>nd</w:t>
      </w:r>
      <w:r w:rsidRPr="003B19DA">
        <w:rPr>
          <w:rFonts w:ascii="Arial" w:hAnsi="Arial" w:cs="Arial"/>
          <w:sz w:val="20"/>
          <w:szCs w:val="20"/>
          <w:shd w:val="clear" w:color="auto" w:fill="FFFFFF"/>
        </w:rPr>
        <w:t xml:space="preserve"> part captured information on constructs affecting mobile banking adoption like relative advantage, complexity, compatibility, </w:t>
      </w:r>
      <w:proofErr w:type="spellStart"/>
      <w:r w:rsidRPr="003B19DA">
        <w:rPr>
          <w:rFonts w:ascii="Arial" w:hAnsi="Arial" w:cs="Arial"/>
          <w:sz w:val="20"/>
          <w:szCs w:val="20"/>
          <w:shd w:val="clear" w:color="auto" w:fill="FFFFFF"/>
        </w:rPr>
        <w:t>observability</w:t>
      </w:r>
      <w:proofErr w:type="spellEnd"/>
      <w:r w:rsidRPr="003B19DA">
        <w:rPr>
          <w:rFonts w:ascii="Arial" w:hAnsi="Arial" w:cs="Arial"/>
          <w:sz w:val="20"/>
          <w:szCs w:val="20"/>
          <w:shd w:val="clear" w:color="auto" w:fill="FFFFFF"/>
        </w:rPr>
        <w:t xml:space="preserve">, </w:t>
      </w:r>
      <w:proofErr w:type="spellStart"/>
      <w:r w:rsidRPr="003B19DA">
        <w:rPr>
          <w:rFonts w:ascii="Arial" w:hAnsi="Arial" w:cs="Arial"/>
          <w:sz w:val="20"/>
          <w:szCs w:val="20"/>
          <w:shd w:val="clear" w:color="auto" w:fill="FFFFFF"/>
        </w:rPr>
        <w:t>triability</w:t>
      </w:r>
      <w:proofErr w:type="spellEnd"/>
      <w:r w:rsidRPr="003B19DA">
        <w:rPr>
          <w:rFonts w:ascii="Arial" w:hAnsi="Arial" w:cs="Arial"/>
          <w:sz w:val="20"/>
          <w:szCs w:val="20"/>
          <w:shd w:val="clear" w:color="auto" w:fill="FFFFFF"/>
        </w:rPr>
        <w:t xml:space="preserve"> and perceived risk. As a baseline, the study used the Diffusion of Innovation Theory. The findings recommended that banks need to focus on communicating information that emphasize the relative advantage and usefulness of mobile banking compared to other banking channels like the use of ATM or physical presence. The use of diffusion of innovation theory informed the use of the theory in this study</w:t>
      </w:r>
      <w:proofErr w:type="gramStart"/>
      <w:r w:rsidRPr="003B19DA">
        <w:rPr>
          <w:rFonts w:ascii="Arial" w:hAnsi="Arial" w:cs="Arial"/>
          <w:sz w:val="20"/>
          <w:szCs w:val="20"/>
          <w:shd w:val="clear" w:color="auto" w:fill="FFFFFF"/>
        </w:rPr>
        <w:t>.,</w:t>
      </w:r>
      <w:proofErr w:type="gramEnd"/>
    </w:p>
    <w:p w14:paraId="0D9B8A47" w14:textId="77777777" w:rsidR="008A6704" w:rsidRPr="003B19DA" w:rsidRDefault="008A6704" w:rsidP="003628B7">
      <w:pPr>
        <w:spacing w:after="100" w:afterAutospacing="1" w:line="240" w:lineRule="auto"/>
        <w:jc w:val="both"/>
        <w:rPr>
          <w:rFonts w:ascii="Arial" w:hAnsi="Arial" w:cs="Arial"/>
          <w:sz w:val="20"/>
          <w:szCs w:val="20"/>
          <w:shd w:val="clear" w:color="auto" w:fill="FFFFFF"/>
        </w:rPr>
      </w:pPr>
      <w:proofErr w:type="spellStart"/>
      <w:r w:rsidRPr="003B19DA">
        <w:rPr>
          <w:rFonts w:ascii="Arial" w:hAnsi="Arial" w:cs="Arial"/>
          <w:sz w:val="20"/>
          <w:szCs w:val="20"/>
          <w:shd w:val="clear" w:color="auto" w:fill="FFFFFF"/>
        </w:rPr>
        <w:t>Shen</w:t>
      </w:r>
      <w:proofErr w:type="spellEnd"/>
      <w:r w:rsidRPr="003B19DA">
        <w:rPr>
          <w:rFonts w:ascii="Arial" w:hAnsi="Arial" w:cs="Arial"/>
          <w:sz w:val="20"/>
          <w:szCs w:val="20"/>
          <w:shd w:val="clear" w:color="auto" w:fill="FFFFFF"/>
        </w:rPr>
        <w:t xml:space="preserve"> et al. (2018) analyzed the effect of financial literacy, digital financial product usage on financial inclusion using a cross sectional research design on a sample of 218 individuals from different areas in China. Partial Least Squares (PLS) regression was employed to estimate the relationships. Questionnaires for measuring the different variables were used. Financial literacy variables included financial knowledge, financial skills, financial attitudes and ability to make sound </w:t>
      </w:r>
      <w:proofErr w:type="spellStart"/>
      <w:r w:rsidRPr="003B19DA">
        <w:rPr>
          <w:rFonts w:ascii="Arial" w:hAnsi="Arial" w:cs="Arial"/>
          <w:sz w:val="20"/>
          <w:szCs w:val="20"/>
          <w:shd w:val="clear" w:color="auto" w:fill="FFFFFF"/>
        </w:rPr>
        <w:t>judgements</w:t>
      </w:r>
      <w:proofErr w:type="spellEnd"/>
      <w:r w:rsidRPr="003B19DA">
        <w:rPr>
          <w:rFonts w:ascii="Arial" w:hAnsi="Arial" w:cs="Arial"/>
          <w:sz w:val="20"/>
          <w:szCs w:val="20"/>
          <w:shd w:val="clear" w:color="auto" w:fill="FFFFFF"/>
        </w:rPr>
        <w:t xml:space="preserve"> and decisions. These variables were measured based on education levels, income, commercial loans, credit card, shared and commercial insurance. Digital financial product usage was measured using internet consumer product, internet financial product, internet loan and </w:t>
      </w:r>
      <w:proofErr w:type="spellStart"/>
      <w:r w:rsidRPr="003B19DA">
        <w:rPr>
          <w:rFonts w:ascii="Arial" w:hAnsi="Arial" w:cs="Arial"/>
          <w:sz w:val="20"/>
          <w:szCs w:val="20"/>
          <w:shd w:val="clear" w:color="auto" w:fill="FFFFFF"/>
        </w:rPr>
        <w:t>crowdfunding</w:t>
      </w:r>
      <w:proofErr w:type="spellEnd"/>
      <w:r w:rsidRPr="003B19DA">
        <w:rPr>
          <w:rFonts w:ascii="Arial" w:hAnsi="Arial" w:cs="Arial"/>
          <w:sz w:val="20"/>
          <w:szCs w:val="20"/>
          <w:shd w:val="clear" w:color="auto" w:fill="FFFFFF"/>
        </w:rPr>
        <w:t>. Financial inclusion was measured based on price inclusion, geographical inclusion and self-inclusion. The study suggests that improving financial literacy of residents and popularizing the internet usage can promote the usage of digital financial products and achieve the goal of advancing financial inclusion. The study considered digital financial product usage which is different from this study that will consider financial literacy, digital finance and financial inclusion.</w:t>
      </w:r>
    </w:p>
    <w:p w14:paraId="23148FAD" w14:textId="77777777" w:rsidR="008A6704" w:rsidRPr="003B19DA" w:rsidRDefault="008A6704" w:rsidP="003628B7">
      <w:pPr>
        <w:spacing w:before="100" w:beforeAutospacing="1" w:after="100" w:afterAutospacing="1" w:line="240" w:lineRule="auto"/>
        <w:jc w:val="both"/>
        <w:rPr>
          <w:rFonts w:ascii="Arial" w:hAnsi="Arial" w:cs="Arial"/>
          <w:sz w:val="20"/>
          <w:szCs w:val="20"/>
        </w:rPr>
      </w:pPr>
      <w:proofErr w:type="spellStart"/>
      <w:r w:rsidRPr="003B19DA">
        <w:rPr>
          <w:rFonts w:ascii="Arial" w:hAnsi="Arial" w:cs="Arial"/>
          <w:sz w:val="20"/>
          <w:szCs w:val="20"/>
        </w:rPr>
        <w:t>Uzoma</w:t>
      </w:r>
      <w:proofErr w:type="spellEnd"/>
      <w:r w:rsidRPr="003B19DA">
        <w:rPr>
          <w:rFonts w:ascii="Arial" w:hAnsi="Arial" w:cs="Arial"/>
          <w:sz w:val="20"/>
          <w:szCs w:val="20"/>
        </w:rPr>
        <w:t xml:space="preserve"> </w:t>
      </w:r>
      <w:r w:rsidRPr="003B19DA">
        <w:rPr>
          <w:rFonts w:ascii="Arial" w:hAnsi="Arial" w:cs="Arial"/>
          <w:i/>
          <w:iCs/>
          <w:sz w:val="20"/>
          <w:szCs w:val="20"/>
        </w:rPr>
        <w:t>et al.</w:t>
      </w:r>
      <w:r w:rsidRPr="003B19DA">
        <w:rPr>
          <w:rFonts w:ascii="Arial" w:hAnsi="Arial" w:cs="Arial"/>
          <w:sz w:val="20"/>
          <w:szCs w:val="20"/>
        </w:rPr>
        <w:t xml:space="preserve">, (2020) used data from 27 sub-Saharan African countries to investigate the relationship between Digital Finance that was measured by the share of people using ATMs and Financial Inclusion that was measured by actual use and quality of financial services. The actual use of financial services was measured using deposit accounts in commercial banks for every 1000 adults while. The findings indicated that there is a positive association between digital finance and financial inclusion. These findings were in line with those of </w:t>
      </w:r>
      <w:proofErr w:type="spellStart"/>
      <w:r w:rsidRPr="003B19DA">
        <w:rPr>
          <w:rFonts w:ascii="Arial" w:hAnsi="Arial" w:cs="Arial"/>
          <w:sz w:val="20"/>
          <w:szCs w:val="20"/>
        </w:rPr>
        <w:t>Siddik</w:t>
      </w:r>
      <w:proofErr w:type="spellEnd"/>
      <w:r w:rsidRPr="003B19DA">
        <w:rPr>
          <w:rFonts w:ascii="Arial" w:hAnsi="Arial" w:cs="Arial"/>
          <w:sz w:val="20"/>
          <w:szCs w:val="20"/>
        </w:rPr>
        <w:t xml:space="preserve"> and </w:t>
      </w:r>
      <w:proofErr w:type="spellStart"/>
      <w:r w:rsidRPr="003B19DA">
        <w:rPr>
          <w:rFonts w:ascii="Arial" w:hAnsi="Arial" w:cs="Arial"/>
          <w:sz w:val="20"/>
          <w:szCs w:val="20"/>
        </w:rPr>
        <w:t>Kabiraj</w:t>
      </w:r>
      <w:proofErr w:type="spellEnd"/>
      <w:r w:rsidRPr="003B19DA">
        <w:rPr>
          <w:rFonts w:ascii="Arial" w:hAnsi="Arial" w:cs="Arial"/>
          <w:sz w:val="20"/>
          <w:szCs w:val="20"/>
        </w:rPr>
        <w:t xml:space="preserve"> (2020), who examined the influence of Digital Finance on Financial inclusion using data on 189 countries from 2004 to 2016. The measure of digital finance that included usage of ATMs will contribute significantly to this study.</w:t>
      </w:r>
    </w:p>
    <w:p w14:paraId="66D89711" w14:textId="77777777" w:rsidR="008A6704" w:rsidRPr="003B19DA" w:rsidRDefault="008A6704" w:rsidP="003628B7">
      <w:pPr>
        <w:spacing w:before="100" w:beforeAutospacing="1" w:after="100" w:afterAutospacing="1" w:line="240" w:lineRule="auto"/>
        <w:jc w:val="both"/>
        <w:rPr>
          <w:rFonts w:ascii="Arial" w:hAnsi="Arial" w:cs="Arial"/>
          <w:sz w:val="20"/>
          <w:szCs w:val="20"/>
        </w:rPr>
      </w:pPr>
      <w:r w:rsidRPr="003B19DA">
        <w:rPr>
          <w:rFonts w:ascii="Arial" w:hAnsi="Arial" w:cs="Arial"/>
          <w:sz w:val="20"/>
          <w:szCs w:val="20"/>
        </w:rPr>
        <w:t>Al-</w:t>
      </w:r>
      <w:proofErr w:type="spellStart"/>
      <w:r w:rsidRPr="003B19DA">
        <w:rPr>
          <w:rFonts w:ascii="Arial" w:hAnsi="Arial" w:cs="Arial"/>
          <w:sz w:val="20"/>
          <w:szCs w:val="20"/>
        </w:rPr>
        <w:t>Smadi</w:t>
      </w:r>
      <w:proofErr w:type="spellEnd"/>
      <w:r w:rsidRPr="003B19DA">
        <w:rPr>
          <w:rFonts w:ascii="Arial" w:hAnsi="Arial" w:cs="Arial"/>
          <w:sz w:val="20"/>
          <w:szCs w:val="20"/>
        </w:rPr>
        <w:t xml:space="preserve"> (2022) investigated the association between digital finance and financial inclusion in the Middle East and North Africa (MENA) region using secondary data from the World Development Indicators database and the International Monetary Fund’s Financial Access Survey covering 189 countries. The study measured financial inclusion using access, availability and usage of financial services while digital finance was measured by the number of ATMs. The results of the study revealed that digital finance enhances access to, availability of and use of financial services in MENA region and overall financial level. The findings of the study relates with </w:t>
      </w:r>
      <w:r w:rsidRPr="003B19DA">
        <w:rPr>
          <w:rFonts w:ascii="Arial" w:hAnsi="Arial" w:cs="Arial"/>
          <w:sz w:val="20"/>
          <w:szCs w:val="20"/>
          <w:shd w:val="clear" w:color="auto" w:fill="FFFFFF"/>
        </w:rPr>
        <w:t>Ma (2022) study that examined the effect of digital finance on economic development. The study employed data from 31 provinces in inland China from 2013 – 2021 which was obtained from Peking University China digital Financial Inclusion Index and China Statistical yearbook. A two way fixed effect model estimation and a moderating effect analysis was used to determine whether digital finance affected economic development. The study noted that digital finance contributes to economic development by attracting foreign direct investment and optimizing the industrial structure.</w:t>
      </w:r>
    </w:p>
    <w:p w14:paraId="1E28625C" w14:textId="77777777" w:rsidR="008A6704" w:rsidRDefault="008A6704" w:rsidP="003628B7">
      <w:pPr>
        <w:spacing w:after="100" w:afterAutospacing="1" w:line="240" w:lineRule="auto"/>
        <w:jc w:val="both"/>
        <w:rPr>
          <w:rFonts w:ascii="Arial" w:hAnsi="Arial" w:cs="Arial"/>
          <w:sz w:val="20"/>
          <w:szCs w:val="20"/>
          <w:shd w:val="clear" w:color="auto" w:fill="FFFFFF"/>
        </w:rPr>
      </w:pPr>
      <w:proofErr w:type="spellStart"/>
      <w:r w:rsidRPr="003B19DA">
        <w:rPr>
          <w:rFonts w:ascii="Arial" w:hAnsi="Arial" w:cs="Arial"/>
          <w:sz w:val="20"/>
          <w:szCs w:val="20"/>
          <w:shd w:val="clear" w:color="auto" w:fill="FFFFFF"/>
        </w:rPr>
        <w:lastRenderedPageBreak/>
        <w:t>Tiony</w:t>
      </w:r>
      <w:proofErr w:type="spellEnd"/>
      <w:r w:rsidRPr="003B19DA">
        <w:rPr>
          <w:rFonts w:ascii="Arial" w:hAnsi="Arial" w:cs="Arial"/>
          <w:sz w:val="20"/>
          <w:szCs w:val="20"/>
          <w:shd w:val="clear" w:color="auto" w:fill="FFFFFF"/>
        </w:rPr>
        <w:t xml:space="preserve"> (2023) used secondary data to examine the expansion of digital financial services in Kenya and their impact on financial inclusion. Digital financial services were measured using indicators like mobile money service uptake and usage of digital financial services. Financial inclusion was indicated by account ownership, use of financial services, credit availability and insurance coverage. Both regression and descriptive analysis of existing data was done and it was found that adoption of digital financial services especially mobile money platforms like </w:t>
      </w:r>
      <w:proofErr w:type="spellStart"/>
      <w:r w:rsidRPr="003B19DA">
        <w:rPr>
          <w:rFonts w:ascii="Arial" w:hAnsi="Arial" w:cs="Arial"/>
          <w:sz w:val="20"/>
          <w:szCs w:val="20"/>
          <w:shd w:val="clear" w:color="auto" w:fill="FFFFFF"/>
        </w:rPr>
        <w:t>Mpesa</w:t>
      </w:r>
      <w:proofErr w:type="spellEnd"/>
      <w:r w:rsidRPr="003B19DA">
        <w:rPr>
          <w:rFonts w:ascii="Arial" w:hAnsi="Arial" w:cs="Arial"/>
          <w:sz w:val="20"/>
          <w:szCs w:val="20"/>
          <w:shd w:val="clear" w:color="auto" w:fill="FFFFFF"/>
        </w:rPr>
        <w:t xml:space="preserve"> have grown substantially increasing access to banking services, formal savings and credit facilities. The operationalization of digital financial services as uptake of mobile service and usage of digital financial services contribute largely to this study.</w:t>
      </w:r>
    </w:p>
    <w:p w14:paraId="2D0F743D" w14:textId="089E3F15" w:rsidR="003B19DA" w:rsidRDefault="003B19DA">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br w:type="page"/>
      </w:r>
    </w:p>
    <w:p w14:paraId="6B26C2F0" w14:textId="50058C89" w:rsidR="00723136" w:rsidRPr="003B19DA" w:rsidRDefault="00723136" w:rsidP="003B19DA">
      <w:pPr>
        <w:pStyle w:val="Heading1"/>
      </w:pPr>
      <w:bookmarkStart w:id="37" w:name="_Toc140089264"/>
      <w:bookmarkStart w:id="38" w:name="_Toc143611060"/>
      <w:bookmarkStart w:id="39" w:name="_Toc187381799"/>
      <w:bookmarkStart w:id="40" w:name="_Toc200694778"/>
      <w:bookmarkStart w:id="41" w:name="_Hlk156739362"/>
      <w:r w:rsidRPr="003B19DA">
        <w:lastRenderedPageBreak/>
        <w:t>Conceptual Framework</w:t>
      </w:r>
      <w:bookmarkEnd w:id="37"/>
      <w:bookmarkEnd w:id="38"/>
      <w:bookmarkEnd w:id="39"/>
      <w:bookmarkEnd w:id="40"/>
    </w:p>
    <w:bookmarkEnd w:id="41"/>
    <w:p w14:paraId="49115DFC" w14:textId="242B52DD" w:rsidR="00E10984" w:rsidRPr="003B19DA" w:rsidRDefault="00C102DE" w:rsidP="003628B7">
      <w:pPr>
        <w:spacing w:before="100" w:beforeAutospacing="1" w:after="100" w:afterAutospacing="1" w:line="240" w:lineRule="auto"/>
        <w:jc w:val="both"/>
        <w:rPr>
          <w:rFonts w:ascii="Arial" w:hAnsi="Arial" w:cs="Arial"/>
          <w:color w:val="000000"/>
          <w:sz w:val="20"/>
          <w:szCs w:val="20"/>
        </w:rPr>
      </w:pPr>
      <w:r w:rsidRPr="003B19DA">
        <w:rPr>
          <w:rFonts w:ascii="Arial" w:hAnsi="Arial" w:cs="Arial"/>
          <w:sz w:val="20"/>
          <w:szCs w:val="20"/>
        </w:rPr>
        <w:t>To</w:t>
      </w:r>
      <w:r w:rsidR="00723136" w:rsidRPr="003B19DA">
        <w:rPr>
          <w:rFonts w:ascii="Arial" w:hAnsi="Arial" w:cs="Arial"/>
          <w:sz w:val="20"/>
          <w:szCs w:val="20"/>
        </w:rPr>
        <w:t xml:space="preserve"> </w:t>
      </w:r>
      <w:r w:rsidR="000B0986" w:rsidRPr="003B19DA">
        <w:rPr>
          <w:rFonts w:ascii="Arial" w:hAnsi="Arial" w:cs="Arial"/>
          <w:sz w:val="20"/>
          <w:szCs w:val="20"/>
        </w:rPr>
        <w:t>examine</w:t>
      </w:r>
      <w:r w:rsidR="00723136" w:rsidRPr="003B19DA">
        <w:rPr>
          <w:rFonts w:ascii="Arial" w:hAnsi="Arial" w:cs="Arial"/>
          <w:sz w:val="20"/>
          <w:szCs w:val="20"/>
        </w:rPr>
        <w:t xml:space="preserve"> the influence of </w:t>
      </w:r>
      <w:r w:rsidR="00E10984" w:rsidRPr="003B19DA">
        <w:rPr>
          <w:rFonts w:ascii="Arial" w:hAnsi="Arial" w:cs="Arial"/>
          <w:sz w:val="20"/>
          <w:szCs w:val="20"/>
        </w:rPr>
        <w:t>digital finance</w:t>
      </w:r>
      <w:r w:rsidR="00723136" w:rsidRPr="003B19DA">
        <w:rPr>
          <w:rFonts w:ascii="Arial" w:hAnsi="Arial" w:cs="Arial"/>
          <w:sz w:val="20"/>
          <w:szCs w:val="20"/>
        </w:rPr>
        <w:t xml:space="preserve"> on financial inclusion of rural women in Kenya</w:t>
      </w:r>
      <w:r w:rsidRPr="003B19DA">
        <w:rPr>
          <w:rFonts w:ascii="Arial" w:hAnsi="Arial" w:cs="Arial"/>
          <w:sz w:val="20"/>
          <w:szCs w:val="20"/>
        </w:rPr>
        <w:t xml:space="preserve"> the study conceptualized the relationship that exist among the variables as shown in figure 1</w:t>
      </w:r>
      <w:r w:rsidR="00723136" w:rsidRPr="003B19DA">
        <w:rPr>
          <w:rFonts w:ascii="Arial" w:hAnsi="Arial" w:cs="Arial"/>
          <w:sz w:val="20"/>
          <w:szCs w:val="20"/>
        </w:rPr>
        <w:t xml:space="preserve">. </w:t>
      </w:r>
      <w:r w:rsidR="005227FF" w:rsidRPr="003B19DA">
        <w:rPr>
          <w:rFonts w:ascii="Arial" w:hAnsi="Arial" w:cs="Arial"/>
          <w:sz w:val="20"/>
          <w:szCs w:val="20"/>
        </w:rPr>
        <w:t>The dependent variable in this study is financial inclusion while the independent variable</w:t>
      </w:r>
      <w:r w:rsidR="00E10984" w:rsidRPr="003B19DA">
        <w:rPr>
          <w:rFonts w:ascii="Arial" w:hAnsi="Arial" w:cs="Arial"/>
          <w:sz w:val="20"/>
          <w:szCs w:val="20"/>
        </w:rPr>
        <w:t xml:space="preserve"> is </w:t>
      </w:r>
      <w:r w:rsidR="005227FF" w:rsidRPr="003B19DA">
        <w:rPr>
          <w:rFonts w:ascii="Arial" w:hAnsi="Arial" w:cs="Arial"/>
          <w:sz w:val="20"/>
          <w:szCs w:val="20"/>
        </w:rPr>
        <w:t>digital finance.</w:t>
      </w:r>
      <w:r w:rsidRPr="003B19DA">
        <w:rPr>
          <w:rFonts w:ascii="Arial" w:hAnsi="Arial" w:cs="Arial"/>
          <w:color w:val="000000"/>
          <w:sz w:val="20"/>
          <w:szCs w:val="20"/>
        </w:rPr>
        <w:t xml:space="preserve"> </w:t>
      </w:r>
    </w:p>
    <w:p w14:paraId="1E11991B" w14:textId="77777777" w:rsidR="00D8330E" w:rsidRPr="003B19DA" w:rsidRDefault="00D8330E" w:rsidP="00D8330E">
      <w:pPr>
        <w:spacing w:after="160" w:line="360" w:lineRule="auto"/>
        <w:jc w:val="both"/>
        <w:rPr>
          <w:rFonts w:ascii="Arial" w:hAnsi="Arial" w:cs="Arial"/>
          <w:color w:val="000000"/>
        </w:rPr>
      </w:pPr>
    </w:p>
    <w:p w14:paraId="25B58367" w14:textId="77777777" w:rsidR="00723136" w:rsidRPr="003B19DA" w:rsidRDefault="00723136" w:rsidP="00A07520">
      <w:pPr>
        <w:pStyle w:val="Default"/>
        <w:jc w:val="both"/>
        <w:rPr>
          <w:rFonts w:ascii="Arial" w:hAnsi="Arial" w:cs="Arial"/>
          <w:sz w:val="22"/>
          <w:szCs w:val="22"/>
          <w:lang w:eastAsia="x-none"/>
        </w:rPr>
      </w:pPr>
    </w:p>
    <w:p w14:paraId="5ABF5703" w14:textId="32322A7D" w:rsidR="003F5DA6" w:rsidRPr="003B19DA" w:rsidRDefault="009C34DA" w:rsidP="00D8330E">
      <w:pPr>
        <w:spacing w:after="160" w:line="360" w:lineRule="auto"/>
        <w:jc w:val="both"/>
        <w:rPr>
          <w:rFonts w:ascii="Arial" w:hAnsi="Arial" w:cs="Arial"/>
        </w:rPr>
      </w:pPr>
      <w:r w:rsidRPr="003B19DA">
        <w:rPr>
          <w:rFonts w:ascii="Arial" w:hAnsi="Arial" w:cs="Arial"/>
          <w:noProof/>
        </w:rPr>
        <mc:AlternateContent>
          <mc:Choice Requires="wps">
            <w:drawing>
              <wp:anchor distT="0" distB="0" distL="114300" distR="114300" simplePos="0" relativeHeight="251708416" behindDoc="0" locked="0" layoutInCell="1" allowOverlap="1" wp14:anchorId="7D149863" wp14:editId="28F074ED">
                <wp:simplePos x="0" y="0"/>
                <wp:positionH relativeFrom="column">
                  <wp:posOffset>-228600</wp:posOffset>
                </wp:positionH>
                <wp:positionV relativeFrom="paragraph">
                  <wp:posOffset>-144780</wp:posOffset>
                </wp:positionV>
                <wp:extent cx="2529840" cy="411480"/>
                <wp:effectExtent l="19050" t="19050" r="41910" b="45720"/>
                <wp:wrapNone/>
                <wp:docPr id="938775693" name="Rectangle: Rounded Corners 5"/>
                <wp:cNvGraphicFramePr/>
                <a:graphic xmlns:a="http://schemas.openxmlformats.org/drawingml/2006/main">
                  <a:graphicData uri="http://schemas.microsoft.com/office/word/2010/wordprocessingShape">
                    <wps:wsp>
                      <wps:cNvSpPr/>
                      <wps:spPr>
                        <a:xfrm>
                          <a:off x="0" y="0"/>
                          <a:ext cx="2529840" cy="411480"/>
                        </a:xfrm>
                        <a:prstGeom prst="roundRect">
                          <a:avLst/>
                        </a:prstGeom>
                        <a:ln w="57150"/>
                      </wps:spPr>
                      <wps:style>
                        <a:lnRef idx="2">
                          <a:schemeClr val="dk1"/>
                        </a:lnRef>
                        <a:fillRef idx="1">
                          <a:schemeClr val="lt1"/>
                        </a:fillRef>
                        <a:effectRef idx="0">
                          <a:schemeClr val="dk1"/>
                        </a:effectRef>
                        <a:fontRef idx="minor">
                          <a:schemeClr val="dk1"/>
                        </a:fontRef>
                      </wps:style>
                      <wps:txbx>
                        <w:txbxContent>
                          <w:p w14:paraId="38C052AA" w14:textId="04A4DF82" w:rsidR="005F5738" w:rsidRPr="009C34DA" w:rsidRDefault="005F5738" w:rsidP="009C34DA">
                            <w:pPr>
                              <w:jc w:val="center"/>
                              <w:rPr>
                                <w:rFonts w:ascii="Times New Roman" w:hAnsi="Times New Roman"/>
                                <w:b/>
                                <w:bCs/>
                                <w:sz w:val="24"/>
                                <w:szCs w:val="24"/>
                              </w:rPr>
                            </w:pPr>
                            <w:r w:rsidRPr="009C34DA">
                              <w:rPr>
                                <w:rFonts w:ascii="Times New Roman" w:hAnsi="Times New Roman"/>
                                <w:b/>
                                <w:bCs/>
                                <w:sz w:val="24"/>
                                <w:szCs w:val="24"/>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149863" id="Rectangle: Rounded Corners 5" o:spid="_x0000_s1026" style="position:absolute;left:0;text-align:left;margin-left:-18pt;margin-top:-11.4pt;width:199.2pt;height:32.4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" fillcolor="white [3201]" strokecolor="black [3200]" strokeweight="4.5pt">
                <v:stroke joinstyle="miter"/>
                <v:textbox>
                  <w:txbxContent>
                    <w:p w14:paraId="38C052AA" w14:textId="04A4DF82" w:rsidR="005F5738" w:rsidRPr="009C34DA" w:rsidRDefault="005F5738" w:rsidP="009C34DA">
                      <w:pPr>
                        <w:jc w:val="center"/>
                        <w:rPr>
                          <w:rFonts w:ascii="Times New Roman" w:hAnsi="Times New Roman"/>
                          <w:b/>
                          <w:bCs/>
                          <w:sz w:val="24"/>
                          <w:szCs w:val="24"/>
                        </w:rPr>
                      </w:pPr>
                      <w:r w:rsidRPr="009C34DA">
                        <w:rPr>
                          <w:rFonts w:ascii="Times New Roman" w:hAnsi="Times New Roman"/>
                          <w:b/>
                          <w:bCs/>
                          <w:sz w:val="24"/>
                          <w:szCs w:val="24"/>
                        </w:rPr>
                        <w:t>INDEPENDENT VARIABLES</w:t>
                      </w:r>
                    </w:p>
                  </w:txbxContent>
                </v:textbox>
              </v:roundrect>
            </w:pict>
          </mc:Fallback>
        </mc:AlternateContent>
      </w:r>
      <w:r w:rsidRPr="003B19DA">
        <w:rPr>
          <w:rFonts w:ascii="Arial" w:hAnsi="Arial" w:cs="Arial"/>
          <w:noProof/>
        </w:rPr>
        <mc:AlternateContent>
          <mc:Choice Requires="wps">
            <w:drawing>
              <wp:anchor distT="0" distB="0" distL="114300" distR="114300" simplePos="0" relativeHeight="251709440" behindDoc="0" locked="0" layoutInCell="1" allowOverlap="1" wp14:anchorId="19CE0671" wp14:editId="6F0EDCC1">
                <wp:simplePos x="0" y="0"/>
                <wp:positionH relativeFrom="margin">
                  <wp:posOffset>3379470</wp:posOffset>
                </wp:positionH>
                <wp:positionV relativeFrom="paragraph">
                  <wp:posOffset>-121920</wp:posOffset>
                </wp:positionV>
                <wp:extent cx="2400300" cy="396240"/>
                <wp:effectExtent l="19050" t="19050" r="38100" b="41910"/>
                <wp:wrapNone/>
                <wp:docPr id="6212206" name="Rectangle: Rounded Corners 6"/>
                <wp:cNvGraphicFramePr/>
                <a:graphic xmlns:a="http://schemas.openxmlformats.org/drawingml/2006/main">
                  <a:graphicData uri="http://schemas.microsoft.com/office/word/2010/wordprocessingShape">
                    <wps:wsp>
                      <wps:cNvSpPr/>
                      <wps:spPr>
                        <a:xfrm>
                          <a:off x="0" y="0"/>
                          <a:ext cx="2400300" cy="396240"/>
                        </a:xfrm>
                        <a:prstGeom prst="roundRect">
                          <a:avLst/>
                        </a:prstGeom>
                        <a:ln w="57150"/>
                      </wps:spPr>
                      <wps:style>
                        <a:lnRef idx="2">
                          <a:schemeClr val="dk1"/>
                        </a:lnRef>
                        <a:fillRef idx="1">
                          <a:schemeClr val="lt1"/>
                        </a:fillRef>
                        <a:effectRef idx="0">
                          <a:schemeClr val="dk1"/>
                        </a:effectRef>
                        <a:fontRef idx="minor">
                          <a:schemeClr val="dk1"/>
                        </a:fontRef>
                      </wps:style>
                      <wps:txbx>
                        <w:txbxContent>
                          <w:p w14:paraId="14A60A46" w14:textId="6F200084" w:rsidR="005F5738" w:rsidRPr="009C34DA" w:rsidRDefault="005F5738" w:rsidP="009C34DA">
                            <w:pPr>
                              <w:jc w:val="center"/>
                              <w:rPr>
                                <w:rFonts w:ascii="Times New Roman" w:hAnsi="Times New Roman"/>
                                <w:b/>
                                <w:bCs/>
                                <w:sz w:val="24"/>
                                <w:szCs w:val="24"/>
                              </w:rPr>
                            </w:pPr>
                            <w:r w:rsidRPr="009C34DA">
                              <w:rPr>
                                <w:rFonts w:ascii="Times New Roman" w:hAnsi="Times New Roman"/>
                                <w:b/>
                                <w:bCs/>
                                <w:sz w:val="24"/>
                                <w:szCs w:val="24"/>
                              </w:rPr>
                              <w:t>DEPENDENT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E0671" id="Rectangle: Rounded Corners 6" o:spid="_x0000_s1027" style="position:absolute;left:0;text-align:left;margin-left:266.1pt;margin-top:-9.6pt;width:189pt;height:31.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" fillcolor="white [3201]" strokecolor="black [3200]" strokeweight="4.5pt">
                <v:stroke joinstyle="miter"/>
                <v:textbox>
                  <w:txbxContent>
                    <w:p w14:paraId="14A60A46" w14:textId="6F200084" w:rsidR="005F5738" w:rsidRPr="009C34DA" w:rsidRDefault="005F5738" w:rsidP="009C34DA">
                      <w:pPr>
                        <w:jc w:val="center"/>
                        <w:rPr>
                          <w:rFonts w:ascii="Times New Roman" w:hAnsi="Times New Roman"/>
                          <w:b/>
                          <w:bCs/>
                          <w:sz w:val="24"/>
                          <w:szCs w:val="24"/>
                        </w:rPr>
                      </w:pPr>
                      <w:r w:rsidRPr="009C34DA">
                        <w:rPr>
                          <w:rFonts w:ascii="Times New Roman" w:hAnsi="Times New Roman"/>
                          <w:b/>
                          <w:bCs/>
                          <w:sz w:val="24"/>
                          <w:szCs w:val="24"/>
                        </w:rPr>
                        <w:t>DEPENDENT VARIABLE</w:t>
                      </w:r>
                    </w:p>
                  </w:txbxContent>
                </v:textbox>
                <w10:wrap anchorx="margin"/>
              </v:roundrect>
            </w:pict>
          </mc:Fallback>
        </mc:AlternateContent>
      </w:r>
    </w:p>
    <w:p w14:paraId="797A067F" w14:textId="3786716F" w:rsidR="003F5DA6" w:rsidRPr="003B19DA" w:rsidRDefault="003F5DA6" w:rsidP="00D8330E">
      <w:pPr>
        <w:spacing w:after="160" w:line="360" w:lineRule="auto"/>
        <w:jc w:val="both"/>
        <w:rPr>
          <w:rFonts w:ascii="Arial" w:hAnsi="Arial" w:cs="Arial"/>
        </w:rPr>
      </w:pPr>
    </w:p>
    <w:p w14:paraId="05FA85F4" w14:textId="73674CFC" w:rsidR="008A6704" w:rsidRPr="003B19DA" w:rsidRDefault="008A6704" w:rsidP="008A6704">
      <w:pPr>
        <w:spacing w:after="160" w:line="360" w:lineRule="auto"/>
        <w:jc w:val="both"/>
        <w:rPr>
          <w:rFonts w:ascii="Arial" w:hAnsi="Arial" w:cs="Arial"/>
          <w:b/>
          <w:bCs/>
          <w:color w:val="000000"/>
        </w:rPr>
      </w:pPr>
      <w:r w:rsidRPr="003B19DA">
        <w:rPr>
          <w:rFonts w:ascii="Arial" w:hAnsi="Arial" w:cs="Arial"/>
          <w:noProof/>
        </w:rPr>
        <mc:AlternateContent>
          <mc:Choice Requires="wps">
            <w:drawing>
              <wp:anchor distT="0" distB="0" distL="114300" distR="114300" simplePos="0" relativeHeight="251713536" behindDoc="0" locked="0" layoutInCell="1" allowOverlap="1" wp14:anchorId="3C840AFC" wp14:editId="1CE7C361">
                <wp:simplePos x="0" y="0"/>
                <wp:positionH relativeFrom="column">
                  <wp:posOffset>-266700</wp:posOffset>
                </wp:positionH>
                <wp:positionV relativeFrom="paragraph">
                  <wp:posOffset>387350</wp:posOffset>
                </wp:positionV>
                <wp:extent cx="2926080" cy="1863090"/>
                <wp:effectExtent l="19050" t="19050" r="45720" b="41910"/>
                <wp:wrapNone/>
                <wp:docPr id="1520293122" name="Rectangle: Rounded Corners 3"/>
                <wp:cNvGraphicFramePr/>
                <a:graphic xmlns:a="http://schemas.openxmlformats.org/drawingml/2006/main">
                  <a:graphicData uri="http://schemas.microsoft.com/office/word/2010/wordprocessingShape">
                    <wps:wsp>
                      <wps:cNvSpPr/>
                      <wps:spPr>
                        <a:xfrm>
                          <a:off x="0" y="0"/>
                          <a:ext cx="2926080" cy="1863090"/>
                        </a:xfrm>
                        <a:prstGeom prst="roundRect">
                          <a:avLst/>
                        </a:prstGeom>
                        <a:solidFill>
                          <a:sysClr val="window" lastClr="FFFFFF"/>
                        </a:solidFill>
                        <a:ln w="57150" cap="flat" cmpd="sng" algn="ctr">
                          <a:solidFill>
                            <a:sysClr val="windowText" lastClr="000000"/>
                          </a:solidFill>
                          <a:prstDash val="solid"/>
                          <a:miter lim="800000"/>
                        </a:ln>
                        <a:effectLst/>
                      </wps:spPr>
                      <wps:txbx>
                        <w:txbxContent>
                          <w:p w14:paraId="18A26DF4" w14:textId="77777777" w:rsidR="005F5738" w:rsidRPr="009A3BB0" w:rsidRDefault="005F5738"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Digital Finance:</w:t>
                            </w:r>
                          </w:p>
                          <w:p w14:paraId="2A60F086" w14:textId="77777777" w:rsidR="005F5738" w:rsidRPr="009A3BB0" w:rsidRDefault="005F5738"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Digital payment systems / infrastructure</w:t>
                            </w:r>
                          </w:p>
                          <w:p w14:paraId="63F81813" w14:textId="03A137B3" w:rsidR="005F5738" w:rsidRPr="009A3BB0" w:rsidRDefault="005F5738"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Use of digital s</w:t>
                            </w:r>
                            <w:r>
                              <w:rPr>
                                <w:rFonts w:ascii="Times New Roman" w:eastAsia="+mn-ea" w:hAnsi="Times New Roman"/>
                                <w:color w:val="000000"/>
                                <w:kern w:val="24"/>
                                <w:position w:val="1"/>
                              </w:rPr>
                              <w:t>ystem</w:t>
                            </w:r>
                            <w:r w:rsidRPr="009A3BB0">
                              <w:rPr>
                                <w:rFonts w:ascii="Times New Roman" w:eastAsia="+mn-ea" w:hAnsi="Times New Roman"/>
                                <w:color w:val="000000"/>
                                <w:kern w:val="24"/>
                                <w:position w:val="1"/>
                              </w:rPr>
                              <w:t>s</w:t>
                            </w:r>
                          </w:p>
                          <w:p w14:paraId="3FC0711C" w14:textId="77777777" w:rsidR="005F5738" w:rsidRDefault="005F5738" w:rsidP="008A6704">
                            <w:pPr>
                              <w:spacing w:line="48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40AFC" id="Rectangle: Rounded Corners 3" o:spid="_x0000_s1028" style="position:absolute;left:0;text-align:left;margin-left:-21pt;margin-top:30.5pt;width:230.4pt;height:14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" fillcolor="window" strokecolor="windowText" strokeweight="4.5pt">
                <v:stroke joinstyle="miter"/>
                <v:textbox>
                  <w:txbxContent>
                    <w:p w14:paraId="18A26DF4" w14:textId="77777777" w:rsidR="005F5738" w:rsidRPr="009A3BB0" w:rsidRDefault="005F5738"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Digital Finance:</w:t>
                      </w:r>
                    </w:p>
                    <w:p w14:paraId="2A60F086" w14:textId="77777777" w:rsidR="005F5738" w:rsidRPr="009A3BB0" w:rsidRDefault="005F5738"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Digital payment systems / infrastructure</w:t>
                      </w:r>
                    </w:p>
                    <w:p w14:paraId="63F81813" w14:textId="03A137B3" w:rsidR="005F5738" w:rsidRPr="009A3BB0" w:rsidRDefault="005F5738" w:rsidP="008A6704">
                      <w:pPr>
                        <w:pStyle w:val="ListParagraph"/>
                        <w:numPr>
                          <w:ilvl w:val="0"/>
                          <w:numId w:val="38"/>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Use of digital s</w:t>
                      </w:r>
                      <w:r>
                        <w:rPr>
                          <w:rFonts w:ascii="Times New Roman" w:eastAsia="+mn-ea" w:hAnsi="Times New Roman"/>
                          <w:color w:val="000000"/>
                          <w:kern w:val="24"/>
                          <w:position w:val="1"/>
                        </w:rPr>
                        <w:t>ystem</w:t>
                      </w:r>
                      <w:r w:rsidRPr="009A3BB0">
                        <w:rPr>
                          <w:rFonts w:ascii="Times New Roman" w:eastAsia="+mn-ea" w:hAnsi="Times New Roman"/>
                          <w:color w:val="000000"/>
                          <w:kern w:val="24"/>
                          <w:position w:val="1"/>
                        </w:rPr>
                        <w:t>s</w:t>
                      </w:r>
                    </w:p>
                    <w:p w14:paraId="3FC0711C" w14:textId="77777777" w:rsidR="005F5738" w:rsidRDefault="005F5738" w:rsidP="008A6704">
                      <w:pPr>
                        <w:spacing w:line="480" w:lineRule="auto"/>
                        <w:jc w:val="both"/>
                      </w:pPr>
                    </w:p>
                  </w:txbxContent>
                </v:textbox>
              </v:roundrect>
            </w:pict>
          </mc:Fallback>
        </mc:AlternateContent>
      </w:r>
    </w:p>
    <w:p w14:paraId="76F1A1ED" w14:textId="77777777" w:rsidR="008A6704" w:rsidRPr="003B19DA" w:rsidRDefault="008A6704" w:rsidP="008A6704">
      <w:pPr>
        <w:spacing w:after="160" w:line="259" w:lineRule="auto"/>
        <w:rPr>
          <w:rFonts w:ascii="Arial" w:hAnsi="Arial" w:cs="Arial"/>
        </w:rPr>
      </w:pPr>
      <w:r w:rsidRPr="003B19DA">
        <w:rPr>
          <w:rFonts w:ascii="Arial" w:hAnsi="Arial" w:cs="Arial"/>
          <w:noProof/>
        </w:rPr>
        <mc:AlternateContent>
          <mc:Choice Requires="wps">
            <w:drawing>
              <wp:anchor distT="0" distB="0" distL="114300" distR="114300" simplePos="0" relativeHeight="251711488" behindDoc="0" locked="0" layoutInCell="1" allowOverlap="1" wp14:anchorId="71A46F9F" wp14:editId="0BFFB89A">
                <wp:simplePos x="0" y="0"/>
                <wp:positionH relativeFrom="column">
                  <wp:posOffset>3867150</wp:posOffset>
                </wp:positionH>
                <wp:positionV relativeFrom="paragraph">
                  <wp:posOffset>22860</wp:posOffset>
                </wp:positionV>
                <wp:extent cx="2221230" cy="2045970"/>
                <wp:effectExtent l="19050" t="19050" r="45720" b="30480"/>
                <wp:wrapNone/>
                <wp:docPr id="853373143" name="Rectangle: Rounded Corners 4"/>
                <wp:cNvGraphicFramePr/>
                <a:graphic xmlns:a="http://schemas.openxmlformats.org/drawingml/2006/main">
                  <a:graphicData uri="http://schemas.microsoft.com/office/word/2010/wordprocessingShape">
                    <wps:wsp>
                      <wps:cNvSpPr/>
                      <wps:spPr>
                        <a:xfrm>
                          <a:off x="0" y="0"/>
                          <a:ext cx="2221230" cy="2045970"/>
                        </a:xfrm>
                        <a:prstGeom prst="roundRect">
                          <a:avLst/>
                        </a:prstGeom>
                        <a:solidFill>
                          <a:sysClr val="window" lastClr="FFFFFF"/>
                        </a:solidFill>
                        <a:ln w="57150" cap="flat" cmpd="sng" algn="ctr">
                          <a:solidFill>
                            <a:sysClr val="windowText" lastClr="000000"/>
                          </a:solidFill>
                          <a:prstDash val="solid"/>
                          <a:miter lim="800000"/>
                        </a:ln>
                        <a:effectLst/>
                      </wps:spPr>
                      <wps:txbx>
                        <w:txbxContent>
                          <w:p w14:paraId="54C021B4" w14:textId="77777777" w:rsidR="005F5738" w:rsidRPr="009A3BB0" w:rsidRDefault="005F5738"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Financial Inclusion:</w:t>
                            </w:r>
                          </w:p>
                          <w:p w14:paraId="69D9CAC2" w14:textId="77777777" w:rsidR="005F5738" w:rsidRPr="009A3BB0" w:rsidRDefault="005F5738" w:rsidP="008A6704">
                            <w:pPr>
                              <w:pStyle w:val="ListParagraph"/>
                              <w:numPr>
                                <w:ilvl w:val="0"/>
                                <w:numId w:val="37"/>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 xml:space="preserve">Access to </w:t>
                            </w:r>
                            <w:r>
                              <w:rPr>
                                <w:rFonts w:ascii="Times New Roman" w:eastAsia="+mn-ea" w:hAnsi="Times New Roman"/>
                                <w:color w:val="000000"/>
                                <w:kern w:val="24"/>
                                <w:position w:val="1"/>
                              </w:rPr>
                              <w:t xml:space="preserve">formal </w:t>
                            </w:r>
                            <w:r w:rsidRPr="009A3BB0">
                              <w:rPr>
                                <w:rFonts w:ascii="Times New Roman" w:eastAsia="+mn-ea" w:hAnsi="Times New Roman"/>
                                <w:color w:val="000000"/>
                                <w:kern w:val="24"/>
                                <w:position w:val="1"/>
                              </w:rPr>
                              <w:t>financial services</w:t>
                            </w:r>
                          </w:p>
                          <w:p w14:paraId="6344628B" w14:textId="77777777" w:rsidR="005F5738" w:rsidRPr="009A3BB0" w:rsidRDefault="005F5738" w:rsidP="008A6704">
                            <w:pPr>
                              <w:pStyle w:val="ListParagraph"/>
                              <w:numPr>
                                <w:ilvl w:val="0"/>
                                <w:numId w:val="37"/>
                              </w:numPr>
                              <w:spacing w:after="0" w:line="480" w:lineRule="auto"/>
                              <w:jc w:val="center"/>
                              <w:textAlignment w:val="baseline"/>
                              <w:rPr>
                                <w:rFonts w:ascii="Times New Roman" w:eastAsia="+mn-ea" w:hAnsi="Times New Roman"/>
                                <w:color w:val="000000"/>
                                <w:kern w:val="24"/>
                                <w:position w:val="1"/>
                              </w:rPr>
                            </w:pPr>
                            <w:r w:rsidRPr="00F66DA0">
                              <w:rPr>
                                <w:rFonts w:ascii="Times New Roman" w:eastAsia="+mn-ea" w:hAnsi="Times New Roman"/>
                                <w:color w:val="000000"/>
                                <w:kern w:val="24"/>
                                <w:position w:val="1"/>
                              </w:rPr>
                              <w:t>Usage of formal financial services and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46F9F" id="Rectangle: Rounded Corners 4" o:spid="_x0000_s1029" style="position:absolute;margin-left:304.5pt;margin-top:1.8pt;width:174.9pt;height:16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" fillcolor="window" strokecolor="windowText" strokeweight="4.5pt">
                <v:stroke joinstyle="miter"/>
                <v:textbox>
                  <w:txbxContent>
                    <w:p w14:paraId="54C021B4" w14:textId="77777777" w:rsidR="005F5738" w:rsidRPr="009A3BB0" w:rsidRDefault="005F5738" w:rsidP="008A6704">
                      <w:pPr>
                        <w:spacing w:line="480" w:lineRule="auto"/>
                        <w:jc w:val="both"/>
                        <w:textAlignment w:val="baseline"/>
                        <w:rPr>
                          <w:rFonts w:ascii="Times New Roman" w:eastAsia="+mn-ea" w:hAnsi="Times New Roman"/>
                          <w:b/>
                          <w:bCs/>
                          <w:color w:val="000000"/>
                          <w:kern w:val="24"/>
                          <w:position w:val="1"/>
                        </w:rPr>
                      </w:pPr>
                      <w:r w:rsidRPr="009A3BB0">
                        <w:rPr>
                          <w:rFonts w:ascii="Times New Roman" w:eastAsia="+mn-ea" w:hAnsi="Times New Roman"/>
                          <w:b/>
                          <w:bCs/>
                          <w:color w:val="000000"/>
                          <w:kern w:val="24"/>
                          <w:position w:val="1"/>
                        </w:rPr>
                        <w:t>Financial Inclusion:</w:t>
                      </w:r>
                    </w:p>
                    <w:p w14:paraId="69D9CAC2" w14:textId="77777777" w:rsidR="005F5738" w:rsidRPr="009A3BB0" w:rsidRDefault="005F5738" w:rsidP="008A6704">
                      <w:pPr>
                        <w:pStyle w:val="ListParagraph"/>
                        <w:numPr>
                          <w:ilvl w:val="0"/>
                          <w:numId w:val="37"/>
                        </w:numPr>
                        <w:spacing w:after="0" w:line="480" w:lineRule="auto"/>
                        <w:jc w:val="both"/>
                        <w:textAlignment w:val="baseline"/>
                        <w:rPr>
                          <w:rFonts w:ascii="Times New Roman" w:eastAsia="+mn-ea" w:hAnsi="Times New Roman"/>
                          <w:color w:val="000000"/>
                          <w:kern w:val="24"/>
                          <w:position w:val="1"/>
                        </w:rPr>
                      </w:pPr>
                      <w:r w:rsidRPr="009A3BB0">
                        <w:rPr>
                          <w:rFonts w:ascii="Times New Roman" w:eastAsia="+mn-ea" w:hAnsi="Times New Roman"/>
                          <w:color w:val="000000"/>
                          <w:kern w:val="24"/>
                          <w:position w:val="1"/>
                        </w:rPr>
                        <w:t xml:space="preserve">Access to </w:t>
                      </w:r>
                      <w:r>
                        <w:rPr>
                          <w:rFonts w:ascii="Times New Roman" w:eastAsia="+mn-ea" w:hAnsi="Times New Roman"/>
                          <w:color w:val="000000"/>
                          <w:kern w:val="24"/>
                          <w:position w:val="1"/>
                        </w:rPr>
                        <w:t xml:space="preserve">formal </w:t>
                      </w:r>
                      <w:r w:rsidRPr="009A3BB0">
                        <w:rPr>
                          <w:rFonts w:ascii="Times New Roman" w:eastAsia="+mn-ea" w:hAnsi="Times New Roman"/>
                          <w:color w:val="000000"/>
                          <w:kern w:val="24"/>
                          <w:position w:val="1"/>
                        </w:rPr>
                        <w:t>financial services</w:t>
                      </w:r>
                    </w:p>
                    <w:p w14:paraId="6344628B" w14:textId="77777777" w:rsidR="005F5738" w:rsidRPr="009A3BB0" w:rsidRDefault="005F5738" w:rsidP="008A6704">
                      <w:pPr>
                        <w:pStyle w:val="ListParagraph"/>
                        <w:numPr>
                          <w:ilvl w:val="0"/>
                          <w:numId w:val="37"/>
                        </w:numPr>
                        <w:spacing w:after="0" w:line="480" w:lineRule="auto"/>
                        <w:jc w:val="center"/>
                        <w:textAlignment w:val="baseline"/>
                        <w:rPr>
                          <w:rFonts w:ascii="Times New Roman" w:eastAsia="+mn-ea" w:hAnsi="Times New Roman"/>
                          <w:color w:val="000000"/>
                          <w:kern w:val="24"/>
                          <w:position w:val="1"/>
                        </w:rPr>
                      </w:pPr>
                      <w:r w:rsidRPr="00F66DA0">
                        <w:rPr>
                          <w:rFonts w:ascii="Times New Roman" w:eastAsia="+mn-ea" w:hAnsi="Times New Roman"/>
                          <w:color w:val="000000"/>
                          <w:kern w:val="24"/>
                          <w:position w:val="1"/>
                        </w:rPr>
                        <w:t>Usage of formal financial services and products</w:t>
                      </w:r>
                    </w:p>
                  </w:txbxContent>
                </v:textbox>
              </v:roundrect>
            </w:pict>
          </mc:Fallback>
        </mc:AlternateContent>
      </w:r>
    </w:p>
    <w:p w14:paraId="2EDDFB75" w14:textId="77777777" w:rsidR="008A6704" w:rsidRPr="003B19DA" w:rsidRDefault="008A6704" w:rsidP="008A6704">
      <w:pPr>
        <w:spacing w:after="160" w:line="259" w:lineRule="auto"/>
        <w:rPr>
          <w:rFonts w:ascii="Arial" w:hAnsi="Arial" w:cs="Arial"/>
        </w:rPr>
      </w:pPr>
    </w:p>
    <w:p w14:paraId="150482CF" w14:textId="77777777" w:rsidR="008A6704" w:rsidRPr="003B19DA" w:rsidRDefault="008A6704" w:rsidP="008A6704">
      <w:pPr>
        <w:spacing w:after="160" w:line="259" w:lineRule="auto"/>
        <w:rPr>
          <w:rFonts w:ascii="Arial" w:hAnsi="Arial" w:cs="Arial"/>
        </w:rPr>
      </w:pPr>
    </w:p>
    <w:p w14:paraId="691B07BA" w14:textId="77777777" w:rsidR="008A6704" w:rsidRPr="003B19DA" w:rsidRDefault="008A6704" w:rsidP="008A6704">
      <w:pPr>
        <w:spacing w:after="160" w:line="259" w:lineRule="auto"/>
        <w:rPr>
          <w:rFonts w:ascii="Arial" w:hAnsi="Arial" w:cs="Arial"/>
        </w:rPr>
      </w:pPr>
      <w:r w:rsidRPr="003B19DA">
        <w:rPr>
          <w:rFonts w:ascii="Arial" w:hAnsi="Arial" w:cs="Arial"/>
          <w:noProof/>
        </w:rPr>
        <mc:AlternateContent>
          <mc:Choice Requires="wps">
            <w:drawing>
              <wp:anchor distT="0" distB="0" distL="114300" distR="114300" simplePos="0" relativeHeight="251712512" behindDoc="0" locked="0" layoutInCell="1" allowOverlap="1" wp14:anchorId="5E49369E" wp14:editId="5A8E5A74">
                <wp:simplePos x="0" y="0"/>
                <wp:positionH relativeFrom="column">
                  <wp:posOffset>2571750</wp:posOffset>
                </wp:positionH>
                <wp:positionV relativeFrom="paragraph">
                  <wp:posOffset>120015</wp:posOffset>
                </wp:positionV>
                <wp:extent cx="1295400" cy="57150"/>
                <wp:effectExtent l="0" t="114300" r="0" b="95250"/>
                <wp:wrapNone/>
                <wp:docPr id="281527104" name="Straight Arrow Connector 8"/>
                <wp:cNvGraphicFramePr/>
                <a:graphic xmlns:a="http://schemas.openxmlformats.org/drawingml/2006/main">
                  <a:graphicData uri="http://schemas.microsoft.com/office/word/2010/wordprocessingShape">
                    <wps:wsp>
                      <wps:cNvCnPr/>
                      <wps:spPr>
                        <a:xfrm flipV="1">
                          <a:off x="0" y="0"/>
                          <a:ext cx="1295400" cy="5715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2DDFEF" id="_x0000_t32" coordsize="21600,21600" o:spt="32" o:oned="t" path="m,l21600,21600e" filled="f">
                <v:path arrowok="t" fillok="f" o:connecttype="none"/>
                <o:lock v:ext="edit" shapetype="t"/>
              </v:shapetype>
              <v:shape id="Straight Arrow Connector 8" o:spid="_x0000_s1026" type="#_x0000_t32" style="position:absolute;margin-left:202.5pt;margin-top:9.45pt;width:102pt;height: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" strokecolor="windowText" strokeweight="4.5pt">
                <v:stroke endarrow="block" joinstyle="miter"/>
              </v:shape>
            </w:pict>
          </mc:Fallback>
        </mc:AlternateContent>
      </w:r>
    </w:p>
    <w:p w14:paraId="4D04642E" w14:textId="77777777" w:rsidR="008A6704" w:rsidRPr="003B19DA" w:rsidRDefault="008A6704" w:rsidP="008A6704">
      <w:pPr>
        <w:spacing w:after="160" w:line="259" w:lineRule="auto"/>
        <w:rPr>
          <w:rFonts w:ascii="Arial" w:hAnsi="Arial" w:cs="Arial"/>
        </w:rPr>
      </w:pPr>
    </w:p>
    <w:p w14:paraId="3F760E89" w14:textId="77777777" w:rsidR="00C102DE" w:rsidRPr="003B19DA" w:rsidRDefault="00C102DE" w:rsidP="00D8330E">
      <w:pPr>
        <w:spacing w:after="160" w:line="360" w:lineRule="auto"/>
        <w:jc w:val="both"/>
        <w:rPr>
          <w:rFonts w:ascii="Arial" w:hAnsi="Arial" w:cs="Arial"/>
        </w:rPr>
      </w:pPr>
    </w:p>
    <w:p w14:paraId="54E1B693" w14:textId="49152C76" w:rsidR="003F5DA6" w:rsidRPr="00070141" w:rsidRDefault="003F5DA6" w:rsidP="00D8330E">
      <w:pPr>
        <w:spacing w:after="160" w:line="360" w:lineRule="auto"/>
        <w:jc w:val="both"/>
        <w:rPr>
          <w:rFonts w:ascii="Times New Roman" w:hAnsi="Times New Roman"/>
        </w:rPr>
      </w:pPr>
    </w:p>
    <w:p w14:paraId="5766EB04" w14:textId="102BB35C" w:rsidR="00200FD3" w:rsidRPr="003B19DA" w:rsidRDefault="008C4C12" w:rsidP="00D8330E">
      <w:pPr>
        <w:pStyle w:val="Caption"/>
        <w:spacing w:line="360" w:lineRule="auto"/>
        <w:rPr>
          <w:rFonts w:ascii="Arial" w:hAnsi="Arial" w:cs="Arial"/>
          <w:sz w:val="22"/>
          <w:szCs w:val="22"/>
        </w:rPr>
      </w:pPr>
      <w:bookmarkStart w:id="42" w:name="_Toc200630702"/>
      <w:commentRangeStart w:id="43"/>
      <w:r w:rsidRPr="003B19DA">
        <w:rPr>
          <w:rFonts w:ascii="Arial" w:hAnsi="Arial" w:cs="Arial"/>
          <w:sz w:val="22"/>
          <w:szCs w:val="22"/>
        </w:rPr>
        <w:t xml:space="preserve">Figure </w:t>
      </w:r>
      <w:r w:rsidR="002C3777" w:rsidRPr="003B19DA">
        <w:rPr>
          <w:rFonts w:ascii="Arial" w:hAnsi="Arial" w:cs="Arial"/>
          <w:sz w:val="22"/>
          <w:szCs w:val="22"/>
        </w:rPr>
        <w:t>1</w:t>
      </w:r>
      <w:r w:rsidRPr="003B19DA">
        <w:rPr>
          <w:rFonts w:ascii="Arial" w:hAnsi="Arial" w:cs="Arial"/>
          <w:sz w:val="22"/>
          <w:szCs w:val="22"/>
        </w:rPr>
        <w:t xml:space="preserve"> Conceptual Framework</w:t>
      </w:r>
      <w:bookmarkEnd w:id="42"/>
      <w:commentRangeEnd w:id="43"/>
      <w:r w:rsidR="00C308D7">
        <w:rPr>
          <w:rStyle w:val="CommentReference"/>
          <w:b w:val="0"/>
          <w:bCs w:val="0"/>
        </w:rPr>
        <w:commentReference w:id="43"/>
      </w:r>
    </w:p>
    <w:p w14:paraId="7BE55BC4" w14:textId="14AA5DC1" w:rsidR="00C102DE" w:rsidRPr="003B19DA" w:rsidRDefault="008A6704" w:rsidP="003628B7">
      <w:pPr>
        <w:spacing w:before="240" w:after="0" w:line="240" w:lineRule="auto"/>
        <w:jc w:val="both"/>
        <w:rPr>
          <w:rFonts w:ascii="Arial" w:hAnsi="Arial" w:cs="Arial"/>
          <w:color w:val="000000"/>
          <w:sz w:val="20"/>
          <w:szCs w:val="20"/>
        </w:rPr>
      </w:pPr>
      <w:r w:rsidRPr="003B19DA">
        <w:rPr>
          <w:rFonts w:ascii="Arial" w:hAnsi="Arial" w:cs="Arial"/>
          <w:color w:val="000000"/>
          <w:sz w:val="20"/>
          <w:szCs w:val="20"/>
        </w:rPr>
        <w:t>Additionally, digital finance which is measured by digital payment systems, and the use of digital systems acts as a facilitator of financial inclusion. The availability and use of digital payment systems and infrastructure are crucial for expanding access to and usage of formal financial services in rural areas promoting financial inclusion among rural women. Digital finance reduces barriers to distance, time and cost making financial services more accessible for rural women.</w:t>
      </w:r>
    </w:p>
    <w:p w14:paraId="330CF11A" w14:textId="5FC7CEE4" w:rsidR="001118FD" w:rsidRPr="00070141" w:rsidRDefault="002C3777" w:rsidP="003B19DA">
      <w:pPr>
        <w:pStyle w:val="Heading1"/>
        <w:spacing w:before="100" w:beforeAutospacing="1" w:after="100" w:afterAutospacing="1"/>
      </w:pPr>
      <w:bookmarkStart w:id="44" w:name="_Toc140089266"/>
      <w:bookmarkStart w:id="45" w:name="_Toc143611063"/>
      <w:bookmarkStart w:id="46" w:name="_Toc143612901"/>
      <w:bookmarkStart w:id="47" w:name="_Hlk148513322"/>
      <w:bookmarkStart w:id="48" w:name="_Toc143611071"/>
      <w:bookmarkStart w:id="49" w:name="_Hlk200533183"/>
      <w:bookmarkStart w:id="50" w:name="_Toc497842412"/>
      <w:bookmarkStart w:id="51" w:name="_Toc516849252"/>
      <w:bookmarkStart w:id="52" w:name="_Toc516911599"/>
      <w:bookmarkStart w:id="53" w:name="_Toc516911929"/>
      <w:bookmarkStart w:id="54" w:name="_Toc516913324"/>
      <w:bookmarkStart w:id="55" w:name="_Toc102732420"/>
      <w:bookmarkStart w:id="56" w:name="_Toc102738878"/>
      <w:bookmarkStart w:id="57" w:name="_Toc140089274"/>
      <w:r w:rsidRPr="00070141">
        <w:t>Methodology</w:t>
      </w:r>
    </w:p>
    <w:p w14:paraId="580700A6" w14:textId="77777777" w:rsidR="00CE5A15" w:rsidRPr="003B19DA" w:rsidRDefault="00CE5A15" w:rsidP="003628B7">
      <w:pPr>
        <w:spacing w:before="100" w:beforeAutospacing="1" w:after="100" w:afterAutospacing="1" w:line="240" w:lineRule="auto"/>
        <w:jc w:val="both"/>
        <w:rPr>
          <w:rFonts w:ascii="Arial" w:eastAsia="Times New Roman" w:hAnsi="Arial" w:cs="Arial"/>
          <w:sz w:val="20"/>
          <w:szCs w:val="20"/>
        </w:rPr>
      </w:pPr>
      <w:bookmarkStart w:id="58" w:name="_Toc277974493"/>
      <w:bookmarkEnd w:id="44"/>
      <w:bookmarkEnd w:id="45"/>
      <w:bookmarkEnd w:id="46"/>
      <w:r w:rsidRPr="003B19DA">
        <w:rPr>
          <w:rFonts w:ascii="Arial" w:eastAsia="Times New Roman" w:hAnsi="Arial" w:cs="Arial"/>
          <w:sz w:val="20"/>
          <w:szCs w:val="20"/>
        </w:rPr>
        <w:t xml:space="preserve">The research design used to examine the relationship between financial literacy, digital finance and financial inclusion among rural women in Kenya in the year 2024 was the descriptive cross sectional research design since it facilitated the description of financial literacy and digital finance variables and their influence on financial inclusion of rural women. </w:t>
      </w:r>
    </w:p>
    <w:p w14:paraId="1FB0C16A" w14:textId="77777777" w:rsidR="00CE5A15" w:rsidRPr="003B19DA" w:rsidRDefault="00CE5A15" w:rsidP="003628B7">
      <w:pPr>
        <w:spacing w:before="100" w:beforeAutospacing="1" w:after="100" w:afterAutospacing="1" w:line="240" w:lineRule="auto"/>
        <w:jc w:val="both"/>
        <w:rPr>
          <w:rFonts w:ascii="Arial" w:eastAsia="Times New Roman" w:hAnsi="Arial" w:cs="Arial"/>
          <w:sz w:val="20"/>
          <w:szCs w:val="20"/>
        </w:rPr>
      </w:pPr>
      <w:r w:rsidRPr="003B19DA">
        <w:rPr>
          <w:rFonts w:ascii="Arial" w:eastAsia="Times New Roman" w:hAnsi="Arial" w:cs="Arial"/>
          <w:sz w:val="20"/>
          <w:szCs w:val="20"/>
        </w:rPr>
        <w:lastRenderedPageBreak/>
        <w:t xml:space="preserve">The study targeted a population of 13.1`million rural women in Kenya. Multi stage sampling technique was used to purposively select rural women from the counties, then sub counties and finally the women were randomly selected from the wards giving a sample of 1000 as recommended by OECD (2021). However, due to lack of complete information the sample size was reduced to 961 rural women. The data for this research consists of primary data. Primary data was obtained using structured questionnaires adopted from the Global </w:t>
      </w:r>
      <w:proofErr w:type="spellStart"/>
      <w:r w:rsidRPr="003B19DA">
        <w:rPr>
          <w:rFonts w:ascii="Arial" w:eastAsia="Times New Roman" w:hAnsi="Arial" w:cs="Arial"/>
          <w:sz w:val="20"/>
          <w:szCs w:val="20"/>
        </w:rPr>
        <w:t>Findex</w:t>
      </w:r>
      <w:proofErr w:type="spellEnd"/>
      <w:r w:rsidRPr="003B19DA">
        <w:rPr>
          <w:rFonts w:ascii="Arial" w:eastAsia="Times New Roman" w:hAnsi="Arial" w:cs="Arial"/>
          <w:sz w:val="20"/>
          <w:szCs w:val="20"/>
        </w:rPr>
        <w:t xml:space="preserve"> database (2021) and the FINSCOPE questionnaires modified to capture relevant information on financial literacy, digital finance and financial inclusion. The questionnaires were read out loudly to the respondents to capture aspects of financial literacy and financial inclusion. The collected data was then analyzed using Partial Least Squares Structural Equation Modelling (PLS-SEM) Technique </w:t>
      </w:r>
    </w:p>
    <w:p w14:paraId="00BF52A4" w14:textId="2EA03DB0" w:rsidR="002C3777" w:rsidRPr="003B19DA" w:rsidRDefault="00CE5A15" w:rsidP="003628B7">
      <w:pPr>
        <w:spacing w:after="0" w:line="240" w:lineRule="auto"/>
        <w:jc w:val="both"/>
        <w:rPr>
          <w:rFonts w:ascii="Arial" w:hAnsi="Arial" w:cs="Arial"/>
          <w:sz w:val="20"/>
          <w:szCs w:val="20"/>
        </w:rPr>
      </w:pPr>
      <w:commentRangeStart w:id="59"/>
      <w:r w:rsidRPr="003B19DA">
        <w:rPr>
          <w:rFonts w:ascii="Arial" w:eastAsia="Times New Roman" w:hAnsi="Arial" w:cs="Arial"/>
          <w:sz w:val="20"/>
          <w:szCs w:val="20"/>
        </w:rPr>
        <w:t>The analytic approach adopted involved a multi-step process. To begin with, descriptive cross-sectional research was chosen to describe the variables and their relationships. This was followed by a multi stage sampling technique to select a representative sample of rural women. Primary data was then collected using modified pre-existing questionnaires to ensure the reliability and validity of the data. Finally, descriptive statistics, PLS-SEM and Chi-Square was used to analyze the collected data and model the relationship between financial literacy and financial inclusion among rural women.</w:t>
      </w:r>
      <w:commentRangeEnd w:id="59"/>
      <w:r w:rsidR="00BE3AFE">
        <w:rPr>
          <w:rStyle w:val="CommentReference"/>
        </w:rPr>
        <w:commentReference w:id="59"/>
      </w:r>
    </w:p>
    <w:p w14:paraId="7B31A2CB" w14:textId="2BC0ECAD" w:rsidR="001F6F76" w:rsidRPr="00070141" w:rsidRDefault="00C1535F" w:rsidP="003B19DA">
      <w:pPr>
        <w:pStyle w:val="Heading1"/>
        <w:spacing w:before="100" w:beforeAutospacing="1"/>
        <w:rPr>
          <w:rFonts w:eastAsiaTheme="minorHAnsi"/>
        </w:rPr>
      </w:pPr>
      <w:bookmarkStart w:id="60" w:name="_bookmark53"/>
      <w:bookmarkStart w:id="61" w:name="_bookmark50"/>
      <w:bookmarkStart w:id="62" w:name="_bookmark58"/>
      <w:bookmarkStart w:id="63" w:name="_bookmark60"/>
      <w:bookmarkStart w:id="64" w:name="_Toc187381820"/>
      <w:bookmarkStart w:id="65" w:name="_Toc200694798"/>
      <w:bookmarkEnd w:id="47"/>
      <w:bookmarkEnd w:id="58"/>
      <w:bookmarkEnd w:id="60"/>
      <w:bookmarkEnd w:id="61"/>
      <w:bookmarkEnd w:id="62"/>
      <w:bookmarkEnd w:id="63"/>
      <w:r w:rsidRPr="00070141">
        <w:rPr>
          <w:rFonts w:eastAsiaTheme="minorHAnsi"/>
        </w:rPr>
        <w:t>RESULTS</w:t>
      </w:r>
      <w:bookmarkEnd w:id="64"/>
      <w:r w:rsidR="00675E32" w:rsidRPr="00070141">
        <w:rPr>
          <w:rFonts w:eastAsiaTheme="minorHAnsi"/>
        </w:rPr>
        <w:t xml:space="preserve"> AND DISCUSSION</w:t>
      </w:r>
      <w:bookmarkEnd w:id="65"/>
    </w:p>
    <w:p w14:paraId="275601AD" w14:textId="7AC05D95" w:rsidR="0023136E" w:rsidRPr="003B19DA" w:rsidRDefault="0023136E" w:rsidP="003628B7">
      <w:pPr>
        <w:spacing w:after="0" w:line="240" w:lineRule="auto"/>
        <w:jc w:val="both"/>
        <w:rPr>
          <w:rFonts w:ascii="Arial" w:hAnsi="Arial" w:cs="Arial"/>
          <w:sz w:val="20"/>
          <w:szCs w:val="20"/>
        </w:rPr>
      </w:pPr>
      <w:bookmarkStart w:id="66" w:name="_Hlk202879521"/>
      <w:bookmarkStart w:id="67" w:name="_Hlk193729109"/>
      <w:bookmarkStart w:id="68" w:name="_Toc187381849"/>
      <w:bookmarkStart w:id="69" w:name="_Hlk193729489"/>
      <w:bookmarkStart w:id="70" w:name="_Hlk198802069"/>
      <w:bookmarkStart w:id="71" w:name="_Toc200694829"/>
      <w:commentRangeStart w:id="72"/>
      <w:r w:rsidRPr="003B19DA">
        <w:rPr>
          <w:rFonts w:ascii="Arial" w:hAnsi="Arial" w:cs="Arial"/>
          <w:sz w:val="20"/>
          <w:szCs w:val="20"/>
        </w:rPr>
        <w:t xml:space="preserve">To determine whether </w:t>
      </w:r>
      <w:r w:rsidR="008A6704" w:rsidRPr="003B19DA">
        <w:rPr>
          <w:rFonts w:ascii="Arial" w:hAnsi="Arial" w:cs="Arial"/>
          <w:sz w:val="20"/>
          <w:szCs w:val="20"/>
        </w:rPr>
        <w:t>digital finance</w:t>
      </w:r>
      <w:r w:rsidRPr="003B19DA">
        <w:rPr>
          <w:rFonts w:ascii="Arial" w:hAnsi="Arial" w:cs="Arial"/>
          <w:sz w:val="20"/>
          <w:szCs w:val="20"/>
        </w:rPr>
        <w:t xml:space="preserve"> influences financial inclusion of rural women, the study used descriptive analysis</w:t>
      </w:r>
      <w:r w:rsidR="008A6704" w:rsidRPr="003B19DA">
        <w:rPr>
          <w:rFonts w:ascii="Arial" w:hAnsi="Arial" w:cs="Arial"/>
          <w:sz w:val="20"/>
          <w:szCs w:val="20"/>
        </w:rPr>
        <w:t>,</w:t>
      </w:r>
      <w:r w:rsidRPr="003B19DA">
        <w:rPr>
          <w:rFonts w:ascii="Arial" w:hAnsi="Arial" w:cs="Arial"/>
          <w:sz w:val="20"/>
          <w:szCs w:val="20"/>
        </w:rPr>
        <w:t xml:space="preserve"> the Partial Least Squares Structural Equation Modelling (PLS-SEM) method</w:t>
      </w:r>
      <w:r w:rsidR="008A6704" w:rsidRPr="003B19DA">
        <w:rPr>
          <w:rFonts w:ascii="Arial" w:hAnsi="Arial" w:cs="Arial"/>
          <w:sz w:val="20"/>
          <w:szCs w:val="20"/>
        </w:rPr>
        <w:t xml:space="preserve"> and Chi-square test of independence</w:t>
      </w:r>
      <w:r w:rsidRPr="003B19DA">
        <w:rPr>
          <w:rFonts w:ascii="Arial" w:hAnsi="Arial" w:cs="Arial"/>
          <w:sz w:val="20"/>
          <w:szCs w:val="20"/>
        </w:rPr>
        <w:t>.</w:t>
      </w:r>
      <w:bookmarkEnd w:id="66"/>
      <w:bookmarkEnd w:id="67"/>
      <w:commentRangeEnd w:id="72"/>
      <w:r w:rsidR="00BE3AFE">
        <w:rPr>
          <w:rStyle w:val="CommentReference"/>
        </w:rPr>
        <w:commentReference w:id="72"/>
      </w:r>
    </w:p>
    <w:p w14:paraId="193EF194" w14:textId="03B35D44" w:rsidR="0023136E" w:rsidRPr="003B19DA" w:rsidRDefault="0023136E" w:rsidP="003628B7">
      <w:pPr>
        <w:autoSpaceDE w:val="0"/>
        <w:autoSpaceDN w:val="0"/>
        <w:adjustRightInd w:val="0"/>
        <w:spacing w:before="100" w:beforeAutospacing="1" w:after="100" w:afterAutospacing="1" w:line="240" w:lineRule="auto"/>
        <w:rPr>
          <w:rFonts w:ascii="Arial" w:hAnsi="Arial" w:cs="Arial"/>
          <w:b/>
          <w:bCs/>
          <w:sz w:val="20"/>
          <w:szCs w:val="20"/>
        </w:rPr>
      </w:pPr>
      <w:r w:rsidRPr="003B19DA">
        <w:rPr>
          <w:rFonts w:ascii="Arial" w:hAnsi="Arial" w:cs="Arial"/>
          <w:b/>
          <w:bCs/>
          <w:sz w:val="20"/>
          <w:szCs w:val="20"/>
        </w:rPr>
        <w:t>5.1</w:t>
      </w:r>
      <w:r w:rsidRPr="003B19DA">
        <w:rPr>
          <w:rFonts w:ascii="Arial" w:hAnsi="Arial" w:cs="Arial"/>
          <w:b/>
          <w:bCs/>
          <w:sz w:val="20"/>
          <w:szCs w:val="20"/>
        </w:rPr>
        <w:tab/>
        <w:t>Descriptive Results</w:t>
      </w:r>
    </w:p>
    <w:p w14:paraId="138F77D4" w14:textId="77777777" w:rsidR="00BC65BB" w:rsidRPr="003B19DA" w:rsidRDefault="00BC65BB" w:rsidP="003628B7">
      <w:pPr>
        <w:spacing w:after="160" w:line="240" w:lineRule="auto"/>
        <w:jc w:val="both"/>
        <w:rPr>
          <w:rFonts w:ascii="Arial" w:hAnsi="Arial" w:cs="Arial"/>
          <w:kern w:val="2"/>
          <w:sz w:val="20"/>
          <w:szCs w:val="20"/>
          <w14:ligatures w14:val="standardContextual"/>
        </w:rPr>
      </w:pPr>
      <w:bookmarkStart w:id="73" w:name="_Hlk203147622"/>
      <w:bookmarkStart w:id="74" w:name="_Hlk203146931"/>
      <w:commentRangeStart w:id="75"/>
      <w:r w:rsidRPr="003B19DA">
        <w:rPr>
          <w:rFonts w:ascii="Arial" w:hAnsi="Arial" w:cs="Arial"/>
          <w:kern w:val="2"/>
          <w:sz w:val="20"/>
          <w:szCs w:val="20"/>
          <w14:ligatures w14:val="standardContextual"/>
        </w:rPr>
        <w:t>Digital finance is defined as a financial service delivered through mobile phones, the internet or cards linked to reliable digital payment services (</w:t>
      </w:r>
      <w:proofErr w:type="spellStart"/>
      <w:r w:rsidRPr="003B19DA">
        <w:rPr>
          <w:rFonts w:ascii="Arial" w:hAnsi="Arial" w:cs="Arial"/>
          <w:kern w:val="2"/>
          <w:sz w:val="20"/>
          <w:szCs w:val="20"/>
          <w14:ligatures w14:val="standardContextual"/>
        </w:rPr>
        <w:t>Durai</w:t>
      </w:r>
      <w:proofErr w:type="spellEnd"/>
      <w:r w:rsidRPr="003B19DA">
        <w:rPr>
          <w:rFonts w:ascii="Arial" w:hAnsi="Arial" w:cs="Arial"/>
          <w:kern w:val="2"/>
          <w:sz w:val="20"/>
          <w:szCs w:val="20"/>
          <w14:ligatures w14:val="standardContextual"/>
        </w:rPr>
        <w:t xml:space="preserve"> &amp; Stella 2019). It is seen as a set of financial products and services that enable rural women to access payments, savings, and credit facilities online without having to visit a bank or deal directly with a financial service provider (</w:t>
      </w:r>
      <w:proofErr w:type="spellStart"/>
      <w:r w:rsidRPr="003B19DA">
        <w:rPr>
          <w:rFonts w:ascii="Arial" w:hAnsi="Arial" w:cs="Arial"/>
          <w:kern w:val="2"/>
          <w:sz w:val="20"/>
          <w:szCs w:val="20"/>
          <w14:ligatures w14:val="standardContextual"/>
        </w:rPr>
        <w:t>Lakhouil</w:t>
      </w:r>
      <w:proofErr w:type="spellEnd"/>
      <w:r w:rsidRPr="003B19DA">
        <w:rPr>
          <w:rFonts w:ascii="Arial" w:hAnsi="Arial" w:cs="Arial"/>
          <w:kern w:val="2"/>
          <w:sz w:val="20"/>
          <w:szCs w:val="20"/>
          <w14:ligatures w14:val="standardContextual"/>
        </w:rPr>
        <w:t xml:space="preserve"> &amp; </w:t>
      </w:r>
      <w:proofErr w:type="spellStart"/>
      <w:r w:rsidRPr="003B19DA">
        <w:rPr>
          <w:rFonts w:ascii="Arial" w:hAnsi="Arial" w:cs="Arial"/>
          <w:kern w:val="2"/>
          <w:sz w:val="20"/>
          <w:szCs w:val="20"/>
          <w14:ligatures w14:val="standardContextual"/>
        </w:rPr>
        <w:t>Segdali</w:t>
      </w:r>
      <w:proofErr w:type="spellEnd"/>
      <w:r w:rsidRPr="003B19DA">
        <w:rPr>
          <w:rFonts w:ascii="Arial" w:hAnsi="Arial" w:cs="Arial"/>
          <w:kern w:val="2"/>
          <w:sz w:val="20"/>
          <w:szCs w:val="20"/>
          <w14:ligatures w14:val="standardContextual"/>
        </w:rPr>
        <w:t xml:space="preserve"> 2024). Digital finance was perceived as a potential route to achieving and enhancing financial inclusion, offering opportunities for extended access to financial services for rural women in Kenya.</w:t>
      </w:r>
      <w:commentRangeEnd w:id="75"/>
      <w:r w:rsidR="00BE3AFE">
        <w:rPr>
          <w:rStyle w:val="CommentReference"/>
        </w:rPr>
        <w:commentReference w:id="75"/>
      </w:r>
    </w:p>
    <w:p w14:paraId="01F4BA17" w14:textId="77777777" w:rsidR="00BC65BB" w:rsidRPr="003B19DA" w:rsidRDefault="00BC65BB" w:rsidP="003628B7">
      <w:pPr>
        <w:spacing w:before="100" w:beforeAutospacing="1" w:after="100" w:afterAutospacing="1"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Digital finance was operationalized using a modified Alliance for Financial Inclusion (AFI) 2016 measure. It was measured using two key indicators; access or ownership of digital payment systems and usage of the digital payment systems. Rural women were asked a total of twelve (12) questions; 5 questions addressing the ownership of digital payment systems and 7 questions on the usage of the digital payment systems. An Average Digital Finance (ADF) score was then computed as the sum of digital payment systems (5) and the usage of digital payment systems (7) components. Each component was given equal weighting. This measure was informed by </w:t>
      </w:r>
      <w:proofErr w:type="spellStart"/>
      <w:r w:rsidRPr="003B19DA">
        <w:rPr>
          <w:rFonts w:ascii="Arial" w:hAnsi="Arial" w:cs="Arial"/>
          <w:kern w:val="2"/>
          <w:sz w:val="20"/>
          <w:szCs w:val="20"/>
          <w14:ligatures w14:val="standardContextual"/>
        </w:rPr>
        <w:t>Ozili</w:t>
      </w:r>
      <w:proofErr w:type="spellEnd"/>
      <w:r w:rsidRPr="003B19DA">
        <w:rPr>
          <w:rFonts w:ascii="Arial" w:hAnsi="Arial" w:cs="Arial"/>
          <w:kern w:val="2"/>
          <w:sz w:val="20"/>
          <w:szCs w:val="20"/>
          <w14:ligatures w14:val="standardContextual"/>
        </w:rPr>
        <w:t xml:space="preserve"> (2018) and </w:t>
      </w:r>
      <w:proofErr w:type="spellStart"/>
      <w:r w:rsidRPr="003B19DA">
        <w:rPr>
          <w:rFonts w:ascii="Arial" w:hAnsi="Arial" w:cs="Arial"/>
          <w:kern w:val="2"/>
          <w:sz w:val="20"/>
          <w:szCs w:val="20"/>
          <w14:ligatures w14:val="standardContextual"/>
        </w:rPr>
        <w:t>Widarwati</w:t>
      </w:r>
      <w:proofErr w:type="spellEnd"/>
      <w:r w:rsidRPr="003B19DA">
        <w:rPr>
          <w:rFonts w:ascii="Arial" w:hAnsi="Arial" w:cs="Arial"/>
          <w:kern w:val="2"/>
          <w:sz w:val="20"/>
          <w:szCs w:val="20"/>
          <w14:ligatures w14:val="standardContextual"/>
        </w:rPr>
        <w:t xml:space="preserve"> et al. (2022) who used the ADF score in determining the impact of digital finance on financial inclusion. The average digital finance score therefore ranged from 0 to 12 where higher scores indicated greater confidence in using digital financial services that contributes to a positive attitude towards formal financial services (Lyons &amp; </w:t>
      </w:r>
      <w:proofErr w:type="spellStart"/>
      <w:r w:rsidRPr="003B19DA">
        <w:rPr>
          <w:rFonts w:ascii="Arial" w:hAnsi="Arial" w:cs="Arial"/>
          <w:kern w:val="2"/>
          <w:sz w:val="20"/>
          <w:szCs w:val="20"/>
          <w14:ligatures w14:val="standardContextual"/>
        </w:rPr>
        <w:t>Kass</w:t>
      </w:r>
      <w:proofErr w:type="spellEnd"/>
      <w:r w:rsidRPr="003B19DA">
        <w:rPr>
          <w:rFonts w:ascii="Arial" w:hAnsi="Arial" w:cs="Arial"/>
          <w:kern w:val="2"/>
          <w:sz w:val="20"/>
          <w:szCs w:val="20"/>
          <w14:ligatures w14:val="standardContextual"/>
        </w:rPr>
        <w:t xml:space="preserve">-Hanna 2021). Accordingly, the study set a minimum target score on digital finance and defined it as scoring at least 8 out of 12 points according to OECD/INFE (2020). </w:t>
      </w:r>
    </w:p>
    <w:p w14:paraId="2493AF11" w14:textId="22F2A588"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To get a better understanding of the measures of digital finance among rural women in Kenya, rural women were asked specific questions relating ownership and usage of digital payment systems. The results on the ownership of digital payment systems are presented in Table </w:t>
      </w:r>
      <w:r w:rsidR="00070141" w:rsidRPr="003B19DA">
        <w:rPr>
          <w:rFonts w:ascii="Arial" w:hAnsi="Arial" w:cs="Arial"/>
          <w:kern w:val="2"/>
          <w:sz w:val="20"/>
          <w:szCs w:val="20"/>
          <w14:ligatures w14:val="standardContextual"/>
        </w:rPr>
        <w:t>1</w:t>
      </w:r>
      <w:r w:rsidRPr="003B19DA">
        <w:rPr>
          <w:rFonts w:ascii="Arial" w:hAnsi="Arial" w:cs="Arial"/>
          <w:kern w:val="2"/>
          <w:sz w:val="20"/>
          <w:szCs w:val="20"/>
          <w14:ligatures w14:val="standardContextual"/>
        </w:rPr>
        <w:t>.</w:t>
      </w:r>
    </w:p>
    <w:p w14:paraId="0744D5E9" w14:textId="12707362" w:rsidR="00BC65BB" w:rsidRPr="003B19DA" w:rsidRDefault="00BC65BB" w:rsidP="003628B7">
      <w:pPr>
        <w:spacing w:after="160" w:line="240" w:lineRule="auto"/>
        <w:jc w:val="both"/>
        <w:rPr>
          <w:rFonts w:ascii="Arial" w:hAnsi="Arial" w:cs="Arial"/>
          <w:b/>
          <w:bCs/>
          <w:kern w:val="2"/>
          <w14:ligatures w14:val="standardContextual"/>
        </w:rPr>
      </w:pPr>
      <w:bookmarkStart w:id="76" w:name="_Toc204561245"/>
      <w:bookmarkStart w:id="77" w:name="_Hlk179303018"/>
      <w:bookmarkStart w:id="78" w:name="_Hlk195102571"/>
      <w:r w:rsidRPr="003B19DA">
        <w:rPr>
          <w:rFonts w:ascii="Arial" w:hAnsi="Arial" w:cs="Arial"/>
          <w:b/>
          <w:bCs/>
          <w:kern w:val="2"/>
          <w14:ligatures w14:val="standardContextual"/>
        </w:rPr>
        <w:lastRenderedPageBreak/>
        <w:t xml:space="preserve">Table </w:t>
      </w:r>
      <w:r w:rsidR="00070141" w:rsidRPr="003B19DA">
        <w:rPr>
          <w:rFonts w:ascii="Arial" w:hAnsi="Arial" w:cs="Arial"/>
          <w:b/>
          <w:bCs/>
          <w:kern w:val="2"/>
          <w14:ligatures w14:val="standardContextual"/>
        </w:rPr>
        <w:t>1</w:t>
      </w:r>
      <w:r w:rsidRPr="003B19DA">
        <w:rPr>
          <w:rFonts w:ascii="Arial" w:hAnsi="Arial" w:cs="Arial"/>
          <w:b/>
          <w:bCs/>
          <w:kern w:val="2"/>
          <w14:ligatures w14:val="standardContextual"/>
        </w:rPr>
        <w:t>: Ownership of Digital Payment Systems</w:t>
      </w:r>
      <w:bookmarkEnd w:id="76"/>
    </w:p>
    <w:tbl>
      <w:tblPr>
        <w:tblW w:w="918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70"/>
        <w:gridCol w:w="4410"/>
      </w:tblGrid>
      <w:tr w:rsidR="00856D11" w:rsidRPr="003B19DA" w14:paraId="6857ED61"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bookmarkEnd w:id="77"/>
          <w:p w14:paraId="76CF0B55"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Digital Payment Systems</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06E3B308"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Overall Ownership Status %</w:t>
            </w:r>
          </w:p>
        </w:tc>
      </w:tr>
      <w:tr w:rsidR="00856D11" w:rsidRPr="003B19DA" w14:paraId="1F3A8DE8"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p w14:paraId="103A9A47"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Mobile-Device-</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64B56D9A"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70.27</w:t>
            </w:r>
          </w:p>
        </w:tc>
      </w:tr>
      <w:tr w:rsidR="00856D11" w:rsidRPr="003B19DA" w14:paraId="771305E2"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p w14:paraId="2462B268"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Mobile-Money-Account </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6713A0F7"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66.14</w:t>
            </w:r>
          </w:p>
        </w:tc>
      </w:tr>
      <w:tr w:rsidR="00856D11" w:rsidRPr="003B19DA" w14:paraId="4BB3EDCF" w14:textId="77777777" w:rsidTr="00856D11">
        <w:trPr>
          <w:cantSplit/>
        </w:trPr>
        <w:tc>
          <w:tcPr>
            <w:tcW w:w="4770" w:type="dxa"/>
            <w:tcBorders>
              <w:top w:val="single" w:sz="4" w:space="0" w:color="auto"/>
              <w:left w:val="single" w:sz="4" w:space="0" w:color="auto"/>
              <w:bottom w:val="single" w:sz="4" w:space="0" w:color="auto"/>
              <w:right w:val="single" w:sz="4" w:space="0" w:color="auto"/>
            </w:tcBorders>
            <w:shd w:val="clear" w:color="auto" w:fill="FFFFFF"/>
          </w:tcPr>
          <w:p w14:paraId="2FD5AD5B"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Account in a Formal Institution</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0BAECB24"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30.21</w:t>
            </w:r>
          </w:p>
        </w:tc>
      </w:tr>
      <w:tr w:rsidR="00856D11" w:rsidRPr="003B19DA" w14:paraId="0C68EF28" w14:textId="77777777" w:rsidTr="00856D11">
        <w:trPr>
          <w:cantSplit/>
        </w:trPr>
        <w:tc>
          <w:tcPr>
            <w:tcW w:w="4770" w:type="dxa"/>
            <w:tcBorders>
              <w:left w:val="single" w:sz="4" w:space="0" w:color="auto"/>
              <w:bottom w:val="single" w:sz="4" w:space="0" w:color="auto"/>
              <w:right w:val="single" w:sz="4" w:space="0" w:color="auto"/>
            </w:tcBorders>
            <w:shd w:val="clear" w:color="auto" w:fill="FFFFFF"/>
          </w:tcPr>
          <w:p w14:paraId="50B6EDD9" w14:textId="77777777" w:rsidR="00856D11" w:rsidRPr="003B19DA" w:rsidRDefault="00856D11"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ATM Card </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50F61AA4" w14:textId="77777777" w:rsidR="00856D11" w:rsidRPr="003B19DA" w:rsidRDefault="00856D11"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17.</w:t>
            </w:r>
            <w:commentRangeStart w:id="79"/>
            <w:r w:rsidRPr="003B19DA">
              <w:rPr>
                <w:rFonts w:ascii="Arial" w:hAnsi="Arial" w:cs="Arial"/>
                <w:b/>
                <w:bCs/>
                <w:kern w:val="2"/>
                <w:sz w:val="20"/>
                <w:szCs w:val="20"/>
                <w14:ligatures w14:val="standardContextual"/>
              </w:rPr>
              <w:t>12</w:t>
            </w:r>
            <w:commentRangeEnd w:id="79"/>
            <w:r w:rsidR="00BE3AFE">
              <w:rPr>
                <w:rStyle w:val="CommentReference"/>
              </w:rPr>
              <w:commentReference w:id="79"/>
            </w:r>
          </w:p>
        </w:tc>
      </w:tr>
    </w:tbl>
    <w:p w14:paraId="7BB86E01" w14:textId="707D0917" w:rsidR="00BE3AFE" w:rsidRDefault="00BE3AFE" w:rsidP="003628B7">
      <w:pPr>
        <w:spacing w:before="100" w:beforeAutospacing="1" w:after="100" w:afterAutospacing="1" w:line="240" w:lineRule="auto"/>
        <w:jc w:val="both"/>
        <w:rPr>
          <w:rFonts w:ascii="Arial" w:hAnsi="Arial" w:cs="Arial"/>
          <w:kern w:val="2"/>
          <w:sz w:val="20"/>
          <w:szCs w:val="20"/>
          <w14:ligatures w14:val="standardContextual"/>
        </w:rPr>
      </w:pPr>
      <w:bookmarkStart w:id="80" w:name="_Hlk203147568"/>
      <w:bookmarkEnd w:id="78"/>
    </w:p>
    <w:p w14:paraId="3EB5D3ED" w14:textId="2B1BE3AC" w:rsidR="00BC65BB" w:rsidRPr="003B19DA" w:rsidRDefault="00515D95" w:rsidP="003628B7">
      <w:pPr>
        <w:spacing w:before="100" w:beforeAutospacing="1" w:after="100" w:afterAutospacing="1"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T</w:t>
      </w:r>
      <w:r w:rsidR="00BC65BB" w:rsidRPr="003B19DA">
        <w:rPr>
          <w:rFonts w:ascii="Arial" w:hAnsi="Arial" w:cs="Arial"/>
          <w:kern w:val="2"/>
          <w:sz w:val="20"/>
          <w:szCs w:val="20"/>
          <w14:ligatures w14:val="standardContextual"/>
        </w:rPr>
        <w:t xml:space="preserve">he </w:t>
      </w:r>
      <w:r w:rsidRPr="003B19DA">
        <w:rPr>
          <w:rFonts w:ascii="Arial" w:hAnsi="Arial" w:cs="Arial"/>
          <w:kern w:val="2"/>
          <w:sz w:val="20"/>
          <w:szCs w:val="20"/>
          <w14:ligatures w14:val="standardContextual"/>
        </w:rPr>
        <w:t xml:space="preserve">findings reveal that </w:t>
      </w:r>
      <w:r w:rsidR="00BC65BB" w:rsidRPr="003B19DA">
        <w:rPr>
          <w:rFonts w:ascii="Arial" w:hAnsi="Arial" w:cs="Arial"/>
          <w:kern w:val="2"/>
          <w:sz w:val="20"/>
          <w:szCs w:val="20"/>
          <w14:ligatures w14:val="standardContextual"/>
        </w:rPr>
        <w:t>a significant (70.27%) of rural women in Kenya own a mobile device, indicating a strong foundation for digital payment adoption. A large majority (66.14%) of rural women have mobile money accounts, which highlights the widespread use of mobile money in the region. On the other hand, account ownership in formal financial institutions is lower (30.21%), suggesting a potential preference or greater accessibility for mobile money solutions. Additionally, ATM card ownership is the lowest (17.12%), which could be linked to the lower formal institution account ownership and the prevalence of mobile money suggesting a potential gap in access to traditional banking services. The high mobile device ownership as well as the mobile money account ownership from the results underscores its importance as an enabler for digital payment adoption which enhances financial inclusion among rural women in Kenya.</w:t>
      </w:r>
    </w:p>
    <w:bookmarkEnd w:id="80"/>
    <w:p w14:paraId="608FFB45" w14:textId="0F80AC98" w:rsidR="00BC65BB" w:rsidRPr="003B19DA" w:rsidRDefault="00BC65BB" w:rsidP="003628B7">
      <w:pPr>
        <w:spacing w:before="100" w:beforeAutospacing="1" w:after="100" w:afterAutospacing="1"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The study therefore found out that among the rural women in Kenya, ownership of a mobile phone and a mobile money account go hand in hand</w:t>
      </w:r>
      <w:r w:rsidR="00515D95" w:rsidRPr="003B19DA">
        <w:rPr>
          <w:rFonts w:ascii="Arial" w:hAnsi="Arial" w:cs="Arial"/>
          <w:kern w:val="2"/>
          <w:sz w:val="20"/>
          <w:szCs w:val="20"/>
          <w14:ligatures w14:val="standardContextual"/>
        </w:rPr>
        <w:t xml:space="preserve">. </w:t>
      </w:r>
      <w:r w:rsidRPr="003B19DA">
        <w:rPr>
          <w:rFonts w:ascii="Arial" w:hAnsi="Arial" w:cs="Arial"/>
          <w:kern w:val="2"/>
          <w:sz w:val="20"/>
          <w:szCs w:val="20"/>
          <w14:ligatures w14:val="standardContextual"/>
        </w:rPr>
        <w:t xml:space="preserve">This is an indication that most of the rural women who had a mobile phone also had mobile money. Mobile money is a dominant form of digital payment system which is likely due to its accessibility and convenience. These findings concur with </w:t>
      </w:r>
      <w:commentRangeStart w:id="81"/>
      <w:r w:rsidRPr="003B19DA">
        <w:rPr>
          <w:rFonts w:ascii="Arial" w:hAnsi="Arial" w:cs="Arial"/>
          <w:kern w:val="2"/>
          <w:sz w:val="20"/>
          <w:szCs w:val="20"/>
          <w14:ligatures w14:val="standardContextual"/>
        </w:rPr>
        <w:t>UN women (2021) repor</w:t>
      </w:r>
      <w:commentRangeEnd w:id="81"/>
      <w:r w:rsidR="005E46BD">
        <w:rPr>
          <w:rStyle w:val="CommentReference"/>
        </w:rPr>
        <w:commentReference w:id="81"/>
      </w:r>
      <w:r w:rsidRPr="003B19DA">
        <w:rPr>
          <w:rFonts w:ascii="Arial" w:hAnsi="Arial" w:cs="Arial"/>
          <w:kern w:val="2"/>
          <w:sz w:val="20"/>
          <w:szCs w:val="20"/>
          <w14:ligatures w14:val="standardContextual"/>
        </w:rPr>
        <w:t>t that stated that 50.2% of women in rural areas in Kenya owned mobile phones, most of which have mobile money accounts. This information is very important as it provides insights into access to technology and financial service which are crucial for financial inclusion of rural women.</w:t>
      </w:r>
    </w:p>
    <w:p w14:paraId="0EA76D8C" w14:textId="6BAD1379"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Subsequently rural women answered specific questions on the usage of digital payment systems, another determinant of digital finance and the results are presented in Table </w:t>
      </w:r>
      <w:r w:rsidR="00515D95" w:rsidRPr="003B19DA">
        <w:rPr>
          <w:rFonts w:ascii="Arial" w:hAnsi="Arial" w:cs="Arial"/>
          <w:kern w:val="2"/>
          <w:sz w:val="20"/>
          <w:szCs w:val="20"/>
          <w14:ligatures w14:val="standardContextual"/>
        </w:rPr>
        <w:t>2</w:t>
      </w:r>
      <w:r w:rsidRPr="003B19DA">
        <w:rPr>
          <w:rFonts w:ascii="Arial" w:hAnsi="Arial" w:cs="Arial"/>
          <w:kern w:val="2"/>
          <w:sz w:val="20"/>
          <w:szCs w:val="20"/>
          <w14:ligatures w14:val="standardContextual"/>
        </w:rPr>
        <w:t xml:space="preserve">. </w:t>
      </w:r>
    </w:p>
    <w:p w14:paraId="4822416A" w14:textId="3FB409F2" w:rsidR="00BC65BB" w:rsidRPr="003B19DA" w:rsidRDefault="00BC65BB" w:rsidP="003628B7">
      <w:pPr>
        <w:spacing w:after="160" w:line="240" w:lineRule="auto"/>
        <w:jc w:val="both"/>
        <w:rPr>
          <w:rFonts w:ascii="Arial" w:hAnsi="Arial" w:cs="Arial"/>
          <w:b/>
          <w:bCs/>
          <w:kern w:val="2"/>
          <w14:ligatures w14:val="standardContextual"/>
        </w:rPr>
      </w:pPr>
      <w:bookmarkStart w:id="82" w:name="_Toc204561246"/>
      <w:bookmarkStart w:id="83" w:name="_Hlk179938237"/>
      <w:r w:rsidRPr="003B19DA">
        <w:rPr>
          <w:rFonts w:ascii="Arial" w:hAnsi="Arial" w:cs="Arial"/>
          <w:b/>
          <w:bCs/>
          <w:kern w:val="2"/>
          <w14:ligatures w14:val="standardContextual"/>
        </w:rPr>
        <w:t xml:space="preserve">Table </w:t>
      </w:r>
      <w:r w:rsidR="00C51292" w:rsidRPr="003B19DA">
        <w:rPr>
          <w:rFonts w:ascii="Arial" w:hAnsi="Arial" w:cs="Arial"/>
          <w:b/>
          <w:bCs/>
          <w:kern w:val="2"/>
          <w14:ligatures w14:val="standardContextual"/>
        </w:rPr>
        <w:t>2</w:t>
      </w:r>
      <w:r w:rsidRPr="003B19DA">
        <w:rPr>
          <w:rFonts w:ascii="Arial" w:hAnsi="Arial" w:cs="Arial"/>
          <w:b/>
          <w:bCs/>
          <w:kern w:val="2"/>
          <w14:ligatures w14:val="standardContextual"/>
        </w:rPr>
        <w:t>: Usage of Digital Payment Systems</w:t>
      </w:r>
      <w:bookmarkEnd w:id="82"/>
    </w:p>
    <w:tbl>
      <w:tblPr>
        <w:tblW w:w="9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95"/>
        <w:gridCol w:w="3870"/>
      </w:tblGrid>
      <w:tr w:rsidR="00515D95" w:rsidRPr="003B19DA" w14:paraId="38A0B7A0" w14:textId="77777777" w:rsidTr="00515D95">
        <w:trPr>
          <w:cantSplit/>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65346A21" w14:textId="77777777" w:rsidR="00515D95" w:rsidRPr="003B19DA" w:rsidRDefault="00515D95" w:rsidP="003628B7">
            <w:pPr>
              <w:spacing w:after="160" w:line="240" w:lineRule="auto"/>
              <w:jc w:val="both"/>
              <w:rPr>
                <w:rFonts w:ascii="Arial" w:hAnsi="Arial" w:cs="Arial"/>
                <w:kern w:val="2"/>
                <w:sz w:val="20"/>
                <w:szCs w:val="20"/>
                <w14:ligatures w14:val="standardContextual"/>
              </w:rPr>
            </w:pPr>
            <w:bookmarkStart w:id="84" w:name="_Hlk185517135"/>
            <w:bookmarkEnd w:id="83"/>
            <w:r w:rsidRPr="003B19DA">
              <w:rPr>
                <w:rFonts w:ascii="Arial" w:hAnsi="Arial" w:cs="Arial"/>
                <w:kern w:val="2"/>
                <w:sz w:val="20"/>
                <w:szCs w:val="20"/>
                <w14:ligatures w14:val="standardContextual"/>
              </w:rPr>
              <w:t>Digital Payment Systems</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6794201C"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Overall Mean</w:t>
            </w:r>
          </w:p>
        </w:tc>
      </w:tr>
      <w:tr w:rsidR="00515D95" w:rsidRPr="003B19DA" w14:paraId="1CAFAC04" w14:textId="77777777" w:rsidTr="00515D95">
        <w:trPr>
          <w:cantSplit/>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08B14CB8" w14:textId="77777777" w:rsidR="00515D95" w:rsidRPr="003B19DA" w:rsidRDefault="00515D95"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Mobile money</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0229E7D6"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59.17</w:t>
            </w:r>
          </w:p>
        </w:tc>
      </w:tr>
      <w:tr w:rsidR="00515D95" w:rsidRPr="003B19DA" w14:paraId="6F18CA35" w14:textId="77777777" w:rsidTr="00515D95">
        <w:trPr>
          <w:cantSplit/>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1A66D147" w14:textId="77777777" w:rsidR="00515D95" w:rsidRPr="003B19DA" w:rsidRDefault="00515D95"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Bank Account </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7CFC1E06"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20.09</w:t>
            </w:r>
          </w:p>
        </w:tc>
      </w:tr>
      <w:tr w:rsidR="00515D95" w:rsidRPr="003B19DA" w14:paraId="1E4AA8E1" w14:textId="77777777" w:rsidTr="00515D95">
        <w:trPr>
          <w:cantSplit/>
        </w:trPr>
        <w:tc>
          <w:tcPr>
            <w:tcW w:w="5395" w:type="dxa"/>
            <w:tcBorders>
              <w:left w:val="single" w:sz="4" w:space="0" w:color="auto"/>
              <w:bottom w:val="single" w:sz="4" w:space="0" w:color="auto"/>
              <w:right w:val="single" w:sz="4" w:space="0" w:color="auto"/>
            </w:tcBorders>
            <w:shd w:val="clear" w:color="auto" w:fill="FFFFFF"/>
          </w:tcPr>
          <w:p w14:paraId="2512412D" w14:textId="77777777" w:rsidR="00515D95" w:rsidRPr="003B19DA" w:rsidRDefault="00515D95"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ATM Card</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001AC6D6" w14:textId="77777777" w:rsidR="00515D95" w:rsidRPr="003B19DA" w:rsidRDefault="00515D95"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13.</w:t>
            </w:r>
            <w:commentRangeStart w:id="85"/>
            <w:r w:rsidRPr="003B19DA">
              <w:rPr>
                <w:rFonts w:ascii="Arial" w:hAnsi="Arial" w:cs="Arial"/>
                <w:b/>
                <w:bCs/>
                <w:kern w:val="2"/>
                <w:sz w:val="20"/>
                <w:szCs w:val="20"/>
                <w14:ligatures w14:val="standardContextual"/>
              </w:rPr>
              <w:t>36</w:t>
            </w:r>
            <w:commentRangeEnd w:id="85"/>
            <w:r w:rsidR="005E46BD">
              <w:rPr>
                <w:rStyle w:val="CommentReference"/>
              </w:rPr>
              <w:commentReference w:id="85"/>
            </w:r>
          </w:p>
        </w:tc>
      </w:tr>
    </w:tbl>
    <w:bookmarkEnd w:id="84"/>
    <w:p w14:paraId="219E9552" w14:textId="10BBD563" w:rsidR="00BC65BB" w:rsidRPr="003B19DA" w:rsidRDefault="00BC65BB" w:rsidP="00515D95">
      <w:pPr>
        <w:spacing w:before="100" w:beforeAutospacing="1" w:after="100" w:afterAutospacing="1"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 findings reveal how rural women in the different regions use digital payment systems. For instance, more than half (59.17%) of the rural women used mobile money accounts to transact which highlights the widespread adoption of mobile money as a primary transaction method as compared to bank accounts. Additionally, the results reveal that only 20.09% of rural women in Kenya use bank accounts for transactions, indicating a preference for or greater accessibility of mobile money. There is also a very low </w:t>
      </w:r>
      <w:r w:rsidRPr="003B19DA">
        <w:rPr>
          <w:rFonts w:ascii="Arial" w:hAnsi="Arial" w:cs="Arial"/>
          <w:kern w:val="2"/>
          <w:sz w:val="20"/>
          <w:szCs w:val="20"/>
          <w14:ligatures w14:val="standardContextual"/>
        </w:rPr>
        <w:lastRenderedPageBreak/>
        <w:t>usage of ATM Cards at 13.36</w:t>
      </w:r>
      <w:proofErr w:type="gramStart"/>
      <w:r w:rsidRPr="003B19DA">
        <w:rPr>
          <w:rFonts w:ascii="Arial" w:hAnsi="Arial" w:cs="Arial"/>
          <w:kern w:val="2"/>
          <w:sz w:val="20"/>
          <w:szCs w:val="20"/>
          <w14:ligatures w14:val="standardContextual"/>
        </w:rPr>
        <w:t>%, that</w:t>
      </w:r>
      <w:proofErr w:type="gramEnd"/>
      <w:r w:rsidRPr="003B19DA">
        <w:rPr>
          <w:rFonts w:ascii="Arial" w:hAnsi="Arial" w:cs="Arial"/>
          <w:kern w:val="2"/>
          <w:sz w:val="20"/>
          <w:szCs w:val="20"/>
          <w14:ligatures w14:val="standardContextual"/>
        </w:rPr>
        <w:t xml:space="preserve"> further emphasizes the reliance on mobile money over traditional banking methods.</w:t>
      </w:r>
    </w:p>
    <w:p w14:paraId="5BD326E1" w14:textId="10F5DFCE"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Conclusively, this study results imply that mobile money is the primary driver of digital transactions among rural women in Kenya which is attributed to its accessibility, convenience, and lower barriers to entry compared to traditional banking. More so, the low usage of bank accounts by rural women in Kenya points to potential challenges the women could be facing related to access, affordability, or trust in formal banking institutions which also leads to their being excluded financially.</w:t>
      </w:r>
    </w:p>
    <w:p w14:paraId="4E877980" w14:textId="77777777"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These findings imply that adoption and usage of mobile money accounts to transact among the rural women in Kenya is higher as compared to the uptake of the other digital financial systems. These results concur with the study by </w:t>
      </w:r>
      <w:proofErr w:type="spellStart"/>
      <w:r w:rsidRPr="003B19DA">
        <w:rPr>
          <w:rFonts w:ascii="Arial" w:hAnsi="Arial" w:cs="Arial"/>
          <w:kern w:val="2"/>
          <w:sz w:val="20"/>
          <w:szCs w:val="20"/>
          <w14:ligatures w14:val="standardContextual"/>
        </w:rPr>
        <w:t>Tiony</w:t>
      </w:r>
      <w:proofErr w:type="spellEnd"/>
      <w:r w:rsidRPr="003B19DA">
        <w:rPr>
          <w:rFonts w:ascii="Arial" w:hAnsi="Arial" w:cs="Arial"/>
          <w:kern w:val="2"/>
          <w:sz w:val="20"/>
          <w:szCs w:val="20"/>
          <w14:ligatures w14:val="standardContextual"/>
        </w:rPr>
        <w:t xml:space="preserve"> (2023) on adoption of digital financial services which revealed that adoption of digital financial services especially mobile money platforms like </w:t>
      </w:r>
      <w:proofErr w:type="spellStart"/>
      <w:r w:rsidRPr="003B19DA">
        <w:rPr>
          <w:rFonts w:ascii="Arial" w:hAnsi="Arial" w:cs="Arial"/>
          <w:kern w:val="2"/>
          <w:sz w:val="20"/>
          <w:szCs w:val="20"/>
          <w14:ligatures w14:val="standardContextual"/>
        </w:rPr>
        <w:t>Mpesa</w:t>
      </w:r>
      <w:proofErr w:type="spellEnd"/>
      <w:r w:rsidRPr="003B19DA">
        <w:rPr>
          <w:rFonts w:ascii="Arial" w:hAnsi="Arial" w:cs="Arial"/>
          <w:kern w:val="2"/>
          <w:sz w:val="20"/>
          <w:szCs w:val="20"/>
          <w14:ligatures w14:val="standardContextual"/>
        </w:rPr>
        <w:t xml:space="preserve"> had grown substantially increasing access to banking services, formal savings and credit facilities. Additionally, </w:t>
      </w:r>
      <w:proofErr w:type="spellStart"/>
      <w:r w:rsidRPr="003B19DA">
        <w:rPr>
          <w:rFonts w:ascii="Arial" w:hAnsi="Arial" w:cs="Arial"/>
          <w:kern w:val="2"/>
          <w:sz w:val="20"/>
          <w:szCs w:val="20"/>
          <w14:ligatures w14:val="standardContextual"/>
        </w:rPr>
        <w:t>Bosire</w:t>
      </w:r>
      <w:proofErr w:type="spellEnd"/>
      <w:r w:rsidRPr="003B19DA">
        <w:rPr>
          <w:rFonts w:ascii="Arial" w:hAnsi="Arial" w:cs="Arial"/>
          <w:kern w:val="2"/>
          <w:sz w:val="20"/>
          <w:szCs w:val="20"/>
          <w14:ligatures w14:val="standardContextual"/>
        </w:rPr>
        <w:t xml:space="preserve"> (2012) in her study noted that M-PESA provided access to financial services to over 70 percent of the Kenyan adult population by enabling over 15 million Kenyans to have access to a formal financial system.</w:t>
      </w:r>
    </w:p>
    <w:p w14:paraId="333CED39" w14:textId="6ADC8877"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 overall digital finance score of the 961 respondents as presented in Table </w:t>
      </w:r>
      <w:r w:rsidR="00C51292" w:rsidRPr="003B19DA">
        <w:rPr>
          <w:rFonts w:ascii="Arial" w:hAnsi="Arial" w:cs="Arial"/>
          <w:kern w:val="2"/>
          <w:sz w:val="20"/>
          <w:szCs w:val="20"/>
          <w14:ligatures w14:val="standardContextual"/>
        </w:rPr>
        <w:t>3</w:t>
      </w:r>
    </w:p>
    <w:p w14:paraId="25C24A3A" w14:textId="379D6729" w:rsidR="00BC65BB" w:rsidRPr="003B19DA" w:rsidRDefault="00BC65BB" w:rsidP="003628B7">
      <w:pPr>
        <w:spacing w:after="160" w:line="240" w:lineRule="auto"/>
        <w:jc w:val="both"/>
        <w:rPr>
          <w:rFonts w:ascii="Arial" w:hAnsi="Arial" w:cs="Arial"/>
          <w:b/>
          <w:bCs/>
          <w:kern w:val="2"/>
          <w14:ligatures w14:val="standardContextual"/>
        </w:rPr>
      </w:pPr>
      <w:bookmarkStart w:id="86" w:name="_Toc204561248"/>
      <w:r w:rsidRPr="003B19DA">
        <w:rPr>
          <w:rFonts w:ascii="Arial" w:hAnsi="Arial" w:cs="Arial"/>
          <w:b/>
          <w:bCs/>
          <w:kern w:val="2"/>
          <w14:ligatures w14:val="standardContextual"/>
        </w:rPr>
        <w:t xml:space="preserve">Table </w:t>
      </w:r>
      <w:r w:rsidR="00C51292" w:rsidRPr="003B19DA">
        <w:rPr>
          <w:rFonts w:ascii="Arial" w:hAnsi="Arial" w:cs="Arial"/>
          <w:b/>
          <w:bCs/>
          <w:kern w:val="2"/>
          <w14:ligatures w14:val="standardContextual"/>
        </w:rPr>
        <w:t>3</w:t>
      </w:r>
      <w:r w:rsidRPr="003B19DA">
        <w:rPr>
          <w:rFonts w:ascii="Arial" w:hAnsi="Arial" w:cs="Arial"/>
          <w:b/>
          <w:bCs/>
          <w:kern w:val="2"/>
          <w14:ligatures w14:val="standardContextual"/>
        </w:rPr>
        <w:t>: Overall Score for Digital Finance Adoption</w:t>
      </w:r>
      <w:bookmarkEnd w:id="86"/>
    </w:p>
    <w:tbl>
      <w:tblPr>
        <w:tblStyle w:val="TableGrid"/>
        <w:tblW w:w="0" w:type="auto"/>
        <w:tblLook w:val="04A0" w:firstRow="1" w:lastRow="0" w:firstColumn="1" w:lastColumn="0" w:noHBand="0" w:noVBand="1"/>
      </w:tblPr>
      <w:tblGrid>
        <w:gridCol w:w="1390"/>
        <w:gridCol w:w="2112"/>
        <w:gridCol w:w="1313"/>
        <w:gridCol w:w="1270"/>
        <w:gridCol w:w="1270"/>
        <w:gridCol w:w="1275"/>
      </w:tblGrid>
      <w:tr w:rsidR="00BC65BB" w:rsidRPr="003B19DA" w14:paraId="6BEFEEE4" w14:textId="77777777" w:rsidTr="00EE3E39">
        <w:tc>
          <w:tcPr>
            <w:tcW w:w="8630" w:type="dxa"/>
            <w:gridSpan w:val="6"/>
          </w:tcPr>
          <w:p w14:paraId="29A64D4B"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bookmarkStart w:id="87" w:name="_Hlk185519525"/>
            <w:r w:rsidRPr="003B19DA">
              <w:rPr>
                <w:rFonts w:ascii="Arial" w:hAnsi="Arial" w:cs="Arial"/>
                <w:b/>
                <w:bCs/>
                <w:kern w:val="2"/>
                <w:sz w:val="20"/>
                <w:szCs w:val="20"/>
                <w14:ligatures w14:val="standardContextual"/>
              </w:rPr>
              <w:t>Descriptive Statistics</w:t>
            </w:r>
          </w:p>
        </w:tc>
      </w:tr>
      <w:tr w:rsidR="00BC65BB" w:rsidRPr="003B19DA" w14:paraId="48CB76C1" w14:textId="77777777" w:rsidTr="00EE3E39">
        <w:tc>
          <w:tcPr>
            <w:tcW w:w="1390" w:type="dxa"/>
          </w:tcPr>
          <w:p w14:paraId="6EAC86F4"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p>
        </w:tc>
        <w:tc>
          <w:tcPr>
            <w:tcW w:w="2112" w:type="dxa"/>
          </w:tcPr>
          <w:p w14:paraId="6BC22EA8"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Number of Women</w:t>
            </w:r>
          </w:p>
        </w:tc>
        <w:tc>
          <w:tcPr>
            <w:tcW w:w="1313" w:type="dxa"/>
          </w:tcPr>
          <w:p w14:paraId="1384D227"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Maximum Score</w:t>
            </w:r>
          </w:p>
        </w:tc>
        <w:tc>
          <w:tcPr>
            <w:tcW w:w="1270" w:type="dxa"/>
          </w:tcPr>
          <w:p w14:paraId="697EE407"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Threshold</w:t>
            </w:r>
          </w:p>
        </w:tc>
        <w:tc>
          <w:tcPr>
            <w:tcW w:w="1270" w:type="dxa"/>
          </w:tcPr>
          <w:p w14:paraId="43FED3C8"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Actual Score</w:t>
            </w:r>
          </w:p>
        </w:tc>
        <w:tc>
          <w:tcPr>
            <w:tcW w:w="1275" w:type="dxa"/>
          </w:tcPr>
          <w:p w14:paraId="220F876F"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Adoption Level (%)</w:t>
            </w:r>
          </w:p>
        </w:tc>
      </w:tr>
      <w:tr w:rsidR="00BC65BB" w:rsidRPr="003B19DA" w14:paraId="39EF4BB1" w14:textId="77777777" w:rsidTr="00EE3E39">
        <w:tc>
          <w:tcPr>
            <w:tcW w:w="1390" w:type="dxa"/>
          </w:tcPr>
          <w:p w14:paraId="4097A441"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Digital Finance Score</w:t>
            </w:r>
          </w:p>
        </w:tc>
        <w:tc>
          <w:tcPr>
            <w:tcW w:w="2112" w:type="dxa"/>
          </w:tcPr>
          <w:p w14:paraId="148518CC"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961</w:t>
            </w:r>
          </w:p>
        </w:tc>
        <w:tc>
          <w:tcPr>
            <w:tcW w:w="1313" w:type="dxa"/>
          </w:tcPr>
          <w:p w14:paraId="51151304"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12</w:t>
            </w:r>
          </w:p>
        </w:tc>
        <w:tc>
          <w:tcPr>
            <w:tcW w:w="1270" w:type="dxa"/>
          </w:tcPr>
          <w:p w14:paraId="3087502E"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kern w:val="2"/>
                <w:sz w:val="20"/>
                <w:szCs w:val="20"/>
                <w14:ligatures w14:val="standardContextual"/>
              </w:rPr>
              <w:t>8 (67%)</w:t>
            </w:r>
          </w:p>
        </w:tc>
        <w:tc>
          <w:tcPr>
            <w:tcW w:w="1270" w:type="dxa"/>
          </w:tcPr>
          <w:p w14:paraId="521BB260"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r w:rsidRPr="003B19DA">
              <w:rPr>
                <w:rFonts w:ascii="Arial" w:hAnsi="Arial" w:cs="Arial"/>
                <w:b/>
                <w:bCs/>
                <w:kern w:val="2"/>
                <w:sz w:val="20"/>
                <w:szCs w:val="20"/>
                <w14:ligatures w14:val="standardContextual"/>
              </w:rPr>
              <w:t>6.</w:t>
            </w:r>
            <w:commentRangeStart w:id="88"/>
            <w:r w:rsidRPr="003B19DA">
              <w:rPr>
                <w:rFonts w:ascii="Arial" w:hAnsi="Arial" w:cs="Arial"/>
                <w:b/>
                <w:bCs/>
                <w:kern w:val="2"/>
                <w:sz w:val="20"/>
                <w:szCs w:val="20"/>
                <w14:ligatures w14:val="standardContextual"/>
              </w:rPr>
              <w:t>609</w:t>
            </w:r>
            <w:commentRangeEnd w:id="88"/>
            <w:r w:rsidR="005E46BD">
              <w:rPr>
                <w:rStyle w:val="CommentReference"/>
              </w:rPr>
              <w:commentReference w:id="88"/>
            </w:r>
          </w:p>
        </w:tc>
        <w:tc>
          <w:tcPr>
            <w:tcW w:w="1275" w:type="dxa"/>
          </w:tcPr>
          <w:p w14:paraId="0B96F986" w14:textId="77777777" w:rsidR="00BC65BB" w:rsidRPr="003B19DA" w:rsidRDefault="00BC65BB" w:rsidP="003628B7">
            <w:pPr>
              <w:spacing w:after="160" w:line="240" w:lineRule="auto"/>
              <w:jc w:val="both"/>
              <w:rPr>
                <w:rFonts w:ascii="Arial" w:hAnsi="Arial" w:cs="Arial"/>
                <w:b/>
                <w:bCs/>
                <w:kern w:val="2"/>
                <w:sz w:val="20"/>
                <w:szCs w:val="20"/>
                <w14:ligatures w14:val="standardContextual"/>
              </w:rPr>
            </w:pPr>
            <w:bookmarkStart w:id="89" w:name="_Hlk204349152"/>
            <w:r w:rsidRPr="003B19DA">
              <w:rPr>
                <w:rFonts w:ascii="Arial" w:hAnsi="Arial" w:cs="Arial"/>
                <w:kern w:val="2"/>
                <w:sz w:val="20"/>
                <w:szCs w:val="20"/>
                <w14:ligatures w14:val="standardContextual"/>
              </w:rPr>
              <w:sym w:font="Wingdings 2" w:char="F0CF"/>
            </w:r>
            <w:bookmarkEnd w:id="89"/>
          </w:p>
        </w:tc>
      </w:tr>
    </w:tbl>
    <w:p w14:paraId="2C37A01E" w14:textId="77777777" w:rsidR="00BC65BB" w:rsidRPr="003B19DA" w:rsidRDefault="00BC65BB" w:rsidP="003628B7">
      <w:pPr>
        <w:spacing w:after="160" w:line="240" w:lineRule="auto"/>
        <w:jc w:val="both"/>
        <w:rPr>
          <w:rFonts w:ascii="Arial" w:hAnsi="Arial" w:cs="Arial"/>
          <w:kern w:val="2"/>
          <w:sz w:val="16"/>
          <w:szCs w:val="16"/>
          <w14:ligatures w14:val="standardContextual"/>
        </w:rPr>
      </w:pPr>
      <w:bookmarkStart w:id="90" w:name="_Hlk204349208"/>
      <w:bookmarkEnd w:id="87"/>
      <w:r w:rsidRPr="003B19DA">
        <w:rPr>
          <w:rFonts w:ascii="Arial" w:hAnsi="Arial" w:cs="Arial"/>
          <w:kern w:val="2"/>
          <w:sz w:val="16"/>
          <w:szCs w:val="16"/>
          <w14:ligatures w14:val="standardContextual"/>
        </w:rPr>
        <w:sym w:font="Wingdings 2" w:char="F0CF"/>
      </w:r>
      <w:r w:rsidRPr="003B19DA">
        <w:rPr>
          <w:rFonts w:ascii="Arial" w:hAnsi="Arial" w:cs="Arial"/>
          <w:kern w:val="2"/>
          <w:sz w:val="16"/>
          <w:szCs w:val="16"/>
          <w14:ligatures w14:val="standardContextual"/>
        </w:rPr>
        <w:t xml:space="preserve">-denotes that the rural women do not meet the digital finance threshold and therefore are declared having not adopted </w:t>
      </w:r>
      <w:proofErr w:type="spellStart"/>
      <w:r w:rsidRPr="003B19DA">
        <w:rPr>
          <w:rFonts w:ascii="Arial" w:hAnsi="Arial" w:cs="Arial"/>
          <w:kern w:val="2"/>
          <w:sz w:val="16"/>
          <w:szCs w:val="16"/>
          <w14:ligatures w14:val="standardContextual"/>
        </w:rPr>
        <w:t>Fintech</w:t>
      </w:r>
      <w:proofErr w:type="spellEnd"/>
    </w:p>
    <w:bookmarkEnd w:id="90"/>
    <w:p w14:paraId="6D065811" w14:textId="0EA27ADF"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 results show that average digital finance score of rural women in Kenya was 6.609. This score is below the threshold of 8, indicating that rural women in Kenya have not adopted digital finance significantly. The low levels of adoption and usage of digital finance could be as a result of the low financial literacy levels </w:t>
      </w:r>
      <w:r w:rsidR="00856D11" w:rsidRPr="003B19DA">
        <w:rPr>
          <w:rFonts w:ascii="Arial" w:hAnsi="Arial" w:cs="Arial"/>
          <w:kern w:val="2"/>
          <w:sz w:val="20"/>
          <w:szCs w:val="20"/>
          <w14:ligatures w14:val="standardContextual"/>
        </w:rPr>
        <w:t>that inhibit the adoption and usage of digital finance</w:t>
      </w:r>
      <w:r w:rsidRPr="003B19DA">
        <w:rPr>
          <w:rFonts w:ascii="Arial" w:hAnsi="Arial" w:cs="Arial"/>
          <w:kern w:val="2"/>
          <w:sz w:val="20"/>
          <w:szCs w:val="20"/>
          <w14:ligatures w14:val="standardContextual"/>
        </w:rPr>
        <w:t xml:space="preserve">. </w:t>
      </w:r>
      <w:commentRangeStart w:id="91"/>
      <w:r w:rsidRPr="003B19DA">
        <w:rPr>
          <w:rFonts w:ascii="Arial" w:hAnsi="Arial" w:cs="Arial"/>
          <w:kern w:val="2"/>
          <w:sz w:val="20"/>
          <w:szCs w:val="20"/>
          <w14:ligatures w14:val="standardContextual"/>
        </w:rPr>
        <w:t xml:space="preserve">These results support </w:t>
      </w:r>
      <w:proofErr w:type="spellStart"/>
      <w:r w:rsidRPr="003B19DA">
        <w:rPr>
          <w:rFonts w:ascii="Arial" w:hAnsi="Arial" w:cs="Arial"/>
          <w:kern w:val="2"/>
          <w:sz w:val="20"/>
          <w:szCs w:val="20"/>
          <w14:ligatures w14:val="standardContextual"/>
        </w:rPr>
        <w:t>Shen</w:t>
      </w:r>
      <w:proofErr w:type="spellEnd"/>
      <w:r w:rsidRPr="003B19DA">
        <w:rPr>
          <w:rFonts w:ascii="Arial" w:hAnsi="Arial" w:cs="Arial"/>
          <w:kern w:val="2"/>
          <w:sz w:val="20"/>
          <w:szCs w:val="20"/>
          <w14:ligatures w14:val="standardContextual"/>
        </w:rPr>
        <w:t xml:space="preserve"> et al. (2018) study that noted that there is low uptake of digital financial services among many people and hence the need to popularize the same if the goal of advancing financial inclusion is to be achieved. The study therefore, posits that digital finance enhances financial inclusion and when the digital finance score is low, then it impacts financial inclusion negatively. This is in agreement with Al-</w:t>
      </w:r>
      <w:proofErr w:type="spellStart"/>
      <w:r w:rsidRPr="003B19DA">
        <w:rPr>
          <w:rFonts w:ascii="Arial" w:hAnsi="Arial" w:cs="Arial"/>
          <w:kern w:val="2"/>
          <w:sz w:val="20"/>
          <w:szCs w:val="20"/>
          <w14:ligatures w14:val="standardContextual"/>
        </w:rPr>
        <w:t>Smadi</w:t>
      </w:r>
      <w:proofErr w:type="spellEnd"/>
      <w:r w:rsidRPr="003B19DA">
        <w:rPr>
          <w:rFonts w:ascii="Arial" w:hAnsi="Arial" w:cs="Arial"/>
          <w:kern w:val="2"/>
          <w:sz w:val="20"/>
          <w:szCs w:val="20"/>
          <w14:ligatures w14:val="standardContextual"/>
        </w:rPr>
        <w:t xml:space="preserve"> (2022) study that investigated the association between digital finance and financial inclusion and revealed that digital finance enhances access to, availability of and use of financial services thus enabling financial inclusion</w:t>
      </w:r>
      <w:commentRangeEnd w:id="91"/>
      <w:r w:rsidR="0072125C">
        <w:rPr>
          <w:rStyle w:val="CommentReference"/>
        </w:rPr>
        <w:commentReference w:id="91"/>
      </w:r>
      <w:r w:rsidRPr="003B19DA">
        <w:rPr>
          <w:rFonts w:ascii="Arial" w:hAnsi="Arial" w:cs="Arial"/>
          <w:kern w:val="2"/>
          <w:sz w:val="20"/>
          <w:szCs w:val="20"/>
          <w14:ligatures w14:val="standardContextual"/>
        </w:rPr>
        <w:t xml:space="preserve">. </w:t>
      </w:r>
    </w:p>
    <w:p w14:paraId="35E5056D" w14:textId="56BC51BE" w:rsidR="006C4D85" w:rsidRDefault="008A6704" w:rsidP="003628B7">
      <w:pPr>
        <w:spacing w:after="160" w:line="240" w:lineRule="auto"/>
        <w:jc w:val="both"/>
        <w:rPr>
          <w:rFonts w:ascii="Times New Roman" w:hAnsi="Times New Roman"/>
          <w:kern w:val="2"/>
          <w14:ligatures w14:val="standardContextual"/>
        </w:rPr>
      </w:pPr>
      <w:r w:rsidRPr="00070141">
        <w:rPr>
          <w:rFonts w:ascii="Times New Roman" w:hAnsi="Times New Roman"/>
          <w:kern w:val="2"/>
          <w14:ligatures w14:val="standardContextual"/>
        </w:rPr>
        <w:t xml:space="preserve">. </w:t>
      </w:r>
    </w:p>
    <w:p w14:paraId="1198C20A" w14:textId="77777777" w:rsidR="006C4D85" w:rsidRDefault="006C4D85">
      <w:pPr>
        <w:spacing w:after="0" w:line="240" w:lineRule="auto"/>
        <w:rPr>
          <w:rFonts w:ascii="Times New Roman" w:hAnsi="Times New Roman"/>
          <w:kern w:val="2"/>
          <w14:ligatures w14:val="standardContextual"/>
        </w:rPr>
      </w:pPr>
      <w:r>
        <w:rPr>
          <w:rFonts w:ascii="Times New Roman" w:hAnsi="Times New Roman"/>
          <w:kern w:val="2"/>
          <w14:ligatures w14:val="standardContextual"/>
        </w:rPr>
        <w:br w:type="page"/>
      </w:r>
    </w:p>
    <w:p w14:paraId="2E0E0250" w14:textId="20071149" w:rsidR="008A6704" w:rsidRPr="003B19DA" w:rsidRDefault="006C4D85" w:rsidP="003628B7">
      <w:pPr>
        <w:spacing w:after="160" w:line="240" w:lineRule="auto"/>
        <w:jc w:val="both"/>
        <w:rPr>
          <w:rFonts w:ascii="Arial" w:hAnsi="Arial" w:cs="Arial"/>
          <w:b/>
          <w:bCs/>
          <w:kern w:val="2"/>
          <w:sz w:val="20"/>
          <w:szCs w:val="20"/>
          <w14:ligatures w14:val="standardContextual"/>
        </w:rPr>
      </w:pPr>
      <w:bookmarkStart w:id="92" w:name="_Toc203483423"/>
      <w:bookmarkEnd w:id="73"/>
      <w:bookmarkEnd w:id="74"/>
      <w:r w:rsidRPr="003B19DA">
        <w:rPr>
          <w:rFonts w:ascii="Arial" w:hAnsi="Arial" w:cs="Arial"/>
          <w:b/>
          <w:bCs/>
          <w:kern w:val="2"/>
          <w:sz w:val="20"/>
          <w:szCs w:val="20"/>
          <w14:ligatures w14:val="standardContextual"/>
        </w:rPr>
        <w:lastRenderedPageBreak/>
        <w:t>5</w:t>
      </w:r>
      <w:r w:rsidR="008A6704" w:rsidRPr="003B19DA">
        <w:rPr>
          <w:rFonts w:ascii="Arial" w:hAnsi="Arial" w:cs="Arial"/>
          <w:b/>
          <w:bCs/>
          <w:kern w:val="2"/>
          <w:sz w:val="20"/>
          <w:szCs w:val="20"/>
          <w14:ligatures w14:val="standardContextual"/>
        </w:rPr>
        <w:t>.2</w:t>
      </w:r>
      <w:r w:rsidR="008A6704" w:rsidRPr="003B19DA">
        <w:rPr>
          <w:rFonts w:ascii="Arial" w:hAnsi="Arial" w:cs="Arial"/>
          <w:b/>
          <w:bCs/>
          <w:kern w:val="2"/>
          <w:sz w:val="20"/>
          <w:szCs w:val="20"/>
          <w14:ligatures w14:val="standardContextual"/>
        </w:rPr>
        <w:tab/>
        <w:t>PLS-SEM Analysis of Digital Finance and Financial Inclusion of Rural Women in Kenya</w:t>
      </w:r>
      <w:bookmarkEnd w:id="92"/>
    </w:p>
    <w:p w14:paraId="1D0B083C" w14:textId="44111FF3" w:rsidR="00BC65BB" w:rsidRPr="003B19DA" w:rsidRDefault="00BC65BB" w:rsidP="003628B7">
      <w:pPr>
        <w:spacing w:after="160" w:line="240" w:lineRule="auto"/>
        <w:jc w:val="both"/>
        <w:rPr>
          <w:rFonts w:ascii="Arial" w:hAnsi="Arial" w:cs="Arial"/>
          <w:kern w:val="2"/>
          <w:sz w:val="20"/>
          <w:szCs w:val="20"/>
          <w14:ligatures w14:val="standardContextual"/>
        </w:rPr>
      </w:pPr>
      <w:r w:rsidRPr="003B19DA">
        <w:rPr>
          <w:rFonts w:ascii="Arial" w:hAnsi="Arial" w:cs="Arial"/>
          <w:kern w:val="2"/>
          <w:sz w:val="20"/>
          <w:szCs w:val="20"/>
          <w14:ligatures w14:val="standardContextual"/>
        </w:rPr>
        <w:t xml:space="preserve">The study sought to establish the influence of digital finance on financial inclusion of rural women in Kenya using the PLS (Partial Least Squares Structural Equation Modeling) technique. Digital finance was measured using digital payment services and use of digital payment services. The measure of financial inclusion as the dependent variable was access to formal financial services and usage of formal financial services. </w:t>
      </w:r>
      <w:bookmarkStart w:id="93" w:name="_Hlk204241649"/>
      <w:r w:rsidRPr="003B19DA">
        <w:rPr>
          <w:rFonts w:ascii="Arial" w:hAnsi="Arial" w:cs="Arial"/>
          <w:kern w:val="2"/>
          <w:sz w:val="20"/>
          <w:szCs w:val="20"/>
          <w14:ligatures w14:val="standardContextual"/>
        </w:rPr>
        <w:t xml:space="preserve">To show the relationship between digital finance and financial inclusion, PLS-SEM analytical methodology was used. The analysis was based on path coefficients standardized to range from -1 to +1 and R-squared. </w:t>
      </w:r>
      <w:bookmarkEnd w:id="93"/>
      <w:r w:rsidRPr="003B19DA">
        <w:rPr>
          <w:rFonts w:ascii="Arial" w:hAnsi="Arial" w:cs="Arial"/>
          <w:kern w:val="2"/>
          <w:sz w:val="20"/>
          <w:szCs w:val="20"/>
          <w14:ligatures w14:val="standardContextual"/>
        </w:rPr>
        <w:t xml:space="preserve">The findings are represented in Figure </w:t>
      </w:r>
      <w:r w:rsidR="003B19DA">
        <w:rPr>
          <w:rFonts w:ascii="Arial" w:hAnsi="Arial" w:cs="Arial"/>
          <w:kern w:val="2"/>
          <w:sz w:val="20"/>
          <w:szCs w:val="20"/>
          <w14:ligatures w14:val="standardContextual"/>
        </w:rPr>
        <w:t>2</w:t>
      </w:r>
      <w:r w:rsidRPr="003B19DA">
        <w:rPr>
          <w:rFonts w:ascii="Arial" w:hAnsi="Arial" w:cs="Arial"/>
          <w:kern w:val="2"/>
          <w:sz w:val="20"/>
          <w:szCs w:val="20"/>
          <w14:ligatures w14:val="standardContextual"/>
        </w:rPr>
        <w:t>.</w:t>
      </w:r>
    </w:p>
    <w:p w14:paraId="4B47A629" w14:textId="77777777" w:rsidR="00BC65BB" w:rsidRPr="00070141" w:rsidRDefault="00BC65BB" w:rsidP="003628B7">
      <w:pPr>
        <w:spacing w:after="160" w:line="240" w:lineRule="auto"/>
        <w:jc w:val="both"/>
        <w:rPr>
          <w:rFonts w:ascii="Times New Roman" w:hAnsi="Times New Roman"/>
          <w:kern w:val="2"/>
          <w14:ligatures w14:val="standardContextual"/>
        </w:rPr>
      </w:pPr>
      <w:r w:rsidRPr="00070141">
        <w:rPr>
          <w:rFonts w:ascii="Times New Roman" w:hAnsi="Times New Roman"/>
          <w:noProof/>
          <w:kern w:val="2"/>
          <w14:ligatures w14:val="standardContextual"/>
        </w:rPr>
        <w:drawing>
          <wp:inline distT="0" distB="0" distL="0" distR="0" wp14:anchorId="5659F3B2" wp14:editId="53E6DE70">
            <wp:extent cx="5510358" cy="1752600"/>
            <wp:effectExtent l="0" t="0" r="0" b="0"/>
            <wp:docPr id="1060131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5513949" cy="1753742"/>
                    </a:xfrm>
                    <a:prstGeom prst="rect">
                      <a:avLst/>
                    </a:prstGeom>
                  </pic:spPr>
                </pic:pic>
              </a:graphicData>
            </a:graphic>
          </wp:inline>
        </w:drawing>
      </w:r>
    </w:p>
    <w:p w14:paraId="16BE4DDC" w14:textId="77777777" w:rsidR="00BC65BB" w:rsidRPr="00DD2E89" w:rsidRDefault="00BC65BB" w:rsidP="003628B7">
      <w:pPr>
        <w:spacing w:after="0" w:line="240" w:lineRule="auto"/>
        <w:jc w:val="both"/>
        <w:rPr>
          <w:rFonts w:ascii="Arial" w:hAnsi="Arial" w:cs="Arial"/>
          <w:kern w:val="2"/>
          <w:sz w:val="16"/>
          <w:szCs w:val="16"/>
          <w14:ligatures w14:val="standardContextual"/>
        </w:rPr>
      </w:pPr>
      <w:r w:rsidRPr="00DD2E89">
        <w:rPr>
          <w:rFonts w:ascii="Arial" w:hAnsi="Arial" w:cs="Arial"/>
          <w:b/>
          <w:bCs/>
          <w:kern w:val="2"/>
          <w:sz w:val="16"/>
          <w:szCs w:val="16"/>
          <w14:ligatures w14:val="standardContextual"/>
        </w:rPr>
        <w:t>Note</w:t>
      </w:r>
      <w:r w:rsidRPr="00DD2E89">
        <w:rPr>
          <w:rFonts w:ascii="Arial" w:hAnsi="Arial" w:cs="Arial"/>
          <w:kern w:val="2"/>
          <w:sz w:val="16"/>
          <w:szCs w:val="16"/>
          <w14:ligatures w14:val="standardContextual"/>
        </w:rPr>
        <w:t>: Blue circles represent the variables while the yellow rectangles represent the indicators of the variable.</w:t>
      </w:r>
    </w:p>
    <w:p w14:paraId="1DBDB808" w14:textId="77777777" w:rsidR="00BC65BB" w:rsidRPr="00DD2E89" w:rsidRDefault="00BC65BB" w:rsidP="003628B7">
      <w:pPr>
        <w:spacing w:after="0" w:line="240" w:lineRule="auto"/>
        <w:jc w:val="both"/>
        <w:rPr>
          <w:rFonts w:ascii="Arial" w:hAnsi="Arial" w:cs="Arial"/>
          <w:kern w:val="2"/>
          <w:sz w:val="16"/>
          <w:szCs w:val="16"/>
          <w14:ligatures w14:val="standardContextual"/>
        </w:rPr>
      </w:pPr>
      <w:r w:rsidRPr="00DD2E89">
        <w:rPr>
          <w:rFonts w:ascii="Arial" w:hAnsi="Arial" w:cs="Arial"/>
          <w:kern w:val="2"/>
          <w:sz w:val="16"/>
          <w:szCs w:val="16"/>
          <w14:ligatures w14:val="standardContextual"/>
        </w:rPr>
        <w:t>The number inside the blue circle represents the R-Squared. Black arrows represent the path coefficients.</w:t>
      </w:r>
    </w:p>
    <w:p w14:paraId="1249CCD9" w14:textId="0701C855" w:rsidR="00BC65BB" w:rsidRPr="00DD2E89" w:rsidRDefault="00BC65BB" w:rsidP="003628B7">
      <w:pPr>
        <w:spacing w:before="120" w:after="0" w:line="240" w:lineRule="auto"/>
        <w:jc w:val="both"/>
        <w:rPr>
          <w:rFonts w:ascii="Arial" w:hAnsi="Arial" w:cs="Arial"/>
          <w:b/>
          <w:bCs/>
          <w:kern w:val="2"/>
          <w14:ligatures w14:val="standardContextual"/>
        </w:rPr>
      </w:pPr>
      <w:bookmarkStart w:id="94" w:name="_Toc204561106"/>
      <w:commentRangeStart w:id="95"/>
      <w:r w:rsidRPr="00DD2E89">
        <w:rPr>
          <w:rFonts w:ascii="Arial" w:hAnsi="Arial" w:cs="Arial"/>
          <w:b/>
          <w:bCs/>
          <w:kern w:val="2"/>
          <w14:ligatures w14:val="standardContextual"/>
        </w:rPr>
        <w:t xml:space="preserve">Figure </w:t>
      </w:r>
      <w:r w:rsidR="00515D95" w:rsidRPr="00DD2E89">
        <w:rPr>
          <w:rFonts w:ascii="Arial" w:hAnsi="Arial" w:cs="Arial"/>
          <w:b/>
          <w:bCs/>
          <w:kern w:val="2"/>
          <w14:ligatures w14:val="standardContextual"/>
        </w:rPr>
        <w:t>2</w:t>
      </w:r>
      <w:r w:rsidRPr="00DD2E89">
        <w:rPr>
          <w:rFonts w:ascii="Arial" w:hAnsi="Arial" w:cs="Arial"/>
          <w:b/>
          <w:bCs/>
          <w:kern w:val="2"/>
          <w14:ligatures w14:val="standardContextual"/>
        </w:rPr>
        <w:t xml:space="preserve">: Digital Finance </w:t>
      </w:r>
      <w:commentRangeEnd w:id="95"/>
      <w:r w:rsidR="0072125C">
        <w:rPr>
          <w:rStyle w:val="CommentReference"/>
        </w:rPr>
        <w:commentReference w:id="95"/>
      </w:r>
      <w:r w:rsidRPr="00DD2E89">
        <w:rPr>
          <w:rFonts w:ascii="Arial" w:hAnsi="Arial" w:cs="Arial"/>
          <w:b/>
          <w:bCs/>
          <w:kern w:val="2"/>
          <w14:ligatures w14:val="standardContextual"/>
        </w:rPr>
        <w:t>and Financial Inclusion</w:t>
      </w:r>
      <w:bookmarkEnd w:id="94"/>
    </w:p>
    <w:p w14:paraId="34444E51" w14:textId="412BE212" w:rsidR="00BC65BB" w:rsidRPr="00DD2E89" w:rsidRDefault="00BC65BB" w:rsidP="003628B7">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results in figure </w:t>
      </w:r>
      <w:r w:rsidR="00515D95" w:rsidRPr="00DD2E89">
        <w:rPr>
          <w:rFonts w:ascii="Arial" w:hAnsi="Arial" w:cs="Arial"/>
          <w:kern w:val="2"/>
          <w:sz w:val="20"/>
          <w:szCs w:val="20"/>
          <w14:ligatures w14:val="standardContextual"/>
        </w:rPr>
        <w:t>2</w:t>
      </w:r>
      <w:r w:rsidRPr="00DD2E89">
        <w:rPr>
          <w:rFonts w:ascii="Arial" w:hAnsi="Arial" w:cs="Arial"/>
          <w:kern w:val="2"/>
          <w:sz w:val="20"/>
          <w:szCs w:val="20"/>
          <w14:ligatures w14:val="standardContextual"/>
        </w:rPr>
        <w:t xml:space="preserve"> were interpreted based on measurement (outer) model and structural (inner) model according to Hair et al. (2022) and </w:t>
      </w:r>
      <w:proofErr w:type="spellStart"/>
      <w:r w:rsidRPr="00DD2E89">
        <w:rPr>
          <w:rFonts w:ascii="Arial" w:hAnsi="Arial" w:cs="Arial"/>
          <w:kern w:val="2"/>
          <w:sz w:val="20"/>
          <w:szCs w:val="20"/>
          <w14:ligatures w14:val="standardContextual"/>
        </w:rPr>
        <w:t>Wold</w:t>
      </w:r>
      <w:proofErr w:type="spellEnd"/>
      <w:r w:rsidRPr="00DD2E89">
        <w:rPr>
          <w:rFonts w:ascii="Arial" w:hAnsi="Arial" w:cs="Arial"/>
          <w:kern w:val="2"/>
          <w:sz w:val="20"/>
          <w:szCs w:val="20"/>
          <w14:ligatures w14:val="standardContextual"/>
        </w:rPr>
        <w:t xml:space="preserve"> (1982).</w:t>
      </w:r>
    </w:p>
    <w:p w14:paraId="3B7D36B8" w14:textId="77777777" w:rsidR="00BC65BB" w:rsidRPr="00DD2E89" w:rsidRDefault="00BC65BB" w:rsidP="003628B7">
      <w:pPr>
        <w:numPr>
          <w:ilvl w:val="0"/>
          <w:numId w:val="60"/>
        </w:numPr>
        <w:spacing w:after="160" w:line="240" w:lineRule="auto"/>
        <w:jc w:val="both"/>
        <w:rPr>
          <w:rFonts w:ascii="Arial" w:hAnsi="Arial" w:cs="Arial"/>
          <w:b/>
          <w:bCs/>
          <w:kern w:val="2"/>
          <w:sz w:val="20"/>
          <w:szCs w:val="20"/>
          <w14:ligatures w14:val="standardContextual"/>
        </w:rPr>
      </w:pPr>
      <w:bookmarkStart w:id="96" w:name="_Hlk204547178"/>
      <w:commentRangeStart w:id="97"/>
      <w:r w:rsidRPr="00DD2E89">
        <w:rPr>
          <w:rFonts w:ascii="Arial" w:hAnsi="Arial" w:cs="Arial"/>
          <w:b/>
          <w:bCs/>
          <w:kern w:val="2"/>
          <w:sz w:val="20"/>
          <w:szCs w:val="20"/>
          <w14:ligatures w14:val="standardContextual"/>
        </w:rPr>
        <w:t>Measurement Model (Outer)Interpretation</w:t>
      </w:r>
      <w:commentRangeEnd w:id="97"/>
      <w:r w:rsidR="0072125C">
        <w:rPr>
          <w:rStyle w:val="CommentReference"/>
        </w:rPr>
        <w:commentReference w:id="97"/>
      </w:r>
    </w:p>
    <w:bookmarkEnd w:id="96"/>
    <w:p w14:paraId="4DA8FAA6"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Digital finance</w:t>
      </w:r>
    </w:p>
    <w:p w14:paraId="66A488E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PLS results reveal digital finance is measured by digital payment systems and usage of digital payment systems. </w:t>
      </w:r>
    </w:p>
    <w:p w14:paraId="51259EA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commentRangeStart w:id="98"/>
      <w:r w:rsidRPr="00DD2E89">
        <w:rPr>
          <w:rFonts w:ascii="Arial" w:hAnsi="Arial" w:cs="Arial"/>
          <w:kern w:val="2"/>
          <w:sz w:val="20"/>
          <w:szCs w:val="20"/>
          <w14:ligatures w14:val="standardContextual"/>
        </w:rPr>
        <w:t>Digital payment systems have a strong positive path coefficient of 0.790 indicating that a one unit increase in digital finance is associated with a 0.790 increase in digital payment systems</w:t>
      </w:r>
      <w:commentRangeEnd w:id="98"/>
      <w:r w:rsidR="0072125C">
        <w:rPr>
          <w:rStyle w:val="CommentReference"/>
        </w:rPr>
        <w:commentReference w:id="98"/>
      </w:r>
      <w:r w:rsidRPr="00DD2E89">
        <w:rPr>
          <w:rFonts w:ascii="Arial" w:hAnsi="Arial" w:cs="Arial"/>
          <w:kern w:val="2"/>
          <w:sz w:val="20"/>
          <w:szCs w:val="20"/>
          <w14:ligatures w14:val="standardContextual"/>
        </w:rPr>
        <w:t xml:space="preserve">. This suggests that the availability of digital payment systems to rural women in Kenya is a major and strong indicator of the overall level of digital finance. </w:t>
      </w:r>
    </w:p>
    <w:p w14:paraId="2B451DA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commentRangeStart w:id="99"/>
      <w:r w:rsidRPr="00DD2E89">
        <w:rPr>
          <w:rFonts w:ascii="Arial" w:hAnsi="Arial" w:cs="Arial"/>
          <w:kern w:val="2"/>
          <w:sz w:val="20"/>
          <w:szCs w:val="20"/>
          <w14:ligatures w14:val="standardContextual"/>
        </w:rPr>
        <w:t>Usage of digital payment systems has a positive path coefficient of 0.268. This shows a weaker but positive relationship between usage of digital payment systems and digital finance. The coefficient means that a one unit increase in digital finance is associated with a 0.268 increase in the usage of digital payment systems.</w:t>
      </w:r>
      <w:commentRangeEnd w:id="99"/>
      <w:r w:rsidR="005F5738">
        <w:rPr>
          <w:rStyle w:val="CommentReference"/>
        </w:rPr>
        <w:commentReference w:id="99"/>
      </w:r>
      <w:r w:rsidRPr="00DD2E89">
        <w:rPr>
          <w:rFonts w:ascii="Arial" w:hAnsi="Arial" w:cs="Arial"/>
          <w:kern w:val="2"/>
          <w:sz w:val="20"/>
          <w:szCs w:val="20"/>
          <w14:ligatures w14:val="standardContextual"/>
        </w:rPr>
        <w:t xml:space="preserve"> The results suggest that while usage of digital payment systems is part of digital finance, the availability of the digital payment systems is very crucial. This could imply that while digital payment systems exist, their actual usage by rural women is not as widespread leading to the low coefficient. Therefore, efforts should be put in place to ensure that rural women not only have access to digital payment systems, but also are made aware of how to effectively use them to get the formal financial services. These findings concur with those of </w:t>
      </w:r>
      <w:proofErr w:type="spellStart"/>
      <w:r w:rsidRPr="00DD2E89">
        <w:rPr>
          <w:rFonts w:ascii="Arial" w:hAnsi="Arial" w:cs="Arial"/>
          <w:kern w:val="2"/>
          <w:sz w:val="20"/>
          <w:szCs w:val="20"/>
          <w14:ligatures w14:val="standardContextual"/>
        </w:rPr>
        <w:t>Demirgüç-Kunt</w:t>
      </w:r>
      <w:proofErr w:type="spellEnd"/>
      <w:r w:rsidRPr="00DD2E89">
        <w:rPr>
          <w:rFonts w:ascii="Arial" w:hAnsi="Arial" w:cs="Arial"/>
          <w:kern w:val="2"/>
          <w:sz w:val="20"/>
          <w:szCs w:val="20"/>
          <w14:ligatures w14:val="standardContextual"/>
        </w:rPr>
        <w:t xml:space="preserve"> et al. (2018) and World Bank (2017) who noted that mobile money and digital payments are the primary entry points as well as the driving forces for digital finance especially in </w:t>
      </w:r>
      <w:r w:rsidRPr="00DD2E89">
        <w:rPr>
          <w:rFonts w:ascii="Arial" w:hAnsi="Arial" w:cs="Arial"/>
          <w:kern w:val="2"/>
          <w:sz w:val="20"/>
          <w:szCs w:val="20"/>
          <w14:ligatures w14:val="standardContextual"/>
        </w:rPr>
        <w:lastRenderedPageBreak/>
        <w:t xml:space="preserve">developing countries. In addition to this, Jack and </w:t>
      </w:r>
      <w:proofErr w:type="spellStart"/>
      <w:r w:rsidRPr="00DD2E89">
        <w:rPr>
          <w:rFonts w:ascii="Arial" w:hAnsi="Arial" w:cs="Arial"/>
          <w:kern w:val="2"/>
          <w:sz w:val="20"/>
          <w:szCs w:val="20"/>
          <w14:ligatures w14:val="standardContextual"/>
        </w:rPr>
        <w:t>Suri</w:t>
      </w:r>
      <w:proofErr w:type="spellEnd"/>
      <w:r w:rsidRPr="00DD2E89">
        <w:rPr>
          <w:rFonts w:ascii="Arial" w:hAnsi="Arial" w:cs="Arial"/>
          <w:kern w:val="2"/>
          <w:sz w:val="20"/>
          <w:szCs w:val="20"/>
          <w14:ligatures w14:val="standardContextual"/>
        </w:rPr>
        <w:t xml:space="preserve"> (2014) in reference to </w:t>
      </w:r>
      <w:proofErr w:type="spellStart"/>
      <w:r w:rsidRPr="00DD2E89">
        <w:rPr>
          <w:rFonts w:ascii="Arial" w:hAnsi="Arial" w:cs="Arial"/>
          <w:kern w:val="2"/>
          <w:sz w:val="20"/>
          <w:szCs w:val="20"/>
          <w14:ligatures w14:val="standardContextual"/>
        </w:rPr>
        <w:t>Mpesa</w:t>
      </w:r>
      <w:proofErr w:type="spellEnd"/>
      <w:r w:rsidRPr="00DD2E89">
        <w:rPr>
          <w:rFonts w:ascii="Arial" w:hAnsi="Arial" w:cs="Arial"/>
          <w:kern w:val="2"/>
          <w:sz w:val="20"/>
          <w:szCs w:val="20"/>
          <w14:ligatures w14:val="standardContextual"/>
        </w:rPr>
        <w:t xml:space="preserve"> in Kenya highlighted that access and usage of mobile money greatly improved rural women’s financial resilience and welfare since it dealt with geographical barriers to traditional bank branches as well as security concerns that came with carrying cash.</w:t>
      </w:r>
    </w:p>
    <w:p w14:paraId="158E679B"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Financial Inclusion</w:t>
      </w:r>
    </w:p>
    <w:p w14:paraId="13296F0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commentRangeStart w:id="100"/>
      <w:r w:rsidRPr="00DD2E89">
        <w:rPr>
          <w:rFonts w:ascii="Arial" w:hAnsi="Arial" w:cs="Arial"/>
          <w:kern w:val="2"/>
          <w:sz w:val="20"/>
          <w:szCs w:val="20"/>
          <w14:ligatures w14:val="standardContextual"/>
        </w:rPr>
        <w:t xml:space="preserve">Access to formal financial services has a very strong positive path coefficient of 0.816. This means that a one unit increase in financial inclusion is associated with a 0.816 increase in access </w:t>
      </w:r>
      <w:commentRangeEnd w:id="100"/>
      <w:r w:rsidR="005F5738">
        <w:rPr>
          <w:rStyle w:val="CommentReference"/>
        </w:rPr>
        <w:commentReference w:id="100"/>
      </w:r>
      <w:r w:rsidRPr="00DD2E89">
        <w:rPr>
          <w:rFonts w:ascii="Arial" w:hAnsi="Arial" w:cs="Arial"/>
          <w:kern w:val="2"/>
          <w:sz w:val="20"/>
          <w:szCs w:val="20"/>
          <w14:ligatures w14:val="standardContextual"/>
        </w:rPr>
        <w:t xml:space="preserve">to formal financial services. It indicates that access to formal financial services is primarily a very strong component of financial inclusion. </w:t>
      </w:r>
    </w:p>
    <w:p w14:paraId="3795A24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commentRangeStart w:id="101"/>
      <w:r w:rsidRPr="00DD2E89">
        <w:rPr>
          <w:rFonts w:ascii="Arial" w:hAnsi="Arial" w:cs="Arial"/>
          <w:kern w:val="2"/>
          <w:sz w:val="20"/>
          <w:szCs w:val="20"/>
          <w14:ligatures w14:val="standardContextual"/>
        </w:rPr>
        <w:t>Usage of formal financial services has an extremely strong positive path coefficient of 0.965 indicating that a one unit increase in financial inclusion is associated with a 0.965 increase in usage</w:t>
      </w:r>
      <w:commentRangeEnd w:id="101"/>
      <w:r w:rsidR="005F5738">
        <w:rPr>
          <w:rStyle w:val="CommentReference"/>
        </w:rPr>
        <w:commentReference w:id="101"/>
      </w:r>
      <w:r w:rsidRPr="00DD2E89">
        <w:rPr>
          <w:rFonts w:ascii="Arial" w:hAnsi="Arial" w:cs="Arial"/>
          <w:kern w:val="2"/>
          <w:sz w:val="20"/>
          <w:szCs w:val="20"/>
          <w14:ligatures w14:val="standardContextual"/>
        </w:rPr>
        <w:t xml:space="preserve">. The coefficient is closer to 1 meaning that the usage of formal financial services is almost a perfect indicator of financial inclusion among rural women in Kenya. This basically implies that higher financial inclusion is strongly associated with greater uptake and utilization of formal financial services. </w:t>
      </w:r>
    </w:p>
    <w:p w14:paraId="708D0BBF" w14:textId="77777777" w:rsidR="00BC65BB" w:rsidRPr="00DD2E89" w:rsidRDefault="00BC65BB" w:rsidP="003628B7">
      <w:pPr>
        <w:numPr>
          <w:ilvl w:val="0"/>
          <w:numId w:val="60"/>
        </w:num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Structural Model Interpretation</w:t>
      </w:r>
    </w:p>
    <w:p w14:paraId="6E088663" w14:textId="25F65C6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kern w:val="2"/>
          <w:sz w:val="20"/>
          <w:szCs w:val="20"/>
          <w14:ligatures w14:val="standardContextual"/>
        </w:rPr>
        <w:t xml:space="preserve">The structural (inner) model interpretation was analyzed by considering path coefficients, R-squared, </w:t>
      </w:r>
      <w:proofErr w:type="spellStart"/>
      <w:r w:rsidRPr="00DD2E89">
        <w:rPr>
          <w:rFonts w:ascii="Arial" w:hAnsi="Arial" w:cs="Arial"/>
          <w:kern w:val="2"/>
          <w:sz w:val="20"/>
          <w:szCs w:val="20"/>
          <w14:ligatures w14:val="standardContextual"/>
        </w:rPr>
        <w:t>Cronbach’s</w:t>
      </w:r>
      <w:proofErr w:type="spellEnd"/>
      <w:r w:rsidRPr="00DD2E89">
        <w:rPr>
          <w:rFonts w:ascii="Arial" w:hAnsi="Arial" w:cs="Arial"/>
          <w:kern w:val="2"/>
          <w:sz w:val="20"/>
          <w:szCs w:val="20"/>
          <w14:ligatures w14:val="standardContextual"/>
        </w:rPr>
        <w:t xml:space="preserve"> alpha, VIF and f2. The structural model is presented in Table 4</w:t>
      </w:r>
      <w:r w:rsidR="00C51292" w:rsidRPr="00DD2E89">
        <w:rPr>
          <w:rFonts w:ascii="Arial" w:hAnsi="Arial" w:cs="Arial"/>
          <w:kern w:val="2"/>
          <w:sz w:val="20"/>
          <w:szCs w:val="20"/>
          <w14:ligatures w14:val="standardContextual"/>
        </w:rPr>
        <w:t>.</w:t>
      </w:r>
    </w:p>
    <w:p w14:paraId="58187960" w14:textId="4A634AF7" w:rsidR="00BC65BB" w:rsidRPr="00DD2E89" w:rsidRDefault="00BC65BB" w:rsidP="003628B7">
      <w:pPr>
        <w:spacing w:after="160" w:line="240" w:lineRule="auto"/>
        <w:jc w:val="both"/>
        <w:rPr>
          <w:rFonts w:ascii="Arial" w:hAnsi="Arial" w:cs="Arial"/>
          <w:b/>
          <w:bCs/>
          <w:kern w:val="2"/>
          <w14:ligatures w14:val="standardContextual"/>
        </w:rPr>
      </w:pPr>
      <w:bookmarkStart w:id="102" w:name="_Hlk204589787"/>
      <w:r w:rsidRPr="00DD2E89">
        <w:rPr>
          <w:rFonts w:ascii="Arial" w:hAnsi="Arial" w:cs="Arial"/>
          <w:b/>
          <w:bCs/>
          <w:kern w:val="2"/>
          <w14:ligatures w14:val="standardContextual"/>
        </w:rPr>
        <w:t>Table 4: Digital Finance and Financial Inclusion Structural Model Assessment</w:t>
      </w:r>
    </w:p>
    <w:tbl>
      <w:tblPr>
        <w:tblStyle w:val="TableGrid"/>
        <w:tblW w:w="0" w:type="auto"/>
        <w:tblLook w:val="04A0" w:firstRow="1" w:lastRow="0" w:firstColumn="1" w:lastColumn="0" w:noHBand="0" w:noVBand="1"/>
      </w:tblPr>
      <w:tblGrid>
        <w:gridCol w:w="3325"/>
        <w:gridCol w:w="810"/>
        <w:gridCol w:w="1440"/>
        <w:gridCol w:w="990"/>
        <w:gridCol w:w="1080"/>
        <w:gridCol w:w="1078"/>
      </w:tblGrid>
      <w:tr w:rsidR="00BC65BB" w:rsidRPr="00DD2E89" w14:paraId="5F7FC54F" w14:textId="77777777" w:rsidTr="00EE3E39">
        <w:tc>
          <w:tcPr>
            <w:tcW w:w="3325" w:type="dxa"/>
          </w:tcPr>
          <w:p w14:paraId="3DF549FE"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Relationship</w:t>
            </w:r>
          </w:p>
        </w:tc>
        <w:tc>
          <w:tcPr>
            <w:tcW w:w="810" w:type="dxa"/>
          </w:tcPr>
          <w:p w14:paraId="0624614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β</w:t>
            </w:r>
          </w:p>
        </w:tc>
        <w:tc>
          <w:tcPr>
            <w:tcW w:w="1440" w:type="dxa"/>
          </w:tcPr>
          <w:p w14:paraId="3CB3B52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roofErr w:type="spellStart"/>
            <w:r w:rsidRPr="00DD2E89">
              <w:rPr>
                <w:rFonts w:ascii="Arial" w:hAnsi="Arial" w:cs="Arial"/>
                <w:kern w:val="2"/>
                <w:sz w:val="20"/>
                <w:szCs w:val="20"/>
                <w14:ligatures w14:val="standardContextual"/>
              </w:rPr>
              <w:t>Cronbach’s</w:t>
            </w:r>
            <w:proofErr w:type="spellEnd"/>
            <w:r w:rsidRPr="00DD2E89">
              <w:rPr>
                <w:rFonts w:ascii="Arial" w:hAnsi="Arial" w:cs="Arial"/>
                <w:kern w:val="2"/>
                <w:sz w:val="20"/>
                <w:szCs w:val="20"/>
                <w14:ligatures w14:val="standardContextual"/>
              </w:rPr>
              <w:t xml:space="preserve"> Alpha (α)</w:t>
            </w:r>
          </w:p>
        </w:tc>
        <w:tc>
          <w:tcPr>
            <w:tcW w:w="990" w:type="dxa"/>
          </w:tcPr>
          <w:p w14:paraId="5538ADD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VIF</w:t>
            </w:r>
          </w:p>
        </w:tc>
        <w:tc>
          <w:tcPr>
            <w:tcW w:w="1080" w:type="dxa"/>
          </w:tcPr>
          <w:p w14:paraId="7A7319A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f2</w:t>
            </w:r>
          </w:p>
        </w:tc>
        <w:tc>
          <w:tcPr>
            <w:tcW w:w="900" w:type="dxa"/>
          </w:tcPr>
          <w:p w14:paraId="2CAC0D1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R2</w:t>
            </w:r>
          </w:p>
        </w:tc>
      </w:tr>
      <w:tr w:rsidR="00BC65BB" w:rsidRPr="00DD2E89" w14:paraId="45F5F758" w14:textId="77777777" w:rsidTr="00EE3E39">
        <w:tc>
          <w:tcPr>
            <w:tcW w:w="3325" w:type="dxa"/>
          </w:tcPr>
          <w:p w14:paraId="43C1553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Digital Finance and Financial Inclusion</w:t>
            </w:r>
          </w:p>
        </w:tc>
        <w:tc>
          <w:tcPr>
            <w:tcW w:w="810" w:type="dxa"/>
          </w:tcPr>
          <w:p w14:paraId="6AF01AC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0.728</w:t>
            </w:r>
          </w:p>
        </w:tc>
        <w:tc>
          <w:tcPr>
            <w:tcW w:w="1440" w:type="dxa"/>
          </w:tcPr>
          <w:p w14:paraId="1840AD7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0.780</w:t>
            </w:r>
          </w:p>
        </w:tc>
        <w:tc>
          <w:tcPr>
            <w:tcW w:w="990" w:type="dxa"/>
          </w:tcPr>
          <w:p w14:paraId="044BB8A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1.000</w:t>
            </w:r>
          </w:p>
        </w:tc>
        <w:tc>
          <w:tcPr>
            <w:tcW w:w="1080" w:type="dxa"/>
          </w:tcPr>
          <w:p w14:paraId="67F6986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1.129</w:t>
            </w:r>
          </w:p>
        </w:tc>
        <w:tc>
          <w:tcPr>
            <w:tcW w:w="900" w:type="dxa"/>
          </w:tcPr>
          <w:p w14:paraId="7A41B62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commentRangeStart w:id="103"/>
            <w:r w:rsidRPr="00DD2E89">
              <w:rPr>
                <w:rFonts w:ascii="Arial" w:hAnsi="Arial" w:cs="Arial"/>
                <w:kern w:val="2"/>
                <w:sz w:val="20"/>
                <w:szCs w:val="20"/>
                <w14:ligatures w14:val="standardContextual"/>
              </w:rPr>
              <w:t>0.530</w:t>
            </w:r>
            <w:commentRangeEnd w:id="103"/>
            <w:r w:rsidR="005F5738">
              <w:rPr>
                <w:rStyle w:val="CommentReference"/>
              </w:rPr>
              <w:commentReference w:id="103"/>
            </w:r>
          </w:p>
        </w:tc>
      </w:tr>
    </w:tbl>
    <w:p w14:paraId="081ECA82" w14:textId="77777777" w:rsidR="00BC65BB" w:rsidRPr="00DD2E89" w:rsidRDefault="00BC65BB" w:rsidP="003628B7">
      <w:pPr>
        <w:spacing w:after="160" w:line="240" w:lineRule="auto"/>
        <w:jc w:val="both"/>
        <w:rPr>
          <w:rFonts w:ascii="Arial" w:hAnsi="Arial" w:cs="Arial"/>
          <w:b/>
          <w:bCs/>
          <w:kern w:val="2"/>
          <w:sz w:val="16"/>
          <w:szCs w:val="16"/>
          <w14:ligatures w14:val="standardContextual"/>
        </w:rPr>
      </w:pPr>
      <w:r w:rsidRPr="00DD2E89">
        <w:rPr>
          <w:rFonts w:ascii="Arial" w:hAnsi="Arial" w:cs="Arial"/>
          <w:b/>
          <w:bCs/>
          <w:kern w:val="2"/>
          <w:sz w:val="16"/>
          <w:szCs w:val="16"/>
          <w14:ligatures w14:val="standardContextual"/>
        </w:rPr>
        <w:t>Note:</w:t>
      </w:r>
      <w:r w:rsidRPr="00DD2E89">
        <w:rPr>
          <w:rFonts w:ascii="Arial" w:hAnsi="Arial" w:cs="Arial"/>
          <w:kern w:val="2"/>
          <w:sz w:val="16"/>
          <w:szCs w:val="16"/>
          <w14:ligatures w14:val="standardContextual"/>
        </w:rPr>
        <w:t xml:space="preserve"> β = denotes path coefficients; f2 = effect size; R2 = Coefficient of determination; VIF = Variance Inflation Factor</w:t>
      </w:r>
    </w:p>
    <w:bookmarkEnd w:id="102"/>
    <w:p w14:paraId="204B810B"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Path Coefficients</w:t>
      </w:r>
    </w:p>
    <w:p w14:paraId="0BA2561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From the results, it’s observed that between digital finance and financial inclusion, there is a significant positive path coefficient of 0.728. This means that a one unit increase in digital finance is associated with a 0.728 increase in financial inclusion. This suggests that high levels of digital finance among rural women in Kenya are significant drivers of financial inclusion. The results implies that digital finance is an enabler of financial inclusion and that rural women who have embraced digital finance and are able to use digital financial services for their financial wellbeing are likely to be financially included. Therefore, promoting and expanding digital finance among rural women is a highly effective strategy for increasing financial inclusion. The finding aligns with </w:t>
      </w:r>
      <w:proofErr w:type="spellStart"/>
      <w:r w:rsidRPr="00DD2E89">
        <w:rPr>
          <w:rFonts w:ascii="Arial" w:hAnsi="Arial" w:cs="Arial"/>
          <w:kern w:val="2"/>
          <w:sz w:val="20"/>
          <w:szCs w:val="20"/>
          <w14:ligatures w14:val="standardContextual"/>
        </w:rPr>
        <w:t>Ozili</w:t>
      </w:r>
      <w:proofErr w:type="spellEnd"/>
      <w:r w:rsidRPr="00DD2E89">
        <w:rPr>
          <w:rFonts w:ascii="Arial" w:hAnsi="Arial" w:cs="Arial"/>
          <w:kern w:val="2"/>
          <w:sz w:val="20"/>
          <w:szCs w:val="20"/>
          <w14:ligatures w14:val="standardContextual"/>
        </w:rPr>
        <w:t xml:space="preserve"> (2018) who from a comprehensive review concluded that </w:t>
      </w:r>
      <w:proofErr w:type="spellStart"/>
      <w:r w:rsidRPr="00DD2E89">
        <w:rPr>
          <w:rFonts w:ascii="Arial" w:hAnsi="Arial" w:cs="Arial"/>
          <w:kern w:val="2"/>
          <w:sz w:val="20"/>
          <w:szCs w:val="20"/>
          <w14:ligatures w14:val="standardContextual"/>
        </w:rPr>
        <w:t>fintech</w:t>
      </w:r>
      <w:proofErr w:type="spellEnd"/>
      <w:r w:rsidRPr="00DD2E89">
        <w:rPr>
          <w:rFonts w:ascii="Arial" w:hAnsi="Arial" w:cs="Arial"/>
          <w:kern w:val="2"/>
          <w:sz w:val="20"/>
          <w:szCs w:val="20"/>
          <w14:ligatures w14:val="standardContextual"/>
        </w:rPr>
        <w:t xml:space="preserve"> and digital financial services enable financial access and usage leading to greater financial inclusion. This is also in line with </w:t>
      </w:r>
      <w:proofErr w:type="spellStart"/>
      <w:r w:rsidRPr="00DD2E89">
        <w:rPr>
          <w:rFonts w:ascii="Arial" w:hAnsi="Arial" w:cs="Arial"/>
          <w:kern w:val="2"/>
          <w:sz w:val="20"/>
          <w:szCs w:val="20"/>
          <w14:ligatures w14:val="standardContextual"/>
        </w:rPr>
        <w:t>Banga</w:t>
      </w:r>
      <w:proofErr w:type="spellEnd"/>
      <w:r w:rsidRPr="00DD2E89">
        <w:rPr>
          <w:rFonts w:ascii="Arial" w:hAnsi="Arial" w:cs="Arial"/>
          <w:kern w:val="2"/>
          <w:sz w:val="20"/>
          <w:szCs w:val="20"/>
          <w14:ligatures w14:val="standardContextual"/>
        </w:rPr>
        <w:t xml:space="preserve"> (2019) who argued that with digital finance, there is reduced transaction cost, increased speed in accessing financial services as well as expanded reach for the underserved population.</w:t>
      </w:r>
    </w:p>
    <w:p w14:paraId="6DCD9B0D"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R-Squared Interpretation</w:t>
      </w:r>
    </w:p>
    <w:p w14:paraId="03C234BE"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R-squared value as observed in this model is </w:t>
      </w:r>
      <w:commentRangeStart w:id="104"/>
      <w:r w:rsidRPr="00DD2E89">
        <w:rPr>
          <w:rFonts w:ascii="Arial" w:hAnsi="Arial" w:cs="Arial"/>
          <w:kern w:val="2"/>
          <w:sz w:val="20"/>
          <w:szCs w:val="20"/>
          <w14:ligatures w14:val="standardContextual"/>
        </w:rPr>
        <w:t xml:space="preserve">0.530, meaning that 53% of the </w:t>
      </w:r>
      <w:commentRangeEnd w:id="104"/>
      <w:r w:rsidR="005F5738">
        <w:rPr>
          <w:rStyle w:val="CommentReference"/>
        </w:rPr>
        <w:commentReference w:id="104"/>
      </w:r>
      <w:r w:rsidRPr="00DD2E89">
        <w:rPr>
          <w:rFonts w:ascii="Arial" w:hAnsi="Arial" w:cs="Arial"/>
          <w:kern w:val="2"/>
          <w:sz w:val="20"/>
          <w:szCs w:val="20"/>
          <w14:ligatures w14:val="standardContextual"/>
        </w:rPr>
        <w:t xml:space="preserve">variance in financial inclusion can be explained by digital finance. </w:t>
      </w:r>
      <w:bookmarkStart w:id="105" w:name="_Hlk203147670"/>
      <w:r w:rsidRPr="00DD2E89">
        <w:rPr>
          <w:rFonts w:ascii="Arial" w:hAnsi="Arial" w:cs="Arial"/>
          <w:kern w:val="2"/>
          <w:sz w:val="20"/>
          <w:szCs w:val="20"/>
          <w14:ligatures w14:val="standardContextual"/>
        </w:rPr>
        <w:t xml:space="preserve">This demonstrates that digital finance is a key explanatory variable for financial inclusion. It’s a driver to financial inclusion and can effectively serve as a bridge to financial inclusion for rural women through digital payment systems. Financial institutions therefore, should </w:t>
      </w:r>
      <w:r w:rsidRPr="00DD2E89">
        <w:rPr>
          <w:rFonts w:ascii="Arial" w:hAnsi="Arial" w:cs="Arial"/>
          <w:kern w:val="2"/>
          <w:sz w:val="20"/>
          <w:szCs w:val="20"/>
          <w14:ligatures w14:val="standardContextual"/>
        </w:rPr>
        <w:lastRenderedPageBreak/>
        <w:t xml:space="preserve">invest in digital financial infrastructure and services so as to have significant returns when it comes to financial inclusion outcomes for rural women. </w:t>
      </w:r>
    </w:p>
    <w:p w14:paraId="4C6E099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However, in as much as digital finance is a crucial factor that influences financial inclusion, there are other determinants 47% that explain the variance in financial inclusion of rural women. These findings agree with those of </w:t>
      </w:r>
      <w:proofErr w:type="spellStart"/>
      <w:r w:rsidRPr="00DD2E89">
        <w:rPr>
          <w:rFonts w:ascii="Arial" w:hAnsi="Arial" w:cs="Arial"/>
          <w:kern w:val="2"/>
          <w:sz w:val="20"/>
          <w:szCs w:val="20"/>
          <w14:ligatures w14:val="standardContextual"/>
        </w:rPr>
        <w:t>Klapper</w:t>
      </w:r>
      <w:proofErr w:type="spellEnd"/>
      <w:r w:rsidRPr="00DD2E89">
        <w:rPr>
          <w:rFonts w:ascii="Arial" w:hAnsi="Arial" w:cs="Arial"/>
          <w:kern w:val="2"/>
          <w:sz w:val="20"/>
          <w:szCs w:val="20"/>
          <w14:ligatures w14:val="standardContextual"/>
        </w:rPr>
        <w:t xml:space="preserve"> et al. (2016), </w:t>
      </w:r>
      <w:proofErr w:type="spellStart"/>
      <w:r w:rsidRPr="00DD2E89">
        <w:rPr>
          <w:rFonts w:ascii="Arial" w:hAnsi="Arial" w:cs="Arial"/>
          <w:kern w:val="2"/>
          <w:sz w:val="20"/>
          <w:szCs w:val="20"/>
          <w14:ligatures w14:val="standardContextual"/>
        </w:rPr>
        <w:t>Grohmann</w:t>
      </w:r>
      <w:proofErr w:type="spellEnd"/>
      <w:r w:rsidRPr="00DD2E89">
        <w:rPr>
          <w:rFonts w:ascii="Arial" w:hAnsi="Arial" w:cs="Arial"/>
          <w:kern w:val="2"/>
          <w:sz w:val="20"/>
          <w:szCs w:val="20"/>
          <w14:ligatures w14:val="standardContextual"/>
        </w:rPr>
        <w:t xml:space="preserve"> et al. (2018), and Couture et al. (2019) who emphasized that no single factor can explain financial inclusion, it is influenced by a convergence of other complementary factors. Therefore, it is important to examine other factors that influence financial inclusion other than digital finance.</w:t>
      </w:r>
    </w:p>
    <w:p w14:paraId="489FF36F"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proofErr w:type="spellStart"/>
      <w:r w:rsidRPr="00DD2E89">
        <w:rPr>
          <w:rFonts w:ascii="Arial" w:hAnsi="Arial" w:cs="Arial"/>
          <w:b/>
          <w:bCs/>
          <w:kern w:val="2"/>
          <w:sz w:val="20"/>
          <w:szCs w:val="20"/>
          <w14:ligatures w14:val="standardContextual"/>
        </w:rPr>
        <w:t>Cronbach's</w:t>
      </w:r>
      <w:proofErr w:type="spellEnd"/>
      <w:r w:rsidRPr="00DD2E89">
        <w:rPr>
          <w:rFonts w:ascii="Arial" w:hAnsi="Arial" w:cs="Arial"/>
          <w:b/>
          <w:bCs/>
          <w:kern w:val="2"/>
          <w:sz w:val="20"/>
          <w:szCs w:val="20"/>
          <w14:ligatures w14:val="standardContextual"/>
        </w:rPr>
        <w:t xml:space="preserve"> Alpha (α)</w:t>
      </w:r>
    </w:p>
    <w:p w14:paraId="3B4ABB72"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kern w:val="2"/>
          <w:sz w:val="20"/>
          <w:szCs w:val="20"/>
          <w14:ligatures w14:val="standardContextual"/>
        </w:rPr>
        <w:t xml:space="preserve">The </w:t>
      </w:r>
      <w:proofErr w:type="spellStart"/>
      <w:r w:rsidRPr="00DD2E89">
        <w:rPr>
          <w:rFonts w:ascii="Arial" w:hAnsi="Arial" w:cs="Arial"/>
          <w:kern w:val="2"/>
          <w:sz w:val="20"/>
          <w:szCs w:val="20"/>
          <w14:ligatures w14:val="standardContextual"/>
        </w:rPr>
        <w:t>Cronbach’s</w:t>
      </w:r>
      <w:proofErr w:type="spellEnd"/>
      <w:r w:rsidRPr="00DD2E89">
        <w:rPr>
          <w:rFonts w:ascii="Arial" w:hAnsi="Arial" w:cs="Arial"/>
          <w:kern w:val="2"/>
          <w:sz w:val="20"/>
          <w:szCs w:val="20"/>
          <w14:ligatures w14:val="standardContextual"/>
        </w:rPr>
        <w:t xml:space="preserve"> alpha value is 0.780. This value is well above the acceptable threshold of 0.70 indicating that the items used to measure digital finance and financial inclusion were highly reliable and internally consisted. </w:t>
      </w:r>
    </w:p>
    <w:p w14:paraId="3D05E140"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VIF (Variance Inflation Factor)</w:t>
      </w:r>
    </w:p>
    <w:p w14:paraId="259F301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commentRangeStart w:id="106"/>
      <w:r w:rsidRPr="00DD2E89">
        <w:rPr>
          <w:rFonts w:ascii="Arial" w:hAnsi="Arial" w:cs="Arial"/>
          <w:kern w:val="2"/>
          <w:sz w:val="20"/>
          <w:szCs w:val="20"/>
          <w14:ligatures w14:val="standardContextual"/>
        </w:rPr>
        <w:t xml:space="preserve">The results reveal a VIF value of 1.000. This implies that digital finance is not correlated with any other predictors in the model. </w:t>
      </w:r>
      <w:commentRangeEnd w:id="106"/>
      <w:r w:rsidR="00C62B89">
        <w:rPr>
          <w:rStyle w:val="CommentReference"/>
        </w:rPr>
        <w:commentReference w:id="106"/>
      </w:r>
    </w:p>
    <w:p w14:paraId="67059689"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Cohen's f2 (Effect Size)</w:t>
      </w:r>
    </w:p>
    <w:p w14:paraId="5C6CE2F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The study reveals an exceptionally high value of 1.129. The value of 1.129 is exceptionally high. Following Cohen's (1988) guidelines, an f2 of 0.02 is a small effect, 0.15 is a medium effect, and 0.35 is a large effect. The value of 1.129 far exceeds the threshold for a large effect, indicating that digital finance has a very substantial and powerful effect on financial inclusion.</w:t>
      </w:r>
    </w:p>
    <w:p w14:paraId="584C8F86" w14:textId="71970700"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In summary, the results from Table 4 provide strong evidence for a robust and significant relationship between digital finance and financial inclusion. The path coefficient (β=0.728) and the R-squared value (0.530) indicate that digital finance is a powerful predictor, explaining over half of the variance in Financial Inclusion. Furthermore, the large effect size (f2=1.129) confirms the practical significance of this relationship. The reliability of the measurement scale (α=0.780) and the absence of </w:t>
      </w:r>
      <w:proofErr w:type="spellStart"/>
      <w:r w:rsidRPr="00DD2E89">
        <w:rPr>
          <w:rFonts w:ascii="Arial" w:hAnsi="Arial" w:cs="Arial"/>
          <w:kern w:val="2"/>
          <w:sz w:val="20"/>
          <w:szCs w:val="20"/>
          <w14:ligatures w14:val="standardContextual"/>
        </w:rPr>
        <w:t>multicollinearity</w:t>
      </w:r>
      <w:proofErr w:type="spellEnd"/>
      <w:r w:rsidRPr="00DD2E89">
        <w:rPr>
          <w:rFonts w:ascii="Arial" w:hAnsi="Arial" w:cs="Arial"/>
          <w:kern w:val="2"/>
          <w:sz w:val="20"/>
          <w:szCs w:val="20"/>
          <w14:ligatures w14:val="standardContextual"/>
        </w:rPr>
        <w:t xml:space="preserve"> (VIF = 1.000) further validate the integrity of these findings.</w:t>
      </w:r>
    </w:p>
    <w:p w14:paraId="0C2AE771" w14:textId="0E5C548F" w:rsidR="00BC65BB" w:rsidRPr="00DD2E89" w:rsidRDefault="006C4D85" w:rsidP="003628B7">
      <w:pPr>
        <w:spacing w:after="160" w:line="240" w:lineRule="auto"/>
        <w:jc w:val="both"/>
        <w:rPr>
          <w:rFonts w:ascii="Arial" w:hAnsi="Arial" w:cs="Arial"/>
          <w:b/>
          <w:bCs/>
          <w:kern w:val="2"/>
          <w:sz w:val="20"/>
          <w:szCs w:val="20"/>
          <w14:ligatures w14:val="standardContextual"/>
        </w:rPr>
      </w:pPr>
      <w:bookmarkStart w:id="107" w:name="_Toc204605907"/>
      <w:bookmarkStart w:id="108" w:name="_Toc204639088"/>
      <w:bookmarkStart w:id="109" w:name="_Toc204692750"/>
      <w:bookmarkEnd w:id="105"/>
      <w:r w:rsidRPr="00DD2E89">
        <w:rPr>
          <w:rFonts w:ascii="Arial" w:hAnsi="Arial" w:cs="Arial"/>
          <w:b/>
          <w:bCs/>
          <w:kern w:val="2"/>
          <w:sz w:val="20"/>
          <w:szCs w:val="20"/>
          <w14:ligatures w14:val="standardContextual"/>
        </w:rPr>
        <w:t>5.3</w:t>
      </w:r>
      <w:r w:rsidR="00BC65BB" w:rsidRPr="00DD2E89">
        <w:rPr>
          <w:rFonts w:ascii="Arial" w:hAnsi="Arial" w:cs="Arial"/>
          <w:b/>
          <w:bCs/>
          <w:kern w:val="2"/>
          <w:sz w:val="20"/>
          <w:szCs w:val="20"/>
          <w14:ligatures w14:val="standardContextual"/>
        </w:rPr>
        <w:tab/>
        <w:t>Chi-Square Analysis of Digital Finance and Financial Inclusion</w:t>
      </w:r>
      <w:bookmarkEnd w:id="107"/>
      <w:bookmarkEnd w:id="108"/>
      <w:bookmarkEnd w:id="109"/>
      <w:r w:rsidR="00BC65BB" w:rsidRPr="00DD2E89">
        <w:rPr>
          <w:rFonts w:ascii="Arial" w:hAnsi="Arial" w:cs="Arial"/>
          <w:b/>
          <w:bCs/>
          <w:kern w:val="2"/>
          <w:sz w:val="20"/>
          <w:szCs w:val="20"/>
          <w14:ligatures w14:val="standardContextual"/>
        </w:rPr>
        <w:t xml:space="preserve"> </w:t>
      </w:r>
    </w:p>
    <w:p w14:paraId="64FD92C5" w14:textId="231F072A"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A further examination of influence of digital finance on financial inclusion of rural women in Kenya was carried out to establish whether there was an association between rural women’s digital finance levels and their financial inclusion. To show whether there was an association, the study carried out Chi-square test of independence to compare the categorical variables. Digital finance was measured by a combination of rural women’s ownership of digital payment systems and their usage of digital payments systems. </w:t>
      </w:r>
    </w:p>
    <w:p w14:paraId="7E609DB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To determine whether the association between digital finance among rural women and their financial inclusion is statistically significant, the study used the Chi-square test using the following steps;</w:t>
      </w:r>
    </w:p>
    <w:p w14:paraId="5B8F78C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1: The study formulated a hypothesis for the first objective;</w:t>
      </w:r>
    </w:p>
    <w:p w14:paraId="2A1866F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H0: There is no significant association between digital finance among rural and their financial inclusion.</w:t>
      </w:r>
    </w:p>
    <w:p w14:paraId="05321BC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Ha: There is a significant association between digital finance among rural women and their financial inclusion.</w:t>
      </w:r>
    </w:p>
    <w:p w14:paraId="6E611854" w14:textId="765B1321"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Step 2: The study compared the overall observed counts from data with the expected counts as represented in tables </w:t>
      </w:r>
      <w:r w:rsidR="00C51292" w:rsidRPr="00DD2E89">
        <w:rPr>
          <w:rFonts w:ascii="Arial" w:hAnsi="Arial" w:cs="Arial"/>
          <w:kern w:val="2"/>
          <w:sz w:val="20"/>
          <w:szCs w:val="20"/>
          <w14:ligatures w14:val="standardContextual"/>
        </w:rPr>
        <w:t>5</w:t>
      </w:r>
      <w:r w:rsidRPr="00DD2E89">
        <w:rPr>
          <w:rFonts w:ascii="Arial" w:hAnsi="Arial" w:cs="Arial"/>
          <w:kern w:val="2"/>
          <w:sz w:val="20"/>
          <w:szCs w:val="20"/>
          <w14:ligatures w14:val="standardContextual"/>
        </w:rPr>
        <w:t xml:space="preserve"> and </w:t>
      </w:r>
      <w:r w:rsidR="00C51292" w:rsidRPr="00DD2E89">
        <w:rPr>
          <w:rFonts w:ascii="Arial" w:hAnsi="Arial" w:cs="Arial"/>
          <w:kern w:val="2"/>
          <w:sz w:val="20"/>
          <w:szCs w:val="20"/>
          <w14:ligatures w14:val="standardContextual"/>
        </w:rPr>
        <w:t>6</w:t>
      </w:r>
      <w:r w:rsidRPr="00DD2E89">
        <w:rPr>
          <w:rFonts w:ascii="Arial" w:hAnsi="Arial" w:cs="Arial"/>
          <w:kern w:val="2"/>
          <w:sz w:val="20"/>
          <w:szCs w:val="20"/>
          <w14:ligatures w14:val="standardContextual"/>
        </w:rPr>
        <w:t xml:space="preserve"> respectively</w:t>
      </w:r>
    </w:p>
    <w:p w14:paraId="1DEF49B3" w14:textId="6E39CAB8" w:rsidR="00BC65BB" w:rsidRPr="00DD2E89" w:rsidRDefault="00BC65BB" w:rsidP="003628B7">
      <w:pPr>
        <w:spacing w:after="160" w:line="240" w:lineRule="auto"/>
        <w:jc w:val="both"/>
        <w:rPr>
          <w:rFonts w:ascii="Arial" w:hAnsi="Arial" w:cs="Arial"/>
          <w:b/>
          <w:bCs/>
          <w:kern w:val="2"/>
          <w14:ligatures w14:val="standardContextual"/>
        </w:rPr>
      </w:pPr>
      <w:bookmarkStart w:id="110" w:name="_Toc204561263"/>
      <w:r w:rsidRPr="00DD2E89">
        <w:rPr>
          <w:rFonts w:ascii="Arial" w:hAnsi="Arial" w:cs="Arial"/>
          <w:b/>
          <w:bCs/>
          <w:kern w:val="2"/>
          <w14:ligatures w14:val="standardContextual"/>
        </w:rPr>
        <w:lastRenderedPageBreak/>
        <w:t xml:space="preserve">Table </w:t>
      </w:r>
      <w:r w:rsidR="00C51292" w:rsidRPr="00DD2E89">
        <w:rPr>
          <w:rFonts w:ascii="Arial" w:hAnsi="Arial" w:cs="Arial"/>
          <w:b/>
          <w:bCs/>
          <w:kern w:val="2"/>
          <w14:ligatures w14:val="standardContextual"/>
        </w:rPr>
        <w:t>5</w:t>
      </w:r>
      <w:r w:rsidRPr="00DD2E89">
        <w:rPr>
          <w:rFonts w:ascii="Arial" w:hAnsi="Arial" w:cs="Arial"/>
          <w:b/>
          <w:bCs/>
          <w:kern w:val="2"/>
          <w14:ligatures w14:val="standardContextual"/>
        </w:rPr>
        <w:t>: Overall Observation Count for Digital Finance and Financial Inclusion</w:t>
      </w:r>
      <w:bookmarkEnd w:id="110"/>
    </w:p>
    <w:tbl>
      <w:tblPr>
        <w:tblStyle w:val="TableGrid"/>
        <w:tblW w:w="0" w:type="auto"/>
        <w:tblLook w:val="04A0" w:firstRow="1" w:lastRow="0" w:firstColumn="1" w:lastColumn="0" w:noHBand="0" w:noVBand="1"/>
      </w:tblPr>
      <w:tblGrid>
        <w:gridCol w:w="2337"/>
        <w:gridCol w:w="2337"/>
        <w:gridCol w:w="2338"/>
        <w:gridCol w:w="2338"/>
      </w:tblGrid>
      <w:tr w:rsidR="00BC65BB" w:rsidRPr="00DD2E89" w14:paraId="104CFD03" w14:textId="77777777" w:rsidTr="00EE3E39">
        <w:tc>
          <w:tcPr>
            <w:tcW w:w="2337" w:type="dxa"/>
          </w:tcPr>
          <w:p w14:paraId="7FEB232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4675" w:type="dxa"/>
            <w:gridSpan w:val="2"/>
          </w:tcPr>
          <w:p w14:paraId="7AB17CAA"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Financial Inclusion</w:t>
            </w:r>
          </w:p>
        </w:tc>
        <w:tc>
          <w:tcPr>
            <w:tcW w:w="2338" w:type="dxa"/>
          </w:tcPr>
          <w:p w14:paraId="060887C3"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Total</w:t>
            </w:r>
          </w:p>
        </w:tc>
      </w:tr>
      <w:tr w:rsidR="00BC65BB" w:rsidRPr="00DD2E89" w14:paraId="10ECADC7" w14:textId="77777777" w:rsidTr="00EE3E39">
        <w:tc>
          <w:tcPr>
            <w:tcW w:w="2337" w:type="dxa"/>
          </w:tcPr>
          <w:p w14:paraId="74932644"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Digital Finance</w:t>
            </w:r>
          </w:p>
        </w:tc>
        <w:tc>
          <w:tcPr>
            <w:tcW w:w="2337" w:type="dxa"/>
          </w:tcPr>
          <w:p w14:paraId="4C2FF82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Included</w:t>
            </w:r>
          </w:p>
        </w:tc>
        <w:tc>
          <w:tcPr>
            <w:tcW w:w="2338" w:type="dxa"/>
          </w:tcPr>
          <w:p w14:paraId="675027A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Excluded</w:t>
            </w:r>
          </w:p>
        </w:tc>
        <w:tc>
          <w:tcPr>
            <w:tcW w:w="2338" w:type="dxa"/>
          </w:tcPr>
          <w:p w14:paraId="090E9EB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r>
      <w:tr w:rsidR="00BC65BB" w:rsidRPr="00DD2E89" w14:paraId="485CB786" w14:textId="77777777" w:rsidTr="00EE3E39">
        <w:trPr>
          <w:trHeight w:val="470"/>
        </w:trPr>
        <w:tc>
          <w:tcPr>
            <w:tcW w:w="2337" w:type="dxa"/>
          </w:tcPr>
          <w:p w14:paraId="62D35B1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Adopted </w:t>
            </w:r>
            <w:proofErr w:type="spellStart"/>
            <w:r w:rsidRPr="00DD2E89">
              <w:rPr>
                <w:rFonts w:ascii="Arial" w:hAnsi="Arial" w:cs="Arial"/>
                <w:kern w:val="2"/>
                <w:sz w:val="20"/>
                <w:szCs w:val="20"/>
                <w14:ligatures w14:val="standardContextual"/>
              </w:rPr>
              <w:t>FinTech</w:t>
            </w:r>
            <w:proofErr w:type="spellEnd"/>
          </w:p>
        </w:tc>
        <w:tc>
          <w:tcPr>
            <w:tcW w:w="2337" w:type="dxa"/>
          </w:tcPr>
          <w:p w14:paraId="615AA39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300</w:t>
            </w:r>
          </w:p>
        </w:tc>
        <w:tc>
          <w:tcPr>
            <w:tcW w:w="2338" w:type="dxa"/>
          </w:tcPr>
          <w:p w14:paraId="6D4221E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229</w:t>
            </w:r>
          </w:p>
        </w:tc>
        <w:tc>
          <w:tcPr>
            <w:tcW w:w="2338" w:type="dxa"/>
          </w:tcPr>
          <w:p w14:paraId="1D1BA38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529</w:t>
            </w:r>
          </w:p>
        </w:tc>
      </w:tr>
      <w:tr w:rsidR="00BC65BB" w:rsidRPr="00DD2E89" w14:paraId="5E23B27A" w14:textId="77777777" w:rsidTr="00EE3E39">
        <w:trPr>
          <w:trHeight w:val="470"/>
        </w:trPr>
        <w:tc>
          <w:tcPr>
            <w:tcW w:w="2337" w:type="dxa"/>
          </w:tcPr>
          <w:p w14:paraId="27F96ED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Not Adopted </w:t>
            </w:r>
            <w:proofErr w:type="spellStart"/>
            <w:r w:rsidRPr="00DD2E89">
              <w:rPr>
                <w:rFonts w:ascii="Arial" w:hAnsi="Arial" w:cs="Arial"/>
                <w:kern w:val="2"/>
                <w:sz w:val="20"/>
                <w:szCs w:val="20"/>
                <w14:ligatures w14:val="standardContextual"/>
              </w:rPr>
              <w:t>FinTech</w:t>
            </w:r>
            <w:proofErr w:type="spellEnd"/>
          </w:p>
        </w:tc>
        <w:tc>
          <w:tcPr>
            <w:tcW w:w="2337" w:type="dxa"/>
          </w:tcPr>
          <w:p w14:paraId="271DFBC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73</w:t>
            </w:r>
          </w:p>
        </w:tc>
        <w:tc>
          <w:tcPr>
            <w:tcW w:w="2338" w:type="dxa"/>
          </w:tcPr>
          <w:p w14:paraId="4451F58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359</w:t>
            </w:r>
          </w:p>
        </w:tc>
        <w:tc>
          <w:tcPr>
            <w:tcW w:w="2338" w:type="dxa"/>
          </w:tcPr>
          <w:p w14:paraId="1745719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432</w:t>
            </w:r>
          </w:p>
        </w:tc>
      </w:tr>
      <w:tr w:rsidR="00BC65BB" w:rsidRPr="00DD2E89" w14:paraId="04FA8886" w14:textId="77777777" w:rsidTr="00EE3E39">
        <w:tc>
          <w:tcPr>
            <w:tcW w:w="2337" w:type="dxa"/>
          </w:tcPr>
          <w:p w14:paraId="1A82DF7E" w14:textId="77777777" w:rsidR="00BC65BB" w:rsidRPr="00DD2E89" w:rsidRDefault="00BC65BB" w:rsidP="003628B7">
            <w:pPr>
              <w:spacing w:after="160" w:line="240" w:lineRule="auto"/>
              <w:jc w:val="both"/>
              <w:rPr>
                <w:rFonts w:ascii="Arial" w:hAnsi="Arial" w:cs="Arial"/>
                <w:b/>
                <w:bCs/>
                <w:kern w:val="2"/>
                <w:sz w:val="20"/>
                <w:szCs w:val="20"/>
                <w14:ligatures w14:val="standardContextual"/>
              </w:rPr>
            </w:pPr>
            <w:r w:rsidRPr="00DD2E89">
              <w:rPr>
                <w:rFonts w:ascii="Arial" w:hAnsi="Arial" w:cs="Arial"/>
                <w:b/>
                <w:bCs/>
                <w:kern w:val="2"/>
                <w:sz w:val="20"/>
                <w:szCs w:val="20"/>
                <w14:ligatures w14:val="standardContextual"/>
              </w:rPr>
              <w:t>Total</w:t>
            </w:r>
          </w:p>
        </w:tc>
        <w:tc>
          <w:tcPr>
            <w:tcW w:w="2337" w:type="dxa"/>
          </w:tcPr>
          <w:p w14:paraId="29C4B13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373</w:t>
            </w:r>
          </w:p>
        </w:tc>
        <w:tc>
          <w:tcPr>
            <w:tcW w:w="2338" w:type="dxa"/>
          </w:tcPr>
          <w:p w14:paraId="79CED5D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558</w:t>
            </w:r>
          </w:p>
        </w:tc>
        <w:tc>
          <w:tcPr>
            <w:tcW w:w="2338" w:type="dxa"/>
          </w:tcPr>
          <w:p w14:paraId="0EEF14B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commentRangeStart w:id="111"/>
            <w:r w:rsidRPr="00DD2E89">
              <w:rPr>
                <w:rFonts w:ascii="Arial" w:hAnsi="Arial" w:cs="Arial"/>
                <w:kern w:val="2"/>
                <w:sz w:val="20"/>
                <w:szCs w:val="20"/>
                <w14:ligatures w14:val="standardContextual"/>
              </w:rPr>
              <w:t>961</w:t>
            </w:r>
            <w:commentRangeEnd w:id="111"/>
            <w:r w:rsidR="00171897">
              <w:rPr>
                <w:rStyle w:val="CommentReference"/>
              </w:rPr>
              <w:commentReference w:id="111"/>
            </w:r>
          </w:p>
        </w:tc>
      </w:tr>
    </w:tbl>
    <w:p w14:paraId="1A544091" w14:textId="35BA802C" w:rsidR="00BC65BB" w:rsidRPr="00DD2E89" w:rsidRDefault="00BC65BB" w:rsidP="00C51292">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From table </w:t>
      </w:r>
      <w:r w:rsidR="00C51292" w:rsidRPr="00DD2E89">
        <w:rPr>
          <w:rFonts w:ascii="Arial" w:hAnsi="Arial" w:cs="Arial"/>
          <w:kern w:val="2"/>
          <w:sz w:val="20"/>
          <w:szCs w:val="20"/>
          <w14:ligatures w14:val="standardContextual"/>
        </w:rPr>
        <w:t>5</w:t>
      </w:r>
      <w:r w:rsidRPr="00DD2E89">
        <w:rPr>
          <w:rFonts w:ascii="Arial" w:hAnsi="Arial" w:cs="Arial"/>
          <w:kern w:val="2"/>
          <w:sz w:val="20"/>
          <w:szCs w:val="20"/>
          <w14:ligatures w14:val="standardContextual"/>
        </w:rPr>
        <w:t xml:space="preserve">, it is observed that 300 rural women had adopted </w:t>
      </w:r>
      <w:proofErr w:type="spellStart"/>
      <w:r w:rsidRPr="00DD2E89">
        <w:rPr>
          <w:rFonts w:ascii="Arial" w:hAnsi="Arial" w:cs="Arial"/>
          <w:kern w:val="2"/>
          <w:sz w:val="20"/>
          <w:szCs w:val="20"/>
          <w14:ligatures w14:val="standardContextual"/>
        </w:rPr>
        <w:t>Fintech</w:t>
      </w:r>
      <w:proofErr w:type="spellEnd"/>
      <w:r w:rsidRPr="00DD2E89">
        <w:rPr>
          <w:rFonts w:ascii="Arial" w:hAnsi="Arial" w:cs="Arial"/>
          <w:kern w:val="2"/>
          <w:sz w:val="20"/>
          <w:szCs w:val="20"/>
          <w14:ligatures w14:val="standardContextual"/>
        </w:rPr>
        <w:t xml:space="preserve"> and were financially included while</w:t>
      </w:r>
      <w:r w:rsidRPr="00070141">
        <w:rPr>
          <w:rFonts w:ascii="Times New Roman" w:hAnsi="Times New Roman"/>
          <w:kern w:val="2"/>
          <w14:ligatures w14:val="standardContextual"/>
        </w:rPr>
        <w:t xml:space="preserve"> </w:t>
      </w:r>
      <w:r w:rsidRPr="00DD2E89">
        <w:rPr>
          <w:rFonts w:ascii="Arial" w:hAnsi="Arial" w:cs="Arial"/>
          <w:kern w:val="2"/>
          <w:sz w:val="20"/>
          <w:szCs w:val="20"/>
          <w14:ligatures w14:val="standardContextual"/>
        </w:rPr>
        <w:t xml:space="preserve">229 of the rural women who had adopted </w:t>
      </w:r>
      <w:proofErr w:type="spellStart"/>
      <w:r w:rsidRPr="00DD2E89">
        <w:rPr>
          <w:rFonts w:ascii="Arial" w:hAnsi="Arial" w:cs="Arial"/>
          <w:kern w:val="2"/>
          <w:sz w:val="20"/>
          <w:szCs w:val="20"/>
          <w14:ligatures w14:val="standardContextual"/>
        </w:rPr>
        <w:t>fintech</w:t>
      </w:r>
      <w:proofErr w:type="spellEnd"/>
      <w:r w:rsidRPr="00DD2E89">
        <w:rPr>
          <w:rFonts w:ascii="Arial" w:hAnsi="Arial" w:cs="Arial"/>
          <w:kern w:val="2"/>
          <w:sz w:val="20"/>
          <w:szCs w:val="20"/>
          <w14:ligatures w14:val="standardContextual"/>
        </w:rPr>
        <w:t xml:space="preserve"> were not financially included. Additionally, 73 rural women who had not adopted </w:t>
      </w:r>
      <w:proofErr w:type="spellStart"/>
      <w:r w:rsidRPr="00DD2E89">
        <w:rPr>
          <w:rFonts w:ascii="Arial" w:hAnsi="Arial" w:cs="Arial"/>
          <w:kern w:val="2"/>
          <w:sz w:val="20"/>
          <w:szCs w:val="20"/>
          <w14:ligatures w14:val="standardContextual"/>
        </w:rPr>
        <w:t>fintech</w:t>
      </w:r>
      <w:proofErr w:type="spellEnd"/>
      <w:r w:rsidRPr="00DD2E89">
        <w:rPr>
          <w:rFonts w:ascii="Arial" w:hAnsi="Arial" w:cs="Arial"/>
          <w:kern w:val="2"/>
          <w:sz w:val="20"/>
          <w:szCs w:val="20"/>
          <w14:ligatures w14:val="standardContextual"/>
        </w:rPr>
        <w:t xml:space="preserve"> were found to be included while 359 who had not adopted </w:t>
      </w:r>
      <w:proofErr w:type="spellStart"/>
      <w:r w:rsidRPr="00DD2E89">
        <w:rPr>
          <w:rFonts w:ascii="Arial" w:hAnsi="Arial" w:cs="Arial"/>
          <w:kern w:val="2"/>
          <w:sz w:val="20"/>
          <w:szCs w:val="20"/>
          <w14:ligatures w14:val="standardContextual"/>
        </w:rPr>
        <w:t>fintech</w:t>
      </w:r>
      <w:proofErr w:type="spellEnd"/>
      <w:r w:rsidRPr="00DD2E89">
        <w:rPr>
          <w:rFonts w:ascii="Arial" w:hAnsi="Arial" w:cs="Arial"/>
          <w:kern w:val="2"/>
          <w:sz w:val="20"/>
          <w:szCs w:val="20"/>
          <w14:ligatures w14:val="standardContextual"/>
        </w:rPr>
        <w:t xml:space="preserve"> were financially exclude.</w:t>
      </w:r>
    </w:p>
    <w:p w14:paraId="2D3DC3E2" w14:textId="34D9D2DA"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To compute the expected values from table </w:t>
      </w:r>
      <w:r w:rsidR="00C51292" w:rsidRPr="00DD2E89">
        <w:rPr>
          <w:rFonts w:ascii="Arial" w:hAnsi="Arial" w:cs="Arial"/>
          <w:kern w:val="2"/>
          <w:sz w:val="20"/>
          <w:szCs w:val="20"/>
          <w14:ligatures w14:val="standardContextual"/>
        </w:rPr>
        <w:t>5</w:t>
      </w:r>
      <w:r w:rsidRPr="00DD2E89">
        <w:rPr>
          <w:rFonts w:ascii="Arial" w:hAnsi="Arial" w:cs="Arial"/>
          <w:kern w:val="2"/>
          <w:sz w:val="20"/>
          <w:szCs w:val="20"/>
          <w14:ligatures w14:val="standardContextual"/>
        </w:rPr>
        <w:t xml:space="preserve"> an expected count formula can be used.</w:t>
      </w:r>
    </w:p>
    <w:p w14:paraId="35907A5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 = (Row Total * Column Total) / Grand Total</w:t>
      </w:r>
    </w:p>
    <w:p w14:paraId="02B208CB" w14:textId="5D58981B" w:rsidR="006C4D85"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However, the study computed a cross tabulation of digital finance and financial inclusion using SPPS, the results are presented in Table </w:t>
      </w:r>
      <w:r w:rsidR="00C51292" w:rsidRPr="00DD2E89">
        <w:rPr>
          <w:rFonts w:ascii="Arial" w:hAnsi="Arial" w:cs="Arial"/>
          <w:kern w:val="2"/>
          <w:sz w:val="20"/>
          <w:szCs w:val="20"/>
          <w14:ligatures w14:val="standardContextual"/>
        </w:rPr>
        <w:t>6</w:t>
      </w:r>
      <w:r w:rsidRPr="00DD2E89">
        <w:rPr>
          <w:rFonts w:ascii="Arial" w:hAnsi="Arial" w:cs="Arial"/>
          <w:kern w:val="2"/>
          <w:sz w:val="20"/>
          <w:szCs w:val="20"/>
          <w14:ligatures w14:val="standardContextual"/>
        </w:rPr>
        <w:t>.</w:t>
      </w:r>
    </w:p>
    <w:p w14:paraId="0307F52B" w14:textId="55EEF4C4" w:rsidR="00BC65BB" w:rsidRPr="00DD2E89" w:rsidRDefault="00BC65BB" w:rsidP="003628B7">
      <w:pPr>
        <w:spacing w:after="160" w:line="240" w:lineRule="auto"/>
        <w:jc w:val="both"/>
        <w:rPr>
          <w:rFonts w:ascii="Arial" w:hAnsi="Arial" w:cs="Arial"/>
          <w:b/>
          <w:bCs/>
          <w:kern w:val="2"/>
          <w14:ligatures w14:val="standardContextual"/>
        </w:rPr>
      </w:pPr>
      <w:bookmarkStart w:id="112" w:name="_Toc204561264"/>
      <w:r w:rsidRPr="00DD2E89">
        <w:rPr>
          <w:rFonts w:ascii="Arial" w:hAnsi="Arial" w:cs="Arial"/>
          <w:b/>
          <w:bCs/>
          <w:kern w:val="2"/>
          <w14:ligatures w14:val="standardContextual"/>
        </w:rPr>
        <w:t xml:space="preserve">Table </w:t>
      </w:r>
      <w:r w:rsidR="00C51292" w:rsidRPr="00DD2E89">
        <w:rPr>
          <w:rFonts w:ascii="Arial" w:hAnsi="Arial" w:cs="Arial"/>
          <w:b/>
          <w:bCs/>
          <w:kern w:val="2"/>
          <w14:ligatures w14:val="standardContextual"/>
        </w:rPr>
        <w:t>6</w:t>
      </w:r>
      <w:r w:rsidRPr="00DD2E89">
        <w:rPr>
          <w:rFonts w:ascii="Arial" w:hAnsi="Arial" w:cs="Arial"/>
          <w:b/>
          <w:bCs/>
          <w:kern w:val="2"/>
          <w14:ligatures w14:val="standardContextual"/>
        </w:rPr>
        <w:t xml:space="preserve">: Digital Finance and Financial Inclusion </w:t>
      </w:r>
      <w:commentRangeStart w:id="113"/>
      <w:proofErr w:type="spellStart"/>
      <w:r w:rsidRPr="00DD2E89">
        <w:rPr>
          <w:rFonts w:ascii="Arial" w:hAnsi="Arial" w:cs="Arial"/>
          <w:b/>
          <w:bCs/>
          <w:kern w:val="2"/>
          <w14:ligatures w14:val="standardContextual"/>
        </w:rPr>
        <w:t>Crosstabulation</w:t>
      </w:r>
      <w:bookmarkEnd w:id="112"/>
      <w:commentRangeEnd w:id="113"/>
      <w:proofErr w:type="spellEnd"/>
      <w:r w:rsidR="00171897">
        <w:rPr>
          <w:rStyle w:val="CommentReference"/>
        </w:rPr>
        <w:commentReference w:id="113"/>
      </w:r>
    </w:p>
    <w:tbl>
      <w:tblPr>
        <w:tblW w:w="9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5"/>
        <w:gridCol w:w="1974"/>
        <w:gridCol w:w="1607"/>
        <w:gridCol w:w="1468"/>
        <w:gridCol w:w="1468"/>
        <w:gridCol w:w="1024"/>
      </w:tblGrid>
      <w:tr w:rsidR="00BC65BB" w:rsidRPr="00DD2E89" w14:paraId="54B4B4FA" w14:textId="77777777" w:rsidTr="00EE3E39">
        <w:trPr>
          <w:cantSplit/>
        </w:trPr>
        <w:tc>
          <w:tcPr>
            <w:tcW w:w="9086" w:type="dxa"/>
            <w:gridSpan w:val="6"/>
            <w:tcBorders>
              <w:top w:val="nil"/>
              <w:left w:val="nil"/>
              <w:bottom w:val="nil"/>
              <w:right w:val="nil"/>
            </w:tcBorders>
            <w:shd w:val="clear" w:color="auto" w:fill="FFFFFF"/>
            <w:vAlign w:val="center"/>
          </w:tcPr>
          <w:p w14:paraId="6355268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b/>
                <w:bCs/>
                <w:kern w:val="2"/>
                <w:sz w:val="20"/>
                <w:szCs w:val="20"/>
                <w14:ligatures w14:val="standardContextual"/>
              </w:rPr>
              <w:t xml:space="preserve">Digital Finance * Financial Inclusion </w:t>
            </w:r>
            <w:commentRangeStart w:id="114"/>
            <w:proofErr w:type="spellStart"/>
            <w:r w:rsidRPr="00DD2E89">
              <w:rPr>
                <w:rFonts w:ascii="Arial" w:hAnsi="Arial" w:cs="Arial"/>
                <w:b/>
                <w:bCs/>
                <w:kern w:val="2"/>
                <w:sz w:val="20"/>
                <w:szCs w:val="20"/>
                <w14:ligatures w14:val="standardContextual"/>
              </w:rPr>
              <w:t>Crosstabulation</w:t>
            </w:r>
            <w:commentRangeEnd w:id="114"/>
            <w:proofErr w:type="spellEnd"/>
            <w:r w:rsidR="00171897">
              <w:rPr>
                <w:rStyle w:val="CommentReference"/>
              </w:rPr>
              <w:commentReference w:id="114"/>
            </w:r>
          </w:p>
        </w:tc>
      </w:tr>
      <w:tr w:rsidR="00BC65BB" w:rsidRPr="00DD2E89" w14:paraId="5568115F" w14:textId="77777777" w:rsidTr="00EE3E39">
        <w:trPr>
          <w:cantSplit/>
        </w:trPr>
        <w:tc>
          <w:tcPr>
            <w:tcW w:w="5126" w:type="dxa"/>
            <w:gridSpan w:val="3"/>
            <w:vMerge w:val="restart"/>
            <w:tcBorders>
              <w:top w:val="nil"/>
              <w:left w:val="nil"/>
              <w:bottom w:val="nil"/>
              <w:right w:val="nil"/>
            </w:tcBorders>
            <w:shd w:val="clear" w:color="auto" w:fill="FFFFFF"/>
            <w:vAlign w:val="bottom"/>
          </w:tcPr>
          <w:p w14:paraId="338FB12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2936" w:type="dxa"/>
            <w:gridSpan w:val="2"/>
            <w:tcBorders>
              <w:top w:val="nil"/>
              <w:left w:val="nil"/>
              <w:bottom w:val="nil"/>
              <w:right w:val="single" w:sz="8" w:space="0" w:color="E0E0E0"/>
            </w:tcBorders>
            <w:shd w:val="clear" w:color="auto" w:fill="FFFFFF"/>
            <w:vAlign w:val="bottom"/>
          </w:tcPr>
          <w:p w14:paraId="2A8B6F2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 Inclusion</w:t>
            </w:r>
          </w:p>
        </w:tc>
        <w:tc>
          <w:tcPr>
            <w:tcW w:w="1024" w:type="dxa"/>
            <w:vMerge w:val="restart"/>
            <w:tcBorders>
              <w:top w:val="nil"/>
              <w:left w:val="single" w:sz="8" w:space="0" w:color="E0E0E0"/>
              <w:bottom w:val="nil"/>
              <w:right w:val="nil"/>
            </w:tcBorders>
            <w:shd w:val="clear" w:color="auto" w:fill="FFFFFF"/>
            <w:vAlign w:val="bottom"/>
          </w:tcPr>
          <w:p w14:paraId="4233B9B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Total</w:t>
            </w:r>
          </w:p>
        </w:tc>
      </w:tr>
      <w:tr w:rsidR="00BC65BB" w:rsidRPr="00DD2E89" w14:paraId="688CCA36" w14:textId="77777777" w:rsidTr="00EE3E39">
        <w:trPr>
          <w:cantSplit/>
        </w:trPr>
        <w:tc>
          <w:tcPr>
            <w:tcW w:w="5126" w:type="dxa"/>
            <w:gridSpan w:val="3"/>
            <w:vMerge/>
            <w:tcBorders>
              <w:top w:val="nil"/>
              <w:left w:val="nil"/>
              <w:bottom w:val="nil"/>
              <w:right w:val="nil"/>
            </w:tcBorders>
            <w:shd w:val="clear" w:color="auto" w:fill="FFFFFF"/>
            <w:vAlign w:val="bottom"/>
          </w:tcPr>
          <w:p w14:paraId="146F415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468" w:type="dxa"/>
            <w:tcBorders>
              <w:top w:val="nil"/>
              <w:left w:val="nil"/>
              <w:bottom w:val="single" w:sz="8" w:space="0" w:color="152935"/>
              <w:right w:val="single" w:sz="8" w:space="0" w:color="E0E0E0"/>
            </w:tcBorders>
            <w:shd w:val="clear" w:color="auto" w:fill="FFFFFF"/>
            <w:vAlign w:val="bottom"/>
          </w:tcPr>
          <w:p w14:paraId="0B2A08D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Included</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66A2B57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Financially Excluded</w:t>
            </w:r>
          </w:p>
        </w:tc>
        <w:tc>
          <w:tcPr>
            <w:tcW w:w="1024" w:type="dxa"/>
            <w:vMerge/>
            <w:tcBorders>
              <w:top w:val="nil"/>
              <w:left w:val="single" w:sz="8" w:space="0" w:color="E0E0E0"/>
              <w:bottom w:val="nil"/>
              <w:right w:val="nil"/>
            </w:tcBorders>
            <w:shd w:val="clear" w:color="auto" w:fill="FFFFFF"/>
            <w:vAlign w:val="bottom"/>
          </w:tcPr>
          <w:p w14:paraId="0B1966E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r>
      <w:tr w:rsidR="00BC65BB" w:rsidRPr="00DD2E89" w14:paraId="33D0F888" w14:textId="77777777" w:rsidTr="00EE3E39">
        <w:trPr>
          <w:cantSplit/>
        </w:trPr>
        <w:tc>
          <w:tcPr>
            <w:tcW w:w="1545" w:type="dxa"/>
            <w:vMerge w:val="restart"/>
            <w:tcBorders>
              <w:top w:val="single" w:sz="8" w:space="0" w:color="152935"/>
              <w:left w:val="nil"/>
              <w:bottom w:val="nil"/>
              <w:right w:val="nil"/>
            </w:tcBorders>
            <w:shd w:val="clear" w:color="auto" w:fill="E0E0E0"/>
          </w:tcPr>
          <w:p w14:paraId="7C3658D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Digital Finance</w:t>
            </w:r>
          </w:p>
        </w:tc>
        <w:tc>
          <w:tcPr>
            <w:tcW w:w="1974" w:type="dxa"/>
            <w:vMerge w:val="restart"/>
            <w:tcBorders>
              <w:top w:val="single" w:sz="8" w:space="0" w:color="152935"/>
              <w:left w:val="nil"/>
              <w:bottom w:val="nil"/>
              <w:right w:val="nil"/>
            </w:tcBorders>
            <w:shd w:val="clear" w:color="auto" w:fill="E0E0E0"/>
          </w:tcPr>
          <w:p w14:paraId="4BFB77D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Adopted </w:t>
            </w:r>
            <w:proofErr w:type="spellStart"/>
            <w:r w:rsidRPr="00DD2E89">
              <w:rPr>
                <w:rFonts w:ascii="Arial" w:hAnsi="Arial" w:cs="Arial"/>
                <w:kern w:val="2"/>
                <w:sz w:val="20"/>
                <w:szCs w:val="20"/>
                <w14:ligatures w14:val="standardContextual"/>
              </w:rPr>
              <w:t>Fintech</w:t>
            </w:r>
            <w:proofErr w:type="spellEnd"/>
          </w:p>
        </w:tc>
        <w:tc>
          <w:tcPr>
            <w:tcW w:w="1607" w:type="dxa"/>
            <w:tcBorders>
              <w:top w:val="single" w:sz="8" w:space="0" w:color="152935"/>
              <w:left w:val="nil"/>
              <w:bottom w:val="single" w:sz="8" w:space="0" w:color="AEAEAE"/>
              <w:right w:val="nil"/>
            </w:tcBorders>
            <w:shd w:val="clear" w:color="auto" w:fill="E0E0E0"/>
          </w:tcPr>
          <w:p w14:paraId="09323D0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Count</w:t>
            </w:r>
          </w:p>
        </w:tc>
        <w:tc>
          <w:tcPr>
            <w:tcW w:w="1468" w:type="dxa"/>
            <w:tcBorders>
              <w:top w:val="single" w:sz="8" w:space="0" w:color="152935"/>
              <w:left w:val="nil"/>
              <w:bottom w:val="single" w:sz="8" w:space="0" w:color="AEAEAE"/>
              <w:right w:val="single" w:sz="8" w:space="0" w:color="E0E0E0"/>
            </w:tcBorders>
            <w:shd w:val="clear" w:color="auto" w:fill="FFFFFF"/>
          </w:tcPr>
          <w:p w14:paraId="675B933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300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3F2BEA9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229</w:t>
            </w:r>
          </w:p>
        </w:tc>
        <w:tc>
          <w:tcPr>
            <w:tcW w:w="1024" w:type="dxa"/>
            <w:tcBorders>
              <w:top w:val="single" w:sz="8" w:space="0" w:color="152935"/>
              <w:left w:val="single" w:sz="8" w:space="0" w:color="E0E0E0"/>
              <w:bottom w:val="single" w:sz="8" w:space="0" w:color="AEAEAE"/>
              <w:right w:val="nil"/>
            </w:tcBorders>
            <w:shd w:val="clear" w:color="auto" w:fill="FFFFFF"/>
          </w:tcPr>
          <w:p w14:paraId="12D295FE"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529</w:t>
            </w:r>
          </w:p>
        </w:tc>
      </w:tr>
      <w:tr w:rsidR="00BC65BB" w:rsidRPr="00DD2E89" w14:paraId="1F755C3A" w14:textId="77777777" w:rsidTr="00EE3E39">
        <w:trPr>
          <w:cantSplit/>
        </w:trPr>
        <w:tc>
          <w:tcPr>
            <w:tcW w:w="1545" w:type="dxa"/>
            <w:vMerge/>
            <w:tcBorders>
              <w:top w:val="single" w:sz="8" w:space="0" w:color="152935"/>
              <w:left w:val="nil"/>
              <w:bottom w:val="nil"/>
              <w:right w:val="nil"/>
            </w:tcBorders>
            <w:shd w:val="clear" w:color="auto" w:fill="E0E0E0"/>
          </w:tcPr>
          <w:p w14:paraId="72DB494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152935"/>
              <w:left w:val="nil"/>
              <w:bottom w:val="nil"/>
              <w:right w:val="nil"/>
            </w:tcBorders>
            <w:shd w:val="clear" w:color="auto" w:fill="E0E0E0"/>
          </w:tcPr>
          <w:p w14:paraId="61971AC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AEAEAE"/>
              <w:right w:val="nil"/>
            </w:tcBorders>
            <w:shd w:val="clear" w:color="auto" w:fill="E0E0E0"/>
          </w:tcPr>
          <w:p w14:paraId="7CEA68F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w:t>
            </w:r>
          </w:p>
        </w:tc>
        <w:tc>
          <w:tcPr>
            <w:tcW w:w="1468" w:type="dxa"/>
            <w:tcBorders>
              <w:top w:val="single" w:sz="8" w:space="0" w:color="AEAEAE"/>
              <w:left w:val="nil"/>
              <w:bottom w:val="single" w:sz="8" w:space="0" w:color="AEAEAE"/>
              <w:right w:val="single" w:sz="8" w:space="0" w:color="E0E0E0"/>
            </w:tcBorders>
            <w:shd w:val="clear" w:color="auto" w:fill="FFFFFF"/>
          </w:tcPr>
          <w:p w14:paraId="47C948B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205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FF823F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324</w:t>
            </w:r>
          </w:p>
        </w:tc>
        <w:tc>
          <w:tcPr>
            <w:tcW w:w="1024" w:type="dxa"/>
            <w:tcBorders>
              <w:top w:val="single" w:sz="8" w:space="0" w:color="AEAEAE"/>
              <w:left w:val="single" w:sz="8" w:space="0" w:color="E0E0E0"/>
              <w:bottom w:val="single" w:sz="8" w:space="0" w:color="AEAEAE"/>
              <w:right w:val="nil"/>
            </w:tcBorders>
            <w:shd w:val="clear" w:color="auto" w:fill="FFFFFF"/>
          </w:tcPr>
          <w:p w14:paraId="3D87D7F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529</w:t>
            </w:r>
          </w:p>
        </w:tc>
      </w:tr>
      <w:tr w:rsidR="00BC65BB" w:rsidRPr="00DD2E89" w14:paraId="304EDA7B" w14:textId="77777777" w:rsidTr="00EE3E39">
        <w:trPr>
          <w:cantSplit/>
        </w:trPr>
        <w:tc>
          <w:tcPr>
            <w:tcW w:w="1545" w:type="dxa"/>
            <w:vMerge/>
            <w:tcBorders>
              <w:top w:val="single" w:sz="8" w:space="0" w:color="152935"/>
              <w:left w:val="nil"/>
              <w:bottom w:val="nil"/>
              <w:right w:val="nil"/>
            </w:tcBorders>
            <w:shd w:val="clear" w:color="auto" w:fill="E0E0E0"/>
          </w:tcPr>
          <w:p w14:paraId="745FDEB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152935"/>
              <w:left w:val="nil"/>
              <w:bottom w:val="nil"/>
              <w:right w:val="nil"/>
            </w:tcBorders>
            <w:shd w:val="clear" w:color="auto" w:fill="E0E0E0"/>
          </w:tcPr>
          <w:p w14:paraId="1CEFA41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nil"/>
              <w:right w:val="nil"/>
            </w:tcBorders>
            <w:shd w:val="clear" w:color="auto" w:fill="E0E0E0"/>
          </w:tcPr>
          <w:p w14:paraId="3076D435"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of Total</w:t>
            </w:r>
          </w:p>
        </w:tc>
        <w:tc>
          <w:tcPr>
            <w:tcW w:w="1468" w:type="dxa"/>
            <w:tcBorders>
              <w:top w:val="single" w:sz="8" w:space="0" w:color="AEAEAE"/>
              <w:left w:val="nil"/>
              <w:bottom w:val="nil"/>
              <w:right w:val="single" w:sz="8" w:space="0" w:color="E0E0E0"/>
            </w:tcBorders>
            <w:shd w:val="clear" w:color="auto" w:fill="FFFFFF"/>
          </w:tcPr>
          <w:p w14:paraId="59B7C48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31.2%</w:t>
            </w:r>
          </w:p>
        </w:tc>
        <w:tc>
          <w:tcPr>
            <w:tcW w:w="1468" w:type="dxa"/>
            <w:tcBorders>
              <w:top w:val="single" w:sz="8" w:space="0" w:color="AEAEAE"/>
              <w:left w:val="single" w:sz="8" w:space="0" w:color="E0E0E0"/>
              <w:bottom w:val="nil"/>
              <w:right w:val="single" w:sz="8" w:space="0" w:color="E0E0E0"/>
            </w:tcBorders>
            <w:shd w:val="clear" w:color="auto" w:fill="FFFFFF"/>
          </w:tcPr>
          <w:p w14:paraId="79FB4F9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23.8%</w:t>
            </w:r>
          </w:p>
        </w:tc>
        <w:tc>
          <w:tcPr>
            <w:tcW w:w="1024" w:type="dxa"/>
            <w:tcBorders>
              <w:top w:val="single" w:sz="8" w:space="0" w:color="AEAEAE"/>
              <w:left w:val="single" w:sz="8" w:space="0" w:color="E0E0E0"/>
              <w:bottom w:val="nil"/>
              <w:right w:val="nil"/>
            </w:tcBorders>
            <w:shd w:val="clear" w:color="auto" w:fill="FFFFFF"/>
          </w:tcPr>
          <w:p w14:paraId="392A8C2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55.0%</w:t>
            </w:r>
          </w:p>
        </w:tc>
      </w:tr>
      <w:tr w:rsidR="00BC65BB" w:rsidRPr="00DD2E89" w14:paraId="2998BDA2" w14:textId="77777777" w:rsidTr="00EE3E39">
        <w:trPr>
          <w:cantSplit/>
        </w:trPr>
        <w:tc>
          <w:tcPr>
            <w:tcW w:w="1545" w:type="dxa"/>
            <w:vMerge/>
            <w:tcBorders>
              <w:top w:val="single" w:sz="8" w:space="0" w:color="152935"/>
              <w:left w:val="nil"/>
              <w:bottom w:val="nil"/>
              <w:right w:val="nil"/>
            </w:tcBorders>
            <w:shd w:val="clear" w:color="auto" w:fill="E0E0E0"/>
          </w:tcPr>
          <w:p w14:paraId="5C206A4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val="restart"/>
            <w:tcBorders>
              <w:top w:val="single" w:sz="8" w:space="0" w:color="AEAEAE"/>
              <w:left w:val="nil"/>
              <w:bottom w:val="nil"/>
              <w:right w:val="nil"/>
            </w:tcBorders>
            <w:shd w:val="clear" w:color="auto" w:fill="E0E0E0"/>
          </w:tcPr>
          <w:p w14:paraId="6299746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Not adopted </w:t>
            </w:r>
            <w:proofErr w:type="spellStart"/>
            <w:r w:rsidRPr="00DD2E89">
              <w:rPr>
                <w:rFonts w:ascii="Arial" w:hAnsi="Arial" w:cs="Arial"/>
                <w:kern w:val="2"/>
                <w:sz w:val="20"/>
                <w:szCs w:val="20"/>
                <w14:ligatures w14:val="standardContextual"/>
              </w:rPr>
              <w:t>Fintech</w:t>
            </w:r>
            <w:proofErr w:type="spellEnd"/>
          </w:p>
        </w:tc>
        <w:tc>
          <w:tcPr>
            <w:tcW w:w="1607" w:type="dxa"/>
            <w:tcBorders>
              <w:top w:val="single" w:sz="8" w:space="0" w:color="AEAEAE"/>
              <w:left w:val="nil"/>
              <w:bottom w:val="single" w:sz="8" w:space="0" w:color="AEAEAE"/>
              <w:right w:val="nil"/>
            </w:tcBorders>
            <w:shd w:val="clear" w:color="auto" w:fill="E0E0E0"/>
          </w:tcPr>
          <w:p w14:paraId="3413EBD0"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Count</w:t>
            </w:r>
          </w:p>
        </w:tc>
        <w:tc>
          <w:tcPr>
            <w:tcW w:w="1468" w:type="dxa"/>
            <w:tcBorders>
              <w:top w:val="single" w:sz="8" w:space="0" w:color="AEAEAE"/>
              <w:left w:val="nil"/>
              <w:bottom w:val="single" w:sz="8" w:space="0" w:color="AEAEAE"/>
              <w:right w:val="single" w:sz="8" w:space="0" w:color="E0E0E0"/>
            </w:tcBorders>
            <w:shd w:val="clear" w:color="auto" w:fill="FFFFFF"/>
          </w:tcPr>
          <w:p w14:paraId="7B4A543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D8DB10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359</w:t>
            </w:r>
          </w:p>
        </w:tc>
        <w:tc>
          <w:tcPr>
            <w:tcW w:w="1024" w:type="dxa"/>
            <w:tcBorders>
              <w:top w:val="single" w:sz="8" w:space="0" w:color="AEAEAE"/>
              <w:left w:val="single" w:sz="8" w:space="0" w:color="E0E0E0"/>
              <w:bottom w:val="single" w:sz="8" w:space="0" w:color="AEAEAE"/>
              <w:right w:val="nil"/>
            </w:tcBorders>
            <w:shd w:val="clear" w:color="auto" w:fill="FFFFFF"/>
          </w:tcPr>
          <w:p w14:paraId="6FCD148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432</w:t>
            </w:r>
          </w:p>
        </w:tc>
      </w:tr>
      <w:tr w:rsidR="00BC65BB" w:rsidRPr="00DD2E89" w14:paraId="2D275D6E" w14:textId="77777777" w:rsidTr="00EE3E39">
        <w:trPr>
          <w:cantSplit/>
        </w:trPr>
        <w:tc>
          <w:tcPr>
            <w:tcW w:w="1545" w:type="dxa"/>
            <w:vMerge/>
            <w:tcBorders>
              <w:top w:val="single" w:sz="8" w:space="0" w:color="152935"/>
              <w:left w:val="nil"/>
              <w:bottom w:val="nil"/>
              <w:right w:val="nil"/>
            </w:tcBorders>
            <w:shd w:val="clear" w:color="auto" w:fill="E0E0E0"/>
          </w:tcPr>
          <w:p w14:paraId="63AFB3C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AEAEAE"/>
              <w:left w:val="nil"/>
              <w:bottom w:val="nil"/>
              <w:right w:val="nil"/>
            </w:tcBorders>
            <w:shd w:val="clear" w:color="auto" w:fill="E0E0E0"/>
          </w:tcPr>
          <w:p w14:paraId="669202B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AEAEAE"/>
              <w:right w:val="nil"/>
            </w:tcBorders>
            <w:shd w:val="clear" w:color="auto" w:fill="E0E0E0"/>
          </w:tcPr>
          <w:p w14:paraId="0A7FCDC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w:t>
            </w:r>
          </w:p>
        </w:tc>
        <w:tc>
          <w:tcPr>
            <w:tcW w:w="1468" w:type="dxa"/>
            <w:tcBorders>
              <w:top w:val="single" w:sz="8" w:space="0" w:color="AEAEAE"/>
              <w:left w:val="nil"/>
              <w:bottom w:val="single" w:sz="8" w:space="0" w:color="AEAEAE"/>
              <w:right w:val="single" w:sz="8" w:space="0" w:color="E0E0E0"/>
            </w:tcBorders>
            <w:shd w:val="clear" w:color="auto" w:fill="FFFFFF"/>
          </w:tcPr>
          <w:p w14:paraId="6405F8D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168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428877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264</w:t>
            </w:r>
          </w:p>
        </w:tc>
        <w:tc>
          <w:tcPr>
            <w:tcW w:w="1024" w:type="dxa"/>
            <w:tcBorders>
              <w:top w:val="single" w:sz="8" w:space="0" w:color="AEAEAE"/>
              <w:left w:val="single" w:sz="8" w:space="0" w:color="E0E0E0"/>
              <w:bottom w:val="single" w:sz="8" w:space="0" w:color="AEAEAE"/>
              <w:right w:val="nil"/>
            </w:tcBorders>
            <w:shd w:val="clear" w:color="auto" w:fill="FFFFFF"/>
          </w:tcPr>
          <w:p w14:paraId="31E15930"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432.0</w:t>
            </w:r>
          </w:p>
        </w:tc>
      </w:tr>
      <w:tr w:rsidR="00BC65BB" w:rsidRPr="00DD2E89" w14:paraId="130D5128" w14:textId="77777777" w:rsidTr="00EE3E39">
        <w:trPr>
          <w:cantSplit/>
        </w:trPr>
        <w:tc>
          <w:tcPr>
            <w:tcW w:w="1545" w:type="dxa"/>
            <w:vMerge/>
            <w:tcBorders>
              <w:top w:val="single" w:sz="8" w:space="0" w:color="152935"/>
              <w:left w:val="nil"/>
              <w:bottom w:val="nil"/>
              <w:right w:val="nil"/>
            </w:tcBorders>
            <w:shd w:val="clear" w:color="auto" w:fill="E0E0E0"/>
          </w:tcPr>
          <w:p w14:paraId="5A381A6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974" w:type="dxa"/>
            <w:vMerge/>
            <w:tcBorders>
              <w:top w:val="single" w:sz="8" w:space="0" w:color="AEAEAE"/>
              <w:left w:val="nil"/>
              <w:bottom w:val="nil"/>
              <w:right w:val="nil"/>
            </w:tcBorders>
            <w:shd w:val="clear" w:color="auto" w:fill="E0E0E0"/>
          </w:tcPr>
          <w:p w14:paraId="3558D7C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nil"/>
              <w:right w:val="nil"/>
            </w:tcBorders>
            <w:shd w:val="clear" w:color="auto" w:fill="E0E0E0"/>
          </w:tcPr>
          <w:p w14:paraId="2C5AAD4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of Total</w:t>
            </w:r>
          </w:p>
        </w:tc>
        <w:tc>
          <w:tcPr>
            <w:tcW w:w="1468" w:type="dxa"/>
            <w:tcBorders>
              <w:top w:val="single" w:sz="8" w:space="0" w:color="AEAEAE"/>
              <w:left w:val="nil"/>
              <w:bottom w:val="nil"/>
              <w:right w:val="single" w:sz="8" w:space="0" w:color="E0E0E0"/>
            </w:tcBorders>
            <w:shd w:val="clear" w:color="auto" w:fill="FFFFFF"/>
          </w:tcPr>
          <w:p w14:paraId="2DB681A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7.6%</w:t>
            </w:r>
          </w:p>
        </w:tc>
        <w:tc>
          <w:tcPr>
            <w:tcW w:w="1468" w:type="dxa"/>
            <w:tcBorders>
              <w:top w:val="single" w:sz="8" w:space="0" w:color="AEAEAE"/>
              <w:left w:val="single" w:sz="8" w:space="0" w:color="E0E0E0"/>
              <w:bottom w:val="nil"/>
              <w:right w:val="single" w:sz="8" w:space="0" w:color="E0E0E0"/>
            </w:tcBorders>
            <w:shd w:val="clear" w:color="auto" w:fill="FFFFFF"/>
          </w:tcPr>
          <w:p w14:paraId="4D984C4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37.4%</w:t>
            </w:r>
          </w:p>
        </w:tc>
        <w:tc>
          <w:tcPr>
            <w:tcW w:w="1024" w:type="dxa"/>
            <w:tcBorders>
              <w:top w:val="single" w:sz="8" w:space="0" w:color="AEAEAE"/>
              <w:left w:val="single" w:sz="8" w:space="0" w:color="E0E0E0"/>
              <w:bottom w:val="nil"/>
              <w:right w:val="nil"/>
            </w:tcBorders>
            <w:shd w:val="clear" w:color="auto" w:fill="FFFFFF"/>
          </w:tcPr>
          <w:p w14:paraId="66B3994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45.0%</w:t>
            </w:r>
          </w:p>
        </w:tc>
      </w:tr>
      <w:tr w:rsidR="00BC65BB" w:rsidRPr="00DD2E89" w14:paraId="338367B8" w14:textId="77777777" w:rsidTr="00EE3E39">
        <w:trPr>
          <w:cantSplit/>
        </w:trPr>
        <w:tc>
          <w:tcPr>
            <w:tcW w:w="3519" w:type="dxa"/>
            <w:gridSpan w:val="2"/>
            <w:vMerge w:val="restart"/>
            <w:tcBorders>
              <w:top w:val="single" w:sz="8" w:space="0" w:color="AEAEAE"/>
              <w:left w:val="nil"/>
              <w:bottom w:val="single" w:sz="8" w:space="0" w:color="152935"/>
              <w:right w:val="nil"/>
            </w:tcBorders>
            <w:shd w:val="clear" w:color="auto" w:fill="E0E0E0"/>
          </w:tcPr>
          <w:p w14:paraId="00EF1CC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Total</w:t>
            </w:r>
          </w:p>
        </w:tc>
        <w:tc>
          <w:tcPr>
            <w:tcW w:w="1607" w:type="dxa"/>
            <w:tcBorders>
              <w:top w:val="single" w:sz="8" w:space="0" w:color="AEAEAE"/>
              <w:left w:val="nil"/>
              <w:bottom w:val="single" w:sz="8" w:space="0" w:color="AEAEAE"/>
              <w:right w:val="nil"/>
            </w:tcBorders>
            <w:shd w:val="clear" w:color="auto" w:fill="E0E0E0"/>
          </w:tcPr>
          <w:p w14:paraId="702F254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Count</w:t>
            </w:r>
          </w:p>
        </w:tc>
        <w:tc>
          <w:tcPr>
            <w:tcW w:w="1468" w:type="dxa"/>
            <w:tcBorders>
              <w:top w:val="single" w:sz="8" w:space="0" w:color="AEAEAE"/>
              <w:left w:val="nil"/>
              <w:bottom w:val="single" w:sz="8" w:space="0" w:color="AEAEAE"/>
              <w:right w:val="single" w:sz="8" w:space="0" w:color="E0E0E0"/>
            </w:tcBorders>
            <w:shd w:val="clear" w:color="auto" w:fill="FFFFFF"/>
          </w:tcPr>
          <w:p w14:paraId="5BB5F6B9"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EC70C2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588</w:t>
            </w:r>
          </w:p>
        </w:tc>
        <w:tc>
          <w:tcPr>
            <w:tcW w:w="1024" w:type="dxa"/>
            <w:tcBorders>
              <w:top w:val="single" w:sz="8" w:space="0" w:color="AEAEAE"/>
              <w:left w:val="single" w:sz="8" w:space="0" w:color="E0E0E0"/>
              <w:bottom w:val="single" w:sz="8" w:space="0" w:color="AEAEAE"/>
              <w:right w:val="nil"/>
            </w:tcBorders>
            <w:shd w:val="clear" w:color="auto" w:fill="FFFFFF"/>
          </w:tcPr>
          <w:p w14:paraId="652ABC37"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w:t>
            </w:r>
          </w:p>
        </w:tc>
      </w:tr>
      <w:tr w:rsidR="00BC65BB" w:rsidRPr="00DD2E89" w14:paraId="29136FF0" w14:textId="77777777" w:rsidTr="00EE3E39">
        <w:trPr>
          <w:cantSplit/>
        </w:trPr>
        <w:tc>
          <w:tcPr>
            <w:tcW w:w="3519" w:type="dxa"/>
            <w:gridSpan w:val="2"/>
            <w:vMerge/>
            <w:tcBorders>
              <w:top w:val="single" w:sz="8" w:space="0" w:color="AEAEAE"/>
              <w:left w:val="nil"/>
              <w:bottom w:val="single" w:sz="8" w:space="0" w:color="152935"/>
              <w:right w:val="nil"/>
            </w:tcBorders>
            <w:shd w:val="clear" w:color="auto" w:fill="E0E0E0"/>
          </w:tcPr>
          <w:p w14:paraId="532EBA3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AEAEAE"/>
              <w:right w:val="nil"/>
            </w:tcBorders>
            <w:shd w:val="clear" w:color="auto" w:fill="E0E0E0"/>
          </w:tcPr>
          <w:p w14:paraId="42AB791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Expected Count</w:t>
            </w:r>
          </w:p>
        </w:tc>
        <w:tc>
          <w:tcPr>
            <w:tcW w:w="1468" w:type="dxa"/>
            <w:tcBorders>
              <w:top w:val="single" w:sz="8" w:space="0" w:color="AEAEAE"/>
              <w:left w:val="nil"/>
              <w:bottom w:val="single" w:sz="8" w:space="0" w:color="AEAEAE"/>
              <w:right w:val="single" w:sz="8" w:space="0" w:color="E0E0E0"/>
            </w:tcBorders>
            <w:shd w:val="clear" w:color="auto" w:fill="FFFFFF"/>
          </w:tcPr>
          <w:p w14:paraId="4750893F"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7AE0A5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588</w:t>
            </w:r>
          </w:p>
        </w:tc>
        <w:tc>
          <w:tcPr>
            <w:tcW w:w="1024" w:type="dxa"/>
            <w:tcBorders>
              <w:top w:val="single" w:sz="8" w:space="0" w:color="AEAEAE"/>
              <w:left w:val="single" w:sz="8" w:space="0" w:color="E0E0E0"/>
              <w:bottom w:val="single" w:sz="8" w:space="0" w:color="AEAEAE"/>
              <w:right w:val="nil"/>
            </w:tcBorders>
            <w:shd w:val="clear" w:color="auto" w:fill="FFFFFF"/>
          </w:tcPr>
          <w:p w14:paraId="6ACF2D8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961.0</w:t>
            </w:r>
          </w:p>
        </w:tc>
      </w:tr>
      <w:tr w:rsidR="00BC65BB" w:rsidRPr="00DD2E89" w14:paraId="71E0BA2B" w14:textId="77777777" w:rsidTr="00EE3E39">
        <w:trPr>
          <w:cantSplit/>
        </w:trPr>
        <w:tc>
          <w:tcPr>
            <w:tcW w:w="3519" w:type="dxa"/>
            <w:gridSpan w:val="2"/>
            <w:vMerge/>
            <w:tcBorders>
              <w:top w:val="single" w:sz="8" w:space="0" w:color="AEAEAE"/>
              <w:left w:val="nil"/>
              <w:bottom w:val="single" w:sz="8" w:space="0" w:color="152935"/>
              <w:right w:val="nil"/>
            </w:tcBorders>
            <w:shd w:val="clear" w:color="auto" w:fill="E0E0E0"/>
          </w:tcPr>
          <w:p w14:paraId="69BA0B7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
        </w:tc>
        <w:tc>
          <w:tcPr>
            <w:tcW w:w="1607" w:type="dxa"/>
            <w:tcBorders>
              <w:top w:val="single" w:sz="8" w:space="0" w:color="AEAEAE"/>
              <w:left w:val="nil"/>
              <w:bottom w:val="single" w:sz="8" w:space="0" w:color="152935"/>
              <w:right w:val="nil"/>
            </w:tcBorders>
            <w:shd w:val="clear" w:color="auto" w:fill="E0E0E0"/>
          </w:tcPr>
          <w:p w14:paraId="21561CA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of Total</w:t>
            </w:r>
          </w:p>
        </w:tc>
        <w:tc>
          <w:tcPr>
            <w:tcW w:w="1468" w:type="dxa"/>
            <w:tcBorders>
              <w:top w:val="single" w:sz="8" w:space="0" w:color="AEAEAE"/>
              <w:left w:val="nil"/>
              <w:bottom w:val="single" w:sz="8" w:space="0" w:color="152935"/>
              <w:right w:val="single" w:sz="8" w:space="0" w:color="E0E0E0"/>
            </w:tcBorders>
            <w:shd w:val="clear" w:color="auto" w:fill="FFFFFF"/>
          </w:tcPr>
          <w:p w14:paraId="7F95553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38.8%</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EF3A53B"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61.2%</w:t>
            </w:r>
          </w:p>
        </w:tc>
        <w:tc>
          <w:tcPr>
            <w:tcW w:w="1024" w:type="dxa"/>
            <w:tcBorders>
              <w:top w:val="single" w:sz="8" w:space="0" w:color="AEAEAE"/>
              <w:left w:val="single" w:sz="8" w:space="0" w:color="E0E0E0"/>
              <w:bottom w:val="single" w:sz="8" w:space="0" w:color="152935"/>
              <w:right w:val="nil"/>
            </w:tcBorders>
            <w:shd w:val="clear" w:color="auto" w:fill="FFFFFF"/>
          </w:tcPr>
          <w:p w14:paraId="0416986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commentRangeStart w:id="115"/>
            <w:r w:rsidRPr="00DD2E89">
              <w:rPr>
                <w:rFonts w:ascii="Arial" w:hAnsi="Arial" w:cs="Arial"/>
                <w:kern w:val="2"/>
                <w:sz w:val="20"/>
                <w:szCs w:val="20"/>
                <w14:ligatures w14:val="standardContextual"/>
              </w:rPr>
              <w:t>100</w:t>
            </w:r>
            <w:commentRangeEnd w:id="115"/>
            <w:r w:rsidR="00171897">
              <w:rPr>
                <w:rStyle w:val="CommentReference"/>
              </w:rPr>
              <w:commentReference w:id="115"/>
            </w:r>
            <w:r w:rsidRPr="00DD2E89">
              <w:rPr>
                <w:rFonts w:ascii="Arial" w:hAnsi="Arial" w:cs="Arial"/>
                <w:kern w:val="2"/>
                <w:sz w:val="20"/>
                <w:szCs w:val="20"/>
                <w14:ligatures w14:val="standardContextual"/>
              </w:rPr>
              <w:t>.0%</w:t>
            </w:r>
          </w:p>
        </w:tc>
      </w:tr>
    </w:tbl>
    <w:p w14:paraId="55530A44" w14:textId="19A9DAA7" w:rsidR="00BC65BB" w:rsidRPr="00DD2E89" w:rsidRDefault="00BC65BB" w:rsidP="00070141">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lastRenderedPageBreak/>
        <w:t xml:space="preserve">The </w:t>
      </w:r>
      <w:proofErr w:type="spellStart"/>
      <w:r w:rsidRPr="00DD2E89">
        <w:rPr>
          <w:rFonts w:ascii="Arial" w:hAnsi="Arial" w:cs="Arial"/>
          <w:kern w:val="2"/>
          <w:sz w:val="20"/>
          <w:szCs w:val="20"/>
          <w14:ligatures w14:val="standardContextual"/>
        </w:rPr>
        <w:t>c</w:t>
      </w:r>
      <w:commentRangeStart w:id="116"/>
      <w:r w:rsidRPr="00DD2E89">
        <w:rPr>
          <w:rFonts w:ascii="Arial" w:hAnsi="Arial" w:cs="Arial"/>
          <w:kern w:val="2"/>
          <w:sz w:val="20"/>
          <w:szCs w:val="20"/>
          <w14:ligatures w14:val="standardContextual"/>
        </w:rPr>
        <w:t>rosstabulation</w:t>
      </w:r>
      <w:proofErr w:type="spellEnd"/>
      <w:r w:rsidRPr="00DD2E89">
        <w:rPr>
          <w:rFonts w:ascii="Arial" w:hAnsi="Arial" w:cs="Arial"/>
          <w:kern w:val="2"/>
          <w:sz w:val="20"/>
          <w:szCs w:val="20"/>
          <w14:ligatures w14:val="standardContextual"/>
        </w:rPr>
        <w:t xml:space="preserve"> </w:t>
      </w:r>
      <w:commentRangeEnd w:id="116"/>
      <w:r w:rsidR="00171897">
        <w:rPr>
          <w:rStyle w:val="CommentReference"/>
        </w:rPr>
        <w:commentReference w:id="116"/>
      </w:r>
      <w:r w:rsidRPr="00DD2E89">
        <w:rPr>
          <w:rFonts w:ascii="Arial" w:hAnsi="Arial" w:cs="Arial"/>
          <w:kern w:val="2"/>
          <w:sz w:val="20"/>
          <w:szCs w:val="20"/>
          <w14:ligatures w14:val="standardContextual"/>
        </w:rPr>
        <w:t xml:space="preserve">as shown in table </w:t>
      </w:r>
      <w:r w:rsidR="00C51292" w:rsidRPr="00DD2E89">
        <w:rPr>
          <w:rFonts w:ascii="Arial" w:hAnsi="Arial" w:cs="Arial"/>
          <w:kern w:val="2"/>
          <w:sz w:val="20"/>
          <w:szCs w:val="20"/>
          <w14:ligatures w14:val="standardContextual"/>
        </w:rPr>
        <w:t>6</w:t>
      </w:r>
      <w:r w:rsidRPr="00DD2E89">
        <w:rPr>
          <w:rFonts w:ascii="Arial" w:hAnsi="Arial" w:cs="Arial"/>
          <w:kern w:val="2"/>
          <w:sz w:val="20"/>
          <w:szCs w:val="20"/>
          <w14:ligatures w14:val="standardContextual"/>
        </w:rPr>
        <w:t xml:space="preserve"> reveal both the observed and the expected counts of rural women in regards to digital finance and financial inclusion. The table reveals that the expected count of rural women who have adopted </w:t>
      </w:r>
      <w:proofErr w:type="spellStart"/>
      <w:r w:rsidRPr="00DD2E89">
        <w:rPr>
          <w:rFonts w:ascii="Arial" w:hAnsi="Arial" w:cs="Arial"/>
          <w:kern w:val="2"/>
          <w:sz w:val="20"/>
          <w:szCs w:val="20"/>
          <w14:ligatures w14:val="standardContextual"/>
        </w:rPr>
        <w:t>fintech</w:t>
      </w:r>
      <w:proofErr w:type="spellEnd"/>
      <w:r w:rsidRPr="00DD2E89">
        <w:rPr>
          <w:rFonts w:ascii="Arial" w:hAnsi="Arial" w:cs="Arial"/>
          <w:kern w:val="2"/>
          <w:sz w:val="20"/>
          <w:szCs w:val="20"/>
          <w14:ligatures w14:val="standardContextual"/>
        </w:rPr>
        <w:t xml:space="preserve"> and are financially included is 205 while those financially excluded yet they have adopted </w:t>
      </w:r>
      <w:proofErr w:type="spellStart"/>
      <w:r w:rsidRPr="00DD2E89">
        <w:rPr>
          <w:rFonts w:ascii="Arial" w:hAnsi="Arial" w:cs="Arial"/>
          <w:kern w:val="2"/>
          <w:sz w:val="20"/>
          <w:szCs w:val="20"/>
          <w14:ligatures w14:val="standardContextual"/>
        </w:rPr>
        <w:t>fintech</w:t>
      </w:r>
      <w:proofErr w:type="spellEnd"/>
      <w:r w:rsidRPr="00DD2E89">
        <w:rPr>
          <w:rFonts w:ascii="Arial" w:hAnsi="Arial" w:cs="Arial"/>
          <w:kern w:val="2"/>
          <w:sz w:val="20"/>
          <w:szCs w:val="20"/>
          <w14:ligatures w14:val="standardContextual"/>
        </w:rPr>
        <w:t xml:space="preserve"> is 324. For those that have not adopted </w:t>
      </w:r>
      <w:proofErr w:type="spellStart"/>
      <w:r w:rsidRPr="00DD2E89">
        <w:rPr>
          <w:rFonts w:ascii="Arial" w:hAnsi="Arial" w:cs="Arial"/>
          <w:kern w:val="2"/>
          <w:sz w:val="20"/>
          <w:szCs w:val="20"/>
          <w14:ligatures w14:val="standardContextual"/>
        </w:rPr>
        <w:t>fintech</w:t>
      </w:r>
      <w:proofErr w:type="spellEnd"/>
      <w:r w:rsidRPr="00DD2E89">
        <w:rPr>
          <w:rFonts w:ascii="Arial" w:hAnsi="Arial" w:cs="Arial"/>
          <w:kern w:val="2"/>
          <w:sz w:val="20"/>
          <w:szCs w:val="20"/>
          <w14:ligatures w14:val="standardContextual"/>
        </w:rPr>
        <w:t xml:space="preserve"> yet are financially included are 168 while those that have not adopted </w:t>
      </w:r>
      <w:proofErr w:type="spellStart"/>
      <w:r w:rsidRPr="00DD2E89">
        <w:rPr>
          <w:rFonts w:ascii="Arial" w:hAnsi="Arial" w:cs="Arial"/>
          <w:kern w:val="2"/>
          <w:sz w:val="20"/>
          <w:szCs w:val="20"/>
          <w14:ligatures w14:val="standardContextual"/>
        </w:rPr>
        <w:t>fintech</w:t>
      </w:r>
      <w:proofErr w:type="spellEnd"/>
      <w:r w:rsidRPr="00DD2E89">
        <w:rPr>
          <w:rFonts w:ascii="Arial" w:hAnsi="Arial" w:cs="Arial"/>
          <w:kern w:val="2"/>
          <w:sz w:val="20"/>
          <w:szCs w:val="20"/>
          <w14:ligatures w14:val="standardContextual"/>
        </w:rPr>
        <w:t xml:space="preserve"> and are financially excluded, the expected count is 264. </w:t>
      </w:r>
    </w:p>
    <w:p w14:paraId="6DBDBC4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Therefore, the study notes that the observed frequencies consistently deviate from the expected frequencies, strongly suggesting that digital finance adoption and financial inclusion are not independent. It shows that there is an association between adoption of digital finance among rural women in Kenya and their financial inclusion. </w:t>
      </w:r>
    </w:p>
    <w:p w14:paraId="22ECC703"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3: The study determined the degrees of Freedom</w:t>
      </w:r>
    </w:p>
    <w:p w14:paraId="709B820C" w14:textId="77777777" w:rsidR="00BC65BB" w:rsidRPr="00DD2E89" w:rsidRDefault="00BC65BB" w:rsidP="003628B7">
      <w:pPr>
        <w:spacing w:after="160" w:line="240" w:lineRule="auto"/>
        <w:jc w:val="both"/>
        <w:rPr>
          <w:rFonts w:ascii="Arial" w:hAnsi="Arial" w:cs="Arial"/>
          <w:kern w:val="2"/>
          <w:sz w:val="20"/>
          <w:szCs w:val="20"/>
          <w14:ligatures w14:val="standardContextual"/>
        </w:rPr>
      </w:pPr>
      <w:proofErr w:type="spellStart"/>
      <w:proofErr w:type="gramStart"/>
      <w:r w:rsidRPr="00DD2E89">
        <w:rPr>
          <w:rFonts w:ascii="Arial" w:hAnsi="Arial" w:cs="Arial"/>
          <w:kern w:val="2"/>
          <w:sz w:val="20"/>
          <w:szCs w:val="20"/>
          <w14:ligatures w14:val="standardContextual"/>
        </w:rPr>
        <w:t>df</w:t>
      </w:r>
      <w:proofErr w:type="spellEnd"/>
      <w:proofErr w:type="gramEnd"/>
      <w:r w:rsidRPr="00DD2E89">
        <w:rPr>
          <w:rFonts w:ascii="Arial" w:hAnsi="Arial" w:cs="Arial"/>
          <w:kern w:val="2"/>
          <w:sz w:val="20"/>
          <w:szCs w:val="20"/>
          <w14:ligatures w14:val="standardContextual"/>
        </w:rPr>
        <w:t xml:space="preserve"> = (R - 1) * (C - 1) In this case, </w:t>
      </w:r>
      <w:proofErr w:type="spellStart"/>
      <w:r w:rsidRPr="00DD2E89">
        <w:rPr>
          <w:rFonts w:ascii="Arial" w:hAnsi="Arial" w:cs="Arial"/>
          <w:kern w:val="2"/>
          <w:sz w:val="20"/>
          <w:szCs w:val="20"/>
          <w14:ligatures w14:val="standardContextual"/>
        </w:rPr>
        <w:t>df</w:t>
      </w:r>
      <w:proofErr w:type="spellEnd"/>
      <w:r w:rsidRPr="00DD2E89">
        <w:rPr>
          <w:rFonts w:ascii="Arial" w:hAnsi="Arial" w:cs="Arial"/>
          <w:kern w:val="2"/>
          <w:sz w:val="20"/>
          <w:szCs w:val="20"/>
          <w14:ligatures w14:val="standardContextual"/>
        </w:rPr>
        <w:t xml:space="preserve"> = (2 - 1) * (2 - 1) = 1.</w:t>
      </w:r>
    </w:p>
    <w:p w14:paraId="18D8FCE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4: The study then computed the Chi- square statistic using this formula;</w:t>
      </w:r>
    </w:p>
    <w:p w14:paraId="576AC4D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χ</w:t>
      </w:r>
      <w:r w:rsidRPr="00DD2E89">
        <w:rPr>
          <w:rFonts w:ascii="Arial" w:hAnsi="Arial" w:cs="Arial"/>
          <w:kern w:val="2"/>
          <w:sz w:val="20"/>
          <w:szCs w:val="20"/>
          <w:vertAlign w:val="superscript"/>
          <w14:ligatures w14:val="standardContextual"/>
        </w:rPr>
        <w:t>2</w:t>
      </w:r>
      <w:r w:rsidRPr="00DD2E89">
        <w:rPr>
          <w:rFonts w:ascii="Arial" w:hAnsi="Arial" w:cs="Arial"/>
          <w:kern w:val="2"/>
          <w:sz w:val="20"/>
          <w:szCs w:val="20"/>
          <w14:ligatures w14:val="standardContextual"/>
        </w:rPr>
        <w:t> = ∑ (Observed value – Expected value</w:t>
      </w:r>
      <w:proofErr w:type="gramStart"/>
      <w:r w:rsidRPr="00DD2E89">
        <w:rPr>
          <w:rFonts w:ascii="Arial" w:hAnsi="Arial" w:cs="Arial"/>
          <w:kern w:val="2"/>
          <w:sz w:val="20"/>
          <w:szCs w:val="20"/>
          <w14:ligatures w14:val="standardContextual"/>
        </w:rPr>
        <w:t>)</w:t>
      </w:r>
      <w:r w:rsidRPr="00DD2E89">
        <w:rPr>
          <w:rFonts w:ascii="Arial" w:hAnsi="Arial" w:cs="Arial"/>
          <w:kern w:val="2"/>
          <w:sz w:val="20"/>
          <w:szCs w:val="20"/>
          <w:vertAlign w:val="superscript"/>
          <w14:ligatures w14:val="standardContextual"/>
        </w:rPr>
        <w:t>2</w:t>
      </w:r>
      <w:proofErr w:type="gramEnd"/>
      <w:r w:rsidRPr="00DD2E89">
        <w:rPr>
          <w:rFonts w:ascii="Arial" w:hAnsi="Arial" w:cs="Arial"/>
          <w:kern w:val="2"/>
          <w:sz w:val="20"/>
          <w:szCs w:val="20"/>
          <w14:ligatures w14:val="standardContextual"/>
        </w:rPr>
        <w:t>/Expected value</w:t>
      </w:r>
    </w:p>
    <w:p w14:paraId="360D67C8" w14:textId="0BC0670E" w:rsidR="00BC65BB" w:rsidRPr="00DD2E89" w:rsidRDefault="00BC65BB" w:rsidP="003628B7">
      <w:pPr>
        <w:spacing w:after="160" w:line="240" w:lineRule="auto"/>
        <w:jc w:val="both"/>
        <w:rPr>
          <w:rFonts w:ascii="Arial" w:hAnsi="Arial" w:cs="Arial"/>
          <w:iCs/>
          <w:kern w:val="2"/>
          <w:sz w:val="20"/>
          <w:szCs w:val="20"/>
          <w14:ligatures w14:val="standardContextual"/>
        </w:rPr>
      </w:pPr>
      <w:r w:rsidRPr="00DD2E89">
        <w:rPr>
          <w:rFonts w:ascii="Arial" w:hAnsi="Arial" w:cs="Arial"/>
          <w:kern w:val="2"/>
          <w:sz w:val="20"/>
          <w:szCs w:val="20"/>
          <w14:ligatures w14:val="standardContextual"/>
        </w:rPr>
        <w:t xml:space="preserve">χ² = </w:t>
      </w:r>
      <m:oMath>
        <m:r>
          <m:rPr>
            <m:sty m:val="p"/>
          </m:rPr>
          <w:rPr>
            <w:rFonts w:ascii="Cambria Math" w:hAnsi="Cambria Math" w:cs="Arial"/>
            <w:kern w:val="2"/>
            <w:sz w:val="20"/>
            <w:szCs w:val="20"/>
            <w14:ligatures w14:val="standardContextual"/>
          </w:rPr>
          <m:t>(300-205)²/205</m:t>
        </m:r>
      </m:oMath>
      <w:r w:rsidRPr="00DD2E89">
        <w:rPr>
          <w:rFonts w:ascii="Arial" w:hAnsi="Arial" w:cs="Arial"/>
          <w:iCs/>
          <w:kern w:val="2"/>
          <w:sz w:val="20"/>
          <w:szCs w:val="20"/>
          <w14:ligatures w14:val="standardContextual"/>
        </w:rPr>
        <w:t xml:space="preserve"> + </w:t>
      </w:r>
      <m:oMath>
        <m:r>
          <m:rPr>
            <m:sty m:val="p"/>
          </m:rPr>
          <w:rPr>
            <w:rFonts w:ascii="Cambria Math" w:hAnsi="Cambria Math" w:cs="Arial"/>
            <w:kern w:val="2"/>
            <w:sz w:val="20"/>
            <w:szCs w:val="20"/>
            <w14:ligatures w14:val="standardContextual"/>
          </w:rPr>
          <m:t>(229-324)²/324</m:t>
        </m:r>
      </m:oMath>
      <w:r w:rsidRPr="00DD2E89">
        <w:rPr>
          <w:rFonts w:ascii="Arial" w:hAnsi="Arial" w:cs="Arial"/>
          <w:iCs/>
          <w:kern w:val="2"/>
          <w:sz w:val="20"/>
          <w:szCs w:val="20"/>
          <w14:ligatures w14:val="standardContextual"/>
        </w:rPr>
        <w:t xml:space="preserve"> + </w:t>
      </w:r>
      <m:oMath>
        <m:r>
          <m:rPr>
            <m:sty m:val="p"/>
          </m:rPr>
          <w:rPr>
            <w:rFonts w:ascii="Cambria Math" w:hAnsi="Cambria Math" w:cs="Arial"/>
            <w:kern w:val="2"/>
            <w:sz w:val="20"/>
            <w:szCs w:val="20"/>
            <w14:ligatures w14:val="standardContextual"/>
          </w:rPr>
          <m:t>(73-168)²/168</m:t>
        </m:r>
      </m:oMath>
      <w:r w:rsidRPr="00DD2E89">
        <w:rPr>
          <w:rFonts w:ascii="Arial" w:hAnsi="Arial" w:cs="Arial"/>
          <w:iCs/>
          <w:kern w:val="2"/>
          <w:sz w:val="20"/>
          <w:szCs w:val="20"/>
          <w14:ligatures w14:val="standardContextual"/>
        </w:rPr>
        <w:t xml:space="preserve"> + </w:t>
      </w:r>
      <m:oMath>
        <m:r>
          <m:rPr>
            <m:sty m:val="p"/>
          </m:rPr>
          <w:rPr>
            <w:rFonts w:ascii="Cambria Math" w:hAnsi="Cambria Math" w:cs="Arial"/>
            <w:kern w:val="2"/>
            <w:sz w:val="20"/>
            <w:szCs w:val="20"/>
            <w14:ligatures w14:val="standardContextual"/>
          </w:rPr>
          <m:t>(359-264)²/264</m:t>
        </m:r>
      </m:oMath>
      <w:r w:rsidRPr="00DD2E89">
        <w:rPr>
          <w:rFonts w:ascii="Arial" w:hAnsi="Arial" w:cs="Arial"/>
          <w:iCs/>
          <w:kern w:val="2"/>
          <w:sz w:val="20"/>
          <w:szCs w:val="20"/>
          <w14:ligatures w14:val="standardContextual"/>
        </w:rPr>
        <w:t xml:space="preserve"> </w:t>
      </w:r>
    </w:p>
    <w:p w14:paraId="3B53460A"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χ² = 44.02 + 27.85 + 53.72 + 34.18</w:t>
      </w:r>
    </w:p>
    <w:p w14:paraId="04B2B412"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χ² = 159.77</w:t>
      </w:r>
    </w:p>
    <w:p w14:paraId="56B2C020" w14:textId="44749052"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Step 5: The study used SPSS software to make a decision on whether the chi – square value was statistically significant. The results are presented in Table </w:t>
      </w:r>
      <w:r w:rsidR="00C51292" w:rsidRPr="00DD2E89">
        <w:rPr>
          <w:rFonts w:ascii="Arial" w:hAnsi="Arial" w:cs="Arial"/>
          <w:kern w:val="2"/>
          <w:sz w:val="20"/>
          <w:szCs w:val="20"/>
          <w14:ligatures w14:val="standardContextual"/>
        </w:rPr>
        <w:t>7</w:t>
      </w:r>
      <w:r w:rsidRPr="00DD2E89">
        <w:rPr>
          <w:rFonts w:ascii="Arial" w:hAnsi="Arial" w:cs="Arial"/>
          <w:kern w:val="2"/>
          <w:sz w:val="20"/>
          <w:szCs w:val="20"/>
          <w14:ligatures w14:val="standardContextual"/>
        </w:rPr>
        <w:t>.</w:t>
      </w:r>
    </w:p>
    <w:p w14:paraId="58078472" w14:textId="6A7C0E1C" w:rsidR="00BC65BB" w:rsidRPr="00DD2E89" w:rsidRDefault="00BC65BB" w:rsidP="003628B7">
      <w:pPr>
        <w:spacing w:after="160" w:line="240" w:lineRule="auto"/>
        <w:jc w:val="both"/>
        <w:rPr>
          <w:rFonts w:ascii="Arial" w:hAnsi="Arial" w:cs="Arial"/>
          <w:b/>
          <w:bCs/>
          <w:kern w:val="2"/>
          <w14:ligatures w14:val="standardContextual"/>
        </w:rPr>
      </w:pPr>
      <w:bookmarkStart w:id="117" w:name="_Toc204561265"/>
      <w:r w:rsidRPr="00DD2E89">
        <w:rPr>
          <w:rFonts w:ascii="Arial" w:hAnsi="Arial" w:cs="Arial"/>
          <w:b/>
          <w:bCs/>
          <w:kern w:val="2"/>
          <w14:ligatures w14:val="standardContextual"/>
        </w:rPr>
        <w:t xml:space="preserve">Table </w:t>
      </w:r>
      <w:r w:rsidR="00C51292" w:rsidRPr="00DD2E89">
        <w:rPr>
          <w:rFonts w:ascii="Arial" w:hAnsi="Arial" w:cs="Arial"/>
          <w:b/>
          <w:bCs/>
          <w:kern w:val="2"/>
          <w14:ligatures w14:val="standardContextual"/>
        </w:rPr>
        <w:t>7</w:t>
      </w:r>
      <w:r w:rsidRPr="00DD2E89">
        <w:rPr>
          <w:rFonts w:ascii="Arial" w:hAnsi="Arial" w:cs="Arial"/>
          <w:b/>
          <w:bCs/>
          <w:kern w:val="2"/>
          <w14:ligatures w14:val="standardContextual"/>
        </w:rPr>
        <w:t>: Chi-Square Test Results for Digital Finance and Financial Inclusion</w:t>
      </w:r>
      <w:bookmarkEnd w:id="117"/>
      <w:r w:rsidRPr="00DD2E89">
        <w:rPr>
          <w:rFonts w:ascii="Arial" w:hAnsi="Arial" w:cs="Arial"/>
          <w:b/>
          <w:bCs/>
          <w:kern w:val="2"/>
          <w14:ligatures w14:val="standardContextual"/>
        </w:rPr>
        <w:t xml:space="preserve"> </w:t>
      </w:r>
    </w:p>
    <w:tbl>
      <w:tblPr>
        <w:tblW w:w="8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71"/>
        <w:gridCol w:w="1024"/>
        <w:gridCol w:w="1468"/>
        <w:gridCol w:w="1468"/>
        <w:gridCol w:w="1468"/>
      </w:tblGrid>
      <w:tr w:rsidR="00BC65BB" w:rsidRPr="00DD2E89" w14:paraId="0F23CB42" w14:textId="77777777" w:rsidTr="00EE3E39">
        <w:trPr>
          <w:cantSplit/>
        </w:trPr>
        <w:tc>
          <w:tcPr>
            <w:tcW w:w="8948" w:type="dxa"/>
            <w:gridSpan w:val="6"/>
            <w:tcBorders>
              <w:top w:val="nil"/>
              <w:left w:val="nil"/>
              <w:bottom w:val="nil"/>
              <w:right w:val="nil"/>
            </w:tcBorders>
            <w:shd w:val="clear" w:color="auto" w:fill="FFFFFF"/>
            <w:vAlign w:val="center"/>
          </w:tcPr>
          <w:p w14:paraId="3370F2EA"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b/>
                <w:bCs/>
                <w:kern w:val="2"/>
                <w:sz w:val="20"/>
                <w:szCs w:val="20"/>
                <w14:ligatures w14:val="standardContextual"/>
              </w:rPr>
              <w:t>Chi-Square Tests</w:t>
            </w:r>
          </w:p>
        </w:tc>
      </w:tr>
      <w:tr w:rsidR="00BC65BB" w:rsidRPr="00DD2E89" w14:paraId="52DCDB4A" w14:textId="77777777" w:rsidTr="00EE3E39">
        <w:trPr>
          <w:cantSplit/>
        </w:trPr>
        <w:tc>
          <w:tcPr>
            <w:tcW w:w="2449" w:type="dxa"/>
            <w:tcBorders>
              <w:top w:val="nil"/>
              <w:left w:val="nil"/>
              <w:bottom w:val="single" w:sz="8" w:space="0" w:color="152935"/>
              <w:right w:val="nil"/>
            </w:tcBorders>
            <w:shd w:val="clear" w:color="auto" w:fill="FFFFFF"/>
            <w:vAlign w:val="bottom"/>
          </w:tcPr>
          <w:p w14:paraId="6B396B0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071" w:type="dxa"/>
            <w:tcBorders>
              <w:top w:val="nil"/>
              <w:left w:val="nil"/>
              <w:bottom w:val="single" w:sz="8" w:space="0" w:color="152935"/>
              <w:right w:val="single" w:sz="8" w:space="0" w:color="E0E0E0"/>
            </w:tcBorders>
            <w:shd w:val="clear" w:color="auto" w:fill="FFFFFF"/>
            <w:vAlign w:val="bottom"/>
          </w:tcPr>
          <w:p w14:paraId="14CCEE4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Value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4DCD1F6"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roofErr w:type="spellStart"/>
            <w:r w:rsidRPr="00DD2E89">
              <w:rPr>
                <w:rFonts w:ascii="Arial" w:hAnsi="Arial" w:cs="Arial"/>
                <w:kern w:val="2"/>
                <w:sz w:val="20"/>
                <w:szCs w:val="20"/>
                <w14:ligatures w14:val="standardContextual"/>
              </w:rPr>
              <w:t>df</w:t>
            </w:r>
            <w:proofErr w:type="spellEnd"/>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766F937F"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Asymptotic Significance (2-sided)</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317A53C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Exact Sig. (2-sided)</w:t>
            </w:r>
          </w:p>
        </w:tc>
        <w:tc>
          <w:tcPr>
            <w:tcW w:w="1468" w:type="dxa"/>
            <w:tcBorders>
              <w:top w:val="nil"/>
              <w:left w:val="single" w:sz="8" w:space="0" w:color="E0E0E0"/>
              <w:bottom w:val="single" w:sz="8" w:space="0" w:color="152935"/>
              <w:right w:val="nil"/>
            </w:tcBorders>
            <w:shd w:val="clear" w:color="auto" w:fill="FFFFFF"/>
            <w:vAlign w:val="bottom"/>
          </w:tcPr>
          <w:p w14:paraId="3CEC5DF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Exact Sig. (1-sided)</w:t>
            </w:r>
          </w:p>
        </w:tc>
      </w:tr>
      <w:tr w:rsidR="00BC65BB" w:rsidRPr="00DD2E89" w14:paraId="7CD76470" w14:textId="77777777" w:rsidTr="00EE3E39">
        <w:trPr>
          <w:cantSplit/>
        </w:trPr>
        <w:tc>
          <w:tcPr>
            <w:tcW w:w="2449" w:type="dxa"/>
            <w:tcBorders>
              <w:top w:val="single" w:sz="8" w:space="0" w:color="152935"/>
              <w:left w:val="nil"/>
              <w:bottom w:val="single" w:sz="8" w:space="0" w:color="AEAEAE"/>
              <w:right w:val="nil"/>
            </w:tcBorders>
            <w:shd w:val="clear" w:color="auto" w:fill="E0E0E0"/>
          </w:tcPr>
          <w:p w14:paraId="7DD57F9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Pearson Chi-Square</w:t>
            </w:r>
          </w:p>
        </w:tc>
        <w:tc>
          <w:tcPr>
            <w:tcW w:w="1071" w:type="dxa"/>
            <w:tcBorders>
              <w:top w:val="single" w:sz="8" w:space="0" w:color="152935"/>
              <w:left w:val="nil"/>
              <w:bottom w:val="single" w:sz="8" w:space="0" w:color="AEAEAE"/>
              <w:right w:val="single" w:sz="8" w:space="0" w:color="E0E0E0"/>
            </w:tcBorders>
            <w:shd w:val="clear" w:color="auto" w:fill="FFFFFF"/>
          </w:tcPr>
          <w:p w14:paraId="028BEE2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158.715</w:t>
            </w:r>
            <w:r w:rsidRPr="00DD2E89">
              <w:rPr>
                <w:rFonts w:ascii="Arial" w:hAnsi="Arial" w:cs="Arial"/>
                <w:kern w:val="2"/>
                <w:sz w:val="20"/>
                <w:szCs w:val="20"/>
                <w:vertAlign w:val="superscript"/>
                <w14:ligatures w14:val="standardContextual"/>
              </w:rPr>
              <w:t>a</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D3B9659"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0203A1D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0636BFF"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152935"/>
              <w:left w:val="single" w:sz="8" w:space="0" w:color="E0E0E0"/>
              <w:bottom w:val="single" w:sz="8" w:space="0" w:color="AEAEAE"/>
              <w:right w:val="nil"/>
            </w:tcBorders>
            <w:shd w:val="clear" w:color="auto" w:fill="FFFFFF"/>
            <w:vAlign w:val="center"/>
          </w:tcPr>
          <w:p w14:paraId="613301C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53876D74" w14:textId="77777777" w:rsidTr="00EE3E39">
        <w:trPr>
          <w:cantSplit/>
        </w:trPr>
        <w:tc>
          <w:tcPr>
            <w:tcW w:w="2449" w:type="dxa"/>
            <w:tcBorders>
              <w:top w:val="single" w:sz="8" w:space="0" w:color="AEAEAE"/>
              <w:left w:val="nil"/>
              <w:bottom w:val="single" w:sz="8" w:space="0" w:color="AEAEAE"/>
              <w:right w:val="nil"/>
            </w:tcBorders>
            <w:shd w:val="clear" w:color="auto" w:fill="E0E0E0"/>
          </w:tcPr>
          <w:p w14:paraId="6E350B47"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Continuity </w:t>
            </w:r>
            <w:proofErr w:type="spellStart"/>
            <w:r w:rsidRPr="00DD2E89">
              <w:rPr>
                <w:rFonts w:ascii="Arial" w:hAnsi="Arial" w:cs="Arial"/>
                <w:kern w:val="2"/>
                <w:sz w:val="20"/>
                <w:szCs w:val="20"/>
                <w14:ligatures w14:val="standardContextual"/>
              </w:rPr>
              <w:t>Correction</w:t>
            </w:r>
            <w:r w:rsidRPr="00DD2E89">
              <w:rPr>
                <w:rFonts w:ascii="Arial" w:hAnsi="Arial" w:cs="Arial"/>
                <w:kern w:val="2"/>
                <w:sz w:val="20"/>
                <w:szCs w:val="20"/>
                <w:vertAlign w:val="superscript"/>
                <w14:ligatures w14:val="standardContextual"/>
              </w:rPr>
              <w:t>b</w:t>
            </w:r>
            <w:proofErr w:type="spellEnd"/>
          </w:p>
        </w:tc>
        <w:tc>
          <w:tcPr>
            <w:tcW w:w="1071" w:type="dxa"/>
            <w:tcBorders>
              <w:top w:val="single" w:sz="8" w:space="0" w:color="AEAEAE"/>
              <w:left w:val="nil"/>
              <w:bottom w:val="single" w:sz="8" w:space="0" w:color="AEAEAE"/>
              <w:right w:val="single" w:sz="8" w:space="0" w:color="E0E0E0"/>
            </w:tcBorders>
            <w:shd w:val="clear" w:color="auto" w:fill="FFFFFF"/>
          </w:tcPr>
          <w:p w14:paraId="03FEA6E5"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157.043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B555BA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4AA2C45"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F71570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7A24095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6FE6E1F0" w14:textId="77777777" w:rsidTr="00EE3E39">
        <w:trPr>
          <w:cantSplit/>
        </w:trPr>
        <w:tc>
          <w:tcPr>
            <w:tcW w:w="2449" w:type="dxa"/>
            <w:tcBorders>
              <w:top w:val="single" w:sz="8" w:space="0" w:color="AEAEAE"/>
              <w:left w:val="nil"/>
              <w:bottom w:val="single" w:sz="8" w:space="0" w:color="AEAEAE"/>
              <w:right w:val="nil"/>
            </w:tcBorders>
            <w:shd w:val="clear" w:color="auto" w:fill="E0E0E0"/>
          </w:tcPr>
          <w:p w14:paraId="0D7ED7FB"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Likelihood Ratio</w:t>
            </w:r>
          </w:p>
        </w:tc>
        <w:tc>
          <w:tcPr>
            <w:tcW w:w="1071" w:type="dxa"/>
            <w:tcBorders>
              <w:top w:val="single" w:sz="8" w:space="0" w:color="AEAEAE"/>
              <w:left w:val="nil"/>
              <w:bottom w:val="single" w:sz="8" w:space="0" w:color="AEAEAE"/>
              <w:right w:val="single" w:sz="8" w:space="0" w:color="E0E0E0"/>
            </w:tcBorders>
            <w:shd w:val="clear" w:color="auto" w:fill="FFFFFF"/>
          </w:tcPr>
          <w:p w14:paraId="56306DA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167.440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AECA094"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02D9049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A92D360"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4DC3E9A3"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49748F3F" w14:textId="77777777" w:rsidTr="00EE3E39">
        <w:trPr>
          <w:cantSplit/>
        </w:trPr>
        <w:tc>
          <w:tcPr>
            <w:tcW w:w="2449" w:type="dxa"/>
            <w:tcBorders>
              <w:top w:val="single" w:sz="8" w:space="0" w:color="AEAEAE"/>
              <w:left w:val="nil"/>
              <w:bottom w:val="single" w:sz="8" w:space="0" w:color="AEAEAE"/>
              <w:right w:val="nil"/>
            </w:tcBorders>
            <w:shd w:val="clear" w:color="auto" w:fill="E0E0E0"/>
          </w:tcPr>
          <w:p w14:paraId="0776983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Fisher's Exact Test</w:t>
            </w:r>
          </w:p>
        </w:tc>
        <w:tc>
          <w:tcPr>
            <w:tcW w:w="1071" w:type="dxa"/>
            <w:tcBorders>
              <w:top w:val="single" w:sz="8" w:space="0" w:color="AEAEAE"/>
              <w:left w:val="nil"/>
              <w:bottom w:val="single" w:sz="8" w:space="0" w:color="AEAEAE"/>
              <w:right w:val="single" w:sz="8" w:space="0" w:color="E0E0E0"/>
            </w:tcBorders>
            <w:shd w:val="clear" w:color="auto" w:fill="FFFFFF"/>
            <w:vAlign w:val="center"/>
          </w:tcPr>
          <w:p w14:paraId="6BBA62B3"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8695C5E"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D097F5B"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60678D8A"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nil"/>
            </w:tcBorders>
            <w:shd w:val="clear" w:color="auto" w:fill="FFFFFF"/>
          </w:tcPr>
          <w:p w14:paraId="7FADCBE8"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r>
      <w:tr w:rsidR="00BC65BB" w:rsidRPr="00DD2E89" w14:paraId="796713B7" w14:textId="77777777" w:rsidTr="00EE3E39">
        <w:trPr>
          <w:cantSplit/>
        </w:trPr>
        <w:tc>
          <w:tcPr>
            <w:tcW w:w="2449" w:type="dxa"/>
            <w:tcBorders>
              <w:top w:val="single" w:sz="8" w:space="0" w:color="AEAEAE"/>
              <w:left w:val="nil"/>
              <w:bottom w:val="single" w:sz="8" w:space="0" w:color="AEAEAE"/>
              <w:right w:val="nil"/>
            </w:tcBorders>
            <w:shd w:val="clear" w:color="auto" w:fill="E0E0E0"/>
          </w:tcPr>
          <w:p w14:paraId="17A8496B"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Linear-by-Linear Association</w:t>
            </w:r>
          </w:p>
        </w:tc>
        <w:tc>
          <w:tcPr>
            <w:tcW w:w="1071" w:type="dxa"/>
            <w:tcBorders>
              <w:top w:val="single" w:sz="8" w:space="0" w:color="AEAEAE"/>
              <w:left w:val="nil"/>
              <w:bottom w:val="single" w:sz="8" w:space="0" w:color="AEAEAE"/>
              <w:right w:val="single" w:sz="8" w:space="0" w:color="E0E0E0"/>
            </w:tcBorders>
            <w:shd w:val="clear" w:color="auto" w:fill="FFFFFF"/>
          </w:tcPr>
          <w:p w14:paraId="2E15461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158.550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12DDCDC"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77E9FD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FC7C71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1E2E8312"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r>
      <w:tr w:rsidR="00BC65BB" w:rsidRPr="00DD2E89" w14:paraId="51F22776" w14:textId="77777777" w:rsidTr="00EE3E39">
        <w:trPr>
          <w:cantSplit/>
        </w:trPr>
        <w:tc>
          <w:tcPr>
            <w:tcW w:w="2449" w:type="dxa"/>
            <w:tcBorders>
              <w:top w:val="single" w:sz="8" w:space="0" w:color="AEAEAE"/>
              <w:left w:val="nil"/>
              <w:bottom w:val="single" w:sz="8" w:space="0" w:color="152935"/>
              <w:right w:val="nil"/>
            </w:tcBorders>
            <w:shd w:val="clear" w:color="auto" w:fill="E0E0E0"/>
          </w:tcPr>
          <w:p w14:paraId="026C4CF1"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N of Valid Cases</w:t>
            </w:r>
          </w:p>
        </w:tc>
        <w:tc>
          <w:tcPr>
            <w:tcW w:w="1071" w:type="dxa"/>
            <w:tcBorders>
              <w:top w:val="single" w:sz="8" w:space="0" w:color="AEAEAE"/>
              <w:left w:val="nil"/>
              <w:bottom w:val="single" w:sz="8" w:space="0" w:color="152935"/>
              <w:right w:val="single" w:sz="8" w:space="0" w:color="E0E0E0"/>
            </w:tcBorders>
            <w:shd w:val="clear" w:color="auto" w:fill="FFFFFF"/>
          </w:tcPr>
          <w:p w14:paraId="0FD07DF7" w14:textId="77777777" w:rsidR="00BC65BB" w:rsidRPr="00DD2E89" w:rsidRDefault="00BC65BB" w:rsidP="00070141">
            <w:pPr>
              <w:spacing w:after="12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961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C7D19F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65AE4A9"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8031ADD" w14:textId="77777777" w:rsidR="00BC65BB" w:rsidRPr="00DD2E89" w:rsidRDefault="00BC65BB" w:rsidP="00070141">
            <w:pPr>
              <w:spacing w:after="120" w:line="240" w:lineRule="auto"/>
              <w:jc w:val="both"/>
              <w:rPr>
                <w:rFonts w:ascii="Arial" w:hAnsi="Arial" w:cs="Arial"/>
                <w:kern w:val="2"/>
                <w:sz w:val="20"/>
                <w:szCs w:val="20"/>
                <w14:ligatures w14:val="standardContextual"/>
              </w:rPr>
            </w:pP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4A2A4050" w14:textId="77777777" w:rsidR="00BC65BB" w:rsidRPr="00DD2E89" w:rsidRDefault="00171897" w:rsidP="00070141">
            <w:pPr>
              <w:spacing w:after="120" w:line="240" w:lineRule="auto"/>
              <w:jc w:val="both"/>
              <w:rPr>
                <w:rFonts w:ascii="Arial" w:hAnsi="Arial" w:cs="Arial"/>
                <w:kern w:val="2"/>
                <w:sz w:val="20"/>
                <w:szCs w:val="20"/>
                <w14:ligatures w14:val="standardContextual"/>
              </w:rPr>
            </w:pPr>
            <w:r>
              <w:rPr>
                <w:rStyle w:val="CommentReference"/>
              </w:rPr>
              <w:commentReference w:id="118"/>
            </w:r>
          </w:p>
        </w:tc>
      </w:tr>
      <w:tr w:rsidR="00BC65BB" w:rsidRPr="00DD2E89" w14:paraId="33F37D15" w14:textId="77777777" w:rsidTr="00EE3E39">
        <w:trPr>
          <w:cantSplit/>
        </w:trPr>
        <w:tc>
          <w:tcPr>
            <w:tcW w:w="8948" w:type="dxa"/>
            <w:gridSpan w:val="6"/>
            <w:tcBorders>
              <w:top w:val="nil"/>
              <w:left w:val="nil"/>
              <w:bottom w:val="nil"/>
              <w:right w:val="nil"/>
            </w:tcBorders>
            <w:shd w:val="clear" w:color="auto" w:fill="FFFFFF"/>
          </w:tcPr>
          <w:p w14:paraId="51E0B102" w14:textId="77777777" w:rsidR="00BC65BB" w:rsidRPr="00DD2E89" w:rsidRDefault="00BC65BB" w:rsidP="00070141">
            <w:pPr>
              <w:spacing w:after="0" w:line="240" w:lineRule="auto"/>
              <w:jc w:val="both"/>
              <w:rPr>
                <w:rFonts w:ascii="Arial" w:hAnsi="Arial" w:cs="Arial"/>
                <w:kern w:val="2"/>
                <w:sz w:val="16"/>
                <w:szCs w:val="16"/>
                <w14:ligatures w14:val="standardContextual"/>
              </w:rPr>
            </w:pPr>
            <w:r w:rsidRPr="00DD2E89">
              <w:rPr>
                <w:rFonts w:ascii="Arial" w:hAnsi="Arial" w:cs="Arial"/>
                <w:kern w:val="2"/>
                <w:sz w:val="16"/>
                <w:szCs w:val="16"/>
                <w14:ligatures w14:val="standardContextual"/>
              </w:rPr>
              <w:t>a. 0 cells (0.0%) have expected count less than 5. The minimum expected count is 167.68.</w:t>
            </w:r>
          </w:p>
        </w:tc>
      </w:tr>
      <w:tr w:rsidR="00BC65BB" w:rsidRPr="00DD2E89" w14:paraId="1F69DED7" w14:textId="77777777" w:rsidTr="00EE3E39">
        <w:trPr>
          <w:cantSplit/>
        </w:trPr>
        <w:tc>
          <w:tcPr>
            <w:tcW w:w="8948" w:type="dxa"/>
            <w:gridSpan w:val="6"/>
            <w:tcBorders>
              <w:top w:val="nil"/>
              <w:left w:val="nil"/>
              <w:bottom w:val="nil"/>
              <w:right w:val="nil"/>
            </w:tcBorders>
            <w:shd w:val="clear" w:color="auto" w:fill="FFFFFF"/>
          </w:tcPr>
          <w:p w14:paraId="1F1262ED" w14:textId="77777777" w:rsidR="00BC65BB" w:rsidRPr="00DD2E89" w:rsidRDefault="00BC65BB" w:rsidP="00070141">
            <w:pPr>
              <w:spacing w:after="0" w:line="240" w:lineRule="auto"/>
              <w:jc w:val="both"/>
              <w:rPr>
                <w:rFonts w:ascii="Arial" w:hAnsi="Arial" w:cs="Arial"/>
                <w:kern w:val="2"/>
                <w:sz w:val="16"/>
                <w:szCs w:val="16"/>
                <w14:ligatures w14:val="standardContextual"/>
              </w:rPr>
            </w:pPr>
            <w:r w:rsidRPr="00DD2E89">
              <w:rPr>
                <w:rFonts w:ascii="Arial" w:hAnsi="Arial" w:cs="Arial"/>
                <w:kern w:val="2"/>
                <w:sz w:val="16"/>
                <w:szCs w:val="16"/>
                <w14:ligatures w14:val="standardContextual"/>
              </w:rPr>
              <w:t>b. Computed only for a 2x2 table</w:t>
            </w:r>
          </w:p>
        </w:tc>
      </w:tr>
    </w:tbl>
    <w:p w14:paraId="3B968F2F" w14:textId="6D94B8CB" w:rsidR="00BC65BB" w:rsidRPr="00DD2E89" w:rsidRDefault="00BC65BB" w:rsidP="00070141">
      <w:pPr>
        <w:spacing w:before="100" w:beforeAutospacing="1" w:after="100" w:afterAutospacing="1"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results in Table </w:t>
      </w:r>
      <w:r w:rsidR="00C51292" w:rsidRPr="00DD2E89">
        <w:rPr>
          <w:rFonts w:ascii="Arial" w:hAnsi="Arial" w:cs="Arial"/>
          <w:kern w:val="2"/>
          <w:sz w:val="20"/>
          <w:szCs w:val="20"/>
          <w14:ligatures w14:val="standardContextual"/>
        </w:rPr>
        <w:t>7</w:t>
      </w:r>
      <w:r w:rsidRPr="00DD2E89">
        <w:rPr>
          <w:rFonts w:ascii="Arial" w:hAnsi="Arial" w:cs="Arial"/>
          <w:kern w:val="2"/>
          <w:sz w:val="20"/>
          <w:szCs w:val="20"/>
          <w14:ligatures w14:val="standardContextual"/>
        </w:rPr>
        <w:t xml:space="preserve"> reveal a Pearson Chi-Square value (T-Statistic) of χ2=158.715 with a p-value of .000.</w:t>
      </w:r>
    </w:p>
    <w:p w14:paraId="19FFD6F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Step 6: Determine the critical value from the Chi – Square Critical value table. </w:t>
      </w:r>
    </w:p>
    <w:p w14:paraId="06E59F5D"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lastRenderedPageBreak/>
        <w:t>The Critical Value at alpha level 0.05 and 0.01 at 1 degree of freedom:</w:t>
      </w:r>
    </w:p>
    <w:p w14:paraId="321F7506"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α = 0.05; </w:t>
      </w:r>
      <w:proofErr w:type="spellStart"/>
      <w:proofErr w:type="gramStart"/>
      <w:r w:rsidRPr="00DD2E89">
        <w:rPr>
          <w:rFonts w:ascii="Arial" w:hAnsi="Arial" w:cs="Arial"/>
          <w:kern w:val="2"/>
          <w:sz w:val="20"/>
          <w:szCs w:val="20"/>
          <w14:ligatures w14:val="standardContextual"/>
        </w:rPr>
        <w:t>df</w:t>
      </w:r>
      <w:proofErr w:type="spellEnd"/>
      <w:proofErr w:type="gramEnd"/>
      <w:r w:rsidRPr="00DD2E89">
        <w:rPr>
          <w:rFonts w:ascii="Arial" w:hAnsi="Arial" w:cs="Arial"/>
          <w:kern w:val="2"/>
          <w:sz w:val="20"/>
          <w:szCs w:val="20"/>
          <w14:ligatures w14:val="standardContextual"/>
        </w:rPr>
        <w:t xml:space="preserve"> = 1 Chi Square = 3.841</w:t>
      </w:r>
    </w:p>
    <w:p w14:paraId="7BD93088"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α = 0.01; </w:t>
      </w:r>
      <w:proofErr w:type="spellStart"/>
      <w:proofErr w:type="gramStart"/>
      <w:r w:rsidRPr="00DD2E89">
        <w:rPr>
          <w:rFonts w:ascii="Arial" w:hAnsi="Arial" w:cs="Arial"/>
          <w:kern w:val="2"/>
          <w:sz w:val="20"/>
          <w:szCs w:val="20"/>
          <w14:ligatures w14:val="standardContextual"/>
        </w:rPr>
        <w:t>df</w:t>
      </w:r>
      <w:proofErr w:type="spellEnd"/>
      <w:proofErr w:type="gramEnd"/>
      <w:r w:rsidRPr="00DD2E89">
        <w:rPr>
          <w:rFonts w:ascii="Arial" w:hAnsi="Arial" w:cs="Arial"/>
          <w:kern w:val="2"/>
          <w:sz w:val="20"/>
          <w:szCs w:val="20"/>
          <w14:ligatures w14:val="standardContextual"/>
        </w:rPr>
        <w:t xml:space="preserve"> = 1 Chi Square = 6.635</w:t>
      </w:r>
    </w:p>
    <w:p w14:paraId="5627CAF0"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Step 7: Interpretation</w:t>
      </w:r>
    </w:p>
    <w:p w14:paraId="4FA14B0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The Chi-square value of 158.715 is much larger than the critical value of 3.841 and 6.635 at α = 0.05 and α = 0.01 </w:t>
      </w:r>
      <w:proofErr w:type="spellStart"/>
      <w:proofErr w:type="gramStart"/>
      <w:r w:rsidRPr="00DD2E89">
        <w:rPr>
          <w:rFonts w:ascii="Arial" w:hAnsi="Arial" w:cs="Arial"/>
          <w:kern w:val="2"/>
          <w:sz w:val="20"/>
          <w:szCs w:val="20"/>
          <w14:ligatures w14:val="standardContextual"/>
        </w:rPr>
        <w:t>df</w:t>
      </w:r>
      <w:proofErr w:type="spellEnd"/>
      <w:proofErr w:type="gramEnd"/>
      <w:r w:rsidRPr="00DD2E89">
        <w:rPr>
          <w:rFonts w:ascii="Arial" w:hAnsi="Arial" w:cs="Arial"/>
          <w:kern w:val="2"/>
          <w:sz w:val="20"/>
          <w:szCs w:val="20"/>
          <w14:ligatures w14:val="standardContextual"/>
        </w:rPr>
        <w:t xml:space="preserve"> = 1. Since the χ2=158.715 &gt;3.84, χ2=158.715 &gt;6.635, we reject the null hypothesis and accept the alternative hypothesis that there is a statistically significant association between digital finance among rural women and their financial inclusion. This basically implies that digital finance enhances financial. Therefore, the results confirms that rural women who have adopted and use digital finance are likely to access formal financial services thus financially included as opposed to those who have not adopted digital finance.</w:t>
      </w:r>
    </w:p>
    <w:p w14:paraId="79C73BD4" w14:textId="77777777" w:rsidR="00BC65BB" w:rsidRPr="00DD2E89" w:rsidRDefault="00BC65BB" w:rsidP="003628B7">
      <w:pPr>
        <w:spacing w:after="160" w:line="240" w:lineRule="auto"/>
        <w:jc w:val="both"/>
        <w:rPr>
          <w:rFonts w:ascii="Arial" w:hAnsi="Arial" w:cs="Arial"/>
          <w:kern w:val="2"/>
          <w:sz w:val="20"/>
          <w:szCs w:val="20"/>
          <w14:ligatures w14:val="standardContextual"/>
        </w:rPr>
      </w:pPr>
      <w:bookmarkStart w:id="119" w:name="_Hlk203147706"/>
      <w:r w:rsidRPr="00DD2E89">
        <w:rPr>
          <w:rFonts w:ascii="Arial" w:hAnsi="Arial" w:cs="Arial"/>
          <w:kern w:val="2"/>
          <w:sz w:val="20"/>
          <w:szCs w:val="20"/>
          <w14:ligatures w14:val="standardContextual"/>
        </w:rPr>
        <w:t xml:space="preserve">The statistical significance of these results supports the notion that there is a meaningful relationship between digital finance and financial inclusion among rural women in Kenya. These results agree with those of </w:t>
      </w:r>
      <w:proofErr w:type="spellStart"/>
      <w:r w:rsidRPr="00DD2E89">
        <w:rPr>
          <w:rFonts w:ascii="Arial" w:hAnsi="Arial" w:cs="Arial"/>
          <w:kern w:val="2"/>
          <w:sz w:val="20"/>
          <w:szCs w:val="20"/>
          <w14:ligatures w14:val="standardContextual"/>
        </w:rPr>
        <w:t>Durai</w:t>
      </w:r>
      <w:proofErr w:type="spellEnd"/>
      <w:r w:rsidRPr="00DD2E89">
        <w:rPr>
          <w:rFonts w:ascii="Arial" w:hAnsi="Arial" w:cs="Arial"/>
          <w:kern w:val="2"/>
          <w:sz w:val="20"/>
          <w:szCs w:val="20"/>
          <w14:ligatures w14:val="standardContextual"/>
        </w:rPr>
        <w:t xml:space="preserve"> and Stella (2019) who noted that financial inclusion is achieved through the adoption of digital finance as digital finance has the potential of providing affordable, and convenient financial services. These findings correspond with </w:t>
      </w:r>
      <w:proofErr w:type="spellStart"/>
      <w:r w:rsidRPr="00DD2E89">
        <w:rPr>
          <w:rFonts w:ascii="Arial" w:hAnsi="Arial" w:cs="Arial"/>
          <w:kern w:val="2"/>
          <w:sz w:val="20"/>
          <w:szCs w:val="20"/>
          <w14:ligatures w14:val="standardContextual"/>
        </w:rPr>
        <w:t>Widarwati</w:t>
      </w:r>
      <w:proofErr w:type="spellEnd"/>
      <w:r w:rsidRPr="00DD2E89">
        <w:rPr>
          <w:rFonts w:ascii="Arial" w:hAnsi="Arial" w:cs="Arial"/>
          <w:kern w:val="2"/>
          <w:sz w:val="20"/>
          <w:szCs w:val="20"/>
          <w14:ligatures w14:val="standardContextual"/>
        </w:rPr>
        <w:t xml:space="preserve"> et al. (2022), who opined that digital finance impacts financial inclusion through digital financial services that facilitate access to financial services thus financial inclusion. </w:t>
      </w:r>
    </w:p>
    <w:p w14:paraId="6B4F2561" w14:textId="77777777" w:rsidR="00BC65BB" w:rsidRPr="00DD2E89" w:rsidRDefault="00BC65BB" w:rsidP="003628B7">
      <w:pPr>
        <w:spacing w:after="160" w:line="240" w:lineRule="auto"/>
        <w:jc w:val="both"/>
        <w:rPr>
          <w:rFonts w:ascii="Arial" w:hAnsi="Arial" w:cs="Arial"/>
          <w:kern w:val="2"/>
          <w:sz w:val="20"/>
          <w:szCs w:val="20"/>
          <w14:ligatures w14:val="standardContextual"/>
        </w:rPr>
      </w:pPr>
      <w:r w:rsidRPr="00DD2E89">
        <w:rPr>
          <w:rFonts w:ascii="Arial" w:hAnsi="Arial" w:cs="Arial"/>
          <w:kern w:val="2"/>
          <w:sz w:val="20"/>
          <w:szCs w:val="20"/>
          <w14:ligatures w14:val="standardContextual"/>
        </w:rPr>
        <w:t xml:space="preserve">It is therefore evident from the PLS-SEM results (R-squared value 0.530) as well as the Chi-Square test of independence (χ2=158.715 &gt;6.635) confirm that digital finance is crucial for financial inclusion. These results underscore the importance of encouraging the adoption and usage of digital finance as a key strategy to enhance financial inclusion among rural women </w:t>
      </w:r>
      <w:bookmarkEnd w:id="119"/>
    </w:p>
    <w:p w14:paraId="19306686" w14:textId="2D871B7E" w:rsidR="000A6E3F" w:rsidRPr="00DD2E89" w:rsidRDefault="000A6E3F" w:rsidP="00DD2E89">
      <w:pPr>
        <w:pStyle w:val="Heading1"/>
      </w:pPr>
      <w:r w:rsidRPr="00DD2E89">
        <w:t>Discussion</w:t>
      </w:r>
    </w:p>
    <w:bookmarkEnd w:id="68"/>
    <w:bookmarkEnd w:id="69"/>
    <w:bookmarkEnd w:id="70"/>
    <w:p w14:paraId="246FADB2" w14:textId="32928CFC"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On the influence of digital finance and financial inclusion of rural women, the study revealed that digital finance is a potential route to achieving and enhancing financial inclusion, offering opportunities for extended access and usage of financial services for rural women in Kenya. Even so, from the data collected it is evident that rural women displayed low levels of adoption and usage of digital finance. This was well represented by a mean of 6.6 falling short of the digital finance threshold of 8 out of 12.</w:t>
      </w:r>
    </w:p>
    <w:p w14:paraId="6B67596E" w14:textId="5806C141"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On the ownership of digital payment systems, the study findings demonstrated that more than 60% of the rural women owned a mobile device and had a mobile money account. Contrary to this, only 30.21% owned an account in a formal financial institution and 17.12% had an ATM card an indication of the low uptake of digital financial services among the rural women in Kenya.</w:t>
      </w:r>
    </w:p>
    <w:p w14:paraId="76DED402" w14:textId="1630BC19"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 xml:space="preserve">Over and above that, the study demonstrated that more than half (59.2%) of the rural women used mobile money accounts to transact as compared to 20.1% who used bank accounts and only 13.4% who transacted using the ATM cards. </w:t>
      </w:r>
    </w:p>
    <w:p w14:paraId="5D784517" w14:textId="77777777"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The results reveal that digital finance has the potential to enhance financial inclusion by offering increased access and usage of financial services for rural women in Kenya. It suggests that the availability, adoption and usage of digital payment systems and services impact the overall digital finance levels positively promoting financial inclusion among the rural women</w:t>
      </w:r>
    </w:p>
    <w:p w14:paraId="69FF60A4" w14:textId="0DE610CE" w:rsidR="008A6704" w:rsidRPr="00DD2E89" w:rsidRDefault="008A6704" w:rsidP="003628B7">
      <w:pPr>
        <w:spacing w:line="240" w:lineRule="auto"/>
        <w:jc w:val="both"/>
        <w:rPr>
          <w:rFonts w:ascii="Arial" w:hAnsi="Arial" w:cs="Arial"/>
          <w:sz w:val="20"/>
          <w:szCs w:val="20"/>
        </w:rPr>
      </w:pPr>
      <w:r w:rsidRPr="00DD2E89">
        <w:rPr>
          <w:rFonts w:ascii="Arial" w:hAnsi="Arial" w:cs="Arial"/>
          <w:sz w:val="20"/>
          <w:szCs w:val="20"/>
        </w:rPr>
        <w:t>More so, results from the PLS-SEM gave an R-</w:t>
      </w:r>
      <w:r w:rsidR="00C51292" w:rsidRPr="00DD2E89">
        <w:rPr>
          <w:rFonts w:ascii="Arial" w:hAnsi="Arial" w:cs="Arial"/>
          <w:sz w:val="20"/>
          <w:szCs w:val="20"/>
        </w:rPr>
        <w:t>s</w:t>
      </w:r>
      <w:r w:rsidRPr="00DD2E89">
        <w:rPr>
          <w:rFonts w:ascii="Arial" w:hAnsi="Arial" w:cs="Arial"/>
          <w:sz w:val="20"/>
          <w:szCs w:val="20"/>
        </w:rPr>
        <w:t>quare of 51.6% implying that digital finance is a key driver of financial inclusion. This was confirmed by the Chi-Square test statistic (χ2=158.715 &gt;3.84) that revealed a statistically significant association between digital finance and financial inclusion of rural women in Kenya.</w:t>
      </w:r>
    </w:p>
    <w:p w14:paraId="7C37B274" w14:textId="4E1F568C" w:rsidR="008A6704" w:rsidRPr="00DD2E89" w:rsidRDefault="008A6704" w:rsidP="003628B7">
      <w:pPr>
        <w:spacing w:line="240" w:lineRule="auto"/>
        <w:jc w:val="both"/>
        <w:rPr>
          <w:rFonts w:ascii="Arial" w:eastAsia="Times New Roman" w:hAnsi="Arial" w:cs="Arial"/>
          <w:b/>
          <w:sz w:val="20"/>
          <w:szCs w:val="20"/>
        </w:rPr>
      </w:pPr>
      <w:r w:rsidRPr="00DD2E89">
        <w:rPr>
          <w:rFonts w:ascii="Arial" w:hAnsi="Arial" w:cs="Arial"/>
          <w:sz w:val="20"/>
          <w:szCs w:val="20"/>
        </w:rPr>
        <w:lastRenderedPageBreak/>
        <w:t xml:space="preserve">More rural women owned a mobile devise and had a mobile money account but very few owned an account in a formal financial institution limiting their ability to be financially included. This imply that adoption and usage of mobile money accounts to transact among rural women in Kenya was higher as compared to the uptake of other digital financial systems. </w:t>
      </w:r>
    </w:p>
    <w:p w14:paraId="25D51726" w14:textId="1D630EB3" w:rsidR="008F5434" w:rsidRPr="00070141" w:rsidRDefault="008F5434" w:rsidP="003B19DA">
      <w:pPr>
        <w:pStyle w:val="Heading1"/>
      </w:pPr>
      <w:r w:rsidRPr="00070141">
        <w:rPr>
          <w:rStyle w:val="Heading1Char"/>
          <w:b/>
          <w:bCs/>
        </w:rPr>
        <w:t>CONCLUSION AND</w:t>
      </w:r>
      <w:r w:rsidRPr="00070141">
        <w:t xml:space="preserve"> RECOMMENDATIONS</w:t>
      </w:r>
      <w:bookmarkEnd w:id="71"/>
    </w:p>
    <w:p w14:paraId="28E14C66" w14:textId="5619B070" w:rsidR="00723C35" w:rsidRPr="00DD2E89" w:rsidRDefault="00116601" w:rsidP="00C51292">
      <w:pPr>
        <w:spacing w:before="100" w:beforeAutospacing="1" w:after="100" w:afterAutospacing="1" w:line="240" w:lineRule="auto"/>
        <w:jc w:val="both"/>
        <w:rPr>
          <w:rFonts w:ascii="Arial" w:hAnsi="Arial" w:cs="Arial"/>
          <w:sz w:val="20"/>
          <w:szCs w:val="20"/>
          <w:lang w:eastAsia="x-none"/>
        </w:rPr>
      </w:pPr>
      <w:bookmarkStart w:id="120" w:name="_Hlk193729540"/>
      <w:r w:rsidRPr="00DD2E89">
        <w:rPr>
          <w:rFonts w:ascii="Arial" w:hAnsi="Arial" w:cs="Arial"/>
          <w:sz w:val="20"/>
          <w:szCs w:val="20"/>
        </w:rPr>
        <w:t xml:space="preserve">Based on the results of the analysis, it can be concluded that </w:t>
      </w:r>
      <w:bookmarkStart w:id="121" w:name="_Hlk190957345"/>
      <w:r w:rsidR="00C51292" w:rsidRPr="00DD2E89">
        <w:rPr>
          <w:rFonts w:ascii="Arial" w:hAnsi="Arial" w:cs="Arial"/>
          <w:sz w:val="20"/>
          <w:szCs w:val="20"/>
        </w:rPr>
        <w:t xml:space="preserve">digital </w:t>
      </w:r>
      <w:r w:rsidR="006C4D85" w:rsidRPr="00DD2E89">
        <w:rPr>
          <w:rFonts w:ascii="Arial" w:hAnsi="Arial" w:cs="Arial"/>
          <w:sz w:val="20"/>
          <w:szCs w:val="20"/>
        </w:rPr>
        <w:t>finance</w:t>
      </w:r>
      <w:r w:rsidR="00F31341" w:rsidRPr="00DD2E89">
        <w:rPr>
          <w:rFonts w:ascii="Arial" w:hAnsi="Arial" w:cs="Arial"/>
          <w:sz w:val="20"/>
          <w:szCs w:val="20"/>
        </w:rPr>
        <w:t xml:space="preserve"> has an effect on financial inclusion of rural women in Kenya. </w:t>
      </w:r>
      <w:bookmarkStart w:id="122" w:name="_Hlk193729933"/>
      <w:bookmarkStart w:id="123" w:name="_Hlk193729836"/>
      <w:bookmarkStart w:id="124" w:name="_Hlk190958737"/>
      <w:bookmarkEnd w:id="120"/>
      <w:bookmarkEnd w:id="121"/>
      <w:r w:rsidR="00723C35" w:rsidRPr="00DD2E89">
        <w:rPr>
          <w:rFonts w:ascii="Arial" w:hAnsi="Arial" w:cs="Arial"/>
          <w:sz w:val="20"/>
          <w:szCs w:val="20"/>
          <w:lang w:eastAsia="x-none"/>
        </w:rPr>
        <w:t xml:space="preserve">The study also confirmed that digital finance and financial inclusion were significantly related. This implies that the adoption and usage of digital financial services creates the potential to make financial services available to a wider range of consumers through elimination of traditional access barriers thus promoting financial inclusion </w:t>
      </w:r>
    </w:p>
    <w:bookmarkEnd w:id="122"/>
    <w:p w14:paraId="05FAD109" w14:textId="6A4F11AD" w:rsidR="00723C35" w:rsidRPr="00DD2E89" w:rsidRDefault="00723C35" w:rsidP="003628B7">
      <w:pPr>
        <w:spacing w:line="240" w:lineRule="auto"/>
        <w:jc w:val="both"/>
        <w:rPr>
          <w:rFonts w:ascii="Arial" w:hAnsi="Arial" w:cs="Arial"/>
          <w:sz w:val="20"/>
          <w:szCs w:val="20"/>
          <w:lang w:eastAsia="x-none"/>
        </w:rPr>
      </w:pPr>
      <w:r w:rsidRPr="00DD2E89">
        <w:rPr>
          <w:rFonts w:ascii="Arial" w:hAnsi="Arial" w:cs="Arial"/>
          <w:sz w:val="20"/>
          <w:szCs w:val="20"/>
          <w:lang w:eastAsia="x-none"/>
        </w:rPr>
        <w:t xml:space="preserve">With the identified low </w:t>
      </w:r>
      <w:proofErr w:type="spellStart"/>
      <w:r w:rsidRPr="00DD2E89">
        <w:rPr>
          <w:rFonts w:ascii="Arial" w:hAnsi="Arial" w:cs="Arial"/>
          <w:sz w:val="20"/>
          <w:szCs w:val="20"/>
          <w:lang w:eastAsia="x-none"/>
        </w:rPr>
        <w:t>fintech</w:t>
      </w:r>
      <w:proofErr w:type="spellEnd"/>
      <w:r w:rsidRPr="00DD2E89">
        <w:rPr>
          <w:rFonts w:ascii="Arial" w:hAnsi="Arial" w:cs="Arial"/>
          <w:sz w:val="20"/>
          <w:szCs w:val="20"/>
          <w:lang w:eastAsia="x-none"/>
        </w:rPr>
        <w:t xml:space="preserve"> adoption in most regions, mobile network operators (MNOs) and </w:t>
      </w:r>
      <w:proofErr w:type="spellStart"/>
      <w:r w:rsidRPr="00DD2E89">
        <w:rPr>
          <w:rFonts w:ascii="Arial" w:hAnsi="Arial" w:cs="Arial"/>
          <w:sz w:val="20"/>
          <w:szCs w:val="20"/>
          <w:lang w:eastAsia="x-none"/>
        </w:rPr>
        <w:t>fintech</w:t>
      </w:r>
      <w:proofErr w:type="spellEnd"/>
      <w:r w:rsidRPr="00DD2E89">
        <w:rPr>
          <w:rFonts w:ascii="Arial" w:hAnsi="Arial" w:cs="Arial"/>
          <w:sz w:val="20"/>
          <w:szCs w:val="20"/>
          <w:lang w:eastAsia="x-none"/>
        </w:rPr>
        <w:t xml:space="preserve"> companies, should strive to enhance digital infrastructure and accessibility. They should develop financial products that are tailored to rural women's needs for ease of adoption and usage; having user friendly platforms that simplify access to and usage of formal financial services. Mobile network operators (MNOs) should invest in mobile network expansion as well as offer affordable internet access to accommodate the rural women population</w:t>
      </w:r>
    </w:p>
    <w:p w14:paraId="394798F2" w14:textId="77777777" w:rsidR="00723C35" w:rsidRPr="00070141" w:rsidRDefault="00723C35" w:rsidP="003628B7">
      <w:pPr>
        <w:spacing w:line="240" w:lineRule="auto"/>
        <w:jc w:val="both"/>
        <w:rPr>
          <w:rFonts w:ascii="Times New Roman" w:hAnsi="Times New Roman"/>
          <w:lang w:eastAsia="x-none"/>
        </w:rPr>
      </w:pPr>
    </w:p>
    <w:p w14:paraId="2A097DDF" w14:textId="77777777" w:rsidR="00F31341" w:rsidRPr="00070141" w:rsidRDefault="00F31341" w:rsidP="00D8330E">
      <w:pPr>
        <w:spacing w:after="0" w:line="360" w:lineRule="auto"/>
        <w:rPr>
          <w:rFonts w:ascii="Times New Roman" w:hAnsi="Times New Roman"/>
          <w:lang w:eastAsia="x-none"/>
        </w:rPr>
      </w:pPr>
      <w:r w:rsidRPr="00070141">
        <w:rPr>
          <w:rFonts w:ascii="Times New Roman" w:hAnsi="Times New Roman"/>
          <w:lang w:eastAsia="x-none"/>
        </w:rPr>
        <w:br w:type="page"/>
      </w:r>
    </w:p>
    <w:p w14:paraId="70B88307" w14:textId="60E11BE4" w:rsidR="005E162B" w:rsidRPr="00070141" w:rsidRDefault="0065688D" w:rsidP="003B19DA">
      <w:pPr>
        <w:pStyle w:val="Heading1"/>
      </w:pPr>
      <w:bookmarkStart w:id="125" w:name="_Toc200694840"/>
      <w:bookmarkEnd w:id="123"/>
      <w:bookmarkEnd w:id="124"/>
      <w:commentRangeStart w:id="126"/>
      <w:r w:rsidRPr="00070141">
        <w:lastRenderedPageBreak/>
        <w:t>REFERENCES</w:t>
      </w:r>
      <w:bookmarkEnd w:id="48"/>
      <w:bookmarkEnd w:id="125"/>
      <w:commentRangeEnd w:id="126"/>
      <w:r w:rsidR="00A675FA">
        <w:rPr>
          <w:rStyle w:val="CommentReference"/>
          <w:rFonts w:ascii="Calibri" w:eastAsia="Calibri" w:hAnsi="Calibri" w:cs="Times New Roman"/>
          <w:b w:val="0"/>
          <w:bCs w:val="0"/>
          <w:color w:val="auto"/>
          <w:lang w:eastAsia="en-US"/>
        </w:rPr>
        <w:commentReference w:id="126"/>
      </w:r>
    </w:p>
    <w:bookmarkEnd w:id="9"/>
    <w:bookmarkEnd w:id="49"/>
    <w:bookmarkEnd w:id="50"/>
    <w:bookmarkEnd w:id="51"/>
    <w:bookmarkEnd w:id="52"/>
    <w:bookmarkEnd w:id="53"/>
    <w:bookmarkEnd w:id="54"/>
    <w:bookmarkEnd w:id="55"/>
    <w:bookmarkEnd w:id="56"/>
    <w:bookmarkEnd w:id="57"/>
    <w:p w14:paraId="274403C5" w14:textId="77777777" w:rsidR="005E75F5" w:rsidRPr="00A07520" w:rsidRDefault="005E75F5" w:rsidP="005E75F5">
      <w:pPr>
        <w:pStyle w:val="Bibliography"/>
        <w:spacing w:line="240" w:lineRule="auto"/>
        <w:ind w:left="720" w:hanging="720"/>
        <w:jc w:val="both"/>
        <w:rPr>
          <w:rFonts w:ascii="Times New Roman" w:hAnsi="Times New Roman"/>
          <w:noProof/>
          <w:sz w:val="24"/>
          <w:szCs w:val="24"/>
        </w:rPr>
      </w:pPr>
      <w:r w:rsidRPr="00A07520">
        <w:rPr>
          <w:rFonts w:ascii="Times New Roman" w:hAnsi="Times New Roman"/>
          <w:sz w:val="24"/>
          <w:szCs w:val="24"/>
          <w:lang w:eastAsia="x-none"/>
        </w:rPr>
        <w:fldChar w:fldCharType="begin"/>
      </w:r>
      <w:r w:rsidRPr="00A07520">
        <w:rPr>
          <w:rFonts w:ascii="Times New Roman" w:hAnsi="Times New Roman"/>
          <w:sz w:val="24"/>
          <w:szCs w:val="24"/>
          <w:lang w:eastAsia="x-none"/>
        </w:rPr>
        <w:instrText xml:space="preserve"> BIBLIOGRAPHY  \l 1033 </w:instrText>
      </w:r>
      <w:r w:rsidRPr="00A07520">
        <w:rPr>
          <w:rFonts w:ascii="Times New Roman" w:hAnsi="Times New Roman"/>
          <w:sz w:val="24"/>
          <w:szCs w:val="24"/>
          <w:lang w:eastAsia="x-none"/>
        </w:rPr>
        <w:fldChar w:fldCharType="separate"/>
      </w:r>
    </w:p>
    <w:p w14:paraId="7751768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Al-Jabri, I. M., &amp; Sohail, M. S. (2012). Mobile Banking Adoption: Application of Diffusion of Innovation Theory . </w:t>
      </w:r>
      <w:r w:rsidRPr="00352E85">
        <w:rPr>
          <w:rFonts w:ascii="Times New Roman" w:hAnsi="Times New Roman"/>
          <w:i/>
          <w:iCs/>
          <w:noProof/>
        </w:rPr>
        <w:t>Journal of Electronic Commerce Research,</w:t>
      </w:r>
      <w:r w:rsidRPr="00352E85">
        <w:rPr>
          <w:rFonts w:ascii="Times New Roman" w:hAnsi="Times New Roman"/>
          <w:noProof/>
        </w:rPr>
        <w:t>, Vol. 13, No. 4, pp. 379-391.</w:t>
      </w:r>
    </w:p>
    <w:p w14:paraId="0B3E053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Allen, F. a.-k., Klapper, A. a., Leora F and Martinez, P., &amp; Maria, S. (2012). The Foundations of Financial Inclusion: Understanding Ownership and Use of Formal Accounts. </w:t>
      </w:r>
      <w:r w:rsidRPr="00352E85">
        <w:rPr>
          <w:rFonts w:ascii="Times New Roman" w:hAnsi="Times New Roman"/>
          <w:i/>
          <w:iCs/>
          <w:noProof/>
        </w:rPr>
        <w:t>World Bank Policy Research Working Paper No. 6290</w:t>
      </w:r>
      <w:r w:rsidRPr="00352E85">
        <w:rPr>
          <w:rFonts w:ascii="Times New Roman" w:hAnsi="Times New Roman"/>
          <w:noProof/>
        </w:rPr>
        <w:t>.</w:t>
      </w:r>
    </w:p>
    <w:p w14:paraId="655A204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Alsmadi, O. M. (2022). Examining the Relationship Between Digital Finance and Financial Inclusion: Evidence of MENA Countries. </w:t>
      </w:r>
      <w:r w:rsidRPr="00352E85">
        <w:rPr>
          <w:rFonts w:ascii="Times New Roman" w:hAnsi="Times New Roman"/>
          <w:i/>
          <w:iCs/>
          <w:noProof/>
        </w:rPr>
        <w:t>Borsa Instabul Review</w:t>
      </w:r>
      <w:r w:rsidRPr="00352E85">
        <w:rPr>
          <w:rFonts w:ascii="Times New Roman" w:hAnsi="Times New Roman"/>
          <w:noProof/>
        </w:rPr>
        <w:t>.</w:t>
      </w:r>
    </w:p>
    <w:p w14:paraId="4D966C09"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Arner, D. W., Arner, D. W., Barberis, J. N., &amp; Buckley, R. P. (2015). The Evolution of Fintech: A New Post-crisis Paradigm. </w:t>
      </w:r>
      <w:r w:rsidRPr="00352E85">
        <w:rPr>
          <w:rFonts w:ascii="Times New Roman" w:hAnsi="Times New Roman"/>
          <w:i/>
          <w:iCs/>
          <w:noProof/>
        </w:rPr>
        <w:t>University of Hong Kong Faculty of Law Research Paper No. 2015/047</w:t>
      </w:r>
      <w:r w:rsidRPr="00352E85">
        <w:rPr>
          <w:rFonts w:ascii="Times New Roman" w:hAnsi="Times New Roman"/>
          <w:noProof/>
        </w:rPr>
        <w:t>.</w:t>
      </w:r>
    </w:p>
    <w:p w14:paraId="1EBB805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Arner, D., Jones, B., &amp; Ross, B. (2015). The Evolution of FinTech: A New Post-Crisis Paradigm. </w:t>
      </w:r>
      <w:r w:rsidRPr="00352E85">
        <w:rPr>
          <w:rFonts w:ascii="Times New Roman" w:hAnsi="Times New Roman"/>
          <w:i/>
          <w:iCs/>
          <w:noProof/>
        </w:rPr>
        <w:t>University of Hong Kong Faculty of Research Paper No. 205/047</w:t>
      </w:r>
      <w:r w:rsidRPr="00352E85">
        <w:rPr>
          <w:rFonts w:ascii="Times New Roman" w:hAnsi="Times New Roman"/>
          <w:noProof/>
        </w:rPr>
        <w:t>.</w:t>
      </w:r>
    </w:p>
    <w:p w14:paraId="1A37791A"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Asian-Development-Bank. (2022). Digital Financial Inclusion and Literacy From a G20 Perspective. </w:t>
      </w:r>
      <w:r w:rsidRPr="00352E85">
        <w:rPr>
          <w:rFonts w:ascii="Times New Roman" w:hAnsi="Times New Roman"/>
          <w:i/>
          <w:iCs/>
          <w:noProof/>
        </w:rPr>
        <w:t>ADB Institute</w:t>
      </w:r>
      <w:r w:rsidRPr="00352E85">
        <w:rPr>
          <w:rFonts w:ascii="Times New Roman" w:hAnsi="Times New Roman"/>
          <w:noProof/>
        </w:rPr>
        <w:t>.</w:t>
      </w:r>
    </w:p>
    <w:p w14:paraId="7273D83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Chidnma, O. (2021). The Impact of Financial Inclusion on the Economic Empowerment of Nigerian Women. </w:t>
      </w:r>
      <w:r w:rsidRPr="00352E85">
        <w:rPr>
          <w:rFonts w:ascii="Times New Roman" w:hAnsi="Times New Roman"/>
          <w:i/>
          <w:iCs/>
          <w:noProof/>
        </w:rPr>
        <w:t>Social Science Research Network</w:t>
      </w:r>
      <w:r w:rsidRPr="00352E85">
        <w:rPr>
          <w:rFonts w:ascii="Times New Roman" w:hAnsi="Times New Roman"/>
          <w:noProof/>
        </w:rPr>
        <w:t>.</w:t>
      </w:r>
    </w:p>
    <w:p w14:paraId="613AD26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Demirguc-kunt, A., Klapper, L., Singer, D., &amp; Van, O. P. (2015). Measuring Financial Inclusion Around the World. </w:t>
      </w:r>
      <w:r w:rsidRPr="00352E85">
        <w:rPr>
          <w:rFonts w:ascii="Times New Roman" w:hAnsi="Times New Roman"/>
          <w:i/>
          <w:iCs/>
          <w:noProof/>
        </w:rPr>
        <w:t>Policy Research Working Paper 7253</w:t>
      </w:r>
      <w:r w:rsidRPr="00352E85">
        <w:rPr>
          <w:rFonts w:ascii="Times New Roman" w:hAnsi="Times New Roman"/>
          <w:noProof/>
        </w:rPr>
        <w:t>.</w:t>
      </w:r>
    </w:p>
    <w:p w14:paraId="28A7A9F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Demirguc-kunt, A., Singer, D., &amp; Ansar, S. (2022). Financial Inclusion, Digital payments and Resilience in the Age of Covid -19. </w:t>
      </w:r>
      <w:r w:rsidRPr="00352E85">
        <w:rPr>
          <w:rFonts w:ascii="Times New Roman" w:hAnsi="Times New Roman"/>
          <w:i/>
          <w:iCs/>
          <w:noProof/>
        </w:rPr>
        <w:t>Global Findex Database 2021</w:t>
      </w:r>
      <w:r w:rsidRPr="00352E85">
        <w:rPr>
          <w:rFonts w:ascii="Times New Roman" w:hAnsi="Times New Roman"/>
          <w:noProof/>
        </w:rPr>
        <w:t>.</w:t>
      </w:r>
    </w:p>
    <w:p w14:paraId="28CD1E2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FinAccess. (2021). FinAccess Household Survey. </w:t>
      </w:r>
      <w:r w:rsidRPr="00352E85">
        <w:rPr>
          <w:rFonts w:ascii="Times New Roman" w:hAnsi="Times New Roman"/>
          <w:i/>
          <w:iCs/>
          <w:noProof/>
        </w:rPr>
        <w:t>Central Bank of Kenya</w:t>
      </w:r>
      <w:r w:rsidRPr="00352E85">
        <w:rPr>
          <w:rFonts w:ascii="Times New Roman" w:hAnsi="Times New Roman"/>
          <w:noProof/>
        </w:rPr>
        <w:t>.</w:t>
      </w:r>
    </w:p>
    <w:p w14:paraId="1A8F4846"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Gibson, E., Lupo - Pasini, F., &amp; Buckley, R. P. (2015). Regulating Digital Financial Services Agents in </w:t>
      </w:r>
    </w:p>
    <w:p w14:paraId="05D469C5"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Gomber, P., A., K. J., &amp; Siering. (2017). Digital Finance and FinTech: Current Research and Future Research Directions. </w:t>
      </w:r>
      <w:r w:rsidRPr="00352E85">
        <w:rPr>
          <w:rFonts w:ascii="Times New Roman" w:hAnsi="Times New Roman"/>
          <w:i/>
          <w:iCs/>
          <w:noProof/>
        </w:rPr>
        <w:t>Journal of Business Economics</w:t>
      </w:r>
      <w:r w:rsidRPr="00352E85">
        <w:rPr>
          <w:rFonts w:ascii="Times New Roman" w:hAnsi="Times New Roman"/>
          <w:noProof/>
        </w:rPr>
        <w:t>, 537-580.</w:t>
      </w:r>
    </w:p>
    <w:p w14:paraId="6612B5C0" w14:textId="77777777" w:rsidR="005E75F5" w:rsidRPr="00352E85" w:rsidRDefault="005E75F5" w:rsidP="005E75F5">
      <w:pPr>
        <w:pStyle w:val="Default"/>
        <w:jc w:val="both"/>
        <w:rPr>
          <w:i/>
          <w:iCs/>
          <w:sz w:val="22"/>
          <w:szCs w:val="22"/>
          <w:lang w:eastAsia="x-none"/>
        </w:rPr>
      </w:pPr>
      <w:r w:rsidRPr="00352E85">
        <w:rPr>
          <w:sz w:val="22"/>
          <w:szCs w:val="22"/>
          <w:lang w:eastAsia="x-none"/>
        </w:rPr>
        <w:t xml:space="preserve">Hair, J. F., Hult, G. T. M., Ringle, C. M., &amp; Sarstedt, M. (2022). </w:t>
      </w:r>
      <w:r w:rsidRPr="00352E85">
        <w:rPr>
          <w:i/>
          <w:iCs/>
          <w:sz w:val="22"/>
          <w:szCs w:val="22"/>
          <w:lang w:eastAsia="x-none"/>
        </w:rPr>
        <w:t>A primer on partial least</w:t>
      </w:r>
    </w:p>
    <w:p w14:paraId="76D38633" w14:textId="77777777" w:rsidR="005E75F5" w:rsidRPr="00352E85" w:rsidRDefault="005E75F5" w:rsidP="005E75F5">
      <w:pPr>
        <w:pStyle w:val="Default"/>
        <w:ind w:firstLine="720"/>
        <w:jc w:val="both"/>
        <w:rPr>
          <w:i/>
          <w:iCs/>
          <w:sz w:val="22"/>
          <w:szCs w:val="22"/>
          <w:lang w:eastAsia="x-none"/>
        </w:rPr>
      </w:pPr>
      <w:r w:rsidRPr="00352E85">
        <w:rPr>
          <w:i/>
          <w:iCs/>
          <w:sz w:val="22"/>
          <w:szCs w:val="22"/>
          <w:lang w:eastAsia="x-none"/>
        </w:rPr>
        <w:t xml:space="preserve"> squares structural equation modeling (PLS-SEM)</w:t>
      </w:r>
      <w:r w:rsidRPr="00352E85">
        <w:rPr>
          <w:sz w:val="22"/>
          <w:szCs w:val="22"/>
          <w:lang w:eastAsia="x-none"/>
        </w:rPr>
        <w:t xml:space="preserve"> (3rd ed.). SAGE. </w:t>
      </w:r>
    </w:p>
    <w:p w14:paraId="71D7838B"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Hill, J., &amp; Hill, J. (2018). Fintech and Government Regulation. FinTech and the Remaking of Financial Institutions,. 285–314.</w:t>
      </w:r>
    </w:p>
    <w:p w14:paraId="34893E5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IEA. (2008). </w:t>
      </w:r>
      <w:r w:rsidRPr="00352E85">
        <w:rPr>
          <w:rFonts w:ascii="Times New Roman" w:hAnsi="Times New Roman"/>
          <w:i/>
          <w:iCs/>
          <w:noProof/>
        </w:rPr>
        <w:t>Profile of Women Socio-economic Status in Kenya.</w:t>
      </w:r>
      <w:r w:rsidRPr="00352E85">
        <w:rPr>
          <w:rFonts w:ascii="Times New Roman" w:hAnsi="Times New Roman"/>
          <w:noProof/>
        </w:rPr>
        <w:t xml:space="preserve"> Nairobi, Kenya: Institute of Economic Affairs.</w:t>
      </w:r>
    </w:p>
    <w:p w14:paraId="102A37A6"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Johnson, J., Graham, K. B., &amp; Cyril, F. (2012). The Search for Inclusion in Kenya's Financial Landscape: The Rift Revealed. </w:t>
      </w:r>
      <w:r w:rsidRPr="00352E85">
        <w:rPr>
          <w:rFonts w:ascii="Times New Roman" w:hAnsi="Times New Roman"/>
          <w:i/>
          <w:iCs/>
          <w:noProof/>
        </w:rPr>
        <w:t>Financial Sector Deepening</w:t>
      </w:r>
      <w:r w:rsidRPr="00352E85">
        <w:rPr>
          <w:rFonts w:ascii="Times New Roman" w:hAnsi="Times New Roman"/>
          <w:noProof/>
        </w:rPr>
        <w:t>.</w:t>
      </w:r>
    </w:p>
    <w:p w14:paraId="3EA5A82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lastRenderedPageBreak/>
        <w:t xml:space="preserve">Johnson, S., &amp; Nino-Zarazua, M. (2011). Financial Access and Exclusion in Kenya and Uganda. </w:t>
      </w:r>
      <w:r w:rsidRPr="00352E85">
        <w:rPr>
          <w:rFonts w:ascii="Times New Roman" w:hAnsi="Times New Roman"/>
          <w:i/>
          <w:iCs/>
          <w:noProof/>
        </w:rPr>
        <w:t>Journal of Development Studies Vol. 47 (3)</w:t>
      </w:r>
      <w:r w:rsidRPr="00352E85">
        <w:rPr>
          <w:rFonts w:ascii="Times New Roman" w:hAnsi="Times New Roman"/>
          <w:noProof/>
        </w:rPr>
        <w:t>, 475-496.</w:t>
      </w:r>
    </w:p>
    <w:p w14:paraId="7431D47C"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Kalsoom, Z., Mohammad, A. C., &amp; Aribah, A. (2016). Financial Inclusion and Its Implications for Inclusive Growth in Pakistan. </w:t>
      </w:r>
      <w:r w:rsidRPr="00352E85">
        <w:rPr>
          <w:rFonts w:ascii="Times New Roman" w:hAnsi="Times New Roman"/>
          <w:i/>
          <w:iCs/>
          <w:noProof/>
        </w:rPr>
        <w:t>Pakistan Economic and Social Review Vol. 54</w:t>
      </w:r>
      <w:r w:rsidRPr="00352E85">
        <w:rPr>
          <w:rFonts w:ascii="Times New Roman" w:hAnsi="Times New Roman"/>
          <w:noProof/>
        </w:rPr>
        <w:t>, 297 - 325.</w:t>
      </w:r>
    </w:p>
    <w:p w14:paraId="36B188D7"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Kan, L., &amp; Sun, R. (2022). Research on the Impact of Digital Finance on Innovation and R&amp;D of Technology Based SEM: Moderating Role Based on Financial Flexibility. </w:t>
      </w:r>
      <w:r w:rsidRPr="00352E85">
        <w:rPr>
          <w:rFonts w:ascii="Times New Roman" w:hAnsi="Times New Roman"/>
          <w:i/>
          <w:iCs/>
          <w:noProof/>
        </w:rPr>
        <w:t>American Journal of Industrial and Business Management</w:t>
      </w:r>
      <w:r w:rsidRPr="00352E85">
        <w:rPr>
          <w:rFonts w:ascii="Times New Roman" w:hAnsi="Times New Roman"/>
          <w:noProof/>
        </w:rPr>
        <w:t>, Vol. 12 PP. 1650 - 1666.</w:t>
      </w:r>
    </w:p>
    <w:p w14:paraId="53DB7A3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Kipnis, H. (2013). Financing Women - Owned SMEs: A Case Study in Ethiopia. </w:t>
      </w:r>
      <w:r w:rsidRPr="00352E85">
        <w:rPr>
          <w:rFonts w:ascii="Times New Roman" w:hAnsi="Times New Roman"/>
          <w:i/>
          <w:iCs/>
          <w:noProof/>
        </w:rPr>
        <w:t>United States Agency for International DevelopmentWashington D.C</w:t>
      </w:r>
      <w:r w:rsidRPr="00352E85">
        <w:rPr>
          <w:rFonts w:ascii="Times New Roman" w:hAnsi="Times New Roman"/>
          <w:noProof/>
        </w:rPr>
        <w:t>.</w:t>
      </w:r>
    </w:p>
    <w:p w14:paraId="25ED8A12"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Krejcie, R. V., &amp; Morgan, D. W. (1970). Determining Sample Size for Research Activities. </w:t>
      </w:r>
      <w:r w:rsidRPr="00352E85">
        <w:rPr>
          <w:rFonts w:ascii="Times New Roman" w:hAnsi="Times New Roman"/>
          <w:i/>
          <w:iCs/>
          <w:noProof/>
        </w:rPr>
        <w:t>Educational Psychology Measurement</w:t>
      </w:r>
      <w:r w:rsidRPr="00352E85">
        <w:rPr>
          <w:rFonts w:ascii="Times New Roman" w:hAnsi="Times New Roman"/>
          <w:noProof/>
        </w:rPr>
        <w:t>.</w:t>
      </w:r>
    </w:p>
    <w:p w14:paraId="5862EE23" w14:textId="77777777" w:rsidR="005E75F5" w:rsidRPr="00352E8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 xml:space="preserve">Lusardi, A., &amp; Mitchell, O. S. (2014). The economic importance of financial literacy: </w:t>
      </w:r>
    </w:p>
    <w:p w14:paraId="665698BE" w14:textId="77777777" w:rsidR="005E75F5" w:rsidRPr="00352E85" w:rsidRDefault="005E75F5" w:rsidP="005E75F5">
      <w:pPr>
        <w:spacing w:line="240" w:lineRule="auto"/>
        <w:ind w:left="720"/>
        <w:jc w:val="both"/>
        <w:rPr>
          <w:rFonts w:ascii="Times New Roman" w:hAnsi="Times New Roman"/>
          <w:i/>
          <w:iCs/>
          <w:color w:val="222222"/>
          <w:shd w:val="clear" w:color="auto" w:fill="FFFFFF"/>
        </w:rPr>
      </w:pPr>
      <w:r w:rsidRPr="00352E85">
        <w:rPr>
          <w:rFonts w:ascii="Times New Roman" w:hAnsi="Times New Roman"/>
          <w:color w:val="222222"/>
          <w:shd w:val="clear" w:color="auto" w:fill="FFFFFF"/>
        </w:rPr>
        <w:t>Theory and evidence. </w:t>
      </w:r>
      <w:r w:rsidRPr="00352E85">
        <w:rPr>
          <w:rFonts w:ascii="Times New Roman" w:hAnsi="Times New Roman"/>
          <w:i/>
          <w:iCs/>
          <w:color w:val="222222"/>
          <w:shd w:val="clear" w:color="auto" w:fill="FFFFFF"/>
        </w:rPr>
        <w:t>American Economic Journal: Journal of Economic</w:t>
      </w:r>
    </w:p>
    <w:p w14:paraId="232E9DAC" w14:textId="77777777" w:rsidR="005E75F5" w:rsidRPr="00352E85" w:rsidRDefault="005E75F5" w:rsidP="005E75F5">
      <w:pPr>
        <w:spacing w:line="240" w:lineRule="auto"/>
        <w:ind w:left="720"/>
        <w:jc w:val="both"/>
        <w:rPr>
          <w:rFonts w:ascii="Times New Roman" w:hAnsi="Times New Roman"/>
          <w:color w:val="222222"/>
          <w:shd w:val="clear" w:color="auto" w:fill="FFFFFF"/>
        </w:rPr>
      </w:pPr>
      <w:r w:rsidRPr="00352E85">
        <w:rPr>
          <w:rFonts w:ascii="Times New Roman" w:hAnsi="Times New Roman"/>
          <w:i/>
          <w:iCs/>
          <w:color w:val="222222"/>
          <w:shd w:val="clear" w:color="auto" w:fill="FFFFFF"/>
        </w:rPr>
        <w:t xml:space="preserve"> Literature</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52</w:t>
      </w:r>
      <w:r w:rsidRPr="00352E85">
        <w:rPr>
          <w:rFonts w:ascii="Times New Roman" w:hAnsi="Times New Roman"/>
          <w:color w:val="222222"/>
          <w:shd w:val="clear" w:color="auto" w:fill="FFFFFF"/>
        </w:rPr>
        <w:t>(1), 5-44.</w:t>
      </w:r>
    </w:p>
    <w:p w14:paraId="4E63917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Lyons, A., &amp; Kass-Hanna, J. (2021). A Multidimensional Approach to Defining and Measuring Financial Literacy in the Digital Age. </w:t>
      </w:r>
      <w:r w:rsidRPr="00352E85">
        <w:rPr>
          <w:rFonts w:ascii="Times New Roman" w:hAnsi="Times New Roman"/>
          <w:i/>
          <w:iCs/>
          <w:noProof/>
        </w:rPr>
        <w:t xml:space="preserve">SSRN: </w:t>
      </w:r>
    </w:p>
    <w:p w14:paraId="5CD18FF3" w14:textId="77777777" w:rsidR="005E75F5" w:rsidRPr="00352E85" w:rsidRDefault="005E75F5" w:rsidP="005E75F5">
      <w:pPr>
        <w:spacing w:line="240" w:lineRule="auto"/>
        <w:jc w:val="both"/>
        <w:rPr>
          <w:rFonts w:ascii="Times New Roman" w:hAnsi="Times New Roman"/>
          <w:color w:val="333333"/>
          <w:shd w:val="clear" w:color="auto" w:fill="FFFFFF"/>
        </w:rPr>
      </w:pPr>
      <w:r w:rsidRPr="00352E85">
        <w:rPr>
          <w:rFonts w:ascii="Times New Roman" w:hAnsi="Times New Roman"/>
          <w:color w:val="333333"/>
          <w:shd w:val="clear" w:color="auto" w:fill="FFFFFF"/>
        </w:rPr>
        <w:t>Lyons, A. C., &amp; Kass-Hanna, J. (2021a). A methodological overview to defining and</w:t>
      </w:r>
    </w:p>
    <w:p w14:paraId="6E8C3CCF" w14:textId="77777777" w:rsidR="005E75F5" w:rsidRPr="00352E85" w:rsidRDefault="005E75F5" w:rsidP="005E75F5">
      <w:pPr>
        <w:spacing w:line="240" w:lineRule="auto"/>
        <w:ind w:left="720" w:firstLine="60"/>
        <w:jc w:val="both"/>
        <w:rPr>
          <w:rFonts w:ascii="Times New Roman" w:hAnsi="Times New Roman"/>
          <w:color w:val="333333"/>
          <w:shd w:val="clear" w:color="auto" w:fill="FFFFFF"/>
        </w:rPr>
      </w:pPr>
      <w:r w:rsidRPr="00352E85">
        <w:rPr>
          <w:rFonts w:ascii="Times New Roman" w:hAnsi="Times New Roman"/>
          <w:color w:val="333333"/>
          <w:shd w:val="clear" w:color="auto" w:fill="FFFFFF"/>
        </w:rPr>
        <w:t>measuring “digital” financial literacy. </w:t>
      </w:r>
      <w:r w:rsidRPr="00352E85">
        <w:rPr>
          <w:rStyle w:val="citationsource-journal"/>
          <w:rFonts w:ascii="Times New Roman" w:hAnsi="Times New Roman"/>
          <w:i/>
          <w:iCs/>
          <w:color w:val="333333"/>
          <w:shd w:val="clear" w:color="auto" w:fill="FFFFFF"/>
        </w:rPr>
        <w:t>SSRN Electronic Journal</w:t>
      </w:r>
      <w:r w:rsidRPr="00352E85">
        <w:rPr>
          <w:rFonts w:ascii="Times New Roman" w:hAnsi="Times New Roman"/>
          <w:color w:val="333333"/>
          <w:shd w:val="clear" w:color="auto" w:fill="FFFFFF"/>
        </w:rPr>
        <w:t>, 1(217), 0–27.</w:t>
      </w:r>
    </w:p>
    <w:p w14:paraId="1505C1BF"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Ma, X. (2022). How Digital Finance Affects Economic Development: A Study Based on 31 Provinces in Inland China. </w:t>
      </w:r>
      <w:r w:rsidRPr="00352E85">
        <w:rPr>
          <w:rFonts w:ascii="Times New Roman" w:hAnsi="Times New Roman"/>
          <w:i/>
          <w:iCs/>
          <w:noProof/>
        </w:rPr>
        <w:t>I Business</w:t>
      </w:r>
      <w:r w:rsidRPr="00352E85">
        <w:rPr>
          <w:rFonts w:ascii="Times New Roman" w:hAnsi="Times New Roman"/>
          <w:noProof/>
        </w:rPr>
        <w:t>, Vol. 14, PP. 164 - 177.</w:t>
      </w:r>
    </w:p>
    <w:p w14:paraId="46FD811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Mwangi, C. (2018). Factors Hindering Sustainable Financial Inclusion of Rural Women in Kenya: A Case of Garissa County, Kenya. </w:t>
      </w:r>
      <w:r w:rsidRPr="00352E85">
        <w:rPr>
          <w:rFonts w:ascii="Times New Roman" w:hAnsi="Times New Roman"/>
          <w:i/>
          <w:iCs/>
          <w:noProof/>
        </w:rPr>
        <w:t>Research Paper</w:t>
      </w:r>
      <w:r w:rsidRPr="00352E85">
        <w:rPr>
          <w:rFonts w:ascii="Times New Roman" w:hAnsi="Times New Roman"/>
          <w:noProof/>
        </w:rPr>
        <w:t>.</w:t>
      </w:r>
    </w:p>
    <w:p w14:paraId="064D84A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Mwobobia, F. M. (2012). The Challenges Facing Small Scale Women Entrepreneurs: A Case of Kenya. </w:t>
      </w:r>
      <w:r w:rsidRPr="00352E85">
        <w:rPr>
          <w:rFonts w:ascii="Times New Roman" w:hAnsi="Times New Roman"/>
          <w:i/>
          <w:iCs/>
          <w:noProof/>
        </w:rPr>
        <w:t>International Journal of Business Adminstration</w:t>
      </w:r>
      <w:r w:rsidRPr="00352E85">
        <w:rPr>
          <w:rFonts w:ascii="Times New Roman" w:hAnsi="Times New Roman"/>
          <w:noProof/>
        </w:rPr>
        <w:t>, Vol. 3(2).</w:t>
      </w:r>
    </w:p>
    <w:p w14:paraId="66E6D0D5"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NGEC. (2021). </w:t>
      </w:r>
      <w:r w:rsidRPr="00352E85">
        <w:rPr>
          <w:rFonts w:ascii="Times New Roman" w:hAnsi="Times New Roman"/>
          <w:i/>
          <w:iCs/>
          <w:noProof/>
        </w:rPr>
        <w:t>Statement on the International Day for Rural Women.</w:t>
      </w:r>
      <w:r w:rsidRPr="00352E85">
        <w:rPr>
          <w:rFonts w:ascii="Times New Roman" w:hAnsi="Times New Roman"/>
          <w:noProof/>
        </w:rPr>
        <w:t xml:space="preserve"> NGEC.</w:t>
      </w:r>
    </w:p>
    <w:p w14:paraId="3FE6773C"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OECD. (2017). Key Issues for Digital Transaformation in the G20. Prepared for a Joint G20 German Presidency/OECD Conference. </w:t>
      </w:r>
      <w:r w:rsidRPr="00352E85">
        <w:rPr>
          <w:rFonts w:ascii="Times New Roman" w:hAnsi="Times New Roman"/>
          <w:i/>
          <w:iCs/>
          <w:noProof/>
        </w:rPr>
        <w:t>, OECD Publishing, Paris</w:t>
      </w:r>
      <w:r w:rsidRPr="00352E85">
        <w:rPr>
          <w:rFonts w:ascii="Times New Roman" w:hAnsi="Times New Roman"/>
          <w:noProof/>
        </w:rPr>
        <w:t>.</w:t>
      </w:r>
    </w:p>
    <w:p w14:paraId="07791C4E"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Ouma, S. A., Odongo, M. T., &amp; Were, M. (2017). Mobile Financial Services and Financial Inclusion: Is it a Boon for Savings Mobilization? </w:t>
      </w:r>
      <w:r w:rsidRPr="00352E85">
        <w:rPr>
          <w:rFonts w:ascii="Times New Roman" w:hAnsi="Times New Roman"/>
          <w:i/>
          <w:iCs/>
          <w:noProof/>
        </w:rPr>
        <w:t>Review of Development Finance Vol. 7</w:t>
      </w:r>
      <w:r w:rsidRPr="00352E85">
        <w:rPr>
          <w:rFonts w:ascii="Times New Roman" w:hAnsi="Times New Roman"/>
          <w:noProof/>
        </w:rPr>
        <w:t>, 29-35.</w:t>
      </w:r>
    </w:p>
    <w:p w14:paraId="4C3F9834"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Oumarou, I., &amp; Celestin, M. (2021). Determinants of Financial Inclusion in West African Economic and Monetary Union (WAEMU) Countries. </w:t>
      </w:r>
      <w:r w:rsidRPr="00352E85">
        <w:rPr>
          <w:rFonts w:ascii="Times New Roman" w:hAnsi="Times New Roman"/>
          <w:i/>
          <w:iCs/>
          <w:noProof/>
        </w:rPr>
        <w:t>Theoretical Economics Letters</w:t>
      </w:r>
      <w:r w:rsidRPr="00352E85">
        <w:rPr>
          <w:rFonts w:ascii="Times New Roman" w:hAnsi="Times New Roman"/>
          <w:noProof/>
        </w:rPr>
        <w:t>, Vo. 11 PP 489-506.</w:t>
      </w:r>
    </w:p>
    <w:p w14:paraId="3EBEE1C0"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lastRenderedPageBreak/>
        <w:t xml:space="preserve">Ozili, P. K. (2018). Impact of Digital Finance on Financial Inclusion and Stability. </w:t>
      </w:r>
      <w:r w:rsidRPr="00352E85">
        <w:rPr>
          <w:rFonts w:ascii="Times New Roman" w:hAnsi="Times New Roman"/>
          <w:i/>
          <w:iCs/>
          <w:noProof/>
        </w:rPr>
        <w:t>Borsa Istabul Review; Vol 18</w:t>
      </w:r>
      <w:r w:rsidRPr="00352E85">
        <w:rPr>
          <w:rFonts w:ascii="Times New Roman" w:hAnsi="Times New Roman"/>
          <w:noProof/>
        </w:rPr>
        <w:t>, 329-340.</w:t>
      </w:r>
    </w:p>
    <w:p w14:paraId="3BE75AF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Ozili, P. K. (2020). Financial Inclusion Research Around the World: A Review. </w:t>
      </w:r>
      <w:r w:rsidRPr="00352E85">
        <w:rPr>
          <w:rFonts w:ascii="Times New Roman" w:hAnsi="Times New Roman"/>
          <w:i/>
          <w:iCs/>
          <w:noProof/>
        </w:rPr>
        <w:t>Forum for Social Economics</w:t>
      </w:r>
      <w:r w:rsidRPr="00352E85">
        <w:rPr>
          <w:rFonts w:ascii="Times New Roman" w:hAnsi="Times New Roman"/>
          <w:noProof/>
        </w:rPr>
        <w:t>.</w:t>
      </w:r>
    </w:p>
    <w:p w14:paraId="3B73A0D7"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Ray, S., Morgan, P., &amp; Thakur, V. (2022). Digital Financial Inclusion and Literacy From A G20 Perspective.</w:t>
      </w:r>
    </w:p>
    <w:p w14:paraId="5DEE1E16"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Rocío, G.-L., Antonio, M.-N., José-Luis, R.-S., &amp; Thais, G.-T. (2022). Retirement planning and financial literacy, at the crossroads. A bibliometric analysis, . </w:t>
      </w:r>
      <w:r w:rsidRPr="00352E85">
        <w:rPr>
          <w:rFonts w:ascii="Times New Roman" w:hAnsi="Times New Roman"/>
          <w:i/>
          <w:iCs/>
          <w:noProof/>
        </w:rPr>
        <w:t>Finance Research Letters,</w:t>
      </w:r>
      <w:r w:rsidRPr="00352E85">
        <w:rPr>
          <w:rFonts w:ascii="Times New Roman" w:hAnsi="Times New Roman"/>
          <w:noProof/>
        </w:rPr>
        <w:t>.</w:t>
      </w:r>
    </w:p>
    <w:p w14:paraId="130524DC"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Rogers, E. M. (1962). </w:t>
      </w:r>
      <w:r w:rsidRPr="00352E85">
        <w:rPr>
          <w:rFonts w:ascii="Times New Roman" w:hAnsi="Times New Roman"/>
          <w:i/>
          <w:iCs/>
          <w:noProof/>
        </w:rPr>
        <w:t>Diffusion of Innovations.</w:t>
      </w:r>
      <w:r w:rsidRPr="00352E85">
        <w:rPr>
          <w:rFonts w:ascii="Times New Roman" w:hAnsi="Times New Roman"/>
          <w:noProof/>
        </w:rPr>
        <w:t xml:space="preserve"> New York: Free press.</w:t>
      </w:r>
    </w:p>
    <w:p w14:paraId="4763D0DB" w14:textId="77777777" w:rsidR="005E75F5" w:rsidRPr="00352E85" w:rsidRDefault="005E75F5" w:rsidP="005E75F5">
      <w:pPr>
        <w:spacing w:line="240" w:lineRule="auto"/>
        <w:jc w:val="both"/>
        <w:rPr>
          <w:rFonts w:ascii="Times New Roman" w:hAnsi="Times New Roman"/>
          <w:color w:val="333333"/>
          <w:shd w:val="clear" w:color="auto" w:fill="FFFFFF"/>
        </w:rPr>
      </w:pPr>
      <w:r w:rsidRPr="00352E85">
        <w:rPr>
          <w:rFonts w:ascii="Times New Roman" w:hAnsi="Times New Roman"/>
          <w:color w:val="333333"/>
          <w:shd w:val="clear" w:color="auto" w:fill="FFFFFF"/>
        </w:rPr>
        <w:t xml:space="preserve">Ravikumar, T., Suresha, B., Prakash, N., Vazirani, K., &amp; Krishna, T. A. (2022). Digital </w:t>
      </w:r>
    </w:p>
    <w:p w14:paraId="5B503F98" w14:textId="77777777" w:rsidR="005E75F5" w:rsidRPr="00352E85" w:rsidRDefault="005E75F5" w:rsidP="005E75F5">
      <w:pPr>
        <w:spacing w:line="240" w:lineRule="auto"/>
        <w:ind w:left="720"/>
        <w:jc w:val="both"/>
        <w:rPr>
          <w:rFonts w:ascii="Times New Roman" w:hAnsi="Times New Roman"/>
          <w:i/>
          <w:iCs/>
          <w:color w:val="333333"/>
          <w:shd w:val="clear" w:color="auto" w:fill="FFFFFF"/>
        </w:rPr>
      </w:pPr>
      <w:r w:rsidRPr="00352E85">
        <w:rPr>
          <w:rFonts w:ascii="Times New Roman" w:hAnsi="Times New Roman"/>
          <w:color w:val="333333"/>
          <w:shd w:val="clear" w:color="auto" w:fill="FFFFFF"/>
        </w:rPr>
        <w:t>financial literacy among adults in India: measurement and validation. </w:t>
      </w:r>
      <w:r w:rsidRPr="00352E85">
        <w:rPr>
          <w:rFonts w:ascii="Times New Roman" w:hAnsi="Times New Roman"/>
          <w:i/>
          <w:iCs/>
          <w:color w:val="333333"/>
          <w:shd w:val="clear" w:color="auto" w:fill="FFFFFF"/>
        </w:rPr>
        <w:t xml:space="preserve">Cogent </w:t>
      </w:r>
    </w:p>
    <w:p w14:paraId="30A4827C" w14:textId="77777777" w:rsidR="005E75F5" w:rsidRPr="00352E85" w:rsidRDefault="005E75F5" w:rsidP="005E75F5">
      <w:pPr>
        <w:spacing w:line="240" w:lineRule="auto"/>
        <w:ind w:left="720"/>
        <w:jc w:val="both"/>
        <w:rPr>
          <w:rFonts w:ascii="Times New Roman" w:hAnsi="Times New Roman"/>
        </w:rPr>
      </w:pPr>
      <w:r w:rsidRPr="00352E85">
        <w:rPr>
          <w:rFonts w:ascii="Times New Roman" w:hAnsi="Times New Roman"/>
          <w:i/>
          <w:iCs/>
          <w:color w:val="333333"/>
          <w:shd w:val="clear" w:color="auto" w:fill="FFFFFF"/>
        </w:rPr>
        <w:t>Economics &amp; Finance</w:t>
      </w:r>
      <w:r w:rsidRPr="00352E85">
        <w:rPr>
          <w:rFonts w:ascii="Times New Roman" w:hAnsi="Times New Roman"/>
          <w:color w:val="333333"/>
          <w:shd w:val="clear" w:color="auto" w:fill="FFFFFF"/>
        </w:rPr>
        <w:t>, </w:t>
      </w:r>
      <w:r w:rsidRPr="00352E85">
        <w:rPr>
          <w:rFonts w:ascii="Times New Roman" w:hAnsi="Times New Roman"/>
          <w:i/>
          <w:iCs/>
          <w:color w:val="333333"/>
          <w:shd w:val="clear" w:color="auto" w:fill="FFFFFF"/>
        </w:rPr>
        <w:t>10</w:t>
      </w:r>
      <w:r w:rsidRPr="00352E85">
        <w:rPr>
          <w:rFonts w:ascii="Times New Roman" w:hAnsi="Times New Roman"/>
          <w:color w:val="333333"/>
          <w:shd w:val="clear" w:color="auto" w:fill="FFFFFF"/>
        </w:rPr>
        <w:t xml:space="preserve">(1). </w:t>
      </w:r>
    </w:p>
    <w:p w14:paraId="42E99FF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Seifelyazal, M., Salaheldin, A., &amp; Assem, M. (2023). The Impact of Finacial Inclusion on Income Inequality . </w:t>
      </w:r>
      <w:r w:rsidRPr="00352E85">
        <w:rPr>
          <w:rFonts w:ascii="Times New Roman" w:hAnsi="Times New Roman"/>
          <w:i/>
          <w:iCs/>
          <w:noProof/>
        </w:rPr>
        <w:t>Open Journal of Social Sciences</w:t>
      </w:r>
      <w:r w:rsidRPr="00352E85">
        <w:rPr>
          <w:rFonts w:ascii="Times New Roman" w:hAnsi="Times New Roman"/>
          <w:noProof/>
        </w:rPr>
        <w:t>, Vol. 11 PP 255 - 274.</w:t>
      </w:r>
    </w:p>
    <w:p w14:paraId="17A9F3A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Shen, Y., Hu, W., &amp; Hueng, C. J. (2018). The Effects of Financial Literacy, Digital Financial Product Usage and Internet Usage on Financial Inclusion in China. </w:t>
      </w:r>
      <w:r w:rsidRPr="00352E85">
        <w:rPr>
          <w:rFonts w:ascii="Times New Roman" w:hAnsi="Times New Roman"/>
          <w:i/>
          <w:iCs/>
          <w:noProof/>
        </w:rPr>
        <w:t>MATEC Web Conference</w:t>
      </w:r>
      <w:r w:rsidRPr="00352E85">
        <w:rPr>
          <w:rFonts w:ascii="Times New Roman" w:hAnsi="Times New Roman"/>
          <w:noProof/>
        </w:rPr>
        <w:t>, 228.</w:t>
      </w:r>
    </w:p>
    <w:p w14:paraId="6DF47D3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Shibia, A. G. (2012). Effects of Financial Literacy on Financial Access in Kenya. </w:t>
      </w:r>
      <w:r w:rsidRPr="00352E85">
        <w:rPr>
          <w:rFonts w:ascii="Times New Roman" w:hAnsi="Times New Roman"/>
          <w:i/>
          <w:iCs/>
          <w:noProof/>
        </w:rPr>
        <w:t>KIPPRA Discussion Paper No. 142</w:t>
      </w:r>
      <w:r w:rsidRPr="00352E85">
        <w:rPr>
          <w:rFonts w:ascii="Times New Roman" w:hAnsi="Times New Roman"/>
          <w:noProof/>
        </w:rPr>
        <w:t>.</w:t>
      </w:r>
    </w:p>
    <w:p w14:paraId="7DCD09FE" w14:textId="77777777" w:rsidR="005E75F5" w:rsidRPr="00352E8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Showkat, M., Nagina, R., Baba, M. A., &amp; Yahya, A, T. (2024). The impact of financial</w:t>
      </w:r>
    </w:p>
    <w:p w14:paraId="3E054238" w14:textId="77777777" w:rsidR="005E75F5" w:rsidRPr="00352E85" w:rsidRDefault="005E75F5" w:rsidP="005E75F5">
      <w:pPr>
        <w:spacing w:line="240" w:lineRule="auto"/>
        <w:ind w:firstLine="720"/>
        <w:jc w:val="both"/>
        <w:rPr>
          <w:rFonts w:ascii="Times New Roman" w:hAnsi="Times New Roman"/>
          <w:color w:val="222222"/>
          <w:shd w:val="clear" w:color="auto" w:fill="FFFFFF"/>
        </w:rPr>
      </w:pPr>
      <w:r w:rsidRPr="00352E85">
        <w:rPr>
          <w:rFonts w:ascii="Times New Roman" w:hAnsi="Times New Roman"/>
          <w:color w:val="222222"/>
          <w:shd w:val="clear" w:color="auto" w:fill="FFFFFF"/>
        </w:rPr>
        <w:t xml:space="preserve"> literacy on women’s economic empowerment: exploring the mediating role of </w:t>
      </w:r>
    </w:p>
    <w:p w14:paraId="6ACA3C60" w14:textId="77777777" w:rsidR="005E75F5" w:rsidRPr="00352E85" w:rsidRDefault="005E75F5" w:rsidP="005E75F5">
      <w:pPr>
        <w:spacing w:line="240" w:lineRule="auto"/>
        <w:ind w:left="720" w:firstLine="720"/>
        <w:jc w:val="both"/>
        <w:rPr>
          <w:rFonts w:ascii="Times New Roman" w:hAnsi="Times New Roman"/>
          <w:color w:val="222222"/>
          <w:shd w:val="clear" w:color="auto" w:fill="FFFFFF"/>
        </w:rPr>
      </w:pPr>
      <w:r w:rsidRPr="00352E85">
        <w:rPr>
          <w:rFonts w:ascii="Times New Roman" w:hAnsi="Times New Roman"/>
          <w:color w:val="222222"/>
          <w:shd w:val="clear" w:color="auto" w:fill="FFFFFF"/>
        </w:rPr>
        <w:t xml:space="preserve">digital financial services. </w:t>
      </w:r>
      <w:r w:rsidRPr="00352E85">
        <w:rPr>
          <w:rFonts w:ascii="Times New Roman" w:hAnsi="Times New Roman"/>
          <w:i/>
          <w:color w:val="222222"/>
          <w:shd w:val="clear" w:color="auto" w:fill="FFFFFF"/>
        </w:rPr>
        <w:t>Cogent Economics &amp;Finance, 13(1)</w:t>
      </w:r>
    </w:p>
    <w:p w14:paraId="6B7B2D80" w14:textId="77777777" w:rsidR="005E75F5" w:rsidRPr="00352E8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 xml:space="preserve">Suri, T., &amp; Jack, W. (2016). The long-run poverty and gender impacts of mobile </w:t>
      </w:r>
    </w:p>
    <w:p w14:paraId="6F8D86CD" w14:textId="77777777" w:rsidR="005E75F5" w:rsidRPr="00352E85" w:rsidRDefault="005E75F5" w:rsidP="005E75F5">
      <w:pPr>
        <w:spacing w:line="240" w:lineRule="auto"/>
        <w:ind w:firstLine="720"/>
        <w:jc w:val="both"/>
        <w:rPr>
          <w:rFonts w:ascii="Times New Roman" w:hAnsi="Times New Roman"/>
        </w:rPr>
      </w:pPr>
      <w:r w:rsidRPr="00352E85">
        <w:rPr>
          <w:rFonts w:ascii="Times New Roman" w:hAnsi="Times New Roman"/>
          <w:color w:val="222222"/>
          <w:shd w:val="clear" w:color="auto" w:fill="FFFFFF"/>
        </w:rPr>
        <w:t>money. </w:t>
      </w:r>
      <w:r w:rsidRPr="00352E85">
        <w:rPr>
          <w:rFonts w:ascii="Times New Roman" w:hAnsi="Times New Roman"/>
          <w:i/>
          <w:iCs/>
          <w:color w:val="222222"/>
          <w:shd w:val="clear" w:color="auto" w:fill="FFFFFF"/>
        </w:rPr>
        <w:t>Science</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354</w:t>
      </w:r>
      <w:r w:rsidRPr="00352E85">
        <w:rPr>
          <w:rFonts w:ascii="Times New Roman" w:hAnsi="Times New Roman"/>
          <w:color w:val="222222"/>
          <w:shd w:val="clear" w:color="auto" w:fill="FFFFFF"/>
        </w:rPr>
        <w:t>(6317), 1288-1292.</w:t>
      </w:r>
    </w:p>
    <w:p w14:paraId="237957B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Tiony, O. (2023). The Impact of Digital Financial Services on Financial Incusion in Kenya. </w:t>
      </w:r>
      <w:r w:rsidRPr="00352E85">
        <w:rPr>
          <w:rFonts w:ascii="Times New Roman" w:hAnsi="Times New Roman"/>
          <w:i/>
          <w:iCs/>
          <w:noProof/>
        </w:rPr>
        <w:t>American Journal of Industrial and Business Management</w:t>
      </w:r>
      <w:r w:rsidRPr="00352E85">
        <w:rPr>
          <w:rFonts w:ascii="Times New Roman" w:hAnsi="Times New Roman"/>
          <w:noProof/>
        </w:rPr>
        <w:t>, Vol. 13 PP. 593-628.</w:t>
      </w:r>
    </w:p>
    <w:p w14:paraId="0125E677"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UN, R. (2022). </w:t>
      </w:r>
      <w:r w:rsidRPr="00352E85">
        <w:rPr>
          <w:rFonts w:ascii="Times New Roman" w:hAnsi="Times New Roman"/>
          <w:i/>
          <w:iCs/>
          <w:noProof/>
        </w:rPr>
        <w:t>The Role of Women in Rural Development, food Production and Poverty Eradication.</w:t>
      </w:r>
      <w:r w:rsidRPr="00352E85">
        <w:rPr>
          <w:rFonts w:ascii="Times New Roman" w:hAnsi="Times New Roman"/>
          <w:noProof/>
        </w:rPr>
        <w:t xml:space="preserve"> UN Women East and South Africa.</w:t>
      </w:r>
    </w:p>
    <w:p w14:paraId="26070972"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Van Hove, L., &amp; Dubus, A. (2019). Mpesa and Financial Inclusion in Kenya: Of Paying Comes Savings? </w:t>
      </w:r>
      <w:r w:rsidRPr="00352E85">
        <w:rPr>
          <w:rFonts w:ascii="Times New Roman" w:hAnsi="Times New Roman"/>
          <w:i/>
          <w:iCs/>
          <w:noProof/>
        </w:rPr>
        <w:t>Sustainability, Vol 11; No. 3</w:t>
      </w:r>
      <w:r w:rsidRPr="00352E85">
        <w:rPr>
          <w:rFonts w:ascii="Times New Roman" w:hAnsi="Times New Roman"/>
          <w:noProof/>
        </w:rPr>
        <w:t>.</w:t>
      </w:r>
    </w:p>
    <w:p w14:paraId="7702265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Widarwati, E., Solihim, A., &amp; Nurmalasari, N. (2022). Digital Finance for Improving Financial Inclusion Indonesians Banking . </w:t>
      </w:r>
      <w:r w:rsidRPr="00352E85">
        <w:rPr>
          <w:rFonts w:ascii="Times New Roman" w:hAnsi="Times New Roman"/>
          <w:i/>
          <w:iCs/>
          <w:noProof/>
        </w:rPr>
        <w:t>Signifikan</w:t>
      </w:r>
      <w:r w:rsidRPr="00352E85">
        <w:rPr>
          <w:rFonts w:ascii="Times New Roman" w:hAnsi="Times New Roman"/>
          <w:noProof/>
        </w:rPr>
        <w:t>, Vol. 1(11), 17-30.</w:t>
      </w:r>
    </w:p>
    <w:p w14:paraId="2884D6D8"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lastRenderedPageBreak/>
        <w:t xml:space="preserve">Williams, O. J., &amp; E., S. S. (2011). Social welfare issues of financial literacy and their implications for regulation. . </w:t>
      </w:r>
      <w:r w:rsidRPr="00352E85">
        <w:rPr>
          <w:rFonts w:ascii="Times New Roman" w:hAnsi="Times New Roman"/>
          <w:i/>
          <w:iCs/>
          <w:noProof/>
        </w:rPr>
        <w:t>Journal of Regulatory Economics</w:t>
      </w:r>
      <w:r w:rsidRPr="00352E85">
        <w:rPr>
          <w:rFonts w:ascii="Times New Roman" w:hAnsi="Times New Roman"/>
          <w:noProof/>
        </w:rPr>
        <w:t>, 1–40. .</w:t>
      </w:r>
    </w:p>
    <w:p w14:paraId="3965B14F" w14:textId="1018DB05" w:rsidR="005E75F5" w:rsidRPr="005E75F5" w:rsidRDefault="005E75F5" w:rsidP="005E75F5">
      <w:pPr>
        <w:spacing w:line="240" w:lineRule="auto"/>
        <w:jc w:val="both"/>
        <w:rPr>
          <w:rFonts w:ascii="Times New Roman" w:hAnsi="Times New Roman"/>
          <w:color w:val="222222"/>
          <w:shd w:val="clear" w:color="auto" w:fill="FFFFFF"/>
        </w:rPr>
      </w:pPr>
      <w:r w:rsidRPr="00352E85">
        <w:rPr>
          <w:rFonts w:ascii="Times New Roman" w:hAnsi="Times New Roman"/>
          <w:color w:val="222222"/>
          <w:shd w:val="clear" w:color="auto" w:fill="FFFFFF"/>
        </w:rPr>
        <w:t>Willis, L. E. (2011). The financial education fallacy. </w:t>
      </w:r>
      <w:r w:rsidRPr="00352E85">
        <w:rPr>
          <w:rFonts w:ascii="Times New Roman" w:hAnsi="Times New Roman"/>
          <w:i/>
          <w:iCs/>
          <w:color w:val="222222"/>
          <w:shd w:val="clear" w:color="auto" w:fill="FFFFFF"/>
        </w:rPr>
        <w:t>American Economic Review</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101</w:t>
      </w:r>
      <w:r w:rsidRPr="00352E85">
        <w:rPr>
          <w:rFonts w:ascii="Times New Roman" w:hAnsi="Times New Roman"/>
          <w:color w:val="222222"/>
          <w:shd w:val="clear" w:color="auto" w:fill="FFFFFF"/>
        </w:rPr>
        <w:t>(3), 429-434.</w:t>
      </w:r>
    </w:p>
    <w:p w14:paraId="0D4FF034"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WorldBank. (2014). Digital Financial Inclusion. </w:t>
      </w:r>
      <w:r w:rsidRPr="00352E85">
        <w:rPr>
          <w:rFonts w:ascii="Times New Roman" w:hAnsi="Times New Roman"/>
          <w:i/>
          <w:iCs/>
          <w:noProof/>
        </w:rPr>
        <w:t>World Bank</w:t>
      </w:r>
      <w:r w:rsidRPr="00352E85">
        <w:rPr>
          <w:rFonts w:ascii="Times New Roman" w:hAnsi="Times New Roman"/>
          <w:noProof/>
        </w:rPr>
        <w:t>.</w:t>
      </w:r>
    </w:p>
    <w:p w14:paraId="4EBEBFD3"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WorldBank. (2018). Understanding Poverty: Financial Inclusion.</w:t>
      </w:r>
    </w:p>
    <w:p w14:paraId="06D1DFB1"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WorldBank. (2022). Financial Inclusion: Digital payments and Resilience in the Age of Covid - 19. </w:t>
      </w:r>
      <w:r w:rsidRPr="00352E85">
        <w:rPr>
          <w:rFonts w:ascii="Times New Roman" w:hAnsi="Times New Roman"/>
          <w:i/>
          <w:iCs/>
          <w:noProof/>
        </w:rPr>
        <w:t>The Global Findex Database 2021</w:t>
      </w:r>
      <w:r w:rsidRPr="00352E85">
        <w:rPr>
          <w:rFonts w:ascii="Times New Roman" w:hAnsi="Times New Roman"/>
          <w:noProof/>
        </w:rPr>
        <w:t>.</w:t>
      </w:r>
    </w:p>
    <w:p w14:paraId="3C7F3B34"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Worthington, A. C. (2016). Financial literacy and Financial Literacy Programmes in Australia. </w:t>
      </w:r>
      <w:r w:rsidRPr="00352E85">
        <w:rPr>
          <w:rFonts w:ascii="Times New Roman" w:hAnsi="Times New Roman"/>
          <w:i/>
          <w:iCs/>
          <w:noProof/>
        </w:rPr>
        <w:t>Financ Lit Limits Financ Decis-Mak 1</w:t>
      </w:r>
      <w:r w:rsidRPr="00352E85">
        <w:rPr>
          <w:rFonts w:ascii="Times New Roman" w:hAnsi="Times New Roman"/>
          <w:noProof/>
        </w:rPr>
        <w:t>, 281–301.</w:t>
      </w:r>
    </w:p>
    <w:p w14:paraId="780F12A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color w:val="222222"/>
          <w:shd w:val="clear" w:color="auto" w:fill="FFFFFF"/>
        </w:rPr>
        <w:t>Xiao, J. J., &amp; Porto, N. (2017). Financial education and financial satisfaction: Financial literacy, behavior, and capability as mediators. </w:t>
      </w:r>
      <w:r w:rsidRPr="00352E85">
        <w:rPr>
          <w:rFonts w:ascii="Times New Roman" w:hAnsi="Times New Roman"/>
          <w:i/>
          <w:iCs/>
          <w:color w:val="222222"/>
          <w:shd w:val="clear" w:color="auto" w:fill="FFFFFF"/>
        </w:rPr>
        <w:t>International Journal of Bank Marketing</w:t>
      </w:r>
      <w:r w:rsidRPr="00352E85">
        <w:rPr>
          <w:rFonts w:ascii="Times New Roman" w:hAnsi="Times New Roman"/>
          <w:color w:val="222222"/>
          <w:shd w:val="clear" w:color="auto" w:fill="FFFFFF"/>
        </w:rPr>
        <w:t>, </w:t>
      </w:r>
      <w:r w:rsidRPr="00352E85">
        <w:rPr>
          <w:rFonts w:ascii="Times New Roman" w:hAnsi="Times New Roman"/>
          <w:i/>
          <w:iCs/>
          <w:color w:val="222222"/>
          <w:shd w:val="clear" w:color="auto" w:fill="FFFFFF"/>
        </w:rPr>
        <w:t>35</w:t>
      </w:r>
      <w:r w:rsidRPr="00352E85">
        <w:rPr>
          <w:rFonts w:ascii="Times New Roman" w:hAnsi="Times New Roman"/>
          <w:color w:val="222222"/>
          <w:shd w:val="clear" w:color="auto" w:fill="FFFFFF"/>
        </w:rPr>
        <w:t>(5), 805-817.</w:t>
      </w:r>
    </w:p>
    <w:p w14:paraId="754C806A"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Yang, J., Wu, Y., &amp; Huang, B. (2020). Digital Finance and Financial Literacy: An Empirical Investigation of Chinese Households . </w:t>
      </w:r>
      <w:r w:rsidRPr="00352E85">
        <w:rPr>
          <w:rFonts w:ascii="Times New Roman" w:hAnsi="Times New Roman"/>
          <w:i/>
          <w:iCs/>
          <w:noProof/>
        </w:rPr>
        <w:t>ADBI Working Paper 1209,</w:t>
      </w:r>
      <w:r w:rsidRPr="00352E85">
        <w:rPr>
          <w:rFonts w:ascii="Times New Roman" w:hAnsi="Times New Roman"/>
          <w:noProof/>
        </w:rPr>
        <w:t>.</w:t>
      </w:r>
    </w:p>
    <w:p w14:paraId="12E74F3B" w14:textId="2496F94E"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Zait, A., &amp; Bertea, P. E. (2014). </w:t>
      </w:r>
      <w:r>
        <w:rPr>
          <w:rFonts w:ascii="Times New Roman" w:hAnsi="Times New Roman"/>
          <w:noProof/>
        </w:rPr>
        <w:t>F</w:t>
      </w:r>
      <w:r w:rsidRPr="00352E85">
        <w:rPr>
          <w:rFonts w:ascii="Times New Roman" w:hAnsi="Times New Roman"/>
          <w:noProof/>
        </w:rPr>
        <w:t xml:space="preserve">inancial Literacy: Conceptual Definition and Proposed Approach for a Measurement Instrument. </w:t>
      </w:r>
      <w:r w:rsidRPr="00352E85">
        <w:rPr>
          <w:rFonts w:ascii="Times New Roman" w:hAnsi="Times New Roman"/>
          <w:i/>
          <w:iCs/>
          <w:noProof/>
        </w:rPr>
        <w:t>Journal of Accounting and Management</w:t>
      </w:r>
      <w:r w:rsidRPr="00352E85">
        <w:rPr>
          <w:rFonts w:ascii="Times New Roman" w:hAnsi="Times New Roman"/>
          <w:noProof/>
        </w:rPr>
        <w:t>, Issue 3 33-47.</w:t>
      </w:r>
    </w:p>
    <w:p w14:paraId="4ED7537D" w14:textId="77777777" w:rsidR="005E75F5" w:rsidRPr="00352E85" w:rsidRDefault="005E75F5" w:rsidP="005E75F5">
      <w:pPr>
        <w:pStyle w:val="Bibliography"/>
        <w:spacing w:line="240" w:lineRule="auto"/>
        <w:ind w:left="720" w:hanging="720"/>
        <w:jc w:val="both"/>
        <w:rPr>
          <w:rFonts w:ascii="Times New Roman" w:hAnsi="Times New Roman"/>
          <w:noProof/>
        </w:rPr>
      </w:pPr>
      <w:r w:rsidRPr="00352E85">
        <w:rPr>
          <w:rFonts w:ascii="Times New Roman" w:hAnsi="Times New Roman"/>
          <w:noProof/>
        </w:rPr>
        <w:t xml:space="preserve">Zulfiqar, K., Chaudhary, M. A., &amp; Aslam, A. (2016). Financial Inclusion and Its Implications for Inclusive Growth in Pakistan. </w:t>
      </w:r>
      <w:r w:rsidRPr="00352E85">
        <w:rPr>
          <w:rFonts w:ascii="Times New Roman" w:hAnsi="Times New Roman"/>
          <w:i/>
          <w:iCs/>
          <w:noProof/>
        </w:rPr>
        <w:t>Pakistan Economic and Social Review</w:t>
      </w:r>
      <w:r w:rsidRPr="00352E85">
        <w:rPr>
          <w:rFonts w:ascii="Times New Roman" w:hAnsi="Times New Roman"/>
          <w:noProof/>
        </w:rPr>
        <w:t>, 54(2) 297-325.</w:t>
      </w:r>
    </w:p>
    <w:p w14:paraId="45DBC01D" w14:textId="35AAC012" w:rsidR="00854C87" w:rsidRPr="00070141" w:rsidRDefault="005E75F5" w:rsidP="005E75F5">
      <w:pPr>
        <w:keepNext/>
        <w:keepLines/>
        <w:autoSpaceDE w:val="0"/>
        <w:autoSpaceDN w:val="0"/>
        <w:adjustRightInd w:val="0"/>
        <w:spacing w:after="240" w:line="360" w:lineRule="auto"/>
        <w:jc w:val="both"/>
        <w:outlineLvl w:val="0"/>
        <w:rPr>
          <w:rFonts w:ascii="Times New Roman" w:hAnsi="Times New Roman"/>
          <w:lang w:val="en-GB"/>
        </w:rPr>
      </w:pPr>
      <w:r w:rsidRPr="00A07520">
        <w:rPr>
          <w:lang w:eastAsia="x-none"/>
        </w:rPr>
        <w:fldChar w:fldCharType="end"/>
      </w:r>
    </w:p>
    <w:sectPr w:rsidR="00854C87" w:rsidRPr="00070141" w:rsidSect="00C73D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Governor" w:date="2025-08-09T19:08:00Z" w:initials="G">
    <w:p w14:paraId="5AC071C9" w14:textId="003C30A3" w:rsidR="005F5738" w:rsidRDefault="005F5738">
      <w:pPr>
        <w:pStyle w:val="CommentText"/>
      </w:pPr>
      <w:r>
        <w:rPr>
          <w:rStyle w:val="CommentReference"/>
        </w:rPr>
        <w:annotationRef/>
      </w:r>
      <w:r>
        <w:t>Consider Digital finance Strategy instead of The Digital Key</w:t>
      </w:r>
    </w:p>
  </w:comment>
  <w:comment w:id="16" w:author="Governor" w:date="2025-08-09T19:13:00Z" w:initials="G">
    <w:p w14:paraId="20228CCC" w14:textId="67178BE8" w:rsidR="005F5738" w:rsidRDefault="005F5738">
      <w:pPr>
        <w:pStyle w:val="CommentText"/>
      </w:pPr>
      <w:r>
        <w:rPr>
          <w:rStyle w:val="CommentReference"/>
        </w:rPr>
        <w:annotationRef/>
      </w:r>
      <w:proofErr w:type="spellStart"/>
      <w:r>
        <w:t>Reprase</w:t>
      </w:r>
      <w:proofErr w:type="spellEnd"/>
    </w:p>
  </w:comment>
  <w:comment w:id="17" w:author="Governor" w:date="2025-08-09T19:14:00Z" w:initials="G">
    <w:p w14:paraId="0D5F3B9F" w14:textId="5C730DA0" w:rsidR="005F5738" w:rsidRDefault="005F5738">
      <w:pPr>
        <w:pStyle w:val="CommentText"/>
      </w:pPr>
      <w:r>
        <w:rPr>
          <w:rStyle w:val="CommentReference"/>
        </w:rPr>
        <w:annotationRef/>
      </w:r>
      <w:proofErr w:type="gramStart"/>
      <w:r>
        <w:t>have</w:t>
      </w:r>
      <w:proofErr w:type="gramEnd"/>
    </w:p>
  </w:comment>
  <w:comment w:id="18" w:author="Governor" w:date="2025-08-09T19:15:00Z" w:initials="G">
    <w:p w14:paraId="50906000" w14:textId="6E283B93" w:rsidR="005F5738" w:rsidRDefault="005F5738">
      <w:pPr>
        <w:pStyle w:val="CommentText"/>
      </w:pPr>
      <w:r>
        <w:rPr>
          <w:rStyle w:val="CommentReference"/>
        </w:rPr>
        <w:annotationRef/>
      </w:r>
      <w:proofErr w:type="gramStart"/>
      <w:r>
        <w:t>potentials</w:t>
      </w:r>
      <w:proofErr w:type="gramEnd"/>
    </w:p>
  </w:comment>
  <w:comment w:id="19" w:author="Governor" w:date="2025-08-09T19:16:00Z" w:initials="G">
    <w:p w14:paraId="18825ACF" w14:textId="46DA7992" w:rsidR="005F5738" w:rsidRDefault="005F5738">
      <w:pPr>
        <w:pStyle w:val="CommentText"/>
      </w:pPr>
      <w:r>
        <w:rPr>
          <w:rStyle w:val="CommentReference"/>
        </w:rPr>
        <w:annotationRef/>
      </w:r>
      <w:proofErr w:type="gramStart"/>
      <w:r>
        <w:t>you</w:t>
      </w:r>
      <w:proofErr w:type="gramEnd"/>
      <w:r>
        <w:t xml:space="preserve"> already completed the </w:t>
      </w:r>
      <w:proofErr w:type="spellStart"/>
      <w:r>
        <w:t>reseach</w:t>
      </w:r>
      <w:proofErr w:type="spellEnd"/>
    </w:p>
  </w:comment>
  <w:comment w:id="20" w:author="Governor" w:date="2025-08-09T19:18:00Z" w:initials="G">
    <w:p w14:paraId="4676B9B2" w14:textId="694C78B5" w:rsidR="005F5738" w:rsidRDefault="005F5738">
      <w:pPr>
        <w:pStyle w:val="CommentText"/>
      </w:pPr>
      <w:r>
        <w:rPr>
          <w:rStyle w:val="CommentReference"/>
        </w:rPr>
        <w:annotationRef/>
      </w:r>
      <w:proofErr w:type="gramStart"/>
      <w:r>
        <w:t>replace</w:t>
      </w:r>
      <w:proofErr w:type="gramEnd"/>
      <w:r>
        <w:t xml:space="preserve"> with the study</w:t>
      </w:r>
    </w:p>
  </w:comment>
  <w:comment w:id="21" w:author="Governor" w:date="2025-08-09T19:19:00Z" w:initials="G">
    <w:p w14:paraId="35BFA167" w14:textId="25589153" w:rsidR="005F5738" w:rsidRDefault="005F5738">
      <w:pPr>
        <w:pStyle w:val="CommentText"/>
      </w:pPr>
      <w:r>
        <w:rPr>
          <w:rStyle w:val="CommentReference"/>
        </w:rPr>
        <w:annotationRef/>
      </w:r>
      <w:r>
        <w:t>Rephrase and include recommendation</w:t>
      </w:r>
    </w:p>
  </w:comment>
  <w:comment w:id="22" w:author="Governor" w:date="2025-08-09T19:30:00Z" w:initials="G">
    <w:p w14:paraId="46D73017" w14:textId="3CF112B8" w:rsidR="005F5738" w:rsidRDefault="005F5738">
      <w:pPr>
        <w:pStyle w:val="CommentText"/>
      </w:pPr>
      <w:r>
        <w:rPr>
          <w:rStyle w:val="CommentReference"/>
        </w:rPr>
        <w:annotationRef/>
      </w:r>
      <w:r>
        <w:t>It is better to start with your own view rather from reference</w:t>
      </w:r>
    </w:p>
  </w:comment>
  <w:comment w:id="23" w:author="Governor" w:date="2025-08-09T20:00:00Z" w:initials="G">
    <w:p w14:paraId="4EECAD21" w14:textId="47EF65E6" w:rsidR="005F5738" w:rsidRDefault="005F5738">
      <w:pPr>
        <w:pStyle w:val="CommentText"/>
      </w:pPr>
      <w:r>
        <w:rPr>
          <w:rStyle w:val="CommentReference"/>
        </w:rPr>
        <w:annotationRef/>
      </w:r>
      <w:r>
        <w:t xml:space="preserve">Not in the </w:t>
      </w:r>
      <w:proofErr w:type="spellStart"/>
      <w:r>
        <w:t>refence</w:t>
      </w:r>
      <w:proofErr w:type="spellEnd"/>
      <w:r>
        <w:t xml:space="preserve"> list</w:t>
      </w:r>
    </w:p>
  </w:comment>
  <w:comment w:id="24" w:author="Governor" w:date="2025-08-09T19:33:00Z" w:initials="G">
    <w:p w14:paraId="0767DEC9" w14:textId="4BBCBD16" w:rsidR="005F5738" w:rsidRDefault="005F5738">
      <w:pPr>
        <w:pStyle w:val="CommentText"/>
      </w:pPr>
      <w:r>
        <w:rPr>
          <w:rStyle w:val="CommentReference"/>
        </w:rPr>
        <w:annotationRef/>
      </w:r>
      <w:r>
        <w:t>Not clear</w:t>
      </w:r>
    </w:p>
  </w:comment>
  <w:comment w:id="25" w:author="Governor" w:date="2025-08-09T19:41:00Z" w:initials="G">
    <w:p w14:paraId="59BF4B70" w14:textId="5B1A7460" w:rsidR="005F5738" w:rsidRDefault="005F5738">
      <w:pPr>
        <w:pStyle w:val="CommentText"/>
      </w:pPr>
      <w:r>
        <w:rPr>
          <w:rStyle w:val="CommentReference"/>
        </w:rPr>
        <w:annotationRef/>
      </w:r>
      <w:r>
        <w:t>Rephrase</w:t>
      </w:r>
    </w:p>
  </w:comment>
  <w:comment w:id="26" w:author="Governor" w:date="2025-08-09T20:01:00Z" w:initials="G">
    <w:p w14:paraId="46250923" w14:textId="0E56A9A5" w:rsidR="005F5738" w:rsidRDefault="005F5738">
      <w:pPr>
        <w:pStyle w:val="CommentText"/>
      </w:pPr>
      <w:r>
        <w:rPr>
          <w:rStyle w:val="CommentReference"/>
        </w:rPr>
        <w:annotationRef/>
      </w:r>
      <w:r>
        <w:t>Not in the reference list</w:t>
      </w:r>
    </w:p>
  </w:comment>
  <w:comment w:id="27" w:author="Governor" w:date="2025-08-09T19:45:00Z" w:initials="G">
    <w:p w14:paraId="4DC02A34" w14:textId="24472FDE" w:rsidR="005F5738" w:rsidRDefault="005F5738">
      <w:pPr>
        <w:pStyle w:val="CommentText"/>
      </w:pPr>
      <w:r>
        <w:rPr>
          <w:rStyle w:val="CommentReference"/>
        </w:rPr>
        <w:annotationRef/>
      </w:r>
      <w:r>
        <w:t>Rephrase</w:t>
      </w:r>
    </w:p>
  </w:comment>
  <w:comment w:id="28" w:author="Governor" w:date="2025-08-09T19:59:00Z" w:initials="G">
    <w:p w14:paraId="2345D49E" w14:textId="00D38D9F" w:rsidR="005F5738" w:rsidRDefault="005F5738">
      <w:pPr>
        <w:pStyle w:val="CommentText"/>
      </w:pPr>
      <w:r>
        <w:rPr>
          <w:rStyle w:val="CommentReference"/>
        </w:rPr>
        <w:annotationRef/>
      </w:r>
      <w:r>
        <w:t>Not properly cited</w:t>
      </w:r>
    </w:p>
  </w:comment>
  <w:comment w:id="29" w:author="Governor" w:date="2025-08-09T19:57:00Z" w:initials="G">
    <w:p w14:paraId="100EA929" w14:textId="73B61BBF" w:rsidR="005F5738" w:rsidRDefault="005F5738">
      <w:pPr>
        <w:pStyle w:val="CommentText"/>
      </w:pPr>
      <w:r>
        <w:rPr>
          <w:rStyle w:val="CommentReference"/>
        </w:rPr>
        <w:annotationRef/>
      </w:r>
      <w:r>
        <w:rPr>
          <w:rStyle w:val="CommentReference"/>
        </w:rPr>
        <w:t>Remove</w:t>
      </w:r>
    </w:p>
  </w:comment>
  <w:comment w:id="30" w:author="Governor" w:date="2025-08-09T19:58:00Z" w:initials="G">
    <w:p w14:paraId="2C5351AB" w14:textId="7EA53742" w:rsidR="005F5738" w:rsidRDefault="005F5738">
      <w:pPr>
        <w:pStyle w:val="CommentText"/>
      </w:pPr>
      <w:r>
        <w:rPr>
          <w:rStyle w:val="CommentReference"/>
        </w:rPr>
        <w:annotationRef/>
      </w:r>
      <w:r>
        <w:t>Combine this with 1.1</w:t>
      </w:r>
    </w:p>
  </w:comment>
  <w:comment w:id="31" w:author="Governor" w:date="2025-08-09T20:04:00Z" w:initials="G">
    <w:p w14:paraId="20EF7638" w14:textId="7C173701" w:rsidR="005F5738" w:rsidRDefault="005F5738">
      <w:pPr>
        <w:pStyle w:val="CommentText"/>
      </w:pPr>
      <w:r>
        <w:rPr>
          <w:rStyle w:val="CommentReference"/>
        </w:rPr>
        <w:annotationRef/>
      </w:r>
      <w:r>
        <w:t>Not properly cited</w:t>
      </w:r>
    </w:p>
  </w:comment>
  <w:comment w:id="32" w:author="Governor" w:date="2025-08-09T20:07:00Z" w:initials="G">
    <w:p w14:paraId="0BA83B21" w14:textId="64178A7B" w:rsidR="005F5738" w:rsidRDefault="005F5738">
      <w:pPr>
        <w:pStyle w:val="CommentText"/>
      </w:pPr>
      <w:r>
        <w:rPr>
          <w:rStyle w:val="CommentReference"/>
        </w:rPr>
        <w:annotationRef/>
      </w:r>
      <w:r>
        <w:t>Collapse 1.1 to 1.2 into Conceptual Review which should be under Literature Review</w:t>
      </w:r>
    </w:p>
  </w:comment>
  <w:comment w:id="33" w:author="Governor" w:date="2025-08-09T20:12:00Z" w:initials="G">
    <w:p w14:paraId="76287443" w14:textId="08A0AC1A" w:rsidR="005F5738" w:rsidRDefault="005F5738">
      <w:pPr>
        <w:pStyle w:val="CommentText"/>
      </w:pPr>
      <w:r>
        <w:rPr>
          <w:rStyle w:val="CommentReference"/>
        </w:rPr>
        <w:annotationRef/>
      </w:r>
      <w:r>
        <w:t>The heading should be Theoretical Review which is under Literature Review</w:t>
      </w:r>
    </w:p>
  </w:comment>
  <w:comment w:id="34" w:author="Governor" w:date="2025-08-09T20:14:00Z" w:initials="G">
    <w:p w14:paraId="4EBF89B7" w14:textId="77777777" w:rsidR="005F5738" w:rsidRDefault="005F5738">
      <w:pPr>
        <w:pStyle w:val="CommentText"/>
      </w:pPr>
      <w:r>
        <w:rPr>
          <w:rStyle w:val="CommentReference"/>
        </w:rPr>
        <w:annotationRef/>
      </w:r>
      <w:r>
        <w:t>Not clear</w:t>
      </w:r>
    </w:p>
    <w:p w14:paraId="16F71CDE" w14:textId="52D795E0" w:rsidR="005F5738" w:rsidRDefault="005F5738">
      <w:pPr>
        <w:pStyle w:val="CommentText"/>
      </w:pPr>
      <w:r>
        <w:t>The theory is inadequate and not showing its relevance to the topic.</w:t>
      </w:r>
    </w:p>
  </w:comment>
  <w:comment w:id="35" w:author="Governor" w:date="2025-08-09T20:19:00Z" w:initials="G">
    <w:p w14:paraId="339D9AD3" w14:textId="1D079C6E" w:rsidR="005F5738" w:rsidRDefault="005F5738">
      <w:pPr>
        <w:pStyle w:val="CommentText"/>
      </w:pPr>
      <w:r>
        <w:rPr>
          <w:rStyle w:val="CommentReference"/>
        </w:rPr>
        <w:annotationRef/>
      </w:r>
      <w:r>
        <w:t>The heading here should be Conceptual Review</w:t>
      </w:r>
    </w:p>
  </w:comment>
  <w:comment w:id="36" w:author="Governor" w:date="2025-08-09T20:19:00Z" w:initials="G">
    <w:p w14:paraId="4808E58D" w14:textId="1EDA7E1C" w:rsidR="005F5738" w:rsidRDefault="005F5738">
      <w:pPr>
        <w:pStyle w:val="CommentText"/>
      </w:pPr>
      <w:r>
        <w:rPr>
          <w:rStyle w:val="CommentReference"/>
        </w:rPr>
        <w:annotationRef/>
      </w:r>
      <w:r>
        <w:t>The heading here should be Empirical Review</w:t>
      </w:r>
    </w:p>
  </w:comment>
  <w:comment w:id="43" w:author="Governor" w:date="2025-08-09T20:22:00Z" w:initials="G">
    <w:p w14:paraId="4D38E161" w14:textId="4BAC8AF1" w:rsidR="005F5738" w:rsidRDefault="005F5738">
      <w:pPr>
        <w:pStyle w:val="CommentText"/>
      </w:pPr>
      <w:r>
        <w:rPr>
          <w:rStyle w:val="CommentReference"/>
        </w:rPr>
        <w:annotationRef/>
      </w:r>
      <w:r>
        <w:t>Source</w:t>
      </w:r>
    </w:p>
  </w:comment>
  <w:comment w:id="59" w:author="Governor" w:date="2025-08-09T20:48:00Z" w:initials="G">
    <w:p w14:paraId="6DC525C7" w14:textId="31040B3D" w:rsidR="005F5738" w:rsidRDefault="005F5738">
      <w:pPr>
        <w:pStyle w:val="CommentText"/>
      </w:pPr>
      <w:r>
        <w:rPr>
          <w:rStyle w:val="CommentReference"/>
        </w:rPr>
        <w:annotationRef/>
      </w:r>
      <w:r>
        <w:t>These are duplications of the above</w:t>
      </w:r>
    </w:p>
  </w:comment>
  <w:comment w:id="72" w:author="Governor" w:date="2025-08-09T20:50:00Z" w:initials="G">
    <w:p w14:paraId="032FDE0F" w14:textId="468B3B85" w:rsidR="005F5738" w:rsidRDefault="005F5738">
      <w:pPr>
        <w:pStyle w:val="CommentText"/>
      </w:pPr>
      <w:r>
        <w:rPr>
          <w:rStyle w:val="CommentReference"/>
        </w:rPr>
        <w:annotationRef/>
      </w:r>
      <w:r>
        <w:t>Remove</w:t>
      </w:r>
    </w:p>
  </w:comment>
  <w:comment w:id="75" w:author="Governor" w:date="2025-08-09T20:51:00Z" w:initials="G">
    <w:p w14:paraId="66774311" w14:textId="3795750E" w:rsidR="005F5738" w:rsidRDefault="005F5738">
      <w:pPr>
        <w:pStyle w:val="CommentText"/>
      </w:pPr>
      <w:r>
        <w:rPr>
          <w:rStyle w:val="CommentReference"/>
        </w:rPr>
        <w:annotationRef/>
      </w:r>
      <w:r>
        <w:t>Duplications of the concepts. Why and what is the purpose?</w:t>
      </w:r>
    </w:p>
  </w:comment>
  <w:comment w:id="79" w:author="Governor" w:date="2025-08-09T20:56:00Z" w:initials="G">
    <w:p w14:paraId="07D2AE92" w14:textId="323E9BE6" w:rsidR="005F5738" w:rsidRDefault="005F5738">
      <w:pPr>
        <w:pStyle w:val="CommentText"/>
      </w:pPr>
      <w:r>
        <w:rPr>
          <w:rStyle w:val="CommentReference"/>
        </w:rPr>
        <w:annotationRef/>
      </w:r>
      <w:r>
        <w:t>Source of the table</w:t>
      </w:r>
    </w:p>
  </w:comment>
  <w:comment w:id="81" w:author="Governor" w:date="2025-08-09T21:00:00Z" w:initials="G">
    <w:p w14:paraId="13E6306E" w14:textId="0D08D66E" w:rsidR="005F5738" w:rsidRDefault="005F5738">
      <w:pPr>
        <w:pStyle w:val="CommentText"/>
      </w:pPr>
      <w:r>
        <w:rPr>
          <w:rStyle w:val="CommentReference"/>
        </w:rPr>
        <w:annotationRef/>
      </w:r>
      <w:r>
        <w:t>Not properly listed in the reference list</w:t>
      </w:r>
    </w:p>
  </w:comment>
  <w:comment w:id="85" w:author="Governor" w:date="2025-08-09T21:00:00Z" w:initials="G">
    <w:p w14:paraId="2716FE4C" w14:textId="58E7796B" w:rsidR="005F5738" w:rsidRDefault="005F5738">
      <w:pPr>
        <w:pStyle w:val="CommentText"/>
      </w:pPr>
      <w:r>
        <w:rPr>
          <w:rStyle w:val="CommentReference"/>
        </w:rPr>
        <w:annotationRef/>
      </w:r>
      <w:r>
        <w:t>Source of the table</w:t>
      </w:r>
    </w:p>
  </w:comment>
  <w:comment w:id="88" w:author="Governor" w:date="2025-08-09T21:06:00Z" w:initials="G">
    <w:p w14:paraId="4329F18F" w14:textId="57A9F44E" w:rsidR="005F5738" w:rsidRDefault="005F5738">
      <w:pPr>
        <w:pStyle w:val="CommentText"/>
      </w:pPr>
      <w:r>
        <w:rPr>
          <w:rStyle w:val="CommentReference"/>
        </w:rPr>
        <w:annotationRef/>
      </w:r>
      <w:r>
        <w:t>Source of the table</w:t>
      </w:r>
    </w:p>
  </w:comment>
  <w:comment w:id="91" w:author="Governor" w:date="2025-08-09T21:09:00Z" w:initials="G">
    <w:p w14:paraId="0AFC7B2B" w14:textId="487A4A67" w:rsidR="005F5738" w:rsidRDefault="005F5738">
      <w:pPr>
        <w:pStyle w:val="CommentText"/>
      </w:pPr>
      <w:r>
        <w:rPr>
          <w:rStyle w:val="CommentReference"/>
        </w:rPr>
        <w:annotationRef/>
      </w:r>
      <w:r>
        <w:t>Not clear</w:t>
      </w:r>
    </w:p>
  </w:comment>
  <w:comment w:id="95" w:author="Governor" w:date="2025-08-09T21:12:00Z" w:initials="G">
    <w:p w14:paraId="68142D63" w14:textId="3FF942D2" w:rsidR="005F5738" w:rsidRDefault="005F5738">
      <w:pPr>
        <w:pStyle w:val="CommentText"/>
      </w:pPr>
      <w:r>
        <w:rPr>
          <w:rStyle w:val="CommentReference"/>
        </w:rPr>
        <w:annotationRef/>
      </w:r>
      <w:r>
        <w:t>Include the source</w:t>
      </w:r>
    </w:p>
  </w:comment>
  <w:comment w:id="97" w:author="Governor" w:date="2025-08-09T21:14:00Z" w:initials="G">
    <w:p w14:paraId="58853B6B" w14:textId="368716D2" w:rsidR="005F5738" w:rsidRDefault="005F5738">
      <w:pPr>
        <w:pStyle w:val="CommentText"/>
      </w:pPr>
      <w:r>
        <w:rPr>
          <w:rStyle w:val="CommentReference"/>
        </w:rPr>
        <w:annotationRef/>
      </w:r>
      <w:r>
        <w:t xml:space="preserve">It should be interpretation of </w:t>
      </w:r>
      <w:proofErr w:type="spellStart"/>
      <w:r>
        <w:t>Resuts</w:t>
      </w:r>
      <w:proofErr w:type="spellEnd"/>
    </w:p>
  </w:comment>
  <w:comment w:id="98" w:author="Governor" w:date="2025-08-09T21:16:00Z" w:initials="G">
    <w:p w14:paraId="778336F3" w14:textId="7C65F04B" w:rsidR="005F5738" w:rsidRDefault="005F5738">
      <w:pPr>
        <w:pStyle w:val="CommentText"/>
      </w:pPr>
      <w:r>
        <w:rPr>
          <w:rStyle w:val="CommentReference"/>
        </w:rPr>
        <w:annotationRef/>
      </w:r>
      <w:r>
        <w:t>The result should be other way round. What is your dependent variable?</w:t>
      </w:r>
    </w:p>
  </w:comment>
  <w:comment w:id="99" w:author="Governor" w:date="2025-08-09T21:20:00Z" w:initials="G">
    <w:p w14:paraId="3A21F906" w14:textId="02E0CC01" w:rsidR="005F5738" w:rsidRDefault="005F5738">
      <w:pPr>
        <w:pStyle w:val="CommentText"/>
      </w:pPr>
      <w:r>
        <w:rPr>
          <w:rStyle w:val="CommentReference"/>
        </w:rPr>
        <w:annotationRef/>
      </w:r>
      <w:r>
        <w:t>Consider this also</w:t>
      </w:r>
    </w:p>
  </w:comment>
  <w:comment w:id="100" w:author="Governor" w:date="2025-08-09T21:21:00Z" w:initials="G">
    <w:p w14:paraId="04FEE4E9" w14:textId="0DA5A3BA" w:rsidR="005F5738" w:rsidRDefault="005F5738">
      <w:pPr>
        <w:pStyle w:val="CommentText"/>
      </w:pPr>
      <w:r>
        <w:rPr>
          <w:rStyle w:val="CommentReference"/>
        </w:rPr>
        <w:annotationRef/>
      </w:r>
      <w:r>
        <w:t>Consider this also</w:t>
      </w:r>
    </w:p>
  </w:comment>
  <w:comment w:id="101" w:author="Governor" w:date="2025-08-09T21:23:00Z" w:initials="G">
    <w:p w14:paraId="6DC0679A" w14:textId="109C0299" w:rsidR="005F5738" w:rsidRDefault="005F5738">
      <w:pPr>
        <w:pStyle w:val="CommentText"/>
      </w:pPr>
      <w:r>
        <w:rPr>
          <w:rStyle w:val="CommentReference"/>
        </w:rPr>
        <w:annotationRef/>
      </w:r>
      <w:r>
        <w:t>Consider this also</w:t>
      </w:r>
    </w:p>
  </w:comment>
  <w:comment w:id="103" w:author="Governor" w:date="2025-08-09T21:24:00Z" w:initials="G">
    <w:p w14:paraId="4C1C670C" w14:textId="3CB88E6D" w:rsidR="005F5738" w:rsidRDefault="005F5738">
      <w:pPr>
        <w:pStyle w:val="CommentText"/>
      </w:pPr>
      <w:r>
        <w:rPr>
          <w:rStyle w:val="CommentReference"/>
        </w:rPr>
        <w:annotationRef/>
      </w:r>
      <w:r>
        <w:t>The source of the table</w:t>
      </w:r>
    </w:p>
  </w:comment>
  <w:comment w:id="104" w:author="Governor" w:date="2025-08-09T21:26:00Z" w:initials="G">
    <w:p w14:paraId="0F3CCAC3" w14:textId="0EC438E4" w:rsidR="005F5738" w:rsidRDefault="005F5738">
      <w:pPr>
        <w:pStyle w:val="CommentText"/>
      </w:pPr>
      <w:r>
        <w:rPr>
          <w:rStyle w:val="CommentReference"/>
        </w:rPr>
        <w:annotationRef/>
      </w:r>
      <w:r>
        <w:t>This R-squared is not that strong. You should be able to comment on this</w:t>
      </w:r>
    </w:p>
  </w:comment>
  <w:comment w:id="106" w:author="Governor" w:date="2025-08-09T21:34:00Z" w:initials="G">
    <w:p w14:paraId="3CEFF5F8" w14:textId="2C9E7D21" w:rsidR="00C62B89" w:rsidRDefault="00C62B89">
      <w:pPr>
        <w:pStyle w:val="CommentText"/>
      </w:pPr>
      <w:r>
        <w:rPr>
          <w:rStyle w:val="CommentReference"/>
        </w:rPr>
        <w:annotationRef/>
      </w:r>
      <w:r>
        <w:t xml:space="preserve">Did you test for </w:t>
      </w:r>
      <w:proofErr w:type="spellStart"/>
      <w:r w:rsidRPr="00C62B89">
        <w:t>multicollinearity</w:t>
      </w:r>
      <w:proofErr w:type="spellEnd"/>
      <w:r>
        <w:t xml:space="preserve"> here? If so state the rule</w:t>
      </w:r>
    </w:p>
  </w:comment>
  <w:comment w:id="111" w:author="Governor" w:date="2025-08-09T21:39:00Z" w:initials="G">
    <w:p w14:paraId="15BA68F8" w14:textId="4DFCDB89" w:rsidR="00171897" w:rsidRDefault="00171897">
      <w:pPr>
        <w:pStyle w:val="CommentText"/>
      </w:pPr>
      <w:r>
        <w:rPr>
          <w:rStyle w:val="CommentReference"/>
        </w:rPr>
        <w:annotationRef/>
      </w:r>
      <w:r>
        <w:t>The source of the table</w:t>
      </w:r>
    </w:p>
  </w:comment>
  <w:comment w:id="113" w:author="Governor" w:date="2025-08-09T21:41:00Z" w:initials="G">
    <w:p w14:paraId="787EEC09" w14:textId="03C6AD41" w:rsidR="00171897" w:rsidRDefault="00171897">
      <w:pPr>
        <w:pStyle w:val="CommentText"/>
      </w:pPr>
      <w:r>
        <w:rPr>
          <w:rStyle w:val="CommentReference"/>
        </w:rPr>
        <w:annotationRef/>
      </w:r>
      <w:r>
        <w:t>Cross tabulation</w:t>
      </w:r>
    </w:p>
  </w:comment>
  <w:comment w:id="114" w:author="Governor" w:date="2025-08-09T21:42:00Z" w:initials="G">
    <w:p w14:paraId="77F13ACD" w14:textId="36722102" w:rsidR="00171897" w:rsidRDefault="00171897">
      <w:pPr>
        <w:pStyle w:val="CommentText"/>
      </w:pPr>
      <w:r>
        <w:rPr>
          <w:rStyle w:val="CommentReference"/>
        </w:rPr>
        <w:annotationRef/>
      </w:r>
      <w:r>
        <w:t>Cross tabulation</w:t>
      </w:r>
    </w:p>
  </w:comment>
  <w:comment w:id="115" w:author="Governor" w:date="2025-08-09T21:42:00Z" w:initials="G">
    <w:p w14:paraId="5369283F" w14:textId="6393005A" w:rsidR="00171897" w:rsidRDefault="00171897">
      <w:pPr>
        <w:pStyle w:val="CommentText"/>
      </w:pPr>
      <w:r>
        <w:rPr>
          <w:rStyle w:val="CommentReference"/>
        </w:rPr>
        <w:annotationRef/>
      </w:r>
      <w:r>
        <w:t>The source of the table</w:t>
      </w:r>
    </w:p>
  </w:comment>
  <w:comment w:id="116" w:author="Governor" w:date="2025-08-09T21:43:00Z" w:initials="G">
    <w:p w14:paraId="198178B4" w14:textId="7C632A55" w:rsidR="00171897" w:rsidRDefault="00171897">
      <w:pPr>
        <w:pStyle w:val="CommentText"/>
      </w:pPr>
      <w:r>
        <w:rPr>
          <w:rStyle w:val="CommentReference"/>
        </w:rPr>
        <w:annotationRef/>
      </w:r>
      <w:r>
        <w:t>Cross tabulation</w:t>
      </w:r>
    </w:p>
  </w:comment>
  <w:comment w:id="118" w:author="Governor" w:date="2025-08-09T21:44:00Z" w:initials="G">
    <w:p w14:paraId="035BFC63" w14:textId="63AB6A8D" w:rsidR="00171897" w:rsidRDefault="00171897">
      <w:pPr>
        <w:pStyle w:val="CommentText"/>
      </w:pPr>
      <w:r>
        <w:rPr>
          <w:rStyle w:val="CommentReference"/>
        </w:rPr>
        <w:annotationRef/>
      </w:r>
      <w:r>
        <w:rPr>
          <w:rStyle w:val="CommentReference"/>
        </w:rPr>
        <w:t>The source of the table</w:t>
      </w:r>
    </w:p>
  </w:comment>
  <w:comment w:id="126" w:author="Governor" w:date="2025-08-09T21:49:00Z" w:initials="G">
    <w:p w14:paraId="3AEDF1B3" w14:textId="382B308E" w:rsidR="00A675FA" w:rsidRDefault="00A675FA">
      <w:pPr>
        <w:pStyle w:val="CommentText"/>
      </w:pPr>
      <w:r>
        <w:rPr>
          <w:rStyle w:val="CommentReference"/>
        </w:rPr>
        <w:annotationRef/>
      </w:r>
      <w:r>
        <w:t xml:space="preserve">Is this reference style conforms with the Journal </w:t>
      </w:r>
      <w:proofErr w:type="spellStart"/>
      <w:r>
        <w:t>guildelines</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071C9" w15:done="0"/>
  <w15:commentEx w15:paraId="20228CCC" w15:done="0"/>
  <w15:commentEx w15:paraId="0D5F3B9F" w15:done="0"/>
  <w15:commentEx w15:paraId="50906000" w15:done="0"/>
  <w15:commentEx w15:paraId="18825ACF" w15:done="0"/>
  <w15:commentEx w15:paraId="4676B9B2" w15:done="0"/>
  <w15:commentEx w15:paraId="35BFA167" w15:done="0"/>
  <w15:commentEx w15:paraId="46D73017" w15:done="0"/>
  <w15:commentEx w15:paraId="4EECAD21" w15:done="0"/>
  <w15:commentEx w15:paraId="0767DEC9" w15:done="0"/>
  <w15:commentEx w15:paraId="59BF4B70" w15:done="0"/>
  <w15:commentEx w15:paraId="46250923" w15:done="0"/>
  <w15:commentEx w15:paraId="4DC02A34" w15:done="0"/>
  <w15:commentEx w15:paraId="2345D49E" w15:done="0"/>
  <w15:commentEx w15:paraId="100EA929" w15:done="0"/>
  <w15:commentEx w15:paraId="2C5351AB" w15:done="0"/>
  <w15:commentEx w15:paraId="20EF7638" w15:done="0"/>
  <w15:commentEx w15:paraId="0BA83B21" w15:done="0"/>
  <w15:commentEx w15:paraId="76287443" w15:done="0"/>
  <w15:commentEx w15:paraId="16F71CDE" w15:done="0"/>
  <w15:commentEx w15:paraId="339D9AD3" w15:done="0"/>
  <w15:commentEx w15:paraId="4808E58D" w15:done="0"/>
  <w15:commentEx w15:paraId="4D38E161" w15:done="0"/>
  <w15:commentEx w15:paraId="6DC525C7" w15:done="0"/>
  <w15:commentEx w15:paraId="032FDE0F" w15:done="0"/>
  <w15:commentEx w15:paraId="66774311" w15:done="0"/>
  <w15:commentEx w15:paraId="07D2AE92" w15:done="0"/>
  <w15:commentEx w15:paraId="13E6306E" w15:done="0"/>
  <w15:commentEx w15:paraId="2716FE4C" w15:done="0"/>
  <w15:commentEx w15:paraId="4329F18F" w15:done="0"/>
  <w15:commentEx w15:paraId="0AFC7B2B" w15:done="0"/>
  <w15:commentEx w15:paraId="68142D63" w15:done="0"/>
  <w15:commentEx w15:paraId="58853B6B" w15:done="0"/>
  <w15:commentEx w15:paraId="778336F3" w15:done="0"/>
  <w15:commentEx w15:paraId="3A21F906" w15:done="0"/>
  <w15:commentEx w15:paraId="04FEE4E9" w15:done="0"/>
  <w15:commentEx w15:paraId="6DC0679A" w15:done="0"/>
  <w15:commentEx w15:paraId="4C1C670C" w15:done="0"/>
  <w15:commentEx w15:paraId="0F3CCAC3" w15:done="0"/>
  <w15:commentEx w15:paraId="3CEFF5F8" w15:done="0"/>
  <w15:commentEx w15:paraId="15BA68F8" w15:done="0"/>
  <w15:commentEx w15:paraId="787EEC09" w15:done="0"/>
  <w15:commentEx w15:paraId="77F13ACD" w15:done="0"/>
  <w15:commentEx w15:paraId="5369283F" w15:done="0"/>
  <w15:commentEx w15:paraId="198178B4" w15:done="0"/>
  <w15:commentEx w15:paraId="035BFC63" w15:done="0"/>
  <w15:commentEx w15:paraId="3AEDF1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84216" w14:textId="77777777" w:rsidR="00B27DC3" w:rsidRDefault="00B27DC3" w:rsidP="00521A1E">
      <w:pPr>
        <w:spacing w:after="0" w:line="240" w:lineRule="auto"/>
      </w:pPr>
      <w:r>
        <w:separator/>
      </w:r>
    </w:p>
  </w:endnote>
  <w:endnote w:type="continuationSeparator" w:id="0">
    <w:p w14:paraId="01C9B586" w14:textId="77777777" w:rsidR="00B27DC3" w:rsidRDefault="00B27DC3" w:rsidP="0052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393B" w14:textId="77777777" w:rsidR="005F5738" w:rsidRDefault="005F5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B816E" w14:textId="41857533" w:rsidR="005F5738" w:rsidRDefault="005F5738">
    <w:pPr>
      <w:pStyle w:val="Footer"/>
      <w:jc w:val="center"/>
    </w:pPr>
    <w:r>
      <w:fldChar w:fldCharType="begin"/>
    </w:r>
    <w:r>
      <w:instrText xml:space="preserve"> PAGE   \* MERGEFORMAT </w:instrText>
    </w:r>
    <w:r>
      <w:fldChar w:fldCharType="separate"/>
    </w:r>
    <w:r w:rsidR="004613D4">
      <w:rPr>
        <w:noProof/>
      </w:rPr>
      <w:t>20</w:t>
    </w:r>
    <w:r>
      <w:rPr>
        <w:noProof/>
      </w:rPr>
      <w:fldChar w:fldCharType="end"/>
    </w:r>
  </w:p>
  <w:p w14:paraId="05013B6C" w14:textId="77777777" w:rsidR="005F5738" w:rsidRDefault="005F5738">
    <w:pPr>
      <w:pStyle w:val="Footer"/>
    </w:pPr>
  </w:p>
  <w:p w14:paraId="322904BD" w14:textId="77777777" w:rsidR="005F5738" w:rsidRDefault="005F5738"/>
  <w:p w14:paraId="2318A2CA" w14:textId="77777777" w:rsidR="005F5738" w:rsidRDefault="005F573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D3AB" w14:textId="77777777" w:rsidR="005F5738" w:rsidRDefault="005F5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6A564" w14:textId="77777777" w:rsidR="00B27DC3" w:rsidRDefault="00B27DC3" w:rsidP="00521A1E">
      <w:pPr>
        <w:spacing w:after="0" w:line="240" w:lineRule="auto"/>
      </w:pPr>
      <w:r>
        <w:separator/>
      </w:r>
    </w:p>
  </w:footnote>
  <w:footnote w:type="continuationSeparator" w:id="0">
    <w:p w14:paraId="274464FC" w14:textId="77777777" w:rsidR="00B27DC3" w:rsidRDefault="00B27DC3" w:rsidP="00521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D8B4" w14:textId="3C84D423" w:rsidR="005F5738" w:rsidRDefault="005F5738">
    <w:pPr>
      <w:pStyle w:val="Header"/>
    </w:pPr>
    <w:r>
      <w:rPr>
        <w:noProof/>
      </w:rPr>
      <w:pict w14:anchorId="27CE9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40C7C" w14:textId="05BD1B5E" w:rsidR="005F5738" w:rsidRDefault="005F5738">
    <w:pPr>
      <w:pStyle w:val="Header"/>
    </w:pPr>
    <w:r>
      <w:rPr>
        <w:noProof/>
      </w:rPr>
      <w:pict w14:anchorId="36AF7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56A7F" w14:textId="1A3FFB96" w:rsidR="005F5738" w:rsidRDefault="005F5738">
    <w:pPr>
      <w:pStyle w:val="Header"/>
    </w:pPr>
    <w:r>
      <w:rPr>
        <w:noProof/>
      </w:rPr>
      <w:pict w14:anchorId="6DE58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129"/>
    <w:multiLevelType w:val="hybridMultilevel"/>
    <w:tmpl w:val="A0380B1A"/>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1B94F5F"/>
    <w:multiLevelType w:val="hybridMultilevel"/>
    <w:tmpl w:val="56FA1F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696937"/>
    <w:multiLevelType w:val="hybridMultilevel"/>
    <w:tmpl w:val="6840F7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261E5E"/>
    <w:multiLevelType w:val="hybridMultilevel"/>
    <w:tmpl w:val="436A85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190AEE"/>
    <w:multiLevelType w:val="hybridMultilevel"/>
    <w:tmpl w:val="5658F790"/>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nsid w:val="0ADC5CD4"/>
    <w:multiLevelType w:val="hybridMultilevel"/>
    <w:tmpl w:val="0C1AB4D4"/>
    <w:lvl w:ilvl="0" w:tplc="9D3CA702">
      <w:start w:val="1"/>
      <w:numFmt w:val="bullet"/>
      <w:lvlText w:val=""/>
      <w:lvlJc w:val="left"/>
      <w:pPr>
        <w:tabs>
          <w:tab w:val="num" w:pos="720"/>
        </w:tabs>
        <w:ind w:left="720" w:hanging="360"/>
      </w:pPr>
      <w:rPr>
        <w:rFonts w:ascii="Wingdings" w:hAnsi="Wingdings" w:hint="default"/>
      </w:rPr>
    </w:lvl>
    <w:lvl w:ilvl="1" w:tplc="6E0A1162" w:tentative="1">
      <w:start w:val="1"/>
      <w:numFmt w:val="bullet"/>
      <w:lvlText w:val=""/>
      <w:lvlJc w:val="left"/>
      <w:pPr>
        <w:tabs>
          <w:tab w:val="num" w:pos="1440"/>
        </w:tabs>
        <w:ind w:left="1440" w:hanging="360"/>
      </w:pPr>
      <w:rPr>
        <w:rFonts w:ascii="Wingdings" w:hAnsi="Wingdings" w:hint="default"/>
      </w:rPr>
    </w:lvl>
    <w:lvl w:ilvl="2" w:tplc="1BF62406" w:tentative="1">
      <w:start w:val="1"/>
      <w:numFmt w:val="bullet"/>
      <w:lvlText w:val=""/>
      <w:lvlJc w:val="left"/>
      <w:pPr>
        <w:tabs>
          <w:tab w:val="num" w:pos="2160"/>
        </w:tabs>
        <w:ind w:left="2160" w:hanging="360"/>
      </w:pPr>
      <w:rPr>
        <w:rFonts w:ascii="Wingdings" w:hAnsi="Wingdings" w:hint="default"/>
      </w:rPr>
    </w:lvl>
    <w:lvl w:ilvl="3" w:tplc="49E2B2EA" w:tentative="1">
      <w:start w:val="1"/>
      <w:numFmt w:val="bullet"/>
      <w:lvlText w:val=""/>
      <w:lvlJc w:val="left"/>
      <w:pPr>
        <w:tabs>
          <w:tab w:val="num" w:pos="2880"/>
        </w:tabs>
        <w:ind w:left="2880" w:hanging="360"/>
      </w:pPr>
      <w:rPr>
        <w:rFonts w:ascii="Wingdings" w:hAnsi="Wingdings" w:hint="default"/>
      </w:rPr>
    </w:lvl>
    <w:lvl w:ilvl="4" w:tplc="4CFE3C26" w:tentative="1">
      <w:start w:val="1"/>
      <w:numFmt w:val="bullet"/>
      <w:lvlText w:val=""/>
      <w:lvlJc w:val="left"/>
      <w:pPr>
        <w:tabs>
          <w:tab w:val="num" w:pos="3600"/>
        </w:tabs>
        <w:ind w:left="3600" w:hanging="360"/>
      </w:pPr>
      <w:rPr>
        <w:rFonts w:ascii="Wingdings" w:hAnsi="Wingdings" w:hint="default"/>
      </w:rPr>
    </w:lvl>
    <w:lvl w:ilvl="5" w:tplc="0D142D40" w:tentative="1">
      <w:start w:val="1"/>
      <w:numFmt w:val="bullet"/>
      <w:lvlText w:val=""/>
      <w:lvlJc w:val="left"/>
      <w:pPr>
        <w:tabs>
          <w:tab w:val="num" w:pos="4320"/>
        </w:tabs>
        <w:ind w:left="4320" w:hanging="360"/>
      </w:pPr>
      <w:rPr>
        <w:rFonts w:ascii="Wingdings" w:hAnsi="Wingdings" w:hint="default"/>
      </w:rPr>
    </w:lvl>
    <w:lvl w:ilvl="6" w:tplc="47EEE0F6" w:tentative="1">
      <w:start w:val="1"/>
      <w:numFmt w:val="bullet"/>
      <w:lvlText w:val=""/>
      <w:lvlJc w:val="left"/>
      <w:pPr>
        <w:tabs>
          <w:tab w:val="num" w:pos="5040"/>
        </w:tabs>
        <w:ind w:left="5040" w:hanging="360"/>
      </w:pPr>
      <w:rPr>
        <w:rFonts w:ascii="Wingdings" w:hAnsi="Wingdings" w:hint="default"/>
      </w:rPr>
    </w:lvl>
    <w:lvl w:ilvl="7" w:tplc="ECF40EE6" w:tentative="1">
      <w:start w:val="1"/>
      <w:numFmt w:val="bullet"/>
      <w:lvlText w:val=""/>
      <w:lvlJc w:val="left"/>
      <w:pPr>
        <w:tabs>
          <w:tab w:val="num" w:pos="5760"/>
        </w:tabs>
        <w:ind w:left="5760" w:hanging="360"/>
      </w:pPr>
      <w:rPr>
        <w:rFonts w:ascii="Wingdings" w:hAnsi="Wingdings" w:hint="default"/>
      </w:rPr>
    </w:lvl>
    <w:lvl w:ilvl="8" w:tplc="E8B61E40" w:tentative="1">
      <w:start w:val="1"/>
      <w:numFmt w:val="bullet"/>
      <w:lvlText w:val=""/>
      <w:lvlJc w:val="left"/>
      <w:pPr>
        <w:tabs>
          <w:tab w:val="num" w:pos="6480"/>
        </w:tabs>
        <w:ind w:left="6480" w:hanging="360"/>
      </w:pPr>
      <w:rPr>
        <w:rFonts w:ascii="Wingdings" w:hAnsi="Wingdings" w:hint="default"/>
      </w:rPr>
    </w:lvl>
  </w:abstractNum>
  <w:abstractNum w:abstractNumId="6">
    <w:nsid w:val="0BB42BED"/>
    <w:multiLevelType w:val="hybridMultilevel"/>
    <w:tmpl w:val="C994BC2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0BE217BD"/>
    <w:multiLevelType w:val="hybridMultilevel"/>
    <w:tmpl w:val="A33A79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D571CF"/>
    <w:multiLevelType w:val="hybridMultilevel"/>
    <w:tmpl w:val="C374C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104FC2"/>
    <w:multiLevelType w:val="hybridMultilevel"/>
    <w:tmpl w:val="F6E41AD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0F49216A"/>
    <w:multiLevelType w:val="hybridMultilevel"/>
    <w:tmpl w:val="3A0C35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485C95"/>
    <w:multiLevelType w:val="hybridMultilevel"/>
    <w:tmpl w:val="C780EB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4AD5E0A"/>
    <w:multiLevelType w:val="hybridMultilevel"/>
    <w:tmpl w:val="CA220C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6D4069"/>
    <w:multiLevelType w:val="hybridMultilevel"/>
    <w:tmpl w:val="8AFE9C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150071"/>
    <w:multiLevelType w:val="hybridMultilevel"/>
    <w:tmpl w:val="42007B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9E51C4D"/>
    <w:multiLevelType w:val="hybridMultilevel"/>
    <w:tmpl w:val="7A50B9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B827935"/>
    <w:multiLevelType w:val="hybridMultilevel"/>
    <w:tmpl w:val="53D808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E34786F"/>
    <w:multiLevelType w:val="hybridMultilevel"/>
    <w:tmpl w:val="067ACF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2751477"/>
    <w:multiLevelType w:val="hybridMultilevel"/>
    <w:tmpl w:val="86B444D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25376FC6"/>
    <w:multiLevelType w:val="hybridMultilevel"/>
    <w:tmpl w:val="773C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302A16"/>
    <w:multiLevelType w:val="hybridMultilevel"/>
    <w:tmpl w:val="762271B2"/>
    <w:lvl w:ilvl="0" w:tplc="37B68A3C">
      <w:start w:val="1"/>
      <w:numFmt w:val="bullet"/>
      <w:lvlText w:val=""/>
      <w:lvlJc w:val="left"/>
      <w:pPr>
        <w:tabs>
          <w:tab w:val="num" w:pos="720"/>
        </w:tabs>
        <w:ind w:left="720" w:hanging="360"/>
      </w:pPr>
      <w:rPr>
        <w:rFonts w:ascii="Wingdings" w:hAnsi="Wingdings" w:hint="default"/>
      </w:rPr>
    </w:lvl>
    <w:lvl w:ilvl="1" w:tplc="9892C54E" w:tentative="1">
      <w:start w:val="1"/>
      <w:numFmt w:val="bullet"/>
      <w:lvlText w:val=""/>
      <w:lvlJc w:val="left"/>
      <w:pPr>
        <w:tabs>
          <w:tab w:val="num" w:pos="1440"/>
        </w:tabs>
        <w:ind w:left="1440" w:hanging="360"/>
      </w:pPr>
      <w:rPr>
        <w:rFonts w:ascii="Wingdings" w:hAnsi="Wingdings" w:hint="default"/>
      </w:rPr>
    </w:lvl>
    <w:lvl w:ilvl="2" w:tplc="E5907E50" w:tentative="1">
      <w:start w:val="1"/>
      <w:numFmt w:val="bullet"/>
      <w:lvlText w:val=""/>
      <w:lvlJc w:val="left"/>
      <w:pPr>
        <w:tabs>
          <w:tab w:val="num" w:pos="2160"/>
        </w:tabs>
        <w:ind w:left="2160" w:hanging="360"/>
      </w:pPr>
      <w:rPr>
        <w:rFonts w:ascii="Wingdings" w:hAnsi="Wingdings" w:hint="default"/>
      </w:rPr>
    </w:lvl>
    <w:lvl w:ilvl="3" w:tplc="3F38C90E" w:tentative="1">
      <w:start w:val="1"/>
      <w:numFmt w:val="bullet"/>
      <w:lvlText w:val=""/>
      <w:lvlJc w:val="left"/>
      <w:pPr>
        <w:tabs>
          <w:tab w:val="num" w:pos="2880"/>
        </w:tabs>
        <w:ind w:left="2880" w:hanging="360"/>
      </w:pPr>
      <w:rPr>
        <w:rFonts w:ascii="Wingdings" w:hAnsi="Wingdings" w:hint="default"/>
      </w:rPr>
    </w:lvl>
    <w:lvl w:ilvl="4" w:tplc="C0807A6A" w:tentative="1">
      <w:start w:val="1"/>
      <w:numFmt w:val="bullet"/>
      <w:lvlText w:val=""/>
      <w:lvlJc w:val="left"/>
      <w:pPr>
        <w:tabs>
          <w:tab w:val="num" w:pos="3600"/>
        </w:tabs>
        <w:ind w:left="3600" w:hanging="360"/>
      </w:pPr>
      <w:rPr>
        <w:rFonts w:ascii="Wingdings" w:hAnsi="Wingdings" w:hint="default"/>
      </w:rPr>
    </w:lvl>
    <w:lvl w:ilvl="5" w:tplc="A2DE9900" w:tentative="1">
      <w:start w:val="1"/>
      <w:numFmt w:val="bullet"/>
      <w:lvlText w:val=""/>
      <w:lvlJc w:val="left"/>
      <w:pPr>
        <w:tabs>
          <w:tab w:val="num" w:pos="4320"/>
        </w:tabs>
        <w:ind w:left="4320" w:hanging="360"/>
      </w:pPr>
      <w:rPr>
        <w:rFonts w:ascii="Wingdings" w:hAnsi="Wingdings" w:hint="default"/>
      </w:rPr>
    </w:lvl>
    <w:lvl w:ilvl="6" w:tplc="26062F20" w:tentative="1">
      <w:start w:val="1"/>
      <w:numFmt w:val="bullet"/>
      <w:lvlText w:val=""/>
      <w:lvlJc w:val="left"/>
      <w:pPr>
        <w:tabs>
          <w:tab w:val="num" w:pos="5040"/>
        </w:tabs>
        <w:ind w:left="5040" w:hanging="360"/>
      </w:pPr>
      <w:rPr>
        <w:rFonts w:ascii="Wingdings" w:hAnsi="Wingdings" w:hint="default"/>
      </w:rPr>
    </w:lvl>
    <w:lvl w:ilvl="7" w:tplc="48F2BC48" w:tentative="1">
      <w:start w:val="1"/>
      <w:numFmt w:val="bullet"/>
      <w:lvlText w:val=""/>
      <w:lvlJc w:val="left"/>
      <w:pPr>
        <w:tabs>
          <w:tab w:val="num" w:pos="5760"/>
        </w:tabs>
        <w:ind w:left="5760" w:hanging="360"/>
      </w:pPr>
      <w:rPr>
        <w:rFonts w:ascii="Wingdings" w:hAnsi="Wingdings" w:hint="default"/>
      </w:rPr>
    </w:lvl>
    <w:lvl w:ilvl="8" w:tplc="969C761E" w:tentative="1">
      <w:start w:val="1"/>
      <w:numFmt w:val="bullet"/>
      <w:lvlText w:val=""/>
      <w:lvlJc w:val="left"/>
      <w:pPr>
        <w:tabs>
          <w:tab w:val="num" w:pos="6480"/>
        </w:tabs>
        <w:ind w:left="6480" w:hanging="360"/>
      </w:pPr>
      <w:rPr>
        <w:rFonts w:ascii="Wingdings" w:hAnsi="Wingdings" w:hint="default"/>
      </w:rPr>
    </w:lvl>
  </w:abstractNum>
  <w:abstractNum w:abstractNumId="21">
    <w:nsid w:val="26B47909"/>
    <w:multiLevelType w:val="hybridMultilevel"/>
    <w:tmpl w:val="6120A8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81148A0"/>
    <w:multiLevelType w:val="hybridMultilevel"/>
    <w:tmpl w:val="59465A3E"/>
    <w:lvl w:ilvl="0" w:tplc="04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nsid w:val="2BDA7EEE"/>
    <w:multiLevelType w:val="hybridMultilevel"/>
    <w:tmpl w:val="73FAA22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DD458AB"/>
    <w:multiLevelType w:val="hybridMultilevel"/>
    <w:tmpl w:val="EA1E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4E354E"/>
    <w:multiLevelType w:val="hybridMultilevel"/>
    <w:tmpl w:val="75EE96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51D5B0A"/>
    <w:multiLevelType w:val="hybridMultilevel"/>
    <w:tmpl w:val="CE88C5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7795A57"/>
    <w:multiLevelType w:val="hybridMultilevel"/>
    <w:tmpl w:val="EA0EA5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B23882"/>
    <w:multiLevelType w:val="hybridMultilevel"/>
    <w:tmpl w:val="1D14C9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39134ADB"/>
    <w:multiLevelType w:val="hybridMultilevel"/>
    <w:tmpl w:val="04521AA4"/>
    <w:lvl w:ilvl="0" w:tplc="8AC4F286">
      <w:start w:val="1"/>
      <w:numFmt w:val="bullet"/>
      <w:lvlText w:val=""/>
      <w:lvlJc w:val="left"/>
      <w:pPr>
        <w:tabs>
          <w:tab w:val="num" w:pos="720"/>
        </w:tabs>
        <w:ind w:left="720" w:hanging="360"/>
      </w:pPr>
      <w:rPr>
        <w:rFonts w:ascii="Wingdings" w:hAnsi="Wingdings" w:hint="default"/>
      </w:rPr>
    </w:lvl>
    <w:lvl w:ilvl="1" w:tplc="8AB02D22" w:tentative="1">
      <w:start w:val="1"/>
      <w:numFmt w:val="bullet"/>
      <w:lvlText w:val=""/>
      <w:lvlJc w:val="left"/>
      <w:pPr>
        <w:tabs>
          <w:tab w:val="num" w:pos="1440"/>
        </w:tabs>
        <w:ind w:left="1440" w:hanging="360"/>
      </w:pPr>
      <w:rPr>
        <w:rFonts w:ascii="Wingdings" w:hAnsi="Wingdings" w:hint="default"/>
      </w:rPr>
    </w:lvl>
    <w:lvl w:ilvl="2" w:tplc="BF2C9986" w:tentative="1">
      <w:start w:val="1"/>
      <w:numFmt w:val="bullet"/>
      <w:lvlText w:val=""/>
      <w:lvlJc w:val="left"/>
      <w:pPr>
        <w:tabs>
          <w:tab w:val="num" w:pos="2160"/>
        </w:tabs>
        <w:ind w:left="2160" w:hanging="360"/>
      </w:pPr>
      <w:rPr>
        <w:rFonts w:ascii="Wingdings" w:hAnsi="Wingdings" w:hint="default"/>
      </w:rPr>
    </w:lvl>
    <w:lvl w:ilvl="3" w:tplc="40F43296" w:tentative="1">
      <w:start w:val="1"/>
      <w:numFmt w:val="bullet"/>
      <w:lvlText w:val=""/>
      <w:lvlJc w:val="left"/>
      <w:pPr>
        <w:tabs>
          <w:tab w:val="num" w:pos="2880"/>
        </w:tabs>
        <w:ind w:left="2880" w:hanging="360"/>
      </w:pPr>
      <w:rPr>
        <w:rFonts w:ascii="Wingdings" w:hAnsi="Wingdings" w:hint="default"/>
      </w:rPr>
    </w:lvl>
    <w:lvl w:ilvl="4" w:tplc="06762D14" w:tentative="1">
      <w:start w:val="1"/>
      <w:numFmt w:val="bullet"/>
      <w:lvlText w:val=""/>
      <w:lvlJc w:val="left"/>
      <w:pPr>
        <w:tabs>
          <w:tab w:val="num" w:pos="3600"/>
        </w:tabs>
        <w:ind w:left="3600" w:hanging="360"/>
      </w:pPr>
      <w:rPr>
        <w:rFonts w:ascii="Wingdings" w:hAnsi="Wingdings" w:hint="default"/>
      </w:rPr>
    </w:lvl>
    <w:lvl w:ilvl="5" w:tplc="9CB2C962" w:tentative="1">
      <w:start w:val="1"/>
      <w:numFmt w:val="bullet"/>
      <w:lvlText w:val=""/>
      <w:lvlJc w:val="left"/>
      <w:pPr>
        <w:tabs>
          <w:tab w:val="num" w:pos="4320"/>
        </w:tabs>
        <w:ind w:left="4320" w:hanging="360"/>
      </w:pPr>
      <w:rPr>
        <w:rFonts w:ascii="Wingdings" w:hAnsi="Wingdings" w:hint="default"/>
      </w:rPr>
    </w:lvl>
    <w:lvl w:ilvl="6" w:tplc="4D2E30F0" w:tentative="1">
      <w:start w:val="1"/>
      <w:numFmt w:val="bullet"/>
      <w:lvlText w:val=""/>
      <w:lvlJc w:val="left"/>
      <w:pPr>
        <w:tabs>
          <w:tab w:val="num" w:pos="5040"/>
        </w:tabs>
        <w:ind w:left="5040" w:hanging="360"/>
      </w:pPr>
      <w:rPr>
        <w:rFonts w:ascii="Wingdings" w:hAnsi="Wingdings" w:hint="default"/>
      </w:rPr>
    </w:lvl>
    <w:lvl w:ilvl="7" w:tplc="ECD078D4" w:tentative="1">
      <w:start w:val="1"/>
      <w:numFmt w:val="bullet"/>
      <w:lvlText w:val=""/>
      <w:lvlJc w:val="left"/>
      <w:pPr>
        <w:tabs>
          <w:tab w:val="num" w:pos="5760"/>
        </w:tabs>
        <w:ind w:left="5760" w:hanging="360"/>
      </w:pPr>
      <w:rPr>
        <w:rFonts w:ascii="Wingdings" w:hAnsi="Wingdings" w:hint="default"/>
      </w:rPr>
    </w:lvl>
    <w:lvl w:ilvl="8" w:tplc="C56A1A32" w:tentative="1">
      <w:start w:val="1"/>
      <w:numFmt w:val="bullet"/>
      <w:lvlText w:val=""/>
      <w:lvlJc w:val="left"/>
      <w:pPr>
        <w:tabs>
          <w:tab w:val="num" w:pos="6480"/>
        </w:tabs>
        <w:ind w:left="6480" w:hanging="360"/>
      </w:pPr>
      <w:rPr>
        <w:rFonts w:ascii="Wingdings" w:hAnsi="Wingdings" w:hint="default"/>
      </w:rPr>
    </w:lvl>
  </w:abstractNum>
  <w:abstractNum w:abstractNumId="30">
    <w:nsid w:val="3B04436E"/>
    <w:multiLevelType w:val="hybridMultilevel"/>
    <w:tmpl w:val="38BC0B68"/>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nsid w:val="3D984166"/>
    <w:multiLevelType w:val="hybridMultilevel"/>
    <w:tmpl w:val="4CFA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873F70"/>
    <w:multiLevelType w:val="hybridMultilevel"/>
    <w:tmpl w:val="B4B070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4327CF0"/>
    <w:multiLevelType w:val="hybridMultilevel"/>
    <w:tmpl w:val="D3E6BBF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449C4917"/>
    <w:multiLevelType w:val="hybridMultilevel"/>
    <w:tmpl w:val="61EE86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48B33690"/>
    <w:multiLevelType w:val="hybridMultilevel"/>
    <w:tmpl w:val="68F4F08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nsid w:val="49F17200"/>
    <w:multiLevelType w:val="hybridMultilevel"/>
    <w:tmpl w:val="7B84F4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A252A3E"/>
    <w:multiLevelType w:val="hybridMultilevel"/>
    <w:tmpl w:val="765887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BC467A7"/>
    <w:multiLevelType w:val="hybridMultilevel"/>
    <w:tmpl w:val="5A1A09D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4BF12858"/>
    <w:multiLevelType w:val="multilevel"/>
    <w:tmpl w:val="E8D4A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F775C31"/>
    <w:multiLevelType w:val="hybridMultilevel"/>
    <w:tmpl w:val="3522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955605"/>
    <w:multiLevelType w:val="hybridMultilevel"/>
    <w:tmpl w:val="7172B814"/>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50AF057E"/>
    <w:multiLevelType w:val="hybridMultilevel"/>
    <w:tmpl w:val="7C1CDB9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61C44F2"/>
    <w:multiLevelType w:val="hybridMultilevel"/>
    <w:tmpl w:val="4A3E9E1C"/>
    <w:lvl w:ilvl="0" w:tplc="88A6B7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670452C"/>
    <w:multiLevelType w:val="hybridMultilevel"/>
    <w:tmpl w:val="A7029D0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68746CF"/>
    <w:multiLevelType w:val="hybridMultilevel"/>
    <w:tmpl w:val="244E3F2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nsid w:val="590D1443"/>
    <w:multiLevelType w:val="hybridMultilevel"/>
    <w:tmpl w:val="67E2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7060B7"/>
    <w:multiLevelType w:val="hybridMultilevel"/>
    <w:tmpl w:val="4FC0F2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9CB1429"/>
    <w:multiLevelType w:val="multilevel"/>
    <w:tmpl w:val="9DB23292"/>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5C450237"/>
    <w:multiLevelType w:val="hybridMultilevel"/>
    <w:tmpl w:val="41E6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D0C5A51"/>
    <w:multiLevelType w:val="hybridMultilevel"/>
    <w:tmpl w:val="4A806DC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DAD0E19"/>
    <w:multiLevelType w:val="hybridMultilevel"/>
    <w:tmpl w:val="14EC121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6202282A"/>
    <w:multiLevelType w:val="hybridMultilevel"/>
    <w:tmpl w:val="20E2E1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4084F15"/>
    <w:multiLevelType w:val="hybridMultilevel"/>
    <w:tmpl w:val="8F261626"/>
    <w:lvl w:ilvl="0" w:tplc="04090017">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4">
    <w:nsid w:val="6B917A38"/>
    <w:multiLevelType w:val="hybridMultilevel"/>
    <w:tmpl w:val="111A8F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D064A43"/>
    <w:multiLevelType w:val="hybridMultilevel"/>
    <w:tmpl w:val="607E2C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D453946"/>
    <w:multiLevelType w:val="hybridMultilevel"/>
    <w:tmpl w:val="DDF0E9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D576AB7"/>
    <w:multiLevelType w:val="hybridMultilevel"/>
    <w:tmpl w:val="8B7ECDA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8">
    <w:nsid w:val="6E7D70F1"/>
    <w:multiLevelType w:val="hybridMultilevel"/>
    <w:tmpl w:val="2ED87F3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F584BE7"/>
    <w:multiLevelType w:val="hybridMultilevel"/>
    <w:tmpl w:val="461E839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4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7"/>
  </w:num>
  <w:num w:numId="31">
    <w:abstractNumId w:val="44"/>
  </w:num>
  <w:num w:numId="32">
    <w:abstractNumId w:val="51"/>
  </w:num>
  <w:num w:numId="33">
    <w:abstractNumId w:val="33"/>
  </w:num>
  <w:num w:numId="34">
    <w:abstractNumId w:val="41"/>
  </w:num>
  <w:num w:numId="35">
    <w:abstractNumId w:val="14"/>
  </w:num>
  <w:num w:numId="36">
    <w:abstractNumId w:val="29"/>
  </w:num>
  <w:num w:numId="37">
    <w:abstractNumId w:val="20"/>
  </w:num>
  <w:num w:numId="38">
    <w:abstractNumId w:val="5"/>
  </w:num>
  <w:num w:numId="39">
    <w:abstractNumId w:val="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54"/>
  </w:num>
  <w:num w:numId="45">
    <w:abstractNumId w:val="2"/>
  </w:num>
  <w:num w:numId="46">
    <w:abstractNumId w:val="37"/>
  </w:num>
  <w:num w:numId="47">
    <w:abstractNumId w:val="35"/>
  </w:num>
  <w:num w:numId="48">
    <w:abstractNumId w:val="38"/>
  </w:num>
  <w:num w:numId="49">
    <w:abstractNumId w:val="9"/>
  </w:num>
  <w:num w:numId="50">
    <w:abstractNumId w:val="59"/>
  </w:num>
  <w:num w:numId="51">
    <w:abstractNumId w:val="18"/>
  </w:num>
  <w:num w:numId="52">
    <w:abstractNumId w:val="6"/>
  </w:num>
  <w:num w:numId="53">
    <w:abstractNumId w:val="43"/>
  </w:num>
  <w:num w:numId="54">
    <w:abstractNumId w:val="49"/>
  </w:num>
  <w:num w:numId="55">
    <w:abstractNumId w:val="24"/>
  </w:num>
  <w:num w:numId="56">
    <w:abstractNumId w:val="31"/>
  </w:num>
  <w:num w:numId="57">
    <w:abstractNumId w:val="19"/>
  </w:num>
  <w:num w:numId="58">
    <w:abstractNumId w:val="39"/>
  </w:num>
  <w:num w:numId="59">
    <w:abstractNumId w:val="48"/>
  </w:num>
  <w:num w:numId="60">
    <w:abstractNumId w:val="15"/>
  </w:num>
  <w:num w:numId="61">
    <w:abstractNumId w:val="40"/>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vernor">
    <w15:presenceInfo w15:providerId="None" w15:userId="Govern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W"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ZW"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F5"/>
    <w:rsid w:val="00000066"/>
    <w:rsid w:val="000000E5"/>
    <w:rsid w:val="00000142"/>
    <w:rsid w:val="000008F8"/>
    <w:rsid w:val="00000FA9"/>
    <w:rsid w:val="00000FEE"/>
    <w:rsid w:val="0000129E"/>
    <w:rsid w:val="00001822"/>
    <w:rsid w:val="00002F21"/>
    <w:rsid w:val="00003971"/>
    <w:rsid w:val="00003D49"/>
    <w:rsid w:val="000044F2"/>
    <w:rsid w:val="00004558"/>
    <w:rsid w:val="00004802"/>
    <w:rsid w:val="00005210"/>
    <w:rsid w:val="00005E34"/>
    <w:rsid w:val="00005FA3"/>
    <w:rsid w:val="0000611E"/>
    <w:rsid w:val="00006368"/>
    <w:rsid w:val="00006925"/>
    <w:rsid w:val="00006C75"/>
    <w:rsid w:val="00006E49"/>
    <w:rsid w:val="00007115"/>
    <w:rsid w:val="0000732B"/>
    <w:rsid w:val="000078C1"/>
    <w:rsid w:val="000079B6"/>
    <w:rsid w:val="00007DF7"/>
    <w:rsid w:val="0001083D"/>
    <w:rsid w:val="00010E00"/>
    <w:rsid w:val="00011625"/>
    <w:rsid w:val="000116A8"/>
    <w:rsid w:val="000121C3"/>
    <w:rsid w:val="00013537"/>
    <w:rsid w:val="00013A6E"/>
    <w:rsid w:val="00014CF9"/>
    <w:rsid w:val="0001528E"/>
    <w:rsid w:val="00015291"/>
    <w:rsid w:val="00016E0B"/>
    <w:rsid w:val="000173D5"/>
    <w:rsid w:val="0002049D"/>
    <w:rsid w:val="00020939"/>
    <w:rsid w:val="00021EA6"/>
    <w:rsid w:val="00022358"/>
    <w:rsid w:val="00022704"/>
    <w:rsid w:val="00022B48"/>
    <w:rsid w:val="00022FC9"/>
    <w:rsid w:val="000236DB"/>
    <w:rsid w:val="00023867"/>
    <w:rsid w:val="00023BA2"/>
    <w:rsid w:val="00023F27"/>
    <w:rsid w:val="00026011"/>
    <w:rsid w:val="00026CBE"/>
    <w:rsid w:val="000271C8"/>
    <w:rsid w:val="0002731C"/>
    <w:rsid w:val="00027377"/>
    <w:rsid w:val="00027B3A"/>
    <w:rsid w:val="00030F86"/>
    <w:rsid w:val="000315FB"/>
    <w:rsid w:val="000336E1"/>
    <w:rsid w:val="00033BFF"/>
    <w:rsid w:val="00034029"/>
    <w:rsid w:val="00034A9B"/>
    <w:rsid w:val="00034F40"/>
    <w:rsid w:val="00034F4C"/>
    <w:rsid w:val="00036439"/>
    <w:rsid w:val="000368C1"/>
    <w:rsid w:val="0003765B"/>
    <w:rsid w:val="00041499"/>
    <w:rsid w:val="00041FD8"/>
    <w:rsid w:val="0004219E"/>
    <w:rsid w:val="0004256F"/>
    <w:rsid w:val="0004373B"/>
    <w:rsid w:val="00043A70"/>
    <w:rsid w:val="00043CBB"/>
    <w:rsid w:val="00044C05"/>
    <w:rsid w:val="00045DE6"/>
    <w:rsid w:val="00050340"/>
    <w:rsid w:val="00051018"/>
    <w:rsid w:val="00051B90"/>
    <w:rsid w:val="000523C3"/>
    <w:rsid w:val="00052895"/>
    <w:rsid w:val="00053794"/>
    <w:rsid w:val="00053DBB"/>
    <w:rsid w:val="0005435C"/>
    <w:rsid w:val="00054751"/>
    <w:rsid w:val="00054E37"/>
    <w:rsid w:val="00055264"/>
    <w:rsid w:val="000557FC"/>
    <w:rsid w:val="00055B0C"/>
    <w:rsid w:val="00056524"/>
    <w:rsid w:val="000566B5"/>
    <w:rsid w:val="000570AF"/>
    <w:rsid w:val="00057528"/>
    <w:rsid w:val="00057B32"/>
    <w:rsid w:val="00061927"/>
    <w:rsid w:val="00061B2B"/>
    <w:rsid w:val="000627C8"/>
    <w:rsid w:val="00062E54"/>
    <w:rsid w:val="00062E69"/>
    <w:rsid w:val="00063401"/>
    <w:rsid w:val="000647A5"/>
    <w:rsid w:val="00066A5F"/>
    <w:rsid w:val="0006741F"/>
    <w:rsid w:val="00067DC8"/>
    <w:rsid w:val="000700EA"/>
    <w:rsid w:val="00070141"/>
    <w:rsid w:val="00070E5D"/>
    <w:rsid w:val="00070EC8"/>
    <w:rsid w:val="00071510"/>
    <w:rsid w:val="00072746"/>
    <w:rsid w:val="0007369B"/>
    <w:rsid w:val="000739A2"/>
    <w:rsid w:val="00073B5B"/>
    <w:rsid w:val="00074045"/>
    <w:rsid w:val="0007454A"/>
    <w:rsid w:val="00074F61"/>
    <w:rsid w:val="00075227"/>
    <w:rsid w:val="000768F2"/>
    <w:rsid w:val="00076B87"/>
    <w:rsid w:val="00077F63"/>
    <w:rsid w:val="00080ECA"/>
    <w:rsid w:val="000825A0"/>
    <w:rsid w:val="0008291F"/>
    <w:rsid w:val="00082EB3"/>
    <w:rsid w:val="00082F33"/>
    <w:rsid w:val="000840D8"/>
    <w:rsid w:val="0008466A"/>
    <w:rsid w:val="00084AE5"/>
    <w:rsid w:val="0008519A"/>
    <w:rsid w:val="000856D4"/>
    <w:rsid w:val="000860F9"/>
    <w:rsid w:val="000864BC"/>
    <w:rsid w:val="00086519"/>
    <w:rsid w:val="000865DC"/>
    <w:rsid w:val="00086E88"/>
    <w:rsid w:val="000873A9"/>
    <w:rsid w:val="00087BB2"/>
    <w:rsid w:val="00091B2E"/>
    <w:rsid w:val="00091E29"/>
    <w:rsid w:val="0009209A"/>
    <w:rsid w:val="000927DA"/>
    <w:rsid w:val="0009320A"/>
    <w:rsid w:val="000932C2"/>
    <w:rsid w:val="000940D1"/>
    <w:rsid w:val="00094BFD"/>
    <w:rsid w:val="00095808"/>
    <w:rsid w:val="00095C75"/>
    <w:rsid w:val="00095FE7"/>
    <w:rsid w:val="0009666B"/>
    <w:rsid w:val="00096D28"/>
    <w:rsid w:val="00097191"/>
    <w:rsid w:val="00097948"/>
    <w:rsid w:val="000A030C"/>
    <w:rsid w:val="000A0970"/>
    <w:rsid w:val="000A0A05"/>
    <w:rsid w:val="000A155D"/>
    <w:rsid w:val="000A1698"/>
    <w:rsid w:val="000A202A"/>
    <w:rsid w:val="000A2248"/>
    <w:rsid w:val="000A251B"/>
    <w:rsid w:val="000A285B"/>
    <w:rsid w:val="000A2E5C"/>
    <w:rsid w:val="000A347C"/>
    <w:rsid w:val="000A47E7"/>
    <w:rsid w:val="000A4BD1"/>
    <w:rsid w:val="000A4DE9"/>
    <w:rsid w:val="000A5920"/>
    <w:rsid w:val="000A5D3C"/>
    <w:rsid w:val="000A5EF1"/>
    <w:rsid w:val="000A6A6B"/>
    <w:rsid w:val="000A6BA0"/>
    <w:rsid w:val="000A6E3F"/>
    <w:rsid w:val="000A6F6E"/>
    <w:rsid w:val="000A7DC4"/>
    <w:rsid w:val="000B0986"/>
    <w:rsid w:val="000B0C1A"/>
    <w:rsid w:val="000B0CCF"/>
    <w:rsid w:val="000B0D4D"/>
    <w:rsid w:val="000B140B"/>
    <w:rsid w:val="000B190B"/>
    <w:rsid w:val="000B19C2"/>
    <w:rsid w:val="000B3113"/>
    <w:rsid w:val="000B3718"/>
    <w:rsid w:val="000B37A1"/>
    <w:rsid w:val="000B39B1"/>
    <w:rsid w:val="000B4685"/>
    <w:rsid w:val="000B5C4D"/>
    <w:rsid w:val="000C05E5"/>
    <w:rsid w:val="000C105A"/>
    <w:rsid w:val="000C21FB"/>
    <w:rsid w:val="000C22F5"/>
    <w:rsid w:val="000C2A38"/>
    <w:rsid w:val="000C56B4"/>
    <w:rsid w:val="000C63E0"/>
    <w:rsid w:val="000C6743"/>
    <w:rsid w:val="000C775C"/>
    <w:rsid w:val="000C784B"/>
    <w:rsid w:val="000D0DD7"/>
    <w:rsid w:val="000D10CF"/>
    <w:rsid w:val="000D243D"/>
    <w:rsid w:val="000D27F9"/>
    <w:rsid w:val="000D2B96"/>
    <w:rsid w:val="000D38EA"/>
    <w:rsid w:val="000D4FB3"/>
    <w:rsid w:val="000D5320"/>
    <w:rsid w:val="000D5C5E"/>
    <w:rsid w:val="000D6448"/>
    <w:rsid w:val="000D6D9A"/>
    <w:rsid w:val="000D7D8D"/>
    <w:rsid w:val="000D7F35"/>
    <w:rsid w:val="000E1359"/>
    <w:rsid w:val="000E26E8"/>
    <w:rsid w:val="000E2EC5"/>
    <w:rsid w:val="000E3015"/>
    <w:rsid w:val="000E3123"/>
    <w:rsid w:val="000E5DDF"/>
    <w:rsid w:val="000E5E3B"/>
    <w:rsid w:val="000E5FDD"/>
    <w:rsid w:val="000E6D3B"/>
    <w:rsid w:val="000E766F"/>
    <w:rsid w:val="000E7B27"/>
    <w:rsid w:val="000F0443"/>
    <w:rsid w:val="000F078F"/>
    <w:rsid w:val="000F0A80"/>
    <w:rsid w:val="000F139E"/>
    <w:rsid w:val="000F2571"/>
    <w:rsid w:val="000F2B43"/>
    <w:rsid w:val="000F3704"/>
    <w:rsid w:val="000F4C0F"/>
    <w:rsid w:val="000F528F"/>
    <w:rsid w:val="000F598F"/>
    <w:rsid w:val="000F5E49"/>
    <w:rsid w:val="000F6616"/>
    <w:rsid w:val="00100360"/>
    <w:rsid w:val="00100B4A"/>
    <w:rsid w:val="00100C66"/>
    <w:rsid w:val="00100EBA"/>
    <w:rsid w:val="00101199"/>
    <w:rsid w:val="00101509"/>
    <w:rsid w:val="00102D65"/>
    <w:rsid w:val="00103AAE"/>
    <w:rsid w:val="00103BA8"/>
    <w:rsid w:val="0010409B"/>
    <w:rsid w:val="00104491"/>
    <w:rsid w:val="00104F0A"/>
    <w:rsid w:val="0010780C"/>
    <w:rsid w:val="0010785E"/>
    <w:rsid w:val="00110D87"/>
    <w:rsid w:val="001118FD"/>
    <w:rsid w:val="00111A08"/>
    <w:rsid w:val="001132DD"/>
    <w:rsid w:val="0011357D"/>
    <w:rsid w:val="0011442F"/>
    <w:rsid w:val="00114A92"/>
    <w:rsid w:val="00114B06"/>
    <w:rsid w:val="00114C7F"/>
    <w:rsid w:val="00116601"/>
    <w:rsid w:val="00117250"/>
    <w:rsid w:val="001200FB"/>
    <w:rsid w:val="001214E6"/>
    <w:rsid w:val="00121DA4"/>
    <w:rsid w:val="001223FD"/>
    <w:rsid w:val="00122CC3"/>
    <w:rsid w:val="0012346D"/>
    <w:rsid w:val="00123FEC"/>
    <w:rsid w:val="00125280"/>
    <w:rsid w:val="00125BA7"/>
    <w:rsid w:val="00125F14"/>
    <w:rsid w:val="00125FB3"/>
    <w:rsid w:val="001269AA"/>
    <w:rsid w:val="00126B04"/>
    <w:rsid w:val="00127839"/>
    <w:rsid w:val="001279E7"/>
    <w:rsid w:val="00127AA2"/>
    <w:rsid w:val="00130C06"/>
    <w:rsid w:val="00130FF5"/>
    <w:rsid w:val="00130FFF"/>
    <w:rsid w:val="00131A2F"/>
    <w:rsid w:val="0013201A"/>
    <w:rsid w:val="00133414"/>
    <w:rsid w:val="00133C49"/>
    <w:rsid w:val="00133D3E"/>
    <w:rsid w:val="001340F4"/>
    <w:rsid w:val="001341B7"/>
    <w:rsid w:val="00134DC0"/>
    <w:rsid w:val="00134E0A"/>
    <w:rsid w:val="001359CF"/>
    <w:rsid w:val="00135B4F"/>
    <w:rsid w:val="00135E50"/>
    <w:rsid w:val="0013666B"/>
    <w:rsid w:val="001367BE"/>
    <w:rsid w:val="001374B3"/>
    <w:rsid w:val="00137579"/>
    <w:rsid w:val="001418EE"/>
    <w:rsid w:val="00142442"/>
    <w:rsid w:val="00142EE7"/>
    <w:rsid w:val="00143373"/>
    <w:rsid w:val="001455DC"/>
    <w:rsid w:val="0014666D"/>
    <w:rsid w:val="00147F6B"/>
    <w:rsid w:val="001503A9"/>
    <w:rsid w:val="00152ACF"/>
    <w:rsid w:val="00152F37"/>
    <w:rsid w:val="001530D7"/>
    <w:rsid w:val="00153BA5"/>
    <w:rsid w:val="00153DA0"/>
    <w:rsid w:val="00154D86"/>
    <w:rsid w:val="00155E03"/>
    <w:rsid w:val="00156E10"/>
    <w:rsid w:val="0016058F"/>
    <w:rsid w:val="00160712"/>
    <w:rsid w:val="00160FE1"/>
    <w:rsid w:val="00161142"/>
    <w:rsid w:val="001629A6"/>
    <w:rsid w:val="00163175"/>
    <w:rsid w:val="00163261"/>
    <w:rsid w:val="00163505"/>
    <w:rsid w:val="00163687"/>
    <w:rsid w:val="00163E07"/>
    <w:rsid w:val="0016502F"/>
    <w:rsid w:val="001659F1"/>
    <w:rsid w:val="00165D26"/>
    <w:rsid w:val="0016624C"/>
    <w:rsid w:val="00166543"/>
    <w:rsid w:val="001673FE"/>
    <w:rsid w:val="00167644"/>
    <w:rsid w:val="0016784F"/>
    <w:rsid w:val="00171897"/>
    <w:rsid w:val="0017281B"/>
    <w:rsid w:val="00173569"/>
    <w:rsid w:val="0017357A"/>
    <w:rsid w:val="0017378D"/>
    <w:rsid w:val="0017549A"/>
    <w:rsid w:val="00175A45"/>
    <w:rsid w:val="00176021"/>
    <w:rsid w:val="001769FC"/>
    <w:rsid w:val="0017725B"/>
    <w:rsid w:val="00180085"/>
    <w:rsid w:val="001803B8"/>
    <w:rsid w:val="00181ADF"/>
    <w:rsid w:val="0018289F"/>
    <w:rsid w:val="00182D8C"/>
    <w:rsid w:val="00183A8A"/>
    <w:rsid w:val="00184528"/>
    <w:rsid w:val="00184A43"/>
    <w:rsid w:val="00184E01"/>
    <w:rsid w:val="001851B4"/>
    <w:rsid w:val="00185360"/>
    <w:rsid w:val="001858F6"/>
    <w:rsid w:val="00185979"/>
    <w:rsid w:val="00185D88"/>
    <w:rsid w:val="00185E4E"/>
    <w:rsid w:val="00186475"/>
    <w:rsid w:val="00186E6C"/>
    <w:rsid w:val="00186FA2"/>
    <w:rsid w:val="00187135"/>
    <w:rsid w:val="0018780A"/>
    <w:rsid w:val="001905BE"/>
    <w:rsid w:val="00190627"/>
    <w:rsid w:val="001910EC"/>
    <w:rsid w:val="001926D9"/>
    <w:rsid w:val="00193CF8"/>
    <w:rsid w:val="001948AC"/>
    <w:rsid w:val="00196E1B"/>
    <w:rsid w:val="00197514"/>
    <w:rsid w:val="00197AC6"/>
    <w:rsid w:val="001A0D04"/>
    <w:rsid w:val="001A1E24"/>
    <w:rsid w:val="001A1F53"/>
    <w:rsid w:val="001A253E"/>
    <w:rsid w:val="001A33BF"/>
    <w:rsid w:val="001A3471"/>
    <w:rsid w:val="001A3C3C"/>
    <w:rsid w:val="001A3E8F"/>
    <w:rsid w:val="001A3FF3"/>
    <w:rsid w:val="001A5253"/>
    <w:rsid w:val="001A5D45"/>
    <w:rsid w:val="001B1636"/>
    <w:rsid w:val="001B2555"/>
    <w:rsid w:val="001B3A7D"/>
    <w:rsid w:val="001B4D41"/>
    <w:rsid w:val="001B4F53"/>
    <w:rsid w:val="001B5098"/>
    <w:rsid w:val="001B6309"/>
    <w:rsid w:val="001B6992"/>
    <w:rsid w:val="001B69F8"/>
    <w:rsid w:val="001B6CFB"/>
    <w:rsid w:val="001B702E"/>
    <w:rsid w:val="001B7162"/>
    <w:rsid w:val="001B750C"/>
    <w:rsid w:val="001B7599"/>
    <w:rsid w:val="001B7E8D"/>
    <w:rsid w:val="001C009E"/>
    <w:rsid w:val="001C1CA3"/>
    <w:rsid w:val="001C21B8"/>
    <w:rsid w:val="001C2EFF"/>
    <w:rsid w:val="001C3378"/>
    <w:rsid w:val="001C34C1"/>
    <w:rsid w:val="001C417B"/>
    <w:rsid w:val="001C5271"/>
    <w:rsid w:val="001C6642"/>
    <w:rsid w:val="001C6D6F"/>
    <w:rsid w:val="001C6FCC"/>
    <w:rsid w:val="001C7658"/>
    <w:rsid w:val="001D0EC3"/>
    <w:rsid w:val="001D1D42"/>
    <w:rsid w:val="001D21FB"/>
    <w:rsid w:val="001D2274"/>
    <w:rsid w:val="001D2A7D"/>
    <w:rsid w:val="001D3F58"/>
    <w:rsid w:val="001D4482"/>
    <w:rsid w:val="001D5671"/>
    <w:rsid w:val="001D5914"/>
    <w:rsid w:val="001D6644"/>
    <w:rsid w:val="001D7700"/>
    <w:rsid w:val="001D7E50"/>
    <w:rsid w:val="001E127F"/>
    <w:rsid w:val="001E13F5"/>
    <w:rsid w:val="001E32A5"/>
    <w:rsid w:val="001E3368"/>
    <w:rsid w:val="001E363B"/>
    <w:rsid w:val="001E40FD"/>
    <w:rsid w:val="001E49C2"/>
    <w:rsid w:val="001E5B86"/>
    <w:rsid w:val="001E5BC1"/>
    <w:rsid w:val="001E7A1A"/>
    <w:rsid w:val="001F0426"/>
    <w:rsid w:val="001F14D9"/>
    <w:rsid w:val="001F1DB3"/>
    <w:rsid w:val="001F243F"/>
    <w:rsid w:val="001F2838"/>
    <w:rsid w:val="001F2E1E"/>
    <w:rsid w:val="001F353F"/>
    <w:rsid w:val="001F361E"/>
    <w:rsid w:val="001F4B53"/>
    <w:rsid w:val="001F50B5"/>
    <w:rsid w:val="001F6F76"/>
    <w:rsid w:val="001F7BAD"/>
    <w:rsid w:val="001F7D1A"/>
    <w:rsid w:val="001F7D45"/>
    <w:rsid w:val="002005E5"/>
    <w:rsid w:val="00200FD3"/>
    <w:rsid w:val="00202875"/>
    <w:rsid w:val="00202D1C"/>
    <w:rsid w:val="00204DC3"/>
    <w:rsid w:val="00206168"/>
    <w:rsid w:val="002061F5"/>
    <w:rsid w:val="00206604"/>
    <w:rsid w:val="00207338"/>
    <w:rsid w:val="0020777C"/>
    <w:rsid w:val="00207F29"/>
    <w:rsid w:val="002109C3"/>
    <w:rsid w:val="00210FA5"/>
    <w:rsid w:val="0021133E"/>
    <w:rsid w:val="002116E5"/>
    <w:rsid w:val="002117A9"/>
    <w:rsid w:val="00211BBA"/>
    <w:rsid w:val="00211FBD"/>
    <w:rsid w:val="0021237A"/>
    <w:rsid w:val="00212884"/>
    <w:rsid w:val="00212ECD"/>
    <w:rsid w:val="002134A3"/>
    <w:rsid w:val="00213562"/>
    <w:rsid w:val="00213CF6"/>
    <w:rsid w:val="00213E0A"/>
    <w:rsid w:val="002158CE"/>
    <w:rsid w:val="00217CD6"/>
    <w:rsid w:val="00217E75"/>
    <w:rsid w:val="002215D5"/>
    <w:rsid w:val="0022189C"/>
    <w:rsid w:val="00222025"/>
    <w:rsid w:val="002225FE"/>
    <w:rsid w:val="002227F1"/>
    <w:rsid w:val="00222973"/>
    <w:rsid w:val="00223982"/>
    <w:rsid w:val="00224B41"/>
    <w:rsid w:val="00224E0A"/>
    <w:rsid w:val="00225B92"/>
    <w:rsid w:val="002267E4"/>
    <w:rsid w:val="00227785"/>
    <w:rsid w:val="00227D9F"/>
    <w:rsid w:val="0023099A"/>
    <w:rsid w:val="0023109E"/>
    <w:rsid w:val="00231268"/>
    <w:rsid w:val="0023136E"/>
    <w:rsid w:val="00231516"/>
    <w:rsid w:val="002316D3"/>
    <w:rsid w:val="002328E7"/>
    <w:rsid w:val="00232A0A"/>
    <w:rsid w:val="002342CD"/>
    <w:rsid w:val="00234CFB"/>
    <w:rsid w:val="00235324"/>
    <w:rsid w:val="00235CA3"/>
    <w:rsid w:val="0023600D"/>
    <w:rsid w:val="00236734"/>
    <w:rsid w:val="00236A12"/>
    <w:rsid w:val="00236ED4"/>
    <w:rsid w:val="00242D8C"/>
    <w:rsid w:val="00242F2B"/>
    <w:rsid w:val="00243708"/>
    <w:rsid w:val="002449D6"/>
    <w:rsid w:val="00244AF3"/>
    <w:rsid w:val="00245B9A"/>
    <w:rsid w:val="00250ABD"/>
    <w:rsid w:val="00250C5F"/>
    <w:rsid w:val="00250FF5"/>
    <w:rsid w:val="0025187F"/>
    <w:rsid w:val="00251E73"/>
    <w:rsid w:val="00252284"/>
    <w:rsid w:val="00252539"/>
    <w:rsid w:val="002526C4"/>
    <w:rsid w:val="002537EB"/>
    <w:rsid w:val="00253A61"/>
    <w:rsid w:val="0025439C"/>
    <w:rsid w:val="002543FE"/>
    <w:rsid w:val="0025445D"/>
    <w:rsid w:val="002545BA"/>
    <w:rsid w:val="00254F7C"/>
    <w:rsid w:val="00255583"/>
    <w:rsid w:val="00255815"/>
    <w:rsid w:val="00257459"/>
    <w:rsid w:val="002575ED"/>
    <w:rsid w:val="002607C7"/>
    <w:rsid w:val="00260B16"/>
    <w:rsid w:val="00260EFC"/>
    <w:rsid w:val="00262630"/>
    <w:rsid w:val="00262779"/>
    <w:rsid w:val="00262C00"/>
    <w:rsid w:val="00263C9C"/>
    <w:rsid w:val="00263F68"/>
    <w:rsid w:val="002656FA"/>
    <w:rsid w:val="002663DF"/>
    <w:rsid w:val="00267883"/>
    <w:rsid w:val="0027041A"/>
    <w:rsid w:val="00270D8A"/>
    <w:rsid w:val="00270DE5"/>
    <w:rsid w:val="00270FC4"/>
    <w:rsid w:val="002715E4"/>
    <w:rsid w:val="00271A8C"/>
    <w:rsid w:val="00272035"/>
    <w:rsid w:val="00273C4F"/>
    <w:rsid w:val="0027423A"/>
    <w:rsid w:val="002743A4"/>
    <w:rsid w:val="002746E5"/>
    <w:rsid w:val="00274DDD"/>
    <w:rsid w:val="00274DF4"/>
    <w:rsid w:val="0027504F"/>
    <w:rsid w:val="00275082"/>
    <w:rsid w:val="002751B4"/>
    <w:rsid w:val="00275422"/>
    <w:rsid w:val="002761D9"/>
    <w:rsid w:val="00276ED4"/>
    <w:rsid w:val="0027762E"/>
    <w:rsid w:val="00277FB2"/>
    <w:rsid w:val="0028008B"/>
    <w:rsid w:val="00280736"/>
    <w:rsid w:val="0028191C"/>
    <w:rsid w:val="00281AC9"/>
    <w:rsid w:val="00281C3E"/>
    <w:rsid w:val="002834BD"/>
    <w:rsid w:val="00284096"/>
    <w:rsid w:val="00284642"/>
    <w:rsid w:val="0028497F"/>
    <w:rsid w:val="00284F87"/>
    <w:rsid w:val="00285B30"/>
    <w:rsid w:val="0028727E"/>
    <w:rsid w:val="00287FC8"/>
    <w:rsid w:val="002921E6"/>
    <w:rsid w:val="002927EB"/>
    <w:rsid w:val="00292E1D"/>
    <w:rsid w:val="00293702"/>
    <w:rsid w:val="00294ACB"/>
    <w:rsid w:val="00294E71"/>
    <w:rsid w:val="00295813"/>
    <w:rsid w:val="00295C57"/>
    <w:rsid w:val="00295F33"/>
    <w:rsid w:val="0029642F"/>
    <w:rsid w:val="002970DA"/>
    <w:rsid w:val="002973BE"/>
    <w:rsid w:val="002A00F1"/>
    <w:rsid w:val="002A0E22"/>
    <w:rsid w:val="002A1AB3"/>
    <w:rsid w:val="002A2AD9"/>
    <w:rsid w:val="002A2B64"/>
    <w:rsid w:val="002A2EF7"/>
    <w:rsid w:val="002A3216"/>
    <w:rsid w:val="002A3F3B"/>
    <w:rsid w:val="002A4546"/>
    <w:rsid w:val="002A4717"/>
    <w:rsid w:val="002A481E"/>
    <w:rsid w:val="002A4823"/>
    <w:rsid w:val="002A49CA"/>
    <w:rsid w:val="002A4B65"/>
    <w:rsid w:val="002A58AF"/>
    <w:rsid w:val="002A58E0"/>
    <w:rsid w:val="002A5F23"/>
    <w:rsid w:val="002A62AB"/>
    <w:rsid w:val="002A6E4F"/>
    <w:rsid w:val="002A6F01"/>
    <w:rsid w:val="002A7057"/>
    <w:rsid w:val="002A7776"/>
    <w:rsid w:val="002A7C94"/>
    <w:rsid w:val="002B06F7"/>
    <w:rsid w:val="002B08AE"/>
    <w:rsid w:val="002B0F46"/>
    <w:rsid w:val="002B17B5"/>
    <w:rsid w:val="002B1BAA"/>
    <w:rsid w:val="002B1C53"/>
    <w:rsid w:val="002B1F29"/>
    <w:rsid w:val="002B24C9"/>
    <w:rsid w:val="002B24EF"/>
    <w:rsid w:val="002B29E6"/>
    <w:rsid w:val="002B3A0B"/>
    <w:rsid w:val="002B4E90"/>
    <w:rsid w:val="002B4FFA"/>
    <w:rsid w:val="002B5D24"/>
    <w:rsid w:val="002B6267"/>
    <w:rsid w:val="002C00F1"/>
    <w:rsid w:val="002C0D56"/>
    <w:rsid w:val="002C173E"/>
    <w:rsid w:val="002C1AEA"/>
    <w:rsid w:val="002C1B3D"/>
    <w:rsid w:val="002C20C0"/>
    <w:rsid w:val="002C2650"/>
    <w:rsid w:val="002C2953"/>
    <w:rsid w:val="002C2B46"/>
    <w:rsid w:val="002C3777"/>
    <w:rsid w:val="002C4714"/>
    <w:rsid w:val="002C4AF0"/>
    <w:rsid w:val="002C4F0C"/>
    <w:rsid w:val="002C51F0"/>
    <w:rsid w:val="002C6637"/>
    <w:rsid w:val="002C738C"/>
    <w:rsid w:val="002C790B"/>
    <w:rsid w:val="002C7948"/>
    <w:rsid w:val="002D02FA"/>
    <w:rsid w:val="002D0859"/>
    <w:rsid w:val="002D1ECD"/>
    <w:rsid w:val="002D21F9"/>
    <w:rsid w:val="002D22F6"/>
    <w:rsid w:val="002D24C1"/>
    <w:rsid w:val="002D400F"/>
    <w:rsid w:val="002D488D"/>
    <w:rsid w:val="002D547B"/>
    <w:rsid w:val="002D5C16"/>
    <w:rsid w:val="002D5C2F"/>
    <w:rsid w:val="002D5E30"/>
    <w:rsid w:val="002D6319"/>
    <w:rsid w:val="002D6F8A"/>
    <w:rsid w:val="002D708B"/>
    <w:rsid w:val="002D7B68"/>
    <w:rsid w:val="002E02ED"/>
    <w:rsid w:val="002E0642"/>
    <w:rsid w:val="002E1A10"/>
    <w:rsid w:val="002E1AA7"/>
    <w:rsid w:val="002E2BA1"/>
    <w:rsid w:val="002E5DE4"/>
    <w:rsid w:val="002E5E74"/>
    <w:rsid w:val="002E6B6D"/>
    <w:rsid w:val="002E6B7E"/>
    <w:rsid w:val="002E706D"/>
    <w:rsid w:val="002F07A8"/>
    <w:rsid w:val="002F185B"/>
    <w:rsid w:val="002F2AB5"/>
    <w:rsid w:val="002F3C15"/>
    <w:rsid w:val="002F502D"/>
    <w:rsid w:val="002F5C59"/>
    <w:rsid w:val="002F6C0C"/>
    <w:rsid w:val="002F6FBA"/>
    <w:rsid w:val="002F753B"/>
    <w:rsid w:val="002F7B4C"/>
    <w:rsid w:val="002F7D68"/>
    <w:rsid w:val="003001BD"/>
    <w:rsid w:val="0030098C"/>
    <w:rsid w:val="00301067"/>
    <w:rsid w:val="00301DBB"/>
    <w:rsid w:val="003033AE"/>
    <w:rsid w:val="00303D34"/>
    <w:rsid w:val="00304EED"/>
    <w:rsid w:val="00305448"/>
    <w:rsid w:val="00305DBF"/>
    <w:rsid w:val="00305E6C"/>
    <w:rsid w:val="00306F40"/>
    <w:rsid w:val="0030706E"/>
    <w:rsid w:val="00310859"/>
    <w:rsid w:val="00310F4B"/>
    <w:rsid w:val="00311023"/>
    <w:rsid w:val="0031158F"/>
    <w:rsid w:val="003117C8"/>
    <w:rsid w:val="00314E31"/>
    <w:rsid w:val="00314EB0"/>
    <w:rsid w:val="003151C1"/>
    <w:rsid w:val="00315564"/>
    <w:rsid w:val="00316D4C"/>
    <w:rsid w:val="003176F1"/>
    <w:rsid w:val="00317D77"/>
    <w:rsid w:val="00317F82"/>
    <w:rsid w:val="00320C5D"/>
    <w:rsid w:val="00321124"/>
    <w:rsid w:val="00321864"/>
    <w:rsid w:val="00321DF8"/>
    <w:rsid w:val="00322657"/>
    <w:rsid w:val="00322823"/>
    <w:rsid w:val="00322B29"/>
    <w:rsid w:val="00322C55"/>
    <w:rsid w:val="003230A3"/>
    <w:rsid w:val="00323D3F"/>
    <w:rsid w:val="00323E16"/>
    <w:rsid w:val="00325154"/>
    <w:rsid w:val="00326116"/>
    <w:rsid w:val="0032640A"/>
    <w:rsid w:val="003269DD"/>
    <w:rsid w:val="00326B5E"/>
    <w:rsid w:val="00327048"/>
    <w:rsid w:val="00327452"/>
    <w:rsid w:val="003301B1"/>
    <w:rsid w:val="00332628"/>
    <w:rsid w:val="00332C42"/>
    <w:rsid w:val="00333121"/>
    <w:rsid w:val="0033350B"/>
    <w:rsid w:val="00333831"/>
    <w:rsid w:val="003340DF"/>
    <w:rsid w:val="003354C8"/>
    <w:rsid w:val="00337609"/>
    <w:rsid w:val="00340114"/>
    <w:rsid w:val="00341070"/>
    <w:rsid w:val="003411F1"/>
    <w:rsid w:val="003413D2"/>
    <w:rsid w:val="0034338D"/>
    <w:rsid w:val="00343A5D"/>
    <w:rsid w:val="00343B2B"/>
    <w:rsid w:val="003442D7"/>
    <w:rsid w:val="003447CF"/>
    <w:rsid w:val="00344E18"/>
    <w:rsid w:val="00344F65"/>
    <w:rsid w:val="003456D4"/>
    <w:rsid w:val="00345C81"/>
    <w:rsid w:val="00345EA8"/>
    <w:rsid w:val="00346726"/>
    <w:rsid w:val="0035007A"/>
    <w:rsid w:val="00350EB9"/>
    <w:rsid w:val="003517F3"/>
    <w:rsid w:val="00352057"/>
    <w:rsid w:val="003520B3"/>
    <w:rsid w:val="00354923"/>
    <w:rsid w:val="00354947"/>
    <w:rsid w:val="00354C71"/>
    <w:rsid w:val="003559E3"/>
    <w:rsid w:val="00355A97"/>
    <w:rsid w:val="00355EFA"/>
    <w:rsid w:val="00356D48"/>
    <w:rsid w:val="00357804"/>
    <w:rsid w:val="00357BA4"/>
    <w:rsid w:val="0036044C"/>
    <w:rsid w:val="003605AD"/>
    <w:rsid w:val="00360622"/>
    <w:rsid w:val="00361477"/>
    <w:rsid w:val="00361E91"/>
    <w:rsid w:val="00361FDF"/>
    <w:rsid w:val="003621F3"/>
    <w:rsid w:val="0036222E"/>
    <w:rsid w:val="00362467"/>
    <w:rsid w:val="003628B7"/>
    <w:rsid w:val="00363647"/>
    <w:rsid w:val="00363825"/>
    <w:rsid w:val="00364258"/>
    <w:rsid w:val="00364516"/>
    <w:rsid w:val="003648B0"/>
    <w:rsid w:val="003649F8"/>
    <w:rsid w:val="00364C8C"/>
    <w:rsid w:val="00364C91"/>
    <w:rsid w:val="00364FDE"/>
    <w:rsid w:val="00365927"/>
    <w:rsid w:val="00366830"/>
    <w:rsid w:val="00366AC1"/>
    <w:rsid w:val="00366EB4"/>
    <w:rsid w:val="00366FDD"/>
    <w:rsid w:val="00367272"/>
    <w:rsid w:val="003716EC"/>
    <w:rsid w:val="00371B5B"/>
    <w:rsid w:val="00371BDD"/>
    <w:rsid w:val="00372B8E"/>
    <w:rsid w:val="00372E24"/>
    <w:rsid w:val="00373351"/>
    <w:rsid w:val="003737C8"/>
    <w:rsid w:val="00376032"/>
    <w:rsid w:val="00376368"/>
    <w:rsid w:val="0037638B"/>
    <w:rsid w:val="0037680D"/>
    <w:rsid w:val="003773DA"/>
    <w:rsid w:val="00377BB5"/>
    <w:rsid w:val="00377C1A"/>
    <w:rsid w:val="00377E49"/>
    <w:rsid w:val="00377FA9"/>
    <w:rsid w:val="00380587"/>
    <w:rsid w:val="00381E36"/>
    <w:rsid w:val="00382521"/>
    <w:rsid w:val="00382596"/>
    <w:rsid w:val="003829C6"/>
    <w:rsid w:val="00383872"/>
    <w:rsid w:val="00384E1E"/>
    <w:rsid w:val="0038555E"/>
    <w:rsid w:val="0038582A"/>
    <w:rsid w:val="0038648C"/>
    <w:rsid w:val="00386769"/>
    <w:rsid w:val="00386874"/>
    <w:rsid w:val="00386BC8"/>
    <w:rsid w:val="0038757C"/>
    <w:rsid w:val="00387A55"/>
    <w:rsid w:val="00390074"/>
    <w:rsid w:val="00390245"/>
    <w:rsid w:val="00391F0A"/>
    <w:rsid w:val="00392589"/>
    <w:rsid w:val="00392DE4"/>
    <w:rsid w:val="0039312F"/>
    <w:rsid w:val="003931B0"/>
    <w:rsid w:val="0039325A"/>
    <w:rsid w:val="00394BFF"/>
    <w:rsid w:val="003950A2"/>
    <w:rsid w:val="003956D8"/>
    <w:rsid w:val="003962BE"/>
    <w:rsid w:val="00396C27"/>
    <w:rsid w:val="00396FAC"/>
    <w:rsid w:val="0039764A"/>
    <w:rsid w:val="003976DC"/>
    <w:rsid w:val="003978D7"/>
    <w:rsid w:val="00397D09"/>
    <w:rsid w:val="003A02EE"/>
    <w:rsid w:val="003A0BF2"/>
    <w:rsid w:val="003A1169"/>
    <w:rsid w:val="003A1462"/>
    <w:rsid w:val="003A1C8B"/>
    <w:rsid w:val="003A24C2"/>
    <w:rsid w:val="003A2B77"/>
    <w:rsid w:val="003A3171"/>
    <w:rsid w:val="003A3A74"/>
    <w:rsid w:val="003A4135"/>
    <w:rsid w:val="003A4588"/>
    <w:rsid w:val="003A497F"/>
    <w:rsid w:val="003A4B1B"/>
    <w:rsid w:val="003A4B3B"/>
    <w:rsid w:val="003A4E46"/>
    <w:rsid w:val="003A54F6"/>
    <w:rsid w:val="003A60AF"/>
    <w:rsid w:val="003A74E3"/>
    <w:rsid w:val="003A77B6"/>
    <w:rsid w:val="003A7DEE"/>
    <w:rsid w:val="003B0E2A"/>
    <w:rsid w:val="003B0F2B"/>
    <w:rsid w:val="003B1131"/>
    <w:rsid w:val="003B18E2"/>
    <w:rsid w:val="003B19DA"/>
    <w:rsid w:val="003B220E"/>
    <w:rsid w:val="003B4C8E"/>
    <w:rsid w:val="003B5FED"/>
    <w:rsid w:val="003B685D"/>
    <w:rsid w:val="003B69DB"/>
    <w:rsid w:val="003B6CF8"/>
    <w:rsid w:val="003C1A75"/>
    <w:rsid w:val="003C1E4C"/>
    <w:rsid w:val="003C30D8"/>
    <w:rsid w:val="003C3617"/>
    <w:rsid w:val="003C3A1E"/>
    <w:rsid w:val="003C460F"/>
    <w:rsid w:val="003C47EA"/>
    <w:rsid w:val="003C484F"/>
    <w:rsid w:val="003C53E9"/>
    <w:rsid w:val="003C6667"/>
    <w:rsid w:val="003C6A5D"/>
    <w:rsid w:val="003C7ADD"/>
    <w:rsid w:val="003C7B59"/>
    <w:rsid w:val="003C7EB3"/>
    <w:rsid w:val="003D0488"/>
    <w:rsid w:val="003D0F10"/>
    <w:rsid w:val="003D1749"/>
    <w:rsid w:val="003D1B93"/>
    <w:rsid w:val="003D1BB3"/>
    <w:rsid w:val="003D2129"/>
    <w:rsid w:val="003D2BFB"/>
    <w:rsid w:val="003D39A3"/>
    <w:rsid w:val="003D39EA"/>
    <w:rsid w:val="003D4179"/>
    <w:rsid w:val="003D4E80"/>
    <w:rsid w:val="003D51D6"/>
    <w:rsid w:val="003D61C7"/>
    <w:rsid w:val="003D6BAF"/>
    <w:rsid w:val="003D6FBB"/>
    <w:rsid w:val="003D7B30"/>
    <w:rsid w:val="003D7F91"/>
    <w:rsid w:val="003E045F"/>
    <w:rsid w:val="003E06AD"/>
    <w:rsid w:val="003E1A19"/>
    <w:rsid w:val="003E31D7"/>
    <w:rsid w:val="003E3906"/>
    <w:rsid w:val="003E521E"/>
    <w:rsid w:val="003E59AB"/>
    <w:rsid w:val="003E5BB2"/>
    <w:rsid w:val="003E6CD2"/>
    <w:rsid w:val="003E7104"/>
    <w:rsid w:val="003F0B00"/>
    <w:rsid w:val="003F1164"/>
    <w:rsid w:val="003F1EF2"/>
    <w:rsid w:val="003F1F18"/>
    <w:rsid w:val="003F2DEE"/>
    <w:rsid w:val="003F35AF"/>
    <w:rsid w:val="003F463D"/>
    <w:rsid w:val="003F5471"/>
    <w:rsid w:val="003F5613"/>
    <w:rsid w:val="003F5A17"/>
    <w:rsid w:val="003F5AD8"/>
    <w:rsid w:val="003F5DA6"/>
    <w:rsid w:val="003F6A28"/>
    <w:rsid w:val="003F6EDA"/>
    <w:rsid w:val="003F739F"/>
    <w:rsid w:val="003F74E5"/>
    <w:rsid w:val="004004DD"/>
    <w:rsid w:val="00401455"/>
    <w:rsid w:val="00402434"/>
    <w:rsid w:val="00402DE5"/>
    <w:rsid w:val="00402E2F"/>
    <w:rsid w:val="00403066"/>
    <w:rsid w:val="0040419F"/>
    <w:rsid w:val="00404B8C"/>
    <w:rsid w:val="00404E23"/>
    <w:rsid w:val="00404F0F"/>
    <w:rsid w:val="00405E53"/>
    <w:rsid w:val="00405EB8"/>
    <w:rsid w:val="00406B61"/>
    <w:rsid w:val="004079E4"/>
    <w:rsid w:val="00410080"/>
    <w:rsid w:val="00410955"/>
    <w:rsid w:val="00411499"/>
    <w:rsid w:val="00411863"/>
    <w:rsid w:val="00411C0D"/>
    <w:rsid w:val="00412601"/>
    <w:rsid w:val="00413225"/>
    <w:rsid w:val="00414755"/>
    <w:rsid w:val="004155ED"/>
    <w:rsid w:val="0041582D"/>
    <w:rsid w:val="004159B4"/>
    <w:rsid w:val="004160E4"/>
    <w:rsid w:val="00416C9B"/>
    <w:rsid w:val="00417048"/>
    <w:rsid w:val="00417BCD"/>
    <w:rsid w:val="004206D7"/>
    <w:rsid w:val="0042177D"/>
    <w:rsid w:val="00421C82"/>
    <w:rsid w:val="004220C2"/>
    <w:rsid w:val="00422330"/>
    <w:rsid w:val="004230CF"/>
    <w:rsid w:val="00425E4A"/>
    <w:rsid w:val="00425E64"/>
    <w:rsid w:val="00425E7A"/>
    <w:rsid w:val="0042614B"/>
    <w:rsid w:val="00426310"/>
    <w:rsid w:val="00426D49"/>
    <w:rsid w:val="00427205"/>
    <w:rsid w:val="00431212"/>
    <w:rsid w:val="00431B89"/>
    <w:rsid w:val="004322E8"/>
    <w:rsid w:val="0043289C"/>
    <w:rsid w:val="00432CE9"/>
    <w:rsid w:val="0043342C"/>
    <w:rsid w:val="00433BF8"/>
    <w:rsid w:val="00433E72"/>
    <w:rsid w:val="004345FC"/>
    <w:rsid w:val="00435298"/>
    <w:rsid w:val="00435355"/>
    <w:rsid w:val="0043546C"/>
    <w:rsid w:val="00435D30"/>
    <w:rsid w:val="00435EA9"/>
    <w:rsid w:val="0043724F"/>
    <w:rsid w:val="00440137"/>
    <w:rsid w:val="00440A90"/>
    <w:rsid w:val="00440FF6"/>
    <w:rsid w:val="00441854"/>
    <w:rsid w:val="00442E6A"/>
    <w:rsid w:val="0044315F"/>
    <w:rsid w:val="00443B6C"/>
    <w:rsid w:val="0044466D"/>
    <w:rsid w:val="004449D2"/>
    <w:rsid w:val="00444E8C"/>
    <w:rsid w:val="00444EC2"/>
    <w:rsid w:val="00445BE9"/>
    <w:rsid w:val="00445C7B"/>
    <w:rsid w:val="0044723E"/>
    <w:rsid w:val="004508AC"/>
    <w:rsid w:val="004508DD"/>
    <w:rsid w:val="004517C1"/>
    <w:rsid w:val="00451E24"/>
    <w:rsid w:val="00451F41"/>
    <w:rsid w:val="00452B04"/>
    <w:rsid w:val="00452D22"/>
    <w:rsid w:val="00453255"/>
    <w:rsid w:val="0045358A"/>
    <w:rsid w:val="004536B3"/>
    <w:rsid w:val="00454B7A"/>
    <w:rsid w:val="00454BE5"/>
    <w:rsid w:val="0045683B"/>
    <w:rsid w:val="00456BA7"/>
    <w:rsid w:val="00456F09"/>
    <w:rsid w:val="004570AD"/>
    <w:rsid w:val="00457142"/>
    <w:rsid w:val="00457251"/>
    <w:rsid w:val="00460561"/>
    <w:rsid w:val="004605E0"/>
    <w:rsid w:val="00460846"/>
    <w:rsid w:val="004613D4"/>
    <w:rsid w:val="004614EB"/>
    <w:rsid w:val="0046244C"/>
    <w:rsid w:val="00462EB3"/>
    <w:rsid w:val="004630EA"/>
    <w:rsid w:val="00463298"/>
    <w:rsid w:val="004644D1"/>
    <w:rsid w:val="00464C7E"/>
    <w:rsid w:val="00465389"/>
    <w:rsid w:val="00467628"/>
    <w:rsid w:val="00467BD3"/>
    <w:rsid w:val="00467EBA"/>
    <w:rsid w:val="00471E5C"/>
    <w:rsid w:val="00472369"/>
    <w:rsid w:val="0047287F"/>
    <w:rsid w:val="00473DAE"/>
    <w:rsid w:val="004740EA"/>
    <w:rsid w:val="00474901"/>
    <w:rsid w:val="00474AE4"/>
    <w:rsid w:val="00475383"/>
    <w:rsid w:val="004754A0"/>
    <w:rsid w:val="004758F1"/>
    <w:rsid w:val="00475D4B"/>
    <w:rsid w:val="004768F9"/>
    <w:rsid w:val="00480402"/>
    <w:rsid w:val="0048076C"/>
    <w:rsid w:val="00481B2C"/>
    <w:rsid w:val="0048251E"/>
    <w:rsid w:val="004833F3"/>
    <w:rsid w:val="004836A7"/>
    <w:rsid w:val="004836ED"/>
    <w:rsid w:val="00483B3D"/>
    <w:rsid w:val="004851A5"/>
    <w:rsid w:val="00485627"/>
    <w:rsid w:val="0048567D"/>
    <w:rsid w:val="00485887"/>
    <w:rsid w:val="00485A89"/>
    <w:rsid w:val="00485EF0"/>
    <w:rsid w:val="004865A4"/>
    <w:rsid w:val="00486B77"/>
    <w:rsid w:val="00486C7E"/>
    <w:rsid w:val="004873C3"/>
    <w:rsid w:val="00487C9F"/>
    <w:rsid w:val="00491271"/>
    <w:rsid w:val="00491807"/>
    <w:rsid w:val="00491C67"/>
    <w:rsid w:val="00492389"/>
    <w:rsid w:val="00493C67"/>
    <w:rsid w:val="00494277"/>
    <w:rsid w:val="00494C9A"/>
    <w:rsid w:val="004958B5"/>
    <w:rsid w:val="00497632"/>
    <w:rsid w:val="00497945"/>
    <w:rsid w:val="00497ACE"/>
    <w:rsid w:val="004A067D"/>
    <w:rsid w:val="004A0BF7"/>
    <w:rsid w:val="004A0F8E"/>
    <w:rsid w:val="004A1A76"/>
    <w:rsid w:val="004A2679"/>
    <w:rsid w:val="004A2695"/>
    <w:rsid w:val="004A2C40"/>
    <w:rsid w:val="004A2D0C"/>
    <w:rsid w:val="004A3125"/>
    <w:rsid w:val="004A42AE"/>
    <w:rsid w:val="004A50F6"/>
    <w:rsid w:val="004A688E"/>
    <w:rsid w:val="004A6EAB"/>
    <w:rsid w:val="004A7E65"/>
    <w:rsid w:val="004B03EF"/>
    <w:rsid w:val="004B126D"/>
    <w:rsid w:val="004B3293"/>
    <w:rsid w:val="004B3A78"/>
    <w:rsid w:val="004B5ADD"/>
    <w:rsid w:val="004B76BA"/>
    <w:rsid w:val="004B7C94"/>
    <w:rsid w:val="004B7CD7"/>
    <w:rsid w:val="004C045B"/>
    <w:rsid w:val="004C2617"/>
    <w:rsid w:val="004C2B4D"/>
    <w:rsid w:val="004C2E51"/>
    <w:rsid w:val="004C2F6A"/>
    <w:rsid w:val="004C3974"/>
    <w:rsid w:val="004C3B20"/>
    <w:rsid w:val="004C4643"/>
    <w:rsid w:val="004C4D3B"/>
    <w:rsid w:val="004C4D89"/>
    <w:rsid w:val="004C5136"/>
    <w:rsid w:val="004C52E9"/>
    <w:rsid w:val="004C566A"/>
    <w:rsid w:val="004C5E5F"/>
    <w:rsid w:val="004C675C"/>
    <w:rsid w:val="004C6D62"/>
    <w:rsid w:val="004C6E2E"/>
    <w:rsid w:val="004C6FC5"/>
    <w:rsid w:val="004C7C27"/>
    <w:rsid w:val="004D0063"/>
    <w:rsid w:val="004D1B8C"/>
    <w:rsid w:val="004D2B41"/>
    <w:rsid w:val="004D2C79"/>
    <w:rsid w:val="004D2E4B"/>
    <w:rsid w:val="004D3176"/>
    <w:rsid w:val="004D331C"/>
    <w:rsid w:val="004D3E64"/>
    <w:rsid w:val="004D42B5"/>
    <w:rsid w:val="004D4F83"/>
    <w:rsid w:val="004D5B8E"/>
    <w:rsid w:val="004D7254"/>
    <w:rsid w:val="004E0CCE"/>
    <w:rsid w:val="004E0D0D"/>
    <w:rsid w:val="004E16CB"/>
    <w:rsid w:val="004E19C8"/>
    <w:rsid w:val="004E1B3B"/>
    <w:rsid w:val="004E1D3D"/>
    <w:rsid w:val="004E1E90"/>
    <w:rsid w:val="004E3F1B"/>
    <w:rsid w:val="004E4195"/>
    <w:rsid w:val="004E42CB"/>
    <w:rsid w:val="004E4B7E"/>
    <w:rsid w:val="004E52F2"/>
    <w:rsid w:val="004E56DA"/>
    <w:rsid w:val="004E5C76"/>
    <w:rsid w:val="004E6DE6"/>
    <w:rsid w:val="004E73A2"/>
    <w:rsid w:val="004E7AC5"/>
    <w:rsid w:val="004F1013"/>
    <w:rsid w:val="004F1C59"/>
    <w:rsid w:val="004F1ED2"/>
    <w:rsid w:val="004F25D1"/>
    <w:rsid w:val="004F2DFA"/>
    <w:rsid w:val="004F3284"/>
    <w:rsid w:val="004F3A21"/>
    <w:rsid w:val="004F41C3"/>
    <w:rsid w:val="004F48BE"/>
    <w:rsid w:val="004F5370"/>
    <w:rsid w:val="004F54EF"/>
    <w:rsid w:val="004F7640"/>
    <w:rsid w:val="0050091F"/>
    <w:rsid w:val="00500EDC"/>
    <w:rsid w:val="005010E6"/>
    <w:rsid w:val="0050274B"/>
    <w:rsid w:val="005028B6"/>
    <w:rsid w:val="005031C0"/>
    <w:rsid w:val="00504DC7"/>
    <w:rsid w:val="00505B58"/>
    <w:rsid w:val="00507209"/>
    <w:rsid w:val="00507A75"/>
    <w:rsid w:val="00510679"/>
    <w:rsid w:val="00510B87"/>
    <w:rsid w:val="005113C0"/>
    <w:rsid w:val="005118D2"/>
    <w:rsid w:val="00512C47"/>
    <w:rsid w:val="00513EC0"/>
    <w:rsid w:val="005148AE"/>
    <w:rsid w:val="00515056"/>
    <w:rsid w:val="005151A1"/>
    <w:rsid w:val="00515D5E"/>
    <w:rsid w:val="00515D95"/>
    <w:rsid w:val="0051678D"/>
    <w:rsid w:val="00516897"/>
    <w:rsid w:val="00517679"/>
    <w:rsid w:val="00521A1E"/>
    <w:rsid w:val="0052246A"/>
    <w:rsid w:val="005227FF"/>
    <w:rsid w:val="0052283C"/>
    <w:rsid w:val="005234BE"/>
    <w:rsid w:val="00523574"/>
    <w:rsid w:val="00523741"/>
    <w:rsid w:val="00523EB1"/>
    <w:rsid w:val="00525462"/>
    <w:rsid w:val="00525DE9"/>
    <w:rsid w:val="0052625E"/>
    <w:rsid w:val="005269FC"/>
    <w:rsid w:val="00526EF9"/>
    <w:rsid w:val="00527056"/>
    <w:rsid w:val="00527FAD"/>
    <w:rsid w:val="0053009D"/>
    <w:rsid w:val="005301EE"/>
    <w:rsid w:val="0053071B"/>
    <w:rsid w:val="00530AAF"/>
    <w:rsid w:val="005313E8"/>
    <w:rsid w:val="005315A4"/>
    <w:rsid w:val="0053207F"/>
    <w:rsid w:val="005323EE"/>
    <w:rsid w:val="00532E8E"/>
    <w:rsid w:val="00532F49"/>
    <w:rsid w:val="00533771"/>
    <w:rsid w:val="00533BBF"/>
    <w:rsid w:val="00533FA0"/>
    <w:rsid w:val="00534281"/>
    <w:rsid w:val="00535061"/>
    <w:rsid w:val="0053521F"/>
    <w:rsid w:val="005362EC"/>
    <w:rsid w:val="00537E00"/>
    <w:rsid w:val="0054296E"/>
    <w:rsid w:val="00545D8C"/>
    <w:rsid w:val="0054739D"/>
    <w:rsid w:val="00550421"/>
    <w:rsid w:val="0055163D"/>
    <w:rsid w:val="00551F08"/>
    <w:rsid w:val="005523DC"/>
    <w:rsid w:val="00552623"/>
    <w:rsid w:val="0055340C"/>
    <w:rsid w:val="00553649"/>
    <w:rsid w:val="00553E14"/>
    <w:rsid w:val="005541F7"/>
    <w:rsid w:val="00555740"/>
    <w:rsid w:val="00555C34"/>
    <w:rsid w:val="005571C5"/>
    <w:rsid w:val="005607CC"/>
    <w:rsid w:val="005615D3"/>
    <w:rsid w:val="005621F9"/>
    <w:rsid w:val="00562268"/>
    <w:rsid w:val="005622F7"/>
    <w:rsid w:val="00562E77"/>
    <w:rsid w:val="0056384E"/>
    <w:rsid w:val="00563AE4"/>
    <w:rsid w:val="00564B0D"/>
    <w:rsid w:val="005652FD"/>
    <w:rsid w:val="00565460"/>
    <w:rsid w:val="00565AC8"/>
    <w:rsid w:val="0056634E"/>
    <w:rsid w:val="005674F4"/>
    <w:rsid w:val="00567594"/>
    <w:rsid w:val="00567D95"/>
    <w:rsid w:val="00567DA1"/>
    <w:rsid w:val="0057046A"/>
    <w:rsid w:val="00572A23"/>
    <w:rsid w:val="005732DF"/>
    <w:rsid w:val="00573B83"/>
    <w:rsid w:val="00573F64"/>
    <w:rsid w:val="00574A7A"/>
    <w:rsid w:val="00574E35"/>
    <w:rsid w:val="00574F43"/>
    <w:rsid w:val="00576582"/>
    <w:rsid w:val="00576A9E"/>
    <w:rsid w:val="0057735D"/>
    <w:rsid w:val="0058024E"/>
    <w:rsid w:val="005816EA"/>
    <w:rsid w:val="00581DE7"/>
    <w:rsid w:val="005821F2"/>
    <w:rsid w:val="005824B0"/>
    <w:rsid w:val="00584F30"/>
    <w:rsid w:val="00585155"/>
    <w:rsid w:val="00585695"/>
    <w:rsid w:val="005868FB"/>
    <w:rsid w:val="00586F32"/>
    <w:rsid w:val="00587188"/>
    <w:rsid w:val="00591476"/>
    <w:rsid w:val="00591CA1"/>
    <w:rsid w:val="00591F40"/>
    <w:rsid w:val="005930F5"/>
    <w:rsid w:val="00593D75"/>
    <w:rsid w:val="00594457"/>
    <w:rsid w:val="00594AB2"/>
    <w:rsid w:val="00595B39"/>
    <w:rsid w:val="00596A0F"/>
    <w:rsid w:val="0059732A"/>
    <w:rsid w:val="00597550"/>
    <w:rsid w:val="005975C3"/>
    <w:rsid w:val="005976F5"/>
    <w:rsid w:val="0059787C"/>
    <w:rsid w:val="00597A2C"/>
    <w:rsid w:val="005A0D5C"/>
    <w:rsid w:val="005A0F54"/>
    <w:rsid w:val="005A1034"/>
    <w:rsid w:val="005A30D2"/>
    <w:rsid w:val="005A3376"/>
    <w:rsid w:val="005A5E56"/>
    <w:rsid w:val="005A6C93"/>
    <w:rsid w:val="005A6D6A"/>
    <w:rsid w:val="005A7E24"/>
    <w:rsid w:val="005B0118"/>
    <w:rsid w:val="005B0D69"/>
    <w:rsid w:val="005B1129"/>
    <w:rsid w:val="005B1908"/>
    <w:rsid w:val="005B3AF5"/>
    <w:rsid w:val="005B4496"/>
    <w:rsid w:val="005B4B7A"/>
    <w:rsid w:val="005B72EA"/>
    <w:rsid w:val="005C0BC5"/>
    <w:rsid w:val="005C24A5"/>
    <w:rsid w:val="005C3149"/>
    <w:rsid w:val="005C32AC"/>
    <w:rsid w:val="005C340D"/>
    <w:rsid w:val="005C353D"/>
    <w:rsid w:val="005C4A13"/>
    <w:rsid w:val="005C4C1A"/>
    <w:rsid w:val="005C4FB9"/>
    <w:rsid w:val="005C5608"/>
    <w:rsid w:val="005C6324"/>
    <w:rsid w:val="005C73AD"/>
    <w:rsid w:val="005D0469"/>
    <w:rsid w:val="005D0E2E"/>
    <w:rsid w:val="005D163A"/>
    <w:rsid w:val="005D16A9"/>
    <w:rsid w:val="005D1E46"/>
    <w:rsid w:val="005D2222"/>
    <w:rsid w:val="005D2B56"/>
    <w:rsid w:val="005D2BE2"/>
    <w:rsid w:val="005D2D02"/>
    <w:rsid w:val="005D2D62"/>
    <w:rsid w:val="005D45BB"/>
    <w:rsid w:val="005D5140"/>
    <w:rsid w:val="005D5B5B"/>
    <w:rsid w:val="005D5FE0"/>
    <w:rsid w:val="005D6DBE"/>
    <w:rsid w:val="005D6FE3"/>
    <w:rsid w:val="005D72EE"/>
    <w:rsid w:val="005E066D"/>
    <w:rsid w:val="005E0AE3"/>
    <w:rsid w:val="005E142E"/>
    <w:rsid w:val="005E162B"/>
    <w:rsid w:val="005E1F36"/>
    <w:rsid w:val="005E219F"/>
    <w:rsid w:val="005E2AE8"/>
    <w:rsid w:val="005E2C69"/>
    <w:rsid w:val="005E39E8"/>
    <w:rsid w:val="005E46BD"/>
    <w:rsid w:val="005E4A2D"/>
    <w:rsid w:val="005E51CD"/>
    <w:rsid w:val="005E539B"/>
    <w:rsid w:val="005E54AF"/>
    <w:rsid w:val="005E65C5"/>
    <w:rsid w:val="005E7491"/>
    <w:rsid w:val="005E75F5"/>
    <w:rsid w:val="005F04D3"/>
    <w:rsid w:val="005F0A41"/>
    <w:rsid w:val="005F107B"/>
    <w:rsid w:val="005F1BDA"/>
    <w:rsid w:val="005F29A8"/>
    <w:rsid w:val="005F3678"/>
    <w:rsid w:val="005F52A3"/>
    <w:rsid w:val="005F5492"/>
    <w:rsid w:val="005F5738"/>
    <w:rsid w:val="005F706C"/>
    <w:rsid w:val="005F7712"/>
    <w:rsid w:val="006006E9"/>
    <w:rsid w:val="00601155"/>
    <w:rsid w:val="006021C9"/>
    <w:rsid w:val="00602DAC"/>
    <w:rsid w:val="0060359D"/>
    <w:rsid w:val="00603841"/>
    <w:rsid w:val="00603E48"/>
    <w:rsid w:val="0060430B"/>
    <w:rsid w:val="0060563D"/>
    <w:rsid w:val="00605782"/>
    <w:rsid w:val="00606461"/>
    <w:rsid w:val="00606A4A"/>
    <w:rsid w:val="00607508"/>
    <w:rsid w:val="00607B0F"/>
    <w:rsid w:val="00607BEF"/>
    <w:rsid w:val="006103A8"/>
    <w:rsid w:val="00610C0C"/>
    <w:rsid w:val="00611312"/>
    <w:rsid w:val="00611464"/>
    <w:rsid w:val="00611D0A"/>
    <w:rsid w:val="00612285"/>
    <w:rsid w:val="0061257D"/>
    <w:rsid w:val="00612BAF"/>
    <w:rsid w:val="00612F25"/>
    <w:rsid w:val="00613317"/>
    <w:rsid w:val="0061417C"/>
    <w:rsid w:val="0061423D"/>
    <w:rsid w:val="00614589"/>
    <w:rsid w:val="006146E8"/>
    <w:rsid w:val="00614738"/>
    <w:rsid w:val="00616C97"/>
    <w:rsid w:val="00616F83"/>
    <w:rsid w:val="00620CD3"/>
    <w:rsid w:val="0062110B"/>
    <w:rsid w:val="0062243A"/>
    <w:rsid w:val="006236CA"/>
    <w:rsid w:val="00623CC9"/>
    <w:rsid w:val="00623E9A"/>
    <w:rsid w:val="00624011"/>
    <w:rsid w:val="0062433A"/>
    <w:rsid w:val="0062456F"/>
    <w:rsid w:val="0062470B"/>
    <w:rsid w:val="00624B93"/>
    <w:rsid w:val="006253E7"/>
    <w:rsid w:val="00625785"/>
    <w:rsid w:val="00625E59"/>
    <w:rsid w:val="00626788"/>
    <w:rsid w:val="006268F8"/>
    <w:rsid w:val="00626D71"/>
    <w:rsid w:val="0062705C"/>
    <w:rsid w:val="00627403"/>
    <w:rsid w:val="00630A9E"/>
    <w:rsid w:val="00631569"/>
    <w:rsid w:val="00631D85"/>
    <w:rsid w:val="0063243A"/>
    <w:rsid w:val="006335CB"/>
    <w:rsid w:val="00634274"/>
    <w:rsid w:val="00635A52"/>
    <w:rsid w:val="006368E2"/>
    <w:rsid w:val="006374C0"/>
    <w:rsid w:val="00637708"/>
    <w:rsid w:val="00637EEF"/>
    <w:rsid w:val="00640E4B"/>
    <w:rsid w:val="00641AAF"/>
    <w:rsid w:val="00642509"/>
    <w:rsid w:val="0064267F"/>
    <w:rsid w:val="00642C9E"/>
    <w:rsid w:val="006444F8"/>
    <w:rsid w:val="00644613"/>
    <w:rsid w:val="00644E5E"/>
    <w:rsid w:val="00645F30"/>
    <w:rsid w:val="00646091"/>
    <w:rsid w:val="006463A8"/>
    <w:rsid w:val="00646772"/>
    <w:rsid w:val="00646E53"/>
    <w:rsid w:val="00647F9E"/>
    <w:rsid w:val="00650296"/>
    <w:rsid w:val="00651346"/>
    <w:rsid w:val="00652162"/>
    <w:rsid w:val="0065250A"/>
    <w:rsid w:val="00652B2A"/>
    <w:rsid w:val="006535AC"/>
    <w:rsid w:val="00653BF5"/>
    <w:rsid w:val="00654A6B"/>
    <w:rsid w:val="00654DAA"/>
    <w:rsid w:val="00654DC0"/>
    <w:rsid w:val="0065585D"/>
    <w:rsid w:val="0065688D"/>
    <w:rsid w:val="006600AF"/>
    <w:rsid w:val="00661030"/>
    <w:rsid w:val="00661FB1"/>
    <w:rsid w:val="006622D5"/>
    <w:rsid w:val="0066253C"/>
    <w:rsid w:val="00663D17"/>
    <w:rsid w:val="00664B6D"/>
    <w:rsid w:val="006653EA"/>
    <w:rsid w:val="0066540E"/>
    <w:rsid w:val="006654D1"/>
    <w:rsid w:val="00665D1B"/>
    <w:rsid w:val="00666180"/>
    <w:rsid w:val="00666A92"/>
    <w:rsid w:val="0066726D"/>
    <w:rsid w:val="006673F0"/>
    <w:rsid w:val="0066776E"/>
    <w:rsid w:val="00667AA2"/>
    <w:rsid w:val="00670370"/>
    <w:rsid w:val="006716CA"/>
    <w:rsid w:val="00671AA2"/>
    <w:rsid w:val="00672B30"/>
    <w:rsid w:val="0067384D"/>
    <w:rsid w:val="006749AD"/>
    <w:rsid w:val="0067591D"/>
    <w:rsid w:val="00675E32"/>
    <w:rsid w:val="00680BED"/>
    <w:rsid w:val="006833F9"/>
    <w:rsid w:val="006837E0"/>
    <w:rsid w:val="00683A85"/>
    <w:rsid w:val="0068409C"/>
    <w:rsid w:val="00685927"/>
    <w:rsid w:val="00685D04"/>
    <w:rsid w:val="0068600B"/>
    <w:rsid w:val="006860E6"/>
    <w:rsid w:val="00686756"/>
    <w:rsid w:val="00686CED"/>
    <w:rsid w:val="00690C5D"/>
    <w:rsid w:val="006912F6"/>
    <w:rsid w:val="006921F1"/>
    <w:rsid w:val="00692FAC"/>
    <w:rsid w:val="006932AC"/>
    <w:rsid w:val="006945BE"/>
    <w:rsid w:val="006959D7"/>
    <w:rsid w:val="00696833"/>
    <w:rsid w:val="006A032B"/>
    <w:rsid w:val="006A26B9"/>
    <w:rsid w:val="006A362C"/>
    <w:rsid w:val="006A3E2C"/>
    <w:rsid w:val="006A3FA9"/>
    <w:rsid w:val="006A40CB"/>
    <w:rsid w:val="006A486A"/>
    <w:rsid w:val="006A4BD1"/>
    <w:rsid w:val="006A526D"/>
    <w:rsid w:val="006A53B3"/>
    <w:rsid w:val="006B0AD6"/>
    <w:rsid w:val="006B0E25"/>
    <w:rsid w:val="006B1739"/>
    <w:rsid w:val="006B201C"/>
    <w:rsid w:val="006B214C"/>
    <w:rsid w:val="006B2ED9"/>
    <w:rsid w:val="006B30C4"/>
    <w:rsid w:val="006B4FA1"/>
    <w:rsid w:val="006B59F1"/>
    <w:rsid w:val="006B5A41"/>
    <w:rsid w:val="006B69BB"/>
    <w:rsid w:val="006C1BC1"/>
    <w:rsid w:val="006C1C35"/>
    <w:rsid w:val="006C28FC"/>
    <w:rsid w:val="006C34B9"/>
    <w:rsid w:val="006C3D1E"/>
    <w:rsid w:val="006C4D85"/>
    <w:rsid w:val="006C5833"/>
    <w:rsid w:val="006C5870"/>
    <w:rsid w:val="006C6351"/>
    <w:rsid w:val="006C75EB"/>
    <w:rsid w:val="006D00A3"/>
    <w:rsid w:val="006D08E2"/>
    <w:rsid w:val="006D0980"/>
    <w:rsid w:val="006D0F38"/>
    <w:rsid w:val="006D1C65"/>
    <w:rsid w:val="006D1D57"/>
    <w:rsid w:val="006D1E9A"/>
    <w:rsid w:val="006D2A9E"/>
    <w:rsid w:val="006D3C29"/>
    <w:rsid w:val="006D44EA"/>
    <w:rsid w:val="006D4574"/>
    <w:rsid w:val="006D4698"/>
    <w:rsid w:val="006D4A5A"/>
    <w:rsid w:val="006D5114"/>
    <w:rsid w:val="006D513B"/>
    <w:rsid w:val="006D551B"/>
    <w:rsid w:val="006D5AC7"/>
    <w:rsid w:val="006D694E"/>
    <w:rsid w:val="006D75A0"/>
    <w:rsid w:val="006D7EF7"/>
    <w:rsid w:val="006E1F02"/>
    <w:rsid w:val="006E226E"/>
    <w:rsid w:val="006E282E"/>
    <w:rsid w:val="006E338C"/>
    <w:rsid w:val="006E33EC"/>
    <w:rsid w:val="006E356D"/>
    <w:rsid w:val="006E3653"/>
    <w:rsid w:val="006E3FF1"/>
    <w:rsid w:val="006E565F"/>
    <w:rsid w:val="006E5EFD"/>
    <w:rsid w:val="006F19DE"/>
    <w:rsid w:val="006F2372"/>
    <w:rsid w:val="006F34B9"/>
    <w:rsid w:val="006F38AE"/>
    <w:rsid w:val="006F3910"/>
    <w:rsid w:val="006F4335"/>
    <w:rsid w:val="006F484D"/>
    <w:rsid w:val="006F7096"/>
    <w:rsid w:val="006F7CA7"/>
    <w:rsid w:val="007008D0"/>
    <w:rsid w:val="00700E5E"/>
    <w:rsid w:val="00700EF1"/>
    <w:rsid w:val="00700FDA"/>
    <w:rsid w:val="00701983"/>
    <w:rsid w:val="00702ECD"/>
    <w:rsid w:val="007039E7"/>
    <w:rsid w:val="00703CB3"/>
    <w:rsid w:val="00704051"/>
    <w:rsid w:val="00705465"/>
    <w:rsid w:val="00707056"/>
    <w:rsid w:val="007073F3"/>
    <w:rsid w:val="0070766C"/>
    <w:rsid w:val="00707CF4"/>
    <w:rsid w:val="00707E3E"/>
    <w:rsid w:val="007100E3"/>
    <w:rsid w:val="00710192"/>
    <w:rsid w:val="00710261"/>
    <w:rsid w:val="0071162F"/>
    <w:rsid w:val="00713007"/>
    <w:rsid w:val="00713109"/>
    <w:rsid w:val="007143E1"/>
    <w:rsid w:val="0071497E"/>
    <w:rsid w:val="00714C85"/>
    <w:rsid w:val="00715992"/>
    <w:rsid w:val="00716739"/>
    <w:rsid w:val="00717335"/>
    <w:rsid w:val="00720C4C"/>
    <w:rsid w:val="0072125C"/>
    <w:rsid w:val="00721786"/>
    <w:rsid w:val="0072240C"/>
    <w:rsid w:val="00723136"/>
    <w:rsid w:val="00723393"/>
    <w:rsid w:val="00723C35"/>
    <w:rsid w:val="00725568"/>
    <w:rsid w:val="0072695F"/>
    <w:rsid w:val="007269F7"/>
    <w:rsid w:val="00726E16"/>
    <w:rsid w:val="00726E67"/>
    <w:rsid w:val="007311F5"/>
    <w:rsid w:val="007315B4"/>
    <w:rsid w:val="007318EF"/>
    <w:rsid w:val="00731999"/>
    <w:rsid w:val="0073370E"/>
    <w:rsid w:val="00733D00"/>
    <w:rsid w:val="00733E2F"/>
    <w:rsid w:val="0073423C"/>
    <w:rsid w:val="0073490B"/>
    <w:rsid w:val="00735447"/>
    <w:rsid w:val="00735FD9"/>
    <w:rsid w:val="00736072"/>
    <w:rsid w:val="00736E58"/>
    <w:rsid w:val="007372EB"/>
    <w:rsid w:val="0074007A"/>
    <w:rsid w:val="00740556"/>
    <w:rsid w:val="0074082D"/>
    <w:rsid w:val="00740A3D"/>
    <w:rsid w:val="00741072"/>
    <w:rsid w:val="007419CD"/>
    <w:rsid w:val="00741E0B"/>
    <w:rsid w:val="00742306"/>
    <w:rsid w:val="00742B9E"/>
    <w:rsid w:val="0074309F"/>
    <w:rsid w:val="00743E8C"/>
    <w:rsid w:val="00744AF3"/>
    <w:rsid w:val="00744C8A"/>
    <w:rsid w:val="007453BF"/>
    <w:rsid w:val="00745438"/>
    <w:rsid w:val="00747431"/>
    <w:rsid w:val="00750A70"/>
    <w:rsid w:val="00750DC1"/>
    <w:rsid w:val="00752A13"/>
    <w:rsid w:val="00753590"/>
    <w:rsid w:val="00753993"/>
    <w:rsid w:val="007540EA"/>
    <w:rsid w:val="00755783"/>
    <w:rsid w:val="007566CF"/>
    <w:rsid w:val="007567E3"/>
    <w:rsid w:val="00756E44"/>
    <w:rsid w:val="00757241"/>
    <w:rsid w:val="0075766E"/>
    <w:rsid w:val="007605A7"/>
    <w:rsid w:val="0076174D"/>
    <w:rsid w:val="007621B1"/>
    <w:rsid w:val="007624C8"/>
    <w:rsid w:val="00763313"/>
    <w:rsid w:val="007636A1"/>
    <w:rsid w:val="0076378C"/>
    <w:rsid w:val="00763F01"/>
    <w:rsid w:val="00764EEA"/>
    <w:rsid w:val="007650E5"/>
    <w:rsid w:val="00765653"/>
    <w:rsid w:val="00765752"/>
    <w:rsid w:val="00765EEB"/>
    <w:rsid w:val="00765FD4"/>
    <w:rsid w:val="00766485"/>
    <w:rsid w:val="00766A72"/>
    <w:rsid w:val="00766B0A"/>
    <w:rsid w:val="0076706A"/>
    <w:rsid w:val="007670CB"/>
    <w:rsid w:val="0076778E"/>
    <w:rsid w:val="00767A7F"/>
    <w:rsid w:val="0077063F"/>
    <w:rsid w:val="0077158A"/>
    <w:rsid w:val="00771689"/>
    <w:rsid w:val="007719B2"/>
    <w:rsid w:val="00772EBE"/>
    <w:rsid w:val="007731B1"/>
    <w:rsid w:val="0077352A"/>
    <w:rsid w:val="007738F0"/>
    <w:rsid w:val="0077493B"/>
    <w:rsid w:val="00774CA6"/>
    <w:rsid w:val="00776D57"/>
    <w:rsid w:val="007774ED"/>
    <w:rsid w:val="00780336"/>
    <w:rsid w:val="00781875"/>
    <w:rsid w:val="00781A37"/>
    <w:rsid w:val="007828DD"/>
    <w:rsid w:val="00782BB0"/>
    <w:rsid w:val="0078356E"/>
    <w:rsid w:val="007835FD"/>
    <w:rsid w:val="00784915"/>
    <w:rsid w:val="007849EA"/>
    <w:rsid w:val="00784EFB"/>
    <w:rsid w:val="007862EE"/>
    <w:rsid w:val="00786C2C"/>
    <w:rsid w:val="00787DEE"/>
    <w:rsid w:val="0079049B"/>
    <w:rsid w:val="00790CF0"/>
    <w:rsid w:val="0079139D"/>
    <w:rsid w:val="00792A1B"/>
    <w:rsid w:val="00793B42"/>
    <w:rsid w:val="007940EC"/>
    <w:rsid w:val="0079576D"/>
    <w:rsid w:val="0079737A"/>
    <w:rsid w:val="00797477"/>
    <w:rsid w:val="00797487"/>
    <w:rsid w:val="00797C28"/>
    <w:rsid w:val="007A0289"/>
    <w:rsid w:val="007A089D"/>
    <w:rsid w:val="007A0A0A"/>
    <w:rsid w:val="007A0AF0"/>
    <w:rsid w:val="007A1823"/>
    <w:rsid w:val="007A4ABF"/>
    <w:rsid w:val="007A718D"/>
    <w:rsid w:val="007B186B"/>
    <w:rsid w:val="007B207A"/>
    <w:rsid w:val="007B2421"/>
    <w:rsid w:val="007B30EE"/>
    <w:rsid w:val="007B39EB"/>
    <w:rsid w:val="007B54E6"/>
    <w:rsid w:val="007B5536"/>
    <w:rsid w:val="007B5D3F"/>
    <w:rsid w:val="007B62A9"/>
    <w:rsid w:val="007B6713"/>
    <w:rsid w:val="007B6867"/>
    <w:rsid w:val="007B7172"/>
    <w:rsid w:val="007B7E63"/>
    <w:rsid w:val="007C0D25"/>
    <w:rsid w:val="007C117A"/>
    <w:rsid w:val="007C1C1C"/>
    <w:rsid w:val="007C2307"/>
    <w:rsid w:val="007C27DC"/>
    <w:rsid w:val="007C3243"/>
    <w:rsid w:val="007C35B9"/>
    <w:rsid w:val="007C3628"/>
    <w:rsid w:val="007C3713"/>
    <w:rsid w:val="007C44BC"/>
    <w:rsid w:val="007C53B3"/>
    <w:rsid w:val="007C5642"/>
    <w:rsid w:val="007C704F"/>
    <w:rsid w:val="007C7156"/>
    <w:rsid w:val="007C794E"/>
    <w:rsid w:val="007D07B5"/>
    <w:rsid w:val="007D1158"/>
    <w:rsid w:val="007D20D5"/>
    <w:rsid w:val="007D3D90"/>
    <w:rsid w:val="007D43B2"/>
    <w:rsid w:val="007D4440"/>
    <w:rsid w:val="007D4468"/>
    <w:rsid w:val="007D51FF"/>
    <w:rsid w:val="007D55F5"/>
    <w:rsid w:val="007D5CD6"/>
    <w:rsid w:val="007D5E52"/>
    <w:rsid w:val="007D7242"/>
    <w:rsid w:val="007D780E"/>
    <w:rsid w:val="007E0211"/>
    <w:rsid w:val="007E09B6"/>
    <w:rsid w:val="007E1B80"/>
    <w:rsid w:val="007E1D96"/>
    <w:rsid w:val="007E1ED5"/>
    <w:rsid w:val="007E1FA1"/>
    <w:rsid w:val="007E2CB6"/>
    <w:rsid w:val="007E333C"/>
    <w:rsid w:val="007E3EC6"/>
    <w:rsid w:val="007E4174"/>
    <w:rsid w:val="007E4872"/>
    <w:rsid w:val="007E597F"/>
    <w:rsid w:val="007E5A07"/>
    <w:rsid w:val="007E6558"/>
    <w:rsid w:val="007E68A2"/>
    <w:rsid w:val="007E700F"/>
    <w:rsid w:val="007E764E"/>
    <w:rsid w:val="007F03F9"/>
    <w:rsid w:val="007F0515"/>
    <w:rsid w:val="007F0E5C"/>
    <w:rsid w:val="007F1D63"/>
    <w:rsid w:val="007F2D64"/>
    <w:rsid w:val="007F2ED9"/>
    <w:rsid w:val="007F3278"/>
    <w:rsid w:val="007F3D2C"/>
    <w:rsid w:val="007F43F8"/>
    <w:rsid w:val="007F44B9"/>
    <w:rsid w:val="007F5B24"/>
    <w:rsid w:val="007F64F6"/>
    <w:rsid w:val="007F766B"/>
    <w:rsid w:val="008004FB"/>
    <w:rsid w:val="008005D3"/>
    <w:rsid w:val="00800D28"/>
    <w:rsid w:val="00800F8E"/>
    <w:rsid w:val="00801EAA"/>
    <w:rsid w:val="00802BEA"/>
    <w:rsid w:val="00803443"/>
    <w:rsid w:val="00803D14"/>
    <w:rsid w:val="0080424F"/>
    <w:rsid w:val="00805505"/>
    <w:rsid w:val="00805CC6"/>
    <w:rsid w:val="00805F6C"/>
    <w:rsid w:val="0080677C"/>
    <w:rsid w:val="00806A12"/>
    <w:rsid w:val="00806E7D"/>
    <w:rsid w:val="00807359"/>
    <w:rsid w:val="00807718"/>
    <w:rsid w:val="00807E75"/>
    <w:rsid w:val="008104C1"/>
    <w:rsid w:val="00810EA7"/>
    <w:rsid w:val="00811D8A"/>
    <w:rsid w:val="00812942"/>
    <w:rsid w:val="00812B84"/>
    <w:rsid w:val="00814D74"/>
    <w:rsid w:val="008158C3"/>
    <w:rsid w:val="0081597F"/>
    <w:rsid w:val="00816414"/>
    <w:rsid w:val="00816AF1"/>
    <w:rsid w:val="008178A3"/>
    <w:rsid w:val="00822190"/>
    <w:rsid w:val="00822F16"/>
    <w:rsid w:val="008240EB"/>
    <w:rsid w:val="0082433E"/>
    <w:rsid w:val="00824811"/>
    <w:rsid w:val="00825864"/>
    <w:rsid w:val="008262AA"/>
    <w:rsid w:val="008269FB"/>
    <w:rsid w:val="00827231"/>
    <w:rsid w:val="00827265"/>
    <w:rsid w:val="00827953"/>
    <w:rsid w:val="00827C3D"/>
    <w:rsid w:val="00830B38"/>
    <w:rsid w:val="008312E8"/>
    <w:rsid w:val="0083168E"/>
    <w:rsid w:val="008319D6"/>
    <w:rsid w:val="00831FD9"/>
    <w:rsid w:val="00832026"/>
    <w:rsid w:val="0083244D"/>
    <w:rsid w:val="00833416"/>
    <w:rsid w:val="00833C03"/>
    <w:rsid w:val="00833D39"/>
    <w:rsid w:val="008340C1"/>
    <w:rsid w:val="008341A5"/>
    <w:rsid w:val="00834B43"/>
    <w:rsid w:val="008352D8"/>
    <w:rsid w:val="008358AC"/>
    <w:rsid w:val="008358FB"/>
    <w:rsid w:val="0083614E"/>
    <w:rsid w:val="00836C26"/>
    <w:rsid w:val="008379C1"/>
    <w:rsid w:val="008400C0"/>
    <w:rsid w:val="00840AB3"/>
    <w:rsid w:val="00840FED"/>
    <w:rsid w:val="00841736"/>
    <w:rsid w:val="00841774"/>
    <w:rsid w:val="00841ABC"/>
    <w:rsid w:val="00842159"/>
    <w:rsid w:val="008422ED"/>
    <w:rsid w:val="008429F7"/>
    <w:rsid w:val="00842BF6"/>
    <w:rsid w:val="008437F5"/>
    <w:rsid w:val="00843869"/>
    <w:rsid w:val="00843F54"/>
    <w:rsid w:val="008478C7"/>
    <w:rsid w:val="008479D8"/>
    <w:rsid w:val="00847E14"/>
    <w:rsid w:val="00847E5A"/>
    <w:rsid w:val="00847F15"/>
    <w:rsid w:val="0085019C"/>
    <w:rsid w:val="00850CCE"/>
    <w:rsid w:val="00851674"/>
    <w:rsid w:val="008530B8"/>
    <w:rsid w:val="00853246"/>
    <w:rsid w:val="00853D72"/>
    <w:rsid w:val="0085407D"/>
    <w:rsid w:val="00854C87"/>
    <w:rsid w:val="00855978"/>
    <w:rsid w:val="00855B3B"/>
    <w:rsid w:val="00856D11"/>
    <w:rsid w:val="00857C89"/>
    <w:rsid w:val="00860744"/>
    <w:rsid w:val="00860F2A"/>
    <w:rsid w:val="0086159C"/>
    <w:rsid w:val="008616E7"/>
    <w:rsid w:val="00861EE2"/>
    <w:rsid w:val="008626B0"/>
    <w:rsid w:val="0086287D"/>
    <w:rsid w:val="008634F0"/>
    <w:rsid w:val="00865208"/>
    <w:rsid w:val="008655A6"/>
    <w:rsid w:val="00865B16"/>
    <w:rsid w:val="008661C4"/>
    <w:rsid w:val="008663E4"/>
    <w:rsid w:val="00867AA3"/>
    <w:rsid w:val="00870A4B"/>
    <w:rsid w:val="00871428"/>
    <w:rsid w:val="00871718"/>
    <w:rsid w:val="00871DC5"/>
    <w:rsid w:val="00871FDA"/>
    <w:rsid w:val="0087478E"/>
    <w:rsid w:val="00874A61"/>
    <w:rsid w:val="00874E4D"/>
    <w:rsid w:val="00875DBD"/>
    <w:rsid w:val="00876F6C"/>
    <w:rsid w:val="00877768"/>
    <w:rsid w:val="00881AE2"/>
    <w:rsid w:val="00881B7B"/>
    <w:rsid w:val="00882248"/>
    <w:rsid w:val="0088250D"/>
    <w:rsid w:val="00883155"/>
    <w:rsid w:val="00883330"/>
    <w:rsid w:val="00883855"/>
    <w:rsid w:val="00883989"/>
    <w:rsid w:val="00883EFA"/>
    <w:rsid w:val="00884AFD"/>
    <w:rsid w:val="00884B12"/>
    <w:rsid w:val="00884C64"/>
    <w:rsid w:val="00884F60"/>
    <w:rsid w:val="008851B6"/>
    <w:rsid w:val="00885990"/>
    <w:rsid w:val="00886E0E"/>
    <w:rsid w:val="00887044"/>
    <w:rsid w:val="00887838"/>
    <w:rsid w:val="00887A69"/>
    <w:rsid w:val="00890E14"/>
    <w:rsid w:val="008911B1"/>
    <w:rsid w:val="0089239B"/>
    <w:rsid w:val="00892C8B"/>
    <w:rsid w:val="008930B5"/>
    <w:rsid w:val="00893619"/>
    <w:rsid w:val="008937CB"/>
    <w:rsid w:val="00894566"/>
    <w:rsid w:val="008955D6"/>
    <w:rsid w:val="00895A5D"/>
    <w:rsid w:val="00895FD8"/>
    <w:rsid w:val="00896ABD"/>
    <w:rsid w:val="00896EC4"/>
    <w:rsid w:val="00897192"/>
    <w:rsid w:val="008A3EFA"/>
    <w:rsid w:val="008A53D2"/>
    <w:rsid w:val="008A5610"/>
    <w:rsid w:val="008A5F34"/>
    <w:rsid w:val="008A6704"/>
    <w:rsid w:val="008A6B4C"/>
    <w:rsid w:val="008B0C17"/>
    <w:rsid w:val="008B18FE"/>
    <w:rsid w:val="008B221F"/>
    <w:rsid w:val="008B2E8F"/>
    <w:rsid w:val="008B30BD"/>
    <w:rsid w:val="008B3832"/>
    <w:rsid w:val="008B40B6"/>
    <w:rsid w:val="008B419F"/>
    <w:rsid w:val="008B435B"/>
    <w:rsid w:val="008B486B"/>
    <w:rsid w:val="008B4FC9"/>
    <w:rsid w:val="008B57F0"/>
    <w:rsid w:val="008B5CF2"/>
    <w:rsid w:val="008B648B"/>
    <w:rsid w:val="008B6E42"/>
    <w:rsid w:val="008B7F0E"/>
    <w:rsid w:val="008B7F46"/>
    <w:rsid w:val="008C1500"/>
    <w:rsid w:val="008C284A"/>
    <w:rsid w:val="008C2E0C"/>
    <w:rsid w:val="008C3842"/>
    <w:rsid w:val="008C4C12"/>
    <w:rsid w:val="008C5164"/>
    <w:rsid w:val="008C5842"/>
    <w:rsid w:val="008C5DCF"/>
    <w:rsid w:val="008C72A0"/>
    <w:rsid w:val="008C782F"/>
    <w:rsid w:val="008D1B29"/>
    <w:rsid w:val="008D1C55"/>
    <w:rsid w:val="008D252D"/>
    <w:rsid w:val="008D32D7"/>
    <w:rsid w:val="008D356F"/>
    <w:rsid w:val="008D399E"/>
    <w:rsid w:val="008D418E"/>
    <w:rsid w:val="008D575C"/>
    <w:rsid w:val="008D5C05"/>
    <w:rsid w:val="008D690D"/>
    <w:rsid w:val="008D6FD1"/>
    <w:rsid w:val="008D7214"/>
    <w:rsid w:val="008D723F"/>
    <w:rsid w:val="008E00D8"/>
    <w:rsid w:val="008E07A4"/>
    <w:rsid w:val="008E0CFE"/>
    <w:rsid w:val="008E168C"/>
    <w:rsid w:val="008E182B"/>
    <w:rsid w:val="008E250D"/>
    <w:rsid w:val="008E2603"/>
    <w:rsid w:val="008E34F0"/>
    <w:rsid w:val="008E3A6B"/>
    <w:rsid w:val="008E3B8D"/>
    <w:rsid w:val="008E3FDF"/>
    <w:rsid w:val="008E41A7"/>
    <w:rsid w:val="008E4398"/>
    <w:rsid w:val="008E4688"/>
    <w:rsid w:val="008E4F1F"/>
    <w:rsid w:val="008E4F66"/>
    <w:rsid w:val="008E5070"/>
    <w:rsid w:val="008E579D"/>
    <w:rsid w:val="008E7895"/>
    <w:rsid w:val="008E7A2E"/>
    <w:rsid w:val="008E7B65"/>
    <w:rsid w:val="008F024B"/>
    <w:rsid w:val="008F054B"/>
    <w:rsid w:val="008F0FA4"/>
    <w:rsid w:val="008F3456"/>
    <w:rsid w:val="008F415E"/>
    <w:rsid w:val="008F44AC"/>
    <w:rsid w:val="008F5434"/>
    <w:rsid w:val="008F5D23"/>
    <w:rsid w:val="008F60B8"/>
    <w:rsid w:val="008F64FF"/>
    <w:rsid w:val="008F653E"/>
    <w:rsid w:val="008F746A"/>
    <w:rsid w:val="008F7548"/>
    <w:rsid w:val="008F789C"/>
    <w:rsid w:val="0090006F"/>
    <w:rsid w:val="00900A40"/>
    <w:rsid w:val="00900C5B"/>
    <w:rsid w:val="00901024"/>
    <w:rsid w:val="00901A29"/>
    <w:rsid w:val="00901D9B"/>
    <w:rsid w:val="009027D5"/>
    <w:rsid w:val="009028A3"/>
    <w:rsid w:val="00903695"/>
    <w:rsid w:val="009040C2"/>
    <w:rsid w:val="00904767"/>
    <w:rsid w:val="00904A93"/>
    <w:rsid w:val="009066AB"/>
    <w:rsid w:val="009077A4"/>
    <w:rsid w:val="009100FB"/>
    <w:rsid w:val="009104DB"/>
    <w:rsid w:val="00910AEF"/>
    <w:rsid w:val="009120DA"/>
    <w:rsid w:val="009132B6"/>
    <w:rsid w:val="009146FC"/>
    <w:rsid w:val="009154F8"/>
    <w:rsid w:val="009158F4"/>
    <w:rsid w:val="00915B93"/>
    <w:rsid w:val="0091687B"/>
    <w:rsid w:val="00916CDE"/>
    <w:rsid w:val="0091761A"/>
    <w:rsid w:val="00921A7F"/>
    <w:rsid w:val="00922349"/>
    <w:rsid w:val="00923062"/>
    <w:rsid w:val="0092324D"/>
    <w:rsid w:val="00923D39"/>
    <w:rsid w:val="0092455F"/>
    <w:rsid w:val="009253E9"/>
    <w:rsid w:val="00925640"/>
    <w:rsid w:val="00927F93"/>
    <w:rsid w:val="00930624"/>
    <w:rsid w:val="009308C9"/>
    <w:rsid w:val="0093160A"/>
    <w:rsid w:val="009326AB"/>
    <w:rsid w:val="00933852"/>
    <w:rsid w:val="00934D8E"/>
    <w:rsid w:val="0093672C"/>
    <w:rsid w:val="00936EE6"/>
    <w:rsid w:val="0093755D"/>
    <w:rsid w:val="009400BB"/>
    <w:rsid w:val="00940284"/>
    <w:rsid w:val="009408BB"/>
    <w:rsid w:val="00940E63"/>
    <w:rsid w:val="00941151"/>
    <w:rsid w:val="00941B73"/>
    <w:rsid w:val="00942D4D"/>
    <w:rsid w:val="00943068"/>
    <w:rsid w:val="0094327F"/>
    <w:rsid w:val="009437F5"/>
    <w:rsid w:val="009442B2"/>
    <w:rsid w:val="009455AB"/>
    <w:rsid w:val="00945C38"/>
    <w:rsid w:val="009466B9"/>
    <w:rsid w:val="00946DE0"/>
    <w:rsid w:val="009473A8"/>
    <w:rsid w:val="00947B2E"/>
    <w:rsid w:val="00947F8D"/>
    <w:rsid w:val="009501B8"/>
    <w:rsid w:val="0095118B"/>
    <w:rsid w:val="00951246"/>
    <w:rsid w:val="009517EF"/>
    <w:rsid w:val="0095205E"/>
    <w:rsid w:val="00952480"/>
    <w:rsid w:val="009524CB"/>
    <w:rsid w:val="009528EF"/>
    <w:rsid w:val="00952CDA"/>
    <w:rsid w:val="00952CEB"/>
    <w:rsid w:val="009531DC"/>
    <w:rsid w:val="00953A03"/>
    <w:rsid w:val="00954207"/>
    <w:rsid w:val="00954243"/>
    <w:rsid w:val="009546B4"/>
    <w:rsid w:val="00954B6B"/>
    <w:rsid w:val="009557EA"/>
    <w:rsid w:val="00955B7F"/>
    <w:rsid w:val="00955FB2"/>
    <w:rsid w:val="009562CA"/>
    <w:rsid w:val="00957F85"/>
    <w:rsid w:val="00960201"/>
    <w:rsid w:val="00960B8C"/>
    <w:rsid w:val="00960C54"/>
    <w:rsid w:val="00961555"/>
    <w:rsid w:val="00961904"/>
    <w:rsid w:val="009619AC"/>
    <w:rsid w:val="00961EC7"/>
    <w:rsid w:val="0096279E"/>
    <w:rsid w:val="00962D94"/>
    <w:rsid w:val="00962E14"/>
    <w:rsid w:val="00962F72"/>
    <w:rsid w:val="009639BC"/>
    <w:rsid w:val="00964A72"/>
    <w:rsid w:val="00966716"/>
    <w:rsid w:val="00967D83"/>
    <w:rsid w:val="0097075B"/>
    <w:rsid w:val="00970B29"/>
    <w:rsid w:val="0097117E"/>
    <w:rsid w:val="0097120C"/>
    <w:rsid w:val="009717E8"/>
    <w:rsid w:val="00971A51"/>
    <w:rsid w:val="00971A8C"/>
    <w:rsid w:val="009720DE"/>
    <w:rsid w:val="0097217D"/>
    <w:rsid w:val="0097217F"/>
    <w:rsid w:val="00973A45"/>
    <w:rsid w:val="00974290"/>
    <w:rsid w:val="00974479"/>
    <w:rsid w:val="009745BA"/>
    <w:rsid w:val="00974E06"/>
    <w:rsid w:val="00976823"/>
    <w:rsid w:val="009774F0"/>
    <w:rsid w:val="009803F1"/>
    <w:rsid w:val="009813D1"/>
    <w:rsid w:val="00981FBC"/>
    <w:rsid w:val="0098239B"/>
    <w:rsid w:val="00982B1D"/>
    <w:rsid w:val="00983788"/>
    <w:rsid w:val="00983EA2"/>
    <w:rsid w:val="0098453F"/>
    <w:rsid w:val="009848A4"/>
    <w:rsid w:val="00984D5F"/>
    <w:rsid w:val="009851D2"/>
    <w:rsid w:val="00990B2B"/>
    <w:rsid w:val="0099107A"/>
    <w:rsid w:val="00991826"/>
    <w:rsid w:val="00991CE7"/>
    <w:rsid w:val="009927F2"/>
    <w:rsid w:val="00992E3B"/>
    <w:rsid w:val="009934B1"/>
    <w:rsid w:val="009948A6"/>
    <w:rsid w:val="00994A91"/>
    <w:rsid w:val="009953CC"/>
    <w:rsid w:val="009965AC"/>
    <w:rsid w:val="00997B2A"/>
    <w:rsid w:val="009A0FFD"/>
    <w:rsid w:val="009A101B"/>
    <w:rsid w:val="009A1778"/>
    <w:rsid w:val="009A249E"/>
    <w:rsid w:val="009A29CC"/>
    <w:rsid w:val="009A2F47"/>
    <w:rsid w:val="009A3BB0"/>
    <w:rsid w:val="009A3E1A"/>
    <w:rsid w:val="009A4C99"/>
    <w:rsid w:val="009A5B5E"/>
    <w:rsid w:val="009A62E3"/>
    <w:rsid w:val="009A71E9"/>
    <w:rsid w:val="009A7780"/>
    <w:rsid w:val="009A7998"/>
    <w:rsid w:val="009B0312"/>
    <w:rsid w:val="009B1026"/>
    <w:rsid w:val="009B3015"/>
    <w:rsid w:val="009B4A3F"/>
    <w:rsid w:val="009B4D44"/>
    <w:rsid w:val="009B4DCC"/>
    <w:rsid w:val="009B559E"/>
    <w:rsid w:val="009B59F0"/>
    <w:rsid w:val="009B60B0"/>
    <w:rsid w:val="009B61E4"/>
    <w:rsid w:val="009B6517"/>
    <w:rsid w:val="009B6E67"/>
    <w:rsid w:val="009C0921"/>
    <w:rsid w:val="009C0F71"/>
    <w:rsid w:val="009C1669"/>
    <w:rsid w:val="009C2203"/>
    <w:rsid w:val="009C320C"/>
    <w:rsid w:val="009C34DA"/>
    <w:rsid w:val="009C3B90"/>
    <w:rsid w:val="009C4E52"/>
    <w:rsid w:val="009C4F0A"/>
    <w:rsid w:val="009C525E"/>
    <w:rsid w:val="009C60F3"/>
    <w:rsid w:val="009C6712"/>
    <w:rsid w:val="009C7553"/>
    <w:rsid w:val="009D005A"/>
    <w:rsid w:val="009D1B40"/>
    <w:rsid w:val="009D2145"/>
    <w:rsid w:val="009D3FCC"/>
    <w:rsid w:val="009D64A3"/>
    <w:rsid w:val="009D6871"/>
    <w:rsid w:val="009D74A4"/>
    <w:rsid w:val="009D7F21"/>
    <w:rsid w:val="009E19F0"/>
    <w:rsid w:val="009E209F"/>
    <w:rsid w:val="009E21BC"/>
    <w:rsid w:val="009E28A1"/>
    <w:rsid w:val="009E2B34"/>
    <w:rsid w:val="009E3633"/>
    <w:rsid w:val="009E453B"/>
    <w:rsid w:val="009E4575"/>
    <w:rsid w:val="009E4CD4"/>
    <w:rsid w:val="009E5EAB"/>
    <w:rsid w:val="009E6905"/>
    <w:rsid w:val="009E6BB4"/>
    <w:rsid w:val="009E6CC2"/>
    <w:rsid w:val="009E730E"/>
    <w:rsid w:val="009E7741"/>
    <w:rsid w:val="009E7879"/>
    <w:rsid w:val="009F0B27"/>
    <w:rsid w:val="009F0E9C"/>
    <w:rsid w:val="009F0F9A"/>
    <w:rsid w:val="009F31AC"/>
    <w:rsid w:val="009F359B"/>
    <w:rsid w:val="009F385D"/>
    <w:rsid w:val="009F4EDC"/>
    <w:rsid w:val="009F5997"/>
    <w:rsid w:val="009F5C65"/>
    <w:rsid w:val="009F72EE"/>
    <w:rsid w:val="009F773B"/>
    <w:rsid w:val="00A00453"/>
    <w:rsid w:val="00A01952"/>
    <w:rsid w:val="00A01A9A"/>
    <w:rsid w:val="00A01EC3"/>
    <w:rsid w:val="00A03633"/>
    <w:rsid w:val="00A04B30"/>
    <w:rsid w:val="00A04B93"/>
    <w:rsid w:val="00A05623"/>
    <w:rsid w:val="00A05AC0"/>
    <w:rsid w:val="00A06442"/>
    <w:rsid w:val="00A0662B"/>
    <w:rsid w:val="00A0723C"/>
    <w:rsid w:val="00A07520"/>
    <w:rsid w:val="00A0761F"/>
    <w:rsid w:val="00A0766A"/>
    <w:rsid w:val="00A1020E"/>
    <w:rsid w:val="00A103A5"/>
    <w:rsid w:val="00A10E5C"/>
    <w:rsid w:val="00A11A01"/>
    <w:rsid w:val="00A12A28"/>
    <w:rsid w:val="00A12C24"/>
    <w:rsid w:val="00A13025"/>
    <w:rsid w:val="00A137D3"/>
    <w:rsid w:val="00A149FE"/>
    <w:rsid w:val="00A1504A"/>
    <w:rsid w:val="00A15A94"/>
    <w:rsid w:val="00A15E44"/>
    <w:rsid w:val="00A16463"/>
    <w:rsid w:val="00A1705E"/>
    <w:rsid w:val="00A17839"/>
    <w:rsid w:val="00A17C8E"/>
    <w:rsid w:val="00A2098A"/>
    <w:rsid w:val="00A221F0"/>
    <w:rsid w:val="00A230AF"/>
    <w:rsid w:val="00A23A78"/>
    <w:rsid w:val="00A23DF6"/>
    <w:rsid w:val="00A24774"/>
    <w:rsid w:val="00A260D0"/>
    <w:rsid w:val="00A26869"/>
    <w:rsid w:val="00A268BA"/>
    <w:rsid w:val="00A26D50"/>
    <w:rsid w:val="00A26EF3"/>
    <w:rsid w:val="00A26F05"/>
    <w:rsid w:val="00A27700"/>
    <w:rsid w:val="00A27DBF"/>
    <w:rsid w:val="00A31204"/>
    <w:rsid w:val="00A316EC"/>
    <w:rsid w:val="00A325E4"/>
    <w:rsid w:val="00A334D4"/>
    <w:rsid w:val="00A33C06"/>
    <w:rsid w:val="00A34053"/>
    <w:rsid w:val="00A35436"/>
    <w:rsid w:val="00A36488"/>
    <w:rsid w:val="00A36578"/>
    <w:rsid w:val="00A378C1"/>
    <w:rsid w:val="00A40086"/>
    <w:rsid w:val="00A4030E"/>
    <w:rsid w:val="00A4136D"/>
    <w:rsid w:val="00A429A2"/>
    <w:rsid w:val="00A42CB8"/>
    <w:rsid w:val="00A4345B"/>
    <w:rsid w:val="00A438DF"/>
    <w:rsid w:val="00A44769"/>
    <w:rsid w:val="00A45E05"/>
    <w:rsid w:val="00A45F9B"/>
    <w:rsid w:val="00A45FA8"/>
    <w:rsid w:val="00A478A9"/>
    <w:rsid w:val="00A50AF0"/>
    <w:rsid w:val="00A513F3"/>
    <w:rsid w:val="00A51554"/>
    <w:rsid w:val="00A515FD"/>
    <w:rsid w:val="00A520E2"/>
    <w:rsid w:val="00A522C5"/>
    <w:rsid w:val="00A52C8E"/>
    <w:rsid w:val="00A54740"/>
    <w:rsid w:val="00A54BDC"/>
    <w:rsid w:val="00A54F39"/>
    <w:rsid w:val="00A556A8"/>
    <w:rsid w:val="00A55A37"/>
    <w:rsid w:val="00A569C9"/>
    <w:rsid w:val="00A5723F"/>
    <w:rsid w:val="00A57A14"/>
    <w:rsid w:val="00A606FF"/>
    <w:rsid w:val="00A607BD"/>
    <w:rsid w:val="00A60A24"/>
    <w:rsid w:val="00A6177A"/>
    <w:rsid w:val="00A621A3"/>
    <w:rsid w:val="00A62CD5"/>
    <w:rsid w:val="00A63CA2"/>
    <w:rsid w:val="00A64860"/>
    <w:rsid w:val="00A66AB8"/>
    <w:rsid w:val="00A66F77"/>
    <w:rsid w:val="00A6722E"/>
    <w:rsid w:val="00A674C2"/>
    <w:rsid w:val="00A675F3"/>
    <w:rsid w:val="00A675F7"/>
    <w:rsid w:val="00A675FA"/>
    <w:rsid w:val="00A67B24"/>
    <w:rsid w:val="00A67E1B"/>
    <w:rsid w:val="00A72466"/>
    <w:rsid w:val="00A72596"/>
    <w:rsid w:val="00A73DC1"/>
    <w:rsid w:val="00A74168"/>
    <w:rsid w:val="00A743F0"/>
    <w:rsid w:val="00A74BE5"/>
    <w:rsid w:val="00A7511D"/>
    <w:rsid w:val="00A756D2"/>
    <w:rsid w:val="00A75A03"/>
    <w:rsid w:val="00A75EE1"/>
    <w:rsid w:val="00A772DE"/>
    <w:rsid w:val="00A775E4"/>
    <w:rsid w:val="00A77B03"/>
    <w:rsid w:val="00A80715"/>
    <w:rsid w:val="00A8122D"/>
    <w:rsid w:val="00A8127A"/>
    <w:rsid w:val="00A81C5E"/>
    <w:rsid w:val="00A81E7B"/>
    <w:rsid w:val="00A81FB8"/>
    <w:rsid w:val="00A82C05"/>
    <w:rsid w:val="00A83D08"/>
    <w:rsid w:val="00A83FD1"/>
    <w:rsid w:val="00A84DBC"/>
    <w:rsid w:val="00A877A4"/>
    <w:rsid w:val="00A87FEB"/>
    <w:rsid w:val="00A9026A"/>
    <w:rsid w:val="00A909C3"/>
    <w:rsid w:val="00A91234"/>
    <w:rsid w:val="00A91738"/>
    <w:rsid w:val="00A91E49"/>
    <w:rsid w:val="00A920E1"/>
    <w:rsid w:val="00A9250D"/>
    <w:rsid w:val="00A928A1"/>
    <w:rsid w:val="00A9412A"/>
    <w:rsid w:val="00A94259"/>
    <w:rsid w:val="00A94882"/>
    <w:rsid w:val="00A96E22"/>
    <w:rsid w:val="00A96E27"/>
    <w:rsid w:val="00A970E6"/>
    <w:rsid w:val="00A971A4"/>
    <w:rsid w:val="00A9735E"/>
    <w:rsid w:val="00A977C6"/>
    <w:rsid w:val="00A97C4A"/>
    <w:rsid w:val="00AA1335"/>
    <w:rsid w:val="00AA135B"/>
    <w:rsid w:val="00AA1413"/>
    <w:rsid w:val="00AA1994"/>
    <w:rsid w:val="00AA19F0"/>
    <w:rsid w:val="00AA2AB3"/>
    <w:rsid w:val="00AA2E75"/>
    <w:rsid w:val="00AA2F9B"/>
    <w:rsid w:val="00AA5492"/>
    <w:rsid w:val="00AA5685"/>
    <w:rsid w:val="00AA5A7A"/>
    <w:rsid w:val="00AA6A6D"/>
    <w:rsid w:val="00AA71ED"/>
    <w:rsid w:val="00AA7936"/>
    <w:rsid w:val="00AA7B4B"/>
    <w:rsid w:val="00AB14FC"/>
    <w:rsid w:val="00AB2A82"/>
    <w:rsid w:val="00AB2F4E"/>
    <w:rsid w:val="00AB32E1"/>
    <w:rsid w:val="00AB35B9"/>
    <w:rsid w:val="00AB3DAF"/>
    <w:rsid w:val="00AB3DF5"/>
    <w:rsid w:val="00AB47A9"/>
    <w:rsid w:val="00AB4A5B"/>
    <w:rsid w:val="00AB4ADD"/>
    <w:rsid w:val="00AB4B36"/>
    <w:rsid w:val="00AB5808"/>
    <w:rsid w:val="00AB5D1A"/>
    <w:rsid w:val="00AB6099"/>
    <w:rsid w:val="00AB6AA0"/>
    <w:rsid w:val="00AB6CFC"/>
    <w:rsid w:val="00AC182A"/>
    <w:rsid w:val="00AC1D05"/>
    <w:rsid w:val="00AC22D7"/>
    <w:rsid w:val="00AC2975"/>
    <w:rsid w:val="00AC45A1"/>
    <w:rsid w:val="00AC475B"/>
    <w:rsid w:val="00AC4947"/>
    <w:rsid w:val="00AC4BDC"/>
    <w:rsid w:val="00AC4C57"/>
    <w:rsid w:val="00AC5594"/>
    <w:rsid w:val="00AC5A38"/>
    <w:rsid w:val="00AC78C3"/>
    <w:rsid w:val="00AD15AE"/>
    <w:rsid w:val="00AD15FB"/>
    <w:rsid w:val="00AD167C"/>
    <w:rsid w:val="00AD1A1A"/>
    <w:rsid w:val="00AD2992"/>
    <w:rsid w:val="00AD29CF"/>
    <w:rsid w:val="00AD31AC"/>
    <w:rsid w:val="00AD3EF5"/>
    <w:rsid w:val="00AD4545"/>
    <w:rsid w:val="00AD4A82"/>
    <w:rsid w:val="00AD4E18"/>
    <w:rsid w:val="00AD59CF"/>
    <w:rsid w:val="00AD5C60"/>
    <w:rsid w:val="00AD6F35"/>
    <w:rsid w:val="00AE02C1"/>
    <w:rsid w:val="00AE0CEE"/>
    <w:rsid w:val="00AE2159"/>
    <w:rsid w:val="00AE2AB7"/>
    <w:rsid w:val="00AE305B"/>
    <w:rsid w:val="00AE3EB3"/>
    <w:rsid w:val="00AE43B2"/>
    <w:rsid w:val="00AE453C"/>
    <w:rsid w:val="00AE46BA"/>
    <w:rsid w:val="00AE4804"/>
    <w:rsid w:val="00AE5340"/>
    <w:rsid w:val="00AE587D"/>
    <w:rsid w:val="00AE6CB5"/>
    <w:rsid w:val="00AE76B1"/>
    <w:rsid w:val="00AE7815"/>
    <w:rsid w:val="00AF0879"/>
    <w:rsid w:val="00AF1813"/>
    <w:rsid w:val="00AF2CCC"/>
    <w:rsid w:val="00AF35E9"/>
    <w:rsid w:val="00AF3B04"/>
    <w:rsid w:val="00AF3BD0"/>
    <w:rsid w:val="00AF3C54"/>
    <w:rsid w:val="00AF4752"/>
    <w:rsid w:val="00AF567D"/>
    <w:rsid w:val="00AF5CEB"/>
    <w:rsid w:val="00AF610D"/>
    <w:rsid w:val="00AF61D4"/>
    <w:rsid w:val="00AF637B"/>
    <w:rsid w:val="00AF76FA"/>
    <w:rsid w:val="00AF7F71"/>
    <w:rsid w:val="00B00482"/>
    <w:rsid w:val="00B005A0"/>
    <w:rsid w:val="00B0098E"/>
    <w:rsid w:val="00B011F3"/>
    <w:rsid w:val="00B013E4"/>
    <w:rsid w:val="00B01F9C"/>
    <w:rsid w:val="00B031B6"/>
    <w:rsid w:val="00B03B69"/>
    <w:rsid w:val="00B03C99"/>
    <w:rsid w:val="00B04570"/>
    <w:rsid w:val="00B05254"/>
    <w:rsid w:val="00B060DD"/>
    <w:rsid w:val="00B06E33"/>
    <w:rsid w:val="00B106B4"/>
    <w:rsid w:val="00B10DC4"/>
    <w:rsid w:val="00B118B2"/>
    <w:rsid w:val="00B11AC8"/>
    <w:rsid w:val="00B13AA4"/>
    <w:rsid w:val="00B13E28"/>
    <w:rsid w:val="00B14609"/>
    <w:rsid w:val="00B14BEB"/>
    <w:rsid w:val="00B14C15"/>
    <w:rsid w:val="00B14F77"/>
    <w:rsid w:val="00B201FA"/>
    <w:rsid w:val="00B2066D"/>
    <w:rsid w:val="00B20A46"/>
    <w:rsid w:val="00B20B75"/>
    <w:rsid w:val="00B21992"/>
    <w:rsid w:val="00B222D4"/>
    <w:rsid w:val="00B23CD4"/>
    <w:rsid w:val="00B24204"/>
    <w:rsid w:val="00B24B76"/>
    <w:rsid w:val="00B25501"/>
    <w:rsid w:val="00B25F17"/>
    <w:rsid w:val="00B2663A"/>
    <w:rsid w:val="00B26A9F"/>
    <w:rsid w:val="00B2761A"/>
    <w:rsid w:val="00B27DC3"/>
    <w:rsid w:val="00B30271"/>
    <w:rsid w:val="00B30A01"/>
    <w:rsid w:val="00B31562"/>
    <w:rsid w:val="00B3411B"/>
    <w:rsid w:val="00B344A7"/>
    <w:rsid w:val="00B34FDE"/>
    <w:rsid w:val="00B3504B"/>
    <w:rsid w:val="00B35429"/>
    <w:rsid w:val="00B3555C"/>
    <w:rsid w:val="00B363D1"/>
    <w:rsid w:val="00B36E37"/>
    <w:rsid w:val="00B370F0"/>
    <w:rsid w:val="00B37B6E"/>
    <w:rsid w:val="00B4029D"/>
    <w:rsid w:val="00B40BED"/>
    <w:rsid w:val="00B41271"/>
    <w:rsid w:val="00B424E2"/>
    <w:rsid w:val="00B44834"/>
    <w:rsid w:val="00B4558E"/>
    <w:rsid w:val="00B45689"/>
    <w:rsid w:val="00B46856"/>
    <w:rsid w:val="00B472C5"/>
    <w:rsid w:val="00B506E9"/>
    <w:rsid w:val="00B50C49"/>
    <w:rsid w:val="00B50F8F"/>
    <w:rsid w:val="00B51E6B"/>
    <w:rsid w:val="00B52035"/>
    <w:rsid w:val="00B52AB7"/>
    <w:rsid w:val="00B53144"/>
    <w:rsid w:val="00B53927"/>
    <w:rsid w:val="00B53B79"/>
    <w:rsid w:val="00B53ECD"/>
    <w:rsid w:val="00B549BF"/>
    <w:rsid w:val="00B54ACA"/>
    <w:rsid w:val="00B55005"/>
    <w:rsid w:val="00B55AAB"/>
    <w:rsid w:val="00B570DC"/>
    <w:rsid w:val="00B577E2"/>
    <w:rsid w:val="00B61A09"/>
    <w:rsid w:val="00B61BC6"/>
    <w:rsid w:val="00B62CC2"/>
    <w:rsid w:val="00B62D1E"/>
    <w:rsid w:val="00B63682"/>
    <w:rsid w:val="00B637C7"/>
    <w:rsid w:val="00B64C5C"/>
    <w:rsid w:val="00B64E02"/>
    <w:rsid w:val="00B64E37"/>
    <w:rsid w:val="00B65818"/>
    <w:rsid w:val="00B666D4"/>
    <w:rsid w:val="00B667B5"/>
    <w:rsid w:val="00B677E3"/>
    <w:rsid w:val="00B70935"/>
    <w:rsid w:val="00B70D48"/>
    <w:rsid w:val="00B71C41"/>
    <w:rsid w:val="00B72289"/>
    <w:rsid w:val="00B722C9"/>
    <w:rsid w:val="00B73AD0"/>
    <w:rsid w:val="00B7490D"/>
    <w:rsid w:val="00B74E69"/>
    <w:rsid w:val="00B767A1"/>
    <w:rsid w:val="00B76D06"/>
    <w:rsid w:val="00B774D0"/>
    <w:rsid w:val="00B775EA"/>
    <w:rsid w:val="00B775FD"/>
    <w:rsid w:val="00B77C66"/>
    <w:rsid w:val="00B80B67"/>
    <w:rsid w:val="00B80CB3"/>
    <w:rsid w:val="00B80E1D"/>
    <w:rsid w:val="00B81C0C"/>
    <w:rsid w:val="00B8227C"/>
    <w:rsid w:val="00B82EDB"/>
    <w:rsid w:val="00B84F6B"/>
    <w:rsid w:val="00B859FE"/>
    <w:rsid w:val="00B87827"/>
    <w:rsid w:val="00B87884"/>
    <w:rsid w:val="00B878E9"/>
    <w:rsid w:val="00B87A5C"/>
    <w:rsid w:val="00B90018"/>
    <w:rsid w:val="00B908BC"/>
    <w:rsid w:val="00B90903"/>
    <w:rsid w:val="00B91119"/>
    <w:rsid w:val="00B925F2"/>
    <w:rsid w:val="00B93932"/>
    <w:rsid w:val="00B93F20"/>
    <w:rsid w:val="00B9466E"/>
    <w:rsid w:val="00B94ED8"/>
    <w:rsid w:val="00B97684"/>
    <w:rsid w:val="00B97A76"/>
    <w:rsid w:val="00BA0476"/>
    <w:rsid w:val="00BA093D"/>
    <w:rsid w:val="00BA0DE0"/>
    <w:rsid w:val="00BA1533"/>
    <w:rsid w:val="00BA1795"/>
    <w:rsid w:val="00BA1932"/>
    <w:rsid w:val="00BA25E5"/>
    <w:rsid w:val="00BA2C24"/>
    <w:rsid w:val="00BA3501"/>
    <w:rsid w:val="00BA355B"/>
    <w:rsid w:val="00BA4308"/>
    <w:rsid w:val="00BA4585"/>
    <w:rsid w:val="00BA4E52"/>
    <w:rsid w:val="00BA55AA"/>
    <w:rsid w:val="00BA5AEA"/>
    <w:rsid w:val="00BA60F2"/>
    <w:rsid w:val="00BA723A"/>
    <w:rsid w:val="00BA796C"/>
    <w:rsid w:val="00BA7AAE"/>
    <w:rsid w:val="00BB04BE"/>
    <w:rsid w:val="00BB07A0"/>
    <w:rsid w:val="00BB24D5"/>
    <w:rsid w:val="00BB2625"/>
    <w:rsid w:val="00BB352B"/>
    <w:rsid w:val="00BB3AAF"/>
    <w:rsid w:val="00BB3CAE"/>
    <w:rsid w:val="00BB3D07"/>
    <w:rsid w:val="00BB6421"/>
    <w:rsid w:val="00BB6712"/>
    <w:rsid w:val="00BB785B"/>
    <w:rsid w:val="00BB7A9E"/>
    <w:rsid w:val="00BB7CE4"/>
    <w:rsid w:val="00BC118E"/>
    <w:rsid w:val="00BC12ED"/>
    <w:rsid w:val="00BC1985"/>
    <w:rsid w:val="00BC21BF"/>
    <w:rsid w:val="00BC22B4"/>
    <w:rsid w:val="00BC2571"/>
    <w:rsid w:val="00BC2DC2"/>
    <w:rsid w:val="00BC3EAB"/>
    <w:rsid w:val="00BC41E3"/>
    <w:rsid w:val="00BC4642"/>
    <w:rsid w:val="00BC4705"/>
    <w:rsid w:val="00BC51A0"/>
    <w:rsid w:val="00BC5590"/>
    <w:rsid w:val="00BC617F"/>
    <w:rsid w:val="00BC63FD"/>
    <w:rsid w:val="00BC65BB"/>
    <w:rsid w:val="00BC6822"/>
    <w:rsid w:val="00BC6CB2"/>
    <w:rsid w:val="00BC7765"/>
    <w:rsid w:val="00BD0447"/>
    <w:rsid w:val="00BD129B"/>
    <w:rsid w:val="00BD13E1"/>
    <w:rsid w:val="00BD144D"/>
    <w:rsid w:val="00BD16F9"/>
    <w:rsid w:val="00BD1ADE"/>
    <w:rsid w:val="00BD2164"/>
    <w:rsid w:val="00BD2B45"/>
    <w:rsid w:val="00BD304A"/>
    <w:rsid w:val="00BD3571"/>
    <w:rsid w:val="00BD471A"/>
    <w:rsid w:val="00BD50F4"/>
    <w:rsid w:val="00BD578C"/>
    <w:rsid w:val="00BD6C6E"/>
    <w:rsid w:val="00BD723A"/>
    <w:rsid w:val="00BD7E99"/>
    <w:rsid w:val="00BD7FDA"/>
    <w:rsid w:val="00BE00CA"/>
    <w:rsid w:val="00BE0B32"/>
    <w:rsid w:val="00BE0DC3"/>
    <w:rsid w:val="00BE0E0C"/>
    <w:rsid w:val="00BE1569"/>
    <w:rsid w:val="00BE20F8"/>
    <w:rsid w:val="00BE250D"/>
    <w:rsid w:val="00BE2683"/>
    <w:rsid w:val="00BE2AE9"/>
    <w:rsid w:val="00BE2BEB"/>
    <w:rsid w:val="00BE311E"/>
    <w:rsid w:val="00BE3724"/>
    <w:rsid w:val="00BE3AFE"/>
    <w:rsid w:val="00BE3F5D"/>
    <w:rsid w:val="00BE400E"/>
    <w:rsid w:val="00BE4249"/>
    <w:rsid w:val="00BE4545"/>
    <w:rsid w:val="00BE5A01"/>
    <w:rsid w:val="00BE5DAE"/>
    <w:rsid w:val="00BE6510"/>
    <w:rsid w:val="00BE659E"/>
    <w:rsid w:val="00BE6724"/>
    <w:rsid w:val="00BE7812"/>
    <w:rsid w:val="00BE7930"/>
    <w:rsid w:val="00BE7E84"/>
    <w:rsid w:val="00BF0CDC"/>
    <w:rsid w:val="00BF0F39"/>
    <w:rsid w:val="00BF138F"/>
    <w:rsid w:val="00BF17C6"/>
    <w:rsid w:val="00BF2098"/>
    <w:rsid w:val="00BF24C3"/>
    <w:rsid w:val="00BF279C"/>
    <w:rsid w:val="00BF2B4F"/>
    <w:rsid w:val="00BF2C83"/>
    <w:rsid w:val="00BF4185"/>
    <w:rsid w:val="00BF565A"/>
    <w:rsid w:val="00BF5F21"/>
    <w:rsid w:val="00BF61A6"/>
    <w:rsid w:val="00BF6B55"/>
    <w:rsid w:val="00BF7B30"/>
    <w:rsid w:val="00C001FF"/>
    <w:rsid w:val="00C01C9A"/>
    <w:rsid w:val="00C02ACD"/>
    <w:rsid w:val="00C03827"/>
    <w:rsid w:val="00C039F9"/>
    <w:rsid w:val="00C03DBE"/>
    <w:rsid w:val="00C04644"/>
    <w:rsid w:val="00C048F5"/>
    <w:rsid w:val="00C04B4F"/>
    <w:rsid w:val="00C053A7"/>
    <w:rsid w:val="00C05F7B"/>
    <w:rsid w:val="00C0779A"/>
    <w:rsid w:val="00C07900"/>
    <w:rsid w:val="00C07CEF"/>
    <w:rsid w:val="00C100FE"/>
    <w:rsid w:val="00C10111"/>
    <w:rsid w:val="00C102DE"/>
    <w:rsid w:val="00C10BEE"/>
    <w:rsid w:val="00C10D0B"/>
    <w:rsid w:val="00C10E2F"/>
    <w:rsid w:val="00C110F7"/>
    <w:rsid w:val="00C1139A"/>
    <w:rsid w:val="00C11CE2"/>
    <w:rsid w:val="00C12842"/>
    <w:rsid w:val="00C13D4E"/>
    <w:rsid w:val="00C1430F"/>
    <w:rsid w:val="00C14988"/>
    <w:rsid w:val="00C14F48"/>
    <w:rsid w:val="00C1527C"/>
    <w:rsid w:val="00C1535F"/>
    <w:rsid w:val="00C15CD2"/>
    <w:rsid w:val="00C15CE2"/>
    <w:rsid w:val="00C16F0F"/>
    <w:rsid w:val="00C20DA4"/>
    <w:rsid w:val="00C24848"/>
    <w:rsid w:val="00C24CBC"/>
    <w:rsid w:val="00C2596A"/>
    <w:rsid w:val="00C2727F"/>
    <w:rsid w:val="00C27B75"/>
    <w:rsid w:val="00C308D7"/>
    <w:rsid w:val="00C31481"/>
    <w:rsid w:val="00C31E27"/>
    <w:rsid w:val="00C3294A"/>
    <w:rsid w:val="00C329C0"/>
    <w:rsid w:val="00C33142"/>
    <w:rsid w:val="00C3327B"/>
    <w:rsid w:val="00C33B98"/>
    <w:rsid w:val="00C351E8"/>
    <w:rsid w:val="00C370B1"/>
    <w:rsid w:val="00C37426"/>
    <w:rsid w:val="00C374FB"/>
    <w:rsid w:val="00C37554"/>
    <w:rsid w:val="00C376E7"/>
    <w:rsid w:val="00C37F2E"/>
    <w:rsid w:val="00C4024C"/>
    <w:rsid w:val="00C40299"/>
    <w:rsid w:val="00C4065C"/>
    <w:rsid w:val="00C41985"/>
    <w:rsid w:val="00C41DE8"/>
    <w:rsid w:val="00C4376D"/>
    <w:rsid w:val="00C43F37"/>
    <w:rsid w:val="00C4404C"/>
    <w:rsid w:val="00C44671"/>
    <w:rsid w:val="00C44A7F"/>
    <w:rsid w:val="00C4644A"/>
    <w:rsid w:val="00C47509"/>
    <w:rsid w:val="00C47AA7"/>
    <w:rsid w:val="00C50277"/>
    <w:rsid w:val="00C5052F"/>
    <w:rsid w:val="00C50FA3"/>
    <w:rsid w:val="00C51129"/>
    <w:rsid w:val="00C51292"/>
    <w:rsid w:val="00C51DDF"/>
    <w:rsid w:val="00C54079"/>
    <w:rsid w:val="00C548DC"/>
    <w:rsid w:val="00C54F25"/>
    <w:rsid w:val="00C5569B"/>
    <w:rsid w:val="00C560E3"/>
    <w:rsid w:val="00C571E6"/>
    <w:rsid w:val="00C5791F"/>
    <w:rsid w:val="00C57A6E"/>
    <w:rsid w:val="00C57CCF"/>
    <w:rsid w:val="00C57FAC"/>
    <w:rsid w:val="00C6097C"/>
    <w:rsid w:val="00C61234"/>
    <w:rsid w:val="00C6141C"/>
    <w:rsid w:val="00C61D94"/>
    <w:rsid w:val="00C62B89"/>
    <w:rsid w:val="00C6421A"/>
    <w:rsid w:val="00C65108"/>
    <w:rsid w:val="00C65BDD"/>
    <w:rsid w:val="00C66584"/>
    <w:rsid w:val="00C6770C"/>
    <w:rsid w:val="00C70075"/>
    <w:rsid w:val="00C70176"/>
    <w:rsid w:val="00C71159"/>
    <w:rsid w:val="00C711E8"/>
    <w:rsid w:val="00C7257A"/>
    <w:rsid w:val="00C72E5B"/>
    <w:rsid w:val="00C734DF"/>
    <w:rsid w:val="00C737B3"/>
    <w:rsid w:val="00C73B29"/>
    <w:rsid w:val="00C73D58"/>
    <w:rsid w:val="00C73FD4"/>
    <w:rsid w:val="00C762B2"/>
    <w:rsid w:val="00C77634"/>
    <w:rsid w:val="00C7790A"/>
    <w:rsid w:val="00C8124B"/>
    <w:rsid w:val="00C83D4A"/>
    <w:rsid w:val="00C83F1A"/>
    <w:rsid w:val="00C842F5"/>
    <w:rsid w:val="00C84940"/>
    <w:rsid w:val="00C84F48"/>
    <w:rsid w:val="00C866F0"/>
    <w:rsid w:val="00C86FBD"/>
    <w:rsid w:val="00C874ED"/>
    <w:rsid w:val="00C90BD9"/>
    <w:rsid w:val="00C911DA"/>
    <w:rsid w:val="00C914C3"/>
    <w:rsid w:val="00C91AB2"/>
    <w:rsid w:val="00C9231E"/>
    <w:rsid w:val="00C92993"/>
    <w:rsid w:val="00C93797"/>
    <w:rsid w:val="00C93BD7"/>
    <w:rsid w:val="00C93C0C"/>
    <w:rsid w:val="00C93FF7"/>
    <w:rsid w:val="00C94601"/>
    <w:rsid w:val="00C94E51"/>
    <w:rsid w:val="00C95E35"/>
    <w:rsid w:val="00C95F85"/>
    <w:rsid w:val="00C968DD"/>
    <w:rsid w:val="00C977AA"/>
    <w:rsid w:val="00C978CB"/>
    <w:rsid w:val="00C97EB7"/>
    <w:rsid w:val="00CA0890"/>
    <w:rsid w:val="00CA093B"/>
    <w:rsid w:val="00CA14FD"/>
    <w:rsid w:val="00CA19EC"/>
    <w:rsid w:val="00CA204D"/>
    <w:rsid w:val="00CA205D"/>
    <w:rsid w:val="00CA23C1"/>
    <w:rsid w:val="00CA2AD3"/>
    <w:rsid w:val="00CA2D32"/>
    <w:rsid w:val="00CA2D45"/>
    <w:rsid w:val="00CA333C"/>
    <w:rsid w:val="00CA45D7"/>
    <w:rsid w:val="00CA4715"/>
    <w:rsid w:val="00CA565F"/>
    <w:rsid w:val="00CA62BF"/>
    <w:rsid w:val="00CA7064"/>
    <w:rsid w:val="00CA7230"/>
    <w:rsid w:val="00CA7AF4"/>
    <w:rsid w:val="00CB0D1D"/>
    <w:rsid w:val="00CB1556"/>
    <w:rsid w:val="00CB1EE0"/>
    <w:rsid w:val="00CB2871"/>
    <w:rsid w:val="00CB31B0"/>
    <w:rsid w:val="00CB322E"/>
    <w:rsid w:val="00CB3498"/>
    <w:rsid w:val="00CB3572"/>
    <w:rsid w:val="00CB3AF6"/>
    <w:rsid w:val="00CB3D98"/>
    <w:rsid w:val="00CB3E16"/>
    <w:rsid w:val="00CB4074"/>
    <w:rsid w:val="00CB4759"/>
    <w:rsid w:val="00CB4D7B"/>
    <w:rsid w:val="00CB51B7"/>
    <w:rsid w:val="00CB54F6"/>
    <w:rsid w:val="00CB5A85"/>
    <w:rsid w:val="00CB6318"/>
    <w:rsid w:val="00CB6AA6"/>
    <w:rsid w:val="00CC04C8"/>
    <w:rsid w:val="00CC0510"/>
    <w:rsid w:val="00CC078F"/>
    <w:rsid w:val="00CC0A8C"/>
    <w:rsid w:val="00CC0B1A"/>
    <w:rsid w:val="00CC11C1"/>
    <w:rsid w:val="00CC140C"/>
    <w:rsid w:val="00CC15AA"/>
    <w:rsid w:val="00CC30D3"/>
    <w:rsid w:val="00CC39D7"/>
    <w:rsid w:val="00CC3E83"/>
    <w:rsid w:val="00CC49E9"/>
    <w:rsid w:val="00CC4B30"/>
    <w:rsid w:val="00CC6DA8"/>
    <w:rsid w:val="00CC7011"/>
    <w:rsid w:val="00CC70CA"/>
    <w:rsid w:val="00CD0632"/>
    <w:rsid w:val="00CD0AE3"/>
    <w:rsid w:val="00CD0E64"/>
    <w:rsid w:val="00CD2027"/>
    <w:rsid w:val="00CD251B"/>
    <w:rsid w:val="00CD2725"/>
    <w:rsid w:val="00CD2E72"/>
    <w:rsid w:val="00CD2ED8"/>
    <w:rsid w:val="00CD39EE"/>
    <w:rsid w:val="00CD51F7"/>
    <w:rsid w:val="00CD55C5"/>
    <w:rsid w:val="00CD6344"/>
    <w:rsid w:val="00CD656E"/>
    <w:rsid w:val="00CD724D"/>
    <w:rsid w:val="00CD7413"/>
    <w:rsid w:val="00CD797D"/>
    <w:rsid w:val="00CE0252"/>
    <w:rsid w:val="00CE073E"/>
    <w:rsid w:val="00CE07D8"/>
    <w:rsid w:val="00CE0981"/>
    <w:rsid w:val="00CE10C2"/>
    <w:rsid w:val="00CE127F"/>
    <w:rsid w:val="00CE1F7B"/>
    <w:rsid w:val="00CE2645"/>
    <w:rsid w:val="00CE3810"/>
    <w:rsid w:val="00CE41A3"/>
    <w:rsid w:val="00CE4DBA"/>
    <w:rsid w:val="00CE5A15"/>
    <w:rsid w:val="00CE6441"/>
    <w:rsid w:val="00CE6463"/>
    <w:rsid w:val="00CE6F5E"/>
    <w:rsid w:val="00CE74BA"/>
    <w:rsid w:val="00CE7914"/>
    <w:rsid w:val="00CF0012"/>
    <w:rsid w:val="00CF07CD"/>
    <w:rsid w:val="00CF0BC4"/>
    <w:rsid w:val="00CF2E06"/>
    <w:rsid w:val="00CF30DB"/>
    <w:rsid w:val="00CF3E92"/>
    <w:rsid w:val="00CF4AAE"/>
    <w:rsid w:val="00CF6304"/>
    <w:rsid w:val="00CF6ABD"/>
    <w:rsid w:val="00CF72CC"/>
    <w:rsid w:val="00CF76C3"/>
    <w:rsid w:val="00D00B2E"/>
    <w:rsid w:val="00D00C23"/>
    <w:rsid w:val="00D00E54"/>
    <w:rsid w:val="00D01251"/>
    <w:rsid w:val="00D01305"/>
    <w:rsid w:val="00D01958"/>
    <w:rsid w:val="00D01E88"/>
    <w:rsid w:val="00D02196"/>
    <w:rsid w:val="00D0287C"/>
    <w:rsid w:val="00D04770"/>
    <w:rsid w:val="00D04923"/>
    <w:rsid w:val="00D0498D"/>
    <w:rsid w:val="00D04C1E"/>
    <w:rsid w:val="00D05361"/>
    <w:rsid w:val="00D06020"/>
    <w:rsid w:val="00D0673A"/>
    <w:rsid w:val="00D0754A"/>
    <w:rsid w:val="00D07992"/>
    <w:rsid w:val="00D07ACF"/>
    <w:rsid w:val="00D07C90"/>
    <w:rsid w:val="00D07DC6"/>
    <w:rsid w:val="00D10316"/>
    <w:rsid w:val="00D1081B"/>
    <w:rsid w:val="00D114F3"/>
    <w:rsid w:val="00D12C81"/>
    <w:rsid w:val="00D1322F"/>
    <w:rsid w:val="00D133CC"/>
    <w:rsid w:val="00D137C0"/>
    <w:rsid w:val="00D138E7"/>
    <w:rsid w:val="00D13C6E"/>
    <w:rsid w:val="00D148E0"/>
    <w:rsid w:val="00D16772"/>
    <w:rsid w:val="00D17AB7"/>
    <w:rsid w:val="00D17F44"/>
    <w:rsid w:val="00D2008A"/>
    <w:rsid w:val="00D20137"/>
    <w:rsid w:val="00D20417"/>
    <w:rsid w:val="00D2052B"/>
    <w:rsid w:val="00D208EA"/>
    <w:rsid w:val="00D20CE4"/>
    <w:rsid w:val="00D210D6"/>
    <w:rsid w:val="00D22387"/>
    <w:rsid w:val="00D22F2D"/>
    <w:rsid w:val="00D22F97"/>
    <w:rsid w:val="00D23B64"/>
    <w:rsid w:val="00D2481F"/>
    <w:rsid w:val="00D2508F"/>
    <w:rsid w:val="00D25546"/>
    <w:rsid w:val="00D26E84"/>
    <w:rsid w:val="00D278FB"/>
    <w:rsid w:val="00D27F24"/>
    <w:rsid w:val="00D30499"/>
    <w:rsid w:val="00D308A4"/>
    <w:rsid w:val="00D30E01"/>
    <w:rsid w:val="00D3296D"/>
    <w:rsid w:val="00D32A51"/>
    <w:rsid w:val="00D32D52"/>
    <w:rsid w:val="00D333A8"/>
    <w:rsid w:val="00D348C2"/>
    <w:rsid w:val="00D354F7"/>
    <w:rsid w:val="00D3628B"/>
    <w:rsid w:val="00D36554"/>
    <w:rsid w:val="00D36BAB"/>
    <w:rsid w:val="00D37EEB"/>
    <w:rsid w:val="00D40E87"/>
    <w:rsid w:val="00D4173D"/>
    <w:rsid w:val="00D41A5F"/>
    <w:rsid w:val="00D41C82"/>
    <w:rsid w:val="00D41D78"/>
    <w:rsid w:val="00D42801"/>
    <w:rsid w:val="00D436D2"/>
    <w:rsid w:val="00D43B47"/>
    <w:rsid w:val="00D43CCA"/>
    <w:rsid w:val="00D4646D"/>
    <w:rsid w:val="00D46EB1"/>
    <w:rsid w:val="00D47AF5"/>
    <w:rsid w:val="00D47F59"/>
    <w:rsid w:val="00D50165"/>
    <w:rsid w:val="00D5080E"/>
    <w:rsid w:val="00D51CC3"/>
    <w:rsid w:val="00D51E8B"/>
    <w:rsid w:val="00D51F4B"/>
    <w:rsid w:val="00D52FEF"/>
    <w:rsid w:val="00D536F4"/>
    <w:rsid w:val="00D53BC7"/>
    <w:rsid w:val="00D53F09"/>
    <w:rsid w:val="00D542B3"/>
    <w:rsid w:val="00D544A9"/>
    <w:rsid w:val="00D547FA"/>
    <w:rsid w:val="00D5511E"/>
    <w:rsid w:val="00D55B93"/>
    <w:rsid w:val="00D568D9"/>
    <w:rsid w:val="00D56955"/>
    <w:rsid w:val="00D56BDE"/>
    <w:rsid w:val="00D56BE0"/>
    <w:rsid w:val="00D56EEB"/>
    <w:rsid w:val="00D574DB"/>
    <w:rsid w:val="00D5766B"/>
    <w:rsid w:val="00D6011C"/>
    <w:rsid w:val="00D6054B"/>
    <w:rsid w:val="00D60A2A"/>
    <w:rsid w:val="00D62B5C"/>
    <w:rsid w:val="00D6338C"/>
    <w:rsid w:val="00D635E1"/>
    <w:rsid w:val="00D6422C"/>
    <w:rsid w:val="00D647D6"/>
    <w:rsid w:val="00D64893"/>
    <w:rsid w:val="00D64C41"/>
    <w:rsid w:val="00D64CA3"/>
    <w:rsid w:val="00D65CF1"/>
    <w:rsid w:val="00D66518"/>
    <w:rsid w:val="00D6791E"/>
    <w:rsid w:val="00D7053E"/>
    <w:rsid w:val="00D71124"/>
    <w:rsid w:val="00D713C4"/>
    <w:rsid w:val="00D71DB4"/>
    <w:rsid w:val="00D73CC3"/>
    <w:rsid w:val="00D73E62"/>
    <w:rsid w:val="00D7466E"/>
    <w:rsid w:val="00D74978"/>
    <w:rsid w:val="00D751AD"/>
    <w:rsid w:val="00D751C4"/>
    <w:rsid w:val="00D7536C"/>
    <w:rsid w:val="00D75432"/>
    <w:rsid w:val="00D77297"/>
    <w:rsid w:val="00D77316"/>
    <w:rsid w:val="00D8013D"/>
    <w:rsid w:val="00D80285"/>
    <w:rsid w:val="00D81187"/>
    <w:rsid w:val="00D8141F"/>
    <w:rsid w:val="00D81A35"/>
    <w:rsid w:val="00D8330E"/>
    <w:rsid w:val="00D84000"/>
    <w:rsid w:val="00D85404"/>
    <w:rsid w:val="00D85B3E"/>
    <w:rsid w:val="00D85BA5"/>
    <w:rsid w:val="00D86CC3"/>
    <w:rsid w:val="00D87705"/>
    <w:rsid w:val="00D90A68"/>
    <w:rsid w:val="00D9166C"/>
    <w:rsid w:val="00D92540"/>
    <w:rsid w:val="00D92BAC"/>
    <w:rsid w:val="00D92BF5"/>
    <w:rsid w:val="00D930DE"/>
    <w:rsid w:val="00D93C47"/>
    <w:rsid w:val="00D94554"/>
    <w:rsid w:val="00D94801"/>
    <w:rsid w:val="00D95E74"/>
    <w:rsid w:val="00D961B9"/>
    <w:rsid w:val="00D96E79"/>
    <w:rsid w:val="00D97273"/>
    <w:rsid w:val="00D97C6F"/>
    <w:rsid w:val="00DA1423"/>
    <w:rsid w:val="00DA159D"/>
    <w:rsid w:val="00DA1655"/>
    <w:rsid w:val="00DA1A3E"/>
    <w:rsid w:val="00DA27A0"/>
    <w:rsid w:val="00DA3593"/>
    <w:rsid w:val="00DA3BCA"/>
    <w:rsid w:val="00DA4034"/>
    <w:rsid w:val="00DA445D"/>
    <w:rsid w:val="00DA5028"/>
    <w:rsid w:val="00DA5C96"/>
    <w:rsid w:val="00DA5D13"/>
    <w:rsid w:val="00DA68B3"/>
    <w:rsid w:val="00DA72C4"/>
    <w:rsid w:val="00DA72E8"/>
    <w:rsid w:val="00DB08DE"/>
    <w:rsid w:val="00DB101F"/>
    <w:rsid w:val="00DB116C"/>
    <w:rsid w:val="00DB123C"/>
    <w:rsid w:val="00DB19D5"/>
    <w:rsid w:val="00DB1E86"/>
    <w:rsid w:val="00DB2B0E"/>
    <w:rsid w:val="00DB2B41"/>
    <w:rsid w:val="00DB2B4E"/>
    <w:rsid w:val="00DB39DC"/>
    <w:rsid w:val="00DB42D8"/>
    <w:rsid w:val="00DB54DE"/>
    <w:rsid w:val="00DB553F"/>
    <w:rsid w:val="00DB5DA9"/>
    <w:rsid w:val="00DB72BB"/>
    <w:rsid w:val="00DC036D"/>
    <w:rsid w:val="00DC099C"/>
    <w:rsid w:val="00DC100E"/>
    <w:rsid w:val="00DC104F"/>
    <w:rsid w:val="00DC1106"/>
    <w:rsid w:val="00DC1841"/>
    <w:rsid w:val="00DC1CA4"/>
    <w:rsid w:val="00DC292B"/>
    <w:rsid w:val="00DC31BC"/>
    <w:rsid w:val="00DC31D6"/>
    <w:rsid w:val="00DC3B8E"/>
    <w:rsid w:val="00DC43ED"/>
    <w:rsid w:val="00DC4756"/>
    <w:rsid w:val="00DC55DE"/>
    <w:rsid w:val="00DC62AC"/>
    <w:rsid w:val="00DC66ED"/>
    <w:rsid w:val="00DC7BD9"/>
    <w:rsid w:val="00DC7CFF"/>
    <w:rsid w:val="00DC7E8B"/>
    <w:rsid w:val="00DC7F70"/>
    <w:rsid w:val="00DC7F94"/>
    <w:rsid w:val="00DD060E"/>
    <w:rsid w:val="00DD1BE5"/>
    <w:rsid w:val="00DD2A95"/>
    <w:rsid w:val="00DD2E89"/>
    <w:rsid w:val="00DD305C"/>
    <w:rsid w:val="00DD3089"/>
    <w:rsid w:val="00DD44CC"/>
    <w:rsid w:val="00DD44CD"/>
    <w:rsid w:val="00DD48EC"/>
    <w:rsid w:val="00DD4C67"/>
    <w:rsid w:val="00DD5019"/>
    <w:rsid w:val="00DD5889"/>
    <w:rsid w:val="00DD5B76"/>
    <w:rsid w:val="00DD634F"/>
    <w:rsid w:val="00DD653C"/>
    <w:rsid w:val="00DD6812"/>
    <w:rsid w:val="00DD6C92"/>
    <w:rsid w:val="00DD6E07"/>
    <w:rsid w:val="00DD7443"/>
    <w:rsid w:val="00DD753E"/>
    <w:rsid w:val="00DE003B"/>
    <w:rsid w:val="00DE0A7F"/>
    <w:rsid w:val="00DE0B2B"/>
    <w:rsid w:val="00DE0F43"/>
    <w:rsid w:val="00DE0F44"/>
    <w:rsid w:val="00DE1329"/>
    <w:rsid w:val="00DE4071"/>
    <w:rsid w:val="00DE577B"/>
    <w:rsid w:val="00DE5C59"/>
    <w:rsid w:val="00DE5E62"/>
    <w:rsid w:val="00DE5F67"/>
    <w:rsid w:val="00DE6161"/>
    <w:rsid w:val="00DE767C"/>
    <w:rsid w:val="00DE7BA2"/>
    <w:rsid w:val="00DE7D64"/>
    <w:rsid w:val="00DF0CAE"/>
    <w:rsid w:val="00DF0F95"/>
    <w:rsid w:val="00DF25A9"/>
    <w:rsid w:val="00DF27D4"/>
    <w:rsid w:val="00DF4185"/>
    <w:rsid w:val="00DF43E5"/>
    <w:rsid w:val="00DF49A6"/>
    <w:rsid w:val="00DF69B5"/>
    <w:rsid w:val="00DF6A17"/>
    <w:rsid w:val="00DF7120"/>
    <w:rsid w:val="00DF7308"/>
    <w:rsid w:val="00DF7381"/>
    <w:rsid w:val="00DF742C"/>
    <w:rsid w:val="00DF7B22"/>
    <w:rsid w:val="00E011BB"/>
    <w:rsid w:val="00E01D24"/>
    <w:rsid w:val="00E02055"/>
    <w:rsid w:val="00E0263D"/>
    <w:rsid w:val="00E02F7B"/>
    <w:rsid w:val="00E03A84"/>
    <w:rsid w:val="00E04268"/>
    <w:rsid w:val="00E046DE"/>
    <w:rsid w:val="00E05836"/>
    <w:rsid w:val="00E05EB7"/>
    <w:rsid w:val="00E065F0"/>
    <w:rsid w:val="00E068D4"/>
    <w:rsid w:val="00E06ECE"/>
    <w:rsid w:val="00E101D8"/>
    <w:rsid w:val="00E10356"/>
    <w:rsid w:val="00E10984"/>
    <w:rsid w:val="00E1129B"/>
    <w:rsid w:val="00E12C14"/>
    <w:rsid w:val="00E12F36"/>
    <w:rsid w:val="00E130D8"/>
    <w:rsid w:val="00E1399F"/>
    <w:rsid w:val="00E14734"/>
    <w:rsid w:val="00E154AC"/>
    <w:rsid w:val="00E16926"/>
    <w:rsid w:val="00E16F82"/>
    <w:rsid w:val="00E171C0"/>
    <w:rsid w:val="00E17819"/>
    <w:rsid w:val="00E17CD5"/>
    <w:rsid w:val="00E2006D"/>
    <w:rsid w:val="00E203C4"/>
    <w:rsid w:val="00E22093"/>
    <w:rsid w:val="00E22495"/>
    <w:rsid w:val="00E22AB1"/>
    <w:rsid w:val="00E23B3D"/>
    <w:rsid w:val="00E240E3"/>
    <w:rsid w:val="00E242CD"/>
    <w:rsid w:val="00E245F9"/>
    <w:rsid w:val="00E25C5C"/>
    <w:rsid w:val="00E25E73"/>
    <w:rsid w:val="00E26FC2"/>
    <w:rsid w:val="00E304EE"/>
    <w:rsid w:val="00E30C6A"/>
    <w:rsid w:val="00E31CAA"/>
    <w:rsid w:val="00E32E90"/>
    <w:rsid w:val="00E33737"/>
    <w:rsid w:val="00E33A83"/>
    <w:rsid w:val="00E3478D"/>
    <w:rsid w:val="00E3493F"/>
    <w:rsid w:val="00E362D7"/>
    <w:rsid w:val="00E3643E"/>
    <w:rsid w:val="00E36898"/>
    <w:rsid w:val="00E36AB4"/>
    <w:rsid w:val="00E36D1E"/>
    <w:rsid w:val="00E36D67"/>
    <w:rsid w:val="00E3710B"/>
    <w:rsid w:val="00E40086"/>
    <w:rsid w:val="00E403C5"/>
    <w:rsid w:val="00E4063C"/>
    <w:rsid w:val="00E41083"/>
    <w:rsid w:val="00E41557"/>
    <w:rsid w:val="00E41766"/>
    <w:rsid w:val="00E42926"/>
    <w:rsid w:val="00E42C90"/>
    <w:rsid w:val="00E43A64"/>
    <w:rsid w:val="00E4434A"/>
    <w:rsid w:val="00E44CFE"/>
    <w:rsid w:val="00E4521F"/>
    <w:rsid w:val="00E47CBB"/>
    <w:rsid w:val="00E50FFD"/>
    <w:rsid w:val="00E51321"/>
    <w:rsid w:val="00E52026"/>
    <w:rsid w:val="00E52202"/>
    <w:rsid w:val="00E532FF"/>
    <w:rsid w:val="00E5340A"/>
    <w:rsid w:val="00E53FF3"/>
    <w:rsid w:val="00E55BB8"/>
    <w:rsid w:val="00E56232"/>
    <w:rsid w:val="00E56436"/>
    <w:rsid w:val="00E56958"/>
    <w:rsid w:val="00E56D5A"/>
    <w:rsid w:val="00E579F9"/>
    <w:rsid w:val="00E600A6"/>
    <w:rsid w:val="00E60E79"/>
    <w:rsid w:val="00E61571"/>
    <w:rsid w:val="00E61792"/>
    <w:rsid w:val="00E618D0"/>
    <w:rsid w:val="00E62D64"/>
    <w:rsid w:val="00E6361A"/>
    <w:rsid w:val="00E6390F"/>
    <w:rsid w:val="00E63A22"/>
    <w:rsid w:val="00E64009"/>
    <w:rsid w:val="00E65035"/>
    <w:rsid w:val="00E65112"/>
    <w:rsid w:val="00E675C9"/>
    <w:rsid w:val="00E67B21"/>
    <w:rsid w:val="00E7058F"/>
    <w:rsid w:val="00E70974"/>
    <w:rsid w:val="00E70F7E"/>
    <w:rsid w:val="00E7144C"/>
    <w:rsid w:val="00E72814"/>
    <w:rsid w:val="00E72927"/>
    <w:rsid w:val="00E74057"/>
    <w:rsid w:val="00E7420E"/>
    <w:rsid w:val="00E746CE"/>
    <w:rsid w:val="00E75340"/>
    <w:rsid w:val="00E758D1"/>
    <w:rsid w:val="00E778B7"/>
    <w:rsid w:val="00E8074E"/>
    <w:rsid w:val="00E809C8"/>
    <w:rsid w:val="00E80E32"/>
    <w:rsid w:val="00E817BA"/>
    <w:rsid w:val="00E81AB5"/>
    <w:rsid w:val="00E827CB"/>
    <w:rsid w:val="00E82D23"/>
    <w:rsid w:val="00E84CE0"/>
    <w:rsid w:val="00E86585"/>
    <w:rsid w:val="00E870BF"/>
    <w:rsid w:val="00E91B0E"/>
    <w:rsid w:val="00E91FD0"/>
    <w:rsid w:val="00E92731"/>
    <w:rsid w:val="00E92800"/>
    <w:rsid w:val="00E934CF"/>
    <w:rsid w:val="00E93700"/>
    <w:rsid w:val="00E95893"/>
    <w:rsid w:val="00E95E50"/>
    <w:rsid w:val="00E970E2"/>
    <w:rsid w:val="00E97440"/>
    <w:rsid w:val="00E974C2"/>
    <w:rsid w:val="00E97829"/>
    <w:rsid w:val="00EA1F59"/>
    <w:rsid w:val="00EA39F7"/>
    <w:rsid w:val="00EA43DA"/>
    <w:rsid w:val="00EA4A0A"/>
    <w:rsid w:val="00EA4CC3"/>
    <w:rsid w:val="00EA50CE"/>
    <w:rsid w:val="00EA546B"/>
    <w:rsid w:val="00EA5F4C"/>
    <w:rsid w:val="00EA65EC"/>
    <w:rsid w:val="00EA6D42"/>
    <w:rsid w:val="00EA71A6"/>
    <w:rsid w:val="00EA7756"/>
    <w:rsid w:val="00EA7D07"/>
    <w:rsid w:val="00EA7F2C"/>
    <w:rsid w:val="00EA7F86"/>
    <w:rsid w:val="00EB04EA"/>
    <w:rsid w:val="00EB0906"/>
    <w:rsid w:val="00EB0AFE"/>
    <w:rsid w:val="00EB1149"/>
    <w:rsid w:val="00EB1769"/>
    <w:rsid w:val="00EB4269"/>
    <w:rsid w:val="00EB5121"/>
    <w:rsid w:val="00EB5973"/>
    <w:rsid w:val="00EB5D2B"/>
    <w:rsid w:val="00EB649B"/>
    <w:rsid w:val="00EB6CE5"/>
    <w:rsid w:val="00EB7684"/>
    <w:rsid w:val="00EB7DCC"/>
    <w:rsid w:val="00EB7F27"/>
    <w:rsid w:val="00EC0E1B"/>
    <w:rsid w:val="00EC147F"/>
    <w:rsid w:val="00EC18C1"/>
    <w:rsid w:val="00EC25C6"/>
    <w:rsid w:val="00EC29EB"/>
    <w:rsid w:val="00EC2D18"/>
    <w:rsid w:val="00EC2ECA"/>
    <w:rsid w:val="00EC34F3"/>
    <w:rsid w:val="00EC3DD0"/>
    <w:rsid w:val="00EC483A"/>
    <w:rsid w:val="00EC4B74"/>
    <w:rsid w:val="00EC5062"/>
    <w:rsid w:val="00EC540B"/>
    <w:rsid w:val="00EC59A2"/>
    <w:rsid w:val="00EC6552"/>
    <w:rsid w:val="00EC6BA0"/>
    <w:rsid w:val="00EC6D1C"/>
    <w:rsid w:val="00EC7BA1"/>
    <w:rsid w:val="00EC7C11"/>
    <w:rsid w:val="00EC7E6E"/>
    <w:rsid w:val="00ED2423"/>
    <w:rsid w:val="00ED44E7"/>
    <w:rsid w:val="00ED5084"/>
    <w:rsid w:val="00ED5645"/>
    <w:rsid w:val="00ED5A69"/>
    <w:rsid w:val="00EE12B2"/>
    <w:rsid w:val="00EE2023"/>
    <w:rsid w:val="00EE2261"/>
    <w:rsid w:val="00EE247F"/>
    <w:rsid w:val="00EE3E39"/>
    <w:rsid w:val="00EE4C39"/>
    <w:rsid w:val="00EE5E47"/>
    <w:rsid w:val="00EF1E66"/>
    <w:rsid w:val="00EF1F0B"/>
    <w:rsid w:val="00EF26B0"/>
    <w:rsid w:val="00EF2802"/>
    <w:rsid w:val="00EF31F0"/>
    <w:rsid w:val="00EF321D"/>
    <w:rsid w:val="00EF4AE2"/>
    <w:rsid w:val="00EF4EC4"/>
    <w:rsid w:val="00EF501E"/>
    <w:rsid w:val="00EF5423"/>
    <w:rsid w:val="00EF5964"/>
    <w:rsid w:val="00EF5CD6"/>
    <w:rsid w:val="00EF5D39"/>
    <w:rsid w:val="00EF6C88"/>
    <w:rsid w:val="00EF7A95"/>
    <w:rsid w:val="00F00E1A"/>
    <w:rsid w:val="00F025B8"/>
    <w:rsid w:val="00F0296E"/>
    <w:rsid w:val="00F02BD7"/>
    <w:rsid w:val="00F0326D"/>
    <w:rsid w:val="00F03E9A"/>
    <w:rsid w:val="00F04C97"/>
    <w:rsid w:val="00F0640F"/>
    <w:rsid w:val="00F06705"/>
    <w:rsid w:val="00F06E87"/>
    <w:rsid w:val="00F07340"/>
    <w:rsid w:val="00F07393"/>
    <w:rsid w:val="00F10851"/>
    <w:rsid w:val="00F10A71"/>
    <w:rsid w:val="00F12205"/>
    <w:rsid w:val="00F128AD"/>
    <w:rsid w:val="00F1320A"/>
    <w:rsid w:val="00F14523"/>
    <w:rsid w:val="00F1483C"/>
    <w:rsid w:val="00F14C8D"/>
    <w:rsid w:val="00F15BE3"/>
    <w:rsid w:val="00F1612C"/>
    <w:rsid w:val="00F16319"/>
    <w:rsid w:val="00F17110"/>
    <w:rsid w:val="00F173FD"/>
    <w:rsid w:val="00F17E82"/>
    <w:rsid w:val="00F17FC3"/>
    <w:rsid w:val="00F2050F"/>
    <w:rsid w:val="00F21D37"/>
    <w:rsid w:val="00F221D6"/>
    <w:rsid w:val="00F223C2"/>
    <w:rsid w:val="00F229F7"/>
    <w:rsid w:val="00F23228"/>
    <w:rsid w:val="00F23357"/>
    <w:rsid w:val="00F24310"/>
    <w:rsid w:val="00F24917"/>
    <w:rsid w:val="00F249FE"/>
    <w:rsid w:val="00F25BB6"/>
    <w:rsid w:val="00F26248"/>
    <w:rsid w:val="00F30349"/>
    <w:rsid w:val="00F31341"/>
    <w:rsid w:val="00F314A3"/>
    <w:rsid w:val="00F329F5"/>
    <w:rsid w:val="00F340D4"/>
    <w:rsid w:val="00F3506A"/>
    <w:rsid w:val="00F356D4"/>
    <w:rsid w:val="00F36199"/>
    <w:rsid w:val="00F3627F"/>
    <w:rsid w:val="00F37F48"/>
    <w:rsid w:val="00F40831"/>
    <w:rsid w:val="00F40E54"/>
    <w:rsid w:val="00F41620"/>
    <w:rsid w:val="00F41C15"/>
    <w:rsid w:val="00F42168"/>
    <w:rsid w:val="00F4233E"/>
    <w:rsid w:val="00F429F4"/>
    <w:rsid w:val="00F438A7"/>
    <w:rsid w:val="00F43DE8"/>
    <w:rsid w:val="00F44709"/>
    <w:rsid w:val="00F4616A"/>
    <w:rsid w:val="00F4665E"/>
    <w:rsid w:val="00F50327"/>
    <w:rsid w:val="00F50427"/>
    <w:rsid w:val="00F525EC"/>
    <w:rsid w:val="00F525ED"/>
    <w:rsid w:val="00F53B69"/>
    <w:rsid w:val="00F53CFD"/>
    <w:rsid w:val="00F5608A"/>
    <w:rsid w:val="00F575A9"/>
    <w:rsid w:val="00F57670"/>
    <w:rsid w:val="00F60037"/>
    <w:rsid w:val="00F60786"/>
    <w:rsid w:val="00F6136A"/>
    <w:rsid w:val="00F616F3"/>
    <w:rsid w:val="00F61F6B"/>
    <w:rsid w:val="00F6214B"/>
    <w:rsid w:val="00F62D89"/>
    <w:rsid w:val="00F63E6E"/>
    <w:rsid w:val="00F643B4"/>
    <w:rsid w:val="00F6455D"/>
    <w:rsid w:val="00F64F27"/>
    <w:rsid w:val="00F650CE"/>
    <w:rsid w:val="00F65412"/>
    <w:rsid w:val="00F65E29"/>
    <w:rsid w:val="00F66B1C"/>
    <w:rsid w:val="00F6709C"/>
    <w:rsid w:val="00F671C7"/>
    <w:rsid w:val="00F67661"/>
    <w:rsid w:val="00F679D8"/>
    <w:rsid w:val="00F67E90"/>
    <w:rsid w:val="00F701ED"/>
    <w:rsid w:val="00F70E91"/>
    <w:rsid w:val="00F71FE3"/>
    <w:rsid w:val="00F7231C"/>
    <w:rsid w:val="00F723AB"/>
    <w:rsid w:val="00F7289B"/>
    <w:rsid w:val="00F759F8"/>
    <w:rsid w:val="00F75C8F"/>
    <w:rsid w:val="00F76C7D"/>
    <w:rsid w:val="00F8042D"/>
    <w:rsid w:val="00F8055E"/>
    <w:rsid w:val="00F81289"/>
    <w:rsid w:val="00F82FAF"/>
    <w:rsid w:val="00F831EA"/>
    <w:rsid w:val="00F832D4"/>
    <w:rsid w:val="00F84AD5"/>
    <w:rsid w:val="00F84F4F"/>
    <w:rsid w:val="00F851A1"/>
    <w:rsid w:val="00F85FEE"/>
    <w:rsid w:val="00F87297"/>
    <w:rsid w:val="00F87380"/>
    <w:rsid w:val="00F87D9F"/>
    <w:rsid w:val="00F9112C"/>
    <w:rsid w:val="00F919E6"/>
    <w:rsid w:val="00F92B16"/>
    <w:rsid w:val="00F92EB4"/>
    <w:rsid w:val="00F948C3"/>
    <w:rsid w:val="00F94E45"/>
    <w:rsid w:val="00F94F3C"/>
    <w:rsid w:val="00F9514A"/>
    <w:rsid w:val="00F95166"/>
    <w:rsid w:val="00F96354"/>
    <w:rsid w:val="00F97843"/>
    <w:rsid w:val="00F97BCA"/>
    <w:rsid w:val="00F97D4C"/>
    <w:rsid w:val="00FA015B"/>
    <w:rsid w:val="00FA2C2A"/>
    <w:rsid w:val="00FA3481"/>
    <w:rsid w:val="00FA3825"/>
    <w:rsid w:val="00FA39E1"/>
    <w:rsid w:val="00FA3D2F"/>
    <w:rsid w:val="00FA3FE4"/>
    <w:rsid w:val="00FA417D"/>
    <w:rsid w:val="00FA4A0D"/>
    <w:rsid w:val="00FA4A87"/>
    <w:rsid w:val="00FA515D"/>
    <w:rsid w:val="00FA67D6"/>
    <w:rsid w:val="00FA7743"/>
    <w:rsid w:val="00FB0C19"/>
    <w:rsid w:val="00FB0C7F"/>
    <w:rsid w:val="00FB0E77"/>
    <w:rsid w:val="00FB2256"/>
    <w:rsid w:val="00FB2294"/>
    <w:rsid w:val="00FB25C1"/>
    <w:rsid w:val="00FB2674"/>
    <w:rsid w:val="00FB5111"/>
    <w:rsid w:val="00FB515E"/>
    <w:rsid w:val="00FB5C9D"/>
    <w:rsid w:val="00FB5D5C"/>
    <w:rsid w:val="00FC0871"/>
    <w:rsid w:val="00FC248E"/>
    <w:rsid w:val="00FC3928"/>
    <w:rsid w:val="00FC4564"/>
    <w:rsid w:val="00FC53E9"/>
    <w:rsid w:val="00FC57A3"/>
    <w:rsid w:val="00FC597F"/>
    <w:rsid w:val="00FC65EA"/>
    <w:rsid w:val="00FC6F0F"/>
    <w:rsid w:val="00FC70C3"/>
    <w:rsid w:val="00FD19CD"/>
    <w:rsid w:val="00FD1D32"/>
    <w:rsid w:val="00FD1D70"/>
    <w:rsid w:val="00FD1FA5"/>
    <w:rsid w:val="00FD3C48"/>
    <w:rsid w:val="00FD46CF"/>
    <w:rsid w:val="00FD5CE4"/>
    <w:rsid w:val="00FD71FA"/>
    <w:rsid w:val="00FD7693"/>
    <w:rsid w:val="00FD7E27"/>
    <w:rsid w:val="00FE0315"/>
    <w:rsid w:val="00FE0B9B"/>
    <w:rsid w:val="00FE1384"/>
    <w:rsid w:val="00FE2527"/>
    <w:rsid w:val="00FE2D6F"/>
    <w:rsid w:val="00FE397E"/>
    <w:rsid w:val="00FE3F42"/>
    <w:rsid w:val="00FE45FE"/>
    <w:rsid w:val="00FE4805"/>
    <w:rsid w:val="00FE488F"/>
    <w:rsid w:val="00FE4DD0"/>
    <w:rsid w:val="00FE5BEE"/>
    <w:rsid w:val="00FE5D9C"/>
    <w:rsid w:val="00FE5FF5"/>
    <w:rsid w:val="00FF0FA9"/>
    <w:rsid w:val="00FF127B"/>
    <w:rsid w:val="00FF13E4"/>
    <w:rsid w:val="00FF291A"/>
    <w:rsid w:val="00FF3212"/>
    <w:rsid w:val="00FF489D"/>
    <w:rsid w:val="00FF53E7"/>
    <w:rsid w:val="00FF57F5"/>
    <w:rsid w:val="00FF5A3F"/>
    <w:rsid w:val="00FF5B87"/>
    <w:rsid w:val="00FF6403"/>
    <w:rsid w:val="00FF72A5"/>
    <w:rsid w:val="00FF7A54"/>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0ACA58"/>
  <w15:chartTrackingRefBased/>
  <w15:docId w15:val="{42F3FA4F-2056-4B3F-B427-5D6E235F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F9"/>
    <w:pPr>
      <w:spacing w:after="200" w:line="276" w:lineRule="auto"/>
    </w:pPr>
    <w:rPr>
      <w:sz w:val="22"/>
      <w:szCs w:val="22"/>
    </w:rPr>
  </w:style>
  <w:style w:type="paragraph" w:styleId="Heading1">
    <w:name w:val="heading 1"/>
    <w:basedOn w:val="Default"/>
    <w:next w:val="Default"/>
    <w:link w:val="Heading1Char"/>
    <w:autoRedefine/>
    <w:uiPriority w:val="9"/>
    <w:qFormat/>
    <w:rsid w:val="003B19DA"/>
    <w:pPr>
      <w:keepNext/>
      <w:keepLines/>
      <w:numPr>
        <w:numId w:val="59"/>
      </w:numPr>
      <w:spacing w:line="360" w:lineRule="auto"/>
      <w:ind w:left="360"/>
      <w:outlineLvl w:val="0"/>
    </w:pPr>
    <w:rPr>
      <w:rFonts w:ascii="Arial" w:eastAsia="Times New Roman" w:hAnsi="Arial" w:cs="Arial"/>
      <w:b/>
      <w:bCs/>
      <w:sz w:val="22"/>
      <w:szCs w:val="22"/>
      <w:lang w:eastAsia="x-none"/>
    </w:rPr>
  </w:style>
  <w:style w:type="paragraph" w:styleId="Heading2">
    <w:name w:val="heading 2"/>
    <w:basedOn w:val="Normal"/>
    <w:next w:val="Normal"/>
    <w:link w:val="Heading2Char"/>
    <w:autoRedefine/>
    <w:uiPriority w:val="9"/>
    <w:unhideWhenUsed/>
    <w:qFormat/>
    <w:rsid w:val="003B19DA"/>
    <w:pPr>
      <w:keepNext/>
      <w:keepLines/>
      <w:spacing w:before="240" w:after="0" w:line="360" w:lineRule="auto"/>
      <w:ind w:left="720" w:hanging="360"/>
      <w:jc w:val="both"/>
      <w:outlineLvl w:val="1"/>
    </w:pPr>
    <w:rPr>
      <w:rFonts w:ascii="Arial" w:eastAsia="Times New Roman" w:hAnsi="Arial" w:cs="Arial"/>
      <w:b/>
      <w:lang w:eastAsia="x-none"/>
    </w:rPr>
  </w:style>
  <w:style w:type="paragraph" w:styleId="Heading3">
    <w:name w:val="heading 3"/>
    <w:basedOn w:val="Normal"/>
    <w:next w:val="Normal"/>
    <w:link w:val="Heading3Char"/>
    <w:autoRedefine/>
    <w:uiPriority w:val="9"/>
    <w:unhideWhenUsed/>
    <w:qFormat/>
    <w:rsid w:val="00086E88"/>
    <w:pPr>
      <w:keepNext/>
      <w:spacing w:before="240" w:after="0" w:line="480" w:lineRule="auto"/>
      <w:jc w:val="both"/>
      <w:outlineLvl w:val="2"/>
    </w:pPr>
    <w:rPr>
      <w:rFonts w:ascii="Times New Roman" w:eastAsia="Times New Roman" w:hAnsi="Times New Roman"/>
      <w:b/>
      <w:bCs/>
      <w:sz w:val="24"/>
      <w:szCs w:val="24"/>
    </w:rPr>
  </w:style>
  <w:style w:type="paragraph" w:styleId="Heading4">
    <w:name w:val="heading 4"/>
    <w:basedOn w:val="Normal"/>
    <w:next w:val="Normal"/>
    <w:link w:val="Heading4Char"/>
    <w:autoRedefine/>
    <w:uiPriority w:val="9"/>
    <w:unhideWhenUsed/>
    <w:qFormat/>
    <w:rsid w:val="003C7EB3"/>
    <w:pPr>
      <w:keepNext/>
      <w:spacing w:before="240" w:after="60" w:line="48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unhideWhenUsed/>
    <w:qFormat/>
    <w:rsid w:val="00486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5FF5"/>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link w:val="Title"/>
    <w:rsid w:val="00FE5FF5"/>
    <w:rPr>
      <w:rFonts w:ascii="Times New Roman" w:eastAsia="Times New Roman" w:hAnsi="Times New Roman"/>
      <w:b/>
      <w:sz w:val="28"/>
    </w:rPr>
  </w:style>
  <w:style w:type="paragraph" w:styleId="Header">
    <w:name w:val="header"/>
    <w:basedOn w:val="Normal"/>
    <w:link w:val="HeaderChar"/>
    <w:uiPriority w:val="99"/>
    <w:unhideWhenUsed/>
    <w:rsid w:val="00521A1E"/>
    <w:pPr>
      <w:tabs>
        <w:tab w:val="center" w:pos="4680"/>
        <w:tab w:val="right" w:pos="9360"/>
      </w:tabs>
    </w:pPr>
    <w:rPr>
      <w:lang w:val="x-none" w:eastAsia="x-none"/>
    </w:rPr>
  </w:style>
  <w:style w:type="character" w:customStyle="1" w:styleId="HeaderChar">
    <w:name w:val="Header Char"/>
    <w:link w:val="Header"/>
    <w:uiPriority w:val="99"/>
    <w:rsid w:val="00521A1E"/>
    <w:rPr>
      <w:sz w:val="22"/>
      <w:szCs w:val="22"/>
    </w:rPr>
  </w:style>
  <w:style w:type="paragraph" w:styleId="Footer">
    <w:name w:val="footer"/>
    <w:basedOn w:val="Normal"/>
    <w:link w:val="FooterChar"/>
    <w:uiPriority w:val="99"/>
    <w:unhideWhenUsed/>
    <w:rsid w:val="00521A1E"/>
    <w:pPr>
      <w:tabs>
        <w:tab w:val="center" w:pos="4680"/>
        <w:tab w:val="right" w:pos="9360"/>
      </w:tabs>
    </w:pPr>
    <w:rPr>
      <w:lang w:val="x-none" w:eastAsia="x-none"/>
    </w:rPr>
  </w:style>
  <w:style w:type="character" w:customStyle="1" w:styleId="FooterChar">
    <w:name w:val="Footer Char"/>
    <w:link w:val="Footer"/>
    <w:uiPriority w:val="99"/>
    <w:rsid w:val="00521A1E"/>
    <w:rPr>
      <w:sz w:val="22"/>
      <w:szCs w:val="22"/>
    </w:rPr>
  </w:style>
  <w:style w:type="paragraph" w:customStyle="1" w:styleId="Default">
    <w:name w:val="Default"/>
    <w:rsid w:val="00BE7E8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723393"/>
    <w:rPr>
      <w:sz w:val="16"/>
      <w:szCs w:val="16"/>
    </w:rPr>
  </w:style>
  <w:style w:type="paragraph" w:styleId="CommentText">
    <w:name w:val="annotation text"/>
    <w:basedOn w:val="Normal"/>
    <w:link w:val="CommentTextChar"/>
    <w:uiPriority w:val="99"/>
    <w:semiHidden/>
    <w:unhideWhenUsed/>
    <w:rsid w:val="00723393"/>
    <w:rPr>
      <w:sz w:val="20"/>
      <w:szCs w:val="20"/>
    </w:rPr>
  </w:style>
  <w:style w:type="character" w:customStyle="1" w:styleId="CommentTextChar">
    <w:name w:val="Comment Text Char"/>
    <w:basedOn w:val="DefaultParagraphFont"/>
    <w:link w:val="CommentText"/>
    <w:uiPriority w:val="99"/>
    <w:semiHidden/>
    <w:rsid w:val="00723393"/>
  </w:style>
  <w:style w:type="paragraph" w:styleId="CommentSubject">
    <w:name w:val="annotation subject"/>
    <w:basedOn w:val="CommentText"/>
    <w:next w:val="CommentText"/>
    <w:link w:val="CommentSubjectChar"/>
    <w:uiPriority w:val="99"/>
    <w:semiHidden/>
    <w:unhideWhenUsed/>
    <w:rsid w:val="00723393"/>
    <w:rPr>
      <w:b/>
      <w:bCs/>
      <w:lang w:val="x-none" w:eastAsia="x-none"/>
    </w:rPr>
  </w:style>
  <w:style w:type="character" w:customStyle="1" w:styleId="CommentSubjectChar">
    <w:name w:val="Comment Subject Char"/>
    <w:link w:val="CommentSubject"/>
    <w:uiPriority w:val="99"/>
    <w:semiHidden/>
    <w:rsid w:val="00723393"/>
    <w:rPr>
      <w:b/>
      <w:bCs/>
    </w:rPr>
  </w:style>
  <w:style w:type="paragraph" w:styleId="BalloonText">
    <w:name w:val="Balloon Text"/>
    <w:basedOn w:val="Normal"/>
    <w:link w:val="BalloonTextChar"/>
    <w:uiPriority w:val="99"/>
    <w:semiHidden/>
    <w:unhideWhenUsed/>
    <w:rsid w:val="0072339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3393"/>
    <w:rPr>
      <w:rFonts w:ascii="Tahoma" w:hAnsi="Tahoma" w:cs="Tahoma"/>
      <w:sz w:val="16"/>
      <w:szCs w:val="16"/>
    </w:rPr>
  </w:style>
  <w:style w:type="character" w:customStyle="1" w:styleId="personname">
    <w:name w:val="person_name"/>
    <w:rsid w:val="00843869"/>
  </w:style>
  <w:style w:type="character" w:styleId="Emphasis">
    <w:name w:val="Emphasis"/>
    <w:uiPriority w:val="20"/>
    <w:qFormat/>
    <w:rsid w:val="00843869"/>
    <w:rPr>
      <w:i/>
      <w:iCs/>
    </w:rPr>
  </w:style>
  <w:style w:type="character" w:customStyle="1" w:styleId="field-content">
    <w:name w:val="field-content"/>
    <w:rsid w:val="00034F4C"/>
  </w:style>
  <w:style w:type="character" w:customStyle="1" w:styleId="biblio-authors">
    <w:name w:val="biblio-authors"/>
    <w:rsid w:val="00034F4C"/>
  </w:style>
  <w:style w:type="character" w:customStyle="1" w:styleId="biblio-title">
    <w:name w:val="biblio-title"/>
    <w:rsid w:val="00034F4C"/>
  </w:style>
  <w:style w:type="character" w:styleId="Hyperlink">
    <w:name w:val="Hyperlink"/>
    <w:uiPriority w:val="99"/>
    <w:unhideWhenUsed/>
    <w:rsid w:val="00034F4C"/>
    <w:rPr>
      <w:color w:val="0000FF"/>
      <w:u w:val="single"/>
    </w:rPr>
  </w:style>
  <w:style w:type="character" w:customStyle="1" w:styleId="Heading1Char">
    <w:name w:val="Heading 1 Char"/>
    <w:link w:val="Heading1"/>
    <w:uiPriority w:val="9"/>
    <w:rsid w:val="003B19DA"/>
    <w:rPr>
      <w:rFonts w:ascii="Arial" w:eastAsia="Times New Roman" w:hAnsi="Arial" w:cs="Arial"/>
      <w:b/>
      <w:bCs/>
      <w:color w:val="000000"/>
      <w:sz w:val="22"/>
      <w:szCs w:val="22"/>
      <w:lang w:eastAsia="x-none"/>
    </w:rPr>
  </w:style>
  <w:style w:type="character" w:customStyle="1" w:styleId="Heading2Char">
    <w:name w:val="Heading 2 Char"/>
    <w:link w:val="Heading2"/>
    <w:uiPriority w:val="9"/>
    <w:rsid w:val="003B19DA"/>
    <w:rPr>
      <w:rFonts w:ascii="Arial" w:eastAsia="Times New Roman" w:hAnsi="Arial" w:cs="Arial"/>
      <w:b/>
      <w:sz w:val="22"/>
      <w:szCs w:val="22"/>
      <w:lang w:eastAsia="x-none"/>
    </w:rPr>
  </w:style>
  <w:style w:type="paragraph" w:styleId="NoSpacing">
    <w:name w:val="No Spacing"/>
    <w:link w:val="NoSpacingChar"/>
    <w:uiPriority w:val="1"/>
    <w:qFormat/>
    <w:rsid w:val="002B1BAA"/>
    <w:rPr>
      <w:rFonts w:eastAsia="Times New Roman"/>
      <w:sz w:val="22"/>
      <w:szCs w:val="22"/>
    </w:rPr>
  </w:style>
  <w:style w:type="paragraph" w:customStyle="1" w:styleId="Style1">
    <w:name w:val="Style 1"/>
    <w:basedOn w:val="Caption"/>
    <w:next w:val="TableofFigures"/>
    <w:link w:val="Style1Char"/>
    <w:qFormat/>
    <w:rsid w:val="002B1BAA"/>
    <w:pPr>
      <w:spacing w:line="240" w:lineRule="auto"/>
    </w:pPr>
    <w:rPr>
      <w:rFonts w:ascii="Times New Roman" w:eastAsia="Times New Roman" w:hAnsi="Times New Roman"/>
      <w:b w:val="0"/>
      <w:bCs w:val="0"/>
      <w:i/>
      <w:iCs/>
      <w:sz w:val="24"/>
      <w:szCs w:val="18"/>
      <w:lang w:val="x-none" w:eastAsia="x-none"/>
    </w:rPr>
  </w:style>
  <w:style w:type="character" w:customStyle="1" w:styleId="Style1Char">
    <w:name w:val="Style 1 Char"/>
    <w:link w:val="Style1"/>
    <w:rsid w:val="002B1BAA"/>
    <w:rPr>
      <w:rFonts w:ascii="Times New Roman" w:eastAsia="Times New Roman" w:hAnsi="Times New Roman"/>
      <w:i/>
      <w:iCs/>
      <w:sz w:val="24"/>
      <w:szCs w:val="18"/>
      <w:lang w:val="x-none" w:eastAsia="x-none"/>
    </w:rPr>
  </w:style>
  <w:style w:type="paragraph" w:styleId="Caption">
    <w:name w:val="caption"/>
    <w:basedOn w:val="Normal"/>
    <w:next w:val="Normal"/>
    <w:uiPriority w:val="35"/>
    <w:unhideWhenUsed/>
    <w:qFormat/>
    <w:rsid w:val="002B1BAA"/>
    <w:rPr>
      <w:b/>
      <w:bCs/>
      <w:sz w:val="20"/>
      <w:szCs w:val="20"/>
    </w:rPr>
  </w:style>
  <w:style w:type="paragraph" w:styleId="TableofFigures">
    <w:name w:val="table of figures"/>
    <w:basedOn w:val="Normal"/>
    <w:next w:val="Normal"/>
    <w:autoRedefine/>
    <w:uiPriority w:val="99"/>
    <w:unhideWhenUsed/>
    <w:qFormat/>
    <w:rsid w:val="0025187F"/>
    <w:rPr>
      <w:rFonts w:ascii="Times New Roman" w:hAnsi="Times New Roman"/>
      <w:b/>
      <w:sz w:val="24"/>
    </w:rPr>
  </w:style>
  <w:style w:type="paragraph" w:styleId="TOC2">
    <w:name w:val="toc 2"/>
    <w:basedOn w:val="Normal"/>
    <w:next w:val="Normal"/>
    <w:autoRedefine/>
    <w:uiPriority w:val="39"/>
    <w:unhideWhenUsed/>
    <w:qFormat/>
    <w:rsid w:val="006A362C"/>
    <w:pPr>
      <w:spacing w:after="0"/>
      <w:ind w:left="220"/>
    </w:pPr>
    <w:rPr>
      <w:rFonts w:cs="Calibri"/>
      <w:smallCaps/>
      <w:sz w:val="20"/>
      <w:szCs w:val="20"/>
    </w:rPr>
  </w:style>
  <w:style w:type="paragraph" w:styleId="TOC1">
    <w:name w:val="toc 1"/>
    <w:basedOn w:val="Normal"/>
    <w:next w:val="Normal"/>
    <w:link w:val="TOC1Char"/>
    <w:autoRedefine/>
    <w:uiPriority w:val="39"/>
    <w:unhideWhenUsed/>
    <w:qFormat/>
    <w:rsid w:val="00AC78C3"/>
    <w:pPr>
      <w:tabs>
        <w:tab w:val="right" w:leader="dot" w:pos="9350"/>
      </w:tabs>
      <w:spacing w:before="120" w:after="120" w:line="360" w:lineRule="auto"/>
    </w:pPr>
    <w:rPr>
      <w:rFonts w:ascii="Times New Roman" w:hAnsi="Times New Roman"/>
      <w:b/>
      <w:bCs/>
      <w:caps/>
      <w:noProof/>
      <w:sz w:val="24"/>
      <w:szCs w:val="24"/>
    </w:rPr>
  </w:style>
  <w:style w:type="paragraph" w:styleId="Revision">
    <w:name w:val="Revision"/>
    <w:hidden/>
    <w:uiPriority w:val="99"/>
    <w:semiHidden/>
    <w:rsid w:val="00607BEF"/>
    <w:rPr>
      <w:sz w:val="22"/>
      <w:szCs w:val="22"/>
    </w:rPr>
  </w:style>
  <w:style w:type="paragraph" w:styleId="TOCHeading">
    <w:name w:val="TOC Heading"/>
    <w:basedOn w:val="Heading1"/>
    <w:next w:val="Normal"/>
    <w:uiPriority w:val="39"/>
    <w:unhideWhenUsed/>
    <w:qFormat/>
    <w:rsid w:val="00E36D67"/>
    <w:pPr>
      <w:autoSpaceDE/>
      <w:autoSpaceDN/>
      <w:adjustRightInd/>
      <w:spacing w:before="240" w:line="259" w:lineRule="auto"/>
      <w:outlineLvl w:val="9"/>
    </w:pPr>
    <w:rPr>
      <w:rFonts w:ascii="Calibri Light" w:hAnsi="Calibri Light"/>
      <w:b w:val="0"/>
      <w:bCs w:val="0"/>
      <w:color w:val="2E74B5"/>
      <w:sz w:val="32"/>
      <w:szCs w:val="32"/>
      <w:lang w:eastAsia="en-US"/>
    </w:rPr>
  </w:style>
  <w:style w:type="character" w:customStyle="1" w:styleId="Heading3Char">
    <w:name w:val="Heading 3 Char"/>
    <w:link w:val="Heading3"/>
    <w:uiPriority w:val="9"/>
    <w:rsid w:val="00086E88"/>
    <w:rPr>
      <w:rFonts w:ascii="Times New Roman" w:eastAsia="Times New Roman" w:hAnsi="Times New Roman"/>
      <w:b/>
      <w:bCs/>
      <w:sz w:val="24"/>
      <w:szCs w:val="24"/>
    </w:rPr>
  </w:style>
  <w:style w:type="paragraph" w:styleId="TOC3">
    <w:name w:val="toc 3"/>
    <w:basedOn w:val="Normal"/>
    <w:next w:val="Normal"/>
    <w:autoRedefine/>
    <w:uiPriority w:val="39"/>
    <w:unhideWhenUsed/>
    <w:qFormat/>
    <w:rsid w:val="00DD2A95"/>
    <w:pPr>
      <w:tabs>
        <w:tab w:val="left" w:pos="1100"/>
        <w:tab w:val="right" w:leader="dot" w:pos="9350"/>
      </w:tabs>
      <w:spacing w:after="0" w:line="360" w:lineRule="auto"/>
      <w:ind w:left="440"/>
    </w:pPr>
    <w:rPr>
      <w:rFonts w:ascii="Times New Roman" w:hAnsi="Times New Roman"/>
      <w:noProof/>
      <w:sz w:val="24"/>
      <w:szCs w:val="24"/>
    </w:rPr>
  </w:style>
  <w:style w:type="character" w:customStyle="1" w:styleId="NoSpacingChar">
    <w:name w:val="No Spacing Char"/>
    <w:link w:val="NoSpacing"/>
    <w:uiPriority w:val="1"/>
    <w:rsid w:val="00DD753E"/>
    <w:rPr>
      <w:rFonts w:eastAsia="Times New Roman"/>
      <w:sz w:val="22"/>
      <w:szCs w:val="22"/>
    </w:rPr>
  </w:style>
  <w:style w:type="paragraph" w:styleId="ListParagraph">
    <w:name w:val="List Paragraph"/>
    <w:basedOn w:val="Normal"/>
    <w:uiPriority w:val="34"/>
    <w:qFormat/>
    <w:rsid w:val="001D6644"/>
    <w:pPr>
      <w:spacing w:after="160" w:line="259" w:lineRule="auto"/>
      <w:ind w:left="720"/>
      <w:contextualSpacing/>
    </w:pPr>
  </w:style>
  <w:style w:type="character" w:styleId="FollowedHyperlink">
    <w:name w:val="FollowedHyperlink"/>
    <w:uiPriority w:val="99"/>
    <w:semiHidden/>
    <w:unhideWhenUsed/>
    <w:rsid w:val="00B118B2"/>
    <w:rPr>
      <w:color w:val="954F72"/>
      <w:u w:val="single"/>
    </w:rPr>
  </w:style>
  <w:style w:type="character" w:customStyle="1" w:styleId="hlfld-contribauthor">
    <w:name w:val="hlfld-contribauthor"/>
    <w:rsid w:val="00D87705"/>
  </w:style>
  <w:style w:type="character" w:customStyle="1" w:styleId="seriestitle">
    <w:name w:val="seriestitle"/>
    <w:rsid w:val="00D87705"/>
  </w:style>
  <w:style w:type="character" w:customStyle="1" w:styleId="doi">
    <w:name w:val="doi"/>
    <w:rsid w:val="00D87705"/>
  </w:style>
  <w:style w:type="character" w:customStyle="1" w:styleId="volume">
    <w:name w:val="volume"/>
    <w:rsid w:val="00D87705"/>
  </w:style>
  <w:style w:type="character" w:customStyle="1" w:styleId="page-range">
    <w:name w:val="page-range"/>
    <w:rsid w:val="00D87705"/>
  </w:style>
  <w:style w:type="character" w:customStyle="1" w:styleId="pub-date">
    <w:name w:val="pub-date"/>
    <w:rsid w:val="00D87705"/>
  </w:style>
  <w:style w:type="paragraph" w:customStyle="1" w:styleId="c-article-referencestext">
    <w:name w:val="c-article-references__text"/>
    <w:basedOn w:val="Normal"/>
    <w:rsid w:val="00316D4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206604"/>
    <w:rPr>
      <w:rFonts w:ascii="Times New Roman" w:hAnsi="Times New Roman"/>
      <w:sz w:val="24"/>
      <w:szCs w:val="24"/>
    </w:rPr>
  </w:style>
  <w:style w:type="paragraph" w:styleId="Bibliography">
    <w:name w:val="Bibliography"/>
    <w:basedOn w:val="Normal"/>
    <w:next w:val="Normal"/>
    <w:uiPriority w:val="37"/>
    <w:unhideWhenUsed/>
    <w:rsid w:val="00883330"/>
  </w:style>
  <w:style w:type="character" w:customStyle="1" w:styleId="Heading4Char">
    <w:name w:val="Heading 4 Char"/>
    <w:link w:val="Heading4"/>
    <w:uiPriority w:val="9"/>
    <w:rsid w:val="003C7EB3"/>
    <w:rPr>
      <w:rFonts w:ascii="Times New Roman" w:eastAsia="Times New Roman" w:hAnsi="Times New Roman"/>
      <w:b/>
      <w:bCs/>
      <w:sz w:val="24"/>
      <w:szCs w:val="24"/>
    </w:rPr>
  </w:style>
  <w:style w:type="character" w:customStyle="1" w:styleId="show-for-sr">
    <w:name w:val="show-for-sr"/>
    <w:rsid w:val="00B03C99"/>
  </w:style>
  <w:style w:type="character" w:customStyle="1" w:styleId="name">
    <w:name w:val="name"/>
    <w:rsid w:val="006E356D"/>
  </w:style>
  <w:style w:type="character" w:customStyle="1" w:styleId="surname">
    <w:name w:val="surname"/>
    <w:rsid w:val="006E356D"/>
  </w:style>
  <w:style w:type="character" w:customStyle="1" w:styleId="given-names">
    <w:name w:val="given-names"/>
    <w:rsid w:val="006E356D"/>
  </w:style>
  <w:style w:type="character" w:customStyle="1" w:styleId="year">
    <w:name w:val="year"/>
    <w:rsid w:val="006E356D"/>
  </w:style>
  <w:style w:type="character" w:customStyle="1" w:styleId="source">
    <w:name w:val="source"/>
    <w:rsid w:val="006E356D"/>
  </w:style>
  <w:style w:type="character" w:customStyle="1" w:styleId="publisher-loc">
    <w:name w:val="publisher-loc"/>
    <w:rsid w:val="006E356D"/>
  </w:style>
  <w:style w:type="character" w:customStyle="1" w:styleId="publisher-name">
    <w:name w:val="publisher-name"/>
    <w:rsid w:val="006E356D"/>
  </w:style>
  <w:style w:type="character" w:customStyle="1" w:styleId="article-title">
    <w:name w:val="article-title"/>
    <w:rsid w:val="006E356D"/>
  </w:style>
  <w:style w:type="character" w:customStyle="1" w:styleId="fpage">
    <w:name w:val="fpage"/>
    <w:rsid w:val="006E356D"/>
  </w:style>
  <w:style w:type="character" w:customStyle="1" w:styleId="lpage">
    <w:name w:val="lpage"/>
    <w:rsid w:val="006E356D"/>
  </w:style>
  <w:style w:type="character" w:customStyle="1" w:styleId="suffix">
    <w:name w:val="suffix"/>
    <w:rsid w:val="006E356D"/>
  </w:style>
  <w:style w:type="character" w:customStyle="1" w:styleId="searchtermshighlighted">
    <w:name w:val="searchtermshighlighted"/>
    <w:rsid w:val="005A0F54"/>
  </w:style>
  <w:style w:type="character" w:customStyle="1" w:styleId="Title1">
    <w:name w:val="Title1"/>
    <w:rsid w:val="007E700F"/>
  </w:style>
  <w:style w:type="character" w:customStyle="1" w:styleId="journal">
    <w:name w:val="journal"/>
    <w:rsid w:val="007E700F"/>
  </w:style>
  <w:style w:type="character" w:customStyle="1" w:styleId="vol">
    <w:name w:val="vol"/>
    <w:rsid w:val="007E700F"/>
  </w:style>
  <w:style w:type="character" w:customStyle="1" w:styleId="pages">
    <w:name w:val="pages"/>
    <w:rsid w:val="007E700F"/>
  </w:style>
  <w:style w:type="paragraph" w:customStyle="1" w:styleId="Figures">
    <w:name w:val="Figures"/>
    <w:basedOn w:val="Normal"/>
    <w:next w:val="NormalIndent"/>
    <w:link w:val="FiguresChar"/>
    <w:autoRedefine/>
    <w:qFormat/>
    <w:rsid w:val="006236CA"/>
    <w:rPr>
      <w:rFonts w:ascii="Times New Roman" w:hAnsi="Times New Roman"/>
      <w:b/>
      <w:sz w:val="24"/>
    </w:rPr>
  </w:style>
  <w:style w:type="character" w:customStyle="1" w:styleId="FiguresChar">
    <w:name w:val="Figures Char"/>
    <w:link w:val="Figures"/>
    <w:rsid w:val="006236CA"/>
    <w:rPr>
      <w:rFonts w:ascii="Times New Roman" w:hAnsi="Times New Roman"/>
      <w:b/>
      <w:sz w:val="24"/>
      <w:szCs w:val="22"/>
    </w:rPr>
  </w:style>
  <w:style w:type="paragraph" w:styleId="NormalIndent">
    <w:name w:val="Normal Indent"/>
    <w:basedOn w:val="Normal"/>
    <w:uiPriority w:val="99"/>
    <w:semiHidden/>
    <w:unhideWhenUsed/>
    <w:rsid w:val="006236CA"/>
    <w:pPr>
      <w:ind w:left="720"/>
    </w:pPr>
  </w:style>
  <w:style w:type="character" w:customStyle="1" w:styleId="UnresolvedMention">
    <w:name w:val="Unresolved Mention"/>
    <w:uiPriority w:val="99"/>
    <w:semiHidden/>
    <w:unhideWhenUsed/>
    <w:rsid w:val="00317F82"/>
    <w:rPr>
      <w:color w:val="605E5C"/>
      <w:shd w:val="clear" w:color="auto" w:fill="E1DFDD"/>
    </w:rPr>
  </w:style>
  <w:style w:type="table" w:styleId="TableGrid">
    <w:name w:val="Table Grid"/>
    <w:basedOn w:val="TableNormal"/>
    <w:uiPriority w:val="39"/>
    <w:rsid w:val="00C60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qFormat/>
    <w:rsid w:val="00642C9E"/>
    <w:pPr>
      <w:spacing w:after="0"/>
      <w:ind w:left="660"/>
    </w:pPr>
    <w:rPr>
      <w:rFonts w:cs="Calibri"/>
      <w:sz w:val="18"/>
      <w:szCs w:val="18"/>
    </w:rPr>
  </w:style>
  <w:style w:type="character" w:customStyle="1" w:styleId="TOC1Char">
    <w:name w:val="TOC 1 Char"/>
    <w:link w:val="TOC1"/>
    <w:uiPriority w:val="39"/>
    <w:rsid w:val="00AC78C3"/>
    <w:rPr>
      <w:rFonts w:ascii="Times New Roman" w:hAnsi="Times New Roman"/>
      <w:b/>
      <w:bCs/>
      <w:caps/>
      <w:noProof/>
      <w:sz w:val="24"/>
      <w:szCs w:val="24"/>
    </w:rPr>
  </w:style>
  <w:style w:type="paragraph" w:customStyle="1" w:styleId="ListofTables">
    <w:name w:val="List of Tables"/>
    <w:basedOn w:val="Heading2"/>
    <w:link w:val="ListofTablesChar"/>
    <w:qFormat/>
    <w:rsid w:val="00D53F09"/>
  </w:style>
  <w:style w:type="character" w:customStyle="1" w:styleId="ListofTablesChar">
    <w:name w:val="List of Tables Char"/>
    <w:basedOn w:val="Heading2Char"/>
    <w:link w:val="ListofTables"/>
    <w:rsid w:val="00D53F09"/>
    <w:rPr>
      <w:rFonts w:ascii="Times New Roman" w:eastAsia="Times New Roman" w:hAnsi="Times New Roman" w:cs="Arial"/>
      <w:b/>
      <w:sz w:val="24"/>
      <w:szCs w:val="24"/>
      <w:lang w:eastAsia="x-none"/>
    </w:rPr>
  </w:style>
  <w:style w:type="paragraph" w:styleId="TOC5">
    <w:name w:val="toc 5"/>
    <w:basedOn w:val="Normal"/>
    <w:next w:val="Normal"/>
    <w:autoRedefine/>
    <w:uiPriority w:val="39"/>
    <w:unhideWhenUsed/>
    <w:qFormat/>
    <w:rsid w:val="00DD2A95"/>
    <w:pPr>
      <w:spacing w:after="0"/>
      <w:ind w:left="880"/>
    </w:pPr>
    <w:rPr>
      <w:rFonts w:cs="Calibri"/>
      <w:sz w:val="18"/>
      <w:szCs w:val="18"/>
    </w:rPr>
  </w:style>
  <w:style w:type="paragraph" w:styleId="TOC6">
    <w:name w:val="toc 6"/>
    <w:basedOn w:val="Normal"/>
    <w:next w:val="Normal"/>
    <w:autoRedefine/>
    <w:uiPriority w:val="39"/>
    <w:unhideWhenUsed/>
    <w:rsid w:val="00DD2A95"/>
    <w:pPr>
      <w:spacing w:after="0"/>
      <w:ind w:left="1100"/>
    </w:pPr>
    <w:rPr>
      <w:rFonts w:cs="Calibri"/>
      <w:sz w:val="18"/>
      <w:szCs w:val="18"/>
    </w:rPr>
  </w:style>
  <w:style w:type="paragraph" w:styleId="TOC7">
    <w:name w:val="toc 7"/>
    <w:basedOn w:val="Normal"/>
    <w:next w:val="Normal"/>
    <w:autoRedefine/>
    <w:uiPriority w:val="39"/>
    <w:unhideWhenUsed/>
    <w:rsid w:val="00DD2A95"/>
    <w:pPr>
      <w:spacing w:after="0"/>
      <w:ind w:left="1320"/>
    </w:pPr>
    <w:rPr>
      <w:rFonts w:cs="Calibri"/>
      <w:sz w:val="18"/>
      <w:szCs w:val="18"/>
    </w:rPr>
  </w:style>
  <w:style w:type="paragraph" w:styleId="TOC8">
    <w:name w:val="toc 8"/>
    <w:basedOn w:val="Normal"/>
    <w:next w:val="Normal"/>
    <w:autoRedefine/>
    <w:uiPriority w:val="39"/>
    <w:unhideWhenUsed/>
    <w:rsid w:val="00DD2A95"/>
    <w:pPr>
      <w:spacing w:after="0"/>
      <w:ind w:left="1540"/>
    </w:pPr>
    <w:rPr>
      <w:rFonts w:cs="Calibri"/>
      <w:sz w:val="18"/>
      <w:szCs w:val="18"/>
    </w:rPr>
  </w:style>
  <w:style w:type="paragraph" w:styleId="TOC9">
    <w:name w:val="toc 9"/>
    <w:basedOn w:val="Normal"/>
    <w:next w:val="Normal"/>
    <w:autoRedefine/>
    <w:uiPriority w:val="39"/>
    <w:unhideWhenUsed/>
    <w:rsid w:val="00DD2A95"/>
    <w:pPr>
      <w:spacing w:after="0"/>
      <w:ind w:left="1760"/>
    </w:pPr>
    <w:rPr>
      <w:rFonts w:cs="Calibri"/>
      <w:sz w:val="18"/>
      <w:szCs w:val="18"/>
    </w:rPr>
  </w:style>
  <w:style w:type="character" w:styleId="PlaceholderText">
    <w:name w:val="Placeholder Text"/>
    <w:basedOn w:val="DefaultParagraphFont"/>
    <w:uiPriority w:val="99"/>
    <w:semiHidden/>
    <w:rsid w:val="007315B4"/>
    <w:rPr>
      <w:color w:val="808080"/>
    </w:rPr>
  </w:style>
  <w:style w:type="table" w:customStyle="1" w:styleId="TableGrid1">
    <w:name w:val="Table Grid1"/>
    <w:basedOn w:val="TableNormal"/>
    <w:next w:val="TableGrid"/>
    <w:uiPriority w:val="39"/>
    <w:rsid w:val="00184528"/>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rd">
    <w:name w:val="mord"/>
    <w:basedOn w:val="DefaultParagraphFont"/>
    <w:rsid w:val="00406B61"/>
  </w:style>
  <w:style w:type="character" w:customStyle="1" w:styleId="vlist-s">
    <w:name w:val="vlist-s"/>
    <w:basedOn w:val="DefaultParagraphFont"/>
    <w:rsid w:val="00406B61"/>
  </w:style>
  <w:style w:type="character" w:customStyle="1" w:styleId="mrel">
    <w:name w:val="mrel"/>
    <w:basedOn w:val="DefaultParagraphFont"/>
    <w:rsid w:val="00406B61"/>
  </w:style>
  <w:style w:type="character" w:customStyle="1" w:styleId="mbin">
    <w:name w:val="mbin"/>
    <w:basedOn w:val="DefaultParagraphFont"/>
    <w:rsid w:val="00406B61"/>
  </w:style>
  <w:style w:type="character" w:customStyle="1" w:styleId="minner">
    <w:name w:val="minner"/>
    <w:basedOn w:val="DefaultParagraphFont"/>
    <w:rsid w:val="00406B61"/>
  </w:style>
  <w:style w:type="character" w:customStyle="1" w:styleId="mopen">
    <w:name w:val="mopen"/>
    <w:basedOn w:val="DefaultParagraphFont"/>
    <w:rsid w:val="00406B61"/>
  </w:style>
  <w:style w:type="character" w:customStyle="1" w:styleId="mclose">
    <w:name w:val="mclose"/>
    <w:basedOn w:val="DefaultParagraphFont"/>
    <w:rsid w:val="00406B61"/>
  </w:style>
  <w:style w:type="character" w:styleId="Strong">
    <w:name w:val="Strong"/>
    <w:basedOn w:val="DefaultParagraphFont"/>
    <w:uiPriority w:val="22"/>
    <w:qFormat/>
    <w:rsid w:val="004865A4"/>
    <w:rPr>
      <w:b/>
      <w:bCs/>
    </w:rPr>
  </w:style>
  <w:style w:type="table" w:customStyle="1" w:styleId="TableGrid2">
    <w:name w:val="Table Grid2"/>
    <w:basedOn w:val="TableNormal"/>
    <w:next w:val="TableGrid"/>
    <w:uiPriority w:val="39"/>
    <w:rsid w:val="002742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118FD"/>
  </w:style>
  <w:style w:type="table" w:customStyle="1" w:styleId="TableGrid3">
    <w:name w:val="Table Grid3"/>
    <w:basedOn w:val="TableNormal"/>
    <w:next w:val="TableGrid"/>
    <w:uiPriority w:val="39"/>
    <w:rsid w:val="001118FD"/>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118FD"/>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118FD"/>
    <w:rPr>
      <w:rFonts w:ascii="Times New Roman" w:eastAsia="Times New Roman" w:hAnsi="Times New Roman"/>
      <w:sz w:val="24"/>
      <w:szCs w:val="24"/>
    </w:rPr>
  </w:style>
  <w:style w:type="paragraph" w:customStyle="1" w:styleId="TableParagraph">
    <w:name w:val="Table Paragraph"/>
    <w:basedOn w:val="Normal"/>
    <w:uiPriority w:val="1"/>
    <w:qFormat/>
    <w:rsid w:val="001118FD"/>
    <w:pPr>
      <w:widowControl w:val="0"/>
      <w:autoSpaceDE w:val="0"/>
      <w:autoSpaceDN w:val="0"/>
      <w:spacing w:after="0" w:line="240" w:lineRule="auto"/>
    </w:pPr>
    <w:rPr>
      <w:rFonts w:ascii="Times New Roman" w:eastAsia="Times New Roman" w:hAnsi="Times New Roman"/>
    </w:rPr>
  </w:style>
  <w:style w:type="table" w:customStyle="1" w:styleId="TableGrid11">
    <w:name w:val="Table Grid11"/>
    <w:basedOn w:val="TableNormal"/>
    <w:next w:val="TableGrid"/>
    <w:uiPriority w:val="39"/>
    <w:rsid w:val="001118F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1118F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1118F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75EE1"/>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A75EE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A75EE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40FF6"/>
  </w:style>
  <w:style w:type="table" w:customStyle="1" w:styleId="TableGrid5">
    <w:name w:val="Table Grid5"/>
    <w:basedOn w:val="TableNormal"/>
    <w:next w:val="TableGrid"/>
    <w:uiPriority w:val="39"/>
    <w:rsid w:val="00440FF6"/>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440FF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440FF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440FF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2D5E30"/>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2D5E30"/>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7774ED"/>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7774ED"/>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B0AD6"/>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B0AD6"/>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0430B"/>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3559E3"/>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A91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A91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F0640F"/>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86C7E"/>
    <w:rPr>
      <w:rFonts w:asciiTheme="majorHAnsi" w:eastAsiaTheme="majorEastAsia" w:hAnsiTheme="majorHAnsi" w:cstheme="majorBidi"/>
      <w:color w:val="2F5496" w:themeColor="accent1" w:themeShade="BF"/>
      <w:sz w:val="22"/>
      <w:szCs w:val="22"/>
    </w:rPr>
  </w:style>
  <w:style w:type="character" w:customStyle="1" w:styleId="citation-0">
    <w:name w:val="citation-0"/>
    <w:basedOn w:val="DefaultParagraphFont"/>
    <w:rsid w:val="003D51D6"/>
  </w:style>
  <w:style w:type="table" w:customStyle="1" w:styleId="TableGrid19">
    <w:name w:val="Table Grid19"/>
    <w:basedOn w:val="TableNormal"/>
    <w:next w:val="TableGrid"/>
    <w:uiPriority w:val="39"/>
    <w:rsid w:val="00BB3D07"/>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source-journal">
    <w:name w:val="citation_source-journal"/>
    <w:basedOn w:val="DefaultParagraphFont"/>
    <w:rsid w:val="005E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993">
      <w:bodyDiv w:val="1"/>
      <w:marLeft w:val="0"/>
      <w:marRight w:val="0"/>
      <w:marTop w:val="0"/>
      <w:marBottom w:val="0"/>
      <w:divBdr>
        <w:top w:val="none" w:sz="0" w:space="0" w:color="auto"/>
        <w:left w:val="none" w:sz="0" w:space="0" w:color="auto"/>
        <w:bottom w:val="none" w:sz="0" w:space="0" w:color="auto"/>
        <w:right w:val="none" w:sz="0" w:space="0" w:color="auto"/>
      </w:divBdr>
    </w:div>
    <w:div w:id="17705684">
      <w:bodyDiv w:val="1"/>
      <w:marLeft w:val="0"/>
      <w:marRight w:val="0"/>
      <w:marTop w:val="0"/>
      <w:marBottom w:val="0"/>
      <w:divBdr>
        <w:top w:val="none" w:sz="0" w:space="0" w:color="auto"/>
        <w:left w:val="none" w:sz="0" w:space="0" w:color="auto"/>
        <w:bottom w:val="none" w:sz="0" w:space="0" w:color="auto"/>
        <w:right w:val="none" w:sz="0" w:space="0" w:color="auto"/>
      </w:divBdr>
    </w:div>
    <w:div w:id="100145336">
      <w:bodyDiv w:val="1"/>
      <w:marLeft w:val="0"/>
      <w:marRight w:val="0"/>
      <w:marTop w:val="0"/>
      <w:marBottom w:val="0"/>
      <w:divBdr>
        <w:top w:val="none" w:sz="0" w:space="0" w:color="auto"/>
        <w:left w:val="none" w:sz="0" w:space="0" w:color="auto"/>
        <w:bottom w:val="none" w:sz="0" w:space="0" w:color="auto"/>
        <w:right w:val="none" w:sz="0" w:space="0" w:color="auto"/>
      </w:divBdr>
    </w:div>
    <w:div w:id="144322188">
      <w:bodyDiv w:val="1"/>
      <w:marLeft w:val="0"/>
      <w:marRight w:val="0"/>
      <w:marTop w:val="0"/>
      <w:marBottom w:val="0"/>
      <w:divBdr>
        <w:top w:val="none" w:sz="0" w:space="0" w:color="auto"/>
        <w:left w:val="none" w:sz="0" w:space="0" w:color="auto"/>
        <w:bottom w:val="none" w:sz="0" w:space="0" w:color="auto"/>
        <w:right w:val="none" w:sz="0" w:space="0" w:color="auto"/>
      </w:divBdr>
    </w:div>
    <w:div w:id="156188972">
      <w:bodyDiv w:val="1"/>
      <w:marLeft w:val="0"/>
      <w:marRight w:val="0"/>
      <w:marTop w:val="0"/>
      <w:marBottom w:val="0"/>
      <w:divBdr>
        <w:top w:val="none" w:sz="0" w:space="0" w:color="auto"/>
        <w:left w:val="none" w:sz="0" w:space="0" w:color="auto"/>
        <w:bottom w:val="none" w:sz="0" w:space="0" w:color="auto"/>
        <w:right w:val="none" w:sz="0" w:space="0" w:color="auto"/>
      </w:divBdr>
    </w:div>
    <w:div w:id="185021169">
      <w:bodyDiv w:val="1"/>
      <w:marLeft w:val="0"/>
      <w:marRight w:val="0"/>
      <w:marTop w:val="0"/>
      <w:marBottom w:val="0"/>
      <w:divBdr>
        <w:top w:val="none" w:sz="0" w:space="0" w:color="auto"/>
        <w:left w:val="none" w:sz="0" w:space="0" w:color="auto"/>
        <w:bottom w:val="none" w:sz="0" w:space="0" w:color="auto"/>
        <w:right w:val="none" w:sz="0" w:space="0" w:color="auto"/>
      </w:divBdr>
      <w:divsChild>
        <w:div w:id="1865752014">
          <w:marLeft w:val="720"/>
          <w:marRight w:val="0"/>
          <w:marTop w:val="0"/>
          <w:marBottom w:val="160"/>
          <w:divBdr>
            <w:top w:val="none" w:sz="0" w:space="0" w:color="auto"/>
            <w:left w:val="none" w:sz="0" w:space="0" w:color="auto"/>
            <w:bottom w:val="none" w:sz="0" w:space="0" w:color="auto"/>
            <w:right w:val="none" w:sz="0" w:space="0" w:color="auto"/>
          </w:divBdr>
        </w:div>
      </w:divsChild>
    </w:div>
    <w:div w:id="207566969">
      <w:bodyDiv w:val="1"/>
      <w:marLeft w:val="0"/>
      <w:marRight w:val="0"/>
      <w:marTop w:val="0"/>
      <w:marBottom w:val="0"/>
      <w:divBdr>
        <w:top w:val="none" w:sz="0" w:space="0" w:color="auto"/>
        <w:left w:val="none" w:sz="0" w:space="0" w:color="auto"/>
        <w:bottom w:val="none" w:sz="0" w:space="0" w:color="auto"/>
        <w:right w:val="none" w:sz="0" w:space="0" w:color="auto"/>
      </w:divBdr>
    </w:div>
    <w:div w:id="298920287">
      <w:bodyDiv w:val="1"/>
      <w:marLeft w:val="0"/>
      <w:marRight w:val="0"/>
      <w:marTop w:val="0"/>
      <w:marBottom w:val="0"/>
      <w:divBdr>
        <w:top w:val="none" w:sz="0" w:space="0" w:color="auto"/>
        <w:left w:val="none" w:sz="0" w:space="0" w:color="auto"/>
        <w:bottom w:val="none" w:sz="0" w:space="0" w:color="auto"/>
        <w:right w:val="none" w:sz="0" w:space="0" w:color="auto"/>
      </w:divBdr>
    </w:div>
    <w:div w:id="301425567">
      <w:bodyDiv w:val="1"/>
      <w:marLeft w:val="0"/>
      <w:marRight w:val="0"/>
      <w:marTop w:val="0"/>
      <w:marBottom w:val="0"/>
      <w:divBdr>
        <w:top w:val="none" w:sz="0" w:space="0" w:color="auto"/>
        <w:left w:val="none" w:sz="0" w:space="0" w:color="auto"/>
        <w:bottom w:val="none" w:sz="0" w:space="0" w:color="auto"/>
        <w:right w:val="none" w:sz="0" w:space="0" w:color="auto"/>
      </w:divBdr>
    </w:div>
    <w:div w:id="338391807">
      <w:bodyDiv w:val="1"/>
      <w:marLeft w:val="0"/>
      <w:marRight w:val="0"/>
      <w:marTop w:val="0"/>
      <w:marBottom w:val="0"/>
      <w:divBdr>
        <w:top w:val="none" w:sz="0" w:space="0" w:color="auto"/>
        <w:left w:val="none" w:sz="0" w:space="0" w:color="auto"/>
        <w:bottom w:val="none" w:sz="0" w:space="0" w:color="auto"/>
        <w:right w:val="none" w:sz="0" w:space="0" w:color="auto"/>
      </w:divBdr>
    </w:div>
    <w:div w:id="360710985">
      <w:bodyDiv w:val="1"/>
      <w:marLeft w:val="0"/>
      <w:marRight w:val="0"/>
      <w:marTop w:val="0"/>
      <w:marBottom w:val="0"/>
      <w:divBdr>
        <w:top w:val="none" w:sz="0" w:space="0" w:color="auto"/>
        <w:left w:val="none" w:sz="0" w:space="0" w:color="auto"/>
        <w:bottom w:val="none" w:sz="0" w:space="0" w:color="auto"/>
        <w:right w:val="none" w:sz="0" w:space="0" w:color="auto"/>
      </w:divBdr>
    </w:div>
    <w:div w:id="385616018">
      <w:bodyDiv w:val="1"/>
      <w:marLeft w:val="0"/>
      <w:marRight w:val="0"/>
      <w:marTop w:val="0"/>
      <w:marBottom w:val="0"/>
      <w:divBdr>
        <w:top w:val="none" w:sz="0" w:space="0" w:color="auto"/>
        <w:left w:val="none" w:sz="0" w:space="0" w:color="auto"/>
        <w:bottom w:val="none" w:sz="0" w:space="0" w:color="auto"/>
        <w:right w:val="none" w:sz="0" w:space="0" w:color="auto"/>
      </w:divBdr>
    </w:div>
    <w:div w:id="390809385">
      <w:bodyDiv w:val="1"/>
      <w:marLeft w:val="0"/>
      <w:marRight w:val="0"/>
      <w:marTop w:val="0"/>
      <w:marBottom w:val="0"/>
      <w:divBdr>
        <w:top w:val="none" w:sz="0" w:space="0" w:color="auto"/>
        <w:left w:val="none" w:sz="0" w:space="0" w:color="auto"/>
        <w:bottom w:val="none" w:sz="0" w:space="0" w:color="auto"/>
        <w:right w:val="none" w:sz="0" w:space="0" w:color="auto"/>
      </w:divBdr>
    </w:div>
    <w:div w:id="397096339">
      <w:bodyDiv w:val="1"/>
      <w:marLeft w:val="0"/>
      <w:marRight w:val="0"/>
      <w:marTop w:val="0"/>
      <w:marBottom w:val="0"/>
      <w:divBdr>
        <w:top w:val="none" w:sz="0" w:space="0" w:color="auto"/>
        <w:left w:val="none" w:sz="0" w:space="0" w:color="auto"/>
        <w:bottom w:val="none" w:sz="0" w:space="0" w:color="auto"/>
        <w:right w:val="none" w:sz="0" w:space="0" w:color="auto"/>
      </w:divBdr>
    </w:div>
    <w:div w:id="447898983">
      <w:bodyDiv w:val="1"/>
      <w:marLeft w:val="0"/>
      <w:marRight w:val="0"/>
      <w:marTop w:val="0"/>
      <w:marBottom w:val="0"/>
      <w:divBdr>
        <w:top w:val="none" w:sz="0" w:space="0" w:color="auto"/>
        <w:left w:val="none" w:sz="0" w:space="0" w:color="auto"/>
        <w:bottom w:val="none" w:sz="0" w:space="0" w:color="auto"/>
        <w:right w:val="none" w:sz="0" w:space="0" w:color="auto"/>
      </w:divBdr>
    </w:div>
    <w:div w:id="474683059">
      <w:bodyDiv w:val="1"/>
      <w:marLeft w:val="0"/>
      <w:marRight w:val="0"/>
      <w:marTop w:val="0"/>
      <w:marBottom w:val="0"/>
      <w:divBdr>
        <w:top w:val="none" w:sz="0" w:space="0" w:color="auto"/>
        <w:left w:val="none" w:sz="0" w:space="0" w:color="auto"/>
        <w:bottom w:val="none" w:sz="0" w:space="0" w:color="auto"/>
        <w:right w:val="none" w:sz="0" w:space="0" w:color="auto"/>
      </w:divBdr>
    </w:div>
    <w:div w:id="487405187">
      <w:bodyDiv w:val="1"/>
      <w:marLeft w:val="0"/>
      <w:marRight w:val="0"/>
      <w:marTop w:val="0"/>
      <w:marBottom w:val="0"/>
      <w:divBdr>
        <w:top w:val="none" w:sz="0" w:space="0" w:color="auto"/>
        <w:left w:val="none" w:sz="0" w:space="0" w:color="auto"/>
        <w:bottom w:val="none" w:sz="0" w:space="0" w:color="auto"/>
        <w:right w:val="none" w:sz="0" w:space="0" w:color="auto"/>
      </w:divBdr>
    </w:div>
    <w:div w:id="490143783">
      <w:bodyDiv w:val="1"/>
      <w:marLeft w:val="0"/>
      <w:marRight w:val="0"/>
      <w:marTop w:val="0"/>
      <w:marBottom w:val="0"/>
      <w:divBdr>
        <w:top w:val="none" w:sz="0" w:space="0" w:color="auto"/>
        <w:left w:val="none" w:sz="0" w:space="0" w:color="auto"/>
        <w:bottom w:val="none" w:sz="0" w:space="0" w:color="auto"/>
        <w:right w:val="none" w:sz="0" w:space="0" w:color="auto"/>
      </w:divBdr>
      <w:divsChild>
        <w:div w:id="20520173">
          <w:marLeft w:val="0"/>
          <w:marRight w:val="0"/>
          <w:marTop w:val="0"/>
          <w:marBottom w:val="0"/>
          <w:divBdr>
            <w:top w:val="none" w:sz="0" w:space="0" w:color="auto"/>
            <w:left w:val="none" w:sz="0" w:space="0" w:color="auto"/>
            <w:bottom w:val="none" w:sz="0" w:space="0" w:color="auto"/>
            <w:right w:val="none" w:sz="0" w:space="0" w:color="auto"/>
          </w:divBdr>
        </w:div>
        <w:div w:id="87121348">
          <w:marLeft w:val="0"/>
          <w:marRight w:val="0"/>
          <w:marTop w:val="0"/>
          <w:marBottom w:val="0"/>
          <w:divBdr>
            <w:top w:val="none" w:sz="0" w:space="0" w:color="auto"/>
            <w:left w:val="none" w:sz="0" w:space="0" w:color="auto"/>
            <w:bottom w:val="none" w:sz="0" w:space="0" w:color="auto"/>
            <w:right w:val="none" w:sz="0" w:space="0" w:color="auto"/>
          </w:divBdr>
        </w:div>
        <w:div w:id="160044273">
          <w:marLeft w:val="0"/>
          <w:marRight w:val="0"/>
          <w:marTop w:val="0"/>
          <w:marBottom w:val="0"/>
          <w:divBdr>
            <w:top w:val="none" w:sz="0" w:space="0" w:color="auto"/>
            <w:left w:val="none" w:sz="0" w:space="0" w:color="auto"/>
            <w:bottom w:val="none" w:sz="0" w:space="0" w:color="auto"/>
            <w:right w:val="none" w:sz="0" w:space="0" w:color="auto"/>
          </w:divBdr>
        </w:div>
        <w:div w:id="453719877">
          <w:marLeft w:val="0"/>
          <w:marRight w:val="0"/>
          <w:marTop w:val="0"/>
          <w:marBottom w:val="0"/>
          <w:divBdr>
            <w:top w:val="none" w:sz="0" w:space="0" w:color="auto"/>
            <w:left w:val="none" w:sz="0" w:space="0" w:color="auto"/>
            <w:bottom w:val="none" w:sz="0" w:space="0" w:color="auto"/>
            <w:right w:val="none" w:sz="0" w:space="0" w:color="auto"/>
          </w:divBdr>
        </w:div>
        <w:div w:id="776214673">
          <w:marLeft w:val="0"/>
          <w:marRight w:val="0"/>
          <w:marTop w:val="0"/>
          <w:marBottom w:val="0"/>
          <w:divBdr>
            <w:top w:val="none" w:sz="0" w:space="0" w:color="auto"/>
            <w:left w:val="none" w:sz="0" w:space="0" w:color="auto"/>
            <w:bottom w:val="none" w:sz="0" w:space="0" w:color="auto"/>
            <w:right w:val="none" w:sz="0" w:space="0" w:color="auto"/>
          </w:divBdr>
        </w:div>
        <w:div w:id="849567424">
          <w:marLeft w:val="0"/>
          <w:marRight w:val="0"/>
          <w:marTop w:val="0"/>
          <w:marBottom w:val="0"/>
          <w:divBdr>
            <w:top w:val="none" w:sz="0" w:space="0" w:color="auto"/>
            <w:left w:val="none" w:sz="0" w:space="0" w:color="auto"/>
            <w:bottom w:val="none" w:sz="0" w:space="0" w:color="auto"/>
            <w:right w:val="none" w:sz="0" w:space="0" w:color="auto"/>
          </w:divBdr>
        </w:div>
        <w:div w:id="1091589243">
          <w:marLeft w:val="0"/>
          <w:marRight w:val="0"/>
          <w:marTop w:val="0"/>
          <w:marBottom w:val="0"/>
          <w:divBdr>
            <w:top w:val="none" w:sz="0" w:space="0" w:color="auto"/>
            <w:left w:val="none" w:sz="0" w:space="0" w:color="auto"/>
            <w:bottom w:val="none" w:sz="0" w:space="0" w:color="auto"/>
            <w:right w:val="none" w:sz="0" w:space="0" w:color="auto"/>
          </w:divBdr>
        </w:div>
        <w:div w:id="1325861075">
          <w:marLeft w:val="0"/>
          <w:marRight w:val="0"/>
          <w:marTop w:val="0"/>
          <w:marBottom w:val="0"/>
          <w:divBdr>
            <w:top w:val="none" w:sz="0" w:space="0" w:color="auto"/>
            <w:left w:val="none" w:sz="0" w:space="0" w:color="auto"/>
            <w:bottom w:val="none" w:sz="0" w:space="0" w:color="auto"/>
            <w:right w:val="none" w:sz="0" w:space="0" w:color="auto"/>
          </w:divBdr>
        </w:div>
        <w:div w:id="1857620884">
          <w:marLeft w:val="0"/>
          <w:marRight w:val="0"/>
          <w:marTop w:val="0"/>
          <w:marBottom w:val="0"/>
          <w:divBdr>
            <w:top w:val="none" w:sz="0" w:space="0" w:color="auto"/>
            <w:left w:val="none" w:sz="0" w:space="0" w:color="auto"/>
            <w:bottom w:val="none" w:sz="0" w:space="0" w:color="auto"/>
            <w:right w:val="none" w:sz="0" w:space="0" w:color="auto"/>
          </w:divBdr>
        </w:div>
        <w:div w:id="2076514035">
          <w:marLeft w:val="0"/>
          <w:marRight w:val="0"/>
          <w:marTop w:val="0"/>
          <w:marBottom w:val="0"/>
          <w:divBdr>
            <w:top w:val="none" w:sz="0" w:space="0" w:color="auto"/>
            <w:left w:val="none" w:sz="0" w:space="0" w:color="auto"/>
            <w:bottom w:val="none" w:sz="0" w:space="0" w:color="auto"/>
            <w:right w:val="none" w:sz="0" w:space="0" w:color="auto"/>
          </w:divBdr>
        </w:div>
      </w:divsChild>
    </w:div>
    <w:div w:id="516848095">
      <w:bodyDiv w:val="1"/>
      <w:marLeft w:val="0"/>
      <w:marRight w:val="0"/>
      <w:marTop w:val="0"/>
      <w:marBottom w:val="0"/>
      <w:divBdr>
        <w:top w:val="none" w:sz="0" w:space="0" w:color="auto"/>
        <w:left w:val="none" w:sz="0" w:space="0" w:color="auto"/>
        <w:bottom w:val="none" w:sz="0" w:space="0" w:color="auto"/>
        <w:right w:val="none" w:sz="0" w:space="0" w:color="auto"/>
      </w:divBdr>
    </w:div>
    <w:div w:id="561478793">
      <w:bodyDiv w:val="1"/>
      <w:marLeft w:val="0"/>
      <w:marRight w:val="0"/>
      <w:marTop w:val="0"/>
      <w:marBottom w:val="0"/>
      <w:divBdr>
        <w:top w:val="none" w:sz="0" w:space="0" w:color="auto"/>
        <w:left w:val="none" w:sz="0" w:space="0" w:color="auto"/>
        <w:bottom w:val="none" w:sz="0" w:space="0" w:color="auto"/>
        <w:right w:val="none" w:sz="0" w:space="0" w:color="auto"/>
      </w:divBdr>
    </w:div>
    <w:div w:id="564224444">
      <w:bodyDiv w:val="1"/>
      <w:marLeft w:val="0"/>
      <w:marRight w:val="0"/>
      <w:marTop w:val="0"/>
      <w:marBottom w:val="0"/>
      <w:divBdr>
        <w:top w:val="none" w:sz="0" w:space="0" w:color="auto"/>
        <w:left w:val="none" w:sz="0" w:space="0" w:color="auto"/>
        <w:bottom w:val="none" w:sz="0" w:space="0" w:color="auto"/>
        <w:right w:val="none" w:sz="0" w:space="0" w:color="auto"/>
      </w:divBdr>
    </w:div>
    <w:div w:id="572475609">
      <w:bodyDiv w:val="1"/>
      <w:marLeft w:val="0"/>
      <w:marRight w:val="0"/>
      <w:marTop w:val="0"/>
      <w:marBottom w:val="0"/>
      <w:divBdr>
        <w:top w:val="none" w:sz="0" w:space="0" w:color="auto"/>
        <w:left w:val="none" w:sz="0" w:space="0" w:color="auto"/>
        <w:bottom w:val="none" w:sz="0" w:space="0" w:color="auto"/>
        <w:right w:val="none" w:sz="0" w:space="0" w:color="auto"/>
      </w:divBdr>
    </w:div>
    <w:div w:id="587806758">
      <w:bodyDiv w:val="1"/>
      <w:marLeft w:val="0"/>
      <w:marRight w:val="0"/>
      <w:marTop w:val="0"/>
      <w:marBottom w:val="0"/>
      <w:divBdr>
        <w:top w:val="none" w:sz="0" w:space="0" w:color="auto"/>
        <w:left w:val="none" w:sz="0" w:space="0" w:color="auto"/>
        <w:bottom w:val="none" w:sz="0" w:space="0" w:color="auto"/>
        <w:right w:val="none" w:sz="0" w:space="0" w:color="auto"/>
      </w:divBdr>
    </w:div>
    <w:div w:id="599262382">
      <w:bodyDiv w:val="1"/>
      <w:marLeft w:val="0"/>
      <w:marRight w:val="0"/>
      <w:marTop w:val="0"/>
      <w:marBottom w:val="0"/>
      <w:divBdr>
        <w:top w:val="none" w:sz="0" w:space="0" w:color="auto"/>
        <w:left w:val="none" w:sz="0" w:space="0" w:color="auto"/>
        <w:bottom w:val="none" w:sz="0" w:space="0" w:color="auto"/>
        <w:right w:val="none" w:sz="0" w:space="0" w:color="auto"/>
      </w:divBdr>
      <w:divsChild>
        <w:div w:id="366488533">
          <w:marLeft w:val="0"/>
          <w:marRight w:val="0"/>
          <w:marTop w:val="0"/>
          <w:marBottom w:val="0"/>
          <w:divBdr>
            <w:top w:val="none" w:sz="0" w:space="0" w:color="auto"/>
            <w:left w:val="none" w:sz="0" w:space="0" w:color="auto"/>
            <w:bottom w:val="none" w:sz="0" w:space="0" w:color="auto"/>
            <w:right w:val="none" w:sz="0" w:space="0" w:color="auto"/>
          </w:divBdr>
          <w:divsChild>
            <w:div w:id="1292515619">
              <w:marLeft w:val="0"/>
              <w:marRight w:val="0"/>
              <w:marTop w:val="0"/>
              <w:marBottom w:val="0"/>
              <w:divBdr>
                <w:top w:val="none" w:sz="0" w:space="0" w:color="auto"/>
                <w:left w:val="none" w:sz="0" w:space="0" w:color="auto"/>
                <w:bottom w:val="none" w:sz="0" w:space="0" w:color="auto"/>
                <w:right w:val="none" w:sz="0" w:space="0" w:color="auto"/>
              </w:divBdr>
              <w:divsChild>
                <w:div w:id="1458717169">
                  <w:marLeft w:val="0"/>
                  <w:marRight w:val="0"/>
                  <w:marTop w:val="0"/>
                  <w:marBottom w:val="0"/>
                  <w:divBdr>
                    <w:top w:val="none" w:sz="0" w:space="0" w:color="auto"/>
                    <w:left w:val="none" w:sz="0" w:space="0" w:color="auto"/>
                    <w:bottom w:val="none" w:sz="0" w:space="0" w:color="auto"/>
                    <w:right w:val="none" w:sz="0" w:space="0" w:color="auto"/>
                  </w:divBdr>
                  <w:divsChild>
                    <w:div w:id="706683195">
                      <w:marLeft w:val="0"/>
                      <w:marRight w:val="0"/>
                      <w:marTop w:val="0"/>
                      <w:marBottom w:val="0"/>
                      <w:divBdr>
                        <w:top w:val="none" w:sz="0" w:space="0" w:color="auto"/>
                        <w:left w:val="none" w:sz="0" w:space="0" w:color="auto"/>
                        <w:bottom w:val="none" w:sz="0" w:space="0" w:color="auto"/>
                        <w:right w:val="none" w:sz="0" w:space="0" w:color="auto"/>
                      </w:divBdr>
                      <w:divsChild>
                        <w:div w:id="19387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802932">
      <w:bodyDiv w:val="1"/>
      <w:marLeft w:val="0"/>
      <w:marRight w:val="0"/>
      <w:marTop w:val="0"/>
      <w:marBottom w:val="0"/>
      <w:divBdr>
        <w:top w:val="none" w:sz="0" w:space="0" w:color="auto"/>
        <w:left w:val="none" w:sz="0" w:space="0" w:color="auto"/>
        <w:bottom w:val="none" w:sz="0" w:space="0" w:color="auto"/>
        <w:right w:val="none" w:sz="0" w:space="0" w:color="auto"/>
      </w:divBdr>
    </w:div>
    <w:div w:id="604926799">
      <w:bodyDiv w:val="1"/>
      <w:marLeft w:val="0"/>
      <w:marRight w:val="0"/>
      <w:marTop w:val="0"/>
      <w:marBottom w:val="0"/>
      <w:divBdr>
        <w:top w:val="none" w:sz="0" w:space="0" w:color="auto"/>
        <w:left w:val="none" w:sz="0" w:space="0" w:color="auto"/>
        <w:bottom w:val="none" w:sz="0" w:space="0" w:color="auto"/>
        <w:right w:val="none" w:sz="0" w:space="0" w:color="auto"/>
      </w:divBdr>
    </w:div>
    <w:div w:id="605505745">
      <w:bodyDiv w:val="1"/>
      <w:marLeft w:val="0"/>
      <w:marRight w:val="0"/>
      <w:marTop w:val="0"/>
      <w:marBottom w:val="0"/>
      <w:divBdr>
        <w:top w:val="none" w:sz="0" w:space="0" w:color="auto"/>
        <w:left w:val="none" w:sz="0" w:space="0" w:color="auto"/>
        <w:bottom w:val="none" w:sz="0" w:space="0" w:color="auto"/>
        <w:right w:val="none" w:sz="0" w:space="0" w:color="auto"/>
      </w:divBdr>
    </w:div>
    <w:div w:id="675379674">
      <w:bodyDiv w:val="1"/>
      <w:marLeft w:val="0"/>
      <w:marRight w:val="0"/>
      <w:marTop w:val="0"/>
      <w:marBottom w:val="0"/>
      <w:divBdr>
        <w:top w:val="none" w:sz="0" w:space="0" w:color="auto"/>
        <w:left w:val="none" w:sz="0" w:space="0" w:color="auto"/>
        <w:bottom w:val="none" w:sz="0" w:space="0" w:color="auto"/>
        <w:right w:val="none" w:sz="0" w:space="0" w:color="auto"/>
      </w:divBdr>
    </w:div>
    <w:div w:id="688915467">
      <w:bodyDiv w:val="1"/>
      <w:marLeft w:val="0"/>
      <w:marRight w:val="0"/>
      <w:marTop w:val="0"/>
      <w:marBottom w:val="0"/>
      <w:divBdr>
        <w:top w:val="none" w:sz="0" w:space="0" w:color="auto"/>
        <w:left w:val="none" w:sz="0" w:space="0" w:color="auto"/>
        <w:bottom w:val="none" w:sz="0" w:space="0" w:color="auto"/>
        <w:right w:val="none" w:sz="0" w:space="0" w:color="auto"/>
      </w:divBdr>
    </w:div>
    <w:div w:id="780611625">
      <w:bodyDiv w:val="1"/>
      <w:marLeft w:val="0"/>
      <w:marRight w:val="0"/>
      <w:marTop w:val="0"/>
      <w:marBottom w:val="0"/>
      <w:divBdr>
        <w:top w:val="none" w:sz="0" w:space="0" w:color="auto"/>
        <w:left w:val="none" w:sz="0" w:space="0" w:color="auto"/>
        <w:bottom w:val="none" w:sz="0" w:space="0" w:color="auto"/>
        <w:right w:val="none" w:sz="0" w:space="0" w:color="auto"/>
      </w:divBdr>
    </w:div>
    <w:div w:id="789208252">
      <w:bodyDiv w:val="1"/>
      <w:marLeft w:val="0"/>
      <w:marRight w:val="0"/>
      <w:marTop w:val="0"/>
      <w:marBottom w:val="0"/>
      <w:divBdr>
        <w:top w:val="none" w:sz="0" w:space="0" w:color="auto"/>
        <w:left w:val="none" w:sz="0" w:space="0" w:color="auto"/>
        <w:bottom w:val="none" w:sz="0" w:space="0" w:color="auto"/>
        <w:right w:val="none" w:sz="0" w:space="0" w:color="auto"/>
      </w:divBdr>
    </w:div>
    <w:div w:id="806514636">
      <w:bodyDiv w:val="1"/>
      <w:marLeft w:val="0"/>
      <w:marRight w:val="0"/>
      <w:marTop w:val="0"/>
      <w:marBottom w:val="0"/>
      <w:divBdr>
        <w:top w:val="none" w:sz="0" w:space="0" w:color="auto"/>
        <w:left w:val="none" w:sz="0" w:space="0" w:color="auto"/>
        <w:bottom w:val="none" w:sz="0" w:space="0" w:color="auto"/>
        <w:right w:val="none" w:sz="0" w:space="0" w:color="auto"/>
      </w:divBdr>
    </w:div>
    <w:div w:id="819737826">
      <w:bodyDiv w:val="1"/>
      <w:marLeft w:val="0"/>
      <w:marRight w:val="0"/>
      <w:marTop w:val="0"/>
      <w:marBottom w:val="0"/>
      <w:divBdr>
        <w:top w:val="none" w:sz="0" w:space="0" w:color="auto"/>
        <w:left w:val="none" w:sz="0" w:space="0" w:color="auto"/>
        <w:bottom w:val="none" w:sz="0" w:space="0" w:color="auto"/>
        <w:right w:val="none" w:sz="0" w:space="0" w:color="auto"/>
      </w:divBdr>
    </w:div>
    <w:div w:id="834223431">
      <w:bodyDiv w:val="1"/>
      <w:marLeft w:val="0"/>
      <w:marRight w:val="0"/>
      <w:marTop w:val="0"/>
      <w:marBottom w:val="0"/>
      <w:divBdr>
        <w:top w:val="none" w:sz="0" w:space="0" w:color="auto"/>
        <w:left w:val="none" w:sz="0" w:space="0" w:color="auto"/>
        <w:bottom w:val="none" w:sz="0" w:space="0" w:color="auto"/>
        <w:right w:val="none" w:sz="0" w:space="0" w:color="auto"/>
      </w:divBdr>
      <w:divsChild>
        <w:div w:id="93594773">
          <w:marLeft w:val="0"/>
          <w:marRight w:val="0"/>
          <w:marTop w:val="225"/>
          <w:marBottom w:val="225"/>
          <w:divBdr>
            <w:top w:val="none" w:sz="0" w:space="0" w:color="auto"/>
            <w:left w:val="none" w:sz="0" w:space="0" w:color="auto"/>
            <w:bottom w:val="none" w:sz="0" w:space="0" w:color="auto"/>
            <w:right w:val="none" w:sz="0" w:space="0" w:color="auto"/>
          </w:divBdr>
          <w:divsChild>
            <w:div w:id="2067337007">
              <w:marLeft w:val="0"/>
              <w:marRight w:val="0"/>
              <w:marTop w:val="0"/>
              <w:marBottom w:val="0"/>
              <w:divBdr>
                <w:top w:val="none" w:sz="0" w:space="0" w:color="auto"/>
                <w:left w:val="none" w:sz="0" w:space="0" w:color="auto"/>
                <w:bottom w:val="none" w:sz="0" w:space="0" w:color="auto"/>
                <w:right w:val="none" w:sz="0" w:space="0" w:color="auto"/>
              </w:divBdr>
              <w:divsChild>
                <w:div w:id="401292295">
                  <w:marLeft w:val="0"/>
                  <w:marRight w:val="0"/>
                  <w:marTop w:val="0"/>
                  <w:marBottom w:val="0"/>
                  <w:divBdr>
                    <w:top w:val="none" w:sz="0" w:space="0" w:color="auto"/>
                    <w:left w:val="none" w:sz="0" w:space="0" w:color="auto"/>
                    <w:bottom w:val="none" w:sz="0" w:space="0" w:color="auto"/>
                    <w:right w:val="none" w:sz="0" w:space="0" w:color="auto"/>
                  </w:divBdr>
                  <w:divsChild>
                    <w:div w:id="6250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0909">
          <w:marLeft w:val="0"/>
          <w:marRight w:val="0"/>
          <w:marTop w:val="225"/>
          <w:marBottom w:val="225"/>
          <w:divBdr>
            <w:top w:val="none" w:sz="0" w:space="0" w:color="auto"/>
            <w:left w:val="none" w:sz="0" w:space="0" w:color="auto"/>
            <w:bottom w:val="none" w:sz="0" w:space="0" w:color="auto"/>
            <w:right w:val="none" w:sz="0" w:space="0" w:color="auto"/>
          </w:divBdr>
          <w:divsChild>
            <w:div w:id="59210659">
              <w:marLeft w:val="0"/>
              <w:marRight w:val="0"/>
              <w:marTop w:val="0"/>
              <w:marBottom w:val="0"/>
              <w:divBdr>
                <w:top w:val="none" w:sz="0" w:space="0" w:color="auto"/>
                <w:left w:val="none" w:sz="0" w:space="0" w:color="auto"/>
                <w:bottom w:val="none" w:sz="0" w:space="0" w:color="auto"/>
                <w:right w:val="none" w:sz="0" w:space="0" w:color="auto"/>
              </w:divBdr>
            </w:div>
            <w:div w:id="988288390">
              <w:marLeft w:val="0"/>
              <w:marRight w:val="0"/>
              <w:marTop w:val="0"/>
              <w:marBottom w:val="0"/>
              <w:divBdr>
                <w:top w:val="none" w:sz="0" w:space="0" w:color="auto"/>
                <w:left w:val="none" w:sz="0" w:space="0" w:color="auto"/>
                <w:bottom w:val="none" w:sz="0" w:space="0" w:color="auto"/>
                <w:right w:val="none" w:sz="0" w:space="0" w:color="auto"/>
              </w:divBdr>
            </w:div>
            <w:div w:id="126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2776">
      <w:bodyDiv w:val="1"/>
      <w:marLeft w:val="0"/>
      <w:marRight w:val="0"/>
      <w:marTop w:val="0"/>
      <w:marBottom w:val="0"/>
      <w:divBdr>
        <w:top w:val="none" w:sz="0" w:space="0" w:color="auto"/>
        <w:left w:val="none" w:sz="0" w:space="0" w:color="auto"/>
        <w:bottom w:val="none" w:sz="0" w:space="0" w:color="auto"/>
        <w:right w:val="none" w:sz="0" w:space="0" w:color="auto"/>
      </w:divBdr>
    </w:div>
    <w:div w:id="886647771">
      <w:bodyDiv w:val="1"/>
      <w:marLeft w:val="0"/>
      <w:marRight w:val="0"/>
      <w:marTop w:val="0"/>
      <w:marBottom w:val="0"/>
      <w:divBdr>
        <w:top w:val="none" w:sz="0" w:space="0" w:color="auto"/>
        <w:left w:val="none" w:sz="0" w:space="0" w:color="auto"/>
        <w:bottom w:val="none" w:sz="0" w:space="0" w:color="auto"/>
        <w:right w:val="none" w:sz="0" w:space="0" w:color="auto"/>
      </w:divBdr>
      <w:divsChild>
        <w:div w:id="2094810245">
          <w:marLeft w:val="0"/>
          <w:marRight w:val="0"/>
          <w:marTop w:val="0"/>
          <w:marBottom w:val="0"/>
          <w:divBdr>
            <w:top w:val="single" w:sz="2" w:space="0" w:color="auto"/>
            <w:left w:val="single" w:sz="2" w:space="0" w:color="auto"/>
            <w:bottom w:val="single" w:sz="2" w:space="0" w:color="auto"/>
            <w:right w:val="single" w:sz="2" w:space="0" w:color="auto"/>
          </w:divBdr>
        </w:div>
      </w:divsChild>
    </w:div>
    <w:div w:id="902914984">
      <w:bodyDiv w:val="1"/>
      <w:marLeft w:val="0"/>
      <w:marRight w:val="0"/>
      <w:marTop w:val="0"/>
      <w:marBottom w:val="0"/>
      <w:divBdr>
        <w:top w:val="none" w:sz="0" w:space="0" w:color="auto"/>
        <w:left w:val="none" w:sz="0" w:space="0" w:color="auto"/>
        <w:bottom w:val="none" w:sz="0" w:space="0" w:color="auto"/>
        <w:right w:val="none" w:sz="0" w:space="0" w:color="auto"/>
      </w:divBdr>
    </w:div>
    <w:div w:id="932516598">
      <w:bodyDiv w:val="1"/>
      <w:marLeft w:val="0"/>
      <w:marRight w:val="0"/>
      <w:marTop w:val="0"/>
      <w:marBottom w:val="0"/>
      <w:divBdr>
        <w:top w:val="none" w:sz="0" w:space="0" w:color="auto"/>
        <w:left w:val="none" w:sz="0" w:space="0" w:color="auto"/>
        <w:bottom w:val="none" w:sz="0" w:space="0" w:color="auto"/>
        <w:right w:val="none" w:sz="0" w:space="0" w:color="auto"/>
      </w:divBdr>
      <w:divsChild>
        <w:div w:id="1265303606">
          <w:marLeft w:val="605"/>
          <w:marRight w:val="0"/>
          <w:marTop w:val="200"/>
          <w:marBottom w:val="40"/>
          <w:divBdr>
            <w:top w:val="none" w:sz="0" w:space="0" w:color="auto"/>
            <w:left w:val="none" w:sz="0" w:space="0" w:color="auto"/>
            <w:bottom w:val="none" w:sz="0" w:space="0" w:color="auto"/>
            <w:right w:val="none" w:sz="0" w:space="0" w:color="auto"/>
          </w:divBdr>
        </w:div>
        <w:div w:id="1605722430">
          <w:marLeft w:val="720"/>
          <w:marRight w:val="0"/>
          <w:marTop w:val="0"/>
          <w:marBottom w:val="160"/>
          <w:divBdr>
            <w:top w:val="none" w:sz="0" w:space="0" w:color="auto"/>
            <w:left w:val="none" w:sz="0" w:space="0" w:color="auto"/>
            <w:bottom w:val="none" w:sz="0" w:space="0" w:color="auto"/>
            <w:right w:val="none" w:sz="0" w:space="0" w:color="auto"/>
          </w:divBdr>
        </w:div>
      </w:divsChild>
    </w:div>
    <w:div w:id="947004834">
      <w:bodyDiv w:val="1"/>
      <w:marLeft w:val="0"/>
      <w:marRight w:val="0"/>
      <w:marTop w:val="0"/>
      <w:marBottom w:val="0"/>
      <w:divBdr>
        <w:top w:val="none" w:sz="0" w:space="0" w:color="auto"/>
        <w:left w:val="none" w:sz="0" w:space="0" w:color="auto"/>
        <w:bottom w:val="none" w:sz="0" w:space="0" w:color="auto"/>
        <w:right w:val="none" w:sz="0" w:space="0" w:color="auto"/>
      </w:divBdr>
      <w:divsChild>
        <w:div w:id="462888777">
          <w:marLeft w:val="605"/>
          <w:marRight w:val="0"/>
          <w:marTop w:val="200"/>
          <w:marBottom w:val="40"/>
          <w:divBdr>
            <w:top w:val="none" w:sz="0" w:space="0" w:color="auto"/>
            <w:left w:val="none" w:sz="0" w:space="0" w:color="auto"/>
            <w:bottom w:val="none" w:sz="0" w:space="0" w:color="auto"/>
            <w:right w:val="none" w:sz="0" w:space="0" w:color="auto"/>
          </w:divBdr>
        </w:div>
        <w:div w:id="1049450191">
          <w:marLeft w:val="605"/>
          <w:marRight w:val="0"/>
          <w:marTop w:val="200"/>
          <w:marBottom w:val="40"/>
          <w:divBdr>
            <w:top w:val="none" w:sz="0" w:space="0" w:color="auto"/>
            <w:left w:val="none" w:sz="0" w:space="0" w:color="auto"/>
            <w:bottom w:val="none" w:sz="0" w:space="0" w:color="auto"/>
            <w:right w:val="none" w:sz="0" w:space="0" w:color="auto"/>
          </w:divBdr>
        </w:div>
        <w:div w:id="2010981220">
          <w:marLeft w:val="605"/>
          <w:marRight w:val="0"/>
          <w:marTop w:val="200"/>
          <w:marBottom w:val="40"/>
          <w:divBdr>
            <w:top w:val="none" w:sz="0" w:space="0" w:color="auto"/>
            <w:left w:val="none" w:sz="0" w:space="0" w:color="auto"/>
            <w:bottom w:val="none" w:sz="0" w:space="0" w:color="auto"/>
            <w:right w:val="none" w:sz="0" w:space="0" w:color="auto"/>
          </w:divBdr>
        </w:div>
      </w:divsChild>
    </w:div>
    <w:div w:id="998659686">
      <w:bodyDiv w:val="1"/>
      <w:marLeft w:val="0"/>
      <w:marRight w:val="0"/>
      <w:marTop w:val="0"/>
      <w:marBottom w:val="0"/>
      <w:divBdr>
        <w:top w:val="none" w:sz="0" w:space="0" w:color="auto"/>
        <w:left w:val="none" w:sz="0" w:space="0" w:color="auto"/>
        <w:bottom w:val="none" w:sz="0" w:space="0" w:color="auto"/>
        <w:right w:val="none" w:sz="0" w:space="0" w:color="auto"/>
      </w:divBdr>
      <w:divsChild>
        <w:div w:id="81726820">
          <w:marLeft w:val="0"/>
          <w:marRight w:val="0"/>
          <w:marTop w:val="0"/>
          <w:marBottom w:val="0"/>
          <w:divBdr>
            <w:top w:val="single" w:sz="2" w:space="0" w:color="E4E6E8"/>
            <w:left w:val="single" w:sz="2" w:space="0" w:color="E4E6E8"/>
            <w:bottom w:val="single" w:sz="2" w:space="0" w:color="E4E6E8"/>
            <w:right w:val="single" w:sz="2" w:space="0" w:color="E4E6E8"/>
          </w:divBdr>
        </w:div>
        <w:div w:id="1707021520">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040133630">
      <w:bodyDiv w:val="1"/>
      <w:marLeft w:val="0"/>
      <w:marRight w:val="0"/>
      <w:marTop w:val="0"/>
      <w:marBottom w:val="0"/>
      <w:divBdr>
        <w:top w:val="none" w:sz="0" w:space="0" w:color="auto"/>
        <w:left w:val="none" w:sz="0" w:space="0" w:color="auto"/>
        <w:bottom w:val="none" w:sz="0" w:space="0" w:color="auto"/>
        <w:right w:val="none" w:sz="0" w:space="0" w:color="auto"/>
      </w:divBdr>
    </w:div>
    <w:div w:id="1060250292">
      <w:bodyDiv w:val="1"/>
      <w:marLeft w:val="0"/>
      <w:marRight w:val="0"/>
      <w:marTop w:val="0"/>
      <w:marBottom w:val="0"/>
      <w:divBdr>
        <w:top w:val="none" w:sz="0" w:space="0" w:color="auto"/>
        <w:left w:val="none" w:sz="0" w:space="0" w:color="auto"/>
        <w:bottom w:val="none" w:sz="0" w:space="0" w:color="auto"/>
        <w:right w:val="none" w:sz="0" w:space="0" w:color="auto"/>
      </w:divBdr>
    </w:div>
    <w:div w:id="1070151841">
      <w:bodyDiv w:val="1"/>
      <w:marLeft w:val="0"/>
      <w:marRight w:val="0"/>
      <w:marTop w:val="0"/>
      <w:marBottom w:val="0"/>
      <w:divBdr>
        <w:top w:val="none" w:sz="0" w:space="0" w:color="auto"/>
        <w:left w:val="none" w:sz="0" w:space="0" w:color="auto"/>
        <w:bottom w:val="none" w:sz="0" w:space="0" w:color="auto"/>
        <w:right w:val="none" w:sz="0" w:space="0" w:color="auto"/>
      </w:divBdr>
    </w:div>
    <w:div w:id="1070156060">
      <w:bodyDiv w:val="1"/>
      <w:marLeft w:val="0"/>
      <w:marRight w:val="0"/>
      <w:marTop w:val="0"/>
      <w:marBottom w:val="0"/>
      <w:divBdr>
        <w:top w:val="none" w:sz="0" w:space="0" w:color="auto"/>
        <w:left w:val="none" w:sz="0" w:space="0" w:color="auto"/>
        <w:bottom w:val="none" w:sz="0" w:space="0" w:color="auto"/>
        <w:right w:val="none" w:sz="0" w:space="0" w:color="auto"/>
      </w:divBdr>
      <w:divsChild>
        <w:div w:id="739907290">
          <w:marLeft w:val="605"/>
          <w:marRight w:val="0"/>
          <w:marTop w:val="200"/>
          <w:marBottom w:val="40"/>
          <w:divBdr>
            <w:top w:val="none" w:sz="0" w:space="0" w:color="auto"/>
            <w:left w:val="none" w:sz="0" w:space="0" w:color="auto"/>
            <w:bottom w:val="none" w:sz="0" w:space="0" w:color="auto"/>
            <w:right w:val="none" w:sz="0" w:space="0" w:color="auto"/>
          </w:divBdr>
        </w:div>
        <w:div w:id="1268460548">
          <w:marLeft w:val="605"/>
          <w:marRight w:val="0"/>
          <w:marTop w:val="200"/>
          <w:marBottom w:val="40"/>
          <w:divBdr>
            <w:top w:val="none" w:sz="0" w:space="0" w:color="auto"/>
            <w:left w:val="none" w:sz="0" w:space="0" w:color="auto"/>
            <w:bottom w:val="none" w:sz="0" w:space="0" w:color="auto"/>
            <w:right w:val="none" w:sz="0" w:space="0" w:color="auto"/>
          </w:divBdr>
        </w:div>
      </w:divsChild>
    </w:div>
    <w:div w:id="1131095682">
      <w:bodyDiv w:val="1"/>
      <w:marLeft w:val="0"/>
      <w:marRight w:val="0"/>
      <w:marTop w:val="0"/>
      <w:marBottom w:val="0"/>
      <w:divBdr>
        <w:top w:val="none" w:sz="0" w:space="0" w:color="auto"/>
        <w:left w:val="none" w:sz="0" w:space="0" w:color="auto"/>
        <w:bottom w:val="none" w:sz="0" w:space="0" w:color="auto"/>
        <w:right w:val="none" w:sz="0" w:space="0" w:color="auto"/>
      </w:divBdr>
    </w:div>
    <w:div w:id="1189493020">
      <w:bodyDiv w:val="1"/>
      <w:marLeft w:val="0"/>
      <w:marRight w:val="0"/>
      <w:marTop w:val="0"/>
      <w:marBottom w:val="0"/>
      <w:divBdr>
        <w:top w:val="none" w:sz="0" w:space="0" w:color="auto"/>
        <w:left w:val="none" w:sz="0" w:space="0" w:color="auto"/>
        <w:bottom w:val="none" w:sz="0" w:space="0" w:color="auto"/>
        <w:right w:val="none" w:sz="0" w:space="0" w:color="auto"/>
      </w:divBdr>
    </w:div>
    <w:div w:id="1195272874">
      <w:bodyDiv w:val="1"/>
      <w:marLeft w:val="0"/>
      <w:marRight w:val="0"/>
      <w:marTop w:val="0"/>
      <w:marBottom w:val="0"/>
      <w:divBdr>
        <w:top w:val="none" w:sz="0" w:space="0" w:color="auto"/>
        <w:left w:val="none" w:sz="0" w:space="0" w:color="auto"/>
        <w:bottom w:val="none" w:sz="0" w:space="0" w:color="auto"/>
        <w:right w:val="none" w:sz="0" w:space="0" w:color="auto"/>
      </w:divBdr>
    </w:div>
    <w:div w:id="1274705070">
      <w:bodyDiv w:val="1"/>
      <w:marLeft w:val="0"/>
      <w:marRight w:val="0"/>
      <w:marTop w:val="0"/>
      <w:marBottom w:val="0"/>
      <w:divBdr>
        <w:top w:val="none" w:sz="0" w:space="0" w:color="auto"/>
        <w:left w:val="none" w:sz="0" w:space="0" w:color="auto"/>
        <w:bottom w:val="none" w:sz="0" w:space="0" w:color="auto"/>
        <w:right w:val="none" w:sz="0" w:space="0" w:color="auto"/>
      </w:divBdr>
    </w:div>
    <w:div w:id="1284075323">
      <w:bodyDiv w:val="1"/>
      <w:marLeft w:val="0"/>
      <w:marRight w:val="0"/>
      <w:marTop w:val="0"/>
      <w:marBottom w:val="0"/>
      <w:divBdr>
        <w:top w:val="none" w:sz="0" w:space="0" w:color="auto"/>
        <w:left w:val="none" w:sz="0" w:space="0" w:color="auto"/>
        <w:bottom w:val="none" w:sz="0" w:space="0" w:color="auto"/>
        <w:right w:val="none" w:sz="0" w:space="0" w:color="auto"/>
      </w:divBdr>
    </w:div>
    <w:div w:id="1286884342">
      <w:bodyDiv w:val="1"/>
      <w:marLeft w:val="0"/>
      <w:marRight w:val="0"/>
      <w:marTop w:val="0"/>
      <w:marBottom w:val="0"/>
      <w:divBdr>
        <w:top w:val="none" w:sz="0" w:space="0" w:color="auto"/>
        <w:left w:val="none" w:sz="0" w:space="0" w:color="auto"/>
        <w:bottom w:val="none" w:sz="0" w:space="0" w:color="auto"/>
        <w:right w:val="none" w:sz="0" w:space="0" w:color="auto"/>
      </w:divBdr>
      <w:divsChild>
        <w:div w:id="1615479825">
          <w:marLeft w:val="0"/>
          <w:marRight w:val="0"/>
          <w:marTop w:val="0"/>
          <w:marBottom w:val="225"/>
          <w:divBdr>
            <w:top w:val="none" w:sz="0" w:space="0" w:color="auto"/>
            <w:left w:val="none" w:sz="0" w:space="0" w:color="auto"/>
            <w:bottom w:val="none" w:sz="0" w:space="0" w:color="auto"/>
            <w:right w:val="none" w:sz="0" w:space="0" w:color="auto"/>
          </w:divBdr>
        </w:div>
        <w:div w:id="1891959871">
          <w:marLeft w:val="0"/>
          <w:marRight w:val="0"/>
          <w:marTop w:val="0"/>
          <w:marBottom w:val="225"/>
          <w:divBdr>
            <w:top w:val="none" w:sz="0" w:space="0" w:color="auto"/>
            <w:left w:val="none" w:sz="0" w:space="0" w:color="auto"/>
            <w:bottom w:val="none" w:sz="0" w:space="0" w:color="auto"/>
            <w:right w:val="none" w:sz="0" w:space="0" w:color="auto"/>
          </w:divBdr>
        </w:div>
      </w:divsChild>
    </w:div>
    <w:div w:id="1296567724">
      <w:bodyDiv w:val="1"/>
      <w:marLeft w:val="0"/>
      <w:marRight w:val="0"/>
      <w:marTop w:val="0"/>
      <w:marBottom w:val="0"/>
      <w:divBdr>
        <w:top w:val="none" w:sz="0" w:space="0" w:color="auto"/>
        <w:left w:val="none" w:sz="0" w:space="0" w:color="auto"/>
        <w:bottom w:val="none" w:sz="0" w:space="0" w:color="auto"/>
        <w:right w:val="none" w:sz="0" w:space="0" w:color="auto"/>
      </w:divBdr>
      <w:divsChild>
        <w:div w:id="1068458189">
          <w:marLeft w:val="0"/>
          <w:marRight w:val="0"/>
          <w:marTop w:val="0"/>
          <w:marBottom w:val="0"/>
          <w:divBdr>
            <w:top w:val="none" w:sz="0" w:space="0" w:color="auto"/>
            <w:left w:val="none" w:sz="0" w:space="0" w:color="auto"/>
            <w:bottom w:val="none" w:sz="0" w:space="0" w:color="auto"/>
            <w:right w:val="none" w:sz="0" w:space="0" w:color="auto"/>
          </w:divBdr>
        </w:div>
        <w:div w:id="1769501535">
          <w:marLeft w:val="0"/>
          <w:marRight w:val="0"/>
          <w:marTop w:val="0"/>
          <w:marBottom w:val="0"/>
          <w:divBdr>
            <w:top w:val="none" w:sz="0" w:space="0" w:color="auto"/>
            <w:left w:val="none" w:sz="0" w:space="0" w:color="auto"/>
            <w:bottom w:val="none" w:sz="0" w:space="0" w:color="auto"/>
            <w:right w:val="none" w:sz="0" w:space="0" w:color="auto"/>
          </w:divBdr>
          <w:divsChild>
            <w:div w:id="235437027">
              <w:marLeft w:val="0"/>
              <w:marRight w:val="0"/>
              <w:marTop w:val="0"/>
              <w:marBottom w:val="0"/>
              <w:divBdr>
                <w:top w:val="none" w:sz="0" w:space="0" w:color="auto"/>
                <w:left w:val="none" w:sz="0" w:space="0" w:color="auto"/>
                <w:bottom w:val="none" w:sz="0" w:space="0" w:color="auto"/>
                <w:right w:val="none" w:sz="0" w:space="0" w:color="auto"/>
              </w:divBdr>
            </w:div>
            <w:div w:id="1087192360">
              <w:marLeft w:val="0"/>
              <w:marRight w:val="0"/>
              <w:marTop w:val="0"/>
              <w:marBottom w:val="0"/>
              <w:divBdr>
                <w:top w:val="none" w:sz="0" w:space="0" w:color="auto"/>
                <w:left w:val="none" w:sz="0" w:space="0" w:color="auto"/>
                <w:bottom w:val="none" w:sz="0" w:space="0" w:color="auto"/>
                <w:right w:val="none" w:sz="0" w:space="0" w:color="auto"/>
              </w:divBdr>
            </w:div>
            <w:div w:id="1170559165">
              <w:marLeft w:val="0"/>
              <w:marRight w:val="0"/>
              <w:marTop w:val="0"/>
              <w:marBottom w:val="0"/>
              <w:divBdr>
                <w:top w:val="none" w:sz="0" w:space="0" w:color="auto"/>
                <w:left w:val="none" w:sz="0" w:space="0" w:color="auto"/>
                <w:bottom w:val="none" w:sz="0" w:space="0" w:color="auto"/>
                <w:right w:val="none" w:sz="0" w:space="0" w:color="auto"/>
              </w:divBdr>
            </w:div>
            <w:div w:id="17439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5047">
      <w:bodyDiv w:val="1"/>
      <w:marLeft w:val="0"/>
      <w:marRight w:val="0"/>
      <w:marTop w:val="0"/>
      <w:marBottom w:val="0"/>
      <w:divBdr>
        <w:top w:val="none" w:sz="0" w:space="0" w:color="auto"/>
        <w:left w:val="none" w:sz="0" w:space="0" w:color="auto"/>
        <w:bottom w:val="none" w:sz="0" w:space="0" w:color="auto"/>
        <w:right w:val="none" w:sz="0" w:space="0" w:color="auto"/>
      </w:divBdr>
    </w:div>
    <w:div w:id="1337532682">
      <w:bodyDiv w:val="1"/>
      <w:marLeft w:val="0"/>
      <w:marRight w:val="0"/>
      <w:marTop w:val="0"/>
      <w:marBottom w:val="0"/>
      <w:divBdr>
        <w:top w:val="none" w:sz="0" w:space="0" w:color="auto"/>
        <w:left w:val="none" w:sz="0" w:space="0" w:color="auto"/>
        <w:bottom w:val="none" w:sz="0" w:space="0" w:color="auto"/>
        <w:right w:val="none" w:sz="0" w:space="0" w:color="auto"/>
      </w:divBdr>
    </w:div>
    <w:div w:id="1377774149">
      <w:bodyDiv w:val="1"/>
      <w:marLeft w:val="0"/>
      <w:marRight w:val="0"/>
      <w:marTop w:val="0"/>
      <w:marBottom w:val="0"/>
      <w:divBdr>
        <w:top w:val="none" w:sz="0" w:space="0" w:color="auto"/>
        <w:left w:val="none" w:sz="0" w:space="0" w:color="auto"/>
        <w:bottom w:val="none" w:sz="0" w:space="0" w:color="auto"/>
        <w:right w:val="none" w:sz="0" w:space="0" w:color="auto"/>
      </w:divBdr>
    </w:div>
    <w:div w:id="1383476596">
      <w:bodyDiv w:val="1"/>
      <w:marLeft w:val="0"/>
      <w:marRight w:val="0"/>
      <w:marTop w:val="0"/>
      <w:marBottom w:val="0"/>
      <w:divBdr>
        <w:top w:val="none" w:sz="0" w:space="0" w:color="auto"/>
        <w:left w:val="none" w:sz="0" w:space="0" w:color="auto"/>
        <w:bottom w:val="none" w:sz="0" w:space="0" w:color="auto"/>
        <w:right w:val="none" w:sz="0" w:space="0" w:color="auto"/>
      </w:divBdr>
    </w:div>
    <w:div w:id="1403136577">
      <w:bodyDiv w:val="1"/>
      <w:marLeft w:val="0"/>
      <w:marRight w:val="0"/>
      <w:marTop w:val="0"/>
      <w:marBottom w:val="0"/>
      <w:divBdr>
        <w:top w:val="none" w:sz="0" w:space="0" w:color="auto"/>
        <w:left w:val="none" w:sz="0" w:space="0" w:color="auto"/>
        <w:bottom w:val="none" w:sz="0" w:space="0" w:color="auto"/>
        <w:right w:val="none" w:sz="0" w:space="0" w:color="auto"/>
      </w:divBdr>
      <w:divsChild>
        <w:div w:id="768507358">
          <w:marLeft w:val="0"/>
          <w:marRight w:val="0"/>
          <w:marTop w:val="0"/>
          <w:marBottom w:val="0"/>
          <w:divBdr>
            <w:top w:val="none" w:sz="0" w:space="0" w:color="auto"/>
            <w:left w:val="none" w:sz="0" w:space="0" w:color="auto"/>
            <w:bottom w:val="none" w:sz="0" w:space="0" w:color="auto"/>
            <w:right w:val="none" w:sz="0" w:space="0" w:color="auto"/>
          </w:divBdr>
          <w:divsChild>
            <w:div w:id="944966604">
              <w:marLeft w:val="0"/>
              <w:marRight w:val="0"/>
              <w:marTop w:val="0"/>
              <w:marBottom w:val="0"/>
              <w:divBdr>
                <w:top w:val="none" w:sz="0" w:space="0" w:color="auto"/>
                <w:left w:val="none" w:sz="0" w:space="0" w:color="auto"/>
                <w:bottom w:val="none" w:sz="0" w:space="0" w:color="auto"/>
                <w:right w:val="none" w:sz="0" w:space="0" w:color="auto"/>
              </w:divBdr>
              <w:divsChild>
                <w:div w:id="2134055165">
                  <w:marLeft w:val="0"/>
                  <w:marRight w:val="0"/>
                  <w:marTop w:val="0"/>
                  <w:marBottom w:val="0"/>
                  <w:divBdr>
                    <w:top w:val="none" w:sz="0" w:space="0" w:color="auto"/>
                    <w:left w:val="none" w:sz="0" w:space="0" w:color="auto"/>
                    <w:bottom w:val="none" w:sz="0" w:space="0" w:color="auto"/>
                    <w:right w:val="none" w:sz="0" w:space="0" w:color="auto"/>
                  </w:divBdr>
                  <w:divsChild>
                    <w:div w:id="1298991958">
                      <w:marLeft w:val="0"/>
                      <w:marRight w:val="0"/>
                      <w:marTop w:val="0"/>
                      <w:marBottom w:val="0"/>
                      <w:divBdr>
                        <w:top w:val="none" w:sz="0" w:space="0" w:color="auto"/>
                        <w:left w:val="none" w:sz="0" w:space="0" w:color="auto"/>
                        <w:bottom w:val="none" w:sz="0" w:space="0" w:color="auto"/>
                        <w:right w:val="none" w:sz="0" w:space="0" w:color="auto"/>
                      </w:divBdr>
                      <w:divsChild>
                        <w:div w:id="1251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73243">
      <w:bodyDiv w:val="1"/>
      <w:marLeft w:val="0"/>
      <w:marRight w:val="0"/>
      <w:marTop w:val="0"/>
      <w:marBottom w:val="0"/>
      <w:divBdr>
        <w:top w:val="none" w:sz="0" w:space="0" w:color="auto"/>
        <w:left w:val="none" w:sz="0" w:space="0" w:color="auto"/>
        <w:bottom w:val="none" w:sz="0" w:space="0" w:color="auto"/>
        <w:right w:val="none" w:sz="0" w:space="0" w:color="auto"/>
      </w:divBdr>
    </w:div>
    <w:div w:id="1484085520">
      <w:bodyDiv w:val="1"/>
      <w:marLeft w:val="0"/>
      <w:marRight w:val="0"/>
      <w:marTop w:val="0"/>
      <w:marBottom w:val="0"/>
      <w:divBdr>
        <w:top w:val="none" w:sz="0" w:space="0" w:color="auto"/>
        <w:left w:val="none" w:sz="0" w:space="0" w:color="auto"/>
        <w:bottom w:val="none" w:sz="0" w:space="0" w:color="auto"/>
        <w:right w:val="none" w:sz="0" w:space="0" w:color="auto"/>
      </w:divBdr>
    </w:div>
    <w:div w:id="1500463965">
      <w:bodyDiv w:val="1"/>
      <w:marLeft w:val="0"/>
      <w:marRight w:val="0"/>
      <w:marTop w:val="0"/>
      <w:marBottom w:val="0"/>
      <w:divBdr>
        <w:top w:val="none" w:sz="0" w:space="0" w:color="auto"/>
        <w:left w:val="none" w:sz="0" w:space="0" w:color="auto"/>
        <w:bottom w:val="none" w:sz="0" w:space="0" w:color="auto"/>
        <w:right w:val="none" w:sz="0" w:space="0" w:color="auto"/>
      </w:divBdr>
    </w:div>
    <w:div w:id="1502311323">
      <w:bodyDiv w:val="1"/>
      <w:marLeft w:val="0"/>
      <w:marRight w:val="0"/>
      <w:marTop w:val="0"/>
      <w:marBottom w:val="0"/>
      <w:divBdr>
        <w:top w:val="none" w:sz="0" w:space="0" w:color="auto"/>
        <w:left w:val="none" w:sz="0" w:space="0" w:color="auto"/>
        <w:bottom w:val="none" w:sz="0" w:space="0" w:color="auto"/>
        <w:right w:val="none" w:sz="0" w:space="0" w:color="auto"/>
      </w:divBdr>
    </w:div>
    <w:div w:id="1557356464">
      <w:bodyDiv w:val="1"/>
      <w:marLeft w:val="0"/>
      <w:marRight w:val="0"/>
      <w:marTop w:val="0"/>
      <w:marBottom w:val="0"/>
      <w:divBdr>
        <w:top w:val="none" w:sz="0" w:space="0" w:color="auto"/>
        <w:left w:val="none" w:sz="0" w:space="0" w:color="auto"/>
        <w:bottom w:val="none" w:sz="0" w:space="0" w:color="auto"/>
        <w:right w:val="none" w:sz="0" w:space="0" w:color="auto"/>
      </w:divBdr>
    </w:div>
    <w:div w:id="1590625646">
      <w:bodyDiv w:val="1"/>
      <w:marLeft w:val="0"/>
      <w:marRight w:val="0"/>
      <w:marTop w:val="0"/>
      <w:marBottom w:val="0"/>
      <w:divBdr>
        <w:top w:val="none" w:sz="0" w:space="0" w:color="auto"/>
        <w:left w:val="none" w:sz="0" w:space="0" w:color="auto"/>
        <w:bottom w:val="none" w:sz="0" w:space="0" w:color="auto"/>
        <w:right w:val="none" w:sz="0" w:space="0" w:color="auto"/>
      </w:divBdr>
    </w:div>
    <w:div w:id="1605113303">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1624994598">
      <w:bodyDiv w:val="1"/>
      <w:marLeft w:val="0"/>
      <w:marRight w:val="0"/>
      <w:marTop w:val="0"/>
      <w:marBottom w:val="0"/>
      <w:divBdr>
        <w:top w:val="none" w:sz="0" w:space="0" w:color="auto"/>
        <w:left w:val="none" w:sz="0" w:space="0" w:color="auto"/>
        <w:bottom w:val="none" w:sz="0" w:space="0" w:color="auto"/>
        <w:right w:val="none" w:sz="0" w:space="0" w:color="auto"/>
      </w:divBdr>
    </w:div>
    <w:div w:id="1632401581">
      <w:bodyDiv w:val="1"/>
      <w:marLeft w:val="0"/>
      <w:marRight w:val="0"/>
      <w:marTop w:val="0"/>
      <w:marBottom w:val="0"/>
      <w:divBdr>
        <w:top w:val="none" w:sz="0" w:space="0" w:color="auto"/>
        <w:left w:val="none" w:sz="0" w:space="0" w:color="auto"/>
        <w:bottom w:val="none" w:sz="0" w:space="0" w:color="auto"/>
        <w:right w:val="none" w:sz="0" w:space="0" w:color="auto"/>
      </w:divBdr>
    </w:div>
    <w:div w:id="1644002095">
      <w:bodyDiv w:val="1"/>
      <w:marLeft w:val="0"/>
      <w:marRight w:val="0"/>
      <w:marTop w:val="0"/>
      <w:marBottom w:val="0"/>
      <w:divBdr>
        <w:top w:val="none" w:sz="0" w:space="0" w:color="auto"/>
        <w:left w:val="none" w:sz="0" w:space="0" w:color="auto"/>
        <w:bottom w:val="none" w:sz="0" w:space="0" w:color="auto"/>
        <w:right w:val="none" w:sz="0" w:space="0" w:color="auto"/>
      </w:divBdr>
      <w:divsChild>
        <w:div w:id="1685355204">
          <w:marLeft w:val="0"/>
          <w:marRight w:val="0"/>
          <w:marTop w:val="0"/>
          <w:marBottom w:val="0"/>
          <w:divBdr>
            <w:top w:val="none" w:sz="0" w:space="0" w:color="auto"/>
            <w:left w:val="none" w:sz="0" w:space="0" w:color="auto"/>
            <w:bottom w:val="none" w:sz="0" w:space="0" w:color="auto"/>
            <w:right w:val="none" w:sz="0" w:space="0" w:color="auto"/>
          </w:divBdr>
          <w:divsChild>
            <w:div w:id="19124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8052">
      <w:bodyDiv w:val="1"/>
      <w:marLeft w:val="0"/>
      <w:marRight w:val="0"/>
      <w:marTop w:val="0"/>
      <w:marBottom w:val="0"/>
      <w:divBdr>
        <w:top w:val="none" w:sz="0" w:space="0" w:color="auto"/>
        <w:left w:val="none" w:sz="0" w:space="0" w:color="auto"/>
        <w:bottom w:val="none" w:sz="0" w:space="0" w:color="auto"/>
        <w:right w:val="none" w:sz="0" w:space="0" w:color="auto"/>
      </w:divBdr>
      <w:divsChild>
        <w:div w:id="1755932468">
          <w:marLeft w:val="0"/>
          <w:marRight w:val="0"/>
          <w:marTop w:val="0"/>
          <w:marBottom w:val="0"/>
          <w:divBdr>
            <w:top w:val="none" w:sz="0" w:space="0" w:color="auto"/>
            <w:left w:val="none" w:sz="0" w:space="0" w:color="auto"/>
            <w:bottom w:val="none" w:sz="0" w:space="0" w:color="auto"/>
            <w:right w:val="none" w:sz="0" w:space="0" w:color="auto"/>
          </w:divBdr>
        </w:div>
      </w:divsChild>
    </w:div>
    <w:div w:id="1691834841">
      <w:bodyDiv w:val="1"/>
      <w:marLeft w:val="0"/>
      <w:marRight w:val="0"/>
      <w:marTop w:val="0"/>
      <w:marBottom w:val="0"/>
      <w:divBdr>
        <w:top w:val="none" w:sz="0" w:space="0" w:color="auto"/>
        <w:left w:val="none" w:sz="0" w:space="0" w:color="auto"/>
        <w:bottom w:val="none" w:sz="0" w:space="0" w:color="auto"/>
        <w:right w:val="none" w:sz="0" w:space="0" w:color="auto"/>
      </w:divBdr>
    </w:div>
    <w:div w:id="1728533609">
      <w:bodyDiv w:val="1"/>
      <w:marLeft w:val="0"/>
      <w:marRight w:val="0"/>
      <w:marTop w:val="0"/>
      <w:marBottom w:val="0"/>
      <w:divBdr>
        <w:top w:val="none" w:sz="0" w:space="0" w:color="auto"/>
        <w:left w:val="none" w:sz="0" w:space="0" w:color="auto"/>
        <w:bottom w:val="none" w:sz="0" w:space="0" w:color="auto"/>
        <w:right w:val="none" w:sz="0" w:space="0" w:color="auto"/>
      </w:divBdr>
    </w:div>
    <w:div w:id="1737824104">
      <w:bodyDiv w:val="1"/>
      <w:marLeft w:val="0"/>
      <w:marRight w:val="0"/>
      <w:marTop w:val="0"/>
      <w:marBottom w:val="0"/>
      <w:divBdr>
        <w:top w:val="none" w:sz="0" w:space="0" w:color="auto"/>
        <w:left w:val="none" w:sz="0" w:space="0" w:color="auto"/>
        <w:bottom w:val="none" w:sz="0" w:space="0" w:color="auto"/>
        <w:right w:val="none" w:sz="0" w:space="0" w:color="auto"/>
      </w:divBdr>
      <w:divsChild>
        <w:div w:id="251162301">
          <w:marLeft w:val="0"/>
          <w:marRight w:val="0"/>
          <w:marTop w:val="0"/>
          <w:marBottom w:val="0"/>
          <w:divBdr>
            <w:top w:val="single" w:sz="2" w:space="0" w:color="auto"/>
            <w:left w:val="single" w:sz="2" w:space="0" w:color="auto"/>
            <w:bottom w:val="single" w:sz="2" w:space="0" w:color="auto"/>
            <w:right w:val="single" w:sz="2" w:space="0" w:color="auto"/>
          </w:divBdr>
          <w:divsChild>
            <w:div w:id="1129788560">
              <w:marLeft w:val="0"/>
              <w:marRight w:val="0"/>
              <w:marTop w:val="0"/>
              <w:marBottom w:val="0"/>
              <w:divBdr>
                <w:top w:val="single" w:sz="2" w:space="0" w:color="auto"/>
                <w:left w:val="single" w:sz="2" w:space="0" w:color="auto"/>
                <w:bottom w:val="single" w:sz="2" w:space="0" w:color="auto"/>
                <w:right w:val="single" w:sz="2" w:space="0" w:color="auto"/>
              </w:divBdr>
              <w:divsChild>
                <w:div w:id="1520197857">
                  <w:marLeft w:val="0"/>
                  <w:marRight w:val="0"/>
                  <w:marTop w:val="0"/>
                  <w:marBottom w:val="0"/>
                  <w:divBdr>
                    <w:top w:val="single" w:sz="2" w:space="0" w:color="auto"/>
                    <w:left w:val="single" w:sz="2" w:space="0" w:color="auto"/>
                    <w:bottom w:val="single" w:sz="2" w:space="0" w:color="auto"/>
                    <w:right w:val="single" w:sz="2" w:space="0" w:color="auto"/>
                  </w:divBdr>
                  <w:divsChild>
                    <w:div w:id="19573285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39473427">
          <w:marLeft w:val="0"/>
          <w:marRight w:val="0"/>
          <w:marTop w:val="0"/>
          <w:marBottom w:val="0"/>
          <w:divBdr>
            <w:top w:val="single" w:sz="2" w:space="0" w:color="auto"/>
            <w:left w:val="single" w:sz="2" w:space="0" w:color="auto"/>
            <w:bottom w:val="single" w:sz="2" w:space="0" w:color="auto"/>
            <w:right w:val="single" w:sz="2" w:space="0" w:color="auto"/>
          </w:divBdr>
          <w:divsChild>
            <w:div w:id="638222011">
              <w:marLeft w:val="0"/>
              <w:marRight w:val="0"/>
              <w:marTop w:val="0"/>
              <w:marBottom w:val="0"/>
              <w:divBdr>
                <w:top w:val="single" w:sz="2" w:space="0" w:color="auto"/>
                <w:left w:val="single" w:sz="2" w:space="0" w:color="auto"/>
                <w:bottom w:val="single" w:sz="2" w:space="0" w:color="auto"/>
                <w:right w:val="single" w:sz="2" w:space="0" w:color="auto"/>
              </w:divBdr>
              <w:divsChild>
                <w:div w:id="1155103597">
                  <w:marLeft w:val="0"/>
                  <w:marRight w:val="0"/>
                  <w:marTop w:val="0"/>
                  <w:marBottom w:val="0"/>
                  <w:divBdr>
                    <w:top w:val="single" w:sz="2" w:space="0" w:color="auto"/>
                    <w:left w:val="single" w:sz="2" w:space="0" w:color="auto"/>
                    <w:bottom w:val="single" w:sz="2" w:space="0" w:color="auto"/>
                    <w:right w:val="single" w:sz="2" w:space="0" w:color="auto"/>
                  </w:divBdr>
                  <w:divsChild>
                    <w:div w:id="1628733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46099033">
      <w:bodyDiv w:val="1"/>
      <w:marLeft w:val="0"/>
      <w:marRight w:val="0"/>
      <w:marTop w:val="0"/>
      <w:marBottom w:val="0"/>
      <w:divBdr>
        <w:top w:val="none" w:sz="0" w:space="0" w:color="auto"/>
        <w:left w:val="none" w:sz="0" w:space="0" w:color="auto"/>
        <w:bottom w:val="none" w:sz="0" w:space="0" w:color="auto"/>
        <w:right w:val="none" w:sz="0" w:space="0" w:color="auto"/>
      </w:divBdr>
      <w:divsChild>
        <w:div w:id="29691330">
          <w:marLeft w:val="0"/>
          <w:marRight w:val="0"/>
          <w:marTop w:val="0"/>
          <w:marBottom w:val="0"/>
          <w:divBdr>
            <w:top w:val="none" w:sz="0" w:space="0" w:color="auto"/>
            <w:left w:val="none" w:sz="0" w:space="0" w:color="auto"/>
            <w:bottom w:val="none" w:sz="0" w:space="0" w:color="auto"/>
            <w:right w:val="none" w:sz="0" w:space="0" w:color="auto"/>
          </w:divBdr>
        </w:div>
        <w:div w:id="395589091">
          <w:marLeft w:val="0"/>
          <w:marRight w:val="0"/>
          <w:marTop w:val="0"/>
          <w:marBottom w:val="0"/>
          <w:divBdr>
            <w:top w:val="none" w:sz="0" w:space="0" w:color="auto"/>
            <w:left w:val="none" w:sz="0" w:space="0" w:color="auto"/>
            <w:bottom w:val="none" w:sz="0" w:space="0" w:color="auto"/>
            <w:right w:val="none" w:sz="0" w:space="0" w:color="auto"/>
          </w:divBdr>
        </w:div>
        <w:div w:id="535388129">
          <w:marLeft w:val="0"/>
          <w:marRight w:val="0"/>
          <w:marTop w:val="0"/>
          <w:marBottom w:val="0"/>
          <w:divBdr>
            <w:top w:val="none" w:sz="0" w:space="0" w:color="auto"/>
            <w:left w:val="none" w:sz="0" w:space="0" w:color="auto"/>
            <w:bottom w:val="none" w:sz="0" w:space="0" w:color="auto"/>
            <w:right w:val="none" w:sz="0" w:space="0" w:color="auto"/>
          </w:divBdr>
        </w:div>
        <w:div w:id="736132172">
          <w:marLeft w:val="0"/>
          <w:marRight w:val="0"/>
          <w:marTop w:val="0"/>
          <w:marBottom w:val="0"/>
          <w:divBdr>
            <w:top w:val="none" w:sz="0" w:space="0" w:color="auto"/>
            <w:left w:val="none" w:sz="0" w:space="0" w:color="auto"/>
            <w:bottom w:val="none" w:sz="0" w:space="0" w:color="auto"/>
            <w:right w:val="none" w:sz="0" w:space="0" w:color="auto"/>
          </w:divBdr>
        </w:div>
        <w:div w:id="740561953">
          <w:marLeft w:val="0"/>
          <w:marRight w:val="0"/>
          <w:marTop w:val="0"/>
          <w:marBottom w:val="0"/>
          <w:divBdr>
            <w:top w:val="none" w:sz="0" w:space="0" w:color="auto"/>
            <w:left w:val="none" w:sz="0" w:space="0" w:color="auto"/>
            <w:bottom w:val="none" w:sz="0" w:space="0" w:color="auto"/>
            <w:right w:val="none" w:sz="0" w:space="0" w:color="auto"/>
          </w:divBdr>
        </w:div>
        <w:div w:id="1318656853">
          <w:marLeft w:val="0"/>
          <w:marRight w:val="0"/>
          <w:marTop w:val="0"/>
          <w:marBottom w:val="0"/>
          <w:divBdr>
            <w:top w:val="none" w:sz="0" w:space="0" w:color="auto"/>
            <w:left w:val="none" w:sz="0" w:space="0" w:color="auto"/>
            <w:bottom w:val="none" w:sz="0" w:space="0" w:color="auto"/>
            <w:right w:val="none" w:sz="0" w:space="0" w:color="auto"/>
          </w:divBdr>
        </w:div>
        <w:div w:id="1518083882">
          <w:marLeft w:val="0"/>
          <w:marRight w:val="0"/>
          <w:marTop w:val="0"/>
          <w:marBottom w:val="0"/>
          <w:divBdr>
            <w:top w:val="none" w:sz="0" w:space="0" w:color="auto"/>
            <w:left w:val="none" w:sz="0" w:space="0" w:color="auto"/>
            <w:bottom w:val="none" w:sz="0" w:space="0" w:color="auto"/>
            <w:right w:val="none" w:sz="0" w:space="0" w:color="auto"/>
          </w:divBdr>
        </w:div>
        <w:div w:id="1539391209">
          <w:marLeft w:val="0"/>
          <w:marRight w:val="0"/>
          <w:marTop w:val="0"/>
          <w:marBottom w:val="0"/>
          <w:divBdr>
            <w:top w:val="none" w:sz="0" w:space="0" w:color="auto"/>
            <w:left w:val="none" w:sz="0" w:space="0" w:color="auto"/>
            <w:bottom w:val="none" w:sz="0" w:space="0" w:color="auto"/>
            <w:right w:val="none" w:sz="0" w:space="0" w:color="auto"/>
          </w:divBdr>
        </w:div>
      </w:divsChild>
    </w:div>
    <w:div w:id="1762799280">
      <w:bodyDiv w:val="1"/>
      <w:marLeft w:val="0"/>
      <w:marRight w:val="0"/>
      <w:marTop w:val="0"/>
      <w:marBottom w:val="0"/>
      <w:divBdr>
        <w:top w:val="none" w:sz="0" w:space="0" w:color="auto"/>
        <w:left w:val="none" w:sz="0" w:space="0" w:color="auto"/>
        <w:bottom w:val="none" w:sz="0" w:space="0" w:color="auto"/>
        <w:right w:val="none" w:sz="0" w:space="0" w:color="auto"/>
      </w:divBdr>
    </w:div>
    <w:div w:id="1852530141">
      <w:marLeft w:val="0"/>
      <w:marRight w:val="0"/>
      <w:marTop w:val="0"/>
      <w:marBottom w:val="0"/>
      <w:divBdr>
        <w:top w:val="none" w:sz="0" w:space="0" w:color="auto"/>
        <w:left w:val="none" w:sz="0" w:space="0" w:color="auto"/>
        <w:bottom w:val="none" w:sz="0" w:space="0" w:color="auto"/>
        <w:right w:val="none" w:sz="0" w:space="0" w:color="auto"/>
      </w:divBdr>
    </w:div>
    <w:div w:id="1910339729">
      <w:bodyDiv w:val="1"/>
      <w:marLeft w:val="0"/>
      <w:marRight w:val="0"/>
      <w:marTop w:val="0"/>
      <w:marBottom w:val="0"/>
      <w:divBdr>
        <w:top w:val="none" w:sz="0" w:space="0" w:color="auto"/>
        <w:left w:val="none" w:sz="0" w:space="0" w:color="auto"/>
        <w:bottom w:val="none" w:sz="0" w:space="0" w:color="auto"/>
        <w:right w:val="none" w:sz="0" w:space="0" w:color="auto"/>
      </w:divBdr>
    </w:div>
    <w:div w:id="1926065267">
      <w:bodyDiv w:val="1"/>
      <w:marLeft w:val="0"/>
      <w:marRight w:val="0"/>
      <w:marTop w:val="0"/>
      <w:marBottom w:val="0"/>
      <w:divBdr>
        <w:top w:val="none" w:sz="0" w:space="0" w:color="auto"/>
        <w:left w:val="none" w:sz="0" w:space="0" w:color="auto"/>
        <w:bottom w:val="none" w:sz="0" w:space="0" w:color="auto"/>
        <w:right w:val="none" w:sz="0" w:space="0" w:color="auto"/>
      </w:divBdr>
    </w:div>
    <w:div w:id="1933393524">
      <w:bodyDiv w:val="1"/>
      <w:marLeft w:val="0"/>
      <w:marRight w:val="0"/>
      <w:marTop w:val="0"/>
      <w:marBottom w:val="0"/>
      <w:divBdr>
        <w:top w:val="none" w:sz="0" w:space="0" w:color="auto"/>
        <w:left w:val="none" w:sz="0" w:space="0" w:color="auto"/>
        <w:bottom w:val="none" w:sz="0" w:space="0" w:color="auto"/>
        <w:right w:val="none" w:sz="0" w:space="0" w:color="auto"/>
      </w:divBdr>
    </w:div>
    <w:div w:id="1955594592">
      <w:bodyDiv w:val="1"/>
      <w:marLeft w:val="0"/>
      <w:marRight w:val="0"/>
      <w:marTop w:val="0"/>
      <w:marBottom w:val="0"/>
      <w:divBdr>
        <w:top w:val="none" w:sz="0" w:space="0" w:color="auto"/>
        <w:left w:val="none" w:sz="0" w:space="0" w:color="auto"/>
        <w:bottom w:val="none" w:sz="0" w:space="0" w:color="auto"/>
        <w:right w:val="none" w:sz="0" w:space="0" w:color="auto"/>
      </w:divBdr>
    </w:div>
    <w:div w:id="1978804244">
      <w:bodyDiv w:val="1"/>
      <w:marLeft w:val="0"/>
      <w:marRight w:val="0"/>
      <w:marTop w:val="0"/>
      <w:marBottom w:val="0"/>
      <w:divBdr>
        <w:top w:val="none" w:sz="0" w:space="0" w:color="auto"/>
        <w:left w:val="none" w:sz="0" w:space="0" w:color="auto"/>
        <w:bottom w:val="none" w:sz="0" w:space="0" w:color="auto"/>
        <w:right w:val="none" w:sz="0" w:space="0" w:color="auto"/>
      </w:divBdr>
    </w:div>
    <w:div w:id="1998413181">
      <w:bodyDiv w:val="1"/>
      <w:marLeft w:val="0"/>
      <w:marRight w:val="0"/>
      <w:marTop w:val="0"/>
      <w:marBottom w:val="0"/>
      <w:divBdr>
        <w:top w:val="none" w:sz="0" w:space="0" w:color="auto"/>
        <w:left w:val="none" w:sz="0" w:space="0" w:color="auto"/>
        <w:bottom w:val="none" w:sz="0" w:space="0" w:color="auto"/>
        <w:right w:val="none" w:sz="0" w:space="0" w:color="auto"/>
      </w:divBdr>
    </w:div>
    <w:div w:id="2067289229">
      <w:bodyDiv w:val="1"/>
      <w:marLeft w:val="0"/>
      <w:marRight w:val="0"/>
      <w:marTop w:val="0"/>
      <w:marBottom w:val="0"/>
      <w:divBdr>
        <w:top w:val="none" w:sz="0" w:space="0" w:color="auto"/>
        <w:left w:val="none" w:sz="0" w:space="0" w:color="auto"/>
        <w:bottom w:val="none" w:sz="0" w:space="0" w:color="auto"/>
        <w:right w:val="none" w:sz="0" w:space="0" w:color="auto"/>
      </w:divBdr>
    </w:div>
    <w:div w:id="2073194026">
      <w:bodyDiv w:val="1"/>
      <w:marLeft w:val="0"/>
      <w:marRight w:val="0"/>
      <w:marTop w:val="0"/>
      <w:marBottom w:val="0"/>
      <w:divBdr>
        <w:top w:val="none" w:sz="0" w:space="0" w:color="auto"/>
        <w:left w:val="none" w:sz="0" w:space="0" w:color="auto"/>
        <w:bottom w:val="none" w:sz="0" w:space="0" w:color="auto"/>
        <w:right w:val="none" w:sz="0" w:space="0" w:color="auto"/>
      </w:divBdr>
    </w:div>
    <w:div w:id="21437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Gom17</b:Tag>
    <b:SourceType>JournalArticle</b:SourceType>
    <b:Guid>{F0CC63B3-E24C-4C4A-92CF-E3F54BE2A5B9}</b:Guid>
    <b:Title>Digital Finance and FinTech: Current Research and Future Research Directions</b:Title>
    <b:Year>2017</b:Year>
    <b:Author>
      <b:Author>
        <b:NameList>
          <b:Person>
            <b:Last>Gomber</b:Last>
            <b:First>P.</b:First>
          </b:Person>
          <b:Person>
            <b:Last>A.</b:Last>
            <b:First>Koch</b:First>
            <b:Middle>J.</b:Middle>
          </b:Person>
          <b:Person>
            <b:Last>Siering</b:Last>
          </b:Person>
        </b:NameList>
      </b:Author>
    </b:Author>
    <b:JournalName>Journal of Business Economics</b:JournalName>
    <b:Pages>537-580</b:Pages>
    <b:RefOrder>1</b:RefOrder>
  </b:Source>
  <b:Source>
    <b:Tag>Pet18</b:Tag>
    <b:SourceType>JournalArticle</b:SourceType>
    <b:Guid>{7E134284-A615-422C-BBC2-C5F2C75D2B9F}</b:Guid>
    <b:Author>
      <b:Author>
        <b:NameList>
          <b:Person>
            <b:Last>Ozili</b:Last>
            <b:First>Peterson</b:First>
            <b:Middle>K.</b:Middle>
          </b:Person>
        </b:NameList>
      </b:Author>
    </b:Author>
    <b:Title>Impact of Digital Finance on Financial Inclusion and Stability</b:Title>
    <b:JournalName>Borsa Istabul Review; Vol 18</b:JournalName>
    <b:Year>2018</b:Year>
    <b:Pages>329-340</b:Pages>
    <b:RefOrder>2</b:RefOrder>
  </b:Source>
  <b:Source>
    <b:Tag>Bre16</b:Tag>
    <b:SourceType>JournalArticle</b:SourceType>
    <b:Guid>{74A0387C-055D-46E0-86FD-44DDBAE8EC5A}</b:Guid>
    <b:Author>
      <b:Author>
        <b:NameList>
          <b:Person>
            <b:Last>Breitbach</b:Last>
            <b:First>E.</b:First>
          </b:Person>
          <b:Person>
            <b:Last>Walstad</b:Last>
            <b:First>W.</b:First>
            <b:Middle>B.</b:Middle>
          </b:Person>
        </b:NameList>
      </b:Author>
    </b:Author>
    <b:Title>Financial Literacy and Financial Behaviour Among Young Adults in the United States</b:Title>
    <b:JournalName>Economic Competence and Financial Literacy of Young Adults: Status and Challenges; Vol. 3 </b:JournalName>
    <b:Year>2016</b:Year>
    <b:Pages>81-98</b:Pages>
    <b:RefOrder>3</b:RefOrder>
  </b:Source>
  <b:Source>
    <b:Tag>Man09</b:Tag>
    <b:SourceType>JournalArticle</b:SourceType>
    <b:Guid>{AF80F894-7FF6-4F5D-9A7C-FDA73DA6CB76}</b:Guid>
    <b:Author>
      <b:Author>
        <b:NameList>
          <b:Person>
            <b:Last>Mandell</b:Last>
            <b:First>Lewis</b:First>
          </b:Person>
          <b:Person>
            <b:Last>Schmid</b:Last>
            <b:First>Klein,</b:First>
            <b:Middle>Linda</b:Middle>
          </b:Person>
        </b:NameList>
      </b:Author>
    </b:Author>
    <b:Title>The Impact of Financial Literacy Education on Subsequent Financial Behaviour</b:Title>
    <b:JournalName>Journal of Financial Counselling and Planning</b:JournalName>
    <b:Year>2009</b:Year>
    <b:Pages>Vol. 20 No. 1</b:Pages>
    <b:RefOrder>4</b:RefOrder>
  </b:Source>
  <b:Source>
    <b:Tag>ask20</b:Tag>
    <b:SourceType>JournalArticle</b:SourceType>
    <b:Guid>{6575D820-1364-4847-9915-FB4B40EEDAE7}</b:Guid>
    <b:Author>
      <b:Author>
        <b:NameList>
          <b:Person>
            <b:Last>Askar</b:Last>
            <b:First>M.</b:First>
            <b:Middle>W.</b:Middle>
          </b:Person>
          <b:Person>
            <b:Last>Outtara</b:Last>
            <b:First>B.</b:First>
          </b:Person>
          <b:Person>
            <b:Last>Zhang</b:Last>
            <b:First>Y.</b:First>
            <b:Middle>F.</b:Middle>
          </b:Person>
        </b:NameList>
      </b:Author>
    </b:Author>
    <b:Title>Financial Literacy and Poverty Reduction: The Case of Indonesia</b:Title>
    <b:JournalName>ADB Working Paper 1097, Tokyo</b:JournalName>
    <b:Year>2020</b:Year>
    <b:RefOrder>5</b:RefOrder>
  </b:Source>
  <b:Source>
    <b:Tag>Ram12</b:Tag>
    <b:SourceType>JournalArticle</b:SourceType>
    <b:Guid>{59629F12-FD1D-40E8-9746-771BCA377609}</b:Guid>
    <b:Author>
      <b:Author>
        <b:NameList>
          <b:Person>
            <b:Last>Ramachandran</b:Last>
            <b:First>Ramakrishnan</b:First>
          </b:Person>
        </b:NameList>
      </b:Author>
    </b:Author>
    <b:Title>Financial Literacy and Financial Inclusion</b:Title>
    <b:JournalName>13th Thinkers and Writers Forum</b:JournalName>
    <b:Year>2012</b:Year>
    <b:RefOrder>6</b:RefOrder>
  </b:Source>
  <b:Source>
    <b:Tag>Hun21</b:Tag>
    <b:SourceType>JournalArticle</b:SourceType>
    <b:Guid>{7E8443F8-2652-4B48-B3AF-470A11126807}</b:Guid>
    <b:Author>
      <b:Author>
        <b:NameList>
          <b:Person>
            <b:Last>Lyons</b:Last>
            <b:First>Angela</b:First>
          </b:Person>
          <b:Person>
            <b:Last>Kass-Hanna</b:Last>
            <b:First>Josephine</b:First>
          </b:Person>
        </b:NameList>
      </b:Author>
    </b:Author>
    <b:Title>A Multidimensional Approach to Defining and Measuring Financial Literacy in the Digital Age</b:Title>
    <b:JournalName>SSRN: https://ssrn.com/abstract=3873386 or http://dx.doi.org/10.2139/ssrn.3873386</b:JournalName>
    <b:Year>2021</b:Year>
    <b:RefOrder>7</b:RefOrder>
  </b:Source>
  <b:Source>
    <b:Tag>Hun09</b:Tag>
    <b:SourceType>JournalArticle</b:SourceType>
    <b:Guid>{5AD77DBA-E704-482B-B8C6-2A82BA34ACAD}</b:Guid>
    <b:Author>
      <b:Author>
        <b:NameList>
          <b:Person>
            <b:Last>Hung</b:Last>
            <b:First>Angela</b:First>
          </b:Person>
          <b:Person>
            <b:Last>Parker</b:Last>
            <b:First>Andrew,</b:First>
            <b:Middle>M.</b:Middle>
          </b:Person>
          <b:Person>
            <b:Last>Yoong</b:Last>
            <b:First>Joanne</b:First>
          </b:Person>
        </b:NameList>
      </b:Author>
    </b:Author>
    <b:Title>Defining and Measuring Financial Literacy</b:Title>
    <b:JournalName>Rand Working Paper Series WR-708</b:JournalName>
    <b:Year>2009</b:Year>
    <b:RefOrder>8</b:RefOrder>
  </b:Source>
  <b:Source>
    <b:Tag>For11</b:Tag>
    <b:SourceType>JournalArticle</b:SourceType>
    <b:Guid>{6ECAE148-D8F6-4CBB-8D49-D10576F838D1}</b:Guid>
    <b:Author>
      <b:Author>
        <b:NameList>
          <b:Person>
            <b:Last>Fornero</b:Last>
            <b:First>Elsa</b:First>
          </b:Person>
          <b:Person>
            <b:Last>Monticone</b:Last>
            <b:First>Chiara</b:First>
          </b:Person>
          <b:Person>
            <b:Last>Trucchi</b:Last>
            <b:First>Serena</b:First>
          </b:Person>
        </b:NameList>
      </b:Author>
    </b:Author>
    <b:Title>The Effect of Financial Literacy on Mortgage Choices</b:Title>
    <b:JournalName>Netspar Discussion Paper No. 09/2011-085</b:JournalName>
    <b:Year>2011</b:Year>
    <b:RefOrder>9</b:RefOrder>
  </b:Source>
  <b:Source>
    <b:Tag>Gib15</b:Tag>
    <b:SourceType>JournalArticle</b:SourceType>
    <b:Guid>{47995D07-A5DF-42E9-ADF2-00C6D511F4C6}</b:Guid>
    <b:Author>
      <b:Author>
        <b:NameList>
          <b:Person>
            <b:Last>Gibson</b:Last>
            <b:First>E.</b:First>
          </b:Person>
          <b:Person>
            <b:Last>Lupo - Pasini</b:Last>
            <b:First>F.</b:First>
          </b:Person>
          <b:Person>
            <b:Last>Buckley</b:Last>
            <b:First>R.</b:First>
            <b:Middle>P.</b:Middle>
          </b:Person>
        </b:NameList>
      </b:Author>
    </b:Author>
    <b:Title>Regulating Digital Financial Services Agents in Developing Countries to Promote Financial Inclusion</b:Title>
    <b:JournalName>Singapore Journal of Legal Studies</b:JournalName>
    <b:Year>2015</b:Year>
    <b:Pages>26-45</b:Pages>
    <b:RefOrder>10</b:RefOrder>
  </b:Source>
  <b:Source>
    <b:Tag>Arn15</b:Tag>
    <b:SourceType>JournalArticle</b:SourceType>
    <b:Guid>{D40BE048-ABF8-48B2-8530-0FB72577491B}</b:Guid>
    <b:Author>
      <b:Author>
        <b:NameList>
          <b:Person>
            <b:Last>Arner</b:Last>
            <b:First>Douglas,</b:First>
            <b:Middle>W.</b:Middle>
          </b:Person>
          <b:Person>
            <b:Last>Arner</b:Last>
            <b:First>Douglas,</b:First>
            <b:Middle>W.</b:Middle>
          </b:Person>
          <b:Person>
            <b:Last>Barberis</b:Last>
            <b:First>Janos,</b:First>
            <b:Middle>Nathan</b:Middle>
          </b:Person>
          <b:Person>
            <b:Last>Buckley</b:Last>
            <b:First>Ross,</b:First>
            <b:Middle>P.</b:Middle>
          </b:Person>
        </b:NameList>
      </b:Author>
    </b:Author>
    <b:Title>The Evolution of Fintech: A New Post-crisis Paradigm</b:Title>
    <b:JournalName>University of Hong Kong Faculty of Law Research Paper No. 2015/047</b:JournalName>
    <b:Year>2015</b:Year>
    <b:RefOrder>11</b:RefOrder>
  </b:Source>
  <b:Source>
    <b:Tag>Has21</b:Tag>
    <b:SourceType>JournalArticle</b:SourceType>
    <b:Guid>{4052C0C1-4E4D-4E4B-A9F1-13EF1BBA7ACD}</b:Guid>
    <b:Author>
      <b:Author>
        <b:NameList>
          <b:Person>
            <b:Last>Hasan</b:Last>
            <b:First>M.,</b:First>
            <b:Middle>T.</b:Middle>
          </b:Person>
          <b:Person>
            <b:Last>Hoque</b:Last>
            <b:First>A.</b:First>
          </b:Person>
        </b:NameList>
      </b:Author>
    </b:Author>
    <b:Title>How Does Financial Literacy Impact on Inclusive Finance</b:Title>
    <b:JournalName>Finance Innovation Paper</b:JournalName>
    <b:Year>2021</b:Year>
    <b:RefOrder>12</b:RefOrder>
  </b:Source>
  <b:Source>
    <b:Tag>Placeholder3</b:Tag>
    <b:SourceType>JournalArticle</b:SourceType>
    <b:Guid>{3EF65EEC-226C-4D11-A87C-472D39BC31F2}</b:Guid>
    <b:RefOrder>13</b:RefOrder>
  </b:Source>
  <b:Source>
    <b:Tag>Wil11</b:Tag>
    <b:SourceType>JournalArticle</b:SourceType>
    <b:Guid>{95236296-EC99-472C-B23B-FF9C7D7D37D7}</b:Guid>
    <b:Author>
      <b:Author>
        <b:NameList>
          <b:Person>
            <b:Last>Williams</b:Last>
            <b:First>O.</b:First>
            <b:Middle>J</b:Middle>
          </b:Person>
          <b:Person>
            <b:Last>E.</b:Last>
            <b:First>Satchell</b:First>
            <b:Middle>S.</b:Middle>
          </b:Person>
        </b:NameList>
      </b:Author>
    </b:Author>
    <b:Title>Social welfare issues of financial literacy and their implications for regulation. </b:Title>
    <b:JournalName> Journal of Regulatory Economics</b:JournalName>
    <b:Year>2011</b:Year>
    <b:Pages>1–40.  </b:Pages>
    <b:RefOrder>14</b:RefOrder>
  </b:Source>
  <b:Source>
    <b:Tag>Mah13</b:Tag>
    <b:SourceType>JournalArticle</b:SourceType>
    <b:Guid>{C25236C8-7F28-415F-8B1E-5DA8C0D73E1D}</b:Guid>
    <b:Author>
      <b:Author>
        <b:NameList>
          <b:Person>
            <b:Last>Mahon</b:Last>
            <b:First>S</b:First>
          </b:Person>
          <b:Person>
            <b:Last>Zurlo</b:Last>
            <b:First>K.</b:First>
            <b:Middle>A</b:Middle>
          </b:Person>
          <b:Person>
            <b:Last>Postmus</b:Last>
            <b:First>J.</b:First>
            <b:Middle>L</b:Middle>
          </b:Person>
          <b:Person>
            <b:Last>Plummer</b:Last>
            <b:First>S.</b:First>
            <b:Middle>B,</b:Middle>
          </b:Person>
        </b:NameList>
      </b:Author>
    </b:Author>
    <b:Title>Financial Literacy: Building Economic Empowerment With Survivors of Violence.</b:Title>
    <b:JournalName>Journal of  Fam Economic Issues</b:JournalName>
    <b:Year>2013</b:Year>
    <b:Pages>Vol. 34(3):275–284</b:Pages>
    <b:RefOrder>15</b:RefOrder>
  </b:Source>
  <b:Source>
    <b:Tag>Roc22</b:Tag>
    <b:SourceType>JournalArticle</b:SourceType>
    <b:Guid>{CEC529FB-0245-4557-A3A3-83CC11E39BE2}</b:Guid>
    <b:Author>
      <b:Author>
        <b:NameList>
          <b:Person>
            <b:Last>Rocío</b:Last>
            <b:First>Gallego-Losada</b:First>
          </b:Person>
          <b:Person>
            <b:Last>Antonio</b:Last>
            <b:First>Montero-Navarro</b:First>
          </b:Person>
          <b:Person>
            <b:Last>José-Luis</b:Last>
            <b:First>Rodríguez-Sánchez</b:First>
          </b:Person>
          <b:Person>
            <b:Last>Thais</b:Last>
            <b:First>González-Torres</b:First>
          </b:Person>
        </b:NameList>
      </b:Author>
    </b:Author>
    <b:Title>Retirement planning and financial literacy, at the crossroads. A bibliometric analysis, </b:Title>
    <b:JournalName>Finance Research Letters,</b:JournalName>
    <b:Year>2022</b:Year>
    <b:RefOrder>16</b:RefOrder>
  </b:Source>
  <b:Source>
    <b:Tag>Hus10</b:Tag>
    <b:SourceType>JournalArticle</b:SourceType>
    <b:Guid>{5C1B8452-7D04-4239-A0A5-B1D3AE5081F7}</b:Guid>
    <b:Author>
      <b:Author>
        <b:NameList>
          <b:Person>
            <b:Last>Huston</b:Last>
            <b:First>S.</b:First>
            <b:Middle>J</b:Middle>
          </b:Person>
        </b:NameList>
      </b:Author>
    </b:Author>
    <b:Title>Measuring financial literacy. </b:Title>
    <b:JournalName>Journal of Consumer Affairs</b:JournalName>
    <b:Year>2010</b:Year>
    <b:Pages>Vol. 44(2):296–316</b:Pages>
    <b:RefOrder>17</b:RefOrder>
  </b:Source>
  <b:Source>
    <b:Tag>Fer14</b:Tag>
    <b:SourceType>JournalArticle</b:SourceType>
    <b:Guid>{CBDDA2DB-0F12-4C3D-9EE9-0634BE12F9EA}</b:Guid>
    <b:Author>
      <b:Author>
        <b:NameList>
          <b:Person>
            <b:Last>Fernandes</b:Last>
            <b:First>D</b:First>
          </b:Person>
          <b:Person>
            <b:Last>Lynch</b:Last>
            <b:First>J.</b:First>
            <b:Middle>G</b:Middle>
          </b:Person>
          <b:Person>
            <b:Last>Netemeyer</b:Last>
            <b:First>R.</b:First>
            <b:Middle>G</b:Middle>
          </b:Person>
        </b:NameList>
      </b:Author>
    </b:Author>
    <b:Title>The effect of financial literacy on downstream financial behaviors.</b:Title>
    <b:JournalName>Managerial Science</b:JournalName>
    <b:Year>2014</b:Year>
    <b:RefOrder>18</b:RefOrder>
  </b:Source>
  <b:Source>
    <b:Tag>Wor16</b:Tag>
    <b:SourceType>JournalArticle</b:SourceType>
    <b:Guid>{69E383F8-959E-4CAC-8DCE-0EADEE08E9FF}</b:Guid>
    <b:Author>
      <b:Author>
        <b:NameList>
          <b:Person>
            <b:Last>Worthington</b:Last>
            <b:First>A.</b:First>
            <b:Middle>C</b:Middle>
          </b:Person>
        </b:NameList>
      </b:Author>
    </b:Author>
    <b:Title>Financial literacy and Financial Literacy Programmes in Australia.</b:Title>
    <b:JournalName>Financ Lit Limits Financ Decis-Mak 1</b:JournalName>
    <b:Year>2016</b:Year>
    <b:Pages>281–301</b:Pages>
    <b:RefOrder>19</b:RefOrder>
  </b:Source>
  <b:Source>
    <b:Tag>AlJ12</b:Tag>
    <b:SourceType>JournalArticle</b:SourceType>
    <b:Guid>{DC2F10B8-ABB2-4250-8186-19DAFF42BDDF}</b:Guid>
    <b:Author>
      <b:Author>
        <b:NameList>
          <b:Person>
            <b:Last>Al-Jabri</b:Last>
            <b:First>Ibrahim,</b:First>
            <b:Middle>M</b:Middle>
          </b:Person>
          <b:Person>
            <b:Last>Sohail</b:Last>
            <b:First>M.</b:First>
            <b:Middle>Sadiq,</b:Middle>
          </b:Person>
        </b:NameList>
      </b:Author>
    </b:Author>
    <b:Title>Mobile Banking Adoption: Application of Diffusion of Innovation Theory </b:Title>
    <b:JournalName>Journal of Electronic Commerce Research,</b:JournalName>
    <b:Year>2012</b:Year>
    <b:Pages>Vol. 13, No. 4, pp. 379-391</b:Pages>
    <b:RefOrder>20</b:RefOrder>
  </b:Source>
  <b:Source>
    <b:Tag>Has20</b:Tag>
    <b:SourceType>JournalArticle</b:SourceType>
    <b:Guid>{F5A28735-A9BD-4B03-AAA3-C10CF63813AC}</b:Guid>
    <b:Author>
      <b:Author>
        <b:NameList>
          <b:Person>
            <b:Last>Hasan</b:Last>
            <b:First>M.</b:First>
            <b:Middle>M</b:Middle>
          </b:Person>
          <b:Person>
            <b:Last>Yajuan</b:Last>
            <b:First>L</b:First>
          </b:Person>
          <b:Person>
            <b:Last>Mahmud</b:Last>
            <b:First>A</b:First>
          </b:Person>
        </b:NameList>
      </b:Author>
    </b:Author>
    <b:Title>Regional Development of China’s Inclusive Finance Through Financial Technology. </b:Title>
    <b:JournalName>SAGE Open</b:JournalName>
    <b:Year>2020</b:Year>
    <b:Pages>Vol. 10(1)</b:Pages>
    <b:RefOrder>21</b:RefOrder>
  </b:Source>
  <b:Source>
    <b:Tag>Hil18</b:Tag>
    <b:SourceType>JournalArticle</b:SourceType>
    <b:Guid>{FFA1D23D-DDD5-42A9-871D-94E97C6D79A4}</b:Guid>
    <b:Author>
      <b:Author>
        <b:NameList>
          <b:Person>
            <b:Last>Hill</b:Last>
            <b:First>J</b:First>
          </b:Person>
          <b:Person>
            <b:Last>Hill</b:Last>
            <b:First>J</b:First>
          </b:Person>
        </b:NameList>
      </b:Author>
    </b:Author>
    <b:Title>Fintech and Government Regulation. FinTech and the Remaking of Financial Institutions,</b:Title>
    <b:Year>2018</b:Year>
    <b:Pages>285–314</b:Pages>
    <b:RefOrder>22</b:RefOrder>
  </b:Source>
  <b:Source>
    <b:Tag>Hus18</b:Tag>
    <b:SourceType>JournalArticle</b:SourceType>
    <b:Guid>{06B0BA41-73FE-4059-8DDE-25FA9EBFC88D}</b:Guid>
    <b:Author>
      <b:Author>
        <b:NameList>
          <b:Person>
            <b:Last>Hussain</b:Last>
            <b:First>J</b:First>
          </b:Person>
          <b:Person>
            <b:Last>Salia</b:Last>
            <b:First>S</b:First>
          </b:Person>
          <b:Person>
            <b:Last>Karim</b:Last>
            <b:First>A</b:First>
          </b:Person>
        </b:NameList>
      </b:Author>
    </b:Author>
    <b:Title>Is knowledge that powerful? Financial literacy and access to finance: an analysis of enterprises in the UK</b:Title>
    <b:JournalName>Journal of Small Business Enterprise Development</b:JournalName>
    <b:Year>2018</b:Year>
    <b:Pages>Vol. 25(6):985–1003</b:Pages>
    <b:RefOrder>23</b:RefOrder>
  </b:Source>
  <b:Source>
    <b:Tag>Car11</b:Tag>
    <b:SourceType>JournalArticle</b:SourceType>
    <b:Guid>{38780206-0E89-4B73-947D-50FEB445750D}</b:Guid>
    <b:Author>
      <b:Author>
        <b:NameList>
          <b:Person>
            <b:Last>Caratell</b:Last>
            <b:First>Massimo</b:First>
          </b:Person>
          <b:Person>
            <b:Last>Ricci</b:Last>
            <b:First>Ornella,</b:First>
          </b:Person>
        </b:NameList>
      </b:Author>
    </b:Author>
    <b:Title>The Relationship between Everyday Practices and Financial Literacy: An Empirical Analysis</b:Title>
    <b:Year>2011</b:Year>
    <b:RefOrder>24</b:RefOrder>
  </b:Source>
  <b:Source>
    <b:Tag>Yan20</b:Tag>
    <b:SourceType>JournalArticle</b:SourceType>
    <b:Guid>{04908E14-A52F-4AFC-A5F0-2271FEB66022}</b:Guid>
    <b:Author>
      <b:Author>
        <b:NameList>
          <b:Person>
            <b:Last>Yang</b:Last>
            <b:First>Junhong</b:First>
          </b:Person>
          <b:Person>
            <b:Last>Wu</b:Last>
            <b:First>Yu</b:First>
          </b:Person>
          <b:Person>
            <b:Last>Huang</b:Last>
            <b:First>Bihong,</b:First>
          </b:Person>
        </b:NameList>
      </b:Author>
    </b:Author>
    <b:Title>Digital Finance and Financial Literacy: An Empirical Investigation of Chinese Households </b:Title>
    <b:JournalName>ADBI Working Paper 1209,</b:JournalName>
    <b:Year>2020</b:Year>
    <b:RefOrder>25</b:RefOrder>
  </b:Source>
  <b:Source>
    <b:Tag>Arn151</b:Tag>
    <b:SourceType>JournalArticle</b:SourceType>
    <b:Guid>{28047CE6-503C-42C4-8792-540BF6097722}</b:Guid>
    <b:Author>
      <b:Author>
        <b:NameList>
          <b:Person>
            <b:Last>Arner</b:Last>
            <b:First>Douglas</b:First>
          </b:Person>
          <b:Person>
            <b:Last>Jones</b:Last>
            <b:First>Barberis</b:First>
          </b:Person>
          <b:Person>
            <b:Last>Ross</b:Last>
            <b:First>Buckley</b:First>
          </b:Person>
        </b:NameList>
      </b:Author>
    </b:Author>
    <b:Title>The Evolution of FinTech: A New Post-Crisis Paradigm</b:Title>
    <b:JournalName>University of Hong Kong Faculty of Research Paper No. 205/047</b:JournalName>
    <b:Year>2015</b:Year>
    <b:RefOrder>26</b:RefOrder>
  </b:Source>
  <b:Source>
    <b:Tag>Ozi20</b:Tag>
    <b:SourceType>JournalArticle</b:SourceType>
    <b:Guid>{59216AC0-78D9-4DA9-80E4-1588D6AB6240}</b:Guid>
    <b:Author>
      <b:Author>
        <b:NameList>
          <b:Person>
            <b:Last>Ozili</b:Last>
            <b:First>Peterson</b:First>
            <b:Middle>K.</b:Middle>
          </b:Person>
        </b:NameList>
      </b:Author>
    </b:Author>
    <b:Title>Financial Inclusion Research Around the World: A Review</b:Title>
    <b:JournalName>Forum for Social Economics</b:JournalName>
    <b:Year>2020</b:Year>
    <b:RefOrder>27</b:RefOrder>
  </b:Source>
  <b:Source>
    <b:Tag>Kad20</b:Tag>
    <b:SourceType>JournalArticle</b:SourceType>
    <b:Guid>{7066F3FF-5348-43CF-9821-2CCE41FA792A}</b:Guid>
    <b:Author>
      <b:Author>
        <b:NameList>
          <b:Person>
            <b:Last>Kadoya</b:Last>
            <b:First>Y</b:First>
          </b:Person>
          <b:Person>
            <b:Last>Khan</b:Last>
            <b:First>M</b:First>
          </b:Person>
        </b:NameList>
      </b:Author>
    </b:Author>
    <b:Title>What determines financial literacy in Japan?</b:Title>
    <b:JournalName>Journal of Pension Economics and Finance</b:JournalName>
    <b:Year>2020</b:Year>
    <b:Pages>19(3), 353-371</b:Pages>
    <b:RefOrder>28</b:RefOrder>
  </b:Source>
  <b:Source>
    <b:Tag>Ban77</b:Tag>
    <b:SourceType>Book</b:SourceType>
    <b:Guid>{99B1195B-0691-42B2-9036-8B94284B6B43}</b:Guid>
    <b:Author>
      <b:Author>
        <b:NameList>
          <b:Person>
            <b:Last>Bandura</b:Last>
            <b:First>A</b:First>
          </b:Person>
          <b:Person>
            <b:Last>Walters</b:Last>
            <b:First>R,H</b:First>
          </b:Person>
        </b:NameList>
      </b:Author>
    </b:Author>
    <b:Title>Social Learning Theory</b:Title>
    <b:Year>1977</b:Year>
    <b:City>New York: </b:City>
    <b:Publisher>General Learning Press</b:Publisher>
    <b:RefOrder>29</b:RefOrder>
  </b:Source>
  <b:Source>
    <b:Tag>Mar00</b:Tag>
    <b:SourceType>JournalArticle</b:SourceType>
    <b:Guid>{AB3E3DA3-52DB-41E0-BA0B-2B9D97D6F162}</b:Guid>
    <b:Author>
      <b:Author>
        <b:NameList>
          <b:Person>
            <b:Last>Martin</b:Last>
            <b:First>C,</b:First>
            <b:Middle>A</b:Middle>
          </b:Person>
          <b:Person>
            <b:Last>Bush</b:Last>
            <b:First>A,</b:First>
            <b:Middle>J</b:Middle>
          </b:Person>
        </b:NameList>
      </b:Author>
    </b:Author>
    <b:Title> Do role models influence teenagers’ purchase intentions and behavior?  </b:Title>
    <b:JournalName>Journal of Consumer Marketing</b:JournalName>
    <b:Year>2000</b:Year>
    <b:Pages>Vol. 17, 441–454.</b:Pages>
    <b:RefOrder>30</b:RefOrder>
  </b:Source>
  <b:Source>
    <b:Tag>Col11</b:Tag>
    <b:SourceType>JournalArticle</b:SourceType>
    <b:Guid>{C4D19A99-CAC3-4919-9868-F184532065DC}</b:Guid>
    <b:Author>
      <b:Author>
        <b:NameList>
          <b:Person>
            <b:Last>Cole</b:Last>
            <b:First>S</b:First>
          </b:Person>
          <b:Person>
            <b:Last>Sampson</b:Last>
            <b:First>T</b:First>
          </b:Person>
          <b:Person>
            <b:Last>Zia</b:Last>
            <b:First>B</b:First>
          </b:Person>
        </b:NameList>
      </b:Author>
    </b:Author>
    <b:Title>Prices of Knowledge? What Drives Demand for Financial Services in Emerging Markets?</b:Title>
    <b:JournalName>The journal of Finance</b:JournalName>
    <b:Year>2011</b:Year>
    <b:Pages>Vol. 66(6), 1933-1967</b:Pages>
    <b:RefOrder>31</b:RefOrder>
  </b:Source>
  <b:Source>
    <b:Tag>Mwa12</b:Tag>
    <b:SourceType>JournalArticle</b:SourceType>
    <b:Guid>{FA784C62-7AFE-4702-A949-AA99A94167E1}</b:Guid>
    <b:Author>
      <b:Author>
        <b:NameList>
          <b:Person>
            <b:Last>Mwangi</b:Last>
            <b:First>Isaac</b:First>
          </b:Person>
          <b:Person>
            <b:Last>Kihiu</b:Last>
            <b:First>Evelyne</b:First>
          </b:Person>
        </b:NameList>
      </b:Author>
    </b:Author>
    <b:Title>Impact of Financial Literacy on Access to Financial Services in Kenya. </b:Title>
    <b:JournalName>International Journal of Business and Social Science.</b:JournalName>
    <b:Year>2012</b:Year>
    <b:Pages>Vol.  3. 42-50.</b:Pages>
    <b:RefOrder>32</b:RefOrder>
  </b:Source>
  <b:Source>
    <b:Tag>Atk12</b:Tag>
    <b:SourceType>JournalArticle</b:SourceType>
    <b:Guid>{215F61F1-B678-426D-B1A7-65513FBB9002}</b:Guid>
    <b:Title>Measuring Financial Literacy: Results of OECD/INFE Pilot Study. </b:Title>
    <b:Year>2012</b:Year>
    <b:Author>
      <b:Author>
        <b:NameList>
          <b:Person>
            <b:Last>Atkinson</b:Last>
            <b:First>A</b:First>
          </b:Person>
          <b:Person>
            <b:Last>Messy</b:Last>
            <b:First>F.</b:First>
          </b:Person>
        </b:NameList>
      </b:Author>
    </b:Author>
    <b:JournalName>OECD Working Papers of Financa, Insurance and Private Pension No. 15</b:JournalName>
    <b:RefOrder>33</b:RefOrder>
  </b:Source>
  <b:Source>
    <b:Tag>Buc17</b:Tag>
    <b:SourceType>JournalArticle</b:SourceType>
    <b:Guid>{E8970303-3BDF-452A-AEF1-1DB5845A4300}</b:Guid>
    <b:Author>
      <b:Author>
        <b:NameList>
          <b:Person>
            <b:Last>Buch</b:Last>
            <b:First>C.</b:First>
            <b:Middle>M.</b:Middle>
          </b:Person>
        </b:NameList>
      </b:Author>
    </b:Author>
    <b:Title>Financial Literacy and Financial Inclusion: Priorities of the G20 German Presidency</b:Title>
    <b:JournalName>Paper for the 4th OECD/GFLEC Global Policy Research Symbosium to Advance Financial Literacy.</b:JournalName>
    <b:Year>2017</b:Year>
    <b:RefOrder>34</b:RefOrder>
  </b:Source>
  <b:Source>
    <b:Tag>Dem22</b:Tag>
    <b:SourceType>JournalArticle</b:SourceType>
    <b:Guid>{AFF9505C-4972-401D-9A4E-227CD833DD1D}</b:Guid>
    <b:Author>
      <b:Author>
        <b:NameList>
          <b:Person>
            <b:Last>Demirguc-kunt</b:Last>
            <b:First>A,A</b:First>
          </b:Person>
          <b:Person>
            <b:Last>Singer</b:Last>
            <b:First>D.</b:First>
          </b:Person>
          <b:Person>
            <b:Last>Ansar</b:Last>
            <b:First>S.</b:First>
          </b:Person>
        </b:NameList>
      </b:Author>
    </b:Author>
    <b:Title>Financial Inclusion, Digital payments and Resilience in the Age of Covid -19</b:Title>
    <b:JournalName>Global Findex Database 2021</b:JournalName>
    <b:Year>2022</b:Year>
    <b:RefOrder>35</b:RefOrder>
  </b:Source>
  <b:Source>
    <b:Tag>Fan21</b:Tag>
    <b:SourceType>JournalArticle</b:SourceType>
    <b:Guid>{D507BFAB-CF5F-47B1-93D3-CE25CB1D3C16}</b:Guid>
    <b:Title>Financial Literacy as a Driver of Financial Inclusion in Kenya and Tanzania</b:Title>
    <b:JournalName>JRFM, 11(14)</b:JournalName>
    <b:Year>2021</b:Year>
    <b:Pages>561</b:Pages>
    <b:Author>
      <b:Author>
        <b:NameList>
          <b:Person>
            <b:Last>Fanta</b:Last>
            <b:First>A.</b:First>
            <b:Middle>B</b:Middle>
          </b:Person>
          <b:Person>
            <b:Last>Mutsonziwa</b:Last>
            <b:First>K</b:First>
          </b:Person>
        </b:NameList>
      </b:Author>
    </b:Author>
    <b:RefOrder>36</b:RefOrder>
  </b:Source>
  <b:Source>
    <b:Tag>Fel83</b:Tag>
    <b:SourceType>JournalArticle</b:SourceType>
    <b:Guid>{2DBCFF9D-5808-4020-84B9-197A2000004C}</b:Guid>
    <b:Author>
      <b:Author>
        <b:NameList>
          <b:Person>
            <b:Last>Feldman</b:Last>
            <b:First>R</b:First>
          </b:Person>
        </b:NameList>
      </b:Author>
    </b:Author>
    <b:Title>Women's Group and Women's Subordination: An Analysis of Policies Towards Rural Women in Kenya</b:Title>
    <b:JournalName>Review of African Political Economy</b:JournalName>
    <b:Year>1983</b:Year>
    <b:Pages>67-85</b:Pages>
    <b:RefOrder>37</b:RefOrder>
  </b:Source>
  <b:Source>
    <b:Tag>Fin21</b:Tag>
    <b:SourceType>JournalArticle</b:SourceType>
    <b:Guid>{CFD3E6F0-0CB3-463E-863F-DDB2C2E6E486}</b:Guid>
    <b:Author>
      <b:Author>
        <b:NameList>
          <b:Person>
            <b:Last>FinAccess</b:Last>
          </b:Person>
        </b:NameList>
      </b:Author>
    </b:Author>
    <b:Title>FinAccess Household Survey</b:Title>
    <b:JournalName>Central Bank of Kenya</b:JournalName>
    <b:Year>2021</b:Year>
    <b:RefOrder>38</b:RefOrder>
  </b:Source>
  <b:Source>
    <b:Tag>Gat12</b:Tag>
    <b:SourceType>JournalArticle</b:SourceType>
    <b:Guid>{98145DF6-B679-4FF0-86B8-C289212A6240}</b:Guid>
    <b:Author>
      <b:Author>
        <b:NameList>
          <b:Person>
            <b:Last>Gatakaa</b:Last>
            <b:First>G.</b:First>
            <b:Middle>C</b:Middle>
          </b:Person>
        </b:NameList>
      </b:Author>
    </b:Author>
    <b:Title>Factors Affecting Women Entrepreneurs' Financial Perfomance in Kenya: A Case of Ngara Market</b:Title>
    <b:JournalName>MBA Project; University of Nairobi</b:JournalName>
    <b:Year>2012</b:Year>
    <b:RefOrder>39</b:RefOrder>
  </b:Source>
  <b:Source>
    <b:Tag>Kal16</b:Tag>
    <b:SourceType>JournalArticle</b:SourceType>
    <b:Guid>{145369DA-D9E5-4B55-B38B-E6878D4CF79D}</b:Guid>
    <b:Author>
      <b:Author>
        <b:NameList>
          <b:Person>
            <b:Last>Kalsoom</b:Last>
            <b:First>Z</b:First>
          </b:Person>
          <b:Person>
            <b:Last>Mohammad</b:Last>
            <b:First>A.</b:First>
            <b:Middle>C</b:Middle>
          </b:Person>
          <b:Person>
            <b:Last>Aribah</b:Last>
            <b:First>A.</b:First>
          </b:Person>
        </b:NameList>
      </b:Author>
    </b:Author>
    <b:Title>Financial Inclusion and Its Implications for Inclusive Growth in Pakistan</b:Title>
    <b:JournalName>Pakistan Economic and Social Review Vol. 54</b:JournalName>
    <b:Year>2016</b:Year>
    <b:Pages>297 - 325</b:Pages>
    <b:RefOrder>40</b:RefOrder>
  </b:Source>
  <b:Source>
    <b:Tag>Kip13</b:Tag>
    <b:SourceType>JournalArticle</b:SourceType>
    <b:Guid>{700E7CBF-09F9-45ED-AAE5-990ADE9F5779}</b:Guid>
    <b:Author>
      <b:Author>
        <b:NameList>
          <b:Person>
            <b:Last>Kipnis</b:Last>
            <b:First>H.</b:First>
          </b:Person>
        </b:NameList>
      </b:Author>
    </b:Author>
    <b:Title>Financing Women - Owned SMEs: A Case Study in Ethiopia</b:Title>
    <b:JournalName> United States Agency for International DevelopmentWashington D.C</b:JournalName>
    <b:Year>2013</b:Year>
    <b:RefOrder>41</b:RefOrder>
  </b:Source>
  <b:Source>
    <b:Tag>Man191</b:Tag>
    <b:SourceType>JournalArticle</b:SourceType>
    <b:Guid>{2321DD21-25D5-4754-851B-3FBEF08A4387}</b:Guid>
    <b:Author>
      <b:Author>
        <b:NameList>
          <b:Person>
            <b:Last>Manta</b:Last>
            <b:First>A.</b:First>
          </b:Person>
        </b:NameList>
      </b:Author>
    </b:Author>
    <b:Title>Financial Inclusion and Gender Barriers for Rural Women</b:Title>
    <b:JournalName>International Journal of Managers</b:JournalName>
    <b:Year>2019</b:Year>
    <b:Pages> Vol. 10, issue 5, PP 61-72</b:Pages>
    <b:RefOrder>42</b:RefOrder>
  </b:Source>
  <b:Source>
    <b:Tag>Mau20</b:Tag>
    <b:SourceType>JournalArticle</b:SourceType>
    <b:Guid>{E010DF2B-DD9C-49C5-9E58-72872B7FB392}</b:Guid>
    <b:Author>
      <b:Author>
        <b:NameList>
          <b:Person>
            <b:Last>Maurer</b:Last>
            <b:First>T</b:First>
          </b:Person>
          <b:Person>
            <b:Last>Auther</b:Last>
            <b:First>N.</b:First>
          </b:Person>
        </b:NameList>
      </b:Author>
    </b:Author>
    <b:Title>Digital Transformation and Financial Inclusion</b:Title>
    <b:JournalName>International Strategy to Better Protect the Financial System Against Cyber Threats</b:JournalName>
    <b:Year>2020</b:Year>
    <b:RefOrder>43</b:RefOrder>
  </b:Source>
  <b:Source>
    <b:Tag>Mis14</b:Tag>
    <b:SourceType>JournalArticle</b:SourceType>
    <b:Guid>{64AC0BCF-16E2-45FB-A503-920DA0BAD87E}</b:Guid>
    <b:Author>
      <b:Author>
        <b:NameList>
          <b:Person>
            <b:Last>Mishi</b:Last>
            <b:First>S</b:First>
          </b:Person>
          <b:Person>
            <b:Last>Vacu</b:Last>
            <b:First>N.</b:First>
            <b:Middle>P</b:Middle>
          </b:Person>
          <b:Person>
            <b:Last>Chipote</b:Last>
            <b:First>P.</b:First>
          </b:Person>
        </b:NameList>
      </b:Author>
    </b:Author>
    <b:Title>Impact of Financial Literacy in Optimising Financial Inclusion in Rural South Africa: A Case study of the Eastern Cape Province.</b:Title>
    <b:JournalName>University of Fort Hare: East London </b:JournalName>
    <b:Year>2014</b:Year>
    <b:RefOrder>44</b:RefOrder>
  </b:Source>
  <b:Source>
    <b:Tag>Mmu22</b:Tag>
    <b:SourceType>JournalArticle</b:SourceType>
    <b:Guid>{11FCD609-8B47-41F0-B7E8-856A92B0D823}</b:Guid>
    <b:Author>
      <b:Author>
        <b:NameList>
          <b:Person>
            <b:Last>Mmuozoba</b:Last>
            <b:First>I</b:First>
          </b:Person>
        </b:NameList>
      </b:Author>
    </b:Author>
    <b:Title>Utilization of Basic Literacy Programme in Improving the Livelihood of Rural Women in Enugu East Senatorial Zone</b:Title>
    <b:JournalName>Journal of Continuing and Development Education</b:JournalName>
    <b:Year>2022</b:Year>
    <b:Pages>Vol. 2(1), PP 152 - 158</b:Pages>
    <b:RefOrder>45</b:RefOrder>
  </b:Source>
  <b:Source>
    <b:Tag>Mwo12</b:Tag>
    <b:SourceType>JournalArticle</b:SourceType>
    <b:Guid>{DAB9956F-F072-46D7-A0EF-B7C2EBAC316C}</b:Guid>
    <b:Author>
      <b:Author>
        <b:NameList>
          <b:Person>
            <b:Last>Mwobobia</b:Last>
            <b:First>F.</b:First>
            <b:Middle>M.</b:Middle>
          </b:Person>
        </b:NameList>
      </b:Author>
    </b:Author>
    <b:Title>The Challenges Facing Small Scale Women Entrepreneurs: A Case of Kenya</b:Title>
    <b:JournalName>International Journal of Business Adminstration</b:JournalName>
    <b:Year>2012</b:Year>
    <b:Pages>Vol. 3(2)</b:Pages>
    <b:RefOrder>46</b:RefOrder>
  </b:Source>
  <b:Source>
    <b:Tag>OEC17</b:Tag>
    <b:SourceType>JournalArticle</b:SourceType>
    <b:Guid>{8507AE95-9F46-4F14-9367-5ECBCFE91B7E}</b:Guid>
    <b:Author>
      <b:Author>
        <b:NameList>
          <b:Person>
            <b:Last>OECD</b:Last>
          </b:Person>
        </b:NameList>
      </b:Author>
    </b:Author>
    <b:Title>Key Issues for Digital Transaformation in the G20. Prepared for a Joint G20 German Presidency/OECD Conference</b:Title>
    <b:JournalName>, OECD Publishing, Paris</b:JournalName>
    <b:Year>2017</b:Year>
    <b:RefOrder>47</b:RefOrder>
  </b:Source>
  <b:Source>
    <b:Tag>Ray22</b:Tag>
    <b:SourceType>JournalArticle</b:SourceType>
    <b:Guid>{28E96958-0CC8-42F6-8A51-6C35E1C51F49}</b:Guid>
    <b:Author>
      <b:Author>
        <b:NameList>
          <b:Person>
            <b:Last>Ray</b:Last>
            <b:First>S</b:First>
          </b:Person>
          <b:Person>
            <b:Last>Morgan</b:Last>
            <b:First>P</b:First>
          </b:Person>
          <b:Person>
            <b:Last>Thakur</b:Last>
            <b:First>V.</b:First>
          </b:Person>
        </b:NameList>
      </b:Author>
    </b:Author>
    <b:Title>Digital Financial Inclusion and Literacy From A G20 Perspective</b:Title>
    <b:Year>2022</b:Year>
    <b:RefOrder>48</b:RefOrder>
  </b:Source>
  <b:Source>
    <b:Tag>She18</b:Tag>
    <b:SourceType>JournalArticle</b:SourceType>
    <b:Guid>{25ABD3D3-9654-4415-B5C2-F0950AA3E935}</b:Guid>
    <b:Author>
      <b:Author>
        <b:NameList>
          <b:Person>
            <b:Last>Shen</b:Last>
            <b:First>Y</b:First>
          </b:Person>
          <b:Person>
            <b:Last>Hu</b:Last>
            <b:First>W</b:First>
          </b:Person>
          <b:Person>
            <b:Last>Hueng</b:Last>
            <b:First>C.</b:First>
            <b:Middle>J</b:Middle>
          </b:Person>
        </b:NameList>
      </b:Author>
    </b:Author>
    <b:Title>The Effects of Financial Literacy, Digital Financial Product Usage and Internet Usage on Financial Inclusion in China</b:Title>
    <b:JournalName>MATEC Web Conference</b:JournalName>
    <b:Year>2018</b:Year>
    <b:Pages>228</b:Pages>
    <b:RefOrder>49</b:RefOrder>
  </b:Source>
  <b:Source>
    <b:Tag>Wid22</b:Tag>
    <b:SourceType>JournalArticle</b:SourceType>
    <b:Guid>{BDA09C54-7FD1-47BA-B822-7070F2C40EE2}</b:Guid>
    <b:Author>
      <b:Author>
        <b:NameList>
          <b:Person>
            <b:Last>Widarwati</b:Last>
            <b:First>E</b:First>
          </b:Person>
          <b:Person>
            <b:Last>Solihim</b:Last>
            <b:First>A</b:First>
          </b:Person>
          <b:Person>
            <b:Last>Nurmalasari</b:Last>
            <b:First>N.</b:First>
          </b:Person>
        </b:NameList>
      </b:Author>
    </b:Author>
    <b:Title>Digital Finance for Improving Financial Inclusion Indonesians Banking </b:Title>
    <b:JournalName>Signifikan</b:JournalName>
    <b:Year>2022</b:Year>
    <b:Pages>Vol. 1(11), 17-30</b:Pages>
    <b:RefOrder>50</b:RefOrder>
  </b:Source>
  <b:Source>
    <b:Tag>Wor22</b:Tag>
    <b:SourceType>JournalArticle</b:SourceType>
    <b:Guid>{F228452F-7924-499A-ACE0-4DFC0F9B149A}</b:Guid>
    <b:Author>
      <b:Author>
        <b:NameList>
          <b:Person>
            <b:Last>WorldBank</b:Last>
          </b:Person>
        </b:NameList>
      </b:Author>
    </b:Author>
    <b:Title>Fniancial Inclusion: Digital payments and Resilience in the Age of Covid - 19</b:Title>
    <b:JournalName>The Global Findex Database 2021</b:JournalName>
    <b:Year>2022</b:Year>
    <b:RefOrder>51</b:RefOrder>
  </b:Source>
  <b:Source>
    <b:Tag>Wor18</b:Tag>
    <b:SourceType>JournalArticle</b:SourceType>
    <b:Guid>{1668421A-DF99-435B-B63B-69EECC3764AC}</b:Guid>
    <b:Author>
      <b:Author>
        <b:NameList>
          <b:Person>
            <b:Last>WorldBank</b:Last>
          </b:Person>
        </b:NameList>
      </b:Author>
    </b:Author>
    <b:Title>Understanding Poverty: Financial Inclusion</b:Title>
    <b:Year>2018</b:Year>
    <b:RefOrder>52</b:RefOrder>
  </b:Source>
  <b:Source>
    <b:Tag>Wor14</b:Tag>
    <b:SourceType>JournalArticle</b:SourceType>
    <b:Guid>{C575594A-BE53-4674-9377-D1CC632EAF84}</b:Guid>
    <b:Author>
      <b:Author>
        <b:NameList>
          <b:Person>
            <b:Last>WorldBank</b:Last>
          </b:Person>
        </b:NameList>
      </b:Author>
    </b:Author>
    <b:Title>Digital Financial Inclusion</b:Title>
    <b:JournalName>World Bank</b:JournalName>
    <b:Year>2014</b:Year>
    <b:RefOrder>53</b:RefOrder>
  </b:Source>
  <b:Source>
    <b:Tag>Kre70</b:Tag>
    <b:SourceType>JournalArticle</b:SourceType>
    <b:Guid>{A4CF30F3-202D-44CC-8FBF-131C488FF934}</b:Guid>
    <b:Author>
      <b:Author>
        <b:NameList>
          <b:Person>
            <b:Last>Krejcie</b:Last>
            <b:First>R.</b:First>
            <b:Middle>V</b:Middle>
          </b:Person>
          <b:Person>
            <b:Last>Morgan</b:Last>
            <b:First>D.</b:First>
            <b:Middle>W.</b:Middle>
          </b:Person>
        </b:NameList>
      </b:Author>
    </b:Author>
    <b:Title>Determining Sample Size for Research Activities</b:Title>
    <b:JournalName>Educational Psychology Measurement</b:JournalName>
    <b:Year>1970</b:Year>
    <b:RefOrder>54</b:RefOrder>
  </b:Source>
  <b:Source>
    <b:Tag>MCo11</b:Tag>
    <b:SourceType>JournalArticle</b:SourceType>
    <b:Guid>{39A3BB00-C596-4170-B0B0-0883DD0FF6DF}</b:Guid>
    <b:Title>Financial Literacy: A Step for Clients Towards Financial Inclusion</b:Title>
    <b:JournalName>World Bank, Working Paper, Washington, DC.</b:JournalName>
    <b:Year>2011</b:Year>
    <b:Author>
      <b:Author>
        <b:NameList>
          <b:Person>
            <b:Last>Cohen</b:Last>
            <b:First>M.</b:First>
          </b:Person>
          <b:Person>
            <b:Last>Nelson</b:Last>
            <b:First>C.</b:First>
          </b:Person>
        </b:NameList>
      </b:Author>
    </b:Author>
    <b:RefOrder>55</b:RefOrder>
  </b:Source>
  <b:Source>
    <b:Tag>Mon10</b:Tag>
    <b:SourceType>JournalArticle</b:SourceType>
    <b:Guid>{C5516C74-6765-49DC-BAFD-119C4FA1750C}</b:Guid>
    <b:Title>How Much Does Wealth Matter in Acquisition of Financial Literacy?</b:Title>
    <b:JournalName>Journal of Consumer Affairs</b:JournalName>
    <b:Year>2010</b:Year>
    <b:Pages>vo. 44 (2) PP 403-422</b:Pages>
    <b:Author>
      <b:Author>
        <b:NameList>
          <b:Person>
            <b:Last>Monticone</b:Last>
            <b:First>Chiara</b:First>
          </b:Person>
        </b:NameList>
      </b:Author>
    </b:Author>
    <b:RefOrder>56</b:RefOrder>
  </b:Source>
  <b:Source>
    <b:Tag>Oum21</b:Tag>
    <b:SourceType>JournalArticle</b:SourceType>
    <b:Guid>{63338D35-70D1-4736-AB94-6345F18C63CD}</b:Guid>
    <b:Author>
      <b:Author>
        <b:NameList>
          <b:Person>
            <b:Last>Oumarou</b:Last>
            <b:First>I</b:First>
          </b:Person>
          <b:Person>
            <b:Last>Celestin</b:Last>
            <b:First>M.</b:First>
          </b:Person>
        </b:NameList>
      </b:Author>
    </b:Author>
    <b:Title>Determinants of Financial Inclusion in West African Economic and Monetary Union (WAEMU) Countries</b:Title>
    <b:JournalName>Theoretical Economics Letters</b:JournalName>
    <b:Year>2021</b:Year>
    <b:Pages>Vo. 11 PP 489-506</b:Pages>
    <b:RefOrder>57</b:RefOrder>
  </b:Source>
  <b:Source>
    <b:Tag>Sei23</b:Tag>
    <b:SourceType>JournalArticle</b:SourceType>
    <b:Guid>{16A80B80-3351-4274-B583-8EA1E3DA19B1}</b:Guid>
    <b:Author>
      <b:Author>
        <b:NameList>
          <b:Person>
            <b:Last>Seifelyazal</b:Last>
            <b:First>M</b:First>
          </b:Person>
          <b:Person>
            <b:Last>Salaheldin</b:Last>
            <b:First>A</b:First>
          </b:Person>
          <b:Person>
            <b:Last>Assem</b:Last>
            <b:First>M</b:First>
          </b:Person>
        </b:NameList>
      </b:Author>
    </b:Author>
    <b:Title>The Impact of Finacial Inclusion on Income Inequality </b:Title>
    <b:JournalName>Open Journal of Social Sciences</b:JournalName>
    <b:Year>2023</b:Year>
    <b:Pages>Vol. 11 PP 255 - 274</b:Pages>
    <b:RefOrder>58</b:RefOrder>
  </b:Source>
  <b:Source>
    <b:Tag>Tio23</b:Tag>
    <b:SourceType>JournalArticle</b:SourceType>
    <b:Guid>{5E96D5DB-C555-4F2E-96F3-1A8D2BA86E18}</b:Guid>
    <b:Author>
      <b:Author>
        <b:NameList>
          <b:Person>
            <b:Last>Tiony</b:Last>
            <b:First>O.</b:First>
          </b:Person>
        </b:NameList>
      </b:Author>
    </b:Author>
    <b:Title>The Impact of Digital Financial Services on Financial Incusion in Kenya</b:Title>
    <b:JournalName>American Journal of Industrial and Business Management</b:JournalName>
    <b:Year>2023</b:Year>
    <b:Pages>Vol. 13 PP. 593-628</b:Pages>
    <b:RefOrder>59</b:RefOrder>
  </b:Source>
  <b:Source>
    <b:Tag>Kan22</b:Tag>
    <b:SourceType>JournalArticle</b:SourceType>
    <b:Guid>{FC52AB2B-8FC4-4818-A442-C04DEE0DC809}</b:Guid>
    <b:Author>
      <b:Author>
        <b:NameList>
          <b:Person>
            <b:Last>Kan</b:Last>
            <b:First>L</b:First>
          </b:Person>
          <b:Person>
            <b:Last>Sun</b:Last>
            <b:First>R.</b:First>
          </b:Person>
        </b:NameList>
      </b:Author>
    </b:Author>
    <b:Title>Research on the Impact of Digital Finance on Innovation and R&amp;D of Technology Based SEM: Moderating Role Based on Financial Flexibility</b:Title>
    <b:JournalName>American Journal of Industrial and Business Management</b:JournalName>
    <b:Year>2022</b:Year>
    <b:Pages>Vol. 12 PP. 1650 - 1666</b:Pages>
    <b:RefOrder>60</b:RefOrder>
  </b:Source>
  <b:Source>
    <b:Tag>MaX22</b:Tag>
    <b:SourceType>JournalArticle</b:SourceType>
    <b:Guid>{F7A3AF64-4643-4419-8672-39E09F07EEA6}</b:Guid>
    <b:Author>
      <b:Author>
        <b:NameList>
          <b:Person>
            <b:Last>Ma</b:Last>
            <b:First>X.</b:First>
          </b:Person>
        </b:NameList>
      </b:Author>
    </b:Author>
    <b:Title>How Digital Finance Affects Economic Development: A Study Based on 31 Provinces in Inland China</b:Title>
    <b:JournalName>I Business</b:JournalName>
    <b:Year>2022</b:Year>
    <b:Pages>Vol. 14, PP. 164 - 177</b:Pages>
    <b:RefOrder>61</b:RefOrder>
  </b:Source>
  <b:Source>
    <b:Tag>New12</b:Tag>
    <b:SourceType>JournalArticle</b:SourceType>
    <b:Guid>{ECE53590-1D0C-4F85-8867-187E79B33DE7}</b:Guid>
    <b:Author>
      <b:Author>
        <b:NameList>
          <b:Person>
            <b:Last>NYDCA</b:Last>
          </b:Person>
        </b:NameList>
      </b:Author>
    </b:Author>
    <b:Title>Municipal Financial Empowerment</b:Title>
    <b:JournalName>New York City Department of Consumer Affairs; A Supervitamin for Public Programs</b:JournalName>
    <b:Year>2012</b:Year>
    <b:RefOrder>62</b:RefOrder>
  </b:Source>
  <b:Source>
    <b:Tag>Ins08</b:Tag>
    <b:SourceType>JournalArticle</b:SourceType>
    <b:Guid>{2B916778-608C-44A0-83F7-CA492DD16061}</b:Guid>
    <b:Author>
      <b:Author>
        <b:NameList>
          <b:Person>
            <b:Last>NIEA</b:Last>
          </b:Person>
        </b:NameList>
      </b:Author>
    </b:Author>
    <b:Title>Profile of Women's Socio-economic Status in Kenya.</b:Title>
    <b:JournalName>Nairobi Institute of Economic Affairs, Nairobi.</b:JournalName>
    <b:Year>2008</b:Year>
    <b:RefOrder>63</b:RefOrder>
  </b:Source>
  <b:Source>
    <b:Tag>Alb77</b:Tag>
    <b:SourceType>Book</b:SourceType>
    <b:Guid>{C0E3A78E-FA8A-44FD-8BFE-51A99096B66A}</b:Guid>
    <b:Author>
      <b:Author>
        <b:NameList>
          <b:Person>
            <b:Last>Bandura</b:Last>
            <b:First>Albert</b:First>
          </b:Person>
        </b:NameList>
      </b:Author>
    </b:Author>
    <b:Title>Social Learning Theory</b:Title>
    <b:Year>1977</b:Year>
    <b:City>Englewood Cliffs, NJ</b:City>
    <b:Publisher>Prentice Hall</b:Publisher>
    <b:RefOrder>64</b:RefOrder>
  </b:Source>
  <b:Source>
    <b:Tag>Eve62</b:Tag>
    <b:SourceType>Book</b:SourceType>
    <b:Guid>{B93A2680-5C2D-4D2F-8E8F-D0A130A7DD6D}</b:Guid>
    <b:Author>
      <b:Author>
        <b:NameList>
          <b:Person>
            <b:Last>Rogers</b:Last>
            <b:First>Everett,</b:First>
            <b:Middle>Mitchell</b:Middle>
          </b:Person>
        </b:NameList>
      </b:Author>
    </b:Author>
    <b:Title>Diffusion of Innovations</b:Title>
    <b:Year>1962</b:Year>
    <b:City>New York</b:City>
    <b:Publisher>Free press</b:Publisher>
    <b:RefOrder>65</b:RefOrder>
  </b:Source>
  <b:Source>
    <b:Tag>Mwa18</b:Tag>
    <b:SourceType>JournalArticle</b:SourceType>
    <b:Guid>{69C57242-14B8-4A84-9AC8-0AF5D5FB4E80}</b:Guid>
    <b:Author>
      <b:Author>
        <b:NameList>
          <b:Person>
            <b:Last>Mwangi</b:Last>
            <b:First>Christine</b:First>
          </b:Person>
        </b:NameList>
      </b:Author>
    </b:Author>
    <b:Title>Factors Hindering Sustainable Financial Inclusion of Rural Women in Kenya: A Case of Garissa County, Kenya</b:Title>
    <b:Year>2018</b:Year>
    <b:JournalName>Research Paper</b:JournalName>
    <b:RefOrder>66</b:RefOrder>
  </b:Source>
  <b:Source>
    <b:Tag>Ada12</b:Tag>
    <b:SourceType>JournalArticle</b:SourceType>
    <b:Guid>{C55CC5C1-5766-4444-B8CD-12E9D7752B59}</b:Guid>
    <b:Title>Effects of Financial Literacy on Financial Access in Kenya</b:Title>
    <b:JournalName>KIPPRA Discussion Paper No. 142</b:JournalName>
    <b:Year>2012</b:Year>
    <b:Author>
      <b:Author>
        <b:NameList>
          <b:Person>
            <b:Last>Shibia</b:Last>
            <b:First>Adan,</b:First>
            <b:Middle>Guyo,</b:Middle>
          </b:Person>
        </b:NameList>
      </b:Author>
    </b:Author>
    <b:RefOrder>67</b:RefOrder>
  </b:Source>
  <b:Source>
    <b:Tag>Van19</b:Tag>
    <b:SourceType>JournalArticle</b:SourceType>
    <b:Guid>{42088A1E-9EE4-4041-AE46-FF0276AD6C67}</b:Guid>
    <b:Author>
      <b:Author>
        <b:NameList>
          <b:Person>
            <b:Last>Van Hove</b:Last>
            <b:First>Leo</b:First>
          </b:Person>
          <b:Person>
            <b:Last>Dubus</b:Last>
            <b:First>Antione</b:First>
          </b:Person>
        </b:NameList>
      </b:Author>
    </b:Author>
    <b:Title>Mpesa and Financial Inclusion in Kenya: Of Paying Comes Savings?</b:Title>
    <b:JournalName>Sustainability, Vol 11; No. 3</b:JournalName>
    <b:Year>2019</b:Year>
    <b:RefOrder>68</b:RefOrder>
  </b:Source>
  <b:Source>
    <b:Tag>Sus12</b:Tag>
    <b:SourceType>JournalArticle</b:SourceType>
    <b:Guid>{B3C1DEA9-307C-4476-BFE6-CB96804F6C1C}</b:Guid>
    <b:Author>
      <b:Author>
        <b:NameList>
          <b:Person>
            <b:Last>Johnson</b:Last>
            <b:First>Johnson</b:First>
          </b:Person>
          <b:Person>
            <b:Last>Graham</b:Last>
            <b:First>K.</b:First>
            <b:Middle>Brown</b:Middle>
          </b:Person>
          <b:Person>
            <b:Last>Cyril</b:Last>
            <b:First>Fouillet</b:First>
          </b:Person>
        </b:NameList>
      </b:Author>
    </b:Author>
    <b:Title>The Search for Inclusion in Kenya's Financial Landscape: The Rift Revealed</b:Title>
    <b:JournalName>Financial Sector Deepening</b:JournalName>
    <b:Year>2012</b:Year>
    <b:RefOrder>69</b:RefOrder>
  </b:Source>
  <b:Source>
    <b:Tag>Joh11</b:Tag>
    <b:SourceType>JournalArticle</b:SourceType>
    <b:Guid>{FF62CAA7-0B2C-487B-A139-2D1002325121}</b:Guid>
    <b:Author>
      <b:Author>
        <b:NameList>
          <b:Person>
            <b:Last>Johnson</b:Last>
            <b:First>Susan</b:First>
          </b:Person>
          <b:Person>
            <b:Last>Nino-Zarazua</b:Last>
            <b:First>Max</b:First>
          </b:Person>
        </b:NameList>
      </b:Author>
    </b:Author>
    <b:Title>Financial Access and Exclusion in Kenya and Uganda</b:Title>
    <b:JournalName>Journal of Development Studies Vol. 47 (3)</b:JournalName>
    <b:Year>2011</b:Year>
    <b:Pages>475-496</b:Pages>
    <b:RefOrder>70</b:RefOrder>
  </b:Source>
  <b:Source>
    <b:Tag>Oum17</b:Tag>
    <b:SourceType>JournalArticle</b:SourceType>
    <b:Guid>{AB87A14A-6A60-44B8-B75F-B9B5B276DD04}</b:Guid>
    <b:Author>
      <b:Author>
        <b:NameList>
          <b:Person>
            <b:Last>Ouma</b:Last>
            <b:First>Shem,</b:First>
            <b:Middle>Alfred</b:Middle>
          </b:Person>
          <b:Person>
            <b:Last>Odongo</b:Last>
            <b:First>Maureen,</b:First>
            <b:Middle>Teresa</b:Middle>
          </b:Person>
          <b:Person>
            <b:Last>Were</b:Last>
            <b:First>Maureen</b:First>
          </b:Person>
        </b:NameList>
      </b:Author>
    </b:Author>
    <b:Title>Mobile Financial Services and Financial Inclusion: Is it a Boon for Savings Mobilization?</b:Title>
    <b:JournalName>Review of Development Finance Vol. 7</b:JournalName>
    <b:Year>2017</b:Year>
    <b:Pages>29-35</b:Pages>
    <b:RefOrder>71</b:RefOrder>
  </b:Source>
  <b:Source>
    <b:Tag>San08</b:Tag>
    <b:SourceType>JournalArticle</b:SourceType>
    <b:Guid>{71D80419-631F-463F-A46E-7D348F58E376}</b:Guid>
    <b:Author>
      <b:Author>
        <b:NameList>
          <b:Person>
            <b:Last>Sandys</b:Last>
            <b:First>Edwina</b:First>
          </b:Person>
        </b:NameList>
      </b:Author>
    </b:Author>
    <b:Title>Rural Women in Changing World: Opportunities and Challenges</b:Title>
    <b:JournalName>Company Immigrant</b:JournalName>
    <b:Year>2008</b:Year>
    <b:RefOrder>72</b:RefOrder>
  </b:Source>
  <b:Source>
    <b:Tag>Gro17</b:Tag>
    <b:SourceType>JournalArticle</b:SourceType>
    <b:Guid>{2913AD3C-A7E7-4039-936D-A7E3DCA6B9DE}</b:Guid>
    <b:Author>
      <b:Author>
        <b:NameList>
          <b:Person>
            <b:Last>Grohmann</b:Last>
            <b:First>Antonia</b:First>
            <b:Middle>and Kluhs</b:Middle>
          </b:Person>
          <b:Person>
            <b:Last>Theres and Menkhoff</b:Last>
            <b:First>Lukas</b:First>
          </b:Person>
        </b:NameList>
      </b:Author>
    </b:Author>
    <b:Title>Does Financial Literacy Improve Financial Inclusion? Cross Country Evidence</b:Title>
    <b:JournalName>DIW Berlin Discussion Paper No. 1682</b:JournalName>
    <b:Year>2017</b:Year>
    <b:RefOrder>73</b:RefOrder>
  </b:Source>
  <b:Source>
    <b:Tag>Gro20</b:Tag>
    <b:SourceType>JournalArticle</b:SourceType>
    <b:Guid>{14E7DEC3-17E7-405C-8A91-4AF27F44C398}</b:Guid>
    <b:Author>
      <b:Author>
        <b:NameList>
          <b:Person>
            <b:Last>Grohmann</b:Last>
            <b:First>Antonio</b:First>
          </b:Person>
          <b:Person>
            <b:Last>Lukas</b:Last>
            <b:First>Menkhoff</b:First>
          </b:Person>
        </b:NameList>
      </b:Author>
    </b:Author>
    <b:Title>The Relationships between financial Literacy and Financial Inclusion</b:Title>
    <b:JournalName>DIW Berlin Discussion Paper No. 1914</b:JournalName>
    <b:Year>2020</b:Year>
    <b:RefOrder>74</b:RefOrder>
  </b:Source>
  <b:Source>
    <b:Tag>All12</b:Tag>
    <b:SourceType>JournalArticle</b:SourceType>
    <b:Guid>{198431F6-0445-40AF-ABD0-C9DE2F54A83D}</b:Guid>
    <b:Author>
      <b:Author>
        <b:NameList>
          <b:Person>
            <b:Last>Allen</b:Last>
            <b:First>Franklin</b:First>
            <b:Middle>and Demirguc-kunt</b:Middle>
          </b:Person>
          <b:Person>
            <b:Last>Klapper</b:Last>
            <b:First>Asli</b:First>
            <b:Middle>and</b:Middle>
          </b:Person>
          <b:Person>
            <b:Last>Leora F and Martinez</b:Last>
            <b:First>Peria</b:First>
          </b:Person>
          <b:Person>
            <b:Last>Maria</b:Last>
            <b:First>Solidad</b:First>
          </b:Person>
        </b:NameList>
      </b:Author>
    </b:Author>
    <b:Title>The Foundations of Financial Inclusion: Understanding Ownership and Use of Formal Accounts</b:Title>
    <b:JournalName>World Bank Policy Research Working Paper No. 6290</b:JournalName>
    <b:Year>2012</b:Year>
    <b:RefOrder>75</b:RefOrder>
  </b:Source>
  <b:Source>
    <b:Tag>Has13</b:Tag>
    <b:SourceType>JournalArticle</b:SourceType>
    <b:Guid>{ECF44AD5-FDB3-41D7-B144-A7B42F6C37FA}</b:Guid>
    <b:Title>Determinants of Growth for Women Owned and Operated Micro-Enterprises: The Case of Garissa, Kenya</b:Title>
    <b:Year>2013</b:Year>
    <b:Author>
      <b:Author>
        <b:NameList>
          <b:Person>
            <b:Last>Hassan</b:Last>
            <b:First>B.,</b:First>
            <b:Middle>I.</b:Middle>
          </b:Person>
          <b:Person>
            <b:Last>Mugambi</b:Last>
            <b:First>F.,</b:First>
          </b:Person>
        </b:NameList>
      </b:Author>
    </b:Author>
    <b:JournalName>International Journal of Business ans Commerce</b:JournalName>
    <b:Pages>45-55</b:Pages>
    <b:RefOrder>76</b:RefOrder>
  </b:Source>
  <b:Source>
    <b:Tag>Gwe13</b:Tag>
    <b:SourceType>JournalArticle</b:SourceType>
    <b:Guid>{AD5FC9F5-FB22-4AB7-B851-45486A7EC7E9}</b:Guid>
    <b:Author>
      <b:Author>
        <b:NameList>
          <b:Person>
            <b:Last>Gweyi</b:Last>
            <b:First>M.,</b:First>
            <b:Middle>O.</b:Middle>
          </b:Person>
          <b:Person>
            <b:Last>Ndwiga</b:Last>
            <b:First>P.,</b:First>
            <b:Middle>M.</b:Middle>
          </b:Person>
          <b:Person>
            <b:Last>Karagu</b:Last>
            <b:First>J.,</b:First>
            <b:Middle>M.,</b:Middle>
          </b:Person>
        </b:NameList>
      </b:Author>
    </b:Author>
    <b:Title>An Invesitigation of the Impact of Co0operative movement in Rural Development in Kenya</b:Title>
    <b:JournalName>International Journal of Business and Commerce</b:JournalName>
    <b:Year>2013</b:Year>
    <b:Pages>3(2) 2225 - 2436</b:Pages>
    <b:RefOrder>77</b:RefOrder>
  </b:Source>
  <b:Source>
    <b:Tag>Dem15</b:Tag>
    <b:SourceType>JournalArticle</b:SourceType>
    <b:Guid>{5D24C140-D824-4FFB-A8BF-2E677EACCA1E}</b:Guid>
    <b:Author>
      <b:Author>
        <b:NameList>
          <b:Person>
            <b:Last>Demirguc-kunt</b:Last>
            <b:First>A.</b:First>
          </b:Person>
          <b:Person>
            <b:Last>Klapper</b:Last>
            <b:First>L.</b:First>
          </b:Person>
          <b:Person>
            <b:Last>Singer</b:Last>
            <b:First>D.</b:First>
          </b:Person>
          <b:Person>
            <b:Last>Van</b:Last>
            <b:First>Oudheusden,</b:First>
            <b:Middle>P.</b:Middle>
          </b:Person>
        </b:NameList>
      </b:Author>
    </b:Author>
    <b:Title>Measuring Financial Inclusion Around the World</b:Title>
    <b:JournalName>Policy Research Working Paper 7253</b:JournalName>
    <b:Year>2015</b:Year>
    <b:RefOrder>78</b:RefOrder>
  </b:Source>
  <b:Source>
    <b:Tag>Ath11</b:Tag>
    <b:SourceType>Report</b:SourceType>
    <b:Guid>{80AD24C6-323F-4665-B675-9CFE39976998}</b:Guid>
    <b:Author>
      <b:Author>
        <b:NameList>
          <b:Person>
            <b:Last>Athane</b:Last>
          </b:Person>
        </b:NameList>
      </b:Author>
    </b:Author>
    <b:Title>Entrepreneurship in Kenya</b:Title>
    <b:Year>2011</b:Year>
    <b:City>Nairobi, Kenya</b:City>
    <b:RefOrder>79</b:RefOrder>
  </b:Source>
  <b:Source>
    <b:Tag>Gal99</b:Tag>
    <b:SourceType>Book</b:SourceType>
    <b:Guid>{E6E0352B-E65E-46F2-913D-3FBD0FA2D997}</b:Guid>
    <b:Title>Choosing Appropriate Information Systems Research Approaches: A revised Taxonomy in Information Systems Research: Contemporary Approaches and Emergent Traditions</b:Title>
    <b:Year>1999</b:Year>
    <b:Publisher>Elsevier Science Publishers</b:Publisher>
    <b:City>The Netherlands</b:City>
    <b:Author>
      <b:Author>
        <b:NameList>
          <b:Person>
            <b:Last>Galliers</b:Last>
            <b:First>R.,</b:First>
            <b:Middle>D</b:Middle>
          </b:Person>
        </b:NameList>
      </b:Author>
    </b:Author>
    <b:RefOrder>80</b:RefOrder>
  </b:Source>
  <b:Source>
    <b:Tag>Eas13</b:Tag>
    <b:SourceType>Book</b:SourceType>
    <b:Guid>{802235D1-FF0A-4C31-B985-C6A526E71045}</b:Guid>
    <b:Title>Management Research</b:Title>
    <b:Year>2013</b:Year>
    <b:City>Los Angelos</b:City>
    <b:Publisher>SAGE</b:Publisher>
    <b:Author>
      <b:Author>
        <b:NameList>
          <b:Person>
            <b:Last>Easterby-Smith</b:Last>
            <b:First>M.</b:First>
          </b:Person>
          <b:Person>
            <b:Last>Thorpe</b:Last>
            <b:First>R.</b:First>
          </b:Person>
          <b:Person>
            <b:Last>Jackson</b:Last>
            <b:First>O</b:First>
          </b:Person>
        </b:NameList>
      </b:Author>
    </b:Author>
    <b:RefOrder>81</b:RefOrder>
  </b:Source>
  <b:Source>
    <b:Tag>Asi22</b:Tag>
    <b:SourceType>JournalArticle</b:SourceType>
    <b:Guid>{2596642E-86AA-4B36-8F7D-5FA9C215A469}</b:Guid>
    <b:Title>Digital Financial Inclusion and Literacy From a G20 Perspective</b:Title>
    <b:Year>2022</b:Year>
    <b:Author>
      <b:Author>
        <b:NameList>
          <b:Person>
            <b:Last>Asian-Development-Bank</b:Last>
          </b:Person>
        </b:NameList>
      </b:Author>
    </b:Author>
    <b:JournalName>ADB Institute</b:JournalName>
    <b:RefOrder>82</b:RefOrder>
  </b:Source>
  <b:Source>
    <b:Tag>Bru10</b:Tag>
    <b:SourceType>JournalArticle</b:SourceType>
    <b:Guid>{0C23F686-DA2C-4B90-9EAF-E48DE572FB85}</b:Guid>
    <b:Title>What Does Financial Literacy Training Teach Us?</b:Title>
    <b:JournalName>National Bureau of Economic Research</b:JournalName>
    <b:Year>2010</b:Year>
    <b:Pages>Working Paper 16271</b:Pages>
    <b:Author>
      <b:Author>
        <b:NameList>
          <b:Person>
            <b:Last>Carlin</b:Last>
            <b:First>Bruce,</b:First>
            <b:Middle>Ian</b:Middle>
          </b:Person>
          <b:Person>
            <b:Last>Robinson</b:Last>
            <b:First>Davit,</b:First>
            <b:Middle>T.</b:Middle>
          </b:Person>
        </b:NameList>
      </b:Author>
    </b:Author>
    <b:RefOrder>83</b:RefOrder>
  </b:Source>
  <b:Source>
    <b:Tag>Sow15</b:Tag>
    <b:SourceType>JournalArticle</b:SourceType>
    <b:Guid>{92137B33-A19A-47EC-8DCC-BA7AC0E5F802}</b:Guid>
    <b:Author>
      <b:Author>
        <b:NameList>
          <b:Person>
            <b:Last>Sowjanya</b:Last>
            <b:First>Shetty</b:First>
          </b:Person>
          <b:Person>
            <b:Last>Hans</b:Last>
            <b:First>V.</b:First>
          </b:Person>
          <b:Person>
            <b:Last>Rao</b:Last>
            <b:First>Prakasha,</b:First>
            <b:Middle>Self-Help-Groups</b:Middle>
          </b:Person>
        </b:NameList>
      </b:Author>
    </b:Author>
    <b:Title>Financial Inclusion and Women Empowernment - A Critique</b:Title>
    <b:Year>2015</b:Year>
    <b:RefOrder>84</b:RefOrder>
  </b:Source>
  <b:Source>
    <b:Tag>Ell07</b:Tag>
    <b:SourceType>Report</b:SourceType>
    <b:Guid>{A0001FF8-AABE-47FF-A1DA-46CE5DFDC67E}</b:Guid>
    <b:Author>
      <b:Author>
        <b:NameList>
          <b:Person>
            <b:Last>Ellis</b:Last>
            <b:First>A.</b:First>
          </b:Person>
          <b:Person>
            <b:Last>Cutura</b:Last>
            <b:First>J.</b:First>
          </b:Person>
          <b:Person>
            <b:Last>Dione</b:Last>
            <b:First>N</b:First>
          </b:Person>
          <b:Person>
            <b:Last>Gillson</b:Last>
            <b:First>I</b:First>
          </b:Person>
          <b:Person>
            <b:Last>Mannieel</b:Last>
            <b:First>C</b:First>
          </b:Person>
          <b:Person>
            <b:Last>Thongona</b:Last>
            <b:First>J</b:First>
          </b:Person>
        </b:NameList>
      </b:Author>
    </b:Author>
    <b:Title>Gender and Economic Growth in Kenya: Unleashing the Power of Women</b:Title>
    <b:JournalName>The World Bank</b:JournalName>
    <b:Year>2007</b:Year>
    <b:Publisher>The World Bank</b:Publisher>
    <b:City>Washington, DC</b:City>
    <b:RefOrder>85</b:RefOrder>
  </b:Source>
  <b:Source>
    <b:Tag>IEA08</b:Tag>
    <b:SourceType>Report</b:SourceType>
    <b:Guid>{F3C6B9BE-257A-4A7E-BC5E-ABDD3AB9A247}</b:Guid>
    <b:Author>
      <b:Author>
        <b:NameList>
          <b:Person>
            <b:Last>IEA</b:Last>
          </b:Person>
        </b:NameList>
      </b:Author>
    </b:Author>
    <b:Title>Profile of Women Socio-economic Status in Kenya</b:Title>
    <b:Year>2008</b:Year>
    <b:Publisher>Institute of Economic Affairs</b:Publisher>
    <b:City>Nairobi, Kenya</b:City>
    <b:RefOrder>86</b:RefOrder>
  </b:Source>
  <b:Source>
    <b:Tag>Agb17</b:Tag>
    <b:SourceType>Report</b:SourceType>
    <b:Guid>{BAAFD558-CB6D-4743-86E9-06871DC7977F}</b:Guid>
    <b:Title>Scientific skills and Concept Learning by Rural Women for Personal and National Development</b:Title>
    <b:Year>2017</b:Year>
    <b:Publisher>Department of Science and Technology Education, University of Jos Nigeria</b:Publisher>
    <b:City>Jos, Nigeria</b:City>
    <b:Author>
      <b:Author>
        <b:NameList>
          <b:Person>
            <b:Last>Agbo</b:Last>
            <b:First>Felicia,</b:First>
            <b:Middle>Onyemowo</b:Middle>
          </b:Person>
          <b:Person>
            <b:Last>Isa</b:Last>
            <b:First>Ali,</b:First>
            <b:Middle>Muluku, A</b:Middle>
          </b:Person>
        </b:NameList>
      </b:Author>
    </b:Author>
    <b:RefOrder>87</b:RefOrder>
  </b:Source>
  <b:Source>
    <b:Tag>UNR22</b:Tag>
    <b:SourceType>Report</b:SourceType>
    <b:Guid>{906F5E66-75AE-4492-A4D4-7FB0E00E9E10}</b:Guid>
    <b:Author>
      <b:Author>
        <b:NameList>
          <b:Person>
            <b:Last>UN</b:Last>
            <b:First>Report</b:First>
          </b:Person>
        </b:NameList>
      </b:Author>
    </b:Author>
    <b:Title>The Role of Women in Rural Development, food Production and Poverty Eradication</b:Title>
    <b:Year>2022</b:Year>
    <b:Publisher>UN Women East and South Africa</b:Publisher>
    <b:RefOrder>88</b:RefOrder>
  </b:Source>
  <b:Source>
    <b:Tag>NGE21</b:Tag>
    <b:SourceType>Report</b:SourceType>
    <b:Guid>{9A3F48EF-DC11-4E2B-8158-80BB395E5D4D}</b:Guid>
    <b:Author>
      <b:Author>
        <b:NameList>
          <b:Person>
            <b:Last>NGEC</b:Last>
          </b:Person>
        </b:NameList>
      </b:Author>
    </b:Author>
    <b:Title>Statement on the International Day for Rural Women</b:Title>
    <b:Year>2021</b:Year>
    <b:Publisher>NGEC</b:Publisher>
    <b:RefOrder>89</b:RefOrder>
  </b:Source>
  <b:Source>
    <b:Tag>Bon16</b:Tag>
    <b:SourceType>JournalArticle</b:SourceType>
    <b:Guid>{39D6A27F-BEA9-4164-B311-296F533997CF}</b:Guid>
    <b:Title>Financial Literacy Improvement among Women in Developing Nations: A Case of Zimbabwe</b:Title>
    <b:Year>2016</b:Year>
    <b:Author>
      <b:Author>
        <b:NameList>
          <b:Person>
            <b:Last>Bonga</b:Last>
            <b:First>W.,</b:First>
            <b:Middle>G</b:Middle>
          </b:Person>
          <b:Person>
            <b:Last>Mlambo</b:Last>
            <b:First>N</b:First>
          </b:Person>
        </b:NameList>
      </b:Author>
    </b:Author>
    <b:JournalName>Journal of Research in Businmess and Management</b:JournalName>
    <b:Pages>4(5) 22-31</b:Pages>
    <b:RefOrder>90</b:RefOrder>
  </b:Source>
  <b:Source>
    <b:Tag>Chi21</b:Tag>
    <b:SourceType>JournalArticle</b:SourceType>
    <b:Guid>{43C3334B-CE87-409F-B693-FC31B80D3A75}</b:Guid>
    <b:Title>The Impact of Financial Inclusion on the Economic Empowerment of Nigerian Women</b:Title>
    <b:JournalName>Social Science Research Network</b:JournalName>
    <b:Year>2021</b:Year>
    <b:Author>
      <b:Author>
        <b:NameList>
          <b:Person>
            <b:Last>Chidnma</b:Last>
            <b:First>Onukogu</b:First>
          </b:Person>
        </b:NameList>
      </b:Author>
    </b:Author>
    <b:RefOrder>91</b:RefOrder>
  </b:Source>
  <b:Source>
    <b:Tag>Als22</b:Tag>
    <b:SourceType>JournalArticle</b:SourceType>
    <b:Guid>{CF7F6FA6-48F3-4EBF-8529-CCF2A07B89D2}</b:Guid>
    <b:Author>
      <b:Author>
        <b:NameList>
          <b:Person>
            <b:Last>Alsmadi</b:Last>
            <b:First>O.,</b:First>
            <b:Middle>Mohammad</b:Middle>
          </b:Person>
        </b:NameList>
      </b:Author>
    </b:Author>
    <b:Title>Examining the Relationship Between Digital Finance and Financial Inclusion: Evidence of MENA Countries</b:Title>
    <b:JournalName>Borsa Instabul Review</b:JournalName>
    <b:Year>2022</b:Year>
    <b:RefOrder>92</b:RefOrder>
  </b:Source>
  <b:Source>
    <b:Tag>Oti10</b:Tag>
    <b:SourceType>JournalArticle</b:SourceType>
    <b:Guid>{789526AD-1201-4532-9532-4F9D9E86CE91}</b:Guid>
    <b:Title>Non Credit SErvices of Group Based Financial Institutions: Implications for Small Holder Womens Own Income in Arid and Semi-Arid Lands in Kenya</b:Title>
    <b:JournalName>African Journal of Agricultural Research</b:JournalName>
    <b:Year>2010</b:Year>
    <b:Pages>5(5)</b:Pages>
    <b:Author>
      <b:Author>
        <b:NameList>
          <b:Person>
            <b:Last>Otieno</b:Last>
            <b:First>P.,</b:First>
            <b:Middle>S</b:Middle>
          </b:Person>
          <b:Person>
            <b:Last>Nyikal</b:Last>
            <b:First>R.,</b:First>
            <b:Middle>A</b:Middle>
          </b:Person>
          <b:Person>
            <b:Last>Mugirane</b:Last>
            <b:First>F.,</b:First>
            <b:Middle>I</b:Middle>
          </b:Person>
        </b:NameList>
      </b:Author>
    </b:Author>
    <b:RefOrder>93</b:RefOrder>
  </b:Source>
  <b:Source>
    <b:Tag>Zul16</b:Tag>
    <b:SourceType>JournalArticle</b:SourceType>
    <b:Guid>{29F6C043-7150-44C2-AD2C-4D01AC413299}</b:Guid>
    <b:Author>
      <b:Author>
        <b:NameList>
          <b:Person>
            <b:Last>Zulfiqar</b:Last>
            <b:First>K</b:First>
          </b:Person>
          <b:Person>
            <b:Last>Chaudhary</b:Last>
            <b:First>M.,</b:First>
            <b:Middle>A</b:Middle>
          </b:Person>
          <b:Person>
            <b:Last>Aslam</b:Last>
            <b:First>A</b:First>
          </b:Person>
        </b:NameList>
      </b:Author>
    </b:Author>
    <b:Title>Financial Inclusion and Its Implications for Inclusive Growth in Pakistan</b:Title>
    <b:JournalName>Pakistan Economic and Social Review</b:JournalName>
    <b:Year>2016</b:Year>
    <b:Pages>54(2) 297-325</b:Pages>
    <b:RefOrder>94</b:RefOrder>
  </b:Source>
  <b:Source>
    <b:Tag>Sar11</b:Tag>
    <b:SourceType>JournalArticle</b:SourceType>
    <b:Guid>{FFAAD439-6DB1-44F6-ADA6-574AB2199DE6}</b:Guid>
    <b:Author>
      <b:Author>
        <b:NameList>
          <b:Person>
            <b:Last>Sarma</b:Last>
            <b:First>Mandira</b:First>
          </b:Person>
          <b:Person>
            <b:Last>Pais</b:Last>
            <b:First>Jesim</b:First>
          </b:Person>
        </b:NameList>
      </b:Author>
    </b:Author>
    <b:Title>Financial Inclusion and Development: A Cross Country Analysis</b:Title>
    <b:JournalName>Journal of International Development</b:JournalName>
    <b:Year>2011</b:Year>
    <b:Pages>23(5) 613-628</b:Pages>
    <b:RefOrder>95</b:RefOrder>
  </b:Source>
  <b:Source>
    <b:Tag>Sal18</b:Tag>
    <b:SourceType>JournalArticle</b:SourceType>
    <b:Guid>{456DB0CB-8A5F-433C-82AB-40A43C3826F4}</b:Guid>
    <b:Author>
      <b:Author>
        <b:NameList>
          <b:Person>
            <b:Last>Salvatore</b:Last>
            <b:First>Di,</b:First>
            <b:Middle>Antonietta</b:Middle>
          </b:Person>
          <b:Person>
            <b:Last>Francesco</b:Last>
            <b:First>Franceschi</b:First>
          </b:Person>
          <b:Person>
            <b:Last>Andrea</b:Last>
            <b:First>Neri,</b:First>
            <b:Middle>Francesca, Zanichelli</b:Middle>
          </b:Person>
        </b:NameList>
      </b:Author>
    </b:Author>
    <b:Title>Measuring the Financial Literacy of the Adult Population: The Experience of Banca D'Italia</b:Title>
    <b:JournalName>Bank of Italy Occassional Paper</b:JournalName>
    <b:Year>2018</b:Year>
    <b:Pages>435</b:Pages>
    <b:RefOrder>96</b:RefOrder>
  </b:Source>
  <b:Source>
    <b:Tag>Kum20</b:Tag>
    <b:SourceType>JournalArticle</b:SourceType>
    <b:Guid>{33D46922-B613-4D6D-84EA-69846FB26C9C}</b:Guid>
    <b:Author>
      <b:Author>
        <b:NameList>
          <b:Person>
            <b:Last>Kumar</b:Last>
            <b:First>Jitarmaender</b:First>
          </b:Person>
          <b:Person>
            <b:Last>Bansal</b:Last>
          </b:Person>
        </b:NameList>
      </b:Author>
    </b:Author>
    <b:Title>Impact of Financial Literacy and Access to Banking Services on Financial Well Being: An Empirical Study</b:Title>
    <b:JournalName>International Journal of Management</b:JournalName>
    <b:Year>2020</b:Year>
    <b:Pages>Vol. 11 Issue 12</b:Pages>
    <b:RefOrder>97</b:RefOrder>
  </b:Source>
  <b:Source>
    <b:Tag>Gac14</b:Tag>
    <b:SourceType>JournalArticle</b:SourceType>
    <b:Guid>{A2E56CFF-E539-402D-A7DB-0ADCF1331CC8}</b:Guid>
    <b:Title>Effect of Financial Literacy on Personal Financial Management Practices: A Case of Employees in Finnace and Banking Institutions in Kenya</b:Title>
    <b:JournalName>Research Paper</b:JournalName>
    <b:Year>2014</b:Year>
    <b:Author>
      <b:Author>
        <b:NameList>
          <b:Person>
            <b:Last>Gachango</b:Last>
            <b:First>D.,</b:First>
            <b:Middle>M</b:Middle>
          </b:Person>
        </b:NameList>
      </b:Author>
    </b:Author>
    <b:RefOrder>98</b:RefOrder>
  </b:Source>
  <b:Source>
    <b:Tag>Dee15</b:Tag>
    <b:SourceType>JournalArticle</b:SourceType>
    <b:Guid>{51D1F274-1328-4C34-8BC0-2FF4870EB9E8}</b:Guid>
    <b:Author>
      <b:Author>
        <b:NameList>
          <b:Person>
            <b:Last>Deepak</b:Last>
            <b:First>CA</b:First>
          </b:Person>
        </b:NameList>
      </b:Author>
    </b:Author>
    <b:Title>Financial Literacy Among Investors: Theory and Critical Review of Literature</b:Title>
    <b:JournalName>Social Science Research Network</b:JournalName>
    <b:Year>2015</b:Year>
    <b:RefOrder>99</b:RefOrder>
  </b:Source>
  <b:Source>
    <b:Tag>Zai14</b:Tag>
    <b:SourceType>JournalArticle</b:SourceType>
    <b:Guid>{2581BC40-2E2C-46CF-9C35-A96C2D2761CE}</b:Guid>
    <b:Author>
      <b:Author>
        <b:NameList>
          <b:Person>
            <b:Last>Zait</b:Last>
            <b:First>Adrian</b:First>
          </b:Person>
          <b:Person>
            <b:Last>Bertea</b:Last>
            <b:First>Patricea,</b:First>
            <b:Middle>Elena</b:Middle>
          </b:Person>
        </b:NameList>
      </b:Author>
    </b:Author>
    <b:Title>inancial Literacy: Conceptual Definition and Proposed Approach for a Measurement Instrument</b:Title>
    <b:JournalName>Journal of Accounting and Management</b:JournalName>
    <b:Year>2014</b:Year>
    <b:Pages>Issue 3 33-47</b:Pages>
    <b:RefOrder>100</b:RefOrder>
  </b:Source>
  <b:Source>
    <b:Tag>Sid20</b:Tag>
    <b:SourceType>Book</b:SourceType>
    <b:Guid>{EDD2C815-B266-4B8C-AE25-6883C794CFBE}</b:Guid>
    <b:Author>
      <b:Author>
        <b:NameList>
          <b:Person>
            <b:Last>Siddik</b:Last>
            <b:First>Md.,</b:First>
            <b:Middle>Nur, Alam</b:Middle>
          </b:Person>
          <b:Person>
            <b:Last>Kabiraj</b:Last>
            <b:First>Safal</b:First>
          </b:Person>
        </b:NameList>
      </b:Author>
    </b:Author>
    <b:Title>Digital Finance for Financial Inclusion and Inclusive Growth</b:Title>
    <b:Year>2020</b:Year>
    <b:Publisher>Springer Books</b:Publisher>
    <b:RefOrder>101</b:RefOrder>
  </b:Source>
</b:Sources>
</file>

<file path=customXml/itemProps1.xml><?xml version="1.0" encoding="utf-8"?>
<ds:datastoreItem xmlns:ds="http://schemas.openxmlformats.org/officeDocument/2006/customXml" ds:itemID="{8D525B85-70DE-4062-BFB8-356E1FDE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7957</Words>
  <Characters>45355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53206</CharactersWithSpaces>
  <SharedDoc>false</SharedDoc>
  <HLinks>
    <vt:vector size="312" baseType="variant">
      <vt:variant>
        <vt:i4>2031675</vt:i4>
      </vt:variant>
      <vt:variant>
        <vt:i4>314</vt:i4>
      </vt:variant>
      <vt:variant>
        <vt:i4>0</vt:i4>
      </vt:variant>
      <vt:variant>
        <vt:i4>5</vt:i4>
      </vt:variant>
      <vt:variant>
        <vt:lpwstr/>
      </vt:variant>
      <vt:variant>
        <vt:lpwstr>_Toc143609931</vt:lpwstr>
      </vt:variant>
      <vt:variant>
        <vt:i4>1572923</vt:i4>
      </vt:variant>
      <vt:variant>
        <vt:i4>305</vt:i4>
      </vt:variant>
      <vt:variant>
        <vt:i4>0</vt:i4>
      </vt:variant>
      <vt:variant>
        <vt:i4>5</vt:i4>
      </vt:variant>
      <vt:variant>
        <vt:lpwstr/>
      </vt:variant>
      <vt:variant>
        <vt:lpwstr>_Toc143609945</vt:lpwstr>
      </vt:variant>
      <vt:variant>
        <vt:i4>1572923</vt:i4>
      </vt:variant>
      <vt:variant>
        <vt:i4>299</vt:i4>
      </vt:variant>
      <vt:variant>
        <vt:i4>0</vt:i4>
      </vt:variant>
      <vt:variant>
        <vt:i4>5</vt:i4>
      </vt:variant>
      <vt:variant>
        <vt:lpwstr/>
      </vt:variant>
      <vt:variant>
        <vt:lpwstr>_Toc143609944</vt:lpwstr>
      </vt:variant>
      <vt:variant>
        <vt:i4>1441850</vt:i4>
      </vt:variant>
      <vt:variant>
        <vt:i4>290</vt:i4>
      </vt:variant>
      <vt:variant>
        <vt:i4>0</vt:i4>
      </vt:variant>
      <vt:variant>
        <vt:i4>5</vt:i4>
      </vt:variant>
      <vt:variant>
        <vt:lpwstr/>
      </vt:variant>
      <vt:variant>
        <vt:lpwstr>_Toc143612910</vt:lpwstr>
      </vt:variant>
      <vt:variant>
        <vt:i4>1507386</vt:i4>
      </vt:variant>
      <vt:variant>
        <vt:i4>284</vt:i4>
      </vt:variant>
      <vt:variant>
        <vt:i4>0</vt:i4>
      </vt:variant>
      <vt:variant>
        <vt:i4>5</vt:i4>
      </vt:variant>
      <vt:variant>
        <vt:lpwstr/>
      </vt:variant>
      <vt:variant>
        <vt:lpwstr>_Toc143612909</vt:lpwstr>
      </vt:variant>
      <vt:variant>
        <vt:i4>1507386</vt:i4>
      </vt:variant>
      <vt:variant>
        <vt:i4>278</vt:i4>
      </vt:variant>
      <vt:variant>
        <vt:i4>0</vt:i4>
      </vt:variant>
      <vt:variant>
        <vt:i4>5</vt:i4>
      </vt:variant>
      <vt:variant>
        <vt:lpwstr/>
      </vt:variant>
      <vt:variant>
        <vt:lpwstr>_Toc143612908</vt:lpwstr>
      </vt:variant>
      <vt:variant>
        <vt:i4>1507386</vt:i4>
      </vt:variant>
      <vt:variant>
        <vt:i4>272</vt:i4>
      </vt:variant>
      <vt:variant>
        <vt:i4>0</vt:i4>
      </vt:variant>
      <vt:variant>
        <vt:i4>5</vt:i4>
      </vt:variant>
      <vt:variant>
        <vt:lpwstr/>
      </vt:variant>
      <vt:variant>
        <vt:lpwstr>_Toc143612907</vt:lpwstr>
      </vt:variant>
      <vt:variant>
        <vt:i4>1507386</vt:i4>
      </vt:variant>
      <vt:variant>
        <vt:i4>266</vt:i4>
      </vt:variant>
      <vt:variant>
        <vt:i4>0</vt:i4>
      </vt:variant>
      <vt:variant>
        <vt:i4>5</vt:i4>
      </vt:variant>
      <vt:variant>
        <vt:lpwstr/>
      </vt:variant>
      <vt:variant>
        <vt:lpwstr>_Toc143612906</vt:lpwstr>
      </vt:variant>
      <vt:variant>
        <vt:i4>1507386</vt:i4>
      </vt:variant>
      <vt:variant>
        <vt:i4>260</vt:i4>
      </vt:variant>
      <vt:variant>
        <vt:i4>0</vt:i4>
      </vt:variant>
      <vt:variant>
        <vt:i4>5</vt:i4>
      </vt:variant>
      <vt:variant>
        <vt:lpwstr/>
      </vt:variant>
      <vt:variant>
        <vt:lpwstr>_Toc143612905</vt:lpwstr>
      </vt:variant>
      <vt:variant>
        <vt:i4>1507386</vt:i4>
      </vt:variant>
      <vt:variant>
        <vt:i4>254</vt:i4>
      </vt:variant>
      <vt:variant>
        <vt:i4>0</vt:i4>
      </vt:variant>
      <vt:variant>
        <vt:i4>5</vt:i4>
      </vt:variant>
      <vt:variant>
        <vt:lpwstr/>
      </vt:variant>
      <vt:variant>
        <vt:lpwstr>_Toc143612904</vt:lpwstr>
      </vt:variant>
      <vt:variant>
        <vt:i4>1507386</vt:i4>
      </vt:variant>
      <vt:variant>
        <vt:i4>248</vt:i4>
      </vt:variant>
      <vt:variant>
        <vt:i4>0</vt:i4>
      </vt:variant>
      <vt:variant>
        <vt:i4>5</vt:i4>
      </vt:variant>
      <vt:variant>
        <vt:lpwstr/>
      </vt:variant>
      <vt:variant>
        <vt:lpwstr>_Toc143612903</vt:lpwstr>
      </vt:variant>
      <vt:variant>
        <vt:i4>1507386</vt:i4>
      </vt:variant>
      <vt:variant>
        <vt:i4>242</vt:i4>
      </vt:variant>
      <vt:variant>
        <vt:i4>0</vt:i4>
      </vt:variant>
      <vt:variant>
        <vt:i4>5</vt:i4>
      </vt:variant>
      <vt:variant>
        <vt:lpwstr/>
      </vt:variant>
      <vt:variant>
        <vt:lpwstr>_Toc143612902</vt:lpwstr>
      </vt:variant>
      <vt:variant>
        <vt:i4>1507386</vt:i4>
      </vt:variant>
      <vt:variant>
        <vt:i4>236</vt:i4>
      </vt:variant>
      <vt:variant>
        <vt:i4>0</vt:i4>
      </vt:variant>
      <vt:variant>
        <vt:i4>5</vt:i4>
      </vt:variant>
      <vt:variant>
        <vt:lpwstr/>
      </vt:variant>
      <vt:variant>
        <vt:lpwstr>_Toc143612901</vt:lpwstr>
      </vt:variant>
      <vt:variant>
        <vt:i4>1507386</vt:i4>
      </vt:variant>
      <vt:variant>
        <vt:i4>230</vt:i4>
      </vt:variant>
      <vt:variant>
        <vt:i4>0</vt:i4>
      </vt:variant>
      <vt:variant>
        <vt:i4>5</vt:i4>
      </vt:variant>
      <vt:variant>
        <vt:lpwstr/>
      </vt:variant>
      <vt:variant>
        <vt:lpwstr>_Toc143612900</vt:lpwstr>
      </vt:variant>
      <vt:variant>
        <vt:i4>1966139</vt:i4>
      </vt:variant>
      <vt:variant>
        <vt:i4>224</vt:i4>
      </vt:variant>
      <vt:variant>
        <vt:i4>0</vt:i4>
      </vt:variant>
      <vt:variant>
        <vt:i4>5</vt:i4>
      </vt:variant>
      <vt:variant>
        <vt:lpwstr/>
      </vt:variant>
      <vt:variant>
        <vt:lpwstr>_Toc143612899</vt:lpwstr>
      </vt:variant>
      <vt:variant>
        <vt:i4>1966139</vt:i4>
      </vt:variant>
      <vt:variant>
        <vt:i4>218</vt:i4>
      </vt:variant>
      <vt:variant>
        <vt:i4>0</vt:i4>
      </vt:variant>
      <vt:variant>
        <vt:i4>5</vt:i4>
      </vt:variant>
      <vt:variant>
        <vt:lpwstr/>
      </vt:variant>
      <vt:variant>
        <vt:lpwstr>_Toc143612898</vt:lpwstr>
      </vt:variant>
      <vt:variant>
        <vt:i4>1966139</vt:i4>
      </vt:variant>
      <vt:variant>
        <vt:i4>212</vt:i4>
      </vt:variant>
      <vt:variant>
        <vt:i4>0</vt:i4>
      </vt:variant>
      <vt:variant>
        <vt:i4>5</vt:i4>
      </vt:variant>
      <vt:variant>
        <vt:lpwstr/>
      </vt:variant>
      <vt:variant>
        <vt:lpwstr>_Toc143612897</vt:lpwstr>
      </vt:variant>
      <vt:variant>
        <vt:i4>1966139</vt:i4>
      </vt:variant>
      <vt:variant>
        <vt:i4>206</vt:i4>
      </vt:variant>
      <vt:variant>
        <vt:i4>0</vt:i4>
      </vt:variant>
      <vt:variant>
        <vt:i4>5</vt:i4>
      </vt:variant>
      <vt:variant>
        <vt:lpwstr/>
      </vt:variant>
      <vt:variant>
        <vt:lpwstr>_Toc143612896</vt:lpwstr>
      </vt:variant>
      <vt:variant>
        <vt:i4>1966139</vt:i4>
      </vt:variant>
      <vt:variant>
        <vt:i4>200</vt:i4>
      </vt:variant>
      <vt:variant>
        <vt:i4>0</vt:i4>
      </vt:variant>
      <vt:variant>
        <vt:i4>5</vt:i4>
      </vt:variant>
      <vt:variant>
        <vt:lpwstr/>
      </vt:variant>
      <vt:variant>
        <vt:lpwstr>_Toc143612895</vt:lpwstr>
      </vt:variant>
      <vt:variant>
        <vt:i4>1966139</vt:i4>
      </vt:variant>
      <vt:variant>
        <vt:i4>194</vt:i4>
      </vt:variant>
      <vt:variant>
        <vt:i4>0</vt:i4>
      </vt:variant>
      <vt:variant>
        <vt:i4>5</vt:i4>
      </vt:variant>
      <vt:variant>
        <vt:lpwstr/>
      </vt:variant>
      <vt:variant>
        <vt:lpwstr>_Toc143612894</vt:lpwstr>
      </vt:variant>
      <vt:variant>
        <vt:i4>1966139</vt:i4>
      </vt:variant>
      <vt:variant>
        <vt:i4>188</vt:i4>
      </vt:variant>
      <vt:variant>
        <vt:i4>0</vt:i4>
      </vt:variant>
      <vt:variant>
        <vt:i4>5</vt:i4>
      </vt:variant>
      <vt:variant>
        <vt:lpwstr/>
      </vt:variant>
      <vt:variant>
        <vt:lpwstr>_Toc143612893</vt:lpwstr>
      </vt:variant>
      <vt:variant>
        <vt:i4>1966139</vt:i4>
      </vt:variant>
      <vt:variant>
        <vt:i4>182</vt:i4>
      </vt:variant>
      <vt:variant>
        <vt:i4>0</vt:i4>
      </vt:variant>
      <vt:variant>
        <vt:i4>5</vt:i4>
      </vt:variant>
      <vt:variant>
        <vt:lpwstr/>
      </vt:variant>
      <vt:variant>
        <vt:lpwstr>_Toc143612892</vt:lpwstr>
      </vt:variant>
      <vt:variant>
        <vt:i4>1966139</vt:i4>
      </vt:variant>
      <vt:variant>
        <vt:i4>176</vt:i4>
      </vt:variant>
      <vt:variant>
        <vt:i4>0</vt:i4>
      </vt:variant>
      <vt:variant>
        <vt:i4>5</vt:i4>
      </vt:variant>
      <vt:variant>
        <vt:lpwstr/>
      </vt:variant>
      <vt:variant>
        <vt:lpwstr>_Toc143612891</vt:lpwstr>
      </vt:variant>
      <vt:variant>
        <vt:i4>1966139</vt:i4>
      </vt:variant>
      <vt:variant>
        <vt:i4>170</vt:i4>
      </vt:variant>
      <vt:variant>
        <vt:i4>0</vt:i4>
      </vt:variant>
      <vt:variant>
        <vt:i4>5</vt:i4>
      </vt:variant>
      <vt:variant>
        <vt:lpwstr/>
      </vt:variant>
      <vt:variant>
        <vt:lpwstr>_Toc143612890</vt:lpwstr>
      </vt:variant>
      <vt:variant>
        <vt:i4>2031675</vt:i4>
      </vt:variant>
      <vt:variant>
        <vt:i4>164</vt:i4>
      </vt:variant>
      <vt:variant>
        <vt:i4>0</vt:i4>
      </vt:variant>
      <vt:variant>
        <vt:i4>5</vt:i4>
      </vt:variant>
      <vt:variant>
        <vt:lpwstr/>
      </vt:variant>
      <vt:variant>
        <vt:lpwstr>_Toc143612889</vt:lpwstr>
      </vt:variant>
      <vt:variant>
        <vt:i4>2031675</vt:i4>
      </vt:variant>
      <vt:variant>
        <vt:i4>158</vt:i4>
      </vt:variant>
      <vt:variant>
        <vt:i4>0</vt:i4>
      </vt:variant>
      <vt:variant>
        <vt:i4>5</vt:i4>
      </vt:variant>
      <vt:variant>
        <vt:lpwstr/>
      </vt:variant>
      <vt:variant>
        <vt:lpwstr>_Toc143612888</vt:lpwstr>
      </vt:variant>
      <vt:variant>
        <vt:i4>2031675</vt:i4>
      </vt:variant>
      <vt:variant>
        <vt:i4>152</vt:i4>
      </vt:variant>
      <vt:variant>
        <vt:i4>0</vt:i4>
      </vt:variant>
      <vt:variant>
        <vt:i4>5</vt:i4>
      </vt:variant>
      <vt:variant>
        <vt:lpwstr/>
      </vt:variant>
      <vt:variant>
        <vt:lpwstr>_Toc143612887</vt:lpwstr>
      </vt:variant>
      <vt:variant>
        <vt:i4>2031675</vt:i4>
      </vt:variant>
      <vt:variant>
        <vt:i4>146</vt:i4>
      </vt:variant>
      <vt:variant>
        <vt:i4>0</vt:i4>
      </vt:variant>
      <vt:variant>
        <vt:i4>5</vt:i4>
      </vt:variant>
      <vt:variant>
        <vt:lpwstr/>
      </vt:variant>
      <vt:variant>
        <vt:lpwstr>_Toc143612886</vt:lpwstr>
      </vt:variant>
      <vt:variant>
        <vt:i4>2031675</vt:i4>
      </vt:variant>
      <vt:variant>
        <vt:i4>140</vt:i4>
      </vt:variant>
      <vt:variant>
        <vt:i4>0</vt:i4>
      </vt:variant>
      <vt:variant>
        <vt:i4>5</vt:i4>
      </vt:variant>
      <vt:variant>
        <vt:lpwstr/>
      </vt:variant>
      <vt:variant>
        <vt:lpwstr>_Toc143612885</vt:lpwstr>
      </vt:variant>
      <vt:variant>
        <vt:i4>2031675</vt:i4>
      </vt:variant>
      <vt:variant>
        <vt:i4>134</vt:i4>
      </vt:variant>
      <vt:variant>
        <vt:i4>0</vt:i4>
      </vt:variant>
      <vt:variant>
        <vt:i4>5</vt:i4>
      </vt:variant>
      <vt:variant>
        <vt:lpwstr/>
      </vt:variant>
      <vt:variant>
        <vt:lpwstr>_Toc143612884</vt:lpwstr>
      </vt:variant>
      <vt:variant>
        <vt:i4>2031675</vt:i4>
      </vt:variant>
      <vt:variant>
        <vt:i4>128</vt:i4>
      </vt:variant>
      <vt:variant>
        <vt:i4>0</vt:i4>
      </vt:variant>
      <vt:variant>
        <vt:i4>5</vt:i4>
      </vt:variant>
      <vt:variant>
        <vt:lpwstr/>
      </vt:variant>
      <vt:variant>
        <vt:lpwstr>_Toc143612883</vt:lpwstr>
      </vt:variant>
      <vt:variant>
        <vt:i4>2031675</vt:i4>
      </vt:variant>
      <vt:variant>
        <vt:i4>122</vt:i4>
      </vt:variant>
      <vt:variant>
        <vt:i4>0</vt:i4>
      </vt:variant>
      <vt:variant>
        <vt:i4>5</vt:i4>
      </vt:variant>
      <vt:variant>
        <vt:lpwstr/>
      </vt:variant>
      <vt:variant>
        <vt:lpwstr>_Toc143612882</vt:lpwstr>
      </vt:variant>
      <vt:variant>
        <vt:i4>2031675</vt:i4>
      </vt:variant>
      <vt:variant>
        <vt:i4>116</vt:i4>
      </vt:variant>
      <vt:variant>
        <vt:i4>0</vt:i4>
      </vt:variant>
      <vt:variant>
        <vt:i4>5</vt:i4>
      </vt:variant>
      <vt:variant>
        <vt:lpwstr/>
      </vt:variant>
      <vt:variant>
        <vt:lpwstr>_Toc143612881</vt:lpwstr>
      </vt:variant>
      <vt:variant>
        <vt:i4>2031675</vt:i4>
      </vt:variant>
      <vt:variant>
        <vt:i4>110</vt:i4>
      </vt:variant>
      <vt:variant>
        <vt:i4>0</vt:i4>
      </vt:variant>
      <vt:variant>
        <vt:i4>5</vt:i4>
      </vt:variant>
      <vt:variant>
        <vt:lpwstr/>
      </vt:variant>
      <vt:variant>
        <vt:lpwstr>_Toc143612880</vt:lpwstr>
      </vt:variant>
      <vt:variant>
        <vt:i4>1048635</vt:i4>
      </vt:variant>
      <vt:variant>
        <vt:i4>104</vt:i4>
      </vt:variant>
      <vt:variant>
        <vt:i4>0</vt:i4>
      </vt:variant>
      <vt:variant>
        <vt:i4>5</vt:i4>
      </vt:variant>
      <vt:variant>
        <vt:lpwstr/>
      </vt:variant>
      <vt:variant>
        <vt:lpwstr>_Toc143612879</vt:lpwstr>
      </vt:variant>
      <vt:variant>
        <vt:i4>1048635</vt:i4>
      </vt:variant>
      <vt:variant>
        <vt:i4>98</vt:i4>
      </vt:variant>
      <vt:variant>
        <vt:i4>0</vt:i4>
      </vt:variant>
      <vt:variant>
        <vt:i4>5</vt:i4>
      </vt:variant>
      <vt:variant>
        <vt:lpwstr/>
      </vt:variant>
      <vt:variant>
        <vt:lpwstr>_Toc143612878</vt:lpwstr>
      </vt:variant>
      <vt:variant>
        <vt:i4>1048635</vt:i4>
      </vt:variant>
      <vt:variant>
        <vt:i4>92</vt:i4>
      </vt:variant>
      <vt:variant>
        <vt:i4>0</vt:i4>
      </vt:variant>
      <vt:variant>
        <vt:i4>5</vt:i4>
      </vt:variant>
      <vt:variant>
        <vt:lpwstr/>
      </vt:variant>
      <vt:variant>
        <vt:lpwstr>_Toc143612877</vt:lpwstr>
      </vt:variant>
      <vt:variant>
        <vt:i4>1048635</vt:i4>
      </vt:variant>
      <vt:variant>
        <vt:i4>86</vt:i4>
      </vt:variant>
      <vt:variant>
        <vt:i4>0</vt:i4>
      </vt:variant>
      <vt:variant>
        <vt:i4>5</vt:i4>
      </vt:variant>
      <vt:variant>
        <vt:lpwstr/>
      </vt:variant>
      <vt:variant>
        <vt:lpwstr>_Toc143612876</vt:lpwstr>
      </vt:variant>
      <vt:variant>
        <vt:i4>1048635</vt:i4>
      </vt:variant>
      <vt:variant>
        <vt:i4>80</vt:i4>
      </vt:variant>
      <vt:variant>
        <vt:i4>0</vt:i4>
      </vt:variant>
      <vt:variant>
        <vt:i4>5</vt:i4>
      </vt:variant>
      <vt:variant>
        <vt:lpwstr/>
      </vt:variant>
      <vt:variant>
        <vt:lpwstr>_Toc143612875</vt:lpwstr>
      </vt:variant>
      <vt:variant>
        <vt:i4>1048635</vt:i4>
      </vt:variant>
      <vt:variant>
        <vt:i4>74</vt:i4>
      </vt:variant>
      <vt:variant>
        <vt:i4>0</vt:i4>
      </vt:variant>
      <vt:variant>
        <vt:i4>5</vt:i4>
      </vt:variant>
      <vt:variant>
        <vt:lpwstr/>
      </vt:variant>
      <vt:variant>
        <vt:lpwstr>_Toc143612874</vt:lpwstr>
      </vt:variant>
      <vt:variant>
        <vt:i4>1048635</vt:i4>
      </vt:variant>
      <vt:variant>
        <vt:i4>68</vt:i4>
      </vt:variant>
      <vt:variant>
        <vt:i4>0</vt:i4>
      </vt:variant>
      <vt:variant>
        <vt:i4>5</vt:i4>
      </vt:variant>
      <vt:variant>
        <vt:lpwstr/>
      </vt:variant>
      <vt:variant>
        <vt:lpwstr>_Toc143612873</vt:lpwstr>
      </vt:variant>
      <vt:variant>
        <vt:i4>1048635</vt:i4>
      </vt:variant>
      <vt:variant>
        <vt:i4>62</vt:i4>
      </vt:variant>
      <vt:variant>
        <vt:i4>0</vt:i4>
      </vt:variant>
      <vt:variant>
        <vt:i4>5</vt:i4>
      </vt:variant>
      <vt:variant>
        <vt:lpwstr/>
      </vt:variant>
      <vt:variant>
        <vt:lpwstr>_Toc143612872</vt:lpwstr>
      </vt:variant>
      <vt:variant>
        <vt:i4>1048635</vt:i4>
      </vt:variant>
      <vt:variant>
        <vt:i4>56</vt:i4>
      </vt:variant>
      <vt:variant>
        <vt:i4>0</vt:i4>
      </vt:variant>
      <vt:variant>
        <vt:i4>5</vt:i4>
      </vt:variant>
      <vt:variant>
        <vt:lpwstr/>
      </vt:variant>
      <vt:variant>
        <vt:lpwstr>_Toc143612871</vt:lpwstr>
      </vt:variant>
      <vt:variant>
        <vt:i4>1048635</vt:i4>
      </vt:variant>
      <vt:variant>
        <vt:i4>50</vt:i4>
      </vt:variant>
      <vt:variant>
        <vt:i4>0</vt:i4>
      </vt:variant>
      <vt:variant>
        <vt:i4>5</vt:i4>
      </vt:variant>
      <vt:variant>
        <vt:lpwstr/>
      </vt:variant>
      <vt:variant>
        <vt:lpwstr>_Toc143612870</vt:lpwstr>
      </vt:variant>
      <vt:variant>
        <vt:i4>1114171</vt:i4>
      </vt:variant>
      <vt:variant>
        <vt:i4>44</vt:i4>
      </vt:variant>
      <vt:variant>
        <vt:i4>0</vt:i4>
      </vt:variant>
      <vt:variant>
        <vt:i4>5</vt:i4>
      </vt:variant>
      <vt:variant>
        <vt:lpwstr/>
      </vt:variant>
      <vt:variant>
        <vt:lpwstr>_Toc143612869</vt:lpwstr>
      </vt:variant>
      <vt:variant>
        <vt:i4>1114171</vt:i4>
      </vt:variant>
      <vt:variant>
        <vt:i4>38</vt:i4>
      </vt:variant>
      <vt:variant>
        <vt:i4>0</vt:i4>
      </vt:variant>
      <vt:variant>
        <vt:i4>5</vt:i4>
      </vt:variant>
      <vt:variant>
        <vt:lpwstr/>
      </vt:variant>
      <vt:variant>
        <vt:lpwstr>_Toc143612868</vt:lpwstr>
      </vt:variant>
      <vt:variant>
        <vt:i4>1114171</vt:i4>
      </vt:variant>
      <vt:variant>
        <vt:i4>32</vt:i4>
      </vt:variant>
      <vt:variant>
        <vt:i4>0</vt:i4>
      </vt:variant>
      <vt:variant>
        <vt:i4>5</vt:i4>
      </vt:variant>
      <vt:variant>
        <vt:lpwstr/>
      </vt:variant>
      <vt:variant>
        <vt:lpwstr>_Toc143612867</vt:lpwstr>
      </vt:variant>
      <vt:variant>
        <vt:i4>1114171</vt:i4>
      </vt:variant>
      <vt:variant>
        <vt:i4>26</vt:i4>
      </vt:variant>
      <vt:variant>
        <vt:i4>0</vt:i4>
      </vt:variant>
      <vt:variant>
        <vt:i4>5</vt:i4>
      </vt:variant>
      <vt:variant>
        <vt:lpwstr/>
      </vt:variant>
      <vt:variant>
        <vt:lpwstr>_Toc143612866</vt:lpwstr>
      </vt:variant>
      <vt:variant>
        <vt:i4>1114171</vt:i4>
      </vt:variant>
      <vt:variant>
        <vt:i4>20</vt:i4>
      </vt:variant>
      <vt:variant>
        <vt:i4>0</vt:i4>
      </vt:variant>
      <vt:variant>
        <vt:i4>5</vt:i4>
      </vt:variant>
      <vt:variant>
        <vt:lpwstr/>
      </vt:variant>
      <vt:variant>
        <vt:lpwstr>_Toc143612865</vt:lpwstr>
      </vt:variant>
      <vt:variant>
        <vt:i4>1114171</vt:i4>
      </vt:variant>
      <vt:variant>
        <vt:i4>14</vt:i4>
      </vt:variant>
      <vt:variant>
        <vt:i4>0</vt:i4>
      </vt:variant>
      <vt:variant>
        <vt:i4>5</vt:i4>
      </vt:variant>
      <vt:variant>
        <vt:lpwstr/>
      </vt:variant>
      <vt:variant>
        <vt:lpwstr>_Toc143612864</vt:lpwstr>
      </vt:variant>
      <vt:variant>
        <vt:i4>1114171</vt:i4>
      </vt:variant>
      <vt:variant>
        <vt:i4>8</vt:i4>
      </vt:variant>
      <vt:variant>
        <vt:i4>0</vt:i4>
      </vt:variant>
      <vt:variant>
        <vt:i4>5</vt:i4>
      </vt:variant>
      <vt:variant>
        <vt:lpwstr/>
      </vt:variant>
      <vt:variant>
        <vt:lpwstr>_Toc143612863</vt:lpwstr>
      </vt:variant>
      <vt:variant>
        <vt:i4>1114171</vt:i4>
      </vt:variant>
      <vt:variant>
        <vt:i4>2</vt:i4>
      </vt:variant>
      <vt:variant>
        <vt:i4>0</vt:i4>
      </vt:variant>
      <vt:variant>
        <vt:i4>5</vt:i4>
      </vt:variant>
      <vt:variant>
        <vt:lpwstr/>
      </vt:variant>
      <vt:variant>
        <vt:lpwstr>_Toc143612862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Angelyne Mwabu</dc:creator>
  <cp:keywords/>
  <dc:description/>
  <cp:lastModifiedBy>Governor</cp:lastModifiedBy>
  <cp:revision>3</cp:revision>
  <cp:lastPrinted>2024-05-07T05:10:00Z</cp:lastPrinted>
  <dcterms:created xsi:type="dcterms:W3CDTF">2025-08-09T21:29:00Z</dcterms:created>
  <dcterms:modified xsi:type="dcterms:W3CDTF">2025-08-10T05:05:00Z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id="uh5REa5r"/&gt;&lt;style id="http://www.zotero.org/styles/apa" locale="en-US"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