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F8092" w14:textId="5524B987" w:rsidR="00D04062" w:rsidRPr="006F5F7E" w:rsidRDefault="00CC1525" w:rsidP="00B23C10">
      <w:pPr>
        <w:jc w:val="center"/>
      </w:pPr>
      <w:commentRangeStart w:id="0"/>
      <w:r w:rsidRPr="006F5F7E">
        <w:t>Profitability and the Ownership</w:t>
      </w:r>
      <w:r w:rsidR="0006696A" w:rsidRPr="006F5F7E">
        <w:t xml:space="preserve"> structure</w:t>
      </w:r>
      <w:r w:rsidRPr="006F5F7E">
        <w:t>–Dividend Nexus: Quantile Evidence from Listed Deposit Money Banks in Nigeria</w:t>
      </w:r>
      <w:commentRangeEnd w:id="0"/>
      <w:r w:rsidR="00B23C10">
        <w:rPr>
          <w:rStyle w:val="CommentReference"/>
        </w:rPr>
        <w:commentReference w:id="0"/>
      </w:r>
    </w:p>
    <w:p w14:paraId="0CD85EF6" w14:textId="77777777" w:rsidR="007D0E8D" w:rsidRPr="006F5F7E" w:rsidRDefault="007D0E8D" w:rsidP="00CC1525">
      <w:pPr>
        <w:spacing w:line="240" w:lineRule="auto"/>
        <w:contextualSpacing/>
        <w:jc w:val="center"/>
        <w:rPr>
          <w:rFonts w:asciiTheme="majorBidi" w:hAnsiTheme="majorBidi" w:cstheme="majorBidi"/>
          <w:b/>
          <w:bCs/>
          <w:sz w:val="20"/>
          <w:szCs w:val="20"/>
        </w:rPr>
      </w:pPr>
    </w:p>
    <w:p w14:paraId="4AEF809B" w14:textId="77777777" w:rsidR="00D04062" w:rsidRPr="006F5F7E" w:rsidRDefault="00D04062">
      <w:pPr>
        <w:spacing w:line="240" w:lineRule="auto"/>
        <w:contextualSpacing/>
        <w:jc w:val="center"/>
        <w:rPr>
          <w:rFonts w:asciiTheme="majorBidi" w:eastAsia="Times New Roman" w:hAnsiTheme="majorBidi" w:cstheme="majorBidi"/>
          <w:bCs/>
          <w:sz w:val="20"/>
          <w:szCs w:val="20"/>
          <w:lang w:val="en-GB"/>
        </w:rPr>
      </w:pPr>
    </w:p>
    <w:p w14:paraId="4AEF809C" w14:textId="77777777" w:rsidR="00D04062" w:rsidRPr="006F5F7E" w:rsidRDefault="00D04062">
      <w:pPr>
        <w:spacing w:line="240" w:lineRule="auto"/>
        <w:contextualSpacing/>
        <w:jc w:val="center"/>
        <w:rPr>
          <w:rFonts w:asciiTheme="majorBidi" w:eastAsia="Times New Roman" w:hAnsiTheme="majorBidi" w:cstheme="majorBidi"/>
          <w:bCs/>
          <w:sz w:val="20"/>
          <w:szCs w:val="20"/>
          <w:lang w:val="en-GB"/>
        </w:rPr>
      </w:pPr>
    </w:p>
    <w:p w14:paraId="4AEF809D" w14:textId="77777777" w:rsidR="00D04062" w:rsidRPr="006F5F7E" w:rsidRDefault="00833548">
      <w:pPr>
        <w:spacing w:line="240" w:lineRule="auto"/>
        <w:contextualSpacing/>
        <w:jc w:val="center"/>
        <w:rPr>
          <w:rFonts w:asciiTheme="majorBidi" w:eastAsia="Times New Roman" w:hAnsiTheme="majorBidi" w:cstheme="majorBidi"/>
          <w:bCs/>
          <w:sz w:val="20"/>
          <w:szCs w:val="20"/>
          <w:lang w:val="en-GB"/>
        </w:rPr>
      </w:pPr>
      <w:r w:rsidRPr="006F5F7E">
        <w:rPr>
          <w:rFonts w:asciiTheme="majorBidi" w:eastAsia="Times New Roman" w:hAnsiTheme="majorBidi" w:cstheme="majorBidi"/>
          <w:bCs/>
          <w:sz w:val="20"/>
          <w:szCs w:val="20"/>
          <w:lang w:val="en-GB"/>
        </w:rPr>
        <w:t xml:space="preserve">Abstract </w:t>
      </w:r>
    </w:p>
    <w:p w14:paraId="79E65733" w14:textId="51AF36D0" w:rsidR="005402D2" w:rsidRPr="006F5F7E" w:rsidRDefault="00487143" w:rsidP="00487143">
      <w:pPr>
        <w:spacing w:line="240" w:lineRule="auto"/>
        <w:contextualSpacing/>
        <w:jc w:val="both"/>
        <w:rPr>
          <w:rFonts w:asciiTheme="majorBidi" w:eastAsia="Times New Roman" w:hAnsiTheme="majorBidi" w:cstheme="majorBidi"/>
          <w:bCs/>
          <w:i/>
          <w:iCs/>
          <w:sz w:val="20"/>
          <w:szCs w:val="20"/>
        </w:rPr>
      </w:pPr>
      <w:commentRangeStart w:id="1"/>
      <w:r w:rsidRPr="00487143">
        <w:rPr>
          <w:rFonts w:asciiTheme="majorBidi" w:eastAsia="Times New Roman" w:hAnsiTheme="majorBidi" w:cstheme="majorBidi"/>
          <w:bCs/>
          <w:i/>
          <w:iCs/>
          <w:sz w:val="20"/>
          <w:szCs w:val="20"/>
        </w:rPr>
        <w:t>This study investigates the influence of ownership structure on dividend payout policy, with profitability as a moderating factor, among listed deposit money banks (DMBs) in Nigeria from 2012 to 2023.</w:t>
      </w:r>
      <w:commentRangeEnd w:id="1"/>
      <w:r w:rsidR="00EF472A">
        <w:rPr>
          <w:rStyle w:val="CommentReference"/>
        </w:rPr>
        <w:commentReference w:id="1"/>
      </w:r>
      <w:r w:rsidRPr="00487143">
        <w:rPr>
          <w:rFonts w:asciiTheme="majorBidi" w:eastAsia="Times New Roman" w:hAnsiTheme="majorBidi" w:cstheme="majorBidi"/>
          <w:bCs/>
          <w:i/>
          <w:iCs/>
          <w:sz w:val="20"/>
          <w:szCs w:val="20"/>
        </w:rPr>
        <w:t xml:space="preserve"> </w:t>
      </w:r>
      <w:commentRangeStart w:id="2"/>
      <w:r w:rsidRPr="00487143">
        <w:rPr>
          <w:rFonts w:asciiTheme="majorBidi" w:eastAsia="Times New Roman" w:hAnsiTheme="majorBidi" w:cstheme="majorBidi"/>
          <w:bCs/>
          <w:i/>
          <w:iCs/>
          <w:sz w:val="20"/>
          <w:szCs w:val="20"/>
        </w:rPr>
        <w:t xml:space="preserve">Grounded in agency and </w:t>
      </w:r>
      <w:proofErr w:type="spellStart"/>
      <w:r w:rsidRPr="00487143">
        <w:rPr>
          <w:rFonts w:asciiTheme="majorBidi" w:eastAsia="Times New Roman" w:hAnsiTheme="majorBidi" w:cstheme="majorBidi"/>
          <w:bCs/>
          <w:i/>
          <w:iCs/>
          <w:sz w:val="20"/>
          <w:szCs w:val="20"/>
        </w:rPr>
        <w:t>signalling</w:t>
      </w:r>
      <w:proofErr w:type="spellEnd"/>
      <w:r w:rsidRPr="00487143">
        <w:rPr>
          <w:rFonts w:asciiTheme="majorBidi" w:eastAsia="Times New Roman" w:hAnsiTheme="majorBidi" w:cstheme="majorBidi"/>
          <w:bCs/>
          <w:i/>
          <w:iCs/>
          <w:sz w:val="20"/>
          <w:szCs w:val="20"/>
        </w:rPr>
        <w:t xml:space="preserve"> theories</w:t>
      </w:r>
      <w:commentRangeEnd w:id="2"/>
      <w:r w:rsidR="00EF472A">
        <w:rPr>
          <w:rStyle w:val="CommentReference"/>
        </w:rPr>
        <w:commentReference w:id="2"/>
      </w:r>
      <w:r w:rsidRPr="00487143">
        <w:rPr>
          <w:rFonts w:asciiTheme="majorBidi" w:eastAsia="Times New Roman" w:hAnsiTheme="majorBidi" w:cstheme="majorBidi"/>
          <w:bCs/>
          <w:i/>
          <w:iCs/>
          <w:sz w:val="20"/>
          <w:szCs w:val="20"/>
        </w:rPr>
        <w:t xml:space="preserve">, it examines how managerial, institutional, and foreign ownership affect dividend payout ratios (DPO), and how profitability interacts with these ownership forms to shape dividend behaviour. The novelty of the study lies in its application of quantile regression to the dividend literature in an emerging market context, providing a distributional analysis that extends beyond mean-based models. It also introduces a moderation framework that reveals how profitability conditions the ownership–dividend nexus across </w:t>
      </w:r>
      <w:r w:rsidR="00EF472A">
        <w:rPr>
          <w:rFonts w:asciiTheme="majorBidi" w:eastAsia="Times New Roman" w:hAnsiTheme="majorBidi" w:cstheme="majorBidi"/>
          <w:bCs/>
          <w:i/>
          <w:iCs/>
          <w:sz w:val="20"/>
          <w:szCs w:val="20"/>
        </w:rPr>
        <w:t xml:space="preserve"> </w:t>
      </w:r>
      <w:r w:rsidRPr="00487143">
        <w:rPr>
          <w:rFonts w:asciiTheme="majorBidi" w:eastAsia="Times New Roman" w:hAnsiTheme="majorBidi" w:cstheme="majorBidi"/>
          <w:bCs/>
          <w:i/>
          <w:iCs/>
          <w:sz w:val="20"/>
          <w:szCs w:val="20"/>
        </w:rPr>
        <w:t xml:space="preserve"> payout levels. Using both cross-sectional quantile regression and fixed effects panel quantile regression at the 25th, 50th, and 75th quantiles, the study captures heterogeneity and firm-specific dynamics. Foreign ownership consistently increases DPO, institutional ownership exhibits a negative effect, and managerial ownership is positively associated at lower quantiles. Profitability’s direct effect is significant only in the cross-sectional model. Its interaction with foreign ownership reveals a dampening effect on dividend payouts</w:t>
      </w:r>
      <w:commentRangeStart w:id="3"/>
      <w:r w:rsidRPr="00487143">
        <w:rPr>
          <w:rFonts w:asciiTheme="majorBidi" w:eastAsia="Times New Roman" w:hAnsiTheme="majorBidi" w:cstheme="majorBidi"/>
          <w:bCs/>
          <w:i/>
          <w:iCs/>
          <w:sz w:val="20"/>
          <w:szCs w:val="20"/>
        </w:rPr>
        <w:t>. Control variables behave as expected. The study advances corporate finance literature by introducing a novel methodological lens and offering context-specific evidence from Sub-Saharan Africa’s banking sector</w:t>
      </w:r>
      <w:r w:rsidR="00F05748" w:rsidRPr="006F5F7E">
        <w:rPr>
          <w:rFonts w:asciiTheme="majorBidi" w:eastAsia="Times New Roman" w:hAnsiTheme="majorBidi" w:cstheme="majorBidi"/>
          <w:bCs/>
          <w:i/>
          <w:iCs/>
          <w:sz w:val="20"/>
          <w:szCs w:val="20"/>
        </w:rPr>
        <w:t>.</w:t>
      </w:r>
      <w:commentRangeEnd w:id="3"/>
      <w:r w:rsidR="00EF472A">
        <w:rPr>
          <w:rStyle w:val="CommentReference"/>
        </w:rPr>
        <w:commentReference w:id="3"/>
      </w:r>
    </w:p>
    <w:p w14:paraId="76919631" w14:textId="77777777" w:rsidR="007C5C31" w:rsidRPr="006F5F7E" w:rsidRDefault="00B8206D" w:rsidP="005402D2">
      <w:pPr>
        <w:spacing w:line="240" w:lineRule="auto"/>
        <w:contextualSpacing/>
        <w:jc w:val="both"/>
        <w:rPr>
          <w:rFonts w:asciiTheme="majorBidi" w:eastAsia="Times New Roman" w:hAnsiTheme="majorBidi" w:cstheme="majorBidi"/>
          <w:b/>
          <w:bCs/>
          <w:i/>
          <w:iCs/>
          <w:sz w:val="20"/>
          <w:szCs w:val="20"/>
        </w:rPr>
      </w:pPr>
      <w:r>
        <w:rPr>
          <w:rStyle w:val="CommentReference"/>
        </w:rPr>
        <w:commentReference w:id="4"/>
      </w:r>
    </w:p>
    <w:p w14:paraId="14AC3099" w14:textId="4A3BBEDA" w:rsidR="005402D2" w:rsidRPr="006F5F7E" w:rsidRDefault="005402D2" w:rsidP="005402D2">
      <w:pPr>
        <w:spacing w:line="240" w:lineRule="auto"/>
        <w:contextualSpacing/>
        <w:jc w:val="both"/>
        <w:rPr>
          <w:rFonts w:asciiTheme="majorBidi" w:eastAsia="Times New Roman" w:hAnsiTheme="majorBidi" w:cstheme="majorBidi"/>
          <w:bCs/>
          <w:sz w:val="20"/>
          <w:szCs w:val="20"/>
        </w:rPr>
      </w:pPr>
      <w:r w:rsidRPr="006F5F7E">
        <w:rPr>
          <w:rFonts w:asciiTheme="majorBidi" w:eastAsia="Times New Roman" w:hAnsiTheme="majorBidi" w:cstheme="majorBidi"/>
          <w:b/>
          <w:bCs/>
          <w:sz w:val="20"/>
          <w:szCs w:val="20"/>
        </w:rPr>
        <w:t>Keywords:</w:t>
      </w:r>
      <w:r w:rsidRPr="006F5F7E">
        <w:rPr>
          <w:rFonts w:asciiTheme="majorBidi" w:eastAsia="Times New Roman" w:hAnsiTheme="majorBidi" w:cstheme="majorBidi"/>
          <w:bCs/>
          <w:sz w:val="20"/>
          <w:szCs w:val="20"/>
        </w:rPr>
        <w:t xml:space="preserve"> Dividend Policy, Ownership Structure, Profitability, Quantile Regression, Corporate Governance, </w:t>
      </w:r>
    </w:p>
    <w:p w14:paraId="4AEF809F" w14:textId="58364CCD" w:rsidR="00D04062" w:rsidRPr="006F5F7E" w:rsidRDefault="00D04062" w:rsidP="0034427F">
      <w:pPr>
        <w:spacing w:line="240" w:lineRule="auto"/>
        <w:contextualSpacing/>
        <w:jc w:val="both"/>
        <w:rPr>
          <w:rFonts w:asciiTheme="majorBidi" w:eastAsia="Times New Roman" w:hAnsiTheme="majorBidi" w:cstheme="majorBidi"/>
          <w:i/>
          <w:sz w:val="20"/>
          <w:szCs w:val="20"/>
        </w:rPr>
      </w:pPr>
    </w:p>
    <w:p w14:paraId="4AEF80A4" w14:textId="77777777" w:rsidR="00D04062" w:rsidRPr="006F5F7E" w:rsidRDefault="00833548">
      <w:pPr>
        <w:pStyle w:val="Heading2"/>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1. Introduction</w:t>
      </w:r>
    </w:p>
    <w:p w14:paraId="22CF9417" w14:textId="77777777" w:rsidR="00F941F3" w:rsidRPr="006F5F7E" w:rsidRDefault="00F941F3" w:rsidP="00F941F3">
      <w:pPr>
        <w:spacing w:line="360" w:lineRule="auto"/>
        <w:contextualSpacing/>
        <w:jc w:val="both"/>
        <w:rPr>
          <w:rFonts w:asciiTheme="majorBidi" w:hAnsiTheme="majorBidi" w:cstheme="majorBidi"/>
          <w:sz w:val="20"/>
          <w:szCs w:val="20"/>
        </w:rPr>
      </w:pPr>
      <w:commentRangeStart w:id="5"/>
      <w:r w:rsidRPr="006F5F7E">
        <w:rPr>
          <w:rFonts w:asciiTheme="majorBidi" w:hAnsiTheme="majorBidi" w:cstheme="majorBidi"/>
          <w:sz w:val="20"/>
          <w:szCs w:val="20"/>
        </w:rPr>
        <w:t xml:space="preserve">Dividend policy constitutes a critical decision within corporate finance, especially in highly regulated sectors like banking (Azeem et al., 2023). </w:t>
      </w:r>
      <w:commentRangeEnd w:id="5"/>
      <w:r w:rsidR="00CE3D40">
        <w:rPr>
          <w:rStyle w:val="CommentReference"/>
        </w:rPr>
        <w:commentReference w:id="5"/>
      </w:r>
      <w:r w:rsidRPr="006F5F7E">
        <w:rPr>
          <w:rFonts w:asciiTheme="majorBidi" w:hAnsiTheme="majorBidi" w:cstheme="majorBidi"/>
          <w:sz w:val="20"/>
          <w:szCs w:val="20"/>
        </w:rPr>
        <w:t xml:space="preserve">For banks, dividends function not only as a mechanism for shareholder value distribution but also as a signal of financial strength and managerial confidence (Alhalabi et al., 2023; </w:t>
      </w:r>
      <w:proofErr w:type="spellStart"/>
      <w:r w:rsidRPr="006F5F7E">
        <w:rPr>
          <w:rFonts w:asciiTheme="majorBidi" w:hAnsiTheme="majorBidi" w:cstheme="majorBidi"/>
          <w:sz w:val="20"/>
          <w:szCs w:val="20"/>
        </w:rPr>
        <w:t>Arhinful</w:t>
      </w:r>
      <w:proofErr w:type="spellEnd"/>
      <w:r w:rsidRPr="006F5F7E">
        <w:rPr>
          <w:rFonts w:asciiTheme="majorBidi" w:hAnsiTheme="majorBidi" w:cstheme="majorBidi"/>
          <w:sz w:val="20"/>
          <w:szCs w:val="20"/>
        </w:rPr>
        <w:t xml:space="preserve"> et al., 2025). Dividend distributions are frequently perceived by investors as indicators of firm performance and stability (Munir et al., 2024), a perception particularly salient in </w:t>
      </w:r>
      <w:commentRangeStart w:id="6"/>
      <w:r w:rsidRPr="006F5F7E">
        <w:rPr>
          <w:rFonts w:asciiTheme="majorBidi" w:hAnsiTheme="majorBidi" w:cstheme="majorBidi"/>
          <w:sz w:val="20"/>
          <w:szCs w:val="20"/>
        </w:rPr>
        <w:t xml:space="preserve">emerging economies </w:t>
      </w:r>
      <w:commentRangeEnd w:id="6"/>
      <w:r w:rsidR="00CE3D40">
        <w:rPr>
          <w:rStyle w:val="CommentReference"/>
        </w:rPr>
        <w:commentReference w:id="6"/>
      </w:r>
      <w:r w:rsidRPr="006F5F7E">
        <w:rPr>
          <w:rFonts w:asciiTheme="majorBidi" w:hAnsiTheme="majorBidi" w:cstheme="majorBidi"/>
          <w:sz w:val="20"/>
          <w:szCs w:val="20"/>
        </w:rPr>
        <w:t xml:space="preserve">such as Nigeria, where dividends provide tangible evidence of success amidst macroeconomic volatility and capital market inefficiencies. Banking sector dividend decisions are further complicated by regulatory capital mandates, systemic risk concerns, and the strategic imperative for earnings retention to fund growth (Bechter, 2024). </w:t>
      </w:r>
      <w:commentRangeStart w:id="7"/>
      <w:r w:rsidRPr="006F5F7E">
        <w:rPr>
          <w:rFonts w:asciiTheme="majorBidi" w:hAnsiTheme="majorBidi" w:cstheme="majorBidi"/>
          <w:sz w:val="20"/>
          <w:szCs w:val="20"/>
        </w:rPr>
        <w:t xml:space="preserve">Consequently, dividend payouts reflect strategic trade-offs involving agency issues, market </w:t>
      </w:r>
      <w:proofErr w:type="spellStart"/>
      <w:r w:rsidRPr="006F5F7E">
        <w:rPr>
          <w:rFonts w:asciiTheme="majorBidi" w:hAnsiTheme="majorBidi" w:cstheme="majorBidi"/>
          <w:sz w:val="20"/>
          <w:szCs w:val="20"/>
        </w:rPr>
        <w:t>signalling</w:t>
      </w:r>
      <w:proofErr w:type="spellEnd"/>
      <w:r w:rsidRPr="006F5F7E">
        <w:rPr>
          <w:rFonts w:asciiTheme="majorBidi" w:hAnsiTheme="majorBidi" w:cstheme="majorBidi"/>
          <w:sz w:val="20"/>
          <w:szCs w:val="20"/>
        </w:rPr>
        <w:t>, and regulatory compliance.</w:t>
      </w:r>
      <w:commentRangeEnd w:id="7"/>
      <w:r w:rsidR="00221FBF">
        <w:rPr>
          <w:rStyle w:val="CommentReference"/>
        </w:rPr>
        <w:commentReference w:id="7"/>
      </w:r>
    </w:p>
    <w:p w14:paraId="10710E53" w14:textId="77777777" w:rsidR="00F941F3" w:rsidRPr="006F5F7E" w:rsidRDefault="00F941F3" w:rsidP="00F941F3">
      <w:pPr>
        <w:spacing w:line="360" w:lineRule="auto"/>
        <w:contextualSpacing/>
        <w:jc w:val="both"/>
        <w:rPr>
          <w:rFonts w:asciiTheme="majorBidi" w:hAnsiTheme="majorBidi" w:cstheme="majorBidi"/>
          <w:sz w:val="20"/>
          <w:szCs w:val="20"/>
        </w:rPr>
      </w:pPr>
      <w:commentRangeStart w:id="8"/>
      <w:r w:rsidRPr="006F5F7E">
        <w:rPr>
          <w:rFonts w:asciiTheme="majorBidi" w:hAnsiTheme="majorBidi" w:cstheme="majorBidi"/>
          <w:sz w:val="20"/>
          <w:szCs w:val="20"/>
        </w:rPr>
        <w:t xml:space="preserve">The theoretical underpinnings of dividend policy prominently feature agency theory and signalling theory. Agency theory (Jensen and Meckling, 1976) suggests dividends mitigate conflicts by reducing free cash flow available to managers, thereby curtailing discretionary spending and potential expropriation. </w:t>
      </w:r>
      <w:commentRangeEnd w:id="8"/>
      <w:r w:rsidR="00221FBF">
        <w:rPr>
          <w:rStyle w:val="CommentReference"/>
        </w:rPr>
        <w:commentReference w:id="8"/>
      </w:r>
      <w:r w:rsidRPr="006F5F7E">
        <w:rPr>
          <w:rFonts w:asciiTheme="majorBidi" w:hAnsiTheme="majorBidi" w:cstheme="majorBidi"/>
          <w:sz w:val="20"/>
          <w:szCs w:val="20"/>
        </w:rPr>
        <w:t>Within this framework, firm ownership structure critically influences dividend behaviour. Managerial ownership may align insider and shareholder interests, reducing agency costs (Tayeh et al., 2023), while institutional and foreign ownership may exert external monitoring pressure, encouraging higher payouts to satisfy return-seeking shareholders (Al-Matari, 2025). Signalling theory posits that dividend announcements convey private information about future earnings prospects (Nworie et al., 2024). Consequently, profitability, often measured by Return on Assets (ROA), is a central determinant, reflecting both the capacity to pay dividends and managerial confidence in sustained earnings (</w:t>
      </w:r>
      <w:proofErr w:type="spellStart"/>
      <w:r w:rsidRPr="006F5F7E">
        <w:rPr>
          <w:rFonts w:asciiTheme="majorBidi" w:hAnsiTheme="majorBidi" w:cstheme="majorBidi"/>
          <w:sz w:val="20"/>
          <w:szCs w:val="20"/>
        </w:rPr>
        <w:t>Dewasiri</w:t>
      </w:r>
      <w:proofErr w:type="spellEnd"/>
      <w:r w:rsidRPr="006F5F7E">
        <w:rPr>
          <w:rFonts w:asciiTheme="majorBidi" w:hAnsiTheme="majorBidi" w:cstheme="majorBidi"/>
          <w:sz w:val="20"/>
          <w:szCs w:val="20"/>
        </w:rPr>
        <w:t xml:space="preserve"> et al., 2019).</w:t>
      </w:r>
    </w:p>
    <w:p w14:paraId="5C3F4311" w14:textId="77777777" w:rsidR="00F941F3" w:rsidRPr="006F5F7E" w:rsidRDefault="00F941F3" w:rsidP="00F941F3">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Profitability plays a dual role</w:t>
      </w:r>
      <w:commentRangeStart w:id="9"/>
      <w:r w:rsidRPr="006F5F7E">
        <w:rPr>
          <w:rFonts w:asciiTheme="majorBidi" w:hAnsiTheme="majorBidi" w:cstheme="majorBidi"/>
          <w:sz w:val="20"/>
          <w:szCs w:val="20"/>
        </w:rPr>
        <w:t>:</w:t>
      </w:r>
      <w:commentRangeEnd w:id="9"/>
      <w:r w:rsidR="00741347">
        <w:rPr>
          <w:rStyle w:val="CommentReference"/>
        </w:rPr>
        <w:commentReference w:id="9"/>
      </w:r>
      <w:r w:rsidRPr="006F5F7E">
        <w:rPr>
          <w:rFonts w:asciiTheme="majorBidi" w:hAnsiTheme="majorBidi" w:cstheme="majorBidi"/>
          <w:sz w:val="20"/>
          <w:szCs w:val="20"/>
        </w:rPr>
        <w:t xml:space="preserve"> as a direct determinant of dividend capacity and as a potential moderator of the ownership-dividend relationship. However, this moderating role is complex and likely heterogeneous across firms with differing dividend profiles. Traditional econometric models, such as Ordinary Least Squares (OLS) </w:t>
      </w:r>
      <w:r w:rsidRPr="006F5F7E">
        <w:rPr>
          <w:rFonts w:asciiTheme="majorBidi" w:hAnsiTheme="majorBidi" w:cstheme="majorBidi"/>
          <w:sz w:val="20"/>
          <w:szCs w:val="20"/>
        </w:rPr>
        <w:lastRenderedPageBreak/>
        <w:t>and fixed effects regressions, typically estimate average effects assuming homogeneity. This approach may obscure variations in how profitability influences dividend policy across the payout distribution. This study therefore employs quantile regression, enabling the estimation of relationships across the entire spectrum of dividend payouts, thus providing a more nuanced understanding of firm behaviour. This methodology is particularly suited to the Nigerian banking context, characterised by skewed and heterogeneous dividend payout ratios.</w:t>
      </w:r>
    </w:p>
    <w:p w14:paraId="01FCD6DF" w14:textId="7ECA2142" w:rsidR="00F941F3" w:rsidRPr="006F5F7E" w:rsidRDefault="00F941F3" w:rsidP="00F941F3">
      <w:pPr>
        <w:spacing w:line="360" w:lineRule="auto"/>
        <w:contextualSpacing/>
        <w:jc w:val="both"/>
        <w:rPr>
          <w:rFonts w:asciiTheme="majorBidi" w:hAnsiTheme="majorBidi" w:cstheme="majorBidi"/>
          <w:sz w:val="20"/>
          <w:szCs w:val="20"/>
        </w:rPr>
      </w:pPr>
      <w:commentRangeStart w:id="10"/>
      <w:r w:rsidRPr="006F5F7E">
        <w:rPr>
          <w:rFonts w:asciiTheme="majorBidi" w:hAnsiTheme="majorBidi" w:cstheme="majorBidi"/>
          <w:sz w:val="20"/>
          <w:szCs w:val="20"/>
        </w:rPr>
        <w:t xml:space="preserve">The Nigerian banking sector offers a compelling empirical setting. </w:t>
      </w:r>
      <w:commentRangeEnd w:id="10"/>
      <w:r w:rsidR="00741347">
        <w:rPr>
          <w:rStyle w:val="CommentReference"/>
        </w:rPr>
        <w:commentReference w:id="10"/>
      </w:r>
      <w:r w:rsidRPr="006F5F7E">
        <w:rPr>
          <w:rFonts w:asciiTheme="majorBidi" w:hAnsiTheme="majorBidi" w:cstheme="majorBidi"/>
          <w:sz w:val="20"/>
          <w:szCs w:val="20"/>
        </w:rPr>
        <w:t>Significant transformations in ownership structure, regulatory oversight, and governance practices followed the 2004</w:t>
      </w:r>
      <w:r w:rsidR="00BE12EB" w:rsidRPr="006F5F7E">
        <w:rPr>
          <w:rFonts w:asciiTheme="majorBidi" w:hAnsiTheme="majorBidi" w:cstheme="majorBidi"/>
          <w:sz w:val="20"/>
          <w:szCs w:val="20"/>
        </w:rPr>
        <w:t>-</w:t>
      </w:r>
      <w:r w:rsidRPr="006F5F7E">
        <w:rPr>
          <w:rFonts w:asciiTheme="majorBidi" w:hAnsiTheme="majorBidi" w:cstheme="majorBidi"/>
          <w:sz w:val="20"/>
          <w:szCs w:val="20"/>
        </w:rPr>
        <w:t xml:space="preserve">2005 banking consolidation and post-2008 financial crisis reforms. Concentrated ownership is common, with large institutional and foreign investors playing dominant roles. </w:t>
      </w:r>
      <w:commentRangeStart w:id="11"/>
      <w:r w:rsidRPr="006F5F7E">
        <w:rPr>
          <w:rFonts w:asciiTheme="majorBidi" w:hAnsiTheme="majorBidi" w:cstheme="majorBidi"/>
          <w:sz w:val="20"/>
          <w:szCs w:val="20"/>
        </w:rPr>
        <w:t xml:space="preserve">Despite regulatory efforts </w:t>
      </w:r>
      <w:commentRangeEnd w:id="11"/>
      <w:r w:rsidR="00741347">
        <w:rPr>
          <w:rStyle w:val="CommentReference"/>
        </w:rPr>
        <w:commentReference w:id="11"/>
      </w:r>
      <w:r w:rsidRPr="006F5F7E">
        <w:rPr>
          <w:rFonts w:asciiTheme="majorBidi" w:hAnsiTheme="majorBidi" w:cstheme="majorBidi"/>
          <w:sz w:val="20"/>
          <w:szCs w:val="20"/>
        </w:rPr>
        <w:t>to enhance transparency and capital adequacy, dividend payout patterns remain inconsistent across the sector. Discrepancies exist between banks paying high, stable dividends and those maintaining conservative or no payouts despite profitability, influenced by ownership incentives, regulatory compliance, and profitability levels. Existing empirical studies on Nigerian dividend policy have predominantly used linear models, insufficiently exploring how profitability interacts with ownership structure across varying payout intensities.</w:t>
      </w:r>
    </w:p>
    <w:p w14:paraId="33B19D4C" w14:textId="5F5B1901" w:rsidR="00F941F3" w:rsidRPr="006F5F7E" w:rsidRDefault="00114541" w:rsidP="00114541">
      <w:pPr>
        <w:spacing w:line="360" w:lineRule="auto"/>
        <w:contextualSpacing/>
        <w:jc w:val="both"/>
        <w:rPr>
          <w:rFonts w:asciiTheme="majorBidi" w:hAnsiTheme="majorBidi" w:cstheme="majorBidi"/>
          <w:sz w:val="20"/>
          <w:szCs w:val="20"/>
        </w:rPr>
      </w:pPr>
      <w:commentRangeStart w:id="12"/>
      <w:r w:rsidRPr="00114541">
        <w:rPr>
          <w:rFonts w:asciiTheme="majorBidi" w:hAnsiTheme="majorBidi" w:cstheme="majorBidi"/>
          <w:sz w:val="20"/>
          <w:szCs w:val="20"/>
        </w:rPr>
        <w:t>This study addresses a methodological and empirical gap in the dividend policy literature by investigating how profitability moderates the ownership</w:t>
      </w:r>
      <w:r w:rsidR="001E56C2">
        <w:rPr>
          <w:rFonts w:asciiTheme="majorBidi" w:hAnsiTheme="majorBidi" w:cstheme="majorBidi"/>
          <w:sz w:val="20"/>
          <w:szCs w:val="20"/>
        </w:rPr>
        <w:t>-</w:t>
      </w:r>
      <w:r w:rsidRPr="00114541">
        <w:rPr>
          <w:rFonts w:asciiTheme="majorBidi" w:hAnsiTheme="majorBidi" w:cstheme="majorBidi"/>
          <w:sz w:val="20"/>
          <w:szCs w:val="20"/>
        </w:rPr>
        <w:t xml:space="preserve">dividend relationship among listed Nigerian deposit money banks using </w:t>
      </w:r>
      <w:proofErr w:type="spellStart"/>
      <w:r w:rsidRPr="00114541">
        <w:rPr>
          <w:rFonts w:asciiTheme="majorBidi" w:hAnsiTheme="majorBidi" w:cstheme="majorBidi"/>
          <w:sz w:val="20"/>
          <w:szCs w:val="20"/>
        </w:rPr>
        <w:t>quantile</w:t>
      </w:r>
      <w:proofErr w:type="spellEnd"/>
      <w:r w:rsidRPr="00114541">
        <w:rPr>
          <w:rFonts w:asciiTheme="majorBidi" w:hAnsiTheme="majorBidi" w:cstheme="majorBidi"/>
          <w:sz w:val="20"/>
          <w:szCs w:val="20"/>
        </w:rPr>
        <w:t xml:space="preserve"> regression.</w:t>
      </w:r>
      <w:commentRangeEnd w:id="12"/>
      <w:r w:rsidR="00741347">
        <w:rPr>
          <w:rStyle w:val="CommentReference"/>
        </w:rPr>
        <w:commentReference w:id="12"/>
      </w:r>
      <w:r w:rsidRPr="00114541">
        <w:rPr>
          <w:rFonts w:asciiTheme="majorBidi" w:hAnsiTheme="majorBidi" w:cstheme="majorBidi"/>
          <w:sz w:val="20"/>
          <w:szCs w:val="20"/>
        </w:rPr>
        <w:t xml:space="preserve"> By focusing on the distributional effects of managerial, institutional, and foreign ownership on dividend payouts, the study reveals how these relationships vary across low, median, and high dividend-paying firms. This novel application of quantile regression introduces a methodological advancement in the context of Nigeria’s banking sector, offering insights that go beyond traditional mean-based approaches. The study also contributes theoretically by extending agency and signalling theories to reflect the regulatory and institutional complexities of emerging markets. By examining the interactive role of profitability, it enhances our understanding of dividend behaviour under varying governance structures. These contributions support both scholarly inquiry and policy discourse, particularly in the areas of investor protection, dividend regulation, and strategic financial management within the banking industry</w:t>
      </w:r>
      <w:r w:rsidR="00F941F3" w:rsidRPr="006F5F7E">
        <w:rPr>
          <w:rFonts w:asciiTheme="majorBidi" w:hAnsiTheme="majorBidi" w:cstheme="majorBidi"/>
          <w:sz w:val="20"/>
          <w:szCs w:val="20"/>
        </w:rPr>
        <w:t>.</w:t>
      </w:r>
    </w:p>
    <w:p w14:paraId="4AEF80AF" w14:textId="0047D989" w:rsidR="00D04062" w:rsidRPr="006F5F7E" w:rsidRDefault="00F941F3" w:rsidP="00472EC8">
      <w:pPr>
        <w:spacing w:line="360" w:lineRule="auto"/>
        <w:contextualSpacing/>
        <w:jc w:val="both"/>
        <w:rPr>
          <w:rFonts w:asciiTheme="majorBidi" w:hAnsiTheme="majorBidi" w:cstheme="majorBidi"/>
          <w:sz w:val="20"/>
          <w:szCs w:val="20"/>
        </w:rPr>
      </w:pPr>
      <w:commentRangeStart w:id="13"/>
      <w:r w:rsidRPr="006F5F7E">
        <w:rPr>
          <w:rFonts w:asciiTheme="majorBidi" w:hAnsiTheme="majorBidi" w:cstheme="majorBidi"/>
          <w:sz w:val="20"/>
          <w:szCs w:val="20"/>
        </w:rPr>
        <w:t xml:space="preserve">The paper proceeds as follows. </w:t>
      </w:r>
      <w:r w:rsidR="00472EC8" w:rsidRPr="006F5F7E">
        <w:rPr>
          <w:rFonts w:asciiTheme="majorBidi" w:hAnsiTheme="majorBidi" w:cstheme="majorBidi"/>
          <w:sz w:val="20"/>
          <w:szCs w:val="20"/>
        </w:rPr>
        <w:t>Section 2 reviews literature on ownership, profitability, and dividends. Section 3 details the methodology, data, variables, and econometric model, justifying quantile regression. Section 4 presents and discusses empirical results, including descriptive statistics and quantile regression interpretations. Section 5 concludes, summarising findings, implications, recommendations, limitations, and future research directions</w:t>
      </w:r>
      <w:r w:rsidRPr="006F5F7E">
        <w:rPr>
          <w:rFonts w:asciiTheme="majorBidi" w:hAnsiTheme="majorBidi" w:cstheme="majorBidi"/>
          <w:sz w:val="20"/>
          <w:szCs w:val="20"/>
        </w:rPr>
        <w:t>.</w:t>
      </w:r>
      <w:commentRangeEnd w:id="13"/>
      <w:r w:rsidR="00741347">
        <w:rPr>
          <w:rStyle w:val="CommentReference"/>
        </w:rPr>
        <w:commentReference w:id="13"/>
      </w:r>
    </w:p>
    <w:p w14:paraId="4AEF80B0" w14:textId="77777777" w:rsidR="00D04062" w:rsidRPr="006F5F7E" w:rsidRDefault="00833548" w:rsidP="006D6E46">
      <w:pPr>
        <w:pStyle w:val="Heading2"/>
        <w:spacing w:line="360" w:lineRule="auto"/>
        <w:contextualSpacing/>
        <w:rPr>
          <w:rFonts w:asciiTheme="majorBidi" w:hAnsiTheme="majorBidi" w:cstheme="majorBidi"/>
          <w:b/>
          <w:bCs/>
          <w:color w:val="auto"/>
          <w:sz w:val="20"/>
          <w:szCs w:val="20"/>
        </w:rPr>
      </w:pPr>
      <w:commentRangeStart w:id="14"/>
      <w:r w:rsidRPr="006F5F7E">
        <w:rPr>
          <w:rFonts w:asciiTheme="majorBidi" w:hAnsiTheme="majorBidi" w:cstheme="majorBidi"/>
          <w:b/>
          <w:bCs/>
          <w:color w:val="auto"/>
          <w:sz w:val="20"/>
          <w:szCs w:val="20"/>
        </w:rPr>
        <w:t>2. Literature Review</w:t>
      </w:r>
      <w:commentRangeEnd w:id="14"/>
      <w:r w:rsidR="00153AED">
        <w:rPr>
          <w:rStyle w:val="CommentReference"/>
          <w:rFonts w:ascii="Aptos" w:eastAsia="DengXian" w:hAnsi="Aptos" w:cs="Arial"/>
          <w:color w:val="auto"/>
        </w:rPr>
        <w:commentReference w:id="14"/>
      </w:r>
    </w:p>
    <w:p w14:paraId="4AEF80B1" w14:textId="1F6066B6" w:rsidR="00D04062" w:rsidRPr="006F5F7E" w:rsidRDefault="00833548" w:rsidP="006D6E46">
      <w:pPr>
        <w:pStyle w:val="Heading2"/>
        <w:spacing w:line="360" w:lineRule="auto"/>
        <w:contextualSpacing/>
        <w:rPr>
          <w:rFonts w:asciiTheme="majorBidi" w:hAnsiTheme="majorBidi" w:cstheme="majorBidi"/>
          <w:b/>
          <w:bCs/>
          <w:color w:val="auto"/>
          <w:sz w:val="20"/>
          <w:szCs w:val="20"/>
        </w:rPr>
      </w:pPr>
      <w:commentRangeStart w:id="15"/>
      <w:r w:rsidRPr="006F5F7E">
        <w:rPr>
          <w:rFonts w:asciiTheme="majorBidi" w:hAnsiTheme="majorBidi" w:cstheme="majorBidi"/>
          <w:b/>
          <w:bCs/>
          <w:color w:val="auto"/>
          <w:sz w:val="20"/>
          <w:szCs w:val="20"/>
        </w:rPr>
        <w:t>2.</w:t>
      </w:r>
      <w:r w:rsidR="00425C3D" w:rsidRPr="006F5F7E">
        <w:rPr>
          <w:rFonts w:asciiTheme="majorBidi" w:hAnsiTheme="majorBidi" w:cstheme="majorBidi"/>
          <w:b/>
          <w:bCs/>
          <w:color w:val="auto"/>
          <w:sz w:val="20"/>
          <w:szCs w:val="20"/>
        </w:rPr>
        <w:t>1</w:t>
      </w:r>
      <w:r w:rsidRPr="006F5F7E">
        <w:rPr>
          <w:rFonts w:asciiTheme="majorBidi" w:hAnsiTheme="majorBidi" w:cstheme="majorBidi"/>
          <w:b/>
          <w:bCs/>
          <w:color w:val="auto"/>
          <w:sz w:val="20"/>
          <w:szCs w:val="20"/>
        </w:rPr>
        <w:t xml:space="preserve"> Theoretical Framework</w:t>
      </w:r>
      <w:commentRangeEnd w:id="15"/>
      <w:r w:rsidR="00153AED">
        <w:rPr>
          <w:rStyle w:val="CommentReference"/>
          <w:rFonts w:ascii="Aptos" w:eastAsia="DengXian" w:hAnsi="Aptos" w:cs="Arial"/>
          <w:color w:val="auto"/>
        </w:rPr>
        <w:commentReference w:id="15"/>
      </w:r>
    </w:p>
    <w:p w14:paraId="0D7EBC2D" w14:textId="2048EDFA" w:rsidR="00927EE5" w:rsidRPr="006F5F7E" w:rsidRDefault="00927EE5" w:rsidP="00D50B07">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This study is grounded in agency and signalling theories, which offer a conceptual lens through which to understand the incentives and constraints shaping dividend decisions in Nigerian deposit money banks. Jensen and Meckling (1976) formalised agency theory, building on Berle and Means (1932), to explain conflicts arising from the separation of ownership and control. </w:t>
      </w:r>
      <w:commentRangeStart w:id="16"/>
      <w:r w:rsidRPr="006F5F7E">
        <w:rPr>
          <w:rFonts w:asciiTheme="majorBidi" w:hAnsiTheme="majorBidi" w:cstheme="majorBidi"/>
          <w:sz w:val="20"/>
          <w:szCs w:val="20"/>
        </w:rPr>
        <w:t xml:space="preserve">In firms where managers hold little equity and ownership is dispersed, managers may underinvest in dividends and instead pursue projects that increase their private control benefits (La Porta et al., 2000; Faccio et al., 2001; Fama &amp; French, 2001). </w:t>
      </w:r>
      <w:commentRangeEnd w:id="16"/>
      <w:r w:rsidR="0066009E">
        <w:rPr>
          <w:rStyle w:val="CommentReference"/>
        </w:rPr>
        <w:commentReference w:id="16"/>
      </w:r>
      <w:r w:rsidRPr="006F5F7E">
        <w:rPr>
          <w:rFonts w:asciiTheme="majorBidi" w:hAnsiTheme="majorBidi" w:cstheme="majorBidi"/>
          <w:sz w:val="20"/>
          <w:szCs w:val="20"/>
        </w:rPr>
        <w:t xml:space="preserve">Dividend payouts, therefore, operate as a governance tool to reduce agency costs by limiting funds available for discretionary use. Ownership </w:t>
      </w:r>
      <w:r w:rsidRPr="006F5F7E">
        <w:rPr>
          <w:rFonts w:asciiTheme="majorBidi" w:hAnsiTheme="majorBidi" w:cstheme="majorBidi"/>
          <w:sz w:val="20"/>
          <w:szCs w:val="20"/>
        </w:rPr>
        <w:lastRenderedPageBreak/>
        <w:t xml:space="preserve">structure is integral to this function. Empirical studies show that managerial ownership can align managerial and shareholder interests, mitigating agency problems </w:t>
      </w:r>
      <w:commentRangeStart w:id="17"/>
      <w:r w:rsidRPr="006F5F7E">
        <w:rPr>
          <w:rFonts w:asciiTheme="majorBidi" w:hAnsiTheme="majorBidi" w:cstheme="majorBidi"/>
          <w:sz w:val="20"/>
          <w:szCs w:val="20"/>
        </w:rPr>
        <w:t xml:space="preserve">(Vijayakumaran, 2020; Nel et al., 2024; Lubis et al., 2025). </w:t>
      </w:r>
      <w:commentRangeEnd w:id="17"/>
      <w:r w:rsidR="00823385">
        <w:rPr>
          <w:rStyle w:val="CommentReference"/>
        </w:rPr>
        <w:commentReference w:id="17"/>
      </w:r>
      <w:r w:rsidRPr="006F5F7E">
        <w:rPr>
          <w:rFonts w:asciiTheme="majorBidi" w:hAnsiTheme="majorBidi" w:cstheme="majorBidi"/>
          <w:sz w:val="20"/>
          <w:szCs w:val="20"/>
        </w:rPr>
        <w:t xml:space="preserve">However, when managerial ownership becomes excessive, entrenchment may occur, weakening the responsiveness to shareholder pressure for dividends </w:t>
      </w:r>
      <w:commentRangeStart w:id="18"/>
      <w:r w:rsidRPr="006F5F7E">
        <w:rPr>
          <w:rFonts w:asciiTheme="majorBidi" w:hAnsiTheme="majorBidi" w:cstheme="majorBidi"/>
          <w:sz w:val="20"/>
          <w:szCs w:val="20"/>
        </w:rPr>
        <w:t>(</w:t>
      </w:r>
      <w:r w:rsidR="00BC67E2" w:rsidRPr="006F5F7E">
        <w:rPr>
          <w:rFonts w:asciiTheme="majorBidi" w:hAnsiTheme="majorBidi" w:cstheme="majorBidi"/>
          <w:sz w:val="20"/>
          <w:szCs w:val="20"/>
        </w:rPr>
        <w:t xml:space="preserve">Alshdaifat et al., 2025; </w:t>
      </w:r>
      <w:r w:rsidR="00D50B07" w:rsidRPr="006F5F7E">
        <w:rPr>
          <w:rFonts w:asciiTheme="majorBidi" w:hAnsiTheme="majorBidi" w:cstheme="majorBidi"/>
          <w:sz w:val="20"/>
          <w:szCs w:val="20"/>
        </w:rPr>
        <w:t>Tawfik et al., 2024</w:t>
      </w:r>
      <w:r w:rsidRPr="006F5F7E">
        <w:rPr>
          <w:rFonts w:asciiTheme="majorBidi" w:hAnsiTheme="majorBidi" w:cstheme="majorBidi"/>
          <w:sz w:val="20"/>
          <w:szCs w:val="20"/>
        </w:rPr>
        <w:t>).</w:t>
      </w:r>
      <w:commentRangeEnd w:id="18"/>
      <w:r w:rsidR="00823385">
        <w:rPr>
          <w:rStyle w:val="CommentReference"/>
        </w:rPr>
        <w:commentReference w:id="18"/>
      </w:r>
    </w:p>
    <w:p w14:paraId="5205D427" w14:textId="2E0BFFE4" w:rsidR="00927EE5" w:rsidRPr="006F5F7E" w:rsidRDefault="00927EE5" w:rsidP="00EB3308">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Institutional ownership is argued to exert a monitoring effect that disciplines managerial behaviour (Hong &amp; Linh, 2022). </w:t>
      </w:r>
      <w:commentRangeStart w:id="19"/>
      <w:r w:rsidRPr="006F5F7E">
        <w:rPr>
          <w:rFonts w:asciiTheme="majorBidi" w:hAnsiTheme="majorBidi" w:cstheme="majorBidi"/>
          <w:sz w:val="20"/>
          <w:szCs w:val="20"/>
        </w:rPr>
        <w:t>In emerging markets</w:t>
      </w:r>
      <w:commentRangeEnd w:id="19"/>
      <w:r w:rsidR="00823385">
        <w:rPr>
          <w:rStyle w:val="CommentReference"/>
        </w:rPr>
        <w:commentReference w:id="19"/>
      </w:r>
      <w:r w:rsidRPr="006F5F7E">
        <w:rPr>
          <w:rFonts w:asciiTheme="majorBidi" w:hAnsiTheme="majorBidi" w:cstheme="majorBidi"/>
          <w:sz w:val="20"/>
          <w:szCs w:val="20"/>
        </w:rPr>
        <w:t>, such as Nigeria, institutional investors have been shown to encourage firms to pay dividends to uphold reputational and liquidity standards (Yahaya, 2025). In weak governance environments, dividends function as mechanisms to control managerial expropriation (Danni &amp; Qi, 2024</w:t>
      </w:r>
      <w:r w:rsidR="00B5119D" w:rsidRPr="006F5F7E">
        <w:rPr>
          <w:rFonts w:asciiTheme="majorBidi" w:hAnsiTheme="majorBidi" w:cstheme="majorBidi"/>
          <w:sz w:val="20"/>
          <w:szCs w:val="20"/>
        </w:rPr>
        <w:t>;</w:t>
      </w:r>
      <w:r w:rsidR="00930C7F" w:rsidRPr="006F5F7E">
        <w:rPr>
          <w:rFonts w:asciiTheme="majorBidi" w:hAnsiTheme="majorBidi" w:cstheme="majorBidi"/>
          <w:sz w:val="20"/>
          <w:szCs w:val="20"/>
        </w:rPr>
        <w:t xml:space="preserve"> </w:t>
      </w:r>
      <w:r w:rsidR="00B5119D" w:rsidRPr="006F5F7E">
        <w:rPr>
          <w:rFonts w:asciiTheme="majorBidi" w:hAnsiTheme="majorBidi" w:cstheme="majorBidi"/>
          <w:sz w:val="20"/>
          <w:szCs w:val="20"/>
        </w:rPr>
        <w:t>Tran, 2024</w:t>
      </w:r>
      <w:r w:rsidRPr="006F5F7E">
        <w:rPr>
          <w:rFonts w:asciiTheme="majorBidi" w:hAnsiTheme="majorBidi" w:cstheme="majorBidi"/>
          <w:sz w:val="20"/>
          <w:szCs w:val="20"/>
        </w:rPr>
        <w:t xml:space="preserve">). </w:t>
      </w:r>
    </w:p>
    <w:p w14:paraId="52CB09F5" w14:textId="77777777" w:rsidR="00A404C0" w:rsidRPr="006F5F7E" w:rsidRDefault="00927EE5" w:rsidP="00DE5D24">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The signalling theory complements this perspective by explaining how dividends are used to convey private information about future earnings. Initially proposed by Bhattacharya (1979) and extended by Miller and Rock (1985), this theory holds that dividends act as credible signals in environments characterised by information asymmetry and limited reliability of earnings reports (</w:t>
      </w:r>
      <w:r w:rsidR="00CC388E" w:rsidRPr="006F5F7E">
        <w:rPr>
          <w:rFonts w:asciiTheme="majorBidi" w:hAnsiTheme="majorBidi" w:cstheme="majorBidi"/>
          <w:sz w:val="20"/>
          <w:szCs w:val="20"/>
        </w:rPr>
        <w:t>AlGhazali</w:t>
      </w:r>
      <w:r w:rsidR="001E6985" w:rsidRPr="006F5F7E">
        <w:rPr>
          <w:rFonts w:asciiTheme="majorBidi" w:hAnsiTheme="majorBidi" w:cstheme="majorBidi"/>
          <w:sz w:val="20"/>
          <w:szCs w:val="20"/>
        </w:rPr>
        <w:t xml:space="preserve"> et al., 2024; </w:t>
      </w:r>
      <w:r w:rsidR="00FE4FC4" w:rsidRPr="006F5F7E">
        <w:rPr>
          <w:rFonts w:asciiTheme="majorBidi" w:hAnsiTheme="majorBidi" w:cstheme="majorBidi"/>
          <w:sz w:val="20"/>
          <w:szCs w:val="20"/>
        </w:rPr>
        <w:t>Sinha &amp; Kumar, 2024</w:t>
      </w:r>
      <w:r w:rsidR="001E6985" w:rsidRPr="006F5F7E">
        <w:rPr>
          <w:rFonts w:asciiTheme="majorBidi" w:hAnsiTheme="majorBidi" w:cstheme="majorBidi"/>
          <w:sz w:val="20"/>
          <w:szCs w:val="20"/>
        </w:rPr>
        <w:t xml:space="preserve">). </w:t>
      </w:r>
    </w:p>
    <w:p w14:paraId="4AEF80B5" w14:textId="1697A614" w:rsidR="00D04062" w:rsidRPr="006F5F7E" w:rsidRDefault="00927EE5" w:rsidP="00DE5D24">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In Nigeria, where delays in financial reporting are common, dividend announcements play a central role in investor decision-making. The effectiveness of these signals is influenced by ownership structure, as institutional and foreign investors are more likely to interpret dividends as reliable indicators of firm value and management competence</w:t>
      </w:r>
      <w:r w:rsidR="008A3568" w:rsidRPr="006F5F7E">
        <w:rPr>
          <w:rFonts w:asciiTheme="majorBidi" w:hAnsiTheme="majorBidi" w:cstheme="majorBidi"/>
          <w:sz w:val="20"/>
          <w:szCs w:val="20"/>
        </w:rPr>
        <w:t>.</w:t>
      </w:r>
      <w:r w:rsidR="00DE5D24" w:rsidRPr="006F5F7E">
        <w:rPr>
          <w:rFonts w:asciiTheme="majorBidi" w:hAnsiTheme="majorBidi" w:cstheme="majorBidi"/>
          <w:sz w:val="20"/>
          <w:szCs w:val="20"/>
        </w:rPr>
        <w:t xml:space="preserve"> </w:t>
      </w:r>
      <w:r w:rsidRPr="006F5F7E">
        <w:rPr>
          <w:rFonts w:asciiTheme="majorBidi" w:hAnsiTheme="majorBidi" w:cstheme="majorBidi"/>
          <w:sz w:val="20"/>
          <w:szCs w:val="20"/>
        </w:rPr>
        <w:t xml:space="preserve">Together, these theories suggest that dividend policy is shaped not only by earnings or board discretion but also by the interaction between ownership structure and profitability. Agency theory accounts for variations in governance-driven incentives, while signalling theory underscores the informational role of dividends. Profitability moderates these relationships, influencing how ownership affects dividend policy under differing earnings conditions. This integrated framework enables a more nuanced understanding of dividend decisions, particularly within the regulatory and governance complexities of the Nigerian banking </w:t>
      </w:r>
      <w:commentRangeStart w:id="20"/>
      <w:r w:rsidRPr="006F5F7E">
        <w:rPr>
          <w:rFonts w:asciiTheme="majorBidi" w:hAnsiTheme="majorBidi" w:cstheme="majorBidi"/>
          <w:sz w:val="20"/>
          <w:szCs w:val="20"/>
        </w:rPr>
        <w:t>sector</w:t>
      </w:r>
      <w:commentRangeEnd w:id="20"/>
      <w:r w:rsidR="0066009E">
        <w:rPr>
          <w:rStyle w:val="CommentReference"/>
        </w:rPr>
        <w:commentReference w:id="20"/>
      </w:r>
      <w:r w:rsidR="00833548" w:rsidRPr="006F5F7E">
        <w:rPr>
          <w:rFonts w:asciiTheme="majorBidi" w:hAnsiTheme="majorBidi" w:cstheme="majorBidi"/>
          <w:sz w:val="20"/>
          <w:szCs w:val="20"/>
        </w:rPr>
        <w:t>.</w:t>
      </w:r>
    </w:p>
    <w:p w14:paraId="681A3277" w14:textId="535778F4" w:rsidR="00820975" w:rsidRPr="006F5F7E" w:rsidRDefault="00820975" w:rsidP="001263E3">
      <w:pPr>
        <w:pStyle w:val="Heading2"/>
        <w:rPr>
          <w:rFonts w:asciiTheme="majorBidi" w:hAnsiTheme="majorBidi" w:cstheme="majorBidi"/>
          <w:b/>
          <w:bCs/>
          <w:color w:val="auto"/>
          <w:sz w:val="20"/>
          <w:szCs w:val="20"/>
        </w:rPr>
      </w:pPr>
      <w:commentRangeStart w:id="21"/>
      <w:r w:rsidRPr="006F5F7E">
        <w:rPr>
          <w:rFonts w:asciiTheme="majorBidi" w:hAnsiTheme="majorBidi" w:cstheme="majorBidi"/>
          <w:b/>
          <w:bCs/>
          <w:color w:val="auto"/>
          <w:sz w:val="20"/>
          <w:szCs w:val="20"/>
        </w:rPr>
        <w:t>2.</w:t>
      </w:r>
      <w:r w:rsidR="00425C3D" w:rsidRPr="006F5F7E">
        <w:rPr>
          <w:rFonts w:asciiTheme="majorBidi" w:hAnsiTheme="majorBidi" w:cstheme="majorBidi"/>
          <w:b/>
          <w:bCs/>
          <w:color w:val="auto"/>
          <w:sz w:val="20"/>
          <w:szCs w:val="20"/>
        </w:rPr>
        <w:t>2</w:t>
      </w:r>
      <w:r w:rsidRPr="006F5F7E">
        <w:rPr>
          <w:rFonts w:asciiTheme="majorBidi" w:hAnsiTheme="majorBidi" w:cstheme="majorBidi"/>
          <w:b/>
          <w:bCs/>
          <w:color w:val="auto"/>
          <w:sz w:val="20"/>
          <w:szCs w:val="20"/>
        </w:rPr>
        <w:t xml:space="preserve"> Empirical Review and Hypotheses Development</w:t>
      </w:r>
      <w:commentRangeEnd w:id="21"/>
      <w:r w:rsidR="00D45B10">
        <w:rPr>
          <w:rStyle w:val="CommentReference"/>
          <w:rFonts w:ascii="Aptos" w:eastAsia="DengXian" w:hAnsi="Aptos" w:cs="Arial"/>
          <w:color w:val="auto"/>
        </w:rPr>
        <w:commentReference w:id="21"/>
      </w:r>
    </w:p>
    <w:p w14:paraId="500F0068" w14:textId="1E6EC2D1" w:rsidR="00820975" w:rsidRPr="006F5F7E" w:rsidRDefault="00820975" w:rsidP="006D6E46">
      <w:pPr>
        <w:spacing w:line="360" w:lineRule="auto"/>
        <w:contextualSpacing/>
        <w:jc w:val="both"/>
        <w:rPr>
          <w:rFonts w:asciiTheme="majorBidi" w:eastAsia="DengXian Light" w:hAnsiTheme="majorBidi" w:cstheme="majorBidi"/>
          <w:sz w:val="20"/>
          <w:szCs w:val="20"/>
        </w:rPr>
      </w:pPr>
      <w:r w:rsidRPr="006F5F7E">
        <w:rPr>
          <w:rFonts w:asciiTheme="majorBidi" w:eastAsia="DengXian Light" w:hAnsiTheme="majorBidi" w:cstheme="majorBidi"/>
          <w:sz w:val="20"/>
          <w:szCs w:val="20"/>
        </w:rPr>
        <w:t>A significant body of literature has explored the determinants of dividend policy, particularly in relation to ownership structure and profitability. However, findings have varied considerably across contexts, ownership categories, and methodological approaches. This section synthesises the empirical findings relevant to this study and develops hypotheses in line with theoretical expectations, while recognising gaps in the literature.</w:t>
      </w:r>
    </w:p>
    <w:p w14:paraId="6A8F7550" w14:textId="77777777" w:rsidR="00820975" w:rsidRPr="006F5F7E" w:rsidRDefault="00820975" w:rsidP="007536D0">
      <w:pPr>
        <w:pStyle w:val="Heading3"/>
        <w:rPr>
          <w:rFonts w:asciiTheme="majorBidi" w:hAnsiTheme="majorBidi" w:cstheme="majorBidi"/>
          <w:b/>
          <w:bCs/>
          <w:color w:val="auto"/>
          <w:sz w:val="22"/>
          <w:szCs w:val="22"/>
        </w:rPr>
      </w:pPr>
      <w:r w:rsidRPr="006F5F7E">
        <w:rPr>
          <w:rFonts w:asciiTheme="majorBidi" w:hAnsiTheme="majorBidi" w:cstheme="majorBidi"/>
          <w:b/>
          <w:bCs/>
          <w:color w:val="auto"/>
          <w:sz w:val="22"/>
          <w:szCs w:val="22"/>
        </w:rPr>
        <w:t>2.3.1 Managerial Ownership and Dividend Policy</w:t>
      </w:r>
    </w:p>
    <w:p w14:paraId="1C946E9B" w14:textId="3468F493" w:rsidR="00820975" w:rsidRPr="006F5F7E" w:rsidRDefault="00F362E5" w:rsidP="00F362E5">
      <w:pPr>
        <w:spacing w:line="360" w:lineRule="auto"/>
        <w:contextualSpacing/>
        <w:jc w:val="both"/>
        <w:rPr>
          <w:rFonts w:asciiTheme="majorBidi" w:eastAsia="DengXian Light" w:hAnsiTheme="majorBidi" w:cstheme="majorBidi"/>
          <w:sz w:val="20"/>
          <w:szCs w:val="20"/>
        </w:rPr>
      </w:pPr>
      <w:r w:rsidRPr="006F5F7E">
        <w:rPr>
          <w:rFonts w:asciiTheme="majorBidi" w:eastAsia="DengXian Light" w:hAnsiTheme="majorBidi" w:cstheme="majorBidi"/>
          <w:sz w:val="20"/>
          <w:szCs w:val="20"/>
        </w:rPr>
        <w:t xml:space="preserve">Managerial ownership refers to the proportion of a company’s shares held by its executives and board members. According to agency theory (Jensen &amp; </w:t>
      </w:r>
      <w:proofErr w:type="spellStart"/>
      <w:r w:rsidRPr="006F5F7E">
        <w:rPr>
          <w:rFonts w:asciiTheme="majorBidi" w:eastAsia="DengXian Light" w:hAnsiTheme="majorBidi" w:cstheme="majorBidi"/>
          <w:sz w:val="20"/>
          <w:szCs w:val="20"/>
        </w:rPr>
        <w:t>Meckling</w:t>
      </w:r>
      <w:proofErr w:type="spellEnd"/>
      <w:r w:rsidRPr="006F5F7E">
        <w:rPr>
          <w:rFonts w:asciiTheme="majorBidi" w:eastAsia="DengXian Light" w:hAnsiTheme="majorBidi" w:cstheme="majorBidi"/>
          <w:sz w:val="20"/>
          <w:szCs w:val="20"/>
        </w:rPr>
        <w:t>, 1976)</w:t>
      </w:r>
      <w:commentRangeStart w:id="22"/>
      <w:r w:rsidRPr="006F5F7E">
        <w:rPr>
          <w:rFonts w:asciiTheme="majorBidi" w:eastAsia="DengXian Light" w:hAnsiTheme="majorBidi" w:cstheme="majorBidi"/>
          <w:sz w:val="20"/>
          <w:szCs w:val="20"/>
        </w:rPr>
        <w:t xml:space="preserve">, </w:t>
      </w:r>
      <w:commentRangeEnd w:id="22"/>
      <w:r w:rsidR="00E9456A">
        <w:rPr>
          <w:rStyle w:val="CommentReference"/>
        </w:rPr>
        <w:commentReference w:id="22"/>
      </w:r>
      <w:r w:rsidRPr="006F5F7E">
        <w:rPr>
          <w:rFonts w:asciiTheme="majorBidi" w:eastAsia="DengXian Light" w:hAnsiTheme="majorBidi" w:cstheme="majorBidi"/>
          <w:sz w:val="20"/>
          <w:szCs w:val="20"/>
        </w:rPr>
        <w:t xml:space="preserve">when managers are shareholders, they may align their interests with those of other shareholders, potentially supporting dividend payments. </w:t>
      </w:r>
      <w:commentRangeStart w:id="23"/>
      <w:commentRangeStart w:id="24"/>
      <w:r w:rsidRPr="006F5F7E">
        <w:rPr>
          <w:rFonts w:asciiTheme="majorBidi" w:eastAsia="DengXian Light" w:hAnsiTheme="majorBidi" w:cstheme="majorBidi"/>
          <w:sz w:val="20"/>
          <w:szCs w:val="20"/>
        </w:rPr>
        <w:t xml:space="preserve">However, empirical findings are mixed. Yahaya (2025) found a positive and significant effect of board ownership on dividend payouts in Nigerian non-financial firms, suggesting dividends are used as a </w:t>
      </w:r>
      <w:proofErr w:type="spellStart"/>
      <w:r w:rsidRPr="006F5F7E">
        <w:rPr>
          <w:rFonts w:asciiTheme="majorBidi" w:eastAsia="DengXian Light" w:hAnsiTheme="majorBidi" w:cstheme="majorBidi"/>
          <w:sz w:val="20"/>
          <w:szCs w:val="20"/>
        </w:rPr>
        <w:t>signalling</w:t>
      </w:r>
      <w:proofErr w:type="spellEnd"/>
      <w:r w:rsidRPr="006F5F7E">
        <w:rPr>
          <w:rFonts w:asciiTheme="majorBidi" w:eastAsia="DengXian Light" w:hAnsiTheme="majorBidi" w:cstheme="majorBidi"/>
          <w:sz w:val="20"/>
          <w:szCs w:val="20"/>
        </w:rPr>
        <w:t xml:space="preserve"> and self-benefiting mechanism.</w:t>
      </w:r>
      <w:commentRangeEnd w:id="23"/>
      <w:r w:rsidR="00E9456A">
        <w:rPr>
          <w:rStyle w:val="CommentReference"/>
        </w:rPr>
        <w:commentReference w:id="23"/>
      </w:r>
      <w:commentRangeEnd w:id="24"/>
      <w:r w:rsidR="00E9456A">
        <w:rPr>
          <w:rStyle w:val="CommentReference"/>
        </w:rPr>
        <w:commentReference w:id="24"/>
      </w:r>
      <w:r w:rsidRPr="006F5F7E">
        <w:rPr>
          <w:rFonts w:asciiTheme="majorBidi" w:eastAsia="DengXian Light" w:hAnsiTheme="majorBidi" w:cstheme="majorBidi"/>
          <w:sz w:val="20"/>
          <w:szCs w:val="20"/>
        </w:rPr>
        <w:t xml:space="preserve"> Conversely, Ismail and Anridho (2024) and Akilla et al. (2024) reported a negative or insignificant effect of managerial ownership on dividend policy in Indonesian SOEs and Nigerian banks, respectively. These findings support the entrenchment hypothesis (Morck et al., 1988), which posits that beyond a certain ownership threshold, managers prefer to retain earnings to pursue personal projects, thereby reducing dividend payouts. In regulated environments like banking, dividend decisions may be influenced more by prudential norms than </w:t>
      </w:r>
      <w:r w:rsidRPr="006F5F7E">
        <w:rPr>
          <w:rFonts w:asciiTheme="majorBidi" w:eastAsia="DengXian Light" w:hAnsiTheme="majorBidi" w:cstheme="majorBidi"/>
          <w:sz w:val="20"/>
          <w:szCs w:val="20"/>
        </w:rPr>
        <w:lastRenderedPageBreak/>
        <w:t xml:space="preserve">ownership structure. Therefore, the relationship between managerial ownership and dividend policy remains </w:t>
      </w:r>
      <w:r w:rsidR="00EB5516" w:rsidRPr="006F5F7E">
        <w:rPr>
          <w:rFonts w:asciiTheme="majorBidi" w:eastAsia="DengXian Light" w:hAnsiTheme="majorBidi" w:cstheme="majorBidi"/>
          <w:sz w:val="20"/>
          <w:szCs w:val="20"/>
        </w:rPr>
        <w:t>context specific</w:t>
      </w:r>
      <w:r w:rsidR="00820975" w:rsidRPr="006F5F7E">
        <w:rPr>
          <w:rFonts w:asciiTheme="majorBidi" w:eastAsia="DengXian Light" w:hAnsiTheme="majorBidi" w:cstheme="majorBidi"/>
          <w:sz w:val="20"/>
          <w:szCs w:val="20"/>
        </w:rPr>
        <w:t>.</w:t>
      </w:r>
    </w:p>
    <w:p w14:paraId="05640368" w14:textId="77777777" w:rsidR="00820975" w:rsidRPr="006F5F7E" w:rsidRDefault="00820975" w:rsidP="006D6E46">
      <w:pPr>
        <w:spacing w:line="360" w:lineRule="auto"/>
        <w:contextualSpacing/>
        <w:jc w:val="both"/>
        <w:rPr>
          <w:rFonts w:asciiTheme="majorBidi" w:eastAsia="DengXian Light" w:hAnsiTheme="majorBidi" w:cstheme="majorBidi"/>
          <w:i/>
          <w:iCs/>
          <w:sz w:val="20"/>
          <w:szCs w:val="20"/>
        </w:rPr>
      </w:pPr>
      <w:commentRangeStart w:id="25"/>
      <w:r w:rsidRPr="006F5F7E">
        <w:rPr>
          <w:rFonts w:asciiTheme="majorBidi" w:eastAsia="DengXian Light" w:hAnsiTheme="majorBidi" w:cstheme="majorBidi"/>
          <w:i/>
          <w:iCs/>
          <w:sz w:val="20"/>
          <w:szCs w:val="20"/>
        </w:rPr>
        <w:t>Hypothesis 1 (H1): Managerial ownership is negatively associated with dividend payout ratios of listed deposit money banks in Nigeria.</w:t>
      </w:r>
      <w:commentRangeEnd w:id="25"/>
      <w:r w:rsidR="00823385">
        <w:rPr>
          <w:rStyle w:val="CommentReference"/>
        </w:rPr>
        <w:commentReference w:id="25"/>
      </w:r>
    </w:p>
    <w:p w14:paraId="68E3711D" w14:textId="77777777" w:rsidR="00820975" w:rsidRPr="006F5F7E" w:rsidRDefault="00820975" w:rsidP="00963501">
      <w:pPr>
        <w:pStyle w:val="Heading3"/>
        <w:rPr>
          <w:rFonts w:asciiTheme="majorBidi" w:hAnsiTheme="majorBidi" w:cstheme="majorBidi"/>
          <w:b/>
          <w:bCs/>
          <w:color w:val="auto"/>
          <w:sz w:val="22"/>
          <w:szCs w:val="22"/>
        </w:rPr>
      </w:pPr>
      <w:r w:rsidRPr="006F5F7E">
        <w:rPr>
          <w:rFonts w:asciiTheme="majorBidi" w:hAnsiTheme="majorBidi" w:cstheme="majorBidi"/>
          <w:b/>
          <w:bCs/>
          <w:color w:val="auto"/>
          <w:sz w:val="22"/>
          <w:szCs w:val="22"/>
        </w:rPr>
        <w:t>2.3.2 Institutional Ownership and Dividend Policy</w:t>
      </w:r>
    </w:p>
    <w:p w14:paraId="5224BC52" w14:textId="77777777" w:rsidR="00963501" w:rsidRPr="00963501" w:rsidRDefault="00963501" w:rsidP="00963501">
      <w:pPr>
        <w:spacing w:line="360" w:lineRule="auto"/>
        <w:contextualSpacing/>
        <w:jc w:val="both"/>
        <w:rPr>
          <w:rFonts w:asciiTheme="majorBidi" w:eastAsia="DengXian Light" w:hAnsiTheme="majorBidi" w:cstheme="majorBidi"/>
          <w:sz w:val="20"/>
          <w:szCs w:val="20"/>
        </w:rPr>
      </w:pPr>
      <w:r w:rsidRPr="00963501">
        <w:rPr>
          <w:rFonts w:asciiTheme="majorBidi" w:eastAsia="DengXian Light" w:hAnsiTheme="majorBidi" w:cstheme="majorBidi"/>
          <w:sz w:val="20"/>
          <w:szCs w:val="20"/>
        </w:rPr>
        <w:t>Institutional ownership (IO) plays a pivotal role in shaping dividend policy, particularly in the banking sector where strategic monitoring by institutional investors may mitigate agency conflicts and influence payout decisions. Theoretically, institutional investors are presumed to favour dividend policies that ensure transparency and reduce managerial discretion over free cash flows (Jensen, 1986). However, empirical findings across emerging markets have shown nuanced outcomes.</w:t>
      </w:r>
    </w:p>
    <w:p w14:paraId="7877588C" w14:textId="1179AB43" w:rsidR="00820975" w:rsidRPr="006F5F7E" w:rsidRDefault="00963501" w:rsidP="00D35C87">
      <w:pPr>
        <w:spacing w:line="360" w:lineRule="auto"/>
        <w:contextualSpacing/>
        <w:jc w:val="both"/>
        <w:rPr>
          <w:rFonts w:asciiTheme="majorBidi" w:eastAsia="DengXian Light" w:hAnsiTheme="majorBidi" w:cstheme="majorBidi"/>
          <w:sz w:val="20"/>
          <w:szCs w:val="20"/>
        </w:rPr>
      </w:pPr>
      <w:r w:rsidRPr="00963501">
        <w:rPr>
          <w:rFonts w:asciiTheme="majorBidi" w:eastAsia="DengXian Light" w:hAnsiTheme="majorBidi" w:cstheme="majorBidi"/>
          <w:sz w:val="20"/>
          <w:szCs w:val="20"/>
        </w:rPr>
        <w:t xml:space="preserve">In the context of Nigeria, Akpadaka et al. (2024) reported a significant positive association between institutional ownership and dividend payout among listed </w:t>
      </w:r>
      <w:r w:rsidR="00584059" w:rsidRPr="006F5F7E">
        <w:rPr>
          <w:rFonts w:asciiTheme="majorBidi" w:eastAsia="DengXian Light" w:hAnsiTheme="majorBidi" w:cstheme="majorBidi"/>
          <w:sz w:val="20"/>
          <w:szCs w:val="20"/>
        </w:rPr>
        <w:t>manufacturing firms on the N</w:t>
      </w:r>
      <w:r w:rsidR="00826470" w:rsidRPr="006F5F7E">
        <w:rPr>
          <w:rFonts w:asciiTheme="majorBidi" w:eastAsia="DengXian Light" w:hAnsiTheme="majorBidi" w:cstheme="majorBidi"/>
          <w:sz w:val="20"/>
          <w:szCs w:val="20"/>
        </w:rPr>
        <w:t>igeria</w:t>
      </w:r>
      <w:r w:rsidR="00E74485" w:rsidRPr="006F5F7E">
        <w:rPr>
          <w:rFonts w:asciiTheme="majorBidi" w:eastAsia="DengXian Light" w:hAnsiTheme="majorBidi" w:cstheme="majorBidi"/>
          <w:sz w:val="20"/>
          <w:szCs w:val="20"/>
        </w:rPr>
        <w:t>n Exchange</w:t>
      </w:r>
      <w:r w:rsidRPr="00963501">
        <w:rPr>
          <w:rFonts w:asciiTheme="majorBidi" w:eastAsia="DengXian Light" w:hAnsiTheme="majorBidi" w:cstheme="majorBidi"/>
          <w:sz w:val="20"/>
          <w:szCs w:val="20"/>
        </w:rPr>
        <w:t>. The authors argue that institutional investors, by virtue of their voting rights and monitoring capabilities, encourage higher dividends as a mechanism for mitigating agency costs. Similarly, Yahaya et al. (202</w:t>
      </w:r>
      <w:r w:rsidR="00CA1CA2" w:rsidRPr="006F5F7E">
        <w:rPr>
          <w:rFonts w:asciiTheme="majorBidi" w:eastAsia="DengXian Light" w:hAnsiTheme="majorBidi" w:cstheme="majorBidi"/>
          <w:sz w:val="20"/>
          <w:szCs w:val="20"/>
        </w:rPr>
        <w:t>5b</w:t>
      </w:r>
      <w:r w:rsidRPr="00963501">
        <w:rPr>
          <w:rFonts w:asciiTheme="majorBidi" w:eastAsia="DengXian Light" w:hAnsiTheme="majorBidi" w:cstheme="majorBidi"/>
          <w:sz w:val="20"/>
          <w:szCs w:val="20"/>
        </w:rPr>
        <w:t>) supported the view that institutional investors demand consistent dividend payments to reduce the likelihood of expropriation by insiders. Conversely, in some cases, institutional investors may align with entrenched management, leading to a neutral or even negative influence on dividend policy</w:t>
      </w:r>
      <w:r w:rsidR="00A44055" w:rsidRPr="006F5F7E">
        <w:rPr>
          <w:rFonts w:asciiTheme="majorBidi" w:eastAsia="DengXian Light" w:hAnsiTheme="majorBidi" w:cstheme="majorBidi"/>
          <w:sz w:val="20"/>
          <w:szCs w:val="20"/>
        </w:rPr>
        <w:t xml:space="preserve"> (</w:t>
      </w:r>
      <w:r w:rsidR="003E334D" w:rsidRPr="006F5F7E">
        <w:rPr>
          <w:rFonts w:asciiTheme="majorBidi" w:hAnsiTheme="majorBidi" w:cstheme="majorBidi"/>
          <w:sz w:val="20"/>
          <w:szCs w:val="20"/>
        </w:rPr>
        <w:t>Tayachi et al</w:t>
      </w:r>
      <w:r w:rsidRPr="00963501">
        <w:rPr>
          <w:rFonts w:asciiTheme="majorBidi" w:eastAsia="DengXian Light" w:hAnsiTheme="majorBidi" w:cstheme="majorBidi"/>
          <w:sz w:val="20"/>
          <w:szCs w:val="20"/>
        </w:rPr>
        <w:t>.</w:t>
      </w:r>
      <w:r w:rsidR="003E334D" w:rsidRPr="006F5F7E">
        <w:rPr>
          <w:rFonts w:asciiTheme="majorBidi" w:eastAsia="DengXian Light" w:hAnsiTheme="majorBidi" w:cstheme="majorBidi"/>
          <w:sz w:val="20"/>
          <w:szCs w:val="20"/>
        </w:rPr>
        <w:t>,</w:t>
      </w:r>
      <w:r w:rsidR="000608F4" w:rsidRPr="006F5F7E">
        <w:rPr>
          <w:rFonts w:asciiTheme="majorBidi" w:eastAsia="DengXian Light" w:hAnsiTheme="majorBidi" w:cstheme="majorBidi"/>
          <w:sz w:val="20"/>
          <w:szCs w:val="20"/>
        </w:rPr>
        <w:t xml:space="preserve"> 2021</w:t>
      </w:r>
      <w:r w:rsidR="0006013F" w:rsidRPr="006F5F7E">
        <w:rPr>
          <w:rFonts w:asciiTheme="majorBidi" w:eastAsia="DengXian Light" w:hAnsiTheme="majorBidi" w:cstheme="majorBidi"/>
          <w:sz w:val="20"/>
          <w:szCs w:val="20"/>
        </w:rPr>
        <w:t xml:space="preserve">; </w:t>
      </w:r>
      <w:r w:rsidR="0006013F" w:rsidRPr="006F5F7E">
        <w:rPr>
          <w:rFonts w:asciiTheme="majorBidi" w:hAnsiTheme="majorBidi" w:cstheme="majorBidi"/>
          <w:sz w:val="20"/>
          <w:szCs w:val="20"/>
        </w:rPr>
        <w:t>Wijaya, 2023</w:t>
      </w:r>
      <w:r w:rsidR="00C22FC3" w:rsidRPr="006F5F7E">
        <w:rPr>
          <w:rFonts w:asciiTheme="majorBidi" w:eastAsia="DengXian Light" w:hAnsiTheme="majorBidi" w:cstheme="majorBidi"/>
          <w:sz w:val="20"/>
          <w:szCs w:val="20"/>
        </w:rPr>
        <w:t>)</w:t>
      </w:r>
      <w:r w:rsidR="0006013F" w:rsidRPr="006F5F7E">
        <w:rPr>
          <w:rFonts w:asciiTheme="majorBidi" w:eastAsia="DengXian Light" w:hAnsiTheme="majorBidi" w:cstheme="majorBidi"/>
          <w:sz w:val="20"/>
          <w:szCs w:val="20"/>
        </w:rPr>
        <w:t>.</w:t>
      </w:r>
      <w:r w:rsidR="00D35C87" w:rsidRPr="006F5F7E">
        <w:rPr>
          <w:rFonts w:asciiTheme="majorBidi" w:eastAsia="DengXian Light" w:hAnsiTheme="majorBidi" w:cstheme="majorBidi"/>
          <w:sz w:val="20"/>
          <w:szCs w:val="20"/>
        </w:rPr>
        <w:t xml:space="preserve"> </w:t>
      </w:r>
      <w:r w:rsidRPr="00963501">
        <w:rPr>
          <w:rFonts w:asciiTheme="majorBidi" w:eastAsia="DengXian Light" w:hAnsiTheme="majorBidi" w:cstheme="majorBidi"/>
          <w:sz w:val="20"/>
          <w:szCs w:val="20"/>
        </w:rPr>
        <w:t>These findings underscore the dual agency perspective where institutional investors can either function as active monitors or as passive allies to management depending on their investment horizon and strategic interest.</w:t>
      </w:r>
    </w:p>
    <w:p w14:paraId="158CEC19" w14:textId="3022D170" w:rsidR="00820975" w:rsidRPr="006F5F7E" w:rsidRDefault="000F4D36" w:rsidP="006D6E46">
      <w:pPr>
        <w:spacing w:line="360" w:lineRule="auto"/>
        <w:contextualSpacing/>
        <w:jc w:val="both"/>
        <w:rPr>
          <w:rFonts w:asciiTheme="majorBidi" w:eastAsia="DengXian Light" w:hAnsiTheme="majorBidi" w:cstheme="majorBidi"/>
          <w:i/>
          <w:iCs/>
          <w:sz w:val="20"/>
          <w:szCs w:val="20"/>
        </w:rPr>
      </w:pPr>
      <w:commentRangeStart w:id="26"/>
      <w:r w:rsidRPr="006F5F7E">
        <w:rPr>
          <w:rFonts w:asciiTheme="majorBidi" w:eastAsia="DengXian Light" w:hAnsiTheme="majorBidi" w:cstheme="majorBidi"/>
          <w:b/>
          <w:bCs/>
          <w:i/>
          <w:iCs/>
          <w:sz w:val="20"/>
          <w:szCs w:val="20"/>
        </w:rPr>
        <w:t>H2</w:t>
      </w:r>
      <w:r w:rsidR="00820975" w:rsidRPr="006F5F7E">
        <w:rPr>
          <w:rFonts w:asciiTheme="majorBidi" w:eastAsia="DengXian Light" w:hAnsiTheme="majorBidi" w:cstheme="majorBidi"/>
          <w:b/>
          <w:bCs/>
          <w:i/>
          <w:iCs/>
          <w:sz w:val="20"/>
          <w:szCs w:val="20"/>
        </w:rPr>
        <w:t>:</w:t>
      </w:r>
      <w:r w:rsidR="00820975" w:rsidRPr="006F5F7E">
        <w:rPr>
          <w:rFonts w:asciiTheme="majorBidi" w:eastAsia="DengXian Light" w:hAnsiTheme="majorBidi" w:cstheme="majorBidi"/>
          <w:i/>
          <w:iCs/>
          <w:sz w:val="20"/>
          <w:szCs w:val="20"/>
        </w:rPr>
        <w:t xml:space="preserve"> Institutional ownership is positively associated with dividend payout ratios of listed deposit money banks in Nigeria.</w:t>
      </w:r>
      <w:commentRangeEnd w:id="26"/>
      <w:r w:rsidR="00823385">
        <w:rPr>
          <w:rStyle w:val="CommentReference"/>
        </w:rPr>
        <w:commentReference w:id="26"/>
      </w:r>
    </w:p>
    <w:p w14:paraId="5A4A2AA9" w14:textId="77777777" w:rsidR="00820975" w:rsidRPr="006F5F7E" w:rsidRDefault="00820975" w:rsidP="007A47C2">
      <w:pPr>
        <w:pStyle w:val="Heading3"/>
        <w:rPr>
          <w:rFonts w:asciiTheme="majorBidi" w:hAnsiTheme="majorBidi" w:cstheme="majorBidi"/>
          <w:b/>
          <w:bCs/>
          <w:sz w:val="20"/>
          <w:szCs w:val="20"/>
        </w:rPr>
      </w:pPr>
      <w:r w:rsidRPr="006F5F7E">
        <w:rPr>
          <w:rFonts w:asciiTheme="majorBidi" w:hAnsiTheme="majorBidi" w:cstheme="majorBidi"/>
          <w:b/>
          <w:bCs/>
          <w:color w:val="auto"/>
          <w:sz w:val="20"/>
          <w:szCs w:val="20"/>
        </w:rPr>
        <w:t>2.3.3 Foreign Ownership and Dividend Policy</w:t>
      </w:r>
    </w:p>
    <w:p w14:paraId="41C98F7D" w14:textId="77777777" w:rsidR="007A47C2" w:rsidRPr="007A47C2" w:rsidRDefault="007A47C2" w:rsidP="007A47C2">
      <w:pPr>
        <w:spacing w:line="360" w:lineRule="auto"/>
        <w:contextualSpacing/>
        <w:jc w:val="both"/>
        <w:rPr>
          <w:rFonts w:asciiTheme="majorBidi" w:eastAsia="DengXian Light" w:hAnsiTheme="majorBidi" w:cstheme="majorBidi"/>
          <w:sz w:val="20"/>
          <w:szCs w:val="20"/>
        </w:rPr>
      </w:pPr>
      <w:commentRangeStart w:id="27"/>
      <w:r w:rsidRPr="007A47C2">
        <w:rPr>
          <w:rFonts w:asciiTheme="majorBidi" w:eastAsia="DengXian Light" w:hAnsiTheme="majorBidi" w:cstheme="majorBidi"/>
          <w:sz w:val="20"/>
          <w:szCs w:val="20"/>
        </w:rPr>
        <w:t>Foreign ownership has emerged as a significant determinant of dividend policy, particularly in emerging markets where governance mechanisms are often underdeveloped</w:t>
      </w:r>
      <w:commentRangeEnd w:id="27"/>
      <w:r w:rsidR="00823385">
        <w:rPr>
          <w:rStyle w:val="CommentReference"/>
        </w:rPr>
        <w:commentReference w:id="27"/>
      </w:r>
      <w:r w:rsidRPr="007A47C2">
        <w:rPr>
          <w:rFonts w:asciiTheme="majorBidi" w:eastAsia="DengXian Light" w:hAnsiTheme="majorBidi" w:cstheme="majorBidi"/>
          <w:sz w:val="20"/>
          <w:szCs w:val="20"/>
        </w:rPr>
        <w:t>. Foreign investors are typically more risk-averse and demand transparent financial practices, especially in jurisdictions characterised by weak legal enforcement and high information asymmetry. In such settings, dividends serve as an effective tool to mitigate agency conflicts and reduce the risk of expropriation by insiders (Duqi, 2020; Loncan, 2020). Moreover, regular dividend payments facilitate income repatriation, making the host market more attractive to foreign capital.</w:t>
      </w:r>
    </w:p>
    <w:p w14:paraId="6C927584" w14:textId="77777777" w:rsidR="007A47C2" w:rsidRPr="007A47C2" w:rsidRDefault="007A47C2" w:rsidP="007A47C2">
      <w:pPr>
        <w:spacing w:line="360" w:lineRule="auto"/>
        <w:contextualSpacing/>
        <w:jc w:val="both"/>
        <w:rPr>
          <w:rFonts w:asciiTheme="majorBidi" w:eastAsia="DengXian Light" w:hAnsiTheme="majorBidi" w:cstheme="majorBidi"/>
          <w:sz w:val="20"/>
          <w:szCs w:val="20"/>
        </w:rPr>
      </w:pPr>
      <w:r w:rsidRPr="007A47C2">
        <w:rPr>
          <w:rFonts w:asciiTheme="majorBidi" w:eastAsia="DengXian Light" w:hAnsiTheme="majorBidi" w:cstheme="majorBidi"/>
          <w:sz w:val="20"/>
          <w:szCs w:val="20"/>
        </w:rPr>
        <w:t>Empirical studies have provided substantial support for this argument. In Nigeria and other comparable economies, foreign ownership has been found to positively influence dividend payouts, aligning with both the agency theory and signalling theory (Idris, 2023; Aslam et al., 2023). These investors often demand consistent and substantial dividends as reassurance of managerial discipline and firm performance. However, contrasting evidence exists. For instance, Bataineh (2020), examining Jordanian industrial and service firms, found a negative relationship between foreign ownership and dividend payments, suggesting that in some contexts, foreign investors may prioritise capital gains or reinvestment strategies over immediate returns.</w:t>
      </w:r>
    </w:p>
    <w:p w14:paraId="1FD62BD7" w14:textId="6CB9448C" w:rsidR="00820975" w:rsidRPr="006F5F7E" w:rsidRDefault="00820975" w:rsidP="006D6E46">
      <w:pPr>
        <w:spacing w:line="360" w:lineRule="auto"/>
        <w:contextualSpacing/>
        <w:jc w:val="both"/>
        <w:rPr>
          <w:rFonts w:asciiTheme="majorBidi" w:eastAsia="DengXian Light" w:hAnsiTheme="majorBidi" w:cstheme="majorBidi"/>
          <w:i/>
          <w:iCs/>
          <w:sz w:val="20"/>
          <w:szCs w:val="20"/>
        </w:rPr>
      </w:pPr>
      <w:r w:rsidRPr="006F5F7E">
        <w:rPr>
          <w:rFonts w:asciiTheme="majorBidi" w:eastAsia="DengXian Light" w:hAnsiTheme="majorBidi" w:cstheme="majorBidi"/>
          <w:b/>
          <w:bCs/>
          <w:i/>
          <w:iCs/>
          <w:sz w:val="20"/>
          <w:szCs w:val="20"/>
        </w:rPr>
        <w:t>H</w:t>
      </w:r>
      <w:r w:rsidR="000F4D36" w:rsidRPr="006F5F7E">
        <w:rPr>
          <w:rFonts w:asciiTheme="majorBidi" w:eastAsia="DengXian Light" w:hAnsiTheme="majorBidi" w:cstheme="majorBidi"/>
          <w:b/>
          <w:bCs/>
          <w:i/>
          <w:iCs/>
          <w:sz w:val="20"/>
          <w:szCs w:val="20"/>
        </w:rPr>
        <w:t>3</w:t>
      </w:r>
      <w:r w:rsidRPr="006F5F7E">
        <w:rPr>
          <w:rFonts w:asciiTheme="majorBidi" w:eastAsia="DengXian Light" w:hAnsiTheme="majorBidi" w:cstheme="majorBidi"/>
          <w:i/>
          <w:iCs/>
          <w:sz w:val="20"/>
          <w:szCs w:val="20"/>
        </w:rPr>
        <w:t>: Foreign ownership is positively associated with dividend payout ratios of listed deposit money banks in Nigeria.</w:t>
      </w:r>
    </w:p>
    <w:p w14:paraId="765C91D9" w14:textId="77777777" w:rsidR="00820975" w:rsidRPr="006F5F7E" w:rsidRDefault="00820975" w:rsidP="00B92188">
      <w:pPr>
        <w:pStyle w:val="Heading3"/>
        <w:rPr>
          <w:rFonts w:asciiTheme="majorBidi" w:hAnsiTheme="majorBidi" w:cstheme="majorBidi"/>
          <w:b/>
          <w:bCs/>
          <w:sz w:val="20"/>
          <w:szCs w:val="20"/>
        </w:rPr>
      </w:pPr>
      <w:r w:rsidRPr="006F5F7E">
        <w:rPr>
          <w:rFonts w:asciiTheme="majorBidi" w:hAnsiTheme="majorBidi" w:cstheme="majorBidi"/>
          <w:b/>
          <w:bCs/>
          <w:sz w:val="20"/>
          <w:szCs w:val="20"/>
        </w:rPr>
        <w:lastRenderedPageBreak/>
        <w:t>2.3.4 Profitability and Dividend Policy</w:t>
      </w:r>
    </w:p>
    <w:p w14:paraId="58541B41" w14:textId="43AFFE45" w:rsidR="00820975" w:rsidRPr="006F5F7E" w:rsidRDefault="003F0AF9" w:rsidP="003F0AF9">
      <w:pPr>
        <w:spacing w:line="360" w:lineRule="auto"/>
        <w:contextualSpacing/>
        <w:jc w:val="both"/>
        <w:rPr>
          <w:rFonts w:asciiTheme="majorBidi" w:eastAsia="DengXian Light" w:hAnsiTheme="majorBidi" w:cstheme="majorBidi"/>
          <w:sz w:val="20"/>
          <w:szCs w:val="20"/>
        </w:rPr>
      </w:pPr>
      <w:commentRangeStart w:id="28"/>
      <w:r w:rsidRPr="006F5F7E">
        <w:rPr>
          <w:rFonts w:asciiTheme="majorBidi" w:eastAsia="DengXian Light" w:hAnsiTheme="majorBidi" w:cstheme="majorBidi"/>
          <w:sz w:val="20"/>
          <w:szCs w:val="20"/>
        </w:rPr>
        <w:t xml:space="preserve">Profitability is widely regarded as a key driver of dividend policy, as profitable firms have greater capacity to distribute dividends. </w:t>
      </w:r>
      <w:commentRangeEnd w:id="28"/>
      <w:r w:rsidR="00823385">
        <w:rPr>
          <w:rStyle w:val="CommentReference"/>
        </w:rPr>
        <w:commentReference w:id="28"/>
      </w:r>
      <w:r w:rsidRPr="006F5F7E">
        <w:rPr>
          <w:rFonts w:asciiTheme="majorBidi" w:eastAsia="DengXian Light" w:hAnsiTheme="majorBidi" w:cstheme="majorBidi"/>
          <w:sz w:val="20"/>
          <w:szCs w:val="20"/>
        </w:rPr>
        <w:t>Empirical evidence supports a positive relationship between profitability and dividend payout. Januarsi and Sanusi (2024) found that free cash flow enhances the link between profitability and dividend policy. Similarly, Susilo et al. (2021) reported a significant positive effect of profitability, proxied by ROA, on dividend payments in Indonesian manufacturing firms. Supporting this view in an African context, Akpadaka et al. (2024) observed a strong positive association between ROA and dividend payout among South African manufacturing firms. These findings align with the signalling and pecking order theories, suggesting that higher profitability signals financial strength and encourages greater dividend distribution</w:t>
      </w:r>
      <w:r w:rsidR="00820975" w:rsidRPr="006F5F7E">
        <w:rPr>
          <w:rFonts w:asciiTheme="majorBidi" w:eastAsia="DengXian Light" w:hAnsiTheme="majorBidi" w:cstheme="majorBidi"/>
          <w:sz w:val="20"/>
          <w:szCs w:val="20"/>
        </w:rPr>
        <w:t>.</w:t>
      </w:r>
    </w:p>
    <w:p w14:paraId="2DA67C55" w14:textId="43EFDFA4" w:rsidR="00820975" w:rsidRPr="006F5F7E" w:rsidRDefault="00820975" w:rsidP="006D6E46">
      <w:pPr>
        <w:spacing w:line="360" w:lineRule="auto"/>
        <w:contextualSpacing/>
        <w:jc w:val="both"/>
        <w:rPr>
          <w:rFonts w:asciiTheme="majorBidi" w:eastAsia="DengXian Light" w:hAnsiTheme="majorBidi" w:cstheme="majorBidi"/>
          <w:sz w:val="20"/>
          <w:szCs w:val="20"/>
        </w:rPr>
      </w:pPr>
      <w:r w:rsidRPr="006F5F7E">
        <w:rPr>
          <w:rFonts w:asciiTheme="majorBidi" w:eastAsia="DengXian Light" w:hAnsiTheme="majorBidi" w:cstheme="majorBidi"/>
          <w:b/>
          <w:bCs/>
          <w:i/>
          <w:iCs/>
          <w:sz w:val="20"/>
          <w:szCs w:val="20"/>
        </w:rPr>
        <w:t>H4</w:t>
      </w:r>
      <w:r w:rsidRPr="006F5F7E">
        <w:rPr>
          <w:rFonts w:asciiTheme="majorBidi" w:eastAsia="DengXian Light" w:hAnsiTheme="majorBidi" w:cstheme="majorBidi"/>
          <w:i/>
          <w:iCs/>
          <w:sz w:val="20"/>
          <w:szCs w:val="20"/>
        </w:rPr>
        <w:t>: Profitability (ROA) is positively associated with dividend payout ratios of listed deposit money banks in</w:t>
      </w:r>
      <w:r w:rsidRPr="006F5F7E">
        <w:rPr>
          <w:rFonts w:asciiTheme="majorBidi" w:eastAsia="DengXian Light" w:hAnsiTheme="majorBidi" w:cstheme="majorBidi"/>
          <w:sz w:val="20"/>
          <w:szCs w:val="20"/>
        </w:rPr>
        <w:t xml:space="preserve"> Nigeria.</w:t>
      </w:r>
    </w:p>
    <w:p w14:paraId="66FC9C0C" w14:textId="2BD6865E" w:rsidR="00820975" w:rsidRPr="006F5F7E" w:rsidRDefault="00820975" w:rsidP="00854435">
      <w:pPr>
        <w:pStyle w:val="Heading3"/>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2.3.5 Profitability as a Moderator of the Ownership</w:t>
      </w:r>
      <w:r w:rsidR="00CF762D" w:rsidRPr="006F5F7E">
        <w:rPr>
          <w:rFonts w:asciiTheme="majorBidi" w:hAnsiTheme="majorBidi" w:cstheme="majorBidi"/>
          <w:b/>
          <w:bCs/>
          <w:color w:val="auto"/>
          <w:sz w:val="20"/>
          <w:szCs w:val="20"/>
        </w:rPr>
        <w:t>-</w:t>
      </w:r>
      <w:r w:rsidRPr="006F5F7E">
        <w:rPr>
          <w:rFonts w:asciiTheme="majorBidi" w:hAnsiTheme="majorBidi" w:cstheme="majorBidi"/>
          <w:b/>
          <w:bCs/>
          <w:color w:val="auto"/>
          <w:sz w:val="20"/>
          <w:szCs w:val="20"/>
        </w:rPr>
        <w:t>Dividend Policy Relationship</w:t>
      </w:r>
    </w:p>
    <w:p w14:paraId="6D3059DD" w14:textId="31675BD5" w:rsidR="00F26A3D" w:rsidRPr="00F26A3D" w:rsidRDefault="00F26A3D" w:rsidP="00F26A3D">
      <w:pPr>
        <w:spacing w:line="360" w:lineRule="auto"/>
        <w:contextualSpacing/>
        <w:jc w:val="both"/>
        <w:rPr>
          <w:rFonts w:asciiTheme="majorBidi" w:eastAsia="DengXian Light" w:hAnsiTheme="majorBidi" w:cstheme="majorBidi"/>
          <w:sz w:val="20"/>
          <w:szCs w:val="20"/>
        </w:rPr>
      </w:pPr>
      <w:r w:rsidRPr="00F26A3D">
        <w:rPr>
          <w:rFonts w:asciiTheme="majorBidi" w:eastAsia="DengXian Light" w:hAnsiTheme="majorBidi" w:cstheme="majorBidi"/>
          <w:sz w:val="20"/>
          <w:szCs w:val="20"/>
        </w:rPr>
        <w:t>Profitability plays a crucial role not only as a direct determinant of dividend policy but also as a moderating variable that influences how ownership structure affects dividend payout decisions. The agency theory suggests that different forms of ownership exert varying degrees of control over dividend policies. However, this control is conditional on the firm’s internal capacity to generate profits. When firms are highly profitable, the ownership structure may have a diminished effect on dividend payout decisions, as sufficient resources are available to satisfy both investment and dividend interests. Conversely, in periods of low profitability, ownership dynamics become more critical in shaping dividend behaviour.</w:t>
      </w:r>
    </w:p>
    <w:p w14:paraId="03FB6A08" w14:textId="419A3EEE" w:rsidR="00820975" w:rsidRPr="006F5F7E" w:rsidRDefault="00F26A3D" w:rsidP="00F26A3D">
      <w:pPr>
        <w:spacing w:line="360" w:lineRule="auto"/>
        <w:contextualSpacing/>
        <w:jc w:val="both"/>
        <w:rPr>
          <w:rFonts w:asciiTheme="majorBidi" w:eastAsia="DengXian Light" w:hAnsiTheme="majorBidi" w:cstheme="majorBidi"/>
          <w:sz w:val="20"/>
          <w:szCs w:val="20"/>
        </w:rPr>
      </w:pPr>
      <w:r w:rsidRPr="00F26A3D">
        <w:rPr>
          <w:rFonts w:asciiTheme="majorBidi" w:eastAsia="DengXian Light" w:hAnsiTheme="majorBidi" w:cstheme="majorBidi"/>
          <w:sz w:val="20"/>
          <w:szCs w:val="20"/>
        </w:rPr>
        <w:t xml:space="preserve">Empirical evidence supports this moderating role. </w:t>
      </w:r>
      <w:commentRangeStart w:id="29"/>
      <w:r w:rsidRPr="00F26A3D">
        <w:rPr>
          <w:rFonts w:asciiTheme="majorBidi" w:eastAsia="DengXian Light" w:hAnsiTheme="majorBidi" w:cstheme="majorBidi"/>
          <w:sz w:val="20"/>
          <w:szCs w:val="20"/>
        </w:rPr>
        <w:t xml:space="preserve">Karim et al. (2025) </w:t>
      </w:r>
      <w:commentRangeEnd w:id="29"/>
      <w:r w:rsidR="00823385">
        <w:rPr>
          <w:rStyle w:val="CommentReference"/>
        </w:rPr>
        <w:commentReference w:id="29"/>
      </w:r>
      <w:r w:rsidRPr="00F26A3D">
        <w:rPr>
          <w:rFonts w:asciiTheme="majorBidi" w:eastAsia="DengXian Light" w:hAnsiTheme="majorBidi" w:cstheme="majorBidi"/>
          <w:sz w:val="20"/>
          <w:szCs w:val="20"/>
        </w:rPr>
        <w:t>demonstrated that profitability moderated the effect of firm growth on dividend policy in Indonesian infrastructure companies. Similarly, Akpadaka et al. (2024</w:t>
      </w:r>
      <w:r w:rsidRPr="006F5F7E">
        <w:rPr>
          <w:rFonts w:asciiTheme="majorBidi" w:eastAsia="DengXian Light" w:hAnsiTheme="majorBidi" w:cstheme="majorBidi"/>
          <w:sz w:val="20"/>
          <w:szCs w:val="20"/>
        </w:rPr>
        <w:t>b</w:t>
      </w:r>
      <w:r w:rsidRPr="00F26A3D">
        <w:rPr>
          <w:rFonts w:asciiTheme="majorBidi" w:eastAsia="DengXian Light" w:hAnsiTheme="majorBidi" w:cstheme="majorBidi"/>
          <w:sz w:val="20"/>
          <w:szCs w:val="20"/>
        </w:rPr>
        <w:t>) found that profitability significantly moderated the leverage–dividend relationship in Nigerian and South African manufacturing firms. These studies reinforce the theoretical proposition that profitability can condition the effect of ownership structure on dividend decisions</w:t>
      </w:r>
      <w:r w:rsidR="00820975" w:rsidRPr="006F5F7E">
        <w:rPr>
          <w:rFonts w:asciiTheme="majorBidi" w:eastAsia="DengXian Light" w:hAnsiTheme="majorBidi" w:cstheme="majorBidi"/>
          <w:sz w:val="20"/>
          <w:szCs w:val="20"/>
        </w:rPr>
        <w:t>.</w:t>
      </w:r>
    </w:p>
    <w:p w14:paraId="5F1F5712" w14:textId="53C224F5" w:rsidR="00820975" w:rsidRPr="006F5F7E" w:rsidRDefault="00820975" w:rsidP="006D6E46">
      <w:pPr>
        <w:spacing w:line="360" w:lineRule="auto"/>
        <w:contextualSpacing/>
        <w:jc w:val="both"/>
        <w:rPr>
          <w:rFonts w:asciiTheme="majorBidi" w:eastAsia="DengXian Light" w:hAnsiTheme="majorBidi" w:cstheme="majorBidi"/>
          <w:i/>
          <w:iCs/>
          <w:sz w:val="20"/>
          <w:szCs w:val="20"/>
        </w:rPr>
      </w:pPr>
      <w:r w:rsidRPr="006F5F7E">
        <w:rPr>
          <w:rFonts w:asciiTheme="majorBidi" w:eastAsia="DengXian Light" w:hAnsiTheme="majorBidi" w:cstheme="majorBidi"/>
          <w:i/>
          <w:iCs/>
          <w:sz w:val="20"/>
          <w:szCs w:val="20"/>
        </w:rPr>
        <w:t>H5: Profitability moderates the relationship between ownership structure and dividend payout ratios of listed deposit money banks in Nigeria.</w:t>
      </w:r>
    </w:p>
    <w:p w14:paraId="4AEF80CC" w14:textId="77777777" w:rsidR="00D04062" w:rsidRPr="006F5F7E" w:rsidRDefault="00833548" w:rsidP="006D6E46">
      <w:pPr>
        <w:pStyle w:val="Heading2"/>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3. Methodology</w:t>
      </w:r>
    </w:p>
    <w:p w14:paraId="4AEF80CD" w14:textId="77777777" w:rsidR="00D04062" w:rsidRPr="006F5F7E" w:rsidRDefault="00833548" w:rsidP="006D6E46">
      <w:pPr>
        <w:pStyle w:val="Heading3"/>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3.1 Research Design and Sample</w:t>
      </w:r>
    </w:p>
    <w:p w14:paraId="1DE43ED4" w14:textId="4125B55A" w:rsidR="00CD20AF" w:rsidRPr="006F5F7E" w:rsidRDefault="00C8249F" w:rsidP="00B94BC8">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This study employs an ex post facto research design under the positivist paradigm, suitable for analysing causal and moderating relationships using </w:t>
      </w:r>
      <w:commentRangeStart w:id="30"/>
      <w:r w:rsidRPr="006F5F7E">
        <w:rPr>
          <w:rFonts w:asciiTheme="majorBidi" w:hAnsiTheme="majorBidi" w:cstheme="majorBidi"/>
          <w:sz w:val="20"/>
          <w:szCs w:val="20"/>
        </w:rPr>
        <w:t xml:space="preserve">historical data </w:t>
      </w:r>
      <w:commentRangeEnd w:id="30"/>
      <w:r w:rsidR="00823385">
        <w:rPr>
          <w:rStyle w:val="CommentReference"/>
        </w:rPr>
        <w:commentReference w:id="30"/>
      </w:r>
      <w:r w:rsidRPr="006F5F7E">
        <w:rPr>
          <w:rFonts w:asciiTheme="majorBidi" w:hAnsiTheme="majorBidi" w:cstheme="majorBidi"/>
          <w:sz w:val="20"/>
          <w:szCs w:val="20"/>
        </w:rPr>
        <w:t>without manipulating independent variables. The design aligns with the study’s objective of examining the influence of ownership structure and profitability on dividend policy in Nigerian Deposit Money Banks (DMBs) over a t</w:t>
      </w:r>
      <w:r w:rsidR="0020016D" w:rsidRPr="006F5F7E">
        <w:rPr>
          <w:rFonts w:asciiTheme="majorBidi" w:hAnsiTheme="majorBidi" w:cstheme="majorBidi"/>
          <w:sz w:val="20"/>
          <w:szCs w:val="20"/>
        </w:rPr>
        <w:t>welve</w:t>
      </w:r>
      <w:r w:rsidRPr="006F5F7E">
        <w:rPr>
          <w:rFonts w:asciiTheme="majorBidi" w:hAnsiTheme="majorBidi" w:cstheme="majorBidi"/>
          <w:sz w:val="20"/>
          <w:szCs w:val="20"/>
        </w:rPr>
        <w:t>-year period (201</w:t>
      </w:r>
      <w:r w:rsidR="0020016D" w:rsidRPr="006F5F7E">
        <w:rPr>
          <w:rFonts w:asciiTheme="majorBidi" w:hAnsiTheme="majorBidi" w:cstheme="majorBidi"/>
          <w:sz w:val="20"/>
          <w:szCs w:val="20"/>
        </w:rPr>
        <w:t>2</w:t>
      </w:r>
      <w:r w:rsidRPr="006F5F7E">
        <w:rPr>
          <w:rFonts w:asciiTheme="majorBidi" w:hAnsiTheme="majorBidi" w:cstheme="majorBidi"/>
          <w:sz w:val="20"/>
          <w:szCs w:val="20"/>
        </w:rPr>
        <w:t>–2023), a timeframe shaped by post-crisis reforms</w:t>
      </w:r>
      <w:r w:rsidR="00B94BC8" w:rsidRPr="006F5F7E">
        <w:rPr>
          <w:rFonts w:asciiTheme="majorBidi" w:hAnsiTheme="majorBidi" w:cstheme="majorBidi"/>
          <w:sz w:val="20"/>
          <w:szCs w:val="20"/>
        </w:rPr>
        <w:t xml:space="preserve"> and</w:t>
      </w:r>
      <w:r w:rsidRPr="006F5F7E">
        <w:rPr>
          <w:rFonts w:asciiTheme="majorBidi" w:hAnsiTheme="majorBidi" w:cstheme="majorBidi"/>
          <w:sz w:val="20"/>
          <w:szCs w:val="20"/>
        </w:rPr>
        <w:t xml:space="preserve"> Basel III regulations</w:t>
      </w:r>
      <w:r w:rsidR="00755B15" w:rsidRPr="006F5F7E">
        <w:rPr>
          <w:rFonts w:asciiTheme="majorBidi" w:hAnsiTheme="majorBidi" w:cstheme="majorBidi"/>
          <w:sz w:val="20"/>
          <w:szCs w:val="20"/>
        </w:rPr>
        <w:t xml:space="preserve">. </w:t>
      </w:r>
      <w:r w:rsidRPr="006F5F7E">
        <w:rPr>
          <w:rFonts w:asciiTheme="majorBidi" w:hAnsiTheme="majorBidi" w:cstheme="majorBidi"/>
          <w:sz w:val="20"/>
          <w:szCs w:val="20"/>
        </w:rPr>
        <w:t xml:space="preserve">The study population includes </w:t>
      </w:r>
      <w:commentRangeStart w:id="31"/>
      <w:r w:rsidRPr="006F5F7E">
        <w:rPr>
          <w:rFonts w:asciiTheme="majorBidi" w:hAnsiTheme="majorBidi" w:cstheme="majorBidi"/>
          <w:sz w:val="20"/>
          <w:szCs w:val="20"/>
        </w:rPr>
        <w:t>15 DMBs listed on the Nigerian Exchange Group as of 2023</w:t>
      </w:r>
      <w:commentRangeEnd w:id="31"/>
      <w:r w:rsidR="00823385">
        <w:rPr>
          <w:rStyle w:val="CommentReference"/>
        </w:rPr>
        <w:commentReference w:id="31"/>
      </w:r>
      <w:r w:rsidRPr="006F5F7E">
        <w:rPr>
          <w:rFonts w:asciiTheme="majorBidi" w:hAnsiTheme="majorBidi" w:cstheme="majorBidi"/>
          <w:sz w:val="20"/>
          <w:szCs w:val="20"/>
        </w:rPr>
        <w:t>. Using purposive sampling, 12 banks with complete financial disclosures were selected, while 3 were excluded due to missing data. The final sample comprises 144 firm-year observations. Secondary data were extracted from audited annual financial statements</w:t>
      </w:r>
      <w:r w:rsidR="00B94BC8" w:rsidRPr="006F5F7E">
        <w:rPr>
          <w:rFonts w:asciiTheme="majorBidi" w:hAnsiTheme="majorBidi" w:cstheme="majorBidi"/>
          <w:sz w:val="20"/>
          <w:szCs w:val="20"/>
        </w:rPr>
        <w:t>.</w:t>
      </w:r>
    </w:p>
    <w:p w14:paraId="205E7780" w14:textId="0BD6840A" w:rsidR="00E71166" w:rsidRPr="006F5F7E" w:rsidRDefault="00E71166" w:rsidP="00E71166">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Table 1 presents the operational definitions and measurement metrics for all variables used in this study. These variables include the dependent variable (dividend payout ratio), key independent variables (ownership structure </w:t>
      </w:r>
      <w:r w:rsidRPr="006F5F7E">
        <w:rPr>
          <w:rFonts w:asciiTheme="majorBidi" w:hAnsiTheme="majorBidi" w:cstheme="majorBidi"/>
          <w:sz w:val="20"/>
          <w:szCs w:val="20"/>
        </w:rPr>
        <w:lastRenderedPageBreak/>
        <w:t>proxies), the moderating variable (profitability), and control variables. Each variable is carefully defined and measured in accordance with prior literature and data availability from annual financial statements.</w:t>
      </w:r>
    </w:p>
    <w:p w14:paraId="2045AE98" w14:textId="77777777" w:rsidR="00CD20AF" w:rsidRPr="006F5F7E" w:rsidRDefault="00CD20AF" w:rsidP="006D6E46">
      <w:pPr>
        <w:spacing w:line="360" w:lineRule="auto"/>
        <w:contextualSpacing/>
        <w:jc w:val="both"/>
        <w:rPr>
          <w:rFonts w:asciiTheme="majorBidi" w:hAnsiTheme="majorBidi" w:cstheme="majorBidi"/>
          <w:sz w:val="20"/>
          <w:szCs w:val="20"/>
        </w:rPr>
      </w:pPr>
    </w:p>
    <w:p w14:paraId="71319994" w14:textId="77777777" w:rsidR="00F6438D" w:rsidRPr="006F5F7E" w:rsidRDefault="00F6438D" w:rsidP="006D6E46">
      <w:pPr>
        <w:spacing w:line="360" w:lineRule="auto"/>
        <w:contextualSpacing/>
        <w:jc w:val="both"/>
        <w:rPr>
          <w:rFonts w:asciiTheme="majorBidi" w:hAnsiTheme="majorBidi" w:cstheme="majorBidi"/>
          <w:b/>
          <w:bCs/>
          <w:sz w:val="20"/>
          <w:szCs w:val="20"/>
        </w:rPr>
      </w:pPr>
      <w:r w:rsidRPr="006F5F7E">
        <w:rPr>
          <w:rFonts w:asciiTheme="majorBidi" w:hAnsiTheme="majorBidi" w:cstheme="majorBidi"/>
          <w:b/>
          <w:bCs/>
          <w:sz w:val="20"/>
          <w:szCs w:val="20"/>
        </w:rPr>
        <w:t xml:space="preserve">Table 1: </w:t>
      </w:r>
      <w:r w:rsidRPr="006F5F7E">
        <w:rPr>
          <w:rFonts w:asciiTheme="majorBidi" w:hAnsiTheme="majorBidi" w:cstheme="majorBidi"/>
          <w:sz w:val="20"/>
          <w:szCs w:val="20"/>
        </w:rPr>
        <w:t>Definition and Measurement of Variables</w:t>
      </w:r>
    </w:p>
    <w:tbl>
      <w:tblPr>
        <w:tblStyle w:val="PlainTable21"/>
        <w:tblW w:w="0" w:type="auto"/>
        <w:tblBorders>
          <w:top w:val="none" w:sz="0" w:space="0" w:color="auto"/>
          <w:bottom w:val="none" w:sz="0" w:space="0" w:color="auto"/>
        </w:tblBorders>
        <w:tblLook w:val="04A0" w:firstRow="1" w:lastRow="0" w:firstColumn="1" w:lastColumn="0" w:noHBand="0" w:noVBand="1"/>
      </w:tblPr>
      <w:tblGrid>
        <w:gridCol w:w="1675"/>
        <w:gridCol w:w="861"/>
        <w:gridCol w:w="3335"/>
        <w:gridCol w:w="3371"/>
      </w:tblGrid>
      <w:tr w:rsidR="003C36A6" w:rsidRPr="006F5F7E" w14:paraId="7C7A154F" w14:textId="77777777" w:rsidTr="00F64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hideMark/>
          </w:tcPr>
          <w:p w14:paraId="16DDACDE" w14:textId="77777777" w:rsidR="00F6438D" w:rsidRPr="006F5F7E" w:rsidRDefault="00F6438D" w:rsidP="006D6E46">
            <w:pPr>
              <w:spacing w:after="160"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Variable</w:t>
            </w:r>
          </w:p>
        </w:tc>
        <w:tc>
          <w:tcPr>
            <w:tcW w:w="0" w:type="auto"/>
            <w:tcBorders>
              <w:top w:val="single" w:sz="4" w:space="0" w:color="auto"/>
              <w:bottom w:val="single" w:sz="4" w:space="0" w:color="auto"/>
            </w:tcBorders>
            <w:hideMark/>
          </w:tcPr>
          <w:p w14:paraId="513D7BEA" w14:textId="77777777" w:rsidR="00F6438D" w:rsidRPr="006F5F7E" w:rsidRDefault="00F6438D" w:rsidP="006D6E46">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Symbol</w:t>
            </w:r>
          </w:p>
        </w:tc>
        <w:tc>
          <w:tcPr>
            <w:tcW w:w="0" w:type="auto"/>
            <w:tcBorders>
              <w:top w:val="single" w:sz="4" w:space="0" w:color="auto"/>
              <w:bottom w:val="single" w:sz="4" w:space="0" w:color="auto"/>
            </w:tcBorders>
            <w:hideMark/>
          </w:tcPr>
          <w:p w14:paraId="3EC7B3D9" w14:textId="77777777" w:rsidR="00F6438D" w:rsidRPr="006F5F7E" w:rsidRDefault="00F6438D" w:rsidP="006D6E46">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Description</w:t>
            </w:r>
          </w:p>
        </w:tc>
        <w:tc>
          <w:tcPr>
            <w:tcW w:w="0" w:type="auto"/>
            <w:tcBorders>
              <w:top w:val="single" w:sz="4" w:space="0" w:color="auto"/>
              <w:bottom w:val="single" w:sz="4" w:space="0" w:color="auto"/>
            </w:tcBorders>
            <w:hideMark/>
          </w:tcPr>
          <w:p w14:paraId="0E4B5EA2" w14:textId="77777777" w:rsidR="00F6438D" w:rsidRPr="006F5F7E" w:rsidRDefault="00F6438D" w:rsidP="006D6E46">
            <w:pPr>
              <w:spacing w:after="160"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Measurement</w:t>
            </w:r>
          </w:p>
        </w:tc>
      </w:tr>
      <w:tr w:rsidR="003C36A6" w:rsidRPr="006F5F7E" w14:paraId="761BE19D" w14:textId="77777777" w:rsidTr="00F6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72907B32"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Dividend Payout Ratio</w:t>
            </w:r>
          </w:p>
        </w:tc>
        <w:tc>
          <w:tcPr>
            <w:tcW w:w="0" w:type="auto"/>
            <w:tcBorders>
              <w:top w:val="single" w:sz="4" w:space="0" w:color="auto"/>
            </w:tcBorders>
            <w:hideMark/>
          </w:tcPr>
          <w:p w14:paraId="2BD324FA"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DPO</w:t>
            </w:r>
          </w:p>
        </w:tc>
        <w:tc>
          <w:tcPr>
            <w:tcW w:w="0" w:type="auto"/>
            <w:tcBorders>
              <w:top w:val="single" w:sz="4" w:space="0" w:color="auto"/>
            </w:tcBorders>
            <w:hideMark/>
          </w:tcPr>
          <w:p w14:paraId="5E3E4F61"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Proportion of net earnings distributed as dividends</w:t>
            </w:r>
          </w:p>
        </w:tc>
        <w:tc>
          <w:tcPr>
            <w:tcW w:w="0" w:type="auto"/>
            <w:tcBorders>
              <w:top w:val="single" w:sz="4" w:space="0" w:color="auto"/>
            </w:tcBorders>
            <w:hideMark/>
          </w:tcPr>
          <w:p w14:paraId="17781DCC"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Dividends per Share (DPS) ÷ Earnings per Share (EPS)</w:t>
            </w:r>
          </w:p>
        </w:tc>
      </w:tr>
      <w:tr w:rsidR="00F6438D" w:rsidRPr="006F5F7E" w14:paraId="763AC02E" w14:textId="77777777" w:rsidTr="00F6438D">
        <w:tc>
          <w:tcPr>
            <w:cnfStyle w:val="001000000000" w:firstRow="0" w:lastRow="0" w:firstColumn="1" w:lastColumn="0" w:oddVBand="0" w:evenVBand="0" w:oddHBand="0" w:evenHBand="0" w:firstRowFirstColumn="0" w:firstRowLastColumn="0" w:lastRowFirstColumn="0" w:lastRowLastColumn="0"/>
            <w:tcW w:w="0" w:type="auto"/>
            <w:hideMark/>
          </w:tcPr>
          <w:p w14:paraId="26AB4151"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Managerial Ownership</w:t>
            </w:r>
          </w:p>
        </w:tc>
        <w:tc>
          <w:tcPr>
            <w:tcW w:w="0" w:type="auto"/>
            <w:hideMark/>
          </w:tcPr>
          <w:p w14:paraId="12F58EE1"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MGO</w:t>
            </w:r>
          </w:p>
        </w:tc>
        <w:tc>
          <w:tcPr>
            <w:tcW w:w="0" w:type="auto"/>
            <w:hideMark/>
          </w:tcPr>
          <w:p w14:paraId="71770808"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Percentage of shares held by directors and executive managers</w:t>
            </w:r>
          </w:p>
        </w:tc>
        <w:tc>
          <w:tcPr>
            <w:tcW w:w="0" w:type="auto"/>
            <w:hideMark/>
          </w:tcPr>
          <w:p w14:paraId="7E7C00E1"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Managerial shareholding ÷ Total shares outstanding</w:t>
            </w:r>
          </w:p>
        </w:tc>
      </w:tr>
      <w:tr w:rsidR="00F6438D" w:rsidRPr="006F5F7E" w14:paraId="4D792266" w14:textId="77777777" w:rsidTr="00F6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EB9C12"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Institutional Ownership</w:t>
            </w:r>
          </w:p>
        </w:tc>
        <w:tc>
          <w:tcPr>
            <w:tcW w:w="0" w:type="auto"/>
            <w:hideMark/>
          </w:tcPr>
          <w:p w14:paraId="57CF4604" w14:textId="2E5D0D0C"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I</w:t>
            </w:r>
            <w:r w:rsidR="004D61DA" w:rsidRPr="006F5F7E">
              <w:rPr>
                <w:rFonts w:asciiTheme="majorBidi" w:hAnsiTheme="majorBidi" w:cstheme="majorBidi"/>
                <w:sz w:val="20"/>
                <w:szCs w:val="20"/>
              </w:rPr>
              <w:t>NST</w:t>
            </w:r>
          </w:p>
        </w:tc>
        <w:tc>
          <w:tcPr>
            <w:tcW w:w="0" w:type="auto"/>
            <w:hideMark/>
          </w:tcPr>
          <w:p w14:paraId="45BDDB5F"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Percentage of shares held by institutional investors</w:t>
            </w:r>
          </w:p>
        </w:tc>
        <w:tc>
          <w:tcPr>
            <w:tcW w:w="0" w:type="auto"/>
            <w:hideMark/>
          </w:tcPr>
          <w:p w14:paraId="1F95B623"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Institutional shareholding ÷ Total shares outstanding</w:t>
            </w:r>
          </w:p>
        </w:tc>
      </w:tr>
      <w:tr w:rsidR="00F6438D" w:rsidRPr="006F5F7E" w14:paraId="29B370A2" w14:textId="77777777" w:rsidTr="00F6438D">
        <w:tc>
          <w:tcPr>
            <w:cnfStyle w:val="001000000000" w:firstRow="0" w:lastRow="0" w:firstColumn="1" w:lastColumn="0" w:oddVBand="0" w:evenVBand="0" w:oddHBand="0" w:evenHBand="0" w:firstRowFirstColumn="0" w:firstRowLastColumn="0" w:lastRowFirstColumn="0" w:lastRowLastColumn="0"/>
            <w:tcW w:w="0" w:type="auto"/>
            <w:hideMark/>
          </w:tcPr>
          <w:p w14:paraId="3B297A0C"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Foreign Ownership</w:t>
            </w:r>
          </w:p>
        </w:tc>
        <w:tc>
          <w:tcPr>
            <w:tcW w:w="0" w:type="auto"/>
            <w:hideMark/>
          </w:tcPr>
          <w:p w14:paraId="413BF3C7" w14:textId="42CA4E1D"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F</w:t>
            </w:r>
            <w:r w:rsidR="004D61DA" w:rsidRPr="006F5F7E">
              <w:rPr>
                <w:rFonts w:asciiTheme="majorBidi" w:hAnsiTheme="majorBidi" w:cstheme="majorBidi"/>
                <w:sz w:val="20"/>
                <w:szCs w:val="20"/>
              </w:rPr>
              <w:t>R</w:t>
            </w:r>
            <w:r w:rsidRPr="006F5F7E">
              <w:rPr>
                <w:rFonts w:asciiTheme="majorBidi" w:hAnsiTheme="majorBidi" w:cstheme="majorBidi"/>
                <w:sz w:val="20"/>
                <w:szCs w:val="20"/>
              </w:rPr>
              <w:t>O</w:t>
            </w:r>
          </w:p>
        </w:tc>
        <w:tc>
          <w:tcPr>
            <w:tcW w:w="0" w:type="auto"/>
            <w:hideMark/>
          </w:tcPr>
          <w:p w14:paraId="3403F5D5"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Percentage of shares held by foreign individuals or entities</w:t>
            </w:r>
          </w:p>
        </w:tc>
        <w:tc>
          <w:tcPr>
            <w:tcW w:w="0" w:type="auto"/>
            <w:hideMark/>
          </w:tcPr>
          <w:p w14:paraId="16FAAC5F"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Foreign shareholding ÷ Total shares outstanding</w:t>
            </w:r>
          </w:p>
        </w:tc>
      </w:tr>
      <w:tr w:rsidR="00F6438D" w:rsidRPr="006F5F7E" w14:paraId="677EEE80" w14:textId="77777777" w:rsidTr="00F6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F4D290"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Profitability</w:t>
            </w:r>
          </w:p>
        </w:tc>
        <w:tc>
          <w:tcPr>
            <w:tcW w:w="0" w:type="auto"/>
            <w:hideMark/>
          </w:tcPr>
          <w:p w14:paraId="423EC4BD"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ROA</w:t>
            </w:r>
          </w:p>
        </w:tc>
        <w:tc>
          <w:tcPr>
            <w:tcW w:w="0" w:type="auto"/>
            <w:hideMark/>
          </w:tcPr>
          <w:p w14:paraId="7D0E6C1C"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A firm’s ability to generate earnings from its assets</w:t>
            </w:r>
          </w:p>
        </w:tc>
        <w:tc>
          <w:tcPr>
            <w:tcW w:w="0" w:type="auto"/>
            <w:hideMark/>
          </w:tcPr>
          <w:p w14:paraId="2D566C21"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Net Income ÷ Total Assets</w:t>
            </w:r>
          </w:p>
        </w:tc>
      </w:tr>
      <w:tr w:rsidR="00F6438D" w:rsidRPr="006F5F7E" w14:paraId="06C98DE6" w14:textId="77777777" w:rsidTr="00F6438D">
        <w:tc>
          <w:tcPr>
            <w:cnfStyle w:val="001000000000" w:firstRow="0" w:lastRow="0" w:firstColumn="1" w:lastColumn="0" w:oddVBand="0" w:evenVBand="0" w:oddHBand="0" w:evenHBand="0" w:firstRowFirstColumn="0" w:firstRowLastColumn="0" w:lastRowFirstColumn="0" w:lastRowLastColumn="0"/>
            <w:tcW w:w="0" w:type="auto"/>
            <w:hideMark/>
          </w:tcPr>
          <w:p w14:paraId="0B908D67"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r w:rsidRPr="006F5F7E">
              <w:rPr>
                <w:rFonts w:asciiTheme="majorBidi" w:hAnsiTheme="majorBidi" w:cstheme="majorBidi"/>
                <w:b w:val="0"/>
                <w:bCs w:val="0"/>
                <w:sz w:val="20"/>
                <w:szCs w:val="20"/>
              </w:rPr>
              <w:t>Firm Size</w:t>
            </w:r>
          </w:p>
        </w:tc>
        <w:tc>
          <w:tcPr>
            <w:tcW w:w="0" w:type="auto"/>
            <w:hideMark/>
          </w:tcPr>
          <w:p w14:paraId="438D6748"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6F5F7E">
              <w:rPr>
                <w:rFonts w:asciiTheme="majorBidi" w:hAnsiTheme="majorBidi" w:cstheme="majorBidi"/>
                <w:sz w:val="20"/>
                <w:szCs w:val="20"/>
              </w:rPr>
              <w:t>FSize</w:t>
            </w:r>
            <w:proofErr w:type="spellEnd"/>
          </w:p>
        </w:tc>
        <w:tc>
          <w:tcPr>
            <w:tcW w:w="0" w:type="auto"/>
            <w:hideMark/>
          </w:tcPr>
          <w:p w14:paraId="22C01E35"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Scale of the firm’s total asset base</w:t>
            </w:r>
          </w:p>
        </w:tc>
        <w:tc>
          <w:tcPr>
            <w:tcW w:w="0" w:type="auto"/>
            <w:hideMark/>
          </w:tcPr>
          <w:p w14:paraId="3F53A40E" w14:textId="77777777" w:rsidR="00F6438D" w:rsidRPr="006F5F7E" w:rsidRDefault="00F6438D" w:rsidP="006D6E46">
            <w:pPr>
              <w:spacing w:after="160"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Natural logarithm of Total Assets (ln(Total Assets))</w:t>
            </w:r>
          </w:p>
        </w:tc>
      </w:tr>
      <w:tr w:rsidR="003C36A6" w:rsidRPr="006F5F7E" w14:paraId="30CD0CA5" w14:textId="77777777" w:rsidTr="00F64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7D5557BD" w14:textId="77777777" w:rsidR="00F6438D" w:rsidRPr="006F5F7E" w:rsidRDefault="00F6438D" w:rsidP="006D6E46">
            <w:pPr>
              <w:spacing w:after="160" w:line="360" w:lineRule="auto"/>
              <w:contextualSpacing/>
              <w:jc w:val="both"/>
              <w:rPr>
                <w:rFonts w:asciiTheme="majorBidi" w:hAnsiTheme="majorBidi" w:cstheme="majorBidi"/>
                <w:b w:val="0"/>
                <w:bCs w:val="0"/>
                <w:sz w:val="20"/>
                <w:szCs w:val="20"/>
              </w:rPr>
            </w:pPr>
            <w:commentRangeStart w:id="32"/>
            <w:r w:rsidRPr="006F5F7E">
              <w:rPr>
                <w:rFonts w:asciiTheme="majorBidi" w:hAnsiTheme="majorBidi" w:cstheme="majorBidi"/>
                <w:b w:val="0"/>
                <w:bCs w:val="0"/>
                <w:sz w:val="20"/>
                <w:szCs w:val="20"/>
              </w:rPr>
              <w:t>Growth</w:t>
            </w:r>
          </w:p>
        </w:tc>
        <w:tc>
          <w:tcPr>
            <w:tcW w:w="0" w:type="auto"/>
            <w:tcBorders>
              <w:bottom w:val="single" w:sz="4" w:space="0" w:color="auto"/>
            </w:tcBorders>
            <w:hideMark/>
          </w:tcPr>
          <w:p w14:paraId="4E13EDC9" w14:textId="2E360AE3" w:rsidR="00F6438D" w:rsidRPr="006F5F7E" w:rsidRDefault="00DC1569"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GRT</w:t>
            </w:r>
          </w:p>
        </w:tc>
        <w:tc>
          <w:tcPr>
            <w:tcW w:w="0" w:type="auto"/>
            <w:tcBorders>
              <w:bottom w:val="single" w:sz="4" w:space="0" w:color="auto"/>
            </w:tcBorders>
            <w:hideMark/>
          </w:tcPr>
          <w:p w14:paraId="6D96293C"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Annual increase in the firm’s asset base</w:t>
            </w:r>
          </w:p>
        </w:tc>
        <w:tc>
          <w:tcPr>
            <w:tcW w:w="0" w:type="auto"/>
            <w:tcBorders>
              <w:bottom w:val="single" w:sz="4" w:space="0" w:color="auto"/>
            </w:tcBorders>
            <w:hideMark/>
          </w:tcPr>
          <w:p w14:paraId="34B8CE3F" w14:textId="77777777" w:rsidR="00F6438D" w:rsidRPr="006F5F7E" w:rsidRDefault="00F6438D" w:rsidP="006D6E46">
            <w:pPr>
              <w:spacing w:after="160"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6F5F7E">
              <w:rPr>
                <w:rFonts w:asciiTheme="majorBidi" w:hAnsiTheme="majorBidi" w:cstheme="majorBidi"/>
                <w:sz w:val="20"/>
                <w:szCs w:val="20"/>
              </w:rPr>
              <w:t>Percentage change in Total Assets from year t–1 to year t</w:t>
            </w:r>
            <w:commentRangeEnd w:id="32"/>
            <w:r w:rsidR="00823385">
              <w:rPr>
                <w:rStyle w:val="CommentReference"/>
                <w:rFonts w:ascii="Aptos" w:eastAsia="DengXian" w:hAnsi="Aptos"/>
                <w:lang w:eastAsia="zh-CN"/>
              </w:rPr>
              <w:commentReference w:id="32"/>
            </w:r>
          </w:p>
        </w:tc>
      </w:tr>
    </w:tbl>
    <w:p w14:paraId="4AEF8105" w14:textId="77B52B98" w:rsidR="00D04062" w:rsidRPr="006F5F7E" w:rsidRDefault="00511DE5" w:rsidP="006E12E6">
      <w:pPr>
        <w:spacing w:line="360" w:lineRule="auto"/>
        <w:contextualSpacing/>
        <w:jc w:val="both"/>
        <w:rPr>
          <w:rFonts w:asciiTheme="majorBidi" w:hAnsiTheme="majorBidi" w:cstheme="majorBidi"/>
          <w:sz w:val="20"/>
          <w:szCs w:val="20"/>
          <w:lang w:val="en-GB"/>
        </w:rPr>
      </w:pPr>
      <w:r w:rsidRPr="006F5F7E">
        <w:rPr>
          <w:rFonts w:asciiTheme="majorBidi" w:hAnsiTheme="majorBidi" w:cstheme="majorBidi"/>
          <w:sz w:val="20"/>
          <w:szCs w:val="20"/>
        </w:rPr>
        <w:t xml:space="preserve">Source: </w:t>
      </w:r>
      <w:r w:rsidR="00C319DE" w:rsidRPr="006F5F7E">
        <w:rPr>
          <w:rFonts w:asciiTheme="majorBidi" w:hAnsiTheme="majorBidi" w:cstheme="majorBidi"/>
          <w:sz w:val="20"/>
          <w:szCs w:val="20"/>
        </w:rPr>
        <w:t>Authors'</w:t>
      </w:r>
      <w:r w:rsidRPr="006F5F7E">
        <w:rPr>
          <w:rFonts w:asciiTheme="majorBidi" w:hAnsiTheme="majorBidi" w:cstheme="majorBidi"/>
          <w:sz w:val="20"/>
          <w:szCs w:val="20"/>
        </w:rPr>
        <w:t xml:space="preserve"> compilation </w:t>
      </w:r>
    </w:p>
    <w:p w14:paraId="4AEF8106" w14:textId="77777777" w:rsidR="00D04062" w:rsidRPr="006F5F7E" w:rsidRDefault="00833548" w:rsidP="006D6E46">
      <w:pPr>
        <w:pStyle w:val="Heading3"/>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3.2 Estimation Techniques and Model Specification</w:t>
      </w:r>
    </w:p>
    <w:p w14:paraId="3874E8A6" w14:textId="77777777" w:rsidR="00C0086A" w:rsidRPr="00C0086A" w:rsidRDefault="00C0086A" w:rsidP="00C0086A">
      <w:pPr>
        <w:spacing w:line="360" w:lineRule="auto"/>
        <w:contextualSpacing/>
        <w:jc w:val="both"/>
        <w:rPr>
          <w:rFonts w:asciiTheme="majorBidi" w:hAnsiTheme="majorBidi" w:cstheme="majorBidi"/>
          <w:sz w:val="20"/>
          <w:szCs w:val="20"/>
        </w:rPr>
      </w:pPr>
      <w:commentRangeStart w:id="33"/>
      <w:r w:rsidRPr="00C0086A">
        <w:rPr>
          <w:rFonts w:asciiTheme="majorBidi" w:hAnsiTheme="majorBidi" w:cstheme="majorBidi"/>
          <w:sz w:val="20"/>
          <w:szCs w:val="20"/>
        </w:rPr>
        <w:t xml:space="preserve">This study employs </w:t>
      </w:r>
      <w:proofErr w:type="spellStart"/>
      <w:r w:rsidRPr="00C0086A">
        <w:rPr>
          <w:rFonts w:asciiTheme="majorBidi" w:hAnsiTheme="majorBidi" w:cstheme="majorBidi"/>
          <w:sz w:val="20"/>
          <w:szCs w:val="20"/>
        </w:rPr>
        <w:t>quantile</w:t>
      </w:r>
      <w:proofErr w:type="spellEnd"/>
      <w:r w:rsidRPr="00C0086A">
        <w:rPr>
          <w:rFonts w:asciiTheme="majorBidi" w:hAnsiTheme="majorBidi" w:cstheme="majorBidi"/>
          <w:sz w:val="20"/>
          <w:szCs w:val="20"/>
        </w:rPr>
        <w:t xml:space="preserve"> regression (QR) </w:t>
      </w:r>
      <w:commentRangeEnd w:id="33"/>
      <w:r w:rsidR="00823385">
        <w:rPr>
          <w:rStyle w:val="CommentReference"/>
        </w:rPr>
        <w:commentReference w:id="33"/>
      </w:r>
      <w:r w:rsidRPr="00C0086A">
        <w:rPr>
          <w:rFonts w:asciiTheme="majorBidi" w:hAnsiTheme="majorBidi" w:cstheme="majorBidi"/>
          <w:sz w:val="20"/>
          <w:szCs w:val="20"/>
        </w:rPr>
        <w:t>to examine how ownership structure and profitability influence the dividend payout ratio (DPO) across different points in its conditional distribution. Unlike mean-based models such as ordinary least squares (OLS), QR estimates the effects at the 25th, 50th, and 75th percentiles, thus capturing heterogeneity that average-level models often obscure. This approach is particularly relevant to Nigerian deposit money banks (DMBs), where DPOs vary considerably due to institutional structures, ownership patterns, and earnings volatility.</w:t>
      </w:r>
    </w:p>
    <w:p w14:paraId="780E01FE" w14:textId="77777777" w:rsidR="00C0086A" w:rsidRPr="00C0086A" w:rsidRDefault="00C0086A" w:rsidP="00C0086A">
      <w:pPr>
        <w:spacing w:line="360" w:lineRule="auto"/>
        <w:contextualSpacing/>
        <w:jc w:val="both"/>
        <w:rPr>
          <w:rFonts w:asciiTheme="majorBidi" w:hAnsiTheme="majorBidi" w:cstheme="majorBidi"/>
          <w:sz w:val="20"/>
          <w:szCs w:val="20"/>
        </w:rPr>
      </w:pPr>
      <w:r w:rsidRPr="00C0086A">
        <w:rPr>
          <w:rFonts w:asciiTheme="majorBidi" w:hAnsiTheme="majorBidi" w:cstheme="majorBidi"/>
          <w:sz w:val="20"/>
          <w:szCs w:val="20"/>
        </w:rPr>
        <w:t>Model 1 specifies a cross-sectional QR that incorporates moderation effects. It evaluates the influence of managerial ownership (MGO), institutional ownership (INST), and foreign ownership (FRO) on DPO, as conditioned by return on assets (ROA). Interaction terms between ROA and each ownership variable are included. Firm size (log of total assets) and firm growth (annual change in total assets) serve as control variables. Estimation is conducted using Stata’s qreg command with bootstrapped standard errors.</w:t>
      </w:r>
    </w:p>
    <w:p w14:paraId="0BA15A8C" w14:textId="6D98E87D" w:rsidR="00023C25" w:rsidRPr="006F5F7E" w:rsidRDefault="00C0086A" w:rsidP="00C0086A">
      <w:pPr>
        <w:spacing w:line="360" w:lineRule="auto"/>
        <w:contextualSpacing/>
        <w:jc w:val="both"/>
        <w:rPr>
          <w:rFonts w:asciiTheme="majorBidi" w:hAnsiTheme="majorBidi" w:cstheme="majorBidi"/>
          <w:sz w:val="20"/>
          <w:szCs w:val="20"/>
        </w:rPr>
      </w:pPr>
      <w:r w:rsidRPr="00C0086A">
        <w:rPr>
          <w:rFonts w:asciiTheme="majorBidi" w:hAnsiTheme="majorBidi" w:cstheme="majorBidi"/>
          <w:sz w:val="20"/>
          <w:szCs w:val="20"/>
        </w:rPr>
        <w:t>Model 2 adopts a panel quantile regression with fixed effects (PQR) using the xtqreg command. This specification accounts for time-invariant unobserved heterogeneity, enabling within-firm analysis over the ten-year period. While Model 1 captures between-firm variations, Model 2 identifies dynamic shifts in payout behaviour within individual banks. The estimation model is expressed as follows</w:t>
      </w:r>
      <w:r w:rsidR="002011B9" w:rsidRPr="006F5F7E">
        <w:rPr>
          <w:rFonts w:asciiTheme="majorBidi" w:hAnsiTheme="majorBidi" w:cstheme="majorBidi"/>
          <w:sz w:val="20"/>
          <w:szCs w:val="20"/>
        </w:rPr>
        <w:t>:</w:t>
      </w:r>
    </w:p>
    <w:p w14:paraId="10D8368E" w14:textId="7A71041F" w:rsidR="00152812" w:rsidRPr="006F5F7E" w:rsidRDefault="00152812" w:rsidP="00C249F7">
      <w:pPr>
        <w:spacing w:line="360" w:lineRule="auto"/>
        <w:contextualSpacing/>
        <w:jc w:val="both"/>
        <w:rPr>
          <w:rFonts w:asciiTheme="majorBidi" w:hAnsiTheme="majorBidi" w:cstheme="majorBidi"/>
          <w:sz w:val="20"/>
          <w:szCs w:val="20"/>
        </w:rPr>
      </w:pPr>
      <w:commentRangeStart w:id="34"/>
      <w:r w:rsidRPr="006F5F7E">
        <w:rPr>
          <w:rFonts w:asciiTheme="majorBidi" w:hAnsiTheme="majorBidi" w:cstheme="majorBidi"/>
          <w:i/>
          <w:iCs/>
          <w:sz w:val="20"/>
          <w:szCs w:val="20"/>
        </w:rPr>
        <w:t>Qτ(DPO</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 β</w:t>
      </w:r>
      <w:r w:rsidRPr="006F5F7E">
        <w:rPr>
          <w:rFonts w:asciiTheme="majorBidi" w:hAnsiTheme="majorBidi" w:cstheme="majorBidi"/>
          <w:i/>
          <w:iCs/>
          <w:sz w:val="20"/>
          <w:szCs w:val="20"/>
          <w:vertAlign w:val="subscript"/>
        </w:rPr>
        <w:t>0</w:t>
      </w:r>
      <w:r w:rsidRPr="006F5F7E">
        <w:rPr>
          <w:rFonts w:asciiTheme="majorBidi" w:hAnsiTheme="majorBidi" w:cstheme="majorBidi"/>
          <w:i/>
          <w:iCs/>
          <w:sz w:val="20"/>
          <w:szCs w:val="20"/>
        </w:rPr>
        <w:t>(τ) + β</w:t>
      </w:r>
      <w:r w:rsidRPr="006F5F7E">
        <w:rPr>
          <w:rFonts w:asciiTheme="majorBidi" w:hAnsiTheme="majorBidi" w:cstheme="majorBidi"/>
          <w:i/>
          <w:iCs/>
          <w:sz w:val="20"/>
          <w:szCs w:val="20"/>
          <w:vertAlign w:val="subscript"/>
        </w:rPr>
        <w:t>1</w:t>
      </w:r>
      <w:r w:rsidRPr="006F5F7E">
        <w:rPr>
          <w:rFonts w:asciiTheme="majorBidi" w:hAnsiTheme="majorBidi" w:cstheme="majorBidi"/>
          <w:i/>
          <w:iCs/>
          <w:sz w:val="20"/>
          <w:szCs w:val="20"/>
        </w:rPr>
        <w:t>(τ)MGO</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2</w:t>
      </w:r>
      <w:r w:rsidRPr="006F5F7E">
        <w:rPr>
          <w:rFonts w:asciiTheme="majorBidi" w:hAnsiTheme="majorBidi" w:cstheme="majorBidi"/>
          <w:i/>
          <w:iCs/>
          <w:sz w:val="20"/>
          <w:szCs w:val="20"/>
        </w:rPr>
        <w:t>(τ)I</w:t>
      </w:r>
      <w:r w:rsidR="00F67C54" w:rsidRPr="006F5F7E">
        <w:rPr>
          <w:rFonts w:asciiTheme="majorBidi" w:hAnsiTheme="majorBidi" w:cstheme="majorBidi"/>
          <w:i/>
          <w:iCs/>
          <w:sz w:val="20"/>
          <w:szCs w:val="20"/>
        </w:rPr>
        <w:t>NST</w:t>
      </w:r>
      <w:r w:rsidRPr="006F5F7E">
        <w:rPr>
          <w:rFonts w:asciiTheme="majorBidi" w:hAnsiTheme="majorBidi" w:cstheme="majorBidi"/>
          <w:i/>
          <w:iCs/>
          <w:sz w:val="20"/>
          <w:szCs w:val="20"/>
          <w:vertAlign w:val="subscript"/>
        </w:rPr>
        <w:t xml:space="preserve">it </w:t>
      </w:r>
      <w:r w:rsidRPr="006F5F7E">
        <w:rPr>
          <w:rFonts w:asciiTheme="majorBidi" w:hAnsiTheme="majorBidi" w:cstheme="majorBidi"/>
          <w:i/>
          <w:iCs/>
          <w:sz w:val="20"/>
          <w:szCs w:val="20"/>
        </w:rPr>
        <w:t>+ β</w:t>
      </w:r>
      <w:r w:rsidRPr="006F5F7E">
        <w:rPr>
          <w:rFonts w:asciiTheme="majorBidi" w:hAnsiTheme="majorBidi" w:cstheme="majorBidi"/>
          <w:i/>
          <w:iCs/>
          <w:sz w:val="20"/>
          <w:szCs w:val="20"/>
          <w:vertAlign w:val="subscript"/>
        </w:rPr>
        <w:t>3</w:t>
      </w:r>
      <w:r w:rsidRPr="006F5F7E">
        <w:rPr>
          <w:rFonts w:asciiTheme="majorBidi" w:hAnsiTheme="majorBidi" w:cstheme="majorBidi"/>
          <w:i/>
          <w:iCs/>
          <w:sz w:val="20"/>
          <w:szCs w:val="20"/>
        </w:rPr>
        <w:t>(τ)F</w:t>
      </w:r>
      <w:r w:rsidR="000C77C1" w:rsidRPr="006F5F7E">
        <w:rPr>
          <w:rFonts w:asciiTheme="majorBidi" w:hAnsiTheme="majorBidi" w:cstheme="majorBidi"/>
          <w:i/>
          <w:iCs/>
          <w:sz w:val="20"/>
          <w:szCs w:val="20"/>
        </w:rPr>
        <w:t>R</w:t>
      </w:r>
      <w:r w:rsidRPr="006F5F7E">
        <w:rPr>
          <w:rFonts w:asciiTheme="majorBidi" w:hAnsiTheme="majorBidi" w:cstheme="majorBidi"/>
          <w:i/>
          <w:iCs/>
          <w:sz w:val="20"/>
          <w:szCs w:val="20"/>
        </w:rPr>
        <w:t>O</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4</w:t>
      </w:r>
      <w:r w:rsidRPr="006F5F7E">
        <w:rPr>
          <w:rFonts w:asciiTheme="majorBidi" w:hAnsiTheme="majorBidi" w:cstheme="majorBidi"/>
          <w:i/>
          <w:iCs/>
          <w:sz w:val="20"/>
          <w:szCs w:val="20"/>
        </w:rPr>
        <w:t>(τ)ROA</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5</w:t>
      </w:r>
      <w:r w:rsidRPr="006F5F7E">
        <w:rPr>
          <w:rFonts w:asciiTheme="majorBidi" w:hAnsiTheme="majorBidi" w:cstheme="majorBidi"/>
          <w:i/>
          <w:iCs/>
          <w:sz w:val="20"/>
          <w:szCs w:val="20"/>
        </w:rPr>
        <w:t>(τ)(MGO×ROA)</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6</w:t>
      </w:r>
      <w:r w:rsidRPr="006F5F7E">
        <w:rPr>
          <w:rFonts w:asciiTheme="majorBidi" w:hAnsiTheme="majorBidi" w:cstheme="majorBidi"/>
          <w:i/>
          <w:iCs/>
          <w:sz w:val="20"/>
          <w:szCs w:val="20"/>
        </w:rPr>
        <w:t>(τ)(I</w:t>
      </w:r>
      <w:r w:rsidR="00F67C54" w:rsidRPr="006F5F7E">
        <w:rPr>
          <w:rFonts w:asciiTheme="majorBidi" w:hAnsiTheme="majorBidi" w:cstheme="majorBidi"/>
          <w:i/>
          <w:iCs/>
          <w:sz w:val="20"/>
          <w:szCs w:val="20"/>
        </w:rPr>
        <w:t>NST</w:t>
      </w:r>
      <w:r w:rsidRPr="006F5F7E">
        <w:rPr>
          <w:rFonts w:asciiTheme="majorBidi" w:hAnsiTheme="majorBidi" w:cstheme="majorBidi"/>
          <w:i/>
          <w:iCs/>
          <w:sz w:val="20"/>
          <w:szCs w:val="20"/>
        </w:rPr>
        <w:t>×ROA)</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7</w:t>
      </w:r>
      <w:r w:rsidRPr="006F5F7E">
        <w:rPr>
          <w:rFonts w:asciiTheme="majorBidi" w:hAnsiTheme="majorBidi" w:cstheme="majorBidi"/>
          <w:i/>
          <w:iCs/>
          <w:sz w:val="20"/>
          <w:szCs w:val="20"/>
        </w:rPr>
        <w:t>(τ)(F</w:t>
      </w:r>
      <w:r w:rsidR="000C77C1" w:rsidRPr="006F5F7E">
        <w:rPr>
          <w:rFonts w:asciiTheme="majorBidi" w:hAnsiTheme="majorBidi" w:cstheme="majorBidi"/>
          <w:i/>
          <w:iCs/>
          <w:sz w:val="20"/>
          <w:szCs w:val="20"/>
        </w:rPr>
        <w:t>R</w:t>
      </w:r>
      <w:r w:rsidRPr="006F5F7E">
        <w:rPr>
          <w:rFonts w:asciiTheme="majorBidi" w:hAnsiTheme="majorBidi" w:cstheme="majorBidi"/>
          <w:i/>
          <w:iCs/>
          <w:sz w:val="20"/>
          <w:szCs w:val="20"/>
        </w:rPr>
        <w:t>O×ROA)</w:t>
      </w:r>
      <w:r w:rsidRPr="006F5F7E">
        <w:rPr>
          <w:rFonts w:asciiTheme="majorBidi" w:hAnsiTheme="majorBidi" w:cstheme="majorBidi"/>
          <w:i/>
          <w:iCs/>
          <w:sz w:val="20"/>
          <w:szCs w:val="20"/>
          <w:vertAlign w:val="subscript"/>
        </w:rPr>
        <w:t>it</w:t>
      </w:r>
      <w:r w:rsidRPr="006F5F7E">
        <w:rPr>
          <w:rFonts w:asciiTheme="majorBidi" w:hAnsiTheme="majorBidi" w:cstheme="majorBidi"/>
          <w:i/>
          <w:iCs/>
          <w:sz w:val="20"/>
          <w:szCs w:val="20"/>
        </w:rPr>
        <w:t xml:space="preserve"> + β</w:t>
      </w:r>
      <w:r w:rsidRPr="006F5F7E">
        <w:rPr>
          <w:rFonts w:asciiTheme="majorBidi" w:hAnsiTheme="majorBidi" w:cstheme="majorBidi"/>
          <w:i/>
          <w:iCs/>
          <w:sz w:val="20"/>
          <w:szCs w:val="20"/>
          <w:vertAlign w:val="subscript"/>
        </w:rPr>
        <w:t>8</w:t>
      </w:r>
      <w:r w:rsidRPr="006F5F7E">
        <w:rPr>
          <w:rFonts w:asciiTheme="majorBidi" w:hAnsiTheme="majorBidi" w:cstheme="majorBidi"/>
          <w:i/>
          <w:iCs/>
          <w:sz w:val="20"/>
          <w:szCs w:val="20"/>
        </w:rPr>
        <w:t>(τ)</w:t>
      </w:r>
      <w:proofErr w:type="spellStart"/>
      <w:r w:rsidRPr="006F5F7E">
        <w:rPr>
          <w:rFonts w:asciiTheme="majorBidi" w:hAnsiTheme="majorBidi" w:cstheme="majorBidi"/>
          <w:i/>
          <w:iCs/>
          <w:sz w:val="20"/>
          <w:szCs w:val="20"/>
        </w:rPr>
        <w:t>Controls</w:t>
      </w:r>
      <w:r w:rsidRPr="006F5F7E">
        <w:rPr>
          <w:rFonts w:asciiTheme="majorBidi" w:hAnsiTheme="majorBidi" w:cstheme="majorBidi"/>
          <w:i/>
          <w:iCs/>
          <w:sz w:val="20"/>
          <w:szCs w:val="20"/>
          <w:vertAlign w:val="subscript"/>
        </w:rPr>
        <w:t>it</w:t>
      </w:r>
      <w:proofErr w:type="spellEnd"/>
      <w:r w:rsidRPr="006F5F7E">
        <w:rPr>
          <w:rFonts w:asciiTheme="majorBidi" w:hAnsiTheme="majorBidi" w:cstheme="majorBidi"/>
          <w:i/>
          <w:iCs/>
          <w:sz w:val="20"/>
          <w:szCs w:val="20"/>
        </w:rPr>
        <w:t xml:space="preserve"> + </w:t>
      </w:r>
      <w:proofErr w:type="spellStart"/>
      <w:r w:rsidRPr="006F5F7E">
        <w:rPr>
          <w:rFonts w:asciiTheme="majorBidi" w:hAnsiTheme="majorBidi" w:cstheme="majorBidi"/>
          <w:i/>
          <w:iCs/>
          <w:sz w:val="20"/>
          <w:szCs w:val="20"/>
        </w:rPr>
        <w:t>ε</w:t>
      </w:r>
      <w:r w:rsidRPr="006F5F7E">
        <w:rPr>
          <w:rFonts w:asciiTheme="majorBidi" w:hAnsiTheme="majorBidi" w:cstheme="majorBidi"/>
          <w:i/>
          <w:iCs/>
          <w:sz w:val="20"/>
          <w:szCs w:val="20"/>
          <w:vertAlign w:val="subscript"/>
        </w:rPr>
        <w:t>it</w:t>
      </w:r>
      <w:proofErr w:type="spellEnd"/>
      <w:r w:rsidRPr="006F5F7E">
        <w:rPr>
          <w:rFonts w:asciiTheme="majorBidi" w:hAnsiTheme="majorBidi" w:cstheme="majorBidi"/>
          <w:i/>
          <w:iCs/>
          <w:sz w:val="20"/>
          <w:szCs w:val="20"/>
        </w:rPr>
        <w:t>(τ)</w:t>
      </w:r>
      <w:commentRangeEnd w:id="34"/>
      <w:r w:rsidR="00B51698">
        <w:rPr>
          <w:rStyle w:val="CommentReference"/>
        </w:rPr>
        <w:commentReference w:id="34"/>
      </w:r>
      <w:r w:rsidR="00D855A9" w:rsidRPr="006F5F7E">
        <w:rPr>
          <w:rFonts w:asciiTheme="majorBidi" w:hAnsiTheme="majorBidi" w:cstheme="majorBidi"/>
          <w:i/>
          <w:iCs/>
          <w:sz w:val="20"/>
          <w:szCs w:val="20"/>
        </w:rPr>
        <w:tab/>
      </w:r>
      <w:r w:rsidR="00D855A9" w:rsidRPr="006F5F7E">
        <w:rPr>
          <w:rFonts w:asciiTheme="majorBidi" w:hAnsiTheme="majorBidi" w:cstheme="majorBidi"/>
          <w:i/>
          <w:iCs/>
          <w:sz w:val="20"/>
          <w:szCs w:val="20"/>
        </w:rPr>
        <w:tab/>
      </w:r>
      <w:r w:rsidR="00D855A9" w:rsidRPr="006F5F7E">
        <w:rPr>
          <w:rFonts w:asciiTheme="majorBidi" w:hAnsiTheme="majorBidi" w:cstheme="majorBidi"/>
          <w:i/>
          <w:iCs/>
          <w:sz w:val="20"/>
          <w:szCs w:val="20"/>
        </w:rPr>
        <w:tab/>
      </w:r>
      <w:r w:rsidR="00D855A9" w:rsidRPr="006F5F7E">
        <w:rPr>
          <w:rFonts w:asciiTheme="majorBidi" w:hAnsiTheme="majorBidi" w:cstheme="majorBidi"/>
          <w:i/>
          <w:iCs/>
          <w:sz w:val="20"/>
          <w:szCs w:val="20"/>
        </w:rPr>
        <w:tab/>
        <w:t>(</w:t>
      </w:r>
      <w:r w:rsidR="002011B9" w:rsidRPr="006F5F7E">
        <w:rPr>
          <w:rFonts w:asciiTheme="majorBidi" w:hAnsiTheme="majorBidi" w:cstheme="majorBidi"/>
          <w:i/>
          <w:iCs/>
          <w:sz w:val="20"/>
          <w:szCs w:val="20"/>
        </w:rPr>
        <w:t>1</w:t>
      </w:r>
      <w:r w:rsidR="00D855A9" w:rsidRPr="006F5F7E">
        <w:rPr>
          <w:rFonts w:asciiTheme="majorBidi" w:hAnsiTheme="majorBidi" w:cstheme="majorBidi"/>
          <w:i/>
          <w:iCs/>
          <w:sz w:val="20"/>
          <w:szCs w:val="20"/>
        </w:rPr>
        <w:t>)</w:t>
      </w:r>
      <w:r w:rsidRPr="006F5F7E">
        <w:rPr>
          <w:rFonts w:asciiTheme="majorBidi" w:hAnsiTheme="majorBidi" w:cstheme="majorBidi"/>
          <w:i/>
          <w:iCs/>
          <w:sz w:val="20"/>
          <w:szCs w:val="20"/>
        </w:rPr>
        <w:br/>
      </w:r>
      <w:r w:rsidR="00BB7D99" w:rsidRPr="006F5F7E">
        <w:rPr>
          <w:rFonts w:asciiTheme="majorBidi" w:hAnsiTheme="majorBidi" w:cstheme="majorBidi"/>
          <w:sz w:val="20"/>
          <w:szCs w:val="20"/>
        </w:rPr>
        <w:t xml:space="preserve">where </w:t>
      </w:r>
      <w:proofErr w:type="spellStart"/>
      <w:r w:rsidR="00BB7D99" w:rsidRPr="006F5F7E">
        <w:rPr>
          <w:rFonts w:asciiTheme="majorBidi" w:hAnsiTheme="majorBidi" w:cstheme="majorBidi"/>
          <w:sz w:val="20"/>
          <w:szCs w:val="20"/>
        </w:rPr>
        <w:t>Qτ</w:t>
      </w:r>
      <w:proofErr w:type="spellEnd"/>
      <w:r w:rsidR="00BB7D99" w:rsidRPr="006F5F7E">
        <w:rPr>
          <w:rFonts w:asciiTheme="majorBidi" w:hAnsiTheme="majorBidi" w:cstheme="majorBidi"/>
          <w:sz w:val="20"/>
          <w:szCs w:val="20"/>
        </w:rPr>
        <w:t>(</w:t>
      </w:r>
      <w:proofErr w:type="spellStart"/>
      <w:r w:rsidR="00BB7D99" w:rsidRPr="006F5F7E">
        <w:rPr>
          <w:rFonts w:asciiTheme="majorBidi" w:hAnsiTheme="majorBidi" w:cstheme="majorBidi"/>
          <w:sz w:val="20"/>
          <w:szCs w:val="20"/>
        </w:rPr>
        <w:t>DPO</w:t>
      </w:r>
      <w:r w:rsidR="00BB7D99" w:rsidRPr="006F5F7E">
        <w:rPr>
          <w:rFonts w:asciiTheme="majorBidi" w:hAnsiTheme="majorBidi" w:cstheme="majorBidi"/>
          <w:sz w:val="20"/>
          <w:szCs w:val="20"/>
          <w:vertAlign w:val="subscript"/>
        </w:rPr>
        <w:t>it</w:t>
      </w:r>
      <w:proofErr w:type="spellEnd"/>
      <w:r w:rsidR="00BB7D99" w:rsidRPr="006F5F7E">
        <w:rPr>
          <w:rFonts w:asciiTheme="majorBidi" w:hAnsiTheme="majorBidi" w:cstheme="majorBidi"/>
          <w:sz w:val="20"/>
          <w:szCs w:val="20"/>
        </w:rPr>
        <w:t xml:space="preserve">) denotes the τ-th conditional quantile of the dividend payout ratio for firm </w:t>
      </w:r>
      <w:r w:rsidR="00BB7D99" w:rsidRPr="006F5F7E">
        <w:rPr>
          <w:rFonts w:asciiTheme="majorBidi" w:hAnsiTheme="majorBidi" w:cstheme="majorBidi"/>
          <w:i/>
          <w:iCs/>
          <w:sz w:val="20"/>
          <w:szCs w:val="20"/>
        </w:rPr>
        <w:t>i</w:t>
      </w:r>
      <w:r w:rsidR="00BB7D99" w:rsidRPr="006F5F7E">
        <w:rPr>
          <w:rFonts w:asciiTheme="majorBidi" w:hAnsiTheme="majorBidi" w:cstheme="majorBidi"/>
          <w:sz w:val="20"/>
          <w:szCs w:val="20"/>
        </w:rPr>
        <w:t xml:space="preserve"> in year </w:t>
      </w:r>
      <w:r w:rsidR="00BB7D99" w:rsidRPr="006F5F7E">
        <w:rPr>
          <w:rFonts w:asciiTheme="majorBidi" w:hAnsiTheme="majorBidi" w:cstheme="majorBidi"/>
          <w:i/>
          <w:iCs/>
          <w:sz w:val="20"/>
          <w:szCs w:val="20"/>
        </w:rPr>
        <w:t>t</w:t>
      </w:r>
      <w:r w:rsidR="00BB7D99" w:rsidRPr="006F5F7E">
        <w:rPr>
          <w:rFonts w:asciiTheme="majorBidi" w:hAnsiTheme="majorBidi" w:cstheme="majorBidi"/>
          <w:sz w:val="20"/>
          <w:szCs w:val="20"/>
        </w:rPr>
        <w:t xml:space="preserve">. All </w:t>
      </w:r>
      <w:r w:rsidR="00BB7D99" w:rsidRPr="006F5F7E">
        <w:rPr>
          <w:rFonts w:asciiTheme="majorBidi" w:hAnsiTheme="majorBidi" w:cstheme="majorBidi"/>
          <w:sz w:val="20"/>
          <w:szCs w:val="20"/>
        </w:rPr>
        <w:lastRenderedPageBreak/>
        <w:t>explanatory variables are as previously defined. The interaction terms capture the moderating effect of profitability on the relationship between ownership structure and dividend decisions across the conditional distribution of DPO</w:t>
      </w:r>
      <w:r w:rsidRPr="006F5F7E">
        <w:rPr>
          <w:rFonts w:asciiTheme="majorBidi" w:hAnsiTheme="majorBidi" w:cstheme="majorBidi"/>
          <w:sz w:val="20"/>
          <w:szCs w:val="20"/>
        </w:rPr>
        <w:t>.</w:t>
      </w:r>
    </w:p>
    <w:p w14:paraId="51B19983" w14:textId="1CAB0A4B" w:rsidR="00152812" w:rsidRPr="006F5F7E" w:rsidRDefault="00152812" w:rsidP="006D6E46">
      <w:pPr>
        <w:pStyle w:val="Heading2"/>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3.</w:t>
      </w:r>
      <w:r w:rsidR="00C249F7" w:rsidRPr="006F5F7E">
        <w:rPr>
          <w:rFonts w:asciiTheme="majorBidi" w:hAnsiTheme="majorBidi" w:cstheme="majorBidi"/>
          <w:b/>
          <w:bCs/>
          <w:color w:val="auto"/>
          <w:sz w:val="20"/>
          <w:szCs w:val="20"/>
        </w:rPr>
        <w:t>3</w:t>
      </w:r>
      <w:r w:rsidRPr="006F5F7E">
        <w:rPr>
          <w:rFonts w:asciiTheme="majorBidi" w:hAnsiTheme="majorBidi" w:cstheme="majorBidi"/>
          <w:b/>
          <w:bCs/>
          <w:color w:val="auto"/>
          <w:sz w:val="20"/>
          <w:szCs w:val="20"/>
        </w:rPr>
        <w:t xml:space="preserve"> </w:t>
      </w:r>
      <w:r w:rsidR="00AC5E83" w:rsidRPr="006F5F7E">
        <w:rPr>
          <w:rFonts w:asciiTheme="majorBidi" w:hAnsiTheme="majorBidi" w:cstheme="majorBidi"/>
          <w:b/>
          <w:bCs/>
          <w:color w:val="auto"/>
          <w:sz w:val="20"/>
          <w:szCs w:val="20"/>
        </w:rPr>
        <w:t>Estimation Pro</w:t>
      </w:r>
      <w:r w:rsidR="00B371EB" w:rsidRPr="006F5F7E">
        <w:rPr>
          <w:rFonts w:asciiTheme="majorBidi" w:hAnsiTheme="majorBidi" w:cstheme="majorBidi"/>
          <w:b/>
          <w:bCs/>
          <w:color w:val="auto"/>
          <w:sz w:val="20"/>
          <w:szCs w:val="20"/>
        </w:rPr>
        <w:t xml:space="preserve">cedure and </w:t>
      </w:r>
      <w:r w:rsidRPr="006F5F7E">
        <w:rPr>
          <w:rFonts w:asciiTheme="majorBidi" w:hAnsiTheme="majorBidi" w:cstheme="majorBidi"/>
          <w:b/>
          <w:bCs/>
          <w:color w:val="auto"/>
          <w:sz w:val="20"/>
          <w:szCs w:val="20"/>
        </w:rPr>
        <w:t>Robustness Checks</w:t>
      </w:r>
    </w:p>
    <w:p w14:paraId="4AEF8120" w14:textId="1E994D74" w:rsidR="008D1B24" w:rsidRPr="006F5F7E" w:rsidRDefault="00AC6F15" w:rsidP="006C4355">
      <w:pPr>
        <w:spacing w:line="360" w:lineRule="auto"/>
        <w:contextualSpacing/>
        <w:jc w:val="both"/>
        <w:rPr>
          <w:rFonts w:asciiTheme="majorBidi" w:hAnsiTheme="majorBidi" w:cstheme="majorBidi"/>
          <w:sz w:val="20"/>
          <w:szCs w:val="20"/>
        </w:rPr>
      </w:pPr>
      <w:r w:rsidRPr="00AC6F15">
        <w:rPr>
          <w:rFonts w:asciiTheme="majorBidi" w:hAnsiTheme="majorBidi" w:cstheme="majorBidi"/>
          <w:sz w:val="20"/>
          <w:szCs w:val="20"/>
        </w:rPr>
        <w:t>This study adopts a two-tier estimation approach to ensure empirical robustness. Model 1 uses cross-sectional quantile regression at the 25th, 50th, and 75th percentiles of DPO to examine how ownership and profitability affect dividend decisions across payout levels. Interaction terms between ROA and ownership variables assess conditional effects. Standard errors are bootstrapped using 500 replications via the bsqreg command to address non-normality and heteroskedasticity.</w:t>
      </w:r>
      <w:r w:rsidR="006C4355" w:rsidRPr="006F5F7E">
        <w:rPr>
          <w:rFonts w:asciiTheme="majorBidi" w:hAnsiTheme="majorBidi" w:cstheme="majorBidi"/>
          <w:sz w:val="20"/>
          <w:szCs w:val="20"/>
        </w:rPr>
        <w:t xml:space="preserve"> </w:t>
      </w:r>
      <w:r w:rsidRPr="00AC6F15">
        <w:rPr>
          <w:rFonts w:asciiTheme="majorBidi" w:hAnsiTheme="majorBidi" w:cstheme="majorBidi"/>
          <w:sz w:val="20"/>
          <w:szCs w:val="20"/>
        </w:rPr>
        <w:t>Model 2 applies fixed effects panel quantile regression (xtqreg) to control for time-invariant firm-specific factors, allowing identification of within-firm changes in response to shifts in ownership and profitability. Estimating both models at the same quantiles permits coefficient comparison.</w:t>
      </w:r>
      <w:r w:rsidR="006C4355" w:rsidRPr="006F5F7E">
        <w:rPr>
          <w:rFonts w:asciiTheme="majorBidi" w:hAnsiTheme="majorBidi" w:cstheme="majorBidi"/>
          <w:sz w:val="20"/>
          <w:szCs w:val="20"/>
        </w:rPr>
        <w:t xml:space="preserve"> </w:t>
      </w:r>
      <w:r w:rsidRPr="00AC6F15">
        <w:rPr>
          <w:rFonts w:asciiTheme="majorBidi" w:hAnsiTheme="majorBidi" w:cstheme="majorBidi"/>
          <w:sz w:val="20"/>
          <w:szCs w:val="20"/>
        </w:rPr>
        <w:t>Diagnostic checks confirmed model validity. VIF results indicated no multicollinearity. The Breusch–Pagan/Cook–Weisberg test supported robust estimation. Wald tests confirmed joint significance at each quantile. All estimations were conducted in Stata 19.5. The combined use of cross-sectional and panel models strengthens the credibility and internal validity of the findings</w:t>
      </w:r>
      <w:r w:rsidR="00567BA0" w:rsidRPr="006F5F7E">
        <w:rPr>
          <w:rFonts w:asciiTheme="majorBidi" w:hAnsiTheme="majorBidi" w:cstheme="majorBidi"/>
          <w:sz w:val="20"/>
          <w:szCs w:val="20"/>
        </w:rPr>
        <w:t>.</w:t>
      </w:r>
    </w:p>
    <w:p w14:paraId="4AEF8121" w14:textId="77777777" w:rsidR="00D04062" w:rsidRPr="006F5F7E" w:rsidRDefault="00833548" w:rsidP="00A81DF6">
      <w:pPr>
        <w:spacing w:line="360" w:lineRule="auto"/>
        <w:contextualSpacing/>
        <w:rPr>
          <w:rFonts w:asciiTheme="majorBidi" w:hAnsiTheme="majorBidi" w:cstheme="majorBidi"/>
          <w:sz w:val="20"/>
          <w:szCs w:val="20"/>
        </w:rPr>
      </w:pPr>
      <w:r w:rsidRPr="006F5F7E">
        <w:rPr>
          <w:rFonts w:asciiTheme="majorBidi" w:hAnsiTheme="majorBidi" w:cstheme="majorBidi"/>
          <w:b/>
          <w:bCs/>
          <w:sz w:val="20"/>
          <w:szCs w:val="20"/>
        </w:rPr>
        <w:t>4. Results and Discussion</w:t>
      </w:r>
    </w:p>
    <w:p w14:paraId="19B99530" w14:textId="71E3CA56" w:rsidR="00035204" w:rsidRPr="006F5F7E" w:rsidRDefault="00035204" w:rsidP="006D6015">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This section presents the empirical findings from the study, structured around descriptive analysis, correlation diagnostics, and model estimation outputs. The estimation follows a twofold strategy: (1) cross-sectional </w:t>
      </w:r>
      <w:r w:rsidR="002C7B12" w:rsidRPr="006F5F7E">
        <w:rPr>
          <w:rFonts w:asciiTheme="majorBidi" w:hAnsiTheme="majorBidi" w:cstheme="majorBidi"/>
          <w:sz w:val="20"/>
          <w:szCs w:val="20"/>
        </w:rPr>
        <w:t xml:space="preserve">bootstrapped moderated </w:t>
      </w:r>
      <w:r w:rsidRPr="006F5F7E">
        <w:rPr>
          <w:rFonts w:asciiTheme="majorBidi" w:hAnsiTheme="majorBidi" w:cstheme="majorBidi"/>
          <w:sz w:val="20"/>
          <w:szCs w:val="20"/>
        </w:rPr>
        <w:t>quantile regressions (</w:t>
      </w:r>
      <w:r w:rsidR="002C7B12" w:rsidRPr="006F5F7E">
        <w:rPr>
          <w:rFonts w:asciiTheme="majorBidi" w:hAnsiTheme="majorBidi" w:cstheme="majorBidi"/>
          <w:sz w:val="20"/>
          <w:szCs w:val="20"/>
        </w:rPr>
        <w:t>B</w:t>
      </w:r>
      <w:r w:rsidRPr="006F5F7E">
        <w:rPr>
          <w:rFonts w:asciiTheme="majorBidi" w:hAnsiTheme="majorBidi" w:cstheme="majorBidi"/>
          <w:sz w:val="20"/>
          <w:szCs w:val="20"/>
        </w:rPr>
        <w:t xml:space="preserve">MQ25, </w:t>
      </w:r>
      <w:r w:rsidR="002C7B12" w:rsidRPr="006F5F7E">
        <w:rPr>
          <w:rFonts w:asciiTheme="majorBidi" w:hAnsiTheme="majorBidi" w:cstheme="majorBidi"/>
          <w:sz w:val="20"/>
          <w:szCs w:val="20"/>
        </w:rPr>
        <w:t>B</w:t>
      </w:r>
      <w:r w:rsidRPr="006F5F7E">
        <w:rPr>
          <w:rFonts w:asciiTheme="majorBidi" w:hAnsiTheme="majorBidi" w:cstheme="majorBidi"/>
          <w:sz w:val="20"/>
          <w:szCs w:val="20"/>
        </w:rPr>
        <w:t xml:space="preserve">MQ50, </w:t>
      </w:r>
      <w:r w:rsidR="002C7B12" w:rsidRPr="006F5F7E">
        <w:rPr>
          <w:rFonts w:asciiTheme="majorBidi" w:hAnsiTheme="majorBidi" w:cstheme="majorBidi"/>
          <w:sz w:val="20"/>
          <w:szCs w:val="20"/>
        </w:rPr>
        <w:t>B</w:t>
      </w:r>
      <w:r w:rsidRPr="006F5F7E">
        <w:rPr>
          <w:rFonts w:asciiTheme="majorBidi" w:hAnsiTheme="majorBidi" w:cstheme="majorBidi"/>
          <w:sz w:val="20"/>
          <w:szCs w:val="20"/>
        </w:rPr>
        <w:t>MQ75)</w:t>
      </w:r>
      <w:r w:rsidR="00BC455E" w:rsidRPr="006F5F7E">
        <w:rPr>
          <w:rFonts w:asciiTheme="majorBidi" w:hAnsiTheme="majorBidi" w:cstheme="majorBidi"/>
          <w:sz w:val="20"/>
          <w:szCs w:val="20"/>
        </w:rPr>
        <w:t xml:space="preserve"> using </w:t>
      </w:r>
      <w:r w:rsidR="00BC455E" w:rsidRPr="006F5F7E">
        <w:rPr>
          <w:rFonts w:asciiTheme="majorBidi" w:hAnsiTheme="majorBidi" w:cstheme="majorBidi"/>
          <w:i/>
          <w:iCs/>
          <w:sz w:val="20"/>
          <w:szCs w:val="20"/>
        </w:rPr>
        <w:t>bsqreg</w:t>
      </w:r>
      <w:r w:rsidRPr="006F5F7E">
        <w:rPr>
          <w:rFonts w:asciiTheme="majorBidi" w:hAnsiTheme="majorBidi" w:cstheme="majorBidi"/>
          <w:sz w:val="20"/>
          <w:szCs w:val="20"/>
        </w:rPr>
        <w:t xml:space="preserve">, and (2) panel quantile regression with fixed effects (PQR25, PQR50, PQR75), using </w:t>
      </w:r>
      <w:r w:rsidRPr="006F5F7E">
        <w:rPr>
          <w:rFonts w:asciiTheme="majorBidi" w:hAnsiTheme="majorBidi" w:cstheme="majorBidi"/>
          <w:i/>
          <w:iCs/>
          <w:sz w:val="20"/>
          <w:szCs w:val="20"/>
        </w:rPr>
        <w:t>xtqreg</w:t>
      </w:r>
      <w:r w:rsidRPr="006F5F7E">
        <w:rPr>
          <w:rFonts w:asciiTheme="majorBidi" w:hAnsiTheme="majorBidi" w:cstheme="majorBidi"/>
          <w:sz w:val="20"/>
          <w:szCs w:val="20"/>
        </w:rPr>
        <w:t>. The results offer nuanced insights into how firm-specific factors influence dividend payout decisions across the conditional distribution of dividend policy, thereby addressing prior methodological limitations and context-specific gaps in Sub-Saharan financial markets.</w:t>
      </w:r>
    </w:p>
    <w:p w14:paraId="7F9D101A" w14:textId="77777777" w:rsidR="00035204" w:rsidRPr="006F5F7E" w:rsidRDefault="00035204" w:rsidP="00035204">
      <w:pPr>
        <w:pStyle w:val="Heading3"/>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4.1 Descriptive Statistics</w:t>
      </w:r>
    </w:p>
    <w:p w14:paraId="5467F7F3" w14:textId="77777777" w:rsidR="00963C0C" w:rsidRPr="006F5F7E" w:rsidRDefault="00963C0C" w:rsidP="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b/>
          <w:bCs/>
          <w:kern w:val="0"/>
          <w:sz w:val="20"/>
          <w:szCs w:val="20"/>
        </w:rPr>
        <w:t xml:space="preserve">Table 2: Descriptive Statistics </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963C0C" w:rsidRPr="006F5F7E" w14:paraId="01D3738B" w14:textId="77777777">
        <w:tc>
          <w:tcPr>
            <w:tcW w:w="2508" w:type="dxa"/>
            <w:tcBorders>
              <w:top w:val="single" w:sz="4" w:space="0" w:color="auto"/>
              <w:left w:val="nil"/>
              <w:bottom w:val="single" w:sz="10" w:space="0" w:color="auto"/>
              <w:right w:val="nil"/>
            </w:tcBorders>
          </w:tcPr>
          <w:p w14:paraId="33A00F4D"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Variable</w:t>
            </w:r>
          </w:p>
        </w:tc>
        <w:tc>
          <w:tcPr>
            <w:tcW w:w="800" w:type="dxa"/>
            <w:tcBorders>
              <w:top w:val="single" w:sz="4" w:space="0" w:color="auto"/>
              <w:left w:val="nil"/>
              <w:bottom w:val="single" w:sz="10" w:space="0" w:color="auto"/>
              <w:right w:val="nil"/>
            </w:tcBorders>
          </w:tcPr>
          <w:p w14:paraId="1E77D7A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w:t>
            </w:r>
            <w:proofErr w:type="spellStart"/>
            <w:r w:rsidRPr="006F5F7E">
              <w:rPr>
                <w:rFonts w:asciiTheme="majorBidi" w:hAnsiTheme="majorBidi" w:cstheme="majorBidi"/>
                <w:kern w:val="0"/>
                <w:sz w:val="20"/>
                <w:szCs w:val="20"/>
              </w:rPr>
              <w:t>Obs</w:t>
            </w:r>
            <w:proofErr w:type="spellEnd"/>
          </w:p>
        </w:tc>
        <w:tc>
          <w:tcPr>
            <w:tcW w:w="1400" w:type="dxa"/>
            <w:tcBorders>
              <w:top w:val="single" w:sz="4" w:space="0" w:color="auto"/>
              <w:left w:val="nil"/>
              <w:bottom w:val="single" w:sz="10" w:space="0" w:color="auto"/>
              <w:right w:val="nil"/>
            </w:tcBorders>
          </w:tcPr>
          <w:p w14:paraId="769859C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Mean</w:t>
            </w:r>
          </w:p>
        </w:tc>
        <w:tc>
          <w:tcPr>
            <w:tcW w:w="1400" w:type="dxa"/>
            <w:tcBorders>
              <w:top w:val="single" w:sz="4" w:space="0" w:color="auto"/>
              <w:left w:val="nil"/>
              <w:bottom w:val="single" w:sz="10" w:space="0" w:color="auto"/>
              <w:right w:val="nil"/>
            </w:tcBorders>
          </w:tcPr>
          <w:p w14:paraId="4DBA52FC"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Std. Dev.</w:t>
            </w:r>
          </w:p>
        </w:tc>
        <w:tc>
          <w:tcPr>
            <w:tcW w:w="1400" w:type="dxa"/>
            <w:tcBorders>
              <w:top w:val="single" w:sz="4" w:space="0" w:color="auto"/>
              <w:left w:val="nil"/>
              <w:bottom w:val="single" w:sz="10" w:space="0" w:color="auto"/>
              <w:right w:val="nil"/>
            </w:tcBorders>
          </w:tcPr>
          <w:p w14:paraId="000E5FE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Min</w:t>
            </w:r>
          </w:p>
        </w:tc>
        <w:tc>
          <w:tcPr>
            <w:tcW w:w="1400" w:type="dxa"/>
            <w:tcBorders>
              <w:top w:val="single" w:sz="4" w:space="0" w:color="auto"/>
              <w:left w:val="nil"/>
              <w:bottom w:val="single" w:sz="10" w:space="0" w:color="auto"/>
              <w:right w:val="nil"/>
            </w:tcBorders>
          </w:tcPr>
          <w:p w14:paraId="42819F92"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Max</w:t>
            </w:r>
          </w:p>
        </w:tc>
      </w:tr>
      <w:tr w:rsidR="00963C0C" w:rsidRPr="006F5F7E" w14:paraId="3AD19ADE" w14:textId="77777777">
        <w:tc>
          <w:tcPr>
            <w:tcW w:w="2508" w:type="dxa"/>
            <w:tcBorders>
              <w:top w:val="nil"/>
              <w:left w:val="nil"/>
              <w:bottom w:val="nil"/>
              <w:right w:val="nil"/>
            </w:tcBorders>
          </w:tcPr>
          <w:p w14:paraId="280451E5"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DPO</w:t>
            </w:r>
          </w:p>
        </w:tc>
        <w:tc>
          <w:tcPr>
            <w:tcW w:w="800" w:type="dxa"/>
            <w:tcBorders>
              <w:top w:val="nil"/>
              <w:left w:val="nil"/>
              <w:bottom w:val="nil"/>
              <w:right w:val="nil"/>
            </w:tcBorders>
          </w:tcPr>
          <w:p w14:paraId="48C6931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05059C1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23.519</w:t>
            </w:r>
          </w:p>
        </w:tc>
        <w:tc>
          <w:tcPr>
            <w:tcW w:w="1400" w:type="dxa"/>
            <w:tcBorders>
              <w:top w:val="nil"/>
              <w:left w:val="nil"/>
              <w:bottom w:val="nil"/>
              <w:right w:val="nil"/>
            </w:tcBorders>
          </w:tcPr>
          <w:p w14:paraId="4342FEAB"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19.346</w:t>
            </w:r>
          </w:p>
        </w:tc>
        <w:tc>
          <w:tcPr>
            <w:tcW w:w="1400" w:type="dxa"/>
            <w:tcBorders>
              <w:top w:val="nil"/>
              <w:left w:val="nil"/>
              <w:bottom w:val="nil"/>
              <w:right w:val="nil"/>
            </w:tcBorders>
          </w:tcPr>
          <w:p w14:paraId="7C30C2CE"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w:t>
            </w:r>
          </w:p>
        </w:tc>
        <w:tc>
          <w:tcPr>
            <w:tcW w:w="1400" w:type="dxa"/>
            <w:tcBorders>
              <w:top w:val="nil"/>
              <w:left w:val="nil"/>
              <w:bottom w:val="nil"/>
              <w:right w:val="nil"/>
            </w:tcBorders>
          </w:tcPr>
          <w:p w14:paraId="75AE4D1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84.853</w:t>
            </w:r>
          </w:p>
        </w:tc>
      </w:tr>
      <w:tr w:rsidR="00963C0C" w:rsidRPr="006F5F7E" w14:paraId="0FB019E3" w14:textId="77777777">
        <w:tc>
          <w:tcPr>
            <w:tcW w:w="2508" w:type="dxa"/>
            <w:tcBorders>
              <w:top w:val="nil"/>
              <w:left w:val="nil"/>
              <w:bottom w:val="nil"/>
              <w:right w:val="nil"/>
            </w:tcBorders>
          </w:tcPr>
          <w:p w14:paraId="162F1330"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MGO</w:t>
            </w:r>
          </w:p>
        </w:tc>
        <w:tc>
          <w:tcPr>
            <w:tcW w:w="800" w:type="dxa"/>
            <w:tcBorders>
              <w:top w:val="nil"/>
              <w:left w:val="nil"/>
              <w:bottom w:val="nil"/>
              <w:right w:val="nil"/>
            </w:tcBorders>
          </w:tcPr>
          <w:p w14:paraId="26FFD86E"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401EAC15"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13.042</w:t>
            </w:r>
          </w:p>
        </w:tc>
        <w:tc>
          <w:tcPr>
            <w:tcW w:w="1400" w:type="dxa"/>
            <w:tcBorders>
              <w:top w:val="nil"/>
              <w:left w:val="nil"/>
              <w:bottom w:val="nil"/>
              <w:right w:val="nil"/>
            </w:tcBorders>
          </w:tcPr>
          <w:p w14:paraId="73BC7D57"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14.548</w:t>
            </w:r>
          </w:p>
        </w:tc>
        <w:tc>
          <w:tcPr>
            <w:tcW w:w="1400" w:type="dxa"/>
            <w:tcBorders>
              <w:top w:val="nil"/>
              <w:left w:val="nil"/>
              <w:bottom w:val="nil"/>
              <w:right w:val="nil"/>
            </w:tcBorders>
          </w:tcPr>
          <w:p w14:paraId="21215909"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5.5</w:t>
            </w:r>
          </w:p>
        </w:tc>
        <w:tc>
          <w:tcPr>
            <w:tcW w:w="1400" w:type="dxa"/>
            <w:tcBorders>
              <w:top w:val="nil"/>
              <w:left w:val="nil"/>
              <w:bottom w:val="nil"/>
              <w:right w:val="nil"/>
            </w:tcBorders>
          </w:tcPr>
          <w:p w14:paraId="17616D70"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79.961</w:t>
            </w:r>
          </w:p>
        </w:tc>
      </w:tr>
      <w:tr w:rsidR="00963C0C" w:rsidRPr="006F5F7E" w14:paraId="1E5241CA" w14:textId="77777777">
        <w:tc>
          <w:tcPr>
            <w:tcW w:w="2508" w:type="dxa"/>
            <w:tcBorders>
              <w:top w:val="nil"/>
              <w:left w:val="nil"/>
              <w:bottom w:val="nil"/>
              <w:right w:val="nil"/>
            </w:tcBorders>
          </w:tcPr>
          <w:p w14:paraId="71DDD5C8"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INST</w:t>
            </w:r>
          </w:p>
        </w:tc>
        <w:tc>
          <w:tcPr>
            <w:tcW w:w="800" w:type="dxa"/>
            <w:tcBorders>
              <w:top w:val="nil"/>
              <w:left w:val="nil"/>
              <w:bottom w:val="nil"/>
              <w:right w:val="nil"/>
            </w:tcBorders>
          </w:tcPr>
          <w:p w14:paraId="665F3BF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6E8C3231"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36.799</w:t>
            </w:r>
          </w:p>
        </w:tc>
        <w:tc>
          <w:tcPr>
            <w:tcW w:w="1400" w:type="dxa"/>
            <w:tcBorders>
              <w:top w:val="nil"/>
              <w:left w:val="nil"/>
              <w:bottom w:val="nil"/>
              <w:right w:val="nil"/>
            </w:tcBorders>
          </w:tcPr>
          <w:p w14:paraId="136E7C3D"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17.91</w:t>
            </w:r>
          </w:p>
        </w:tc>
        <w:tc>
          <w:tcPr>
            <w:tcW w:w="1400" w:type="dxa"/>
            <w:tcBorders>
              <w:top w:val="nil"/>
              <w:left w:val="nil"/>
              <w:bottom w:val="nil"/>
              <w:right w:val="nil"/>
            </w:tcBorders>
          </w:tcPr>
          <w:p w14:paraId="10A0DC25"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25</w:t>
            </w:r>
          </w:p>
        </w:tc>
        <w:tc>
          <w:tcPr>
            <w:tcW w:w="1400" w:type="dxa"/>
            <w:tcBorders>
              <w:top w:val="nil"/>
              <w:left w:val="nil"/>
              <w:bottom w:val="nil"/>
              <w:right w:val="nil"/>
            </w:tcBorders>
          </w:tcPr>
          <w:p w14:paraId="062A42D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91</w:t>
            </w:r>
          </w:p>
        </w:tc>
      </w:tr>
      <w:tr w:rsidR="00963C0C" w:rsidRPr="006F5F7E" w14:paraId="1F3B63CD" w14:textId="77777777">
        <w:tc>
          <w:tcPr>
            <w:tcW w:w="2508" w:type="dxa"/>
            <w:tcBorders>
              <w:top w:val="nil"/>
              <w:left w:val="nil"/>
              <w:bottom w:val="nil"/>
              <w:right w:val="nil"/>
            </w:tcBorders>
          </w:tcPr>
          <w:p w14:paraId="54B2B182"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FRO</w:t>
            </w:r>
          </w:p>
        </w:tc>
        <w:tc>
          <w:tcPr>
            <w:tcW w:w="800" w:type="dxa"/>
            <w:tcBorders>
              <w:top w:val="nil"/>
              <w:left w:val="nil"/>
              <w:bottom w:val="nil"/>
              <w:right w:val="nil"/>
            </w:tcBorders>
          </w:tcPr>
          <w:p w14:paraId="66509AD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3D52444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5.193</w:t>
            </w:r>
          </w:p>
        </w:tc>
        <w:tc>
          <w:tcPr>
            <w:tcW w:w="1400" w:type="dxa"/>
            <w:tcBorders>
              <w:top w:val="nil"/>
              <w:left w:val="nil"/>
              <w:bottom w:val="nil"/>
              <w:right w:val="nil"/>
            </w:tcBorders>
          </w:tcPr>
          <w:p w14:paraId="1811A3B8"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18</w:t>
            </w:r>
          </w:p>
        </w:tc>
        <w:tc>
          <w:tcPr>
            <w:tcW w:w="1400" w:type="dxa"/>
            <w:tcBorders>
              <w:top w:val="nil"/>
              <w:left w:val="nil"/>
              <w:bottom w:val="nil"/>
              <w:right w:val="nil"/>
            </w:tcBorders>
          </w:tcPr>
          <w:p w14:paraId="77C29A77"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w:t>
            </w:r>
          </w:p>
        </w:tc>
        <w:tc>
          <w:tcPr>
            <w:tcW w:w="1400" w:type="dxa"/>
            <w:tcBorders>
              <w:top w:val="nil"/>
              <w:left w:val="nil"/>
              <w:bottom w:val="nil"/>
              <w:right w:val="nil"/>
            </w:tcBorders>
          </w:tcPr>
          <w:p w14:paraId="7FACB22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67.55</w:t>
            </w:r>
          </w:p>
        </w:tc>
      </w:tr>
      <w:tr w:rsidR="00963C0C" w:rsidRPr="006F5F7E" w14:paraId="07A657BB" w14:textId="77777777">
        <w:tc>
          <w:tcPr>
            <w:tcW w:w="2508" w:type="dxa"/>
            <w:tcBorders>
              <w:top w:val="nil"/>
              <w:left w:val="nil"/>
              <w:bottom w:val="nil"/>
              <w:right w:val="nil"/>
            </w:tcBorders>
          </w:tcPr>
          <w:p w14:paraId="44707D06"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ROA</w:t>
            </w:r>
          </w:p>
        </w:tc>
        <w:tc>
          <w:tcPr>
            <w:tcW w:w="800" w:type="dxa"/>
            <w:tcBorders>
              <w:top w:val="nil"/>
              <w:left w:val="nil"/>
              <w:bottom w:val="nil"/>
              <w:right w:val="nil"/>
            </w:tcBorders>
          </w:tcPr>
          <w:p w14:paraId="2A7928F2"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0524969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1.744</w:t>
            </w:r>
          </w:p>
        </w:tc>
        <w:tc>
          <w:tcPr>
            <w:tcW w:w="1400" w:type="dxa"/>
            <w:tcBorders>
              <w:top w:val="nil"/>
              <w:left w:val="nil"/>
              <w:bottom w:val="nil"/>
              <w:right w:val="nil"/>
            </w:tcBorders>
          </w:tcPr>
          <w:p w14:paraId="67B308E8"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1.69</w:t>
            </w:r>
          </w:p>
        </w:tc>
        <w:tc>
          <w:tcPr>
            <w:tcW w:w="1400" w:type="dxa"/>
            <w:tcBorders>
              <w:top w:val="nil"/>
              <w:left w:val="nil"/>
              <w:bottom w:val="nil"/>
              <w:right w:val="nil"/>
            </w:tcBorders>
          </w:tcPr>
          <w:p w14:paraId="5A69A07E"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-9.532</w:t>
            </w:r>
          </w:p>
        </w:tc>
        <w:tc>
          <w:tcPr>
            <w:tcW w:w="1400" w:type="dxa"/>
            <w:tcBorders>
              <w:top w:val="nil"/>
              <w:left w:val="nil"/>
              <w:bottom w:val="nil"/>
              <w:right w:val="nil"/>
            </w:tcBorders>
          </w:tcPr>
          <w:p w14:paraId="213EF76A"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5.617</w:t>
            </w:r>
          </w:p>
        </w:tc>
      </w:tr>
      <w:tr w:rsidR="00963C0C" w:rsidRPr="006F5F7E" w14:paraId="0B156129" w14:textId="77777777">
        <w:tc>
          <w:tcPr>
            <w:tcW w:w="2508" w:type="dxa"/>
            <w:tcBorders>
              <w:top w:val="nil"/>
              <w:left w:val="nil"/>
              <w:bottom w:val="nil"/>
              <w:right w:val="nil"/>
            </w:tcBorders>
          </w:tcPr>
          <w:p w14:paraId="13805995" w14:textId="77777777"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w:t>
            </w:r>
            <w:proofErr w:type="spellStart"/>
            <w:r w:rsidRPr="006F5F7E">
              <w:rPr>
                <w:rFonts w:asciiTheme="majorBidi" w:hAnsiTheme="majorBidi" w:cstheme="majorBidi"/>
                <w:kern w:val="0"/>
                <w:sz w:val="20"/>
                <w:szCs w:val="20"/>
              </w:rPr>
              <w:t>Fsize</w:t>
            </w:r>
            <w:proofErr w:type="spellEnd"/>
          </w:p>
        </w:tc>
        <w:tc>
          <w:tcPr>
            <w:tcW w:w="800" w:type="dxa"/>
            <w:tcBorders>
              <w:top w:val="nil"/>
              <w:left w:val="nil"/>
              <w:bottom w:val="nil"/>
              <w:right w:val="nil"/>
            </w:tcBorders>
          </w:tcPr>
          <w:p w14:paraId="3DF968E5"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2439E2C6"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17.658</w:t>
            </w:r>
          </w:p>
        </w:tc>
        <w:tc>
          <w:tcPr>
            <w:tcW w:w="1400" w:type="dxa"/>
            <w:tcBorders>
              <w:top w:val="nil"/>
              <w:left w:val="nil"/>
              <w:bottom w:val="nil"/>
              <w:right w:val="nil"/>
            </w:tcBorders>
          </w:tcPr>
          <w:p w14:paraId="5BBD87A4"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.812</w:t>
            </w:r>
          </w:p>
        </w:tc>
        <w:tc>
          <w:tcPr>
            <w:tcW w:w="1400" w:type="dxa"/>
            <w:tcBorders>
              <w:top w:val="nil"/>
              <w:left w:val="nil"/>
              <w:bottom w:val="nil"/>
              <w:right w:val="nil"/>
            </w:tcBorders>
          </w:tcPr>
          <w:p w14:paraId="110983E2"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15.869</w:t>
            </w:r>
          </w:p>
        </w:tc>
        <w:tc>
          <w:tcPr>
            <w:tcW w:w="1400" w:type="dxa"/>
            <w:tcBorders>
              <w:top w:val="nil"/>
              <w:left w:val="nil"/>
              <w:bottom w:val="nil"/>
              <w:right w:val="nil"/>
            </w:tcBorders>
          </w:tcPr>
          <w:p w14:paraId="35153EC2"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19.496</w:t>
            </w:r>
          </w:p>
        </w:tc>
      </w:tr>
      <w:tr w:rsidR="00963C0C" w:rsidRPr="006F5F7E" w14:paraId="5D73DDA9" w14:textId="77777777">
        <w:tc>
          <w:tcPr>
            <w:tcW w:w="2508" w:type="dxa"/>
            <w:tcBorders>
              <w:top w:val="nil"/>
              <w:left w:val="nil"/>
              <w:bottom w:val="nil"/>
              <w:right w:val="nil"/>
            </w:tcBorders>
          </w:tcPr>
          <w:p w14:paraId="4E3D1CB6" w14:textId="111FE1D3" w:rsidR="00963C0C" w:rsidRPr="006F5F7E" w:rsidRDefault="00963C0C">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w:t>
            </w:r>
            <w:r w:rsidR="00DC1569" w:rsidRPr="006F5F7E">
              <w:rPr>
                <w:rFonts w:asciiTheme="majorBidi" w:hAnsiTheme="majorBidi" w:cstheme="majorBidi"/>
                <w:kern w:val="0"/>
                <w:sz w:val="20"/>
                <w:szCs w:val="20"/>
              </w:rPr>
              <w:t>GRT</w:t>
            </w:r>
          </w:p>
        </w:tc>
        <w:tc>
          <w:tcPr>
            <w:tcW w:w="800" w:type="dxa"/>
            <w:tcBorders>
              <w:top w:val="nil"/>
              <w:left w:val="nil"/>
              <w:bottom w:val="nil"/>
              <w:right w:val="nil"/>
            </w:tcBorders>
          </w:tcPr>
          <w:p w14:paraId="1983628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144</w:t>
            </w:r>
          </w:p>
        </w:tc>
        <w:tc>
          <w:tcPr>
            <w:tcW w:w="1400" w:type="dxa"/>
            <w:tcBorders>
              <w:top w:val="nil"/>
              <w:left w:val="nil"/>
              <w:bottom w:val="nil"/>
              <w:right w:val="nil"/>
            </w:tcBorders>
          </w:tcPr>
          <w:p w14:paraId="606700BF"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12.253</w:t>
            </w:r>
          </w:p>
        </w:tc>
        <w:tc>
          <w:tcPr>
            <w:tcW w:w="1400" w:type="dxa"/>
            <w:tcBorders>
              <w:top w:val="nil"/>
              <w:left w:val="nil"/>
              <w:bottom w:val="nil"/>
              <w:right w:val="nil"/>
            </w:tcBorders>
          </w:tcPr>
          <w:p w14:paraId="6A949253"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26.269</w:t>
            </w:r>
          </w:p>
        </w:tc>
        <w:tc>
          <w:tcPr>
            <w:tcW w:w="1400" w:type="dxa"/>
            <w:tcBorders>
              <w:top w:val="nil"/>
              <w:left w:val="nil"/>
              <w:bottom w:val="nil"/>
              <w:right w:val="nil"/>
            </w:tcBorders>
          </w:tcPr>
          <w:p w14:paraId="60BE6C6B"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-193.6</w:t>
            </w:r>
          </w:p>
        </w:tc>
        <w:tc>
          <w:tcPr>
            <w:tcW w:w="1400" w:type="dxa"/>
            <w:tcBorders>
              <w:top w:val="nil"/>
              <w:left w:val="nil"/>
              <w:bottom w:val="nil"/>
              <w:right w:val="nil"/>
            </w:tcBorders>
          </w:tcPr>
          <w:p w14:paraId="04521ECA" w14:textId="77777777" w:rsidR="00963C0C" w:rsidRPr="006F5F7E" w:rsidRDefault="00963C0C">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92</w:t>
            </w:r>
          </w:p>
        </w:tc>
      </w:tr>
    </w:tbl>
    <w:p w14:paraId="20907780" w14:textId="52851B71" w:rsidR="00EA4D94" w:rsidRPr="006F5F7E" w:rsidRDefault="00963C0C" w:rsidP="00963C0C">
      <w:pPr>
        <w:widowControl w:val="0"/>
        <w:autoSpaceDE w:val="0"/>
        <w:autoSpaceDN w:val="0"/>
        <w:adjustRightInd w:val="0"/>
        <w:spacing w:after="0" w:line="240" w:lineRule="auto"/>
        <w:rPr>
          <w:rFonts w:asciiTheme="majorBidi" w:hAnsiTheme="majorBidi" w:cstheme="majorBidi"/>
          <w:sz w:val="20"/>
          <w:szCs w:val="20"/>
        </w:rPr>
      </w:pPr>
      <w:r w:rsidRPr="006F5F7E">
        <w:rPr>
          <w:rFonts w:asciiTheme="majorBidi" w:hAnsiTheme="majorBidi" w:cstheme="majorBidi"/>
          <w:b/>
          <w:bCs/>
          <w:kern w:val="0"/>
          <w:sz w:val="20"/>
          <w:szCs w:val="20"/>
        </w:rPr>
        <w:t xml:space="preserve">Source: </w:t>
      </w:r>
      <w:r w:rsidR="004D027D" w:rsidRPr="006F5F7E">
        <w:rPr>
          <w:rFonts w:asciiTheme="majorBidi" w:hAnsiTheme="majorBidi" w:cstheme="majorBidi"/>
          <w:kern w:val="0"/>
          <w:sz w:val="20"/>
          <w:szCs w:val="20"/>
        </w:rPr>
        <w:t xml:space="preserve">Processed data through </w:t>
      </w:r>
      <w:proofErr w:type="spellStart"/>
      <w:r w:rsidR="004D027D" w:rsidRPr="006F5F7E">
        <w:rPr>
          <w:rFonts w:asciiTheme="majorBidi" w:hAnsiTheme="majorBidi" w:cstheme="majorBidi"/>
          <w:kern w:val="0"/>
          <w:sz w:val="20"/>
          <w:szCs w:val="20"/>
        </w:rPr>
        <w:t>StataNow</w:t>
      </w:r>
      <w:proofErr w:type="spellEnd"/>
      <w:r w:rsidR="00DF59B7" w:rsidRPr="006F5F7E">
        <w:rPr>
          <w:rFonts w:asciiTheme="majorBidi" w:hAnsiTheme="majorBidi" w:cstheme="majorBidi"/>
          <w:kern w:val="0"/>
          <w:sz w:val="20"/>
          <w:szCs w:val="20"/>
        </w:rPr>
        <w:t xml:space="preserve"> 19.5 by authors</w:t>
      </w:r>
      <w:r w:rsidR="00D471F8" w:rsidRPr="006F5F7E">
        <w:rPr>
          <w:rFonts w:asciiTheme="majorBidi" w:hAnsiTheme="majorBidi" w:cstheme="majorBidi"/>
          <w:kern w:val="0"/>
          <w:sz w:val="20"/>
          <w:szCs w:val="20"/>
        </w:rPr>
        <w:t xml:space="preserve"> (2025)</w:t>
      </w:r>
      <w:r w:rsidR="004D027D" w:rsidRPr="006F5F7E">
        <w:rPr>
          <w:rFonts w:asciiTheme="majorBidi" w:hAnsiTheme="majorBidi" w:cstheme="majorBidi"/>
          <w:kern w:val="0"/>
          <w:sz w:val="20"/>
          <w:szCs w:val="20"/>
        </w:rPr>
        <w:t xml:space="preserve"> </w:t>
      </w:r>
      <w:r w:rsidRPr="006F5F7E">
        <w:rPr>
          <w:rFonts w:asciiTheme="majorBidi" w:hAnsiTheme="majorBidi" w:cstheme="majorBidi"/>
          <w:b/>
          <w:bCs/>
          <w:kern w:val="0"/>
          <w:sz w:val="20"/>
          <w:szCs w:val="20"/>
        </w:rPr>
        <w:br/>
      </w:r>
    </w:p>
    <w:p w14:paraId="012686B5" w14:textId="6ADD9B3E" w:rsidR="00035204" w:rsidRPr="006F5F7E" w:rsidRDefault="00035204" w:rsidP="00A816A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Table </w:t>
      </w:r>
      <w:r w:rsidR="00D471F8" w:rsidRPr="006F5F7E">
        <w:rPr>
          <w:rFonts w:asciiTheme="majorBidi" w:hAnsiTheme="majorBidi" w:cstheme="majorBidi"/>
          <w:sz w:val="20"/>
          <w:szCs w:val="20"/>
        </w:rPr>
        <w:t>2</w:t>
      </w:r>
      <w:r w:rsidRPr="006F5F7E">
        <w:rPr>
          <w:rFonts w:asciiTheme="majorBidi" w:hAnsiTheme="majorBidi" w:cstheme="majorBidi"/>
          <w:sz w:val="20"/>
          <w:szCs w:val="20"/>
        </w:rPr>
        <w:t xml:space="preserve"> summarises the key features of the variables used in the regression models. The mean dividend payout ratio (DPO) is 23.52%, with a standard deviation of 19.35%, indicating moderate dispersion among banks’ payout behaviours. Managerial ownership (MGO) averages 13.04% with a minimum threshold set at 5.5% to eliminate near-zero distortions. Institutional ownership (INST) also displays a wide distribution (mean = 36.80%; std. dev. = 17.91%) with a floor of 25%, reflecting substantial </w:t>
      </w:r>
      <w:r w:rsidR="00A25D69" w:rsidRPr="006F5F7E">
        <w:rPr>
          <w:rFonts w:asciiTheme="majorBidi" w:hAnsiTheme="majorBidi" w:cstheme="majorBidi"/>
          <w:sz w:val="20"/>
          <w:szCs w:val="20"/>
        </w:rPr>
        <w:t>block-holder</w:t>
      </w:r>
      <w:r w:rsidRPr="006F5F7E">
        <w:rPr>
          <w:rFonts w:asciiTheme="majorBidi" w:hAnsiTheme="majorBidi" w:cstheme="majorBidi"/>
          <w:sz w:val="20"/>
          <w:szCs w:val="20"/>
        </w:rPr>
        <w:t xml:space="preserve"> influence in the sample.</w:t>
      </w:r>
      <w:r w:rsidR="008B4EEA" w:rsidRPr="006F5F7E">
        <w:rPr>
          <w:rFonts w:asciiTheme="majorBidi" w:hAnsiTheme="majorBidi" w:cstheme="majorBidi"/>
          <w:sz w:val="20"/>
          <w:szCs w:val="20"/>
        </w:rPr>
        <w:t xml:space="preserve"> </w:t>
      </w:r>
      <w:r w:rsidRPr="006F5F7E">
        <w:rPr>
          <w:rFonts w:asciiTheme="majorBidi" w:hAnsiTheme="majorBidi" w:cstheme="majorBidi"/>
          <w:sz w:val="20"/>
          <w:szCs w:val="20"/>
        </w:rPr>
        <w:t xml:space="preserve">Foreign ownership (FRO) has a mean of 5.19% but exhibits significant variation (std. dev. = 18.00%), suggesting a skewed distribution with some banks hosting substantial foreign investors. Return on assets (ROA), </w:t>
      </w:r>
      <w:r w:rsidRPr="006F5F7E">
        <w:rPr>
          <w:rFonts w:asciiTheme="majorBidi" w:hAnsiTheme="majorBidi" w:cstheme="majorBidi"/>
          <w:sz w:val="20"/>
          <w:szCs w:val="20"/>
        </w:rPr>
        <w:lastRenderedPageBreak/>
        <w:t xml:space="preserve">the moderating variable, ranges from </w:t>
      </w:r>
      <w:commentRangeStart w:id="35"/>
      <w:r w:rsidRPr="006F5F7E">
        <w:rPr>
          <w:rFonts w:asciiTheme="majorBidi" w:hAnsiTheme="majorBidi" w:cstheme="majorBidi"/>
          <w:sz w:val="20"/>
          <w:szCs w:val="20"/>
        </w:rPr>
        <w:t xml:space="preserve">-9.53% to 5.62% </w:t>
      </w:r>
      <w:commentRangeEnd w:id="35"/>
      <w:r w:rsidR="00B51698">
        <w:rPr>
          <w:rStyle w:val="CommentReference"/>
        </w:rPr>
        <w:commentReference w:id="35"/>
      </w:r>
      <w:r w:rsidRPr="006F5F7E">
        <w:rPr>
          <w:rFonts w:asciiTheme="majorBidi" w:hAnsiTheme="majorBidi" w:cstheme="majorBidi"/>
          <w:sz w:val="20"/>
          <w:szCs w:val="20"/>
        </w:rPr>
        <w:t xml:space="preserve">with an average of 1.74%, capturing divergent levels of profitability across firms. Firm size, proxied by the natural logarithm of total assets, is relatively stable (mean = 17.66), while </w:t>
      </w:r>
      <w:r w:rsidR="00DC1569" w:rsidRPr="006F5F7E">
        <w:rPr>
          <w:rFonts w:asciiTheme="majorBidi" w:hAnsiTheme="majorBidi" w:cstheme="majorBidi"/>
          <w:sz w:val="20"/>
          <w:szCs w:val="20"/>
        </w:rPr>
        <w:t>GRT</w:t>
      </w:r>
      <w:r w:rsidRPr="006F5F7E">
        <w:rPr>
          <w:rFonts w:asciiTheme="majorBidi" w:hAnsiTheme="majorBidi" w:cstheme="majorBidi"/>
          <w:sz w:val="20"/>
          <w:szCs w:val="20"/>
        </w:rPr>
        <w:t xml:space="preserve"> (percentage change in total assets) has a mean of 12.25% but is highly dispersed (std. dev. = 26.27), with some extreme negative values indicating contraction in certain banks.</w:t>
      </w:r>
      <w:r w:rsidR="00136FE6" w:rsidRPr="006F5F7E">
        <w:rPr>
          <w:rFonts w:asciiTheme="majorBidi" w:hAnsiTheme="majorBidi" w:cstheme="majorBidi"/>
          <w:sz w:val="20"/>
          <w:szCs w:val="20"/>
        </w:rPr>
        <w:t xml:space="preserve"> </w:t>
      </w:r>
      <w:r w:rsidRPr="006F5F7E">
        <w:rPr>
          <w:rFonts w:asciiTheme="majorBidi" w:hAnsiTheme="majorBidi" w:cstheme="majorBidi"/>
          <w:sz w:val="20"/>
          <w:szCs w:val="20"/>
        </w:rPr>
        <w:t>These patterns suggest the presence of heterogeneity in ownership structures, financial performance, and payout policies, justifying the use of quantile regression techniques to explore conditional effects across the distribution.</w:t>
      </w:r>
    </w:p>
    <w:p w14:paraId="3E0A7252" w14:textId="77777777" w:rsidR="00035204" w:rsidRPr="006F5F7E" w:rsidRDefault="00035204" w:rsidP="00035204">
      <w:pPr>
        <w:pStyle w:val="Heading3"/>
        <w:spacing w:line="360" w:lineRule="auto"/>
        <w:contextualSpacing/>
        <w:rPr>
          <w:rFonts w:asciiTheme="majorBidi" w:hAnsiTheme="majorBidi" w:cstheme="majorBidi"/>
          <w:b/>
          <w:bCs/>
          <w:sz w:val="20"/>
          <w:szCs w:val="20"/>
        </w:rPr>
      </w:pPr>
      <w:r w:rsidRPr="006F5F7E">
        <w:rPr>
          <w:rFonts w:asciiTheme="majorBidi" w:hAnsiTheme="majorBidi" w:cstheme="majorBidi"/>
          <w:b/>
          <w:bCs/>
          <w:sz w:val="20"/>
          <w:szCs w:val="20"/>
        </w:rPr>
        <w:t>4.2 Correlation Matrix</w:t>
      </w:r>
    </w:p>
    <w:p w14:paraId="4E0CFA4B" w14:textId="77777777" w:rsidR="00D471F8" w:rsidRPr="006F5F7E" w:rsidRDefault="00D471F8" w:rsidP="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b/>
          <w:bCs/>
          <w:kern w:val="0"/>
          <w:sz w:val="20"/>
          <w:szCs w:val="20"/>
        </w:rPr>
        <w:t xml:space="preserve">Table 3: Matrix of correlations </w:t>
      </w:r>
    </w:p>
    <w:tbl>
      <w:tblPr>
        <w:tblW w:w="8219" w:type="dxa"/>
        <w:tblLayout w:type="fixed"/>
        <w:tblLook w:val="0000" w:firstRow="0" w:lastRow="0" w:firstColumn="0" w:lastColumn="0" w:noHBand="0" w:noVBand="0"/>
      </w:tblPr>
      <w:tblGrid>
        <w:gridCol w:w="1018"/>
        <w:gridCol w:w="1028"/>
        <w:gridCol w:w="1028"/>
        <w:gridCol w:w="1028"/>
        <w:gridCol w:w="1028"/>
        <w:gridCol w:w="1028"/>
        <w:gridCol w:w="1028"/>
        <w:gridCol w:w="1033"/>
      </w:tblGrid>
      <w:tr w:rsidR="00D471F8" w:rsidRPr="006F5F7E" w14:paraId="520DB669" w14:textId="77777777" w:rsidTr="00D471F8">
        <w:trPr>
          <w:trHeight w:val="227"/>
        </w:trPr>
        <w:tc>
          <w:tcPr>
            <w:tcW w:w="1018" w:type="dxa"/>
            <w:tcBorders>
              <w:top w:val="single" w:sz="4" w:space="0" w:color="auto"/>
              <w:left w:val="nil"/>
              <w:bottom w:val="single" w:sz="10" w:space="0" w:color="auto"/>
              <w:right w:val="nil"/>
            </w:tcBorders>
          </w:tcPr>
          <w:p w14:paraId="62EAE689"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Variables</w:t>
            </w:r>
          </w:p>
        </w:tc>
        <w:tc>
          <w:tcPr>
            <w:tcW w:w="1028" w:type="dxa"/>
            <w:tcBorders>
              <w:top w:val="single" w:sz="4" w:space="0" w:color="auto"/>
              <w:left w:val="nil"/>
              <w:bottom w:val="single" w:sz="10" w:space="0" w:color="auto"/>
              <w:right w:val="nil"/>
            </w:tcBorders>
          </w:tcPr>
          <w:p w14:paraId="689B070F"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(1)</w:t>
            </w:r>
          </w:p>
        </w:tc>
        <w:tc>
          <w:tcPr>
            <w:tcW w:w="1028" w:type="dxa"/>
            <w:tcBorders>
              <w:top w:val="single" w:sz="4" w:space="0" w:color="auto"/>
              <w:left w:val="nil"/>
              <w:bottom w:val="single" w:sz="10" w:space="0" w:color="auto"/>
              <w:right w:val="nil"/>
            </w:tcBorders>
          </w:tcPr>
          <w:p w14:paraId="1E6ABCDE"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(2)</w:t>
            </w:r>
          </w:p>
        </w:tc>
        <w:tc>
          <w:tcPr>
            <w:tcW w:w="1028" w:type="dxa"/>
            <w:tcBorders>
              <w:top w:val="single" w:sz="4" w:space="0" w:color="auto"/>
              <w:left w:val="nil"/>
              <w:bottom w:val="single" w:sz="10" w:space="0" w:color="auto"/>
              <w:right w:val="nil"/>
            </w:tcBorders>
          </w:tcPr>
          <w:p w14:paraId="7FDC5222"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(3)</w:t>
            </w:r>
          </w:p>
        </w:tc>
        <w:tc>
          <w:tcPr>
            <w:tcW w:w="1028" w:type="dxa"/>
            <w:tcBorders>
              <w:top w:val="single" w:sz="4" w:space="0" w:color="auto"/>
              <w:left w:val="nil"/>
              <w:bottom w:val="single" w:sz="10" w:space="0" w:color="auto"/>
              <w:right w:val="nil"/>
            </w:tcBorders>
          </w:tcPr>
          <w:p w14:paraId="4247D91D"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(4)</w:t>
            </w:r>
          </w:p>
        </w:tc>
        <w:tc>
          <w:tcPr>
            <w:tcW w:w="1028" w:type="dxa"/>
            <w:tcBorders>
              <w:top w:val="single" w:sz="4" w:space="0" w:color="auto"/>
              <w:left w:val="nil"/>
              <w:bottom w:val="single" w:sz="10" w:space="0" w:color="auto"/>
              <w:right w:val="nil"/>
            </w:tcBorders>
          </w:tcPr>
          <w:p w14:paraId="596103A0"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(5)</w:t>
            </w:r>
          </w:p>
        </w:tc>
        <w:tc>
          <w:tcPr>
            <w:tcW w:w="1028" w:type="dxa"/>
            <w:tcBorders>
              <w:top w:val="single" w:sz="4" w:space="0" w:color="auto"/>
              <w:left w:val="nil"/>
              <w:bottom w:val="single" w:sz="10" w:space="0" w:color="auto"/>
              <w:right w:val="nil"/>
            </w:tcBorders>
          </w:tcPr>
          <w:p w14:paraId="79D50603"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(6)</w:t>
            </w:r>
          </w:p>
        </w:tc>
        <w:tc>
          <w:tcPr>
            <w:tcW w:w="1033" w:type="dxa"/>
            <w:tcBorders>
              <w:top w:val="single" w:sz="4" w:space="0" w:color="auto"/>
              <w:left w:val="nil"/>
              <w:bottom w:val="single" w:sz="10" w:space="0" w:color="auto"/>
              <w:right w:val="nil"/>
            </w:tcBorders>
          </w:tcPr>
          <w:p w14:paraId="7C5488B6"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 xml:space="preserve">  (7)</w:t>
            </w:r>
          </w:p>
        </w:tc>
      </w:tr>
      <w:tr w:rsidR="00D471F8" w:rsidRPr="006F5F7E" w14:paraId="78AFF323" w14:textId="77777777" w:rsidTr="00D471F8">
        <w:trPr>
          <w:gridAfter w:val="6"/>
          <w:wAfter w:w="6173" w:type="dxa"/>
          <w:trHeight w:val="227"/>
        </w:trPr>
        <w:tc>
          <w:tcPr>
            <w:tcW w:w="1018" w:type="dxa"/>
            <w:tcBorders>
              <w:top w:val="nil"/>
              <w:left w:val="nil"/>
              <w:bottom w:val="nil"/>
              <w:right w:val="nil"/>
            </w:tcBorders>
          </w:tcPr>
          <w:p w14:paraId="731BC391"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(1) DPO</w:t>
            </w:r>
          </w:p>
        </w:tc>
        <w:tc>
          <w:tcPr>
            <w:tcW w:w="1028" w:type="dxa"/>
            <w:tcBorders>
              <w:top w:val="nil"/>
              <w:left w:val="nil"/>
              <w:bottom w:val="nil"/>
              <w:right w:val="nil"/>
            </w:tcBorders>
          </w:tcPr>
          <w:p w14:paraId="0B2A8153"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285AFE81" w14:textId="77777777" w:rsidTr="00D471F8">
        <w:trPr>
          <w:gridAfter w:val="5"/>
          <w:wAfter w:w="5145" w:type="dxa"/>
          <w:trHeight w:val="219"/>
        </w:trPr>
        <w:tc>
          <w:tcPr>
            <w:tcW w:w="1018" w:type="dxa"/>
            <w:tcBorders>
              <w:top w:val="nil"/>
              <w:left w:val="nil"/>
              <w:bottom w:val="nil"/>
              <w:right w:val="nil"/>
            </w:tcBorders>
          </w:tcPr>
          <w:p w14:paraId="110F8971"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(2) MGO</w:t>
            </w:r>
          </w:p>
        </w:tc>
        <w:tc>
          <w:tcPr>
            <w:tcW w:w="1028" w:type="dxa"/>
            <w:tcBorders>
              <w:top w:val="nil"/>
              <w:left w:val="nil"/>
              <w:bottom w:val="nil"/>
              <w:right w:val="nil"/>
            </w:tcBorders>
          </w:tcPr>
          <w:p w14:paraId="1C18741E"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-0.232</w:t>
            </w:r>
          </w:p>
        </w:tc>
        <w:tc>
          <w:tcPr>
            <w:tcW w:w="1028" w:type="dxa"/>
            <w:tcBorders>
              <w:top w:val="nil"/>
              <w:left w:val="nil"/>
              <w:bottom w:val="nil"/>
              <w:right w:val="nil"/>
            </w:tcBorders>
          </w:tcPr>
          <w:p w14:paraId="712B61FC"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5B4DA6EE" w14:textId="77777777" w:rsidTr="00D471F8">
        <w:trPr>
          <w:gridAfter w:val="4"/>
          <w:wAfter w:w="4117" w:type="dxa"/>
          <w:trHeight w:val="227"/>
        </w:trPr>
        <w:tc>
          <w:tcPr>
            <w:tcW w:w="1018" w:type="dxa"/>
            <w:tcBorders>
              <w:top w:val="nil"/>
              <w:left w:val="nil"/>
              <w:bottom w:val="nil"/>
              <w:right w:val="nil"/>
            </w:tcBorders>
          </w:tcPr>
          <w:p w14:paraId="45E25B60"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(3) INST</w:t>
            </w:r>
          </w:p>
        </w:tc>
        <w:tc>
          <w:tcPr>
            <w:tcW w:w="1028" w:type="dxa"/>
            <w:tcBorders>
              <w:top w:val="nil"/>
              <w:left w:val="nil"/>
              <w:bottom w:val="nil"/>
              <w:right w:val="nil"/>
            </w:tcBorders>
          </w:tcPr>
          <w:p w14:paraId="17D85AC7"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-0.240</w:t>
            </w:r>
          </w:p>
        </w:tc>
        <w:tc>
          <w:tcPr>
            <w:tcW w:w="1028" w:type="dxa"/>
            <w:tcBorders>
              <w:top w:val="nil"/>
              <w:left w:val="nil"/>
              <w:bottom w:val="nil"/>
              <w:right w:val="nil"/>
            </w:tcBorders>
          </w:tcPr>
          <w:p w14:paraId="621F4328"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0.040</w:t>
            </w:r>
          </w:p>
        </w:tc>
        <w:tc>
          <w:tcPr>
            <w:tcW w:w="1028" w:type="dxa"/>
            <w:tcBorders>
              <w:top w:val="nil"/>
              <w:left w:val="nil"/>
              <w:bottom w:val="nil"/>
              <w:right w:val="nil"/>
            </w:tcBorders>
          </w:tcPr>
          <w:p w14:paraId="64603E94"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30608097" w14:textId="77777777" w:rsidTr="00D471F8">
        <w:trPr>
          <w:gridAfter w:val="3"/>
          <w:wAfter w:w="3089" w:type="dxa"/>
          <w:trHeight w:val="219"/>
        </w:trPr>
        <w:tc>
          <w:tcPr>
            <w:tcW w:w="1018" w:type="dxa"/>
            <w:tcBorders>
              <w:top w:val="nil"/>
              <w:left w:val="nil"/>
              <w:bottom w:val="nil"/>
              <w:right w:val="nil"/>
            </w:tcBorders>
          </w:tcPr>
          <w:p w14:paraId="4D09D945"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(4) FRO</w:t>
            </w:r>
          </w:p>
        </w:tc>
        <w:tc>
          <w:tcPr>
            <w:tcW w:w="1028" w:type="dxa"/>
            <w:tcBorders>
              <w:top w:val="nil"/>
              <w:left w:val="nil"/>
              <w:bottom w:val="nil"/>
              <w:right w:val="nil"/>
            </w:tcBorders>
          </w:tcPr>
          <w:p w14:paraId="0DE0F99F"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0.343</w:t>
            </w:r>
          </w:p>
        </w:tc>
        <w:tc>
          <w:tcPr>
            <w:tcW w:w="1028" w:type="dxa"/>
            <w:tcBorders>
              <w:top w:val="nil"/>
              <w:left w:val="nil"/>
              <w:bottom w:val="nil"/>
              <w:right w:val="nil"/>
            </w:tcBorders>
          </w:tcPr>
          <w:p w14:paraId="0AD4FC2B"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-0.136</w:t>
            </w:r>
          </w:p>
        </w:tc>
        <w:tc>
          <w:tcPr>
            <w:tcW w:w="1028" w:type="dxa"/>
            <w:tcBorders>
              <w:top w:val="nil"/>
              <w:left w:val="nil"/>
              <w:bottom w:val="nil"/>
              <w:right w:val="nil"/>
            </w:tcBorders>
          </w:tcPr>
          <w:p w14:paraId="27DAA1F7"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0.291</w:t>
            </w:r>
          </w:p>
        </w:tc>
        <w:tc>
          <w:tcPr>
            <w:tcW w:w="1028" w:type="dxa"/>
            <w:tcBorders>
              <w:top w:val="nil"/>
              <w:left w:val="nil"/>
              <w:bottom w:val="nil"/>
              <w:right w:val="nil"/>
            </w:tcBorders>
          </w:tcPr>
          <w:p w14:paraId="098437E2"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1B9FF6F8" w14:textId="77777777" w:rsidTr="00D471F8">
        <w:trPr>
          <w:gridAfter w:val="2"/>
          <w:wAfter w:w="2061" w:type="dxa"/>
          <w:trHeight w:val="227"/>
        </w:trPr>
        <w:tc>
          <w:tcPr>
            <w:tcW w:w="1018" w:type="dxa"/>
            <w:tcBorders>
              <w:top w:val="nil"/>
              <w:left w:val="nil"/>
              <w:bottom w:val="nil"/>
              <w:right w:val="nil"/>
            </w:tcBorders>
          </w:tcPr>
          <w:p w14:paraId="0131F022"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(5) ROA</w:t>
            </w:r>
          </w:p>
        </w:tc>
        <w:tc>
          <w:tcPr>
            <w:tcW w:w="1028" w:type="dxa"/>
            <w:tcBorders>
              <w:top w:val="nil"/>
              <w:left w:val="nil"/>
              <w:bottom w:val="nil"/>
              <w:right w:val="nil"/>
            </w:tcBorders>
          </w:tcPr>
          <w:p w14:paraId="73D60291"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0.373</w:t>
            </w:r>
          </w:p>
        </w:tc>
        <w:tc>
          <w:tcPr>
            <w:tcW w:w="1028" w:type="dxa"/>
            <w:tcBorders>
              <w:top w:val="nil"/>
              <w:left w:val="nil"/>
              <w:bottom w:val="nil"/>
              <w:right w:val="nil"/>
            </w:tcBorders>
          </w:tcPr>
          <w:p w14:paraId="742D7A0C"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-0.388</w:t>
            </w:r>
          </w:p>
        </w:tc>
        <w:tc>
          <w:tcPr>
            <w:tcW w:w="1028" w:type="dxa"/>
            <w:tcBorders>
              <w:top w:val="nil"/>
              <w:left w:val="nil"/>
              <w:bottom w:val="nil"/>
              <w:right w:val="nil"/>
            </w:tcBorders>
          </w:tcPr>
          <w:p w14:paraId="0FB01007"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-0.123</w:t>
            </w:r>
          </w:p>
        </w:tc>
        <w:tc>
          <w:tcPr>
            <w:tcW w:w="1028" w:type="dxa"/>
            <w:tcBorders>
              <w:top w:val="nil"/>
              <w:left w:val="nil"/>
              <w:bottom w:val="nil"/>
              <w:right w:val="nil"/>
            </w:tcBorders>
          </w:tcPr>
          <w:p w14:paraId="7063A52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0.213</w:t>
            </w:r>
          </w:p>
        </w:tc>
        <w:tc>
          <w:tcPr>
            <w:tcW w:w="1028" w:type="dxa"/>
            <w:tcBorders>
              <w:top w:val="nil"/>
              <w:left w:val="nil"/>
              <w:bottom w:val="nil"/>
              <w:right w:val="nil"/>
            </w:tcBorders>
          </w:tcPr>
          <w:p w14:paraId="39C37D0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2D48E1B7" w14:textId="77777777" w:rsidTr="00D471F8">
        <w:trPr>
          <w:gridAfter w:val="1"/>
          <w:wAfter w:w="1033" w:type="dxa"/>
          <w:trHeight w:val="227"/>
        </w:trPr>
        <w:tc>
          <w:tcPr>
            <w:tcW w:w="1018" w:type="dxa"/>
            <w:tcBorders>
              <w:top w:val="nil"/>
              <w:left w:val="nil"/>
              <w:bottom w:val="nil"/>
              <w:right w:val="nil"/>
            </w:tcBorders>
          </w:tcPr>
          <w:p w14:paraId="62D24CE0" w14:textId="77777777"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(6) </w:t>
            </w:r>
            <w:proofErr w:type="spellStart"/>
            <w:r w:rsidRPr="006F5F7E">
              <w:rPr>
                <w:rFonts w:asciiTheme="majorBidi" w:hAnsiTheme="majorBidi" w:cstheme="majorBidi"/>
                <w:kern w:val="0"/>
                <w:sz w:val="20"/>
                <w:szCs w:val="20"/>
              </w:rPr>
              <w:t>Fsize</w:t>
            </w:r>
            <w:proofErr w:type="spellEnd"/>
          </w:p>
        </w:tc>
        <w:tc>
          <w:tcPr>
            <w:tcW w:w="1028" w:type="dxa"/>
            <w:tcBorders>
              <w:top w:val="nil"/>
              <w:left w:val="nil"/>
              <w:bottom w:val="nil"/>
              <w:right w:val="nil"/>
            </w:tcBorders>
          </w:tcPr>
          <w:p w14:paraId="38DC23D6"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0.345</w:t>
            </w:r>
          </w:p>
        </w:tc>
        <w:tc>
          <w:tcPr>
            <w:tcW w:w="1028" w:type="dxa"/>
            <w:tcBorders>
              <w:top w:val="nil"/>
              <w:left w:val="nil"/>
              <w:bottom w:val="nil"/>
              <w:right w:val="nil"/>
            </w:tcBorders>
          </w:tcPr>
          <w:p w14:paraId="7057A93F"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-0.429</w:t>
            </w:r>
          </w:p>
        </w:tc>
        <w:tc>
          <w:tcPr>
            <w:tcW w:w="1028" w:type="dxa"/>
            <w:tcBorders>
              <w:top w:val="nil"/>
              <w:left w:val="nil"/>
              <w:bottom w:val="nil"/>
              <w:right w:val="nil"/>
            </w:tcBorders>
          </w:tcPr>
          <w:p w14:paraId="6E04D44A"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-0.313</w:t>
            </w:r>
          </w:p>
        </w:tc>
        <w:tc>
          <w:tcPr>
            <w:tcW w:w="1028" w:type="dxa"/>
            <w:tcBorders>
              <w:top w:val="nil"/>
              <w:left w:val="nil"/>
              <w:bottom w:val="nil"/>
              <w:right w:val="nil"/>
            </w:tcBorders>
          </w:tcPr>
          <w:p w14:paraId="4A51053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-0.180</w:t>
            </w:r>
          </w:p>
        </w:tc>
        <w:tc>
          <w:tcPr>
            <w:tcW w:w="1028" w:type="dxa"/>
            <w:tcBorders>
              <w:top w:val="nil"/>
              <w:left w:val="nil"/>
              <w:bottom w:val="nil"/>
              <w:right w:val="nil"/>
            </w:tcBorders>
          </w:tcPr>
          <w:p w14:paraId="21419281"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0.295</w:t>
            </w:r>
          </w:p>
        </w:tc>
        <w:tc>
          <w:tcPr>
            <w:tcW w:w="1028" w:type="dxa"/>
            <w:tcBorders>
              <w:top w:val="nil"/>
              <w:left w:val="nil"/>
              <w:bottom w:val="nil"/>
              <w:right w:val="nil"/>
            </w:tcBorders>
          </w:tcPr>
          <w:p w14:paraId="6B9E26F1"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r w:rsidR="00D471F8" w:rsidRPr="006F5F7E" w14:paraId="585B3835" w14:textId="77777777" w:rsidTr="00D471F8">
        <w:trPr>
          <w:trHeight w:val="449"/>
        </w:trPr>
        <w:tc>
          <w:tcPr>
            <w:tcW w:w="1018" w:type="dxa"/>
            <w:tcBorders>
              <w:top w:val="nil"/>
              <w:left w:val="nil"/>
              <w:bottom w:val="nil"/>
              <w:right w:val="nil"/>
            </w:tcBorders>
          </w:tcPr>
          <w:p w14:paraId="6007EE30" w14:textId="6527BA4E" w:rsidR="00D471F8" w:rsidRPr="006F5F7E" w:rsidRDefault="00D471F8">
            <w:pPr>
              <w:widowControl w:val="0"/>
              <w:autoSpaceDE w:val="0"/>
              <w:autoSpaceDN w:val="0"/>
              <w:adjustRightInd w:val="0"/>
              <w:spacing w:after="0" w:line="240" w:lineRule="auto"/>
              <w:rPr>
                <w:rFonts w:asciiTheme="majorBidi" w:hAnsiTheme="majorBidi" w:cstheme="majorBidi"/>
                <w:kern w:val="0"/>
                <w:sz w:val="20"/>
                <w:szCs w:val="20"/>
              </w:rPr>
            </w:pPr>
            <w:r w:rsidRPr="006F5F7E">
              <w:rPr>
                <w:rFonts w:asciiTheme="majorBidi" w:hAnsiTheme="majorBidi" w:cstheme="majorBidi"/>
                <w:kern w:val="0"/>
                <w:sz w:val="20"/>
                <w:szCs w:val="20"/>
              </w:rPr>
              <w:t xml:space="preserve"> (7) </w:t>
            </w:r>
            <w:r w:rsidR="00DC1569" w:rsidRPr="006F5F7E">
              <w:rPr>
                <w:rFonts w:asciiTheme="majorBidi" w:hAnsiTheme="majorBidi" w:cstheme="majorBidi"/>
                <w:kern w:val="0"/>
                <w:sz w:val="20"/>
                <w:szCs w:val="20"/>
              </w:rPr>
              <w:t>GRT</w:t>
            </w:r>
          </w:p>
        </w:tc>
        <w:tc>
          <w:tcPr>
            <w:tcW w:w="1028" w:type="dxa"/>
            <w:tcBorders>
              <w:top w:val="nil"/>
              <w:left w:val="nil"/>
              <w:bottom w:val="nil"/>
              <w:right w:val="nil"/>
            </w:tcBorders>
          </w:tcPr>
          <w:p w14:paraId="2B4996EF"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-0.027</w:t>
            </w:r>
          </w:p>
        </w:tc>
        <w:tc>
          <w:tcPr>
            <w:tcW w:w="1028" w:type="dxa"/>
            <w:tcBorders>
              <w:top w:val="nil"/>
              <w:left w:val="nil"/>
              <w:bottom w:val="nil"/>
              <w:right w:val="nil"/>
            </w:tcBorders>
          </w:tcPr>
          <w:p w14:paraId="41300D17"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-0.040</w:t>
            </w:r>
          </w:p>
        </w:tc>
        <w:tc>
          <w:tcPr>
            <w:tcW w:w="1028" w:type="dxa"/>
            <w:tcBorders>
              <w:top w:val="nil"/>
              <w:left w:val="nil"/>
              <w:bottom w:val="nil"/>
              <w:right w:val="nil"/>
            </w:tcBorders>
          </w:tcPr>
          <w:p w14:paraId="6B73030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-0.219</w:t>
            </w:r>
          </w:p>
        </w:tc>
        <w:tc>
          <w:tcPr>
            <w:tcW w:w="1028" w:type="dxa"/>
            <w:tcBorders>
              <w:top w:val="nil"/>
              <w:left w:val="nil"/>
              <w:bottom w:val="nil"/>
              <w:right w:val="nil"/>
            </w:tcBorders>
          </w:tcPr>
          <w:p w14:paraId="3647C496"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-0.039</w:t>
            </w:r>
          </w:p>
        </w:tc>
        <w:tc>
          <w:tcPr>
            <w:tcW w:w="1028" w:type="dxa"/>
            <w:tcBorders>
              <w:top w:val="nil"/>
              <w:left w:val="nil"/>
              <w:bottom w:val="nil"/>
              <w:right w:val="nil"/>
            </w:tcBorders>
          </w:tcPr>
          <w:p w14:paraId="7A4D8C60"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0.125</w:t>
            </w:r>
          </w:p>
        </w:tc>
        <w:tc>
          <w:tcPr>
            <w:tcW w:w="1028" w:type="dxa"/>
            <w:tcBorders>
              <w:top w:val="nil"/>
              <w:left w:val="nil"/>
              <w:bottom w:val="nil"/>
              <w:right w:val="nil"/>
            </w:tcBorders>
          </w:tcPr>
          <w:p w14:paraId="0C0F2F92"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-0.081</w:t>
            </w:r>
          </w:p>
        </w:tc>
        <w:tc>
          <w:tcPr>
            <w:tcW w:w="1033" w:type="dxa"/>
            <w:tcBorders>
              <w:top w:val="nil"/>
              <w:left w:val="nil"/>
              <w:bottom w:val="nil"/>
              <w:right w:val="nil"/>
            </w:tcBorders>
          </w:tcPr>
          <w:p w14:paraId="3DA0AEB5" w14:textId="77777777" w:rsidR="00D471F8" w:rsidRPr="006F5F7E" w:rsidRDefault="00D471F8">
            <w:pPr>
              <w:widowControl w:val="0"/>
              <w:autoSpaceDE w:val="0"/>
              <w:autoSpaceDN w:val="0"/>
              <w:adjustRightInd w:val="0"/>
              <w:spacing w:after="0" w:line="240" w:lineRule="auto"/>
              <w:jc w:val="right"/>
              <w:rPr>
                <w:rFonts w:asciiTheme="majorBidi" w:hAnsiTheme="majorBidi" w:cstheme="majorBidi"/>
                <w:kern w:val="0"/>
                <w:sz w:val="20"/>
                <w:szCs w:val="20"/>
              </w:rPr>
            </w:pPr>
            <w:r w:rsidRPr="006F5F7E">
              <w:rPr>
                <w:rFonts w:asciiTheme="majorBidi" w:hAnsiTheme="majorBidi" w:cstheme="majorBidi"/>
                <w:kern w:val="0"/>
                <w:sz w:val="20"/>
                <w:szCs w:val="20"/>
              </w:rPr>
              <w:t>1.000</w:t>
            </w:r>
          </w:p>
        </w:tc>
      </w:tr>
    </w:tbl>
    <w:p w14:paraId="5A60C907" w14:textId="4171CC31" w:rsidR="00D471F8" w:rsidRPr="006F5F7E" w:rsidRDefault="00EC489B" w:rsidP="00EC489B">
      <w:pPr>
        <w:rPr>
          <w:rFonts w:asciiTheme="majorBidi" w:hAnsiTheme="majorBidi" w:cstheme="majorBidi"/>
          <w:sz w:val="20"/>
          <w:szCs w:val="20"/>
        </w:rPr>
      </w:pPr>
      <w:r w:rsidRPr="006F5F7E">
        <w:rPr>
          <w:rFonts w:asciiTheme="majorBidi" w:hAnsiTheme="majorBidi" w:cstheme="majorBidi"/>
          <w:b/>
          <w:bCs/>
          <w:kern w:val="0"/>
          <w:sz w:val="20"/>
          <w:szCs w:val="20"/>
        </w:rPr>
        <w:t xml:space="preserve">Source: </w:t>
      </w:r>
      <w:r w:rsidRPr="006F5F7E">
        <w:rPr>
          <w:rFonts w:asciiTheme="majorBidi" w:hAnsiTheme="majorBidi" w:cstheme="majorBidi"/>
          <w:kern w:val="0"/>
          <w:sz w:val="20"/>
          <w:szCs w:val="20"/>
        </w:rPr>
        <w:t xml:space="preserve">Processed data through </w:t>
      </w:r>
      <w:commentRangeStart w:id="36"/>
      <w:proofErr w:type="spellStart"/>
      <w:r w:rsidRPr="006F5F7E">
        <w:rPr>
          <w:rFonts w:asciiTheme="majorBidi" w:hAnsiTheme="majorBidi" w:cstheme="majorBidi"/>
          <w:kern w:val="0"/>
          <w:sz w:val="20"/>
          <w:szCs w:val="20"/>
        </w:rPr>
        <w:t>StataNow</w:t>
      </w:r>
      <w:commentRangeEnd w:id="36"/>
      <w:proofErr w:type="spellEnd"/>
      <w:r w:rsidR="00B51698">
        <w:rPr>
          <w:rStyle w:val="CommentReference"/>
        </w:rPr>
        <w:commentReference w:id="36"/>
      </w:r>
      <w:r w:rsidRPr="006F5F7E">
        <w:rPr>
          <w:rFonts w:asciiTheme="majorBidi" w:hAnsiTheme="majorBidi" w:cstheme="majorBidi"/>
          <w:kern w:val="0"/>
          <w:sz w:val="20"/>
          <w:szCs w:val="20"/>
        </w:rPr>
        <w:t xml:space="preserve"> 19.5 by authors (2025) </w:t>
      </w:r>
    </w:p>
    <w:p w14:paraId="0ED46BB6" w14:textId="28763876" w:rsidR="00035204" w:rsidRPr="006F5F7E" w:rsidRDefault="00035204" w:rsidP="00FF2FDB">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Table </w:t>
      </w:r>
      <w:r w:rsidR="00D471F8" w:rsidRPr="006F5F7E">
        <w:rPr>
          <w:rFonts w:asciiTheme="majorBidi" w:hAnsiTheme="majorBidi" w:cstheme="majorBidi"/>
          <w:sz w:val="20"/>
          <w:szCs w:val="20"/>
        </w:rPr>
        <w:t>3</w:t>
      </w:r>
      <w:r w:rsidRPr="006F5F7E">
        <w:rPr>
          <w:rFonts w:asciiTheme="majorBidi" w:hAnsiTheme="majorBidi" w:cstheme="majorBidi"/>
          <w:sz w:val="20"/>
          <w:szCs w:val="20"/>
        </w:rPr>
        <w:t xml:space="preserve"> presents the Pearson correlation matrix. The dividend payout ratio (DPO) is positively associated with foreign ownership (r = 0.343), return on assets (r = 0.373), and firm size (r = 0.345), suggesting that more profitable, larger banks with foreign investors are likely to distribute higher dividends. In contrast, DPO is negatively correlated with managerial ownership (r = -0.232) and institutional ownership (r = -0.240), consistent with theoretical arguments that entrenched managers and institutional </w:t>
      </w:r>
      <w:r w:rsidR="004F6CA5" w:rsidRPr="006F5F7E">
        <w:rPr>
          <w:rFonts w:asciiTheme="majorBidi" w:hAnsiTheme="majorBidi" w:cstheme="majorBidi"/>
          <w:sz w:val="20"/>
          <w:szCs w:val="20"/>
        </w:rPr>
        <w:t>block-holders</w:t>
      </w:r>
      <w:r w:rsidRPr="006F5F7E">
        <w:rPr>
          <w:rFonts w:asciiTheme="majorBidi" w:hAnsiTheme="majorBidi" w:cstheme="majorBidi"/>
          <w:sz w:val="20"/>
          <w:szCs w:val="20"/>
        </w:rPr>
        <w:t xml:space="preserve"> may favour earnings retention.</w:t>
      </w:r>
      <w:r w:rsidR="004F6CA5" w:rsidRPr="006F5F7E">
        <w:rPr>
          <w:rFonts w:asciiTheme="majorBidi" w:hAnsiTheme="majorBidi" w:cstheme="majorBidi"/>
          <w:sz w:val="20"/>
          <w:szCs w:val="20"/>
        </w:rPr>
        <w:t xml:space="preserve"> </w:t>
      </w:r>
      <w:r w:rsidRPr="006F5F7E">
        <w:rPr>
          <w:rFonts w:asciiTheme="majorBidi" w:hAnsiTheme="majorBidi" w:cstheme="majorBidi"/>
          <w:sz w:val="20"/>
          <w:szCs w:val="20"/>
        </w:rPr>
        <w:t>Multicollinearity appears minimal, as inter-variable correlations among predictors remain modest. Notably, the highest correlation between any two independent variables is between ROA and Fsize (r = 0.295), far below critical multicollinearity thresholds. This is corroborated by subsequent variance inflation factor (VIF) diagnostics.</w:t>
      </w:r>
      <w:r w:rsidR="004F6CA5" w:rsidRPr="006F5F7E">
        <w:rPr>
          <w:rFonts w:asciiTheme="majorBidi" w:hAnsiTheme="majorBidi" w:cstheme="majorBidi"/>
          <w:sz w:val="20"/>
          <w:szCs w:val="20"/>
        </w:rPr>
        <w:t xml:space="preserve"> </w:t>
      </w:r>
      <w:r w:rsidRPr="006F5F7E">
        <w:rPr>
          <w:rFonts w:asciiTheme="majorBidi" w:hAnsiTheme="majorBidi" w:cstheme="majorBidi"/>
          <w:sz w:val="20"/>
          <w:szCs w:val="20"/>
        </w:rPr>
        <w:t>The negative correlation between ROA and MGO (r = -0.388) hints at a potential agency conflict in less profitable firms, while ROA’s positive association with DPO reinforces its role as a key driver of payout policy.</w:t>
      </w:r>
    </w:p>
    <w:p w14:paraId="0634D959" w14:textId="77777777" w:rsidR="00035204" w:rsidRPr="006F5F7E" w:rsidRDefault="00035204" w:rsidP="00035204">
      <w:pPr>
        <w:pStyle w:val="Heading3"/>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4.3 Diagnostic Tests</w:t>
      </w:r>
    </w:p>
    <w:p w14:paraId="04AF589A" w14:textId="2B0FE21A" w:rsidR="00035204" w:rsidRPr="006F5F7E" w:rsidRDefault="00035204" w:rsidP="00FF2FDB">
      <w:pPr>
        <w:spacing w:line="360" w:lineRule="auto"/>
        <w:contextualSpacing/>
        <w:jc w:val="both"/>
        <w:rPr>
          <w:rFonts w:asciiTheme="majorBidi" w:hAnsiTheme="majorBidi" w:cstheme="majorBidi"/>
          <w:sz w:val="20"/>
          <w:szCs w:val="20"/>
        </w:rPr>
      </w:pPr>
      <w:commentRangeStart w:id="37"/>
      <w:r w:rsidRPr="006F5F7E">
        <w:rPr>
          <w:rFonts w:asciiTheme="majorBidi" w:hAnsiTheme="majorBidi" w:cstheme="majorBidi"/>
          <w:sz w:val="20"/>
          <w:szCs w:val="20"/>
        </w:rPr>
        <w:t>Pre-estimation diagnostics were conducted to assess multicollinearity and heteroskedasticity, which could bias standard errors and undermine inference quality in regression models.</w:t>
      </w:r>
      <w:r w:rsidR="004F6CA5" w:rsidRPr="006F5F7E">
        <w:rPr>
          <w:rFonts w:asciiTheme="majorBidi" w:hAnsiTheme="majorBidi" w:cstheme="majorBidi"/>
          <w:sz w:val="20"/>
          <w:szCs w:val="20"/>
        </w:rPr>
        <w:t xml:space="preserve"> </w:t>
      </w:r>
      <w:r w:rsidRPr="006F5F7E">
        <w:rPr>
          <w:rFonts w:asciiTheme="majorBidi" w:hAnsiTheme="majorBidi" w:cstheme="majorBidi"/>
          <w:sz w:val="20"/>
          <w:szCs w:val="20"/>
        </w:rPr>
        <w:t>The Variance Inflation Factor (VIF) test indicates no multicollinearity concerns, with all VIF values well below the critical threshold of 10. The highest VIF observed is 1.54 for firm size, and the mean VIF is 1.32, confirming that the explanatory variables are not excessively correlated.</w:t>
      </w:r>
      <w:r w:rsidR="004F6CA5" w:rsidRPr="006F5F7E">
        <w:rPr>
          <w:rFonts w:asciiTheme="majorBidi" w:hAnsiTheme="majorBidi" w:cstheme="majorBidi"/>
          <w:sz w:val="20"/>
          <w:szCs w:val="20"/>
        </w:rPr>
        <w:t xml:space="preserve"> </w:t>
      </w:r>
      <w:r w:rsidRPr="006F5F7E">
        <w:rPr>
          <w:rFonts w:asciiTheme="majorBidi" w:hAnsiTheme="majorBidi" w:cstheme="majorBidi"/>
          <w:sz w:val="20"/>
          <w:szCs w:val="20"/>
        </w:rPr>
        <w:t>The Breusch–Pagan/Cook–Weisberg test for heteroskedasticity returned a chi-squared statistic of 1.43 (p = 0.2317), suggesting that the null hypothesis of constant variance cannot be rejected. This implies that classical homoskedasticity assumptions hold under OLS. Nevertheless, given the non-normal distribution and potential conditional heteroskedasticity in financial data, quantile regression techniques are still appropriate and theoretically justified for further analysis.</w:t>
      </w:r>
      <w:commentRangeEnd w:id="37"/>
      <w:r w:rsidR="00B51698">
        <w:rPr>
          <w:rStyle w:val="CommentReference"/>
        </w:rPr>
        <w:commentReference w:id="37"/>
      </w:r>
    </w:p>
    <w:p w14:paraId="4AEF81C8" w14:textId="651356E4" w:rsidR="00D04062" w:rsidRPr="006F5F7E" w:rsidRDefault="00833548" w:rsidP="009E26E6">
      <w:pPr>
        <w:pStyle w:val="Heading3"/>
        <w:numPr>
          <w:ilvl w:val="1"/>
          <w:numId w:val="33"/>
        </w:numPr>
        <w:spacing w:line="360" w:lineRule="auto"/>
        <w:contextualSpacing/>
        <w:rPr>
          <w:rFonts w:asciiTheme="majorBidi" w:hAnsiTheme="majorBidi" w:cstheme="majorBidi"/>
          <w:b/>
          <w:bCs/>
          <w:color w:val="auto"/>
          <w:sz w:val="20"/>
          <w:szCs w:val="20"/>
        </w:rPr>
      </w:pPr>
      <w:r w:rsidRPr="006F5F7E">
        <w:rPr>
          <w:rFonts w:asciiTheme="majorBidi" w:hAnsiTheme="majorBidi" w:cstheme="majorBidi"/>
          <w:b/>
          <w:bCs/>
          <w:color w:val="auto"/>
          <w:sz w:val="20"/>
          <w:szCs w:val="20"/>
        </w:rPr>
        <w:lastRenderedPageBreak/>
        <w:t>Regression Results and Discussion</w:t>
      </w:r>
    </w:p>
    <w:p w14:paraId="1AB53452" w14:textId="4ACD25DE" w:rsidR="00F9059C" w:rsidRPr="006F5F7E" w:rsidRDefault="00F9059C" w:rsidP="003851CC">
      <w:pPr>
        <w:spacing w:before="100" w:beforeAutospacing="1" w:after="100" w:afterAutospacing="1" w:line="360" w:lineRule="auto"/>
        <w:contextualSpacing/>
        <w:jc w:val="both"/>
        <w:rPr>
          <w:rFonts w:ascii="Times New Roman" w:eastAsia="Times New Roman" w:hAnsi="Times New Roman" w:cs="Times New Roman"/>
          <w:kern w:val="0"/>
          <w:sz w:val="20"/>
          <w:szCs w:val="20"/>
          <w14:ligatures w14:val="none"/>
        </w:rPr>
      </w:pPr>
      <w:r w:rsidRPr="006F5F7E">
        <w:rPr>
          <w:rFonts w:ascii="Times New Roman" w:eastAsia="Times New Roman" w:hAnsi="Times New Roman" w:cs="Times New Roman"/>
          <w:kern w:val="0"/>
          <w:sz w:val="20"/>
          <w:szCs w:val="20"/>
          <w14:ligatures w14:val="none"/>
        </w:rPr>
        <w:t>This section presents and interprets the results of the quantile regression models</w:t>
      </w:r>
      <w:r w:rsidR="00AF1929" w:rsidRPr="006F5F7E">
        <w:rPr>
          <w:rFonts w:ascii="Times New Roman" w:eastAsia="Times New Roman" w:hAnsi="Times New Roman" w:cs="Times New Roman"/>
          <w:kern w:val="0"/>
          <w:sz w:val="20"/>
          <w:szCs w:val="20"/>
          <w14:ligatures w14:val="none"/>
        </w:rPr>
        <w:t xml:space="preserve"> as show</w:t>
      </w:r>
      <w:r w:rsidR="001C0792" w:rsidRPr="006F5F7E">
        <w:rPr>
          <w:rFonts w:ascii="Times New Roman" w:eastAsia="Times New Roman" w:hAnsi="Times New Roman" w:cs="Times New Roman"/>
          <w:kern w:val="0"/>
          <w:sz w:val="20"/>
          <w:szCs w:val="20"/>
          <w14:ligatures w14:val="none"/>
        </w:rPr>
        <w:t>n in Table 4</w:t>
      </w:r>
      <w:r w:rsidRPr="006F5F7E">
        <w:rPr>
          <w:rFonts w:ascii="Times New Roman" w:eastAsia="Times New Roman" w:hAnsi="Times New Roman" w:cs="Times New Roman"/>
          <w:kern w:val="0"/>
          <w:sz w:val="20"/>
          <w:szCs w:val="20"/>
          <w14:ligatures w14:val="none"/>
        </w:rPr>
        <w:t>, focusing on the role of ownership structure and profitability in shaping dividend payout behaviour. Results are discussed by variable group, aligned with hypotheses H1–H5, and reflect the outcomes from both Model 1 and Model 2.</w:t>
      </w:r>
    </w:p>
    <w:p w14:paraId="78F500B1" w14:textId="23E09AD6" w:rsidR="00B7651F" w:rsidRPr="006F5F7E" w:rsidRDefault="009308F1" w:rsidP="009E26E6">
      <w:pPr>
        <w:spacing w:line="240" w:lineRule="auto"/>
        <w:contextualSpacing/>
        <w:rPr>
          <w:rFonts w:asciiTheme="majorBidi" w:hAnsiTheme="majorBidi" w:cstheme="majorBidi"/>
          <w:sz w:val="20"/>
          <w:szCs w:val="20"/>
        </w:rPr>
      </w:pPr>
      <w:commentRangeStart w:id="38"/>
      <w:r w:rsidRPr="006F5F7E">
        <w:rPr>
          <w:rFonts w:asciiTheme="majorBidi" w:hAnsiTheme="majorBidi" w:cstheme="majorBidi"/>
          <w:b/>
          <w:bCs/>
          <w:sz w:val="20"/>
          <w:szCs w:val="20"/>
        </w:rPr>
        <w:t>Table 4:</w:t>
      </w:r>
      <w:r w:rsidRPr="006F5F7E">
        <w:rPr>
          <w:rFonts w:asciiTheme="majorBidi" w:hAnsiTheme="majorBidi" w:cstheme="majorBidi"/>
          <w:sz w:val="20"/>
          <w:szCs w:val="20"/>
        </w:rPr>
        <w:t xml:space="preserve"> Quantile Regression </w:t>
      </w:r>
      <w:r w:rsidR="003C36A6" w:rsidRPr="006F5F7E">
        <w:rPr>
          <w:rFonts w:asciiTheme="majorBidi" w:hAnsiTheme="majorBidi" w:cstheme="majorBidi"/>
          <w:sz w:val="20"/>
          <w:szCs w:val="20"/>
        </w:rPr>
        <w:t>Results</w:t>
      </w:r>
      <w:r w:rsidR="009E26E6" w:rsidRPr="006F5F7E">
        <w:rPr>
          <w:rFonts w:asciiTheme="majorBidi" w:hAnsiTheme="majorBidi" w:cstheme="majorBidi"/>
          <w:sz w:val="20"/>
          <w:szCs w:val="20"/>
        </w:rPr>
        <w:t xml:space="preserve"> (Models 1 and 2)</w:t>
      </w:r>
    </w:p>
    <w:tbl>
      <w:tblPr>
        <w:tblStyle w:val="TableGrid"/>
        <w:tblW w:w="0" w:type="auto"/>
        <w:tblLook w:val="04A0" w:firstRow="1" w:lastRow="0" w:firstColumn="1" w:lastColumn="0" w:noHBand="0" w:noVBand="1"/>
      </w:tblPr>
      <w:tblGrid>
        <w:gridCol w:w="1234"/>
        <w:gridCol w:w="1234"/>
        <w:gridCol w:w="1234"/>
        <w:gridCol w:w="1234"/>
        <w:gridCol w:w="1234"/>
        <w:gridCol w:w="1234"/>
        <w:gridCol w:w="1234"/>
      </w:tblGrid>
      <w:tr w:rsidR="00B7651F" w:rsidRPr="006F5F7E" w14:paraId="58C8B4E7" w14:textId="77777777">
        <w:tc>
          <w:tcPr>
            <w:tcW w:w="1234" w:type="dxa"/>
          </w:tcPr>
          <w:p w14:paraId="6A28890C" w14:textId="77777777" w:rsidR="00B7651F" w:rsidRPr="006F5F7E" w:rsidRDefault="00B7651F">
            <w:pPr>
              <w:rPr>
                <w:rFonts w:asciiTheme="majorBidi" w:hAnsiTheme="majorBidi" w:cstheme="majorBidi"/>
                <w:sz w:val="20"/>
                <w:szCs w:val="20"/>
              </w:rPr>
            </w:pPr>
          </w:p>
        </w:tc>
        <w:tc>
          <w:tcPr>
            <w:tcW w:w="3702" w:type="dxa"/>
            <w:gridSpan w:val="3"/>
          </w:tcPr>
          <w:p w14:paraId="301E9037" w14:textId="77777777" w:rsidR="00B7651F" w:rsidRPr="006F5F7E" w:rsidRDefault="00B7651F">
            <w:pPr>
              <w:jc w:val="center"/>
              <w:rPr>
                <w:rFonts w:asciiTheme="majorBidi" w:hAnsiTheme="majorBidi" w:cstheme="majorBidi"/>
                <w:b/>
                <w:bCs/>
                <w:sz w:val="20"/>
                <w:szCs w:val="20"/>
              </w:rPr>
            </w:pPr>
            <w:r w:rsidRPr="006F5F7E">
              <w:rPr>
                <w:rFonts w:asciiTheme="majorBidi" w:hAnsiTheme="majorBidi" w:cstheme="majorBidi"/>
                <w:b/>
                <w:bCs/>
                <w:sz w:val="20"/>
                <w:szCs w:val="20"/>
              </w:rPr>
              <w:t>Model 1(τ = 0.25, 0.50, 0.75)</w:t>
            </w:r>
          </w:p>
        </w:tc>
        <w:tc>
          <w:tcPr>
            <w:tcW w:w="3702" w:type="dxa"/>
            <w:gridSpan w:val="3"/>
          </w:tcPr>
          <w:p w14:paraId="1F8F5551" w14:textId="77777777" w:rsidR="00B7651F" w:rsidRPr="006F5F7E" w:rsidRDefault="00B7651F">
            <w:pPr>
              <w:jc w:val="center"/>
              <w:rPr>
                <w:rFonts w:asciiTheme="majorBidi" w:hAnsiTheme="majorBidi" w:cstheme="majorBidi"/>
                <w:b/>
                <w:bCs/>
                <w:sz w:val="20"/>
                <w:szCs w:val="20"/>
              </w:rPr>
            </w:pPr>
            <w:r w:rsidRPr="006F5F7E">
              <w:rPr>
                <w:rFonts w:asciiTheme="majorBidi" w:hAnsiTheme="majorBidi" w:cstheme="majorBidi"/>
                <w:b/>
                <w:bCs/>
                <w:sz w:val="20"/>
                <w:szCs w:val="20"/>
              </w:rPr>
              <w:t>Model 2(τ = 0.25, 0.50, 0.75)</w:t>
            </w:r>
          </w:p>
        </w:tc>
      </w:tr>
      <w:tr w:rsidR="00B7651F" w:rsidRPr="006F5F7E" w14:paraId="15C94093" w14:textId="77777777">
        <w:tc>
          <w:tcPr>
            <w:tcW w:w="1234" w:type="dxa"/>
          </w:tcPr>
          <w:p w14:paraId="26D0EFC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Variable</w:t>
            </w:r>
          </w:p>
        </w:tc>
        <w:tc>
          <w:tcPr>
            <w:tcW w:w="1234" w:type="dxa"/>
          </w:tcPr>
          <w:p w14:paraId="388AF09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(BMQ25)</w:t>
            </w:r>
          </w:p>
        </w:tc>
        <w:tc>
          <w:tcPr>
            <w:tcW w:w="1234" w:type="dxa"/>
          </w:tcPr>
          <w:p w14:paraId="453DC30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(BMQ50)</w:t>
            </w:r>
          </w:p>
        </w:tc>
        <w:tc>
          <w:tcPr>
            <w:tcW w:w="1234" w:type="dxa"/>
          </w:tcPr>
          <w:p w14:paraId="6D6EBC8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(BMQ75)</w:t>
            </w:r>
          </w:p>
        </w:tc>
        <w:tc>
          <w:tcPr>
            <w:tcW w:w="1234" w:type="dxa"/>
          </w:tcPr>
          <w:p w14:paraId="4C43659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(PQR25)</w:t>
            </w:r>
          </w:p>
        </w:tc>
        <w:tc>
          <w:tcPr>
            <w:tcW w:w="1234" w:type="dxa"/>
          </w:tcPr>
          <w:p w14:paraId="509DA7C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(PQR50)</w:t>
            </w:r>
          </w:p>
        </w:tc>
        <w:tc>
          <w:tcPr>
            <w:tcW w:w="1234" w:type="dxa"/>
          </w:tcPr>
          <w:p w14:paraId="4B3A472C"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(PQR75)</w:t>
            </w:r>
          </w:p>
        </w:tc>
      </w:tr>
      <w:tr w:rsidR="00B7651F" w:rsidRPr="006F5F7E" w14:paraId="616BEF03" w14:textId="77777777">
        <w:tc>
          <w:tcPr>
            <w:tcW w:w="1234" w:type="dxa"/>
          </w:tcPr>
          <w:p w14:paraId="64BEF5DB"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MGO</w:t>
            </w:r>
          </w:p>
        </w:tc>
        <w:tc>
          <w:tcPr>
            <w:tcW w:w="1234" w:type="dxa"/>
          </w:tcPr>
          <w:p w14:paraId="0CEAC41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0.097</w:t>
            </w:r>
            <w:r w:rsidRPr="006F5F7E">
              <w:rPr>
                <w:rFonts w:asciiTheme="majorBidi" w:hAnsiTheme="majorBidi" w:cstheme="majorBidi"/>
                <w:sz w:val="20"/>
                <w:szCs w:val="20"/>
              </w:rPr>
              <w:br/>
              <w:t>(0.068)</w:t>
            </w:r>
          </w:p>
        </w:tc>
        <w:tc>
          <w:tcPr>
            <w:tcW w:w="1234" w:type="dxa"/>
          </w:tcPr>
          <w:p w14:paraId="2570EDDD"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0.073</w:t>
            </w:r>
            <w:r w:rsidRPr="006F5F7E">
              <w:rPr>
                <w:rFonts w:asciiTheme="majorBidi" w:hAnsiTheme="majorBidi" w:cstheme="majorBidi"/>
                <w:sz w:val="20"/>
                <w:szCs w:val="20"/>
              </w:rPr>
              <w:br/>
              <w:t>(0.131)</w:t>
            </w:r>
          </w:p>
        </w:tc>
        <w:tc>
          <w:tcPr>
            <w:tcW w:w="1234" w:type="dxa"/>
          </w:tcPr>
          <w:p w14:paraId="7861EC68"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0.141</w:t>
            </w:r>
            <w:r w:rsidRPr="006F5F7E">
              <w:rPr>
                <w:rFonts w:asciiTheme="majorBidi" w:hAnsiTheme="majorBidi" w:cstheme="majorBidi"/>
                <w:sz w:val="20"/>
                <w:szCs w:val="20"/>
              </w:rPr>
              <w:br/>
              <w:t>(0.175)</w:t>
            </w:r>
          </w:p>
        </w:tc>
        <w:tc>
          <w:tcPr>
            <w:tcW w:w="1234" w:type="dxa"/>
          </w:tcPr>
          <w:p w14:paraId="5FB749A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0.225 **</w:t>
            </w:r>
            <w:r w:rsidRPr="006F5F7E">
              <w:rPr>
                <w:rFonts w:asciiTheme="majorBidi" w:hAnsiTheme="majorBidi" w:cstheme="majorBidi"/>
                <w:sz w:val="20"/>
                <w:szCs w:val="20"/>
              </w:rPr>
              <w:br/>
              <w:t>(0.099)</w:t>
            </w:r>
          </w:p>
        </w:tc>
        <w:tc>
          <w:tcPr>
            <w:tcW w:w="1234" w:type="dxa"/>
          </w:tcPr>
          <w:p w14:paraId="1591F09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0.178 **</w:t>
            </w:r>
            <w:r w:rsidRPr="006F5F7E">
              <w:rPr>
                <w:rFonts w:asciiTheme="majorBidi" w:hAnsiTheme="majorBidi" w:cstheme="majorBidi"/>
                <w:sz w:val="20"/>
                <w:szCs w:val="20"/>
              </w:rPr>
              <w:br/>
              <w:t>(0.087)</w:t>
            </w:r>
          </w:p>
        </w:tc>
        <w:tc>
          <w:tcPr>
            <w:tcW w:w="1234" w:type="dxa"/>
          </w:tcPr>
          <w:p w14:paraId="1AC70DD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0.050</w:t>
            </w:r>
            <w:r w:rsidRPr="006F5F7E">
              <w:rPr>
                <w:rFonts w:asciiTheme="majorBidi" w:hAnsiTheme="majorBidi" w:cstheme="majorBidi"/>
                <w:sz w:val="20"/>
                <w:szCs w:val="20"/>
              </w:rPr>
              <w:br/>
              <w:t>(0.142)</w:t>
            </w:r>
          </w:p>
        </w:tc>
      </w:tr>
      <w:tr w:rsidR="00B7651F" w:rsidRPr="006F5F7E" w14:paraId="4C913B72" w14:textId="77777777">
        <w:tc>
          <w:tcPr>
            <w:tcW w:w="1234" w:type="dxa"/>
          </w:tcPr>
          <w:p w14:paraId="04BD3F7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INST</w:t>
            </w:r>
          </w:p>
        </w:tc>
        <w:tc>
          <w:tcPr>
            <w:tcW w:w="1234" w:type="dxa"/>
          </w:tcPr>
          <w:p w14:paraId="6B38E8A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-0.336 ***</w:t>
            </w:r>
            <w:r w:rsidRPr="006F5F7E">
              <w:rPr>
                <w:rFonts w:asciiTheme="majorBidi" w:hAnsiTheme="majorBidi" w:cstheme="majorBidi"/>
                <w:sz w:val="20"/>
                <w:szCs w:val="20"/>
              </w:rPr>
              <w:br/>
              <w:t>(0.064)</w:t>
            </w:r>
          </w:p>
        </w:tc>
        <w:tc>
          <w:tcPr>
            <w:tcW w:w="1234" w:type="dxa"/>
          </w:tcPr>
          <w:p w14:paraId="014378B7"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-0.348 ***</w:t>
            </w:r>
            <w:r w:rsidRPr="006F5F7E">
              <w:rPr>
                <w:rFonts w:asciiTheme="majorBidi" w:hAnsiTheme="majorBidi" w:cstheme="majorBidi"/>
                <w:sz w:val="20"/>
                <w:szCs w:val="20"/>
              </w:rPr>
              <w:br/>
              <w:t>(0.102)</w:t>
            </w:r>
          </w:p>
        </w:tc>
        <w:tc>
          <w:tcPr>
            <w:tcW w:w="1234" w:type="dxa"/>
          </w:tcPr>
          <w:p w14:paraId="147AB0C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-0.464 ***</w:t>
            </w:r>
            <w:r w:rsidRPr="006F5F7E">
              <w:rPr>
                <w:rFonts w:asciiTheme="majorBidi" w:hAnsiTheme="majorBidi" w:cstheme="majorBidi"/>
                <w:sz w:val="20"/>
                <w:szCs w:val="20"/>
              </w:rPr>
              <w:br/>
              <w:t>(0.169)</w:t>
            </w:r>
          </w:p>
        </w:tc>
        <w:tc>
          <w:tcPr>
            <w:tcW w:w="1234" w:type="dxa"/>
          </w:tcPr>
          <w:p w14:paraId="41DC1018"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-0.155</w:t>
            </w:r>
            <w:r w:rsidRPr="006F5F7E">
              <w:rPr>
                <w:rFonts w:asciiTheme="majorBidi" w:hAnsiTheme="majorBidi" w:cstheme="majorBidi"/>
                <w:sz w:val="20"/>
                <w:szCs w:val="20"/>
              </w:rPr>
              <w:br/>
              <w:t>(0.125)</w:t>
            </w:r>
          </w:p>
        </w:tc>
        <w:tc>
          <w:tcPr>
            <w:tcW w:w="1234" w:type="dxa"/>
          </w:tcPr>
          <w:p w14:paraId="3262333C"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-0.153</w:t>
            </w:r>
            <w:r w:rsidRPr="006F5F7E">
              <w:rPr>
                <w:rFonts w:asciiTheme="majorBidi" w:hAnsiTheme="majorBidi" w:cstheme="majorBidi"/>
                <w:sz w:val="20"/>
                <w:szCs w:val="20"/>
              </w:rPr>
              <w:br/>
              <w:t>(0.108)</w:t>
            </w:r>
          </w:p>
        </w:tc>
        <w:tc>
          <w:tcPr>
            <w:tcW w:w="1234" w:type="dxa"/>
          </w:tcPr>
          <w:p w14:paraId="7C54641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-0.148</w:t>
            </w:r>
            <w:r w:rsidRPr="006F5F7E">
              <w:rPr>
                <w:rFonts w:asciiTheme="majorBidi" w:hAnsiTheme="majorBidi" w:cstheme="majorBidi"/>
                <w:sz w:val="20"/>
                <w:szCs w:val="20"/>
              </w:rPr>
              <w:br/>
              <w:t>(0.178)</w:t>
            </w:r>
          </w:p>
        </w:tc>
      </w:tr>
      <w:tr w:rsidR="00B7651F" w:rsidRPr="006F5F7E" w14:paraId="674BD3B4" w14:textId="77777777">
        <w:tc>
          <w:tcPr>
            <w:tcW w:w="1234" w:type="dxa"/>
          </w:tcPr>
          <w:p w14:paraId="7AA263F2"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FRO</w:t>
            </w:r>
          </w:p>
        </w:tc>
        <w:tc>
          <w:tcPr>
            <w:tcW w:w="1234" w:type="dxa"/>
          </w:tcPr>
          <w:p w14:paraId="42E12B7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1.876 ***</w:t>
            </w:r>
            <w:r w:rsidRPr="006F5F7E">
              <w:rPr>
                <w:rFonts w:asciiTheme="majorBidi" w:hAnsiTheme="majorBidi" w:cstheme="majorBidi"/>
                <w:sz w:val="20"/>
                <w:szCs w:val="20"/>
              </w:rPr>
              <w:br/>
              <w:t>(0.506)</w:t>
            </w:r>
          </w:p>
        </w:tc>
        <w:tc>
          <w:tcPr>
            <w:tcW w:w="1234" w:type="dxa"/>
          </w:tcPr>
          <w:p w14:paraId="534CFAC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1.756 ***</w:t>
            </w:r>
            <w:r w:rsidRPr="006F5F7E">
              <w:rPr>
                <w:rFonts w:asciiTheme="majorBidi" w:hAnsiTheme="majorBidi" w:cstheme="majorBidi"/>
                <w:sz w:val="20"/>
                <w:szCs w:val="20"/>
              </w:rPr>
              <w:br/>
              <w:t>(0.133)</w:t>
            </w:r>
          </w:p>
        </w:tc>
        <w:tc>
          <w:tcPr>
            <w:tcW w:w="1234" w:type="dxa"/>
          </w:tcPr>
          <w:p w14:paraId="4B3C6A0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1.680 *</w:t>
            </w:r>
            <w:r w:rsidRPr="006F5F7E">
              <w:rPr>
                <w:rFonts w:asciiTheme="majorBidi" w:hAnsiTheme="majorBidi" w:cstheme="majorBidi"/>
                <w:sz w:val="20"/>
                <w:szCs w:val="20"/>
              </w:rPr>
              <w:br/>
              <w:t>(0.168)</w:t>
            </w:r>
          </w:p>
        </w:tc>
        <w:tc>
          <w:tcPr>
            <w:tcW w:w="1234" w:type="dxa"/>
          </w:tcPr>
          <w:p w14:paraId="67BC2C9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1.454 ***</w:t>
            </w:r>
            <w:r w:rsidRPr="006F5F7E">
              <w:rPr>
                <w:rFonts w:asciiTheme="majorBidi" w:hAnsiTheme="majorBidi" w:cstheme="majorBidi"/>
                <w:sz w:val="20"/>
                <w:szCs w:val="20"/>
              </w:rPr>
              <w:br/>
              <w:t>(0.226)</w:t>
            </w:r>
          </w:p>
        </w:tc>
        <w:tc>
          <w:tcPr>
            <w:tcW w:w="1234" w:type="dxa"/>
          </w:tcPr>
          <w:p w14:paraId="3907707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1.452 ***</w:t>
            </w:r>
            <w:r w:rsidRPr="006F5F7E">
              <w:rPr>
                <w:rFonts w:asciiTheme="majorBidi" w:hAnsiTheme="majorBidi" w:cstheme="majorBidi"/>
                <w:sz w:val="20"/>
                <w:szCs w:val="20"/>
              </w:rPr>
              <w:br/>
              <w:t>(0.196)</w:t>
            </w:r>
          </w:p>
        </w:tc>
        <w:tc>
          <w:tcPr>
            <w:tcW w:w="1234" w:type="dxa"/>
          </w:tcPr>
          <w:p w14:paraId="6D72C711"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1.444 ***</w:t>
            </w:r>
            <w:r w:rsidRPr="006F5F7E">
              <w:rPr>
                <w:rFonts w:asciiTheme="majorBidi" w:hAnsiTheme="majorBidi" w:cstheme="majorBidi"/>
                <w:sz w:val="20"/>
                <w:szCs w:val="20"/>
              </w:rPr>
              <w:br/>
              <w:t>(0.321)</w:t>
            </w:r>
          </w:p>
        </w:tc>
      </w:tr>
      <w:tr w:rsidR="00B7651F" w:rsidRPr="006F5F7E" w14:paraId="5CCDD812" w14:textId="77777777">
        <w:tc>
          <w:tcPr>
            <w:tcW w:w="1234" w:type="dxa"/>
          </w:tcPr>
          <w:p w14:paraId="63059C6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ROA</w:t>
            </w:r>
          </w:p>
        </w:tc>
        <w:tc>
          <w:tcPr>
            <w:tcW w:w="1234" w:type="dxa"/>
          </w:tcPr>
          <w:p w14:paraId="694DC021"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3.539 ***</w:t>
            </w:r>
            <w:r w:rsidRPr="006F5F7E">
              <w:rPr>
                <w:rFonts w:asciiTheme="majorBidi" w:hAnsiTheme="majorBidi" w:cstheme="majorBidi"/>
                <w:sz w:val="20"/>
                <w:szCs w:val="20"/>
              </w:rPr>
              <w:br/>
              <w:t>(1.153)</w:t>
            </w:r>
          </w:p>
        </w:tc>
        <w:tc>
          <w:tcPr>
            <w:tcW w:w="1234" w:type="dxa"/>
          </w:tcPr>
          <w:p w14:paraId="66D0B257"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3.721 *</w:t>
            </w:r>
            <w:r w:rsidRPr="006F5F7E">
              <w:rPr>
                <w:rFonts w:asciiTheme="majorBidi" w:hAnsiTheme="majorBidi" w:cstheme="majorBidi"/>
                <w:sz w:val="20"/>
                <w:szCs w:val="20"/>
              </w:rPr>
              <w:br/>
              <w:t>(2.239)</w:t>
            </w:r>
          </w:p>
        </w:tc>
        <w:tc>
          <w:tcPr>
            <w:tcW w:w="1234" w:type="dxa"/>
          </w:tcPr>
          <w:p w14:paraId="6F56933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4.264 *</w:t>
            </w:r>
            <w:r w:rsidRPr="006F5F7E">
              <w:rPr>
                <w:rFonts w:asciiTheme="majorBidi" w:hAnsiTheme="majorBidi" w:cstheme="majorBidi"/>
                <w:sz w:val="20"/>
                <w:szCs w:val="20"/>
              </w:rPr>
              <w:br/>
              <w:t>(2.523)</w:t>
            </w:r>
          </w:p>
        </w:tc>
        <w:tc>
          <w:tcPr>
            <w:tcW w:w="1234" w:type="dxa"/>
          </w:tcPr>
          <w:p w14:paraId="675A762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-1.513</w:t>
            </w:r>
            <w:r w:rsidRPr="006F5F7E">
              <w:rPr>
                <w:rFonts w:asciiTheme="majorBidi" w:hAnsiTheme="majorBidi" w:cstheme="majorBidi"/>
                <w:sz w:val="20"/>
                <w:szCs w:val="20"/>
              </w:rPr>
              <w:br/>
              <w:t>(2.070)</w:t>
            </w:r>
          </w:p>
        </w:tc>
        <w:tc>
          <w:tcPr>
            <w:tcW w:w="1234" w:type="dxa"/>
          </w:tcPr>
          <w:p w14:paraId="14729F0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-2.024</w:t>
            </w:r>
            <w:r w:rsidRPr="006F5F7E">
              <w:rPr>
                <w:rFonts w:asciiTheme="majorBidi" w:hAnsiTheme="majorBidi" w:cstheme="majorBidi"/>
                <w:sz w:val="20"/>
                <w:szCs w:val="20"/>
              </w:rPr>
              <w:br/>
              <w:t>(1.799)</w:t>
            </w:r>
          </w:p>
        </w:tc>
        <w:tc>
          <w:tcPr>
            <w:tcW w:w="1234" w:type="dxa"/>
          </w:tcPr>
          <w:p w14:paraId="0C4C0E5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-3.407</w:t>
            </w:r>
            <w:r w:rsidRPr="006F5F7E">
              <w:rPr>
                <w:rFonts w:asciiTheme="majorBidi" w:hAnsiTheme="majorBidi" w:cstheme="majorBidi"/>
                <w:sz w:val="20"/>
                <w:szCs w:val="20"/>
              </w:rPr>
              <w:br/>
              <w:t>(2.948)</w:t>
            </w:r>
          </w:p>
        </w:tc>
      </w:tr>
      <w:tr w:rsidR="00B7651F" w:rsidRPr="006F5F7E" w14:paraId="6BDD1DE7" w14:textId="77777777">
        <w:tc>
          <w:tcPr>
            <w:tcW w:w="1234" w:type="dxa"/>
          </w:tcPr>
          <w:p w14:paraId="5FE70F8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MGO_ROA</w:t>
            </w:r>
          </w:p>
        </w:tc>
        <w:tc>
          <w:tcPr>
            <w:tcW w:w="1234" w:type="dxa"/>
          </w:tcPr>
          <w:p w14:paraId="3E4C1BA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-0.101 ***</w:t>
            </w:r>
            <w:r w:rsidRPr="006F5F7E">
              <w:rPr>
                <w:rFonts w:asciiTheme="majorBidi" w:hAnsiTheme="majorBidi" w:cstheme="majorBidi"/>
                <w:sz w:val="20"/>
                <w:szCs w:val="20"/>
              </w:rPr>
              <w:br/>
              <w:t>(0.024)</w:t>
            </w:r>
          </w:p>
        </w:tc>
        <w:tc>
          <w:tcPr>
            <w:tcW w:w="1234" w:type="dxa"/>
          </w:tcPr>
          <w:p w14:paraId="08CD3BB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-0.071</w:t>
            </w:r>
            <w:r w:rsidRPr="006F5F7E">
              <w:rPr>
                <w:rFonts w:asciiTheme="majorBidi" w:hAnsiTheme="majorBidi" w:cstheme="majorBidi"/>
                <w:sz w:val="20"/>
                <w:szCs w:val="20"/>
              </w:rPr>
              <w:br/>
              <w:t>(0.091)</w:t>
            </w:r>
          </w:p>
        </w:tc>
        <w:tc>
          <w:tcPr>
            <w:tcW w:w="1234" w:type="dxa"/>
          </w:tcPr>
          <w:p w14:paraId="4479C7B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-0.099</w:t>
            </w:r>
            <w:r w:rsidRPr="006F5F7E">
              <w:rPr>
                <w:rFonts w:asciiTheme="majorBidi" w:hAnsiTheme="majorBidi" w:cstheme="majorBidi"/>
                <w:sz w:val="20"/>
                <w:szCs w:val="20"/>
              </w:rPr>
              <w:br/>
              <w:t>(0.083)</w:t>
            </w:r>
          </w:p>
        </w:tc>
        <w:tc>
          <w:tcPr>
            <w:tcW w:w="1234" w:type="dxa"/>
          </w:tcPr>
          <w:p w14:paraId="0EEF42D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-0.011</w:t>
            </w:r>
            <w:r w:rsidRPr="006F5F7E">
              <w:rPr>
                <w:rFonts w:asciiTheme="majorBidi" w:hAnsiTheme="majorBidi" w:cstheme="majorBidi"/>
                <w:sz w:val="20"/>
                <w:szCs w:val="20"/>
              </w:rPr>
              <w:br/>
              <w:t>(0.035)</w:t>
            </w:r>
          </w:p>
        </w:tc>
        <w:tc>
          <w:tcPr>
            <w:tcW w:w="1234" w:type="dxa"/>
          </w:tcPr>
          <w:p w14:paraId="0BE52FDE"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-0.006</w:t>
            </w:r>
            <w:r w:rsidRPr="006F5F7E">
              <w:rPr>
                <w:rFonts w:asciiTheme="majorBidi" w:hAnsiTheme="majorBidi" w:cstheme="majorBidi"/>
                <w:sz w:val="20"/>
                <w:szCs w:val="20"/>
              </w:rPr>
              <w:br/>
              <w:t>(0.030)</w:t>
            </w:r>
          </w:p>
        </w:tc>
        <w:tc>
          <w:tcPr>
            <w:tcW w:w="1234" w:type="dxa"/>
          </w:tcPr>
          <w:p w14:paraId="726A1CBB"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0.008</w:t>
            </w:r>
            <w:r w:rsidRPr="006F5F7E">
              <w:rPr>
                <w:rFonts w:asciiTheme="majorBidi" w:hAnsiTheme="majorBidi" w:cstheme="majorBidi"/>
                <w:sz w:val="20"/>
                <w:szCs w:val="20"/>
              </w:rPr>
              <w:br/>
              <w:t>(0.050)</w:t>
            </w:r>
          </w:p>
        </w:tc>
      </w:tr>
      <w:tr w:rsidR="00B7651F" w:rsidRPr="006F5F7E" w14:paraId="25C9E41A" w14:textId="77777777">
        <w:tc>
          <w:tcPr>
            <w:tcW w:w="1234" w:type="dxa"/>
          </w:tcPr>
          <w:p w14:paraId="1CD11D62"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FRO_ROA</w:t>
            </w:r>
          </w:p>
        </w:tc>
        <w:tc>
          <w:tcPr>
            <w:tcW w:w="1234" w:type="dxa"/>
          </w:tcPr>
          <w:p w14:paraId="1D60F2D3"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-0.486 ***</w:t>
            </w:r>
            <w:r w:rsidRPr="006F5F7E">
              <w:rPr>
                <w:rFonts w:asciiTheme="majorBidi" w:hAnsiTheme="majorBidi" w:cstheme="majorBidi"/>
                <w:sz w:val="20"/>
                <w:szCs w:val="20"/>
              </w:rPr>
              <w:br/>
              <w:t>(0.148)</w:t>
            </w:r>
          </w:p>
        </w:tc>
        <w:tc>
          <w:tcPr>
            <w:tcW w:w="1234" w:type="dxa"/>
          </w:tcPr>
          <w:p w14:paraId="2B50414D"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-0.423 ***</w:t>
            </w:r>
            <w:r w:rsidRPr="006F5F7E">
              <w:rPr>
                <w:rFonts w:asciiTheme="majorBidi" w:hAnsiTheme="majorBidi" w:cstheme="majorBidi"/>
                <w:sz w:val="20"/>
                <w:szCs w:val="20"/>
              </w:rPr>
              <w:br/>
              <w:t>(0.070)</w:t>
            </w:r>
          </w:p>
        </w:tc>
        <w:tc>
          <w:tcPr>
            <w:tcW w:w="1234" w:type="dxa"/>
          </w:tcPr>
          <w:p w14:paraId="40E5E6BD"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-0.453 **</w:t>
            </w:r>
            <w:r w:rsidRPr="006F5F7E">
              <w:rPr>
                <w:rFonts w:asciiTheme="majorBidi" w:hAnsiTheme="majorBidi" w:cstheme="majorBidi"/>
                <w:sz w:val="20"/>
                <w:szCs w:val="20"/>
              </w:rPr>
              <w:br/>
              <w:t>(0.142)</w:t>
            </w:r>
          </w:p>
        </w:tc>
        <w:tc>
          <w:tcPr>
            <w:tcW w:w="1234" w:type="dxa"/>
          </w:tcPr>
          <w:p w14:paraId="4ED1AA3D"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-0.420 ***</w:t>
            </w:r>
            <w:r w:rsidRPr="006F5F7E">
              <w:rPr>
                <w:rFonts w:asciiTheme="majorBidi" w:hAnsiTheme="majorBidi" w:cstheme="majorBidi"/>
                <w:sz w:val="20"/>
                <w:szCs w:val="20"/>
              </w:rPr>
              <w:br/>
              <w:t>(0.081)</w:t>
            </w:r>
          </w:p>
        </w:tc>
        <w:tc>
          <w:tcPr>
            <w:tcW w:w="1234" w:type="dxa"/>
          </w:tcPr>
          <w:p w14:paraId="5C7CCE3C"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-0.408 ***</w:t>
            </w:r>
            <w:r w:rsidRPr="006F5F7E">
              <w:rPr>
                <w:rFonts w:asciiTheme="majorBidi" w:hAnsiTheme="majorBidi" w:cstheme="majorBidi"/>
                <w:sz w:val="20"/>
                <w:szCs w:val="20"/>
              </w:rPr>
              <w:br/>
              <w:t>(0.070)</w:t>
            </w:r>
          </w:p>
        </w:tc>
        <w:tc>
          <w:tcPr>
            <w:tcW w:w="1234" w:type="dxa"/>
          </w:tcPr>
          <w:p w14:paraId="3B00B91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-0.376 ***</w:t>
            </w:r>
            <w:r w:rsidRPr="006F5F7E">
              <w:rPr>
                <w:rFonts w:asciiTheme="majorBidi" w:hAnsiTheme="majorBidi" w:cstheme="majorBidi"/>
                <w:sz w:val="20"/>
                <w:szCs w:val="20"/>
              </w:rPr>
              <w:br/>
              <w:t>(0.116)</w:t>
            </w:r>
          </w:p>
        </w:tc>
      </w:tr>
      <w:tr w:rsidR="00B7651F" w:rsidRPr="006F5F7E" w14:paraId="4E2A1A01" w14:textId="77777777">
        <w:tc>
          <w:tcPr>
            <w:tcW w:w="1234" w:type="dxa"/>
          </w:tcPr>
          <w:p w14:paraId="4D40822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INST_ROA</w:t>
            </w:r>
          </w:p>
        </w:tc>
        <w:tc>
          <w:tcPr>
            <w:tcW w:w="1234" w:type="dxa"/>
          </w:tcPr>
          <w:p w14:paraId="3ECCE6C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6.124 *</w:t>
            </w:r>
            <w:r w:rsidRPr="006F5F7E">
              <w:rPr>
                <w:rFonts w:asciiTheme="majorBidi" w:hAnsiTheme="majorBidi" w:cstheme="majorBidi"/>
                <w:sz w:val="20"/>
                <w:szCs w:val="20"/>
              </w:rPr>
              <w:br/>
              <w:t>(3.408)</w:t>
            </w:r>
          </w:p>
        </w:tc>
        <w:tc>
          <w:tcPr>
            <w:tcW w:w="1234" w:type="dxa"/>
          </w:tcPr>
          <w:p w14:paraId="55BF5D3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2.559</w:t>
            </w:r>
            <w:r w:rsidRPr="006F5F7E">
              <w:rPr>
                <w:rFonts w:asciiTheme="majorBidi" w:hAnsiTheme="majorBidi" w:cstheme="majorBidi"/>
                <w:sz w:val="20"/>
                <w:szCs w:val="20"/>
              </w:rPr>
              <w:br/>
              <w:t>(4.504)</w:t>
            </w:r>
          </w:p>
        </w:tc>
        <w:tc>
          <w:tcPr>
            <w:tcW w:w="1234" w:type="dxa"/>
          </w:tcPr>
          <w:p w14:paraId="29686598"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6.956</w:t>
            </w:r>
            <w:r w:rsidRPr="006F5F7E">
              <w:rPr>
                <w:rFonts w:asciiTheme="majorBidi" w:hAnsiTheme="majorBidi" w:cstheme="majorBidi"/>
                <w:sz w:val="20"/>
                <w:szCs w:val="20"/>
              </w:rPr>
              <w:br/>
              <w:t>(8.029)</w:t>
            </w:r>
          </w:p>
        </w:tc>
        <w:tc>
          <w:tcPr>
            <w:tcW w:w="1234" w:type="dxa"/>
          </w:tcPr>
          <w:p w14:paraId="250E44CC"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5.066</w:t>
            </w:r>
            <w:r w:rsidRPr="006F5F7E">
              <w:rPr>
                <w:rFonts w:asciiTheme="majorBidi" w:hAnsiTheme="majorBidi" w:cstheme="majorBidi"/>
                <w:sz w:val="20"/>
                <w:szCs w:val="20"/>
              </w:rPr>
              <w:br/>
              <w:t>(3.460)</w:t>
            </w:r>
          </w:p>
        </w:tc>
        <w:tc>
          <w:tcPr>
            <w:tcW w:w="1234" w:type="dxa"/>
          </w:tcPr>
          <w:p w14:paraId="2F721203"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5.020 *</w:t>
            </w:r>
            <w:r w:rsidRPr="006F5F7E">
              <w:rPr>
                <w:rFonts w:asciiTheme="majorBidi" w:hAnsiTheme="majorBidi" w:cstheme="majorBidi"/>
                <w:sz w:val="20"/>
                <w:szCs w:val="20"/>
              </w:rPr>
              <w:br/>
              <w:t>(2.989)</w:t>
            </w:r>
          </w:p>
        </w:tc>
        <w:tc>
          <w:tcPr>
            <w:tcW w:w="1234" w:type="dxa"/>
          </w:tcPr>
          <w:p w14:paraId="4629D701"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4.896</w:t>
            </w:r>
            <w:r w:rsidRPr="006F5F7E">
              <w:rPr>
                <w:rFonts w:asciiTheme="majorBidi" w:hAnsiTheme="majorBidi" w:cstheme="majorBidi"/>
                <w:sz w:val="20"/>
                <w:szCs w:val="20"/>
              </w:rPr>
              <w:br/>
              <w:t>(4.905)</w:t>
            </w:r>
          </w:p>
        </w:tc>
      </w:tr>
      <w:tr w:rsidR="00B7651F" w:rsidRPr="006F5F7E" w14:paraId="58BF635C" w14:textId="77777777">
        <w:tc>
          <w:tcPr>
            <w:tcW w:w="1234" w:type="dxa"/>
          </w:tcPr>
          <w:p w14:paraId="40346DA2"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Fsize</w:t>
            </w:r>
          </w:p>
        </w:tc>
        <w:tc>
          <w:tcPr>
            <w:tcW w:w="1234" w:type="dxa"/>
          </w:tcPr>
          <w:p w14:paraId="365EAE7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5.507 ***</w:t>
            </w:r>
            <w:r w:rsidRPr="006F5F7E">
              <w:rPr>
                <w:rFonts w:asciiTheme="majorBidi" w:hAnsiTheme="majorBidi" w:cstheme="majorBidi"/>
                <w:sz w:val="20"/>
                <w:szCs w:val="20"/>
              </w:rPr>
              <w:br/>
              <w:t>(1.016)</w:t>
            </w:r>
          </w:p>
        </w:tc>
        <w:tc>
          <w:tcPr>
            <w:tcW w:w="1234" w:type="dxa"/>
          </w:tcPr>
          <w:p w14:paraId="6957605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8.467 ***</w:t>
            </w:r>
            <w:r w:rsidRPr="006F5F7E">
              <w:rPr>
                <w:rFonts w:asciiTheme="majorBidi" w:hAnsiTheme="majorBidi" w:cstheme="majorBidi"/>
                <w:sz w:val="20"/>
                <w:szCs w:val="20"/>
              </w:rPr>
              <w:br/>
              <w:t>(2.937)</w:t>
            </w:r>
          </w:p>
        </w:tc>
        <w:tc>
          <w:tcPr>
            <w:tcW w:w="1234" w:type="dxa"/>
          </w:tcPr>
          <w:p w14:paraId="5818FA3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3.840</w:t>
            </w:r>
            <w:r w:rsidRPr="006F5F7E">
              <w:rPr>
                <w:rFonts w:asciiTheme="majorBidi" w:hAnsiTheme="majorBidi" w:cstheme="majorBidi"/>
                <w:sz w:val="20"/>
                <w:szCs w:val="20"/>
              </w:rPr>
              <w:br/>
              <w:t>(3.613)</w:t>
            </w:r>
          </w:p>
        </w:tc>
        <w:tc>
          <w:tcPr>
            <w:tcW w:w="1234" w:type="dxa"/>
          </w:tcPr>
          <w:p w14:paraId="514525A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4.237</w:t>
            </w:r>
            <w:r w:rsidRPr="006F5F7E">
              <w:rPr>
                <w:rFonts w:asciiTheme="majorBidi" w:hAnsiTheme="majorBidi" w:cstheme="majorBidi"/>
                <w:sz w:val="20"/>
                <w:szCs w:val="20"/>
              </w:rPr>
              <w:br/>
              <w:t>(3.021)</w:t>
            </w:r>
          </w:p>
        </w:tc>
        <w:tc>
          <w:tcPr>
            <w:tcW w:w="1234" w:type="dxa"/>
          </w:tcPr>
          <w:p w14:paraId="64C1EDDA"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2.844</w:t>
            </w:r>
            <w:r w:rsidRPr="006F5F7E">
              <w:rPr>
                <w:rFonts w:asciiTheme="majorBidi" w:hAnsiTheme="majorBidi" w:cstheme="majorBidi"/>
                <w:sz w:val="20"/>
                <w:szCs w:val="20"/>
              </w:rPr>
              <w:br/>
              <w:t>(2.653)</w:t>
            </w:r>
          </w:p>
        </w:tc>
        <w:tc>
          <w:tcPr>
            <w:tcW w:w="1234" w:type="dxa"/>
          </w:tcPr>
          <w:p w14:paraId="7ECEA5E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-0.922</w:t>
            </w:r>
            <w:r w:rsidRPr="006F5F7E">
              <w:rPr>
                <w:rFonts w:asciiTheme="majorBidi" w:hAnsiTheme="majorBidi" w:cstheme="majorBidi"/>
                <w:sz w:val="20"/>
                <w:szCs w:val="20"/>
              </w:rPr>
              <w:br/>
              <w:t>(4.336)</w:t>
            </w:r>
          </w:p>
        </w:tc>
      </w:tr>
      <w:tr w:rsidR="00B7651F" w:rsidRPr="006F5F7E" w14:paraId="193061EA" w14:textId="77777777">
        <w:tc>
          <w:tcPr>
            <w:tcW w:w="1234" w:type="dxa"/>
          </w:tcPr>
          <w:p w14:paraId="4153B589"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GROWTH</w:t>
            </w:r>
          </w:p>
        </w:tc>
        <w:tc>
          <w:tcPr>
            <w:tcW w:w="1234" w:type="dxa"/>
          </w:tcPr>
          <w:p w14:paraId="43681EF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-0.008</w:t>
            </w:r>
            <w:r w:rsidRPr="006F5F7E">
              <w:rPr>
                <w:rFonts w:asciiTheme="majorBidi" w:hAnsiTheme="majorBidi" w:cstheme="majorBidi"/>
                <w:sz w:val="20"/>
                <w:szCs w:val="20"/>
              </w:rPr>
              <w:br/>
              <w:t>(0.031)</w:t>
            </w:r>
          </w:p>
        </w:tc>
        <w:tc>
          <w:tcPr>
            <w:tcW w:w="1234" w:type="dxa"/>
          </w:tcPr>
          <w:p w14:paraId="0C77B2AF"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-0.037</w:t>
            </w:r>
            <w:r w:rsidRPr="006F5F7E">
              <w:rPr>
                <w:rFonts w:asciiTheme="majorBidi" w:hAnsiTheme="majorBidi" w:cstheme="majorBidi"/>
                <w:sz w:val="20"/>
                <w:szCs w:val="20"/>
              </w:rPr>
              <w:br/>
              <w:t>(0.092)</w:t>
            </w:r>
          </w:p>
        </w:tc>
        <w:tc>
          <w:tcPr>
            <w:tcW w:w="1234" w:type="dxa"/>
          </w:tcPr>
          <w:p w14:paraId="670EA0B7"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-0.145</w:t>
            </w:r>
            <w:r w:rsidRPr="006F5F7E">
              <w:rPr>
                <w:rFonts w:asciiTheme="majorBidi" w:hAnsiTheme="majorBidi" w:cstheme="majorBidi"/>
                <w:sz w:val="20"/>
                <w:szCs w:val="20"/>
              </w:rPr>
              <w:br/>
              <w:t>(0.101)</w:t>
            </w:r>
          </w:p>
        </w:tc>
        <w:tc>
          <w:tcPr>
            <w:tcW w:w="1234" w:type="dxa"/>
          </w:tcPr>
          <w:p w14:paraId="37386EB6"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-0.019</w:t>
            </w:r>
            <w:r w:rsidRPr="006F5F7E">
              <w:rPr>
                <w:rFonts w:asciiTheme="majorBidi" w:hAnsiTheme="majorBidi" w:cstheme="majorBidi"/>
                <w:sz w:val="20"/>
                <w:szCs w:val="20"/>
              </w:rPr>
              <w:br/>
              <w:t>(0.051)</w:t>
            </w:r>
          </w:p>
        </w:tc>
        <w:tc>
          <w:tcPr>
            <w:tcW w:w="1234" w:type="dxa"/>
          </w:tcPr>
          <w:p w14:paraId="0AFC1AFB"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-0.033</w:t>
            </w:r>
            <w:r w:rsidRPr="006F5F7E">
              <w:rPr>
                <w:rFonts w:asciiTheme="majorBidi" w:hAnsiTheme="majorBidi" w:cstheme="majorBidi"/>
                <w:sz w:val="20"/>
                <w:szCs w:val="20"/>
              </w:rPr>
              <w:br/>
              <w:t>(0.044)</w:t>
            </w:r>
          </w:p>
        </w:tc>
        <w:tc>
          <w:tcPr>
            <w:tcW w:w="1234" w:type="dxa"/>
          </w:tcPr>
          <w:p w14:paraId="04A3C10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-0.070</w:t>
            </w:r>
            <w:r w:rsidRPr="006F5F7E">
              <w:rPr>
                <w:rFonts w:asciiTheme="majorBidi" w:hAnsiTheme="majorBidi" w:cstheme="majorBidi"/>
                <w:sz w:val="20"/>
                <w:szCs w:val="20"/>
              </w:rPr>
              <w:br/>
              <w:t>(0.072)</w:t>
            </w:r>
          </w:p>
        </w:tc>
      </w:tr>
      <w:tr w:rsidR="00B7651F" w:rsidRPr="006F5F7E" w14:paraId="09C257B4" w14:textId="77777777">
        <w:tc>
          <w:tcPr>
            <w:tcW w:w="1234" w:type="dxa"/>
          </w:tcPr>
          <w:p w14:paraId="70290EF8"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Intercept</w:t>
            </w:r>
          </w:p>
        </w:tc>
        <w:tc>
          <w:tcPr>
            <w:tcW w:w="1234" w:type="dxa"/>
          </w:tcPr>
          <w:p w14:paraId="72302C70"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-80.715 ***</w:t>
            </w:r>
            <w:r w:rsidRPr="006F5F7E">
              <w:rPr>
                <w:rFonts w:asciiTheme="majorBidi" w:hAnsiTheme="majorBidi" w:cstheme="majorBidi"/>
                <w:sz w:val="20"/>
                <w:szCs w:val="20"/>
              </w:rPr>
              <w:br/>
              <w:t>(17.459)</w:t>
            </w:r>
          </w:p>
        </w:tc>
        <w:tc>
          <w:tcPr>
            <w:tcW w:w="1234" w:type="dxa"/>
          </w:tcPr>
          <w:p w14:paraId="3D25B7B4"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-125.749 **</w:t>
            </w:r>
            <w:r w:rsidRPr="006F5F7E">
              <w:rPr>
                <w:rFonts w:asciiTheme="majorBidi" w:hAnsiTheme="majorBidi" w:cstheme="majorBidi"/>
                <w:sz w:val="20"/>
                <w:szCs w:val="20"/>
              </w:rPr>
              <w:br/>
              <w:t>(52.360)</w:t>
            </w:r>
          </w:p>
        </w:tc>
        <w:tc>
          <w:tcPr>
            <w:tcW w:w="1234" w:type="dxa"/>
          </w:tcPr>
          <w:p w14:paraId="6B054755" w14:textId="77777777" w:rsidR="00B7651F" w:rsidRPr="006F5F7E" w:rsidRDefault="00B7651F">
            <w:pPr>
              <w:rPr>
                <w:rFonts w:asciiTheme="majorBidi" w:hAnsiTheme="majorBidi" w:cstheme="majorBidi"/>
                <w:sz w:val="20"/>
                <w:szCs w:val="20"/>
              </w:rPr>
            </w:pPr>
            <w:r w:rsidRPr="006F5F7E">
              <w:rPr>
                <w:rFonts w:asciiTheme="majorBidi" w:hAnsiTheme="majorBidi" w:cstheme="majorBidi"/>
                <w:sz w:val="20"/>
                <w:szCs w:val="20"/>
              </w:rPr>
              <w:t>-32.152</w:t>
            </w:r>
            <w:r w:rsidRPr="006F5F7E">
              <w:rPr>
                <w:rFonts w:asciiTheme="majorBidi" w:hAnsiTheme="majorBidi" w:cstheme="majorBidi"/>
                <w:sz w:val="20"/>
                <w:szCs w:val="20"/>
              </w:rPr>
              <w:br/>
              <w:t>(68.164)</w:t>
            </w:r>
          </w:p>
        </w:tc>
        <w:tc>
          <w:tcPr>
            <w:tcW w:w="1234" w:type="dxa"/>
          </w:tcPr>
          <w:p w14:paraId="448E8B01" w14:textId="77777777" w:rsidR="00B7651F" w:rsidRPr="006F5F7E" w:rsidRDefault="00B7651F">
            <w:pPr>
              <w:rPr>
                <w:rFonts w:asciiTheme="majorBidi" w:hAnsiTheme="majorBidi" w:cstheme="majorBidi"/>
                <w:sz w:val="20"/>
                <w:szCs w:val="20"/>
              </w:rPr>
            </w:pPr>
          </w:p>
        </w:tc>
        <w:tc>
          <w:tcPr>
            <w:tcW w:w="1234" w:type="dxa"/>
          </w:tcPr>
          <w:p w14:paraId="2B777A69" w14:textId="77777777" w:rsidR="00B7651F" w:rsidRPr="006F5F7E" w:rsidRDefault="00B7651F">
            <w:pPr>
              <w:rPr>
                <w:rFonts w:asciiTheme="majorBidi" w:hAnsiTheme="majorBidi" w:cstheme="majorBidi"/>
                <w:sz w:val="20"/>
                <w:szCs w:val="20"/>
              </w:rPr>
            </w:pPr>
          </w:p>
        </w:tc>
        <w:tc>
          <w:tcPr>
            <w:tcW w:w="1234" w:type="dxa"/>
          </w:tcPr>
          <w:p w14:paraId="219FC7D7" w14:textId="77777777" w:rsidR="00B7651F" w:rsidRPr="006F5F7E" w:rsidRDefault="00B7651F">
            <w:pPr>
              <w:rPr>
                <w:rFonts w:asciiTheme="majorBidi" w:hAnsiTheme="majorBidi" w:cstheme="majorBidi"/>
                <w:sz w:val="20"/>
                <w:szCs w:val="20"/>
              </w:rPr>
            </w:pPr>
          </w:p>
        </w:tc>
      </w:tr>
    </w:tbl>
    <w:p w14:paraId="7FAB4AA3" w14:textId="77777777" w:rsidR="00B7651F" w:rsidRPr="006F5F7E" w:rsidRDefault="00B7651F" w:rsidP="00B7651F">
      <w:pPr>
        <w:rPr>
          <w:rFonts w:asciiTheme="majorBidi" w:hAnsiTheme="majorBidi" w:cstheme="majorBidi"/>
          <w:sz w:val="20"/>
          <w:szCs w:val="20"/>
        </w:rPr>
      </w:pPr>
      <w:r w:rsidRPr="006F5F7E">
        <w:rPr>
          <w:rFonts w:asciiTheme="majorBidi" w:hAnsiTheme="majorBidi" w:cstheme="majorBidi"/>
          <w:sz w:val="20"/>
          <w:szCs w:val="20"/>
        </w:rPr>
        <w:t xml:space="preserve">Note: Standard errors are in parentheses. </w:t>
      </w:r>
      <w:proofErr w:type="gramStart"/>
      <w:r w:rsidRPr="006F5F7E">
        <w:rPr>
          <w:rFonts w:asciiTheme="majorBidi" w:hAnsiTheme="majorBidi" w:cstheme="majorBidi"/>
          <w:sz w:val="20"/>
          <w:szCs w:val="20"/>
        </w:rPr>
        <w:t>*** p&lt;0.01, ** p&lt;0.05, * p&lt;0.1.</w:t>
      </w:r>
      <w:commentRangeEnd w:id="38"/>
      <w:proofErr w:type="gramEnd"/>
      <w:r w:rsidR="00B51698">
        <w:rPr>
          <w:rStyle w:val="CommentReference"/>
        </w:rPr>
        <w:commentReference w:id="38"/>
      </w:r>
    </w:p>
    <w:p w14:paraId="1C749748" w14:textId="77777777" w:rsidR="00B7651F" w:rsidRPr="006F5F7E" w:rsidRDefault="00B7651F" w:rsidP="001B1920">
      <w:pPr>
        <w:spacing w:line="240" w:lineRule="auto"/>
        <w:contextualSpacing/>
        <w:rPr>
          <w:rFonts w:asciiTheme="majorBidi" w:hAnsiTheme="majorBidi" w:cstheme="majorBidi"/>
          <w:sz w:val="20"/>
          <w:szCs w:val="20"/>
        </w:rPr>
      </w:pPr>
    </w:p>
    <w:p w14:paraId="0D4EDCE1" w14:textId="77A5E129" w:rsidR="00C231B8" w:rsidRPr="006F5F7E" w:rsidRDefault="00C231B8" w:rsidP="00F17A05">
      <w:pPr>
        <w:pStyle w:val="Heading3"/>
        <w:rPr>
          <w:rFonts w:asciiTheme="majorBidi" w:hAnsiTheme="majorBidi" w:cstheme="majorBidi"/>
          <w:b/>
          <w:bCs/>
          <w:color w:val="auto"/>
          <w:sz w:val="24"/>
          <w:szCs w:val="24"/>
        </w:rPr>
      </w:pPr>
      <w:r w:rsidRPr="006F5F7E">
        <w:rPr>
          <w:rFonts w:asciiTheme="majorBidi" w:hAnsiTheme="majorBidi" w:cstheme="majorBidi"/>
          <w:b/>
          <w:bCs/>
          <w:color w:val="auto"/>
          <w:sz w:val="24"/>
          <w:szCs w:val="24"/>
        </w:rPr>
        <w:t xml:space="preserve">4.4.1 </w:t>
      </w:r>
      <w:proofErr w:type="gramStart"/>
      <w:r w:rsidR="00DC000A" w:rsidRPr="006F5F7E">
        <w:rPr>
          <w:rFonts w:asciiTheme="majorBidi" w:hAnsiTheme="majorBidi" w:cstheme="majorBidi"/>
          <w:b/>
          <w:bCs/>
          <w:color w:val="auto"/>
          <w:sz w:val="24"/>
          <w:szCs w:val="24"/>
        </w:rPr>
        <w:t>Owner</w:t>
      </w:r>
      <w:r w:rsidR="00201E1E" w:rsidRPr="006F5F7E">
        <w:rPr>
          <w:rFonts w:asciiTheme="majorBidi" w:hAnsiTheme="majorBidi" w:cstheme="majorBidi"/>
          <w:b/>
          <w:bCs/>
          <w:color w:val="auto"/>
          <w:sz w:val="24"/>
          <w:szCs w:val="24"/>
        </w:rPr>
        <w:t>ship  Structure</w:t>
      </w:r>
      <w:proofErr w:type="gramEnd"/>
      <w:r w:rsidR="00201E1E" w:rsidRPr="006F5F7E">
        <w:rPr>
          <w:rFonts w:asciiTheme="majorBidi" w:hAnsiTheme="majorBidi" w:cstheme="majorBidi"/>
          <w:b/>
          <w:bCs/>
          <w:color w:val="auto"/>
          <w:sz w:val="24"/>
          <w:szCs w:val="24"/>
        </w:rPr>
        <w:t xml:space="preserve"> </w:t>
      </w:r>
      <w:r w:rsidRPr="006F5F7E">
        <w:rPr>
          <w:rFonts w:asciiTheme="majorBidi" w:hAnsiTheme="majorBidi" w:cstheme="majorBidi"/>
          <w:b/>
          <w:bCs/>
          <w:color w:val="auto"/>
          <w:sz w:val="24"/>
          <w:szCs w:val="24"/>
        </w:rPr>
        <w:t xml:space="preserve"> and Dividend Payouts</w:t>
      </w:r>
    </w:p>
    <w:p w14:paraId="3D5A147E" w14:textId="77777777" w:rsidR="00BB7C2D" w:rsidRPr="006F5F7E" w:rsidRDefault="00882E2B" w:rsidP="00882E2B">
      <w:pPr>
        <w:spacing w:line="360" w:lineRule="auto"/>
        <w:contextualSpacing/>
        <w:jc w:val="both"/>
        <w:rPr>
          <w:rFonts w:asciiTheme="majorBidi" w:hAnsiTheme="majorBidi" w:cstheme="majorBidi"/>
          <w:sz w:val="20"/>
          <w:szCs w:val="20"/>
        </w:rPr>
      </w:pPr>
      <w:commentRangeStart w:id="39"/>
      <w:r w:rsidRPr="006F5F7E">
        <w:rPr>
          <w:rFonts w:asciiTheme="majorBidi" w:hAnsiTheme="majorBidi" w:cstheme="majorBidi"/>
          <w:sz w:val="20"/>
          <w:szCs w:val="20"/>
        </w:rPr>
        <w:t xml:space="preserve">The analysis of ownership structure and dividend payout reveals nuanced relationships across quantiles and model specifications. Managerial ownership (MGO), contrary to Hypothesis 1 which anticipated an inverse relationship, exhibited a consistently positive influence on dividend payout ratios across all quantiles. Though statistically insignificant in the cross-sectional model (Model 1), the fixed effects model (Model 2) revealed significance at the 25th and 50th quantiles, suggesting that MGO may align managerial incentives with shareholder interests particularly among low and median dividend-paying banks. Institutional ownership (INST), expected under Hypothesis 2 to exert a positive influence, showed significant negative effects in Model 1 across all quantiles, but this association became statistically insignificant in Model 2. This indicates that the adverse effect may be attributed to between-firm variation rather than within-firm dynamics. </w:t>
      </w:r>
    </w:p>
    <w:p w14:paraId="7771EA8D" w14:textId="7827470E" w:rsidR="004E64B0" w:rsidRPr="006F5F7E" w:rsidRDefault="00882E2B" w:rsidP="00882E2B">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In contrast, foreign ownership (FRO) strongly supported Hypothesis 3 by exhibiting consistently positive and significant coefficients across all quantiles and models, reinforcing the role of foreign investors as advocates of regular dividends in markets characterised by weak governance. Regarding profitability (ROA), its effect was positive and significant in Model 1, aligning with signalling and free cash flow theories, but turned negative and insignificant in Model 2, suggesting the presence of unobserved heterogeneity. The moderating role of ROA (Hypothesis 5) yielded mixed results. The interaction between ROA and MGO showed a significant negative effect at the 25th quantile in Model 1, implying that profitability may reduce the incremental effect of MGO on </w:t>
      </w:r>
      <w:r w:rsidRPr="006F5F7E">
        <w:rPr>
          <w:rFonts w:asciiTheme="majorBidi" w:hAnsiTheme="majorBidi" w:cstheme="majorBidi"/>
          <w:sz w:val="20"/>
          <w:szCs w:val="20"/>
        </w:rPr>
        <w:lastRenderedPageBreak/>
        <w:t xml:space="preserve">payouts among lower-paying firms. The moderating effect of ROA on INST was weak and inconsistent, showing limited significance. </w:t>
      </w:r>
      <w:r w:rsidR="00D01059">
        <w:rPr>
          <w:rFonts w:asciiTheme="majorBidi" w:hAnsiTheme="majorBidi" w:cstheme="majorBidi"/>
          <w:sz w:val="20"/>
          <w:szCs w:val="20"/>
        </w:rPr>
        <w:t>Unexpectedly</w:t>
      </w:r>
      <w:r w:rsidRPr="006F5F7E">
        <w:rPr>
          <w:rFonts w:asciiTheme="majorBidi" w:hAnsiTheme="majorBidi" w:cstheme="majorBidi"/>
          <w:sz w:val="20"/>
          <w:szCs w:val="20"/>
        </w:rPr>
        <w:t>, ROA significantly and consistently weakened the positive relationship between FRO and dividend payouts across both models and all quantiles, suggesting that foreign investors may prioritise stable returns over performance-linked dividends.</w:t>
      </w:r>
      <w:commentRangeEnd w:id="39"/>
      <w:r w:rsidR="00392BA0">
        <w:rPr>
          <w:rStyle w:val="CommentReference"/>
        </w:rPr>
        <w:commentReference w:id="39"/>
      </w:r>
    </w:p>
    <w:p w14:paraId="68400C58" w14:textId="77777777" w:rsidR="004E64B0" w:rsidRPr="006F5F7E" w:rsidRDefault="004E64B0" w:rsidP="004E64B0">
      <w:pPr>
        <w:spacing w:line="360" w:lineRule="auto"/>
        <w:contextualSpacing/>
        <w:jc w:val="both"/>
        <w:rPr>
          <w:rFonts w:asciiTheme="majorBidi" w:hAnsiTheme="majorBidi" w:cstheme="majorBidi"/>
          <w:sz w:val="20"/>
          <w:szCs w:val="20"/>
        </w:rPr>
      </w:pPr>
      <w:commentRangeStart w:id="40"/>
      <w:r w:rsidRPr="006F5F7E">
        <w:rPr>
          <w:rFonts w:asciiTheme="majorBidi" w:hAnsiTheme="majorBidi" w:cstheme="majorBidi"/>
          <w:b/>
          <w:bCs/>
          <w:sz w:val="20"/>
          <w:szCs w:val="20"/>
        </w:rPr>
        <w:t>4.5 Control Variables and Their Effects</w:t>
      </w:r>
      <w:commentRangeEnd w:id="40"/>
      <w:r w:rsidR="00B51698">
        <w:rPr>
          <w:rStyle w:val="CommentReference"/>
        </w:rPr>
        <w:commentReference w:id="40"/>
      </w:r>
    </w:p>
    <w:p w14:paraId="686BB65C" w14:textId="23333743" w:rsidR="0021579B" w:rsidRPr="006F5F7E" w:rsidRDefault="00A573AD" w:rsidP="00A573AD">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Firm size showed a positive and significant effect on dividend payouts in Model 1, especially at the 25th and 50th percentiles, indicating that larger banks are more likely to distribute dividends. However, this influence weakened in Model 2, becoming insignificant at the upper quantile, suggesting that size matters more for cross-sectional differences than for within-firm changes. Growth, proxied by asset expansion, consistently demonstrated a negative association with dividends across both models, though often statistically insignificant. This pattern supports life cycle and residual dividend theories, which argue that high-growth firms prioritise reinvestment over payouts. Overall, the control variables reinforce the idea that firm-specific characteristics significantly shape dividend policy, while profitability’s interaction with ownership structure adds further complexity to the dividend-setting behaviour of Nigerian banks</w:t>
      </w:r>
      <w:r w:rsidR="004E64B0" w:rsidRPr="006F5F7E">
        <w:rPr>
          <w:rFonts w:asciiTheme="majorBidi" w:hAnsiTheme="majorBidi" w:cstheme="majorBidi"/>
          <w:sz w:val="20"/>
          <w:szCs w:val="20"/>
        </w:rPr>
        <w:t>.</w:t>
      </w:r>
    </w:p>
    <w:p w14:paraId="5F3AEEFB" w14:textId="77777777" w:rsidR="001C1780" w:rsidRPr="006F5F7E" w:rsidRDefault="001C1780" w:rsidP="001C1780">
      <w:pPr>
        <w:pStyle w:val="Heading3"/>
        <w:rPr>
          <w:rFonts w:asciiTheme="majorBidi" w:hAnsiTheme="majorBidi" w:cstheme="majorBidi"/>
          <w:b/>
          <w:bCs/>
          <w:color w:val="auto"/>
          <w:sz w:val="20"/>
          <w:szCs w:val="20"/>
        </w:rPr>
      </w:pPr>
      <w:commentRangeStart w:id="41"/>
      <w:r w:rsidRPr="006F5F7E">
        <w:rPr>
          <w:rFonts w:asciiTheme="majorBidi" w:hAnsiTheme="majorBidi" w:cstheme="majorBidi"/>
          <w:b/>
          <w:bCs/>
          <w:color w:val="auto"/>
          <w:sz w:val="20"/>
          <w:szCs w:val="20"/>
        </w:rPr>
        <w:t>4.6 Robustness Assessment Using Panel Quantile Regression</w:t>
      </w:r>
    </w:p>
    <w:p w14:paraId="08DB7454" w14:textId="4E2B8920" w:rsidR="001C1780" w:rsidRPr="006F5F7E" w:rsidRDefault="00C22F94" w:rsidP="00C22F94">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This section presents the robustness of findings using fixed effects panel quantile regression (Model 2), which controls for unobserved firm-level heterogeneity. While results from Model 1 and Model 2 are broadly aligned, Model 2 refines key insights. Notably, foreign ownership maintains a strong, positive, and statistically significant effect on dividend payout across all quantiles, indicating persistent influence within firms over time. In contrast, the negative effect of institutional ownership observed in Model 1 becomes insignificant, suggesting that it may stem from cross-sectional variation rather than intra-firm dynamics. Similarly, profitability (ROA) loses significance and reverses direction, weakening its direct explanatory power under fixed effects. Importantly, the interaction between profitability and foreign ownership remains negatively significant in both models, confirming its robust moderating role. However, the moderation by managerial and institutional ownership weakens. These results underscore the importance of accounting for firm-specific factors in dividend policy research within emerging markets</w:t>
      </w:r>
      <w:r w:rsidR="001C1780" w:rsidRPr="006F5F7E">
        <w:rPr>
          <w:rFonts w:asciiTheme="majorBidi" w:hAnsiTheme="majorBidi" w:cstheme="majorBidi"/>
          <w:sz w:val="20"/>
          <w:szCs w:val="20"/>
        </w:rPr>
        <w:t>.</w:t>
      </w:r>
      <w:commentRangeEnd w:id="41"/>
      <w:r w:rsidR="00392BA0">
        <w:rPr>
          <w:rStyle w:val="CommentReference"/>
        </w:rPr>
        <w:commentReference w:id="41"/>
      </w:r>
    </w:p>
    <w:p w14:paraId="171E91E6" w14:textId="77777777" w:rsidR="007262DF" w:rsidRPr="006F5F7E" w:rsidRDefault="007262DF" w:rsidP="009B4A79">
      <w:pPr>
        <w:pStyle w:val="Heading2"/>
        <w:rPr>
          <w:rFonts w:asciiTheme="majorBidi" w:hAnsiTheme="majorBidi" w:cstheme="majorBidi"/>
          <w:b/>
          <w:bCs/>
          <w:color w:val="auto"/>
          <w:sz w:val="20"/>
          <w:szCs w:val="20"/>
        </w:rPr>
      </w:pPr>
      <w:r w:rsidRPr="006F5F7E">
        <w:rPr>
          <w:rFonts w:asciiTheme="majorBidi" w:hAnsiTheme="majorBidi" w:cstheme="majorBidi"/>
          <w:b/>
          <w:bCs/>
          <w:color w:val="auto"/>
          <w:sz w:val="20"/>
          <w:szCs w:val="20"/>
        </w:rPr>
        <w:t>5. Conclusion and Recommendations</w:t>
      </w:r>
    </w:p>
    <w:p w14:paraId="48403746" w14:textId="77777777" w:rsidR="004B1539" w:rsidRPr="006F5F7E" w:rsidRDefault="004B1539" w:rsidP="004B1539">
      <w:pPr>
        <w:spacing w:line="360" w:lineRule="auto"/>
        <w:contextualSpacing/>
        <w:jc w:val="both"/>
        <w:rPr>
          <w:rFonts w:asciiTheme="majorBidi" w:hAnsiTheme="majorBidi" w:cstheme="majorBidi"/>
          <w:sz w:val="20"/>
          <w:szCs w:val="20"/>
        </w:rPr>
      </w:pPr>
      <w:commentRangeStart w:id="42"/>
      <w:r w:rsidRPr="006F5F7E">
        <w:rPr>
          <w:rFonts w:asciiTheme="majorBidi" w:hAnsiTheme="majorBidi" w:cstheme="majorBidi"/>
          <w:sz w:val="20"/>
          <w:szCs w:val="20"/>
        </w:rPr>
        <w:t>This section evaluates the robustness of the study’s key findings using the fixed effects panel quantile regression model (Model 2), which accounts for unobserved firm-specific characteristics that remain constant over time. Unlike Model 1, which captures broad cross-sectional associations, Model 2 provides insights into within-firm dynamics, thereby strengthening the credibility of the results.</w:t>
      </w:r>
    </w:p>
    <w:p w14:paraId="62955B8F" w14:textId="77777777" w:rsidR="004B1539" w:rsidRPr="006F5F7E" w:rsidRDefault="004B1539" w:rsidP="004B153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A major point of consistency across both models is the effect of foreign ownership on dividend payouts. Model 2 confirms that foreign ownership continues to exert a strong and statistically significant positive influence across all quantiles. This reinforces the conclusion that foreign investors play a consistent role in shaping dividend policy, likely due to their preference for transparency, predictable returns, and shareholder value in emerging markets. The persistence of this effect, even when firm-level fixed effects are controlled, highlights the robustness of the relationship.</w:t>
      </w:r>
    </w:p>
    <w:p w14:paraId="16E662B4" w14:textId="77777777" w:rsidR="004B1539" w:rsidRPr="006F5F7E" w:rsidRDefault="004B1539" w:rsidP="004B153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 xml:space="preserve">Conversely, the negative relationship between institutional ownership and dividend payout observed in Model 1 loses statistical significance in Model 2. This suggests that the earlier results may have been driven by </w:t>
      </w:r>
      <w:r w:rsidRPr="006F5F7E">
        <w:rPr>
          <w:rFonts w:asciiTheme="majorBidi" w:hAnsiTheme="majorBidi" w:cstheme="majorBidi"/>
          <w:sz w:val="20"/>
          <w:szCs w:val="20"/>
        </w:rPr>
        <w:lastRenderedPageBreak/>
        <w:t>differences between firms rather than by consistent within-firm patterns. The implication is that institutional investors’ influence on dividend policy may be context-dependent, possibly reflecting strategic reinvestment preferences rather than consistent pressure for cash distribution.</w:t>
      </w:r>
    </w:p>
    <w:p w14:paraId="1F65607F" w14:textId="77777777" w:rsidR="004B1539" w:rsidRPr="006F5F7E" w:rsidRDefault="004B1539" w:rsidP="004B153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Similarly, the direct impact of profitability (ROA) on dividend payouts, which was positive and significant in Model 1, disappears in Model 2. The coefficient not only becomes statistically insignificant but also reverses in sign, highlighting the importance of accounting for firm-specific effects. This shift implies that the initial positive association could be spurious, driven by between-firm variation rather than genuine within-firm dynamics.</w:t>
      </w:r>
    </w:p>
    <w:p w14:paraId="07EFC68D" w14:textId="64FB0DBA" w:rsidR="00B7651F" w:rsidRDefault="004B1539" w:rsidP="003D5809">
      <w:pPr>
        <w:spacing w:line="360" w:lineRule="auto"/>
        <w:contextualSpacing/>
        <w:jc w:val="both"/>
        <w:rPr>
          <w:rFonts w:asciiTheme="majorBidi" w:hAnsiTheme="majorBidi" w:cstheme="majorBidi"/>
          <w:sz w:val="20"/>
          <w:szCs w:val="20"/>
        </w:rPr>
      </w:pPr>
      <w:r w:rsidRPr="006F5F7E">
        <w:rPr>
          <w:rFonts w:asciiTheme="majorBidi" w:hAnsiTheme="majorBidi" w:cstheme="majorBidi"/>
          <w:sz w:val="20"/>
          <w:szCs w:val="20"/>
        </w:rPr>
        <w:t>Interaction terms between profitability and ownership types provide further insight. Notably, the interaction between ROA and foreign ownership remains significantly negative across quantiles in both models. This finding confirms the robustness of the moderating role of profitability: higher profitability dampens the dividend-enhancing effect of foreign ownership. However, the moderating effects of profitability on managerial and institutional ownership weaken considerably in Model 2, with most coefficients becoming statistically insignificant. This suggests these interactions may be more variable across firms than stable over time within individual firms.</w:t>
      </w:r>
      <w:r w:rsidR="003D5809">
        <w:rPr>
          <w:rFonts w:asciiTheme="majorBidi" w:hAnsiTheme="majorBidi" w:cstheme="majorBidi"/>
          <w:sz w:val="20"/>
          <w:szCs w:val="20"/>
        </w:rPr>
        <w:t xml:space="preserve"> T</w:t>
      </w:r>
      <w:r w:rsidRPr="006F5F7E">
        <w:rPr>
          <w:rFonts w:asciiTheme="majorBidi" w:hAnsiTheme="majorBidi" w:cstheme="majorBidi"/>
          <w:sz w:val="20"/>
          <w:szCs w:val="20"/>
        </w:rPr>
        <w:t>he robustness checks confirm the stability of some core findings, especially those relating to foreign ownership and its interaction with profitability. At the same time, they reveal that certain relationships identified in cross-sectional analysis do not persist when firm-level fixed effects are introduced. This reinforces the methodological strength of panel quantile regression in isolating persistent influences on dividend policy.</w:t>
      </w:r>
    </w:p>
    <w:p w14:paraId="5AC0448C" w14:textId="7160D7C3" w:rsidR="003D5809" w:rsidRPr="006F5F7E" w:rsidRDefault="003D5809" w:rsidP="003D5809">
      <w:pPr>
        <w:spacing w:line="360" w:lineRule="auto"/>
        <w:contextualSpacing/>
        <w:jc w:val="both"/>
        <w:rPr>
          <w:rFonts w:asciiTheme="majorBidi" w:hAnsiTheme="majorBidi" w:cstheme="majorBidi"/>
          <w:sz w:val="20"/>
          <w:szCs w:val="20"/>
        </w:rPr>
      </w:pPr>
      <w:r w:rsidRPr="003D5809">
        <w:rPr>
          <w:rFonts w:asciiTheme="majorBidi" w:hAnsiTheme="majorBidi" w:cstheme="majorBidi"/>
          <w:sz w:val="20"/>
          <w:szCs w:val="20"/>
        </w:rPr>
        <w:t>Despite the methodological rigour of this study, some limitations remain. The analysis is restricted to listed deposit money banks in Nigeria, which may limit the generalisability of the findings to other sectors or SSA markets. Also, while quantile regression captures distributional heterogeneity, potential endogeneity between ownership structure and dividend decisions was not fully addressed. Future research may consider dynamic quantile models or apply instrumental variable techniques to account for such biases. Additionally, incorporating governance quality, ownership concentration, or macroeconomic instability as moderating factors could enrich understanding. Expanding the dataset to include unlisted or pan-African banks would further test the robustness and broader applicability of the findings.</w:t>
      </w:r>
      <w:commentRangeEnd w:id="42"/>
      <w:r w:rsidR="00392BA0">
        <w:rPr>
          <w:rStyle w:val="CommentReference"/>
        </w:rPr>
        <w:commentReference w:id="42"/>
      </w:r>
    </w:p>
    <w:p w14:paraId="10397101" w14:textId="77777777" w:rsidR="00D403BC" w:rsidRPr="006F5F7E" w:rsidRDefault="00D403BC" w:rsidP="00D403BC">
      <w:pPr>
        <w:rPr>
          <w:rFonts w:asciiTheme="majorBidi" w:hAnsiTheme="majorBidi" w:cstheme="majorBidi"/>
          <w:sz w:val="20"/>
          <w:szCs w:val="20"/>
        </w:rPr>
      </w:pPr>
    </w:p>
    <w:p w14:paraId="4AEF8248" w14:textId="77777777" w:rsidR="00D04062" w:rsidRPr="006F5F7E" w:rsidRDefault="00833548">
      <w:pPr>
        <w:pStyle w:val="Heading2"/>
        <w:rPr>
          <w:rFonts w:asciiTheme="majorBidi" w:hAnsiTheme="majorBidi" w:cstheme="majorBidi"/>
          <w:b/>
          <w:bCs/>
          <w:sz w:val="20"/>
          <w:szCs w:val="20"/>
        </w:rPr>
      </w:pPr>
      <w:commentRangeStart w:id="43"/>
      <w:r w:rsidRPr="006F5F7E">
        <w:rPr>
          <w:rFonts w:asciiTheme="majorBidi" w:hAnsiTheme="majorBidi" w:cstheme="majorBidi"/>
          <w:b/>
          <w:bCs/>
          <w:sz w:val="20"/>
          <w:szCs w:val="20"/>
        </w:rPr>
        <w:t>References</w:t>
      </w:r>
    </w:p>
    <w:p w14:paraId="0BC44B3E" w14:textId="1AA7608B" w:rsidR="00951369" w:rsidRPr="006F5F7E" w:rsidRDefault="00951369" w:rsidP="00951369">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Akilla, A. E., Adeleke, E. O., Ogundele, O. S., &amp; Anisulowo, T. A. (2024). Ownership structure and dividend policy of selected deposit money banks in Nigeria. </w:t>
      </w:r>
      <w:r w:rsidRPr="006F5F7E">
        <w:rPr>
          <w:rFonts w:asciiTheme="majorBidi" w:hAnsiTheme="majorBidi" w:cstheme="majorBidi"/>
          <w:i/>
          <w:iCs/>
          <w:sz w:val="20"/>
          <w:szCs w:val="20"/>
        </w:rPr>
        <w:t>Adeleke University Journal of Business and Social Sciences, 4</w:t>
      </w:r>
      <w:r w:rsidRPr="006F5F7E">
        <w:rPr>
          <w:rFonts w:asciiTheme="majorBidi" w:hAnsiTheme="majorBidi" w:cstheme="majorBidi"/>
          <w:sz w:val="20"/>
          <w:szCs w:val="20"/>
        </w:rPr>
        <w:t>(2), 208–211.</w:t>
      </w:r>
    </w:p>
    <w:p w14:paraId="4F775360" w14:textId="34E81502" w:rsidR="003A07E8" w:rsidRPr="006F5F7E" w:rsidRDefault="003A07E8" w:rsidP="003A07E8">
      <w:pPr>
        <w:spacing w:line="360" w:lineRule="auto"/>
        <w:ind w:left="1077" w:hanging="720"/>
        <w:contextualSpacing/>
        <w:rPr>
          <w:rFonts w:asciiTheme="majorBidi" w:hAnsiTheme="majorBidi" w:cstheme="majorBidi"/>
          <w:sz w:val="20"/>
          <w:szCs w:val="20"/>
        </w:rPr>
      </w:pPr>
      <w:r w:rsidRPr="003A07E8">
        <w:rPr>
          <w:rFonts w:asciiTheme="majorBidi" w:hAnsiTheme="majorBidi" w:cstheme="majorBidi"/>
          <w:sz w:val="20"/>
          <w:szCs w:val="20"/>
        </w:rPr>
        <w:t xml:space="preserve">Akpadaka, O. S., Farouk, M. A., &amp; Dang, D. Y. (2024). How Do Profitability and Institutional Ownership Drive Value through Dividend Policy? Evidence from Nigeria. </w:t>
      </w:r>
      <w:r w:rsidRPr="003A07E8">
        <w:rPr>
          <w:rFonts w:asciiTheme="majorBidi" w:hAnsiTheme="majorBidi" w:cstheme="majorBidi"/>
          <w:i/>
          <w:iCs/>
          <w:sz w:val="20"/>
          <w:szCs w:val="20"/>
        </w:rPr>
        <w:t>Accounting and Finance Research</w:t>
      </w:r>
      <w:r w:rsidRPr="003A07E8">
        <w:rPr>
          <w:rFonts w:asciiTheme="majorBidi" w:hAnsiTheme="majorBidi" w:cstheme="majorBidi"/>
          <w:sz w:val="20"/>
          <w:szCs w:val="20"/>
        </w:rPr>
        <w:t xml:space="preserve">, </w:t>
      </w:r>
      <w:r w:rsidRPr="003A07E8">
        <w:rPr>
          <w:rFonts w:asciiTheme="majorBidi" w:hAnsiTheme="majorBidi" w:cstheme="majorBidi"/>
          <w:i/>
          <w:iCs/>
          <w:sz w:val="20"/>
          <w:szCs w:val="20"/>
        </w:rPr>
        <w:t>13</w:t>
      </w:r>
      <w:r w:rsidRPr="003A07E8">
        <w:rPr>
          <w:rFonts w:asciiTheme="majorBidi" w:hAnsiTheme="majorBidi" w:cstheme="majorBidi"/>
          <w:sz w:val="20"/>
          <w:szCs w:val="20"/>
        </w:rPr>
        <w:t xml:space="preserve">(2), 129. </w:t>
      </w:r>
      <w:hyperlink r:id="rId17" w:history="1">
        <w:r w:rsidR="00546494" w:rsidRPr="003A07E8">
          <w:rPr>
            <w:rStyle w:val="Hyperlink"/>
            <w:rFonts w:asciiTheme="majorBidi" w:hAnsiTheme="majorBidi" w:cstheme="majorBidi"/>
            <w:sz w:val="20"/>
            <w:szCs w:val="20"/>
          </w:rPr>
          <w:t>https://doi.org/10.5430/afr.v13n2p129</w:t>
        </w:r>
      </w:hyperlink>
      <w:r w:rsidR="00546494" w:rsidRPr="006F5F7E">
        <w:rPr>
          <w:rFonts w:asciiTheme="majorBidi" w:hAnsiTheme="majorBidi" w:cstheme="majorBidi"/>
          <w:sz w:val="20"/>
          <w:szCs w:val="20"/>
        </w:rPr>
        <w:t xml:space="preserve"> </w:t>
      </w:r>
    </w:p>
    <w:p w14:paraId="07D3A0E7" w14:textId="47E09ABA" w:rsidR="003A07E8" w:rsidRPr="006F5F7E" w:rsidRDefault="00397A90" w:rsidP="004D1070">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Akpadaka, O. S., Farouk, M. A., Dang, D. Y., &amp; Fodio, M. I. (2024</w:t>
      </w:r>
      <w:r w:rsidR="0053723C" w:rsidRPr="006F5F7E">
        <w:rPr>
          <w:rFonts w:asciiTheme="majorBidi" w:hAnsiTheme="majorBidi" w:cstheme="majorBidi"/>
          <w:sz w:val="20"/>
          <w:szCs w:val="20"/>
        </w:rPr>
        <w:t>b</w:t>
      </w:r>
      <w:r w:rsidRPr="006F5F7E">
        <w:rPr>
          <w:rFonts w:asciiTheme="majorBidi" w:hAnsiTheme="majorBidi" w:cstheme="majorBidi"/>
          <w:sz w:val="20"/>
          <w:szCs w:val="20"/>
        </w:rPr>
        <w:t xml:space="preserve">). Does profitability moderate the relationship between the leverage and dividend policy of manufacturing firms in Nigeria and South Africa? </w:t>
      </w:r>
      <w:r w:rsidRPr="006F5F7E">
        <w:rPr>
          <w:rFonts w:asciiTheme="majorBidi" w:hAnsiTheme="majorBidi" w:cstheme="majorBidi"/>
          <w:i/>
          <w:iCs/>
          <w:sz w:val="20"/>
          <w:szCs w:val="20"/>
        </w:rPr>
        <w:t>Journal of Risk and Financial Management, 17</w:t>
      </w:r>
      <w:r w:rsidRPr="006F5F7E">
        <w:rPr>
          <w:rFonts w:asciiTheme="majorBidi" w:hAnsiTheme="majorBidi" w:cstheme="majorBidi"/>
          <w:sz w:val="20"/>
          <w:szCs w:val="20"/>
        </w:rPr>
        <w:t xml:space="preserve">(12), 563. </w:t>
      </w:r>
      <w:hyperlink r:id="rId18" w:tgtFrame="_new" w:history="1">
        <w:r w:rsidRPr="006F5F7E">
          <w:rPr>
            <w:rStyle w:val="Hyperlink"/>
            <w:rFonts w:asciiTheme="majorBidi" w:hAnsiTheme="majorBidi" w:cstheme="majorBidi"/>
            <w:sz w:val="20"/>
            <w:szCs w:val="20"/>
          </w:rPr>
          <w:t>https://doi.org/10.3390/jrfm17120563</w:t>
        </w:r>
      </w:hyperlink>
    </w:p>
    <w:p w14:paraId="112F234E" w14:textId="67D5AFC0" w:rsidR="00CC388E" w:rsidRPr="006F5F7E" w:rsidRDefault="00CC388E" w:rsidP="00CC388E">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lastRenderedPageBreak/>
        <w:t>AlGhazali, A., Al-Yahyaee, K. H., Fairchild, R., &amp; Guney, Y. (2024). What do dividend changes reveal? Theory and evidence from a unique environment. </w:t>
      </w:r>
      <w:r w:rsidRPr="006F5F7E">
        <w:rPr>
          <w:rFonts w:asciiTheme="majorBidi" w:hAnsiTheme="majorBidi" w:cstheme="majorBidi"/>
          <w:i/>
          <w:iCs/>
          <w:sz w:val="20"/>
          <w:szCs w:val="20"/>
        </w:rPr>
        <w:t>Review of Quantitative Finance and Accounting</w:t>
      </w:r>
      <w:r w:rsidRPr="006F5F7E">
        <w:rPr>
          <w:rFonts w:asciiTheme="majorBidi" w:hAnsiTheme="majorBidi" w:cstheme="majorBidi"/>
          <w:sz w:val="20"/>
          <w:szCs w:val="20"/>
        </w:rPr>
        <w:t>, </w:t>
      </w:r>
      <w:r w:rsidRPr="006F5F7E">
        <w:rPr>
          <w:rFonts w:asciiTheme="majorBidi" w:hAnsiTheme="majorBidi" w:cstheme="majorBidi"/>
          <w:i/>
          <w:iCs/>
          <w:sz w:val="20"/>
          <w:szCs w:val="20"/>
        </w:rPr>
        <w:t>62</w:t>
      </w:r>
      <w:r w:rsidRPr="006F5F7E">
        <w:rPr>
          <w:rFonts w:asciiTheme="majorBidi" w:hAnsiTheme="majorBidi" w:cstheme="majorBidi"/>
          <w:sz w:val="20"/>
          <w:szCs w:val="20"/>
        </w:rPr>
        <w:t>(2), 499-552.</w:t>
      </w:r>
    </w:p>
    <w:p w14:paraId="479F986F" w14:textId="180BA113"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Alhalabi, T., Castro, V., &amp; Wood, J. (2023). Bank dividend payout policy and debt seniority: Evidence from US Banks. </w:t>
      </w:r>
      <w:r w:rsidRPr="006F5F7E">
        <w:rPr>
          <w:rFonts w:asciiTheme="majorBidi" w:hAnsiTheme="majorBidi" w:cstheme="majorBidi"/>
          <w:i/>
          <w:iCs/>
          <w:sz w:val="20"/>
          <w:szCs w:val="20"/>
        </w:rPr>
        <w:t>Financial Markets, Institutions and Instruments</w:t>
      </w:r>
      <w:r w:rsidRPr="006F5F7E">
        <w:rPr>
          <w:rFonts w:asciiTheme="majorBidi" w:hAnsiTheme="majorBidi" w:cstheme="majorBidi"/>
          <w:sz w:val="20"/>
          <w:szCs w:val="20"/>
        </w:rPr>
        <w:t>, 32(5), 285–340. </w:t>
      </w:r>
      <w:hyperlink r:id="rId19" w:tgtFrame="_blank" w:history="1">
        <w:r w:rsidRPr="006F5F7E">
          <w:rPr>
            <w:rStyle w:val="Hyperlink"/>
            <w:rFonts w:asciiTheme="majorBidi" w:hAnsiTheme="majorBidi" w:cstheme="majorBidi"/>
            <w:sz w:val="20"/>
            <w:szCs w:val="20"/>
          </w:rPr>
          <w:t>https://doi.org/10.1111/fmii.12183</w:t>
        </w:r>
      </w:hyperlink>
    </w:p>
    <w:p w14:paraId="50A7C5FF" w14:textId="37FCCA37"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Al-Matari, E. M. (2025). Ownership structure and earnings management: The role of environmental sustainability as moderator variable. A further analysis. Saudi evidence. </w:t>
      </w:r>
      <w:r w:rsidRPr="006F5F7E">
        <w:rPr>
          <w:rFonts w:asciiTheme="majorBidi" w:hAnsiTheme="majorBidi" w:cstheme="majorBidi"/>
          <w:i/>
          <w:iCs/>
          <w:sz w:val="20"/>
          <w:szCs w:val="20"/>
        </w:rPr>
        <w:t>Cogent Business &amp; Management</w:t>
      </w:r>
      <w:r w:rsidRPr="006F5F7E">
        <w:rPr>
          <w:rFonts w:asciiTheme="majorBidi" w:hAnsiTheme="majorBidi" w:cstheme="majorBidi"/>
          <w:sz w:val="20"/>
          <w:szCs w:val="20"/>
        </w:rPr>
        <w:t>, 12(1). </w:t>
      </w:r>
      <w:hyperlink r:id="rId20" w:tgtFrame="_blank" w:history="1">
        <w:r w:rsidRPr="006F5F7E">
          <w:rPr>
            <w:rStyle w:val="Hyperlink"/>
            <w:rFonts w:asciiTheme="majorBidi" w:hAnsiTheme="majorBidi" w:cstheme="majorBidi"/>
            <w:sz w:val="20"/>
            <w:szCs w:val="20"/>
          </w:rPr>
          <w:t>https://doi.org/10.1080/23311975.2025.2504131</w:t>
        </w:r>
      </w:hyperlink>
    </w:p>
    <w:p w14:paraId="451DC9CC" w14:textId="3E1F730D" w:rsidR="0010502F" w:rsidRPr="006F5F7E" w:rsidRDefault="0010502F" w:rsidP="0010502F">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Alshdaifat, S. M., Alharasis, E. E., Ab Aziz, N. H., Bataineh, I., &amp; Al Amosh, H. (2025). Governance in crisis: do different types of ownership influence firm performance in GCC countries amid Covid-19? </w:t>
      </w:r>
      <w:r w:rsidRPr="006F5F7E">
        <w:rPr>
          <w:rFonts w:asciiTheme="majorBidi" w:hAnsiTheme="majorBidi" w:cstheme="majorBidi"/>
          <w:i/>
          <w:iCs/>
          <w:sz w:val="20"/>
          <w:szCs w:val="20"/>
        </w:rPr>
        <w:t>Cogent Business &amp; Management</w:t>
      </w:r>
      <w:r w:rsidRPr="006F5F7E">
        <w:rPr>
          <w:rFonts w:asciiTheme="majorBidi" w:hAnsiTheme="majorBidi" w:cstheme="majorBidi"/>
          <w:sz w:val="20"/>
          <w:szCs w:val="20"/>
        </w:rPr>
        <w:t>, </w:t>
      </w:r>
      <w:r w:rsidRPr="006F5F7E">
        <w:rPr>
          <w:rFonts w:asciiTheme="majorBidi" w:hAnsiTheme="majorBidi" w:cstheme="majorBidi"/>
          <w:i/>
          <w:iCs/>
          <w:sz w:val="20"/>
          <w:szCs w:val="20"/>
        </w:rPr>
        <w:t>12</w:t>
      </w:r>
      <w:r w:rsidRPr="006F5F7E">
        <w:rPr>
          <w:rFonts w:asciiTheme="majorBidi" w:hAnsiTheme="majorBidi" w:cstheme="majorBidi"/>
          <w:sz w:val="20"/>
          <w:szCs w:val="20"/>
        </w:rPr>
        <w:t xml:space="preserve">(1). </w:t>
      </w:r>
      <w:hyperlink r:id="rId21" w:history="1">
        <w:r w:rsidR="008B0DE9" w:rsidRPr="006F5F7E">
          <w:rPr>
            <w:rStyle w:val="Hyperlink"/>
            <w:rFonts w:asciiTheme="majorBidi" w:hAnsiTheme="majorBidi" w:cstheme="majorBidi"/>
            <w:sz w:val="20"/>
            <w:szCs w:val="20"/>
          </w:rPr>
          <w:t>https://doi.org/10.1080/23311975.2025.2463576</w:t>
        </w:r>
      </w:hyperlink>
      <w:r w:rsidR="008B0DE9" w:rsidRPr="006F5F7E">
        <w:rPr>
          <w:rFonts w:asciiTheme="majorBidi" w:hAnsiTheme="majorBidi" w:cstheme="majorBidi"/>
          <w:sz w:val="20"/>
          <w:szCs w:val="20"/>
        </w:rPr>
        <w:t xml:space="preserve"> </w:t>
      </w:r>
    </w:p>
    <w:p w14:paraId="3C5075D4" w14:textId="77777777" w:rsidR="00223895" w:rsidRPr="006F5F7E" w:rsidRDefault="00223895" w:rsidP="00223895">
      <w:pPr>
        <w:spacing w:line="360" w:lineRule="auto"/>
        <w:ind w:left="1077" w:hanging="720"/>
        <w:contextualSpacing/>
      </w:pPr>
      <w:proofErr w:type="spellStart"/>
      <w:r w:rsidRPr="006F5F7E">
        <w:rPr>
          <w:rFonts w:asciiTheme="majorBidi" w:hAnsiTheme="majorBidi" w:cstheme="majorBidi"/>
          <w:sz w:val="20"/>
          <w:szCs w:val="20"/>
        </w:rPr>
        <w:t>Arhinful</w:t>
      </w:r>
      <w:proofErr w:type="spellEnd"/>
      <w:r w:rsidRPr="006F5F7E">
        <w:rPr>
          <w:rFonts w:asciiTheme="majorBidi" w:hAnsiTheme="majorBidi" w:cstheme="majorBidi"/>
          <w:sz w:val="20"/>
          <w:szCs w:val="20"/>
        </w:rPr>
        <w:t>, R., Obeng, H. A., Mensah, L., &amp; Mensah, C. C. (2025). Signaling Sustainability: The impact of sustainable finance on dividend policy among firms listed on the London Stock Exchange. </w:t>
      </w:r>
      <w:r w:rsidRPr="006F5F7E">
        <w:rPr>
          <w:rFonts w:asciiTheme="majorBidi" w:hAnsiTheme="majorBidi" w:cstheme="majorBidi"/>
          <w:i/>
          <w:iCs/>
          <w:sz w:val="20"/>
          <w:szCs w:val="20"/>
        </w:rPr>
        <w:t>Business Strategy and the Environment</w:t>
      </w:r>
      <w:r w:rsidRPr="006F5F7E">
        <w:rPr>
          <w:rFonts w:asciiTheme="majorBidi" w:hAnsiTheme="majorBidi" w:cstheme="majorBidi"/>
          <w:sz w:val="20"/>
          <w:szCs w:val="20"/>
        </w:rPr>
        <w:t>. Advance online publication. </w:t>
      </w:r>
      <w:hyperlink r:id="rId22" w:tgtFrame="_blank" w:history="1">
        <w:r w:rsidRPr="006F5F7E">
          <w:rPr>
            <w:rStyle w:val="Hyperlink"/>
            <w:rFonts w:asciiTheme="majorBidi" w:hAnsiTheme="majorBidi" w:cstheme="majorBidi"/>
            <w:sz w:val="20"/>
            <w:szCs w:val="20"/>
          </w:rPr>
          <w:t>https://doi.org/10.1002/bse.70020</w:t>
        </w:r>
      </w:hyperlink>
    </w:p>
    <w:p w14:paraId="2C173DBF" w14:textId="4814B3C7" w:rsidR="005229F1" w:rsidRPr="006F5F7E" w:rsidRDefault="005229F1" w:rsidP="005229F1">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Aslam, H., Masood, A., ul Hassan, N., &amp; Shahbaz Yaqub, M. (2023). Dividend Policy and Ownership Concentration: An Empirical Analysis of the Non-Financial Sector of Pakistan. </w:t>
      </w:r>
      <w:r w:rsidRPr="006F5F7E">
        <w:rPr>
          <w:rFonts w:asciiTheme="majorBidi" w:hAnsiTheme="majorBidi" w:cstheme="majorBidi"/>
          <w:i/>
          <w:iCs/>
          <w:sz w:val="20"/>
          <w:szCs w:val="20"/>
        </w:rPr>
        <w:t>Asian Finance Research Journal (AFRJ)</w:t>
      </w:r>
      <w:r w:rsidRPr="006F5F7E">
        <w:rPr>
          <w:rFonts w:asciiTheme="majorBidi" w:hAnsiTheme="majorBidi" w:cstheme="majorBidi"/>
          <w:sz w:val="20"/>
          <w:szCs w:val="20"/>
        </w:rPr>
        <w:t>, </w:t>
      </w:r>
      <w:r w:rsidRPr="006F5F7E">
        <w:rPr>
          <w:rFonts w:asciiTheme="majorBidi" w:hAnsiTheme="majorBidi" w:cstheme="majorBidi"/>
          <w:i/>
          <w:iCs/>
          <w:sz w:val="20"/>
          <w:szCs w:val="20"/>
        </w:rPr>
        <w:t>5</w:t>
      </w:r>
      <w:r w:rsidRPr="006F5F7E">
        <w:rPr>
          <w:rFonts w:asciiTheme="majorBidi" w:hAnsiTheme="majorBidi" w:cstheme="majorBidi"/>
          <w:sz w:val="20"/>
          <w:szCs w:val="20"/>
        </w:rPr>
        <w:t xml:space="preserve">(1). Retrieved from </w:t>
      </w:r>
      <w:hyperlink r:id="rId23" w:history="1">
        <w:r w:rsidR="0060345F" w:rsidRPr="006F5F7E">
          <w:rPr>
            <w:rStyle w:val="Hyperlink"/>
            <w:rFonts w:asciiTheme="majorBidi" w:hAnsiTheme="majorBidi" w:cstheme="majorBidi"/>
            <w:sz w:val="20"/>
            <w:szCs w:val="20"/>
          </w:rPr>
          <w:t>https://journals.uol.edu.pk/afrj/article/view/2934</w:t>
        </w:r>
      </w:hyperlink>
      <w:r w:rsidR="0060345F" w:rsidRPr="006F5F7E">
        <w:rPr>
          <w:rFonts w:asciiTheme="majorBidi" w:hAnsiTheme="majorBidi" w:cstheme="majorBidi"/>
          <w:sz w:val="20"/>
          <w:szCs w:val="20"/>
        </w:rPr>
        <w:t xml:space="preserve"> </w:t>
      </w:r>
    </w:p>
    <w:p w14:paraId="75C520AD" w14:textId="6C3702B8"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Azeem, M., Ahmad, N., Majid, S., Rehman, J. U., &amp; Nafees, B. (2023). Corporate governance, financial constraints, and dividend policy: Evidence from Pakistan. </w:t>
      </w:r>
      <w:r w:rsidRPr="006F5F7E">
        <w:rPr>
          <w:rFonts w:asciiTheme="majorBidi" w:hAnsiTheme="majorBidi" w:cstheme="majorBidi"/>
          <w:i/>
          <w:iCs/>
          <w:sz w:val="20"/>
          <w:szCs w:val="20"/>
        </w:rPr>
        <w:t>Cogent Economics &amp; Finance</w:t>
      </w:r>
      <w:r w:rsidRPr="006F5F7E">
        <w:rPr>
          <w:rFonts w:asciiTheme="majorBidi" w:hAnsiTheme="majorBidi" w:cstheme="majorBidi"/>
          <w:sz w:val="20"/>
          <w:szCs w:val="20"/>
        </w:rPr>
        <w:t>, 11(2), 2243709. </w:t>
      </w:r>
      <w:hyperlink r:id="rId24" w:tgtFrame="_blank" w:history="1">
        <w:r w:rsidRPr="006F5F7E">
          <w:rPr>
            <w:rStyle w:val="Hyperlink"/>
            <w:rFonts w:asciiTheme="majorBidi" w:hAnsiTheme="majorBidi" w:cstheme="majorBidi"/>
            <w:sz w:val="20"/>
            <w:szCs w:val="20"/>
          </w:rPr>
          <w:t>https://doi.org/10.1080/23322039.2023.2243709</w:t>
        </w:r>
      </w:hyperlink>
    </w:p>
    <w:p w14:paraId="1675F025" w14:textId="3CBFDEB1" w:rsidR="00590495" w:rsidRPr="006F5F7E" w:rsidRDefault="00590495" w:rsidP="00590495">
      <w:pPr>
        <w:spacing w:line="360" w:lineRule="auto"/>
        <w:ind w:left="1077" w:hanging="720"/>
        <w:contextualSpacing/>
        <w:rPr>
          <w:rFonts w:asciiTheme="majorBidi" w:hAnsiTheme="majorBidi" w:cstheme="majorBidi"/>
          <w:sz w:val="20"/>
          <w:szCs w:val="20"/>
        </w:rPr>
      </w:pPr>
      <w:r w:rsidRPr="00590495">
        <w:rPr>
          <w:rFonts w:asciiTheme="majorBidi" w:hAnsiTheme="majorBidi" w:cstheme="majorBidi"/>
          <w:sz w:val="20"/>
          <w:szCs w:val="20"/>
        </w:rPr>
        <w:t xml:space="preserve">Bataineh, H. (2020). The impact of ownership structure on dividend policy of listed firms in Jordan. </w:t>
      </w:r>
      <w:r w:rsidRPr="00590495">
        <w:rPr>
          <w:rFonts w:asciiTheme="majorBidi" w:hAnsiTheme="majorBidi" w:cstheme="majorBidi"/>
          <w:i/>
          <w:iCs/>
          <w:sz w:val="20"/>
          <w:szCs w:val="20"/>
        </w:rPr>
        <w:t>Cogent Business &amp; Management</w:t>
      </w:r>
      <w:r w:rsidRPr="00590495">
        <w:rPr>
          <w:rFonts w:asciiTheme="majorBidi" w:hAnsiTheme="majorBidi" w:cstheme="majorBidi"/>
          <w:sz w:val="20"/>
          <w:szCs w:val="20"/>
        </w:rPr>
        <w:t xml:space="preserve">, </w:t>
      </w:r>
      <w:r w:rsidRPr="00590495">
        <w:rPr>
          <w:rFonts w:asciiTheme="majorBidi" w:hAnsiTheme="majorBidi" w:cstheme="majorBidi"/>
          <w:i/>
          <w:iCs/>
          <w:sz w:val="20"/>
          <w:szCs w:val="20"/>
        </w:rPr>
        <w:t>8</w:t>
      </w:r>
      <w:r w:rsidRPr="00590495">
        <w:rPr>
          <w:rFonts w:asciiTheme="majorBidi" w:hAnsiTheme="majorBidi" w:cstheme="majorBidi"/>
          <w:sz w:val="20"/>
          <w:szCs w:val="20"/>
        </w:rPr>
        <w:t xml:space="preserve">(1). </w:t>
      </w:r>
      <w:hyperlink r:id="rId25" w:history="1">
        <w:r w:rsidRPr="00590495">
          <w:rPr>
            <w:rStyle w:val="Hyperlink"/>
            <w:rFonts w:asciiTheme="majorBidi" w:hAnsiTheme="majorBidi" w:cstheme="majorBidi"/>
            <w:sz w:val="20"/>
            <w:szCs w:val="20"/>
          </w:rPr>
          <w:t>https://doi.org/10.1080/23311975.2020.1863175</w:t>
        </w:r>
      </w:hyperlink>
      <w:r w:rsidRPr="006F5F7E">
        <w:rPr>
          <w:rFonts w:asciiTheme="majorBidi" w:hAnsiTheme="majorBidi" w:cstheme="majorBidi"/>
          <w:sz w:val="20"/>
          <w:szCs w:val="20"/>
        </w:rPr>
        <w:t xml:space="preserve"> </w:t>
      </w:r>
    </w:p>
    <w:p w14:paraId="268384CF" w14:textId="107F34BA"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Bechter, C. (2024). The Dynamics of Dividends and Profitability: Analyzing ratios and their impact on business strategies and risks of banks. </w:t>
      </w:r>
      <w:r w:rsidRPr="006F5F7E">
        <w:rPr>
          <w:rFonts w:asciiTheme="majorBidi" w:hAnsiTheme="majorBidi" w:cstheme="majorBidi"/>
          <w:i/>
          <w:iCs/>
          <w:sz w:val="20"/>
          <w:szCs w:val="20"/>
        </w:rPr>
        <w:t>European Journal of Management, Economics and Business</w:t>
      </w:r>
      <w:r w:rsidRPr="006F5F7E">
        <w:rPr>
          <w:rFonts w:asciiTheme="majorBidi" w:hAnsiTheme="majorBidi" w:cstheme="majorBidi"/>
          <w:sz w:val="20"/>
          <w:szCs w:val="20"/>
        </w:rPr>
        <w:t>, 1(3), 76–85. </w:t>
      </w:r>
      <w:hyperlink r:id="rId26" w:tgtFrame="_blank" w:history="1">
        <w:r w:rsidRPr="006F5F7E">
          <w:rPr>
            <w:rStyle w:val="Hyperlink"/>
            <w:rFonts w:asciiTheme="majorBidi" w:hAnsiTheme="majorBidi" w:cstheme="majorBidi"/>
            <w:sz w:val="20"/>
            <w:szCs w:val="20"/>
          </w:rPr>
          <w:t>https://doi.org/10.59324/ejmeb.2024.1(3).07</w:t>
        </w:r>
      </w:hyperlink>
    </w:p>
    <w:p w14:paraId="11256927" w14:textId="5ABCC3E1" w:rsidR="001E5C8E" w:rsidRPr="006F5F7E" w:rsidRDefault="001E5C8E" w:rsidP="00533ED6">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Berle, A. A., &amp; Means, G. C. (1991). </w:t>
      </w:r>
      <w:r w:rsidRPr="006F5F7E">
        <w:rPr>
          <w:rFonts w:asciiTheme="majorBidi" w:hAnsiTheme="majorBidi" w:cstheme="majorBidi"/>
          <w:i/>
          <w:iCs/>
          <w:sz w:val="20"/>
          <w:szCs w:val="20"/>
        </w:rPr>
        <w:t>The modern corporation and private property</w:t>
      </w:r>
      <w:r w:rsidRPr="006F5F7E">
        <w:rPr>
          <w:rFonts w:asciiTheme="majorBidi" w:hAnsiTheme="majorBidi" w:cstheme="majorBidi"/>
          <w:sz w:val="20"/>
          <w:szCs w:val="20"/>
        </w:rPr>
        <w:t xml:space="preserve">. Transaction Publishers. </w:t>
      </w:r>
    </w:p>
    <w:p w14:paraId="6600B1C4" w14:textId="77777777" w:rsidR="00D22766" w:rsidRPr="006F5F7E" w:rsidRDefault="00D22766" w:rsidP="00D22766">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Bhattacharya, S. (1979). Imperfect information, dividend policy, and “the bird in the hand” fallacy. </w:t>
      </w:r>
      <w:r w:rsidRPr="006F5F7E">
        <w:rPr>
          <w:rFonts w:asciiTheme="majorBidi" w:hAnsiTheme="majorBidi" w:cstheme="majorBidi"/>
          <w:i/>
          <w:iCs/>
          <w:sz w:val="20"/>
          <w:szCs w:val="20"/>
        </w:rPr>
        <w:t>The Bell Journal of Economics</w:t>
      </w:r>
      <w:r w:rsidRPr="006F5F7E">
        <w:rPr>
          <w:rFonts w:asciiTheme="majorBidi" w:hAnsiTheme="majorBidi" w:cstheme="majorBidi"/>
          <w:sz w:val="20"/>
          <w:szCs w:val="20"/>
        </w:rPr>
        <w:t xml:space="preserve">, </w:t>
      </w:r>
      <w:r w:rsidRPr="006F5F7E">
        <w:rPr>
          <w:rFonts w:asciiTheme="majorBidi" w:hAnsiTheme="majorBidi" w:cstheme="majorBidi"/>
          <w:i/>
          <w:iCs/>
          <w:sz w:val="20"/>
          <w:szCs w:val="20"/>
        </w:rPr>
        <w:t>10</w:t>
      </w:r>
      <w:r w:rsidRPr="006F5F7E">
        <w:rPr>
          <w:rFonts w:asciiTheme="majorBidi" w:hAnsiTheme="majorBidi" w:cstheme="majorBidi"/>
          <w:sz w:val="20"/>
          <w:szCs w:val="20"/>
        </w:rPr>
        <w:t>(1), 259–270. https://doi.org/10.2307/3003330</w:t>
      </w:r>
    </w:p>
    <w:p w14:paraId="4DB544FA" w14:textId="05EB9EF3"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Danni, W., &amp; Qi, Z. (2024). Analyzing the Influence of Dividend Policy on Corporate Value: A Financial Perspective with Haier as a Case Study. </w:t>
      </w:r>
      <w:r w:rsidRPr="006F5F7E">
        <w:rPr>
          <w:rFonts w:asciiTheme="majorBidi" w:hAnsiTheme="majorBidi" w:cstheme="majorBidi"/>
          <w:i/>
          <w:iCs/>
          <w:sz w:val="20"/>
          <w:szCs w:val="20"/>
        </w:rPr>
        <w:t>Journal of Accounting Business and Management (JABM)</w:t>
      </w:r>
      <w:r w:rsidRPr="006F5F7E">
        <w:rPr>
          <w:rFonts w:asciiTheme="majorBidi" w:hAnsiTheme="majorBidi" w:cstheme="majorBidi"/>
          <w:sz w:val="20"/>
          <w:szCs w:val="20"/>
        </w:rPr>
        <w:t>, 32(1), 199. </w:t>
      </w:r>
      <w:hyperlink r:id="rId27" w:tgtFrame="_blank" w:history="1">
        <w:r w:rsidRPr="006F5F7E">
          <w:rPr>
            <w:rStyle w:val="Hyperlink"/>
            <w:rFonts w:asciiTheme="majorBidi" w:hAnsiTheme="majorBidi" w:cstheme="majorBidi"/>
            <w:sz w:val="20"/>
            <w:szCs w:val="20"/>
          </w:rPr>
          <w:t>https://doi.org/10.31966/jabminternational.v32i1.1464</w:t>
        </w:r>
      </w:hyperlink>
    </w:p>
    <w:p w14:paraId="3E241871" w14:textId="418CD971"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Dewasiri, N. J., Koralalage, W. B. Y., Azeez, A. A., Jayarathne, P., Kuruppuarachchi, D., &amp; Weerasinghe, V. (2019). Determinants of dividend policy: Evidence from an emerging and developing market. </w:t>
      </w:r>
      <w:r w:rsidRPr="006F5F7E">
        <w:rPr>
          <w:rFonts w:asciiTheme="majorBidi" w:hAnsiTheme="majorBidi" w:cstheme="majorBidi"/>
          <w:i/>
          <w:iCs/>
          <w:sz w:val="20"/>
          <w:szCs w:val="20"/>
        </w:rPr>
        <w:t>Managerial Finance</w:t>
      </w:r>
      <w:r w:rsidRPr="006F5F7E">
        <w:rPr>
          <w:rFonts w:asciiTheme="majorBidi" w:hAnsiTheme="majorBidi" w:cstheme="majorBidi"/>
          <w:sz w:val="20"/>
          <w:szCs w:val="20"/>
        </w:rPr>
        <w:t>, 45(3), 413–429. </w:t>
      </w:r>
      <w:hyperlink r:id="rId28" w:tgtFrame="_blank" w:history="1">
        <w:r w:rsidRPr="006F5F7E">
          <w:rPr>
            <w:rStyle w:val="Hyperlink"/>
            <w:rFonts w:asciiTheme="majorBidi" w:hAnsiTheme="majorBidi" w:cstheme="majorBidi"/>
            <w:sz w:val="20"/>
            <w:szCs w:val="20"/>
          </w:rPr>
          <w:t>https://doi.org/10.1108/MF-09-2017-0331</w:t>
        </w:r>
      </w:hyperlink>
    </w:p>
    <w:p w14:paraId="6A846EF6" w14:textId="1E78D8CD" w:rsidR="00693ABC" w:rsidRPr="006F5F7E" w:rsidRDefault="00693ABC" w:rsidP="00693ABC">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Duqi, A., Jaafar, A., &amp; Warsame, M. H. (2020). Payout policy and ownership structure: the case of islamic and conventional banks. The British Accounting Review, 52(1), 100826. </w:t>
      </w:r>
      <w:hyperlink r:id="rId29" w:history="1">
        <w:r w:rsidRPr="006F5F7E">
          <w:rPr>
            <w:rStyle w:val="Hyperlink"/>
            <w:rFonts w:asciiTheme="majorBidi" w:hAnsiTheme="majorBidi" w:cstheme="majorBidi"/>
            <w:sz w:val="20"/>
            <w:szCs w:val="20"/>
          </w:rPr>
          <w:t>https://doi.org/10.1016/j.bar.2019.03.001</w:t>
        </w:r>
      </w:hyperlink>
      <w:r w:rsidRPr="006F5F7E">
        <w:rPr>
          <w:rFonts w:asciiTheme="majorBidi" w:hAnsiTheme="majorBidi" w:cstheme="majorBidi"/>
          <w:sz w:val="20"/>
          <w:szCs w:val="20"/>
        </w:rPr>
        <w:t xml:space="preserve"> </w:t>
      </w:r>
    </w:p>
    <w:p w14:paraId="0A503D6A" w14:textId="421AE398" w:rsidR="00893F8E" w:rsidRPr="006F5F7E" w:rsidRDefault="00893F8E" w:rsidP="00893F8E">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lastRenderedPageBreak/>
        <w:t>Faccio, M., Lang, L. H. P., &amp; Young, L. (2001). Dividends and expropriation. </w:t>
      </w:r>
      <w:r w:rsidRPr="006F5F7E">
        <w:rPr>
          <w:rFonts w:asciiTheme="majorBidi" w:hAnsiTheme="majorBidi" w:cstheme="majorBidi"/>
          <w:i/>
          <w:iCs/>
          <w:sz w:val="20"/>
          <w:szCs w:val="20"/>
        </w:rPr>
        <w:t>American economic review</w:t>
      </w:r>
      <w:r w:rsidRPr="006F5F7E">
        <w:rPr>
          <w:rFonts w:asciiTheme="majorBidi" w:hAnsiTheme="majorBidi" w:cstheme="majorBidi"/>
          <w:sz w:val="20"/>
          <w:szCs w:val="20"/>
        </w:rPr>
        <w:t>, </w:t>
      </w:r>
      <w:r w:rsidRPr="006F5F7E">
        <w:rPr>
          <w:rFonts w:asciiTheme="majorBidi" w:hAnsiTheme="majorBidi" w:cstheme="majorBidi"/>
          <w:i/>
          <w:iCs/>
          <w:sz w:val="20"/>
          <w:szCs w:val="20"/>
        </w:rPr>
        <w:t>91</w:t>
      </w:r>
      <w:r w:rsidRPr="006F5F7E">
        <w:rPr>
          <w:rFonts w:asciiTheme="majorBidi" w:hAnsiTheme="majorBidi" w:cstheme="majorBidi"/>
          <w:sz w:val="20"/>
          <w:szCs w:val="20"/>
        </w:rPr>
        <w:t xml:space="preserve">(1), 54-78. </w:t>
      </w:r>
    </w:p>
    <w:p w14:paraId="5A83106E" w14:textId="6CF03A01"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lang w:val="pt-BR"/>
        </w:rPr>
        <w:t xml:space="preserve">Fama, E. F., &amp; French, K. R. (2001). </w:t>
      </w:r>
      <w:r w:rsidRPr="006F5F7E">
        <w:rPr>
          <w:rFonts w:asciiTheme="majorBidi" w:hAnsiTheme="majorBidi" w:cstheme="majorBidi"/>
          <w:sz w:val="20"/>
          <w:szCs w:val="20"/>
        </w:rPr>
        <w:t>Disappearing dividends: Changing firm characteristics or lower propensity to pay? </w:t>
      </w:r>
      <w:r w:rsidRPr="006F5F7E">
        <w:rPr>
          <w:rFonts w:asciiTheme="majorBidi" w:hAnsiTheme="majorBidi" w:cstheme="majorBidi"/>
          <w:i/>
          <w:iCs/>
          <w:sz w:val="20"/>
          <w:szCs w:val="20"/>
        </w:rPr>
        <w:t>Journal of Financial Economics</w:t>
      </w:r>
      <w:r w:rsidRPr="006F5F7E">
        <w:rPr>
          <w:rFonts w:asciiTheme="majorBidi" w:hAnsiTheme="majorBidi" w:cstheme="majorBidi"/>
          <w:sz w:val="20"/>
          <w:szCs w:val="20"/>
        </w:rPr>
        <w:t>, 60(1), 3–43. </w:t>
      </w:r>
      <w:hyperlink r:id="rId30" w:tgtFrame="_blank" w:history="1">
        <w:r w:rsidRPr="006F5F7E">
          <w:rPr>
            <w:rStyle w:val="Hyperlink"/>
            <w:rFonts w:asciiTheme="majorBidi" w:hAnsiTheme="majorBidi" w:cstheme="majorBidi"/>
            <w:sz w:val="20"/>
            <w:szCs w:val="20"/>
          </w:rPr>
          <w:t>https://doi.org/10.1016/S0304-405X(01)00038-1</w:t>
        </w:r>
      </w:hyperlink>
    </w:p>
    <w:p w14:paraId="157360C4" w14:textId="098480E1"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Hong, N. T. H., &amp; Linh, T. K. (2022). Institutional investors, corporate governance and firm performance in an emerging market: Evidence from Vietnam. </w:t>
      </w:r>
      <w:r w:rsidRPr="006F5F7E">
        <w:rPr>
          <w:rFonts w:asciiTheme="majorBidi" w:hAnsiTheme="majorBidi" w:cstheme="majorBidi"/>
          <w:i/>
          <w:iCs/>
          <w:sz w:val="20"/>
          <w:szCs w:val="20"/>
        </w:rPr>
        <w:t>Cogent Economics &amp; Finance</w:t>
      </w:r>
      <w:r w:rsidRPr="006F5F7E">
        <w:rPr>
          <w:rFonts w:asciiTheme="majorBidi" w:hAnsiTheme="majorBidi" w:cstheme="majorBidi"/>
          <w:sz w:val="20"/>
          <w:szCs w:val="20"/>
        </w:rPr>
        <w:t>, 11(1), 2159735. </w:t>
      </w:r>
      <w:hyperlink r:id="rId31" w:tgtFrame="_blank" w:history="1">
        <w:r w:rsidRPr="006F5F7E">
          <w:rPr>
            <w:rStyle w:val="Hyperlink"/>
            <w:rFonts w:asciiTheme="majorBidi" w:hAnsiTheme="majorBidi" w:cstheme="majorBidi"/>
            <w:sz w:val="20"/>
            <w:szCs w:val="20"/>
          </w:rPr>
          <w:t>https://doi.org/10.1080/23322039.2022.2159735</w:t>
        </w:r>
      </w:hyperlink>
    </w:p>
    <w:p w14:paraId="64451CFA" w14:textId="2A530F0F" w:rsidR="005D5F5F" w:rsidRPr="006F5F7E" w:rsidRDefault="005D5F5F" w:rsidP="005D5F5F">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Idris, S. (2023). Foreign Ownership and Dividend Pay-Out of Listed Consumer Goods Firms in Nigeria: The Mediating Role of Profitability. </w:t>
      </w:r>
      <w:r w:rsidRPr="006F5F7E">
        <w:rPr>
          <w:rFonts w:asciiTheme="majorBidi" w:hAnsiTheme="majorBidi" w:cstheme="majorBidi"/>
          <w:i/>
          <w:iCs/>
          <w:sz w:val="20"/>
          <w:szCs w:val="20"/>
        </w:rPr>
        <w:t>African Banking and Finance Review Journal</w:t>
      </w:r>
      <w:r w:rsidRPr="006F5F7E">
        <w:rPr>
          <w:rFonts w:asciiTheme="majorBidi" w:hAnsiTheme="majorBidi" w:cstheme="majorBidi"/>
          <w:sz w:val="20"/>
          <w:szCs w:val="20"/>
        </w:rPr>
        <w:t>, </w:t>
      </w:r>
      <w:r w:rsidRPr="006F5F7E">
        <w:rPr>
          <w:rFonts w:asciiTheme="majorBidi" w:hAnsiTheme="majorBidi" w:cstheme="majorBidi"/>
          <w:i/>
          <w:iCs/>
          <w:sz w:val="20"/>
          <w:szCs w:val="20"/>
        </w:rPr>
        <w:t>6</w:t>
      </w:r>
      <w:r w:rsidRPr="006F5F7E">
        <w:rPr>
          <w:rFonts w:asciiTheme="majorBidi" w:hAnsiTheme="majorBidi" w:cstheme="majorBidi"/>
          <w:sz w:val="20"/>
          <w:szCs w:val="20"/>
        </w:rPr>
        <w:t>(6), 121-141.</w:t>
      </w:r>
    </w:p>
    <w:p w14:paraId="4C605A7E" w14:textId="11A5D12A" w:rsidR="009F6348" w:rsidRPr="006F5F7E" w:rsidRDefault="00236AFF" w:rsidP="00236AFF">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Ismail, A. F., &amp; Anridho, N. (2024). The managerial and government ownership effect on dividend policy: The moderating role of investment opportunities. </w:t>
      </w:r>
      <w:r w:rsidRPr="006F5F7E">
        <w:rPr>
          <w:rFonts w:asciiTheme="majorBidi" w:hAnsiTheme="majorBidi" w:cstheme="majorBidi"/>
          <w:i/>
          <w:iCs/>
          <w:sz w:val="20"/>
          <w:szCs w:val="20"/>
        </w:rPr>
        <w:t>Jurnal Dinamika Akuntansi, 16</w:t>
      </w:r>
      <w:r w:rsidRPr="006F5F7E">
        <w:rPr>
          <w:rFonts w:asciiTheme="majorBidi" w:hAnsiTheme="majorBidi" w:cstheme="majorBidi"/>
          <w:sz w:val="20"/>
          <w:szCs w:val="20"/>
        </w:rPr>
        <w:t xml:space="preserve">(2), 187–201. </w:t>
      </w:r>
      <w:hyperlink r:id="rId32" w:tgtFrame="_new" w:history="1">
        <w:r w:rsidRPr="006F5F7E">
          <w:rPr>
            <w:rStyle w:val="Hyperlink"/>
            <w:rFonts w:asciiTheme="majorBidi" w:hAnsiTheme="majorBidi" w:cstheme="majorBidi"/>
            <w:sz w:val="20"/>
            <w:szCs w:val="20"/>
          </w:rPr>
          <w:t>https://doi.org/10.15294/jda.v16i2.6560</w:t>
        </w:r>
      </w:hyperlink>
    </w:p>
    <w:p w14:paraId="02A29CB1" w14:textId="400650E4" w:rsidR="00794709" w:rsidRPr="006F5F7E" w:rsidRDefault="00794709" w:rsidP="00794709">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Januarsi, Y., &amp; Sanusi, F. (2024). Profitability and dividend policy: How does free cash flow explain this relationship</w:t>
      </w:r>
      <w:proofErr w:type="gramStart"/>
      <w:r w:rsidRPr="006F5F7E">
        <w:rPr>
          <w:rFonts w:asciiTheme="majorBidi" w:hAnsiTheme="majorBidi" w:cstheme="majorBidi"/>
          <w:sz w:val="20"/>
          <w:szCs w:val="20"/>
        </w:rPr>
        <w:t>?.</w:t>
      </w:r>
      <w:proofErr w:type="gramEnd"/>
      <w:r w:rsidRPr="006F5F7E">
        <w:rPr>
          <w:rFonts w:asciiTheme="majorBidi" w:hAnsiTheme="majorBidi" w:cstheme="majorBidi"/>
          <w:sz w:val="20"/>
          <w:szCs w:val="20"/>
        </w:rPr>
        <w:t> </w:t>
      </w:r>
      <w:r w:rsidRPr="006F5F7E">
        <w:rPr>
          <w:rFonts w:asciiTheme="majorBidi" w:hAnsiTheme="majorBidi" w:cstheme="majorBidi"/>
          <w:i/>
          <w:iCs/>
          <w:sz w:val="20"/>
          <w:szCs w:val="20"/>
        </w:rPr>
        <w:t>Jurnal Siasat Bisnis</w:t>
      </w:r>
      <w:r w:rsidRPr="006F5F7E">
        <w:rPr>
          <w:rFonts w:asciiTheme="majorBidi" w:hAnsiTheme="majorBidi" w:cstheme="majorBidi"/>
          <w:sz w:val="20"/>
          <w:szCs w:val="20"/>
        </w:rPr>
        <w:t>, 56-70.</w:t>
      </w:r>
    </w:p>
    <w:p w14:paraId="0653F5AE" w14:textId="293A1BB7"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Jensen, M. C., &amp; Meckling, W. H. (1976). Theory of the firm: Managerial behavior, agency costs and ownership structure. </w:t>
      </w:r>
      <w:r w:rsidRPr="006F5F7E">
        <w:rPr>
          <w:rFonts w:asciiTheme="majorBidi" w:hAnsiTheme="majorBidi" w:cstheme="majorBidi"/>
          <w:i/>
          <w:iCs/>
          <w:sz w:val="20"/>
          <w:szCs w:val="20"/>
        </w:rPr>
        <w:t>Journal of Financial Economics</w:t>
      </w:r>
      <w:r w:rsidRPr="006F5F7E">
        <w:rPr>
          <w:rFonts w:asciiTheme="majorBidi" w:hAnsiTheme="majorBidi" w:cstheme="majorBidi"/>
          <w:sz w:val="20"/>
          <w:szCs w:val="20"/>
        </w:rPr>
        <w:t>, 3(4), 305–360. </w:t>
      </w:r>
      <w:hyperlink r:id="rId33" w:tgtFrame="_blank" w:history="1">
        <w:r w:rsidRPr="006F5F7E">
          <w:rPr>
            <w:rStyle w:val="Hyperlink"/>
            <w:rFonts w:asciiTheme="majorBidi" w:hAnsiTheme="majorBidi" w:cstheme="majorBidi"/>
            <w:sz w:val="20"/>
            <w:szCs w:val="20"/>
          </w:rPr>
          <w:t>https://doi.org/10.1016/0304-405X(76)90026-X</w:t>
        </w:r>
      </w:hyperlink>
    </w:p>
    <w:p w14:paraId="7EFFFC34" w14:textId="5646A457" w:rsidR="003550F5" w:rsidRPr="006F5F7E" w:rsidRDefault="003550F5" w:rsidP="003550F5">
      <w:pPr>
        <w:spacing w:line="360" w:lineRule="auto"/>
        <w:ind w:left="1077" w:hanging="720"/>
        <w:contextualSpacing/>
        <w:rPr>
          <w:rFonts w:asciiTheme="majorBidi" w:hAnsiTheme="majorBidi" w:cstheme="majorBidi"/>
          <w:sz w:val="20"/>
          <w:szCs w:val="20"/>
        </w:rPr>
      </w:pPr>
      <w:r w:rsidRPr="003550F5">
        <w:rPr>
          <w:rFonts w:asciiTheme="majorBidi" w:hAnsiTheme="majorBidi" w:cstheme="majorBidi"/>
          <w:sz w:val="20"/>
          <w:szCs w:val="20"/>
        </w:rPr>
        <w:t>Karim</w:t>
      </w:r>
      <w:r w:rsidRPr="006F5F7E">
        <w:rPr>
          <w:rFonts w:asciiTheme="majorBidi" w:hAnsiTheme="majorBidi" w:cstheme="majorBidi"/>
          <w:sz w:val="20"/>
          <w:szCs w:val="20"/>
        </w:rPr>
        <w:t xml:space="preserve">, </w:t>
      </w:r>
      <w:r w:rsidRPr="003550F5">
        <w:rPr>
          <w:rFonts w:asciiTheme="majorBidi" w:hAnsiTheme="majorBidi" w:cstheme="majorBidi"/>
          <w:sz w:val="20"/>
          <w:szCs w:val="20"/>
        </w:rPr>
        <w:t>A</w:t>
      </w:r>
      <w:r w:rsidRPr="006F5F7E">
        <w:rPr>
          <w:rFonts w:asciiTheme="majorBidi" w:hAnsiTheme="majorBidi" w:cstheme="majorBidi"/>
          <w:sz w:val="20"/>
          <w:szCs w:val="20"/>
        </w:rPr>
        <w:t xml:space="preserve">. </w:t>
      </w:r>
      <w:r w:rsidRPr="003550F5">
        <w:rPr>
          <w:rFonts w:asciiTheme="majorBidi" w:hAnsiTheme="majorBidi" w:cstheme="majorBidi"/>
          <w:sz w:val="20"/>
          <w:szCs w:val="20"/>
        </w:rPr>
        <w:t>K</w:t>
      </w:r>
      <w:r w:rsidRPr="006F5F7E">
        <w:rPr>
          <w:rFonts w:asciiTheme="majorBidi" w:hAnsiTheme="majorBidi" w:cstheme="majorBidi"/>
          <w:sz w:val="20"/>
          <w:szCs w:val="20"/>
        </w:rPr>
        <w:t xml:space="preserve">. </w:t>
      </w:r>
      <w:r w:rsidRPr="003550F5">
        <w:rPr>
          <w:rFonts w:asciiTheme="majorBidi" w:hAnsiTheme="majorBidi" w:cstheme="majorBidi"/>
          <w:sz w:val="20"/>
          <w:szCs w:val="20"/>
        </w:rPr>
        <w:t>A</w:t>
      </w:r>
      <w:r w:rsidRPr="006F5F7E">
        <w:rPr>
          <w:rFonts w:asciiTheme="majorBidi" w:hAnsiTheme="majorBidi" w:cstheme="majorBidi"/>
          <w:sz w:val="20"/>
          <w:szCs w:val="20"/>
        </w:rPr>
        <w:t xml:space="preserve">., </w:t>
      </w:r>
      <w:r w:rsidRPr="003550F5">
        <w:rPr>
          <w:rFonts w:asciiTheme="majorBidi" w:hAnsiTheme="majorBidi" w:cstheme="majorBidi"/>
          <w:sz w:val="20"/>
          <w:szCs w:val="20"/>
        </w:rPr>
        <w:t>Young</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C</w:t>
      </w:r>
      <w:r w:rsidRPr="006F5F7E">
        <w:rPr>
          <w:rFonts w:asciiTheme="majorBidi" w:hAnsiTheme="majorBidi" w:cstheme="majorBidi"/>
          <w:sz w:val="20"/>
          <w:szCs w:val="20"/>
        </w:rPr>
        <w:t xml:space="preserve">. </w:t>
      </w:r>
      <w:r w:rsidRPr="003550F5">
        <w:rPr>
          <w:rFonts w:asciiTheme="majorBidi" w:hAnsiTheme="majorBidi" w:cstheme="majorBidi"/>
          <w:sz w:val="20"/>
          <w:szCs w:val="20"/>
        </w:rPr>
        <w:t>Y</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C</w:t>
      </w:r>
      <w:r w:rsidRPr="006F5F7E">
        <w:rPr>
          <w:rFonts w:asciiTheme="majorBidi" w:hAnsiTheme="majorBidi" w:cstheme="majorBidi"/>
          <w:sz w:val="20"/>
          <w:szCs w:val="20"/>
        </w:rPr>
        <w:t xml:space="preserve">., </w:t>
      </w:r>
      <w:r w:rsidRPr="003550F5">
        <w:rPr>
          <w:rFonts w:asciiTheme="majorBidi" w:hAnsiTheme="majorBidi" w:cstheme="majorBidi"/>
          <w:sz w:val="20"/>
          <w:szCs w:val="20"/>
        </w:rPr>
        <w:t>Purnamasari</w:t>
      </w:r>
      <w:r w:rsidRPr="006F5F7E">
        <w:rPr>
          <w:rFonts w:asciiTheme="majorBidi" w:hAnsiTheme="majorBidi" w:cstheme="majorBidi"/>
          <w:sz w:val="20"/>
          <w:szCs w:val="20"/>
        </w:rPr>
        <w:t xml:space="preserve">, </w:t>
      </w:r>
      <w:r w:rsidRPr="003550F5">
        <w:rPr>
          <w:rFonts w:asciiTheme="majorBidi" w:hAnsiTheme="majorBidi" w:cstheme="majorBidi"/>
          <w:sz w:val="20"/>
          <w:szCs w:val="20"/>
        </w:rPr>
        <w:t>Y</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P</w:t>
      </w:r>
      <w:r w:rsidRPr="006F5F7E">
        <w:rPr>
          <w:rFonts w:asciiTheme="majorBidi" w:hAnsiTheme="majorBidi" w:cstheme="majorBidi"/>
          <w:sz w:val="20"/>
          <w:szCs w:val="20"/>
        </w:rPr>
        <w:t xml:space="preserve">. </w:t>
      </w:r>
      <w:r w:rsidRPr="003550F5">
        <w:rPr>
          <w:rFonts w:asciiTheme="majorBidi" w:hAnsiTheme="majorBidi" w:cstheme="majorBidi"/>
          <w:sz w:val="20"/>
          <w:szCs w:val="20"/>
        </w:rPr>
        <w:t>Y</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Febrianto</w:t>
      </w:r>
      <w:r w:rsidRPr="006F5F7E">
        <w:rPr>
          <w:rFonts w:asciiTheme="majorBidi" w:hAnsiTheme="majorBidi" w:cstheme="majorBidi"/>
          <w:sz w:val="20"/>
          <w:szCs w:val="20"/>
        </w:rPr>
        <w:t xml:space="preserve">, </w:t>
      </w:r>
      <w:r w:rsidRPr="003550F5">
        <w:rPr>
          <w:rFonts w:asciiTheme="majorBidi" w:hAnsiTheme="majorBidi" w:cstheme="majorBidi"/>
          <w:sz w:val="20"/>
          <w:szCs w:val="20"/>
        </w:rPr>
        <w:t>H</w:t>
      </w:r>
      <w:r w:rsidRPr="006F5F7E">
        <w:rPr>
          <w:rFonts w:asciiTheme="majorBidi" w:hAnsiTheme="majorBidi" w:cstheme="majorBidi"/>
          <w:sz w:val="20"/>
          <w:szCs w:val="20"/>
        </w:rPr>
        <w:t xml:space="preserve">. </w:t>
      </w:r>
      <w:r w:rsidRPr="003550F5">
        <w:rPr>
          <w:rFonts w:asciiTheme="majorBidi" w:hAnsiTheme="majorBidi" w:cstheme="majorBidi"/>
          <w:sz w:val="20"/>
          <w:szCs w:val="20"/>
        </w:rPr>
        <w:t>G</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w:t>
      </w:r>
      <w:r w:rsidRPr="003550F5">
        <w:rPr>
          <w:rFonts w:asciiTheme="majorBidi" w:hAnsiTheme="majorBidi" w:cstheme="majorBidi"/>
          <w:sz w:val="20"/>
          <w:szCs w:val="20"/>
        </w:rPr>
        <w:t>H</w:t>
      </w:r>
      <w:r w:rsidRPr="006F5F7E">
        <w:rPr>
          <w:rFonts w:asciiTheme="majorBidi" w:hAnsiTheme="majorBidi" w:cstheme="majorBidi"/>
          <w:sz w:val="20"/>
          <w:szCs w:val="20"/>
        </w:rPr>
        <w:t xml:space="preserve">. </w:t>
      </w:r>
      <w:r w:rsidRPr="003550F5">
        <w:rPr>
          <w:rFonts w:asciiTheme="majorBidi" w:hAnsiTheme="majorBidi" w:cstheme="majorBidi"/>
          <w:sz w:val="20"/>
          <w:szCs w:val="20"/>
        </w:rPr>
        <w:t>G</w:t>
      </w:r>
      <w:r w:rsidRPr="006F5F7E">
        <w:rPr>
          <w:rFonts w:asciiTheme="majorBidi" w:hAnsiTheme="majorBidi" w:cstheme="majorBidi"/>
          <w:sz w:val="20"/>
          <w:szCs w:val="20"/>
        </w:rPr>
        <w:t xml:space="preserve">., </w:t>
      </w:r>
      <w:r w:rsidRPr="003550F5">
        <w:rPr>
          <w:rFonts w:asciiTheme="majorBidi" w:hAnsiTheme="majorBidi" w:cstheme="majorBidi"/>
          <w:sz w:val="20"/>
          <w:szCs w:val="20"/>
        </w:rPr>
        <w:t>Zatira</w:t>
      </w:r>
      <w:r w:rsidRPr="006F5F7E">
        <w:rPr>
          <w:rFonts w:asciiTheme="majorBidi" w:hAnsiTheme="majorBidi" w:cstheme="majorBidi"/>
          <w:sz w:val="20"/>
          <w:szCs w:val="20"/>
        </w:rPr>
        <w:t xml:space="preserve">, </w:t>
      </w:r>
      <w:r w:rsidRPr="003550F5">
        <w:rPr>
          <w:rFonts w:asciiTheme="majorBidi" w:hAnsiTheme="majorBidi" w:cstheme="majorBidi"/>
          <w:sz w:val="20"/>
          <w:szCs w:val="20"/>
        </w:rPr>
        <w:t>D</w:t>
      </w:r>
      <w:r w:rsidRPr="006F5F7E">
        <w:rPr>
          <w:rFonts w:asciiTheme="majorBidi" w:hAnsiTheme="majorBidi" w:cstheme="majorBidi"/>
          <w:sz w:val="20"/>
          <w:szCs w:val="20"/>
        </w:rPr>
        <w:t xml:space="preserve">. </w:t>
      </w:r>
      <w:r w:rsidRPr="003550F5">
        <w:rPr>
          <w:rFonts w:asciiTheme="majorBidi" w:hAnsiTheme="majorBidi" w:cstheme="majorBidi"/>
          <w:sz w:val="20"/>
          <w:szCs w:val="20"/>
        </w:rPr>
        <w:t>Z</w:t>
      </w:r>
      <w:r w:rsidRPr="006F5F7E">
        <w:rPr>
          <w:rFonts w:asciiTheme="majorBidi" w:hAnsiTheme="majorBidi" w:cstheme="majorBidi"/>
          <w:sz w:val="20"/>
          <w:szCs w:val="20"/>
        </w:rPr>
        <w:t xml:space="preserve">. </w:t>
      </w:r>
      <w:r w:rsidRPr="003550F5">
        <w:rPr>
          <w:rFonts w:asciiTheme="majorBidi" w:hAnsiTheme="majorBidi" w:cstheme="majorBidi"/>
          <w:sz w:val="20"/>
          <w:szCs w:val="20"/>
        </w:rPr>
        <w:t>D</w:t>
      </w:r>
      <w:r w:rsidRPr="006F5F7E">
        <w:rPr>
          <w:rFonts w:asciiTheme="majorBidi" w:hAnsiTheme="majorBidi" w:cstheme="majorBidi"/>
          <w:sz w:val="20"/>
          <w:szCs w:val="20"/>
        </w:rPr>
        <w:t xml:space="preserve">., &amp; </w:t>
      </w:r>
      <w:r w:rsidRPr="003550F5">
        <w:rPr>
          <w:rFonts w:asciiTheme="majorBidi" w:hAnsiTheme="majorBidi" w:cstheme="majorBidi"/>
          <w:sz w:val="20"/>
          <w:szCs w:val="20"/>
        </w:rPr>
        <w:t>Fitriana</w:t>
      </w:r>
      <w:r w:rsidRPr="006F5F7E">
        <w:rPr>
          <w:rFonts w:asciiTheme="majorBidi" w:hAnsiTheme="majorBidi" w:cstheme="majorBidi"/>
          <w:sz w:val="20"/>
          <w:szCs w:val="20"/>
        </w:rPr>
        <w:t xml:space="preserve">, </w:t>
      </w:r>
      <w:r w:rsidRPr="003550F5">
        <w:rPr>
          <w:rFonts w:asciiTheme="majorBidi" w:hAnsiTheme="majorBidi" w:cstheme="majorBidi"/>
          <w:sz w:val="20"/>
          <w:szCs w:val="20"/>
        </w:rPr>
        <w:t>A</w:t>
      </w:r>
      <w:r w:rsidRPr="006F5F7E">
        <w:rPr>
          <w:rFonts w:asciiTheme="majorBidi" w:hAnsiTheme="majorBidi" w:cstheme="majorBidi"/>
          <w:sz w:val="20"/>
          <w:szCs w:val="20"/>
        </w:rPr>
        <w:t xml:space="preserve">. </w:t>
      </w:r>
      <w:r w:rsidRPr="003550F5">
        <w:rPr>
          <w:rFonts w:asciiTheme="majorBidi" w:hAnsiTheme="majorBidi" w:cstheme="majorBidi"/>
          <w:sz w:val="20"/>
          <w:szCs w:val="20"/>
        </w:rPr>
        <w:t>I</w:t>
      </w:r>
      <w:r w:rsidRPr="006F5F7E">
        <w:rPr>
          <w:rFonts w:asciiTheme="majorBidi" w:hAnsiTheme="majorBidi" w:cstheme="majorBidi"/>
          <w:sz w:val="20"/>
          <w:szCs w:val="20"/>
        </w:rPr>
        <w:t xml:space="preserve">. </w:t>
      </w:r>
      <w:r w:rsidRPr="003550F5">
        <w:rPr>
          <w:rFonts w:asciiTheme="majorBidi" w:hAnsiTheme="majorBidi" w:cstheme="majorBidi"/>
          <w:sz w:val="20"/>
          <w:szCs w:val="20"/>
        </w:rPr>
        <w:t>F</w:t>
      </w:r>
      <w:r w:rsidRPr="006F5F7E">
        <w:rPr>
          <w:rFonts w:asciiTheme="majorBidi" w:hAnsiTheme="majorBidi" w:cstheme="majorBidi"/>
          <w:sz w:val="20"/>
          <w:szCs w:val="20"/>
        </w:rPr>
        <w:t xml:space="preserve">. A. </w:t>
      </w:r>
      <w:r w:rsidRPr="003550F5">
        <w:rPr>
          <w:rFonts w:asciiTheme="majorBidi" w:hAnsiTheme="majorBidi" w:cstheme="majorBidi"/>
          <w:sz w:val="20"/>
          <w:szCs w:val="20"/>
        </w:rPr>
        <w:t>I</w:t>
      </w:r>
      <w:r w:rsidRPr="006F5F7E">
        <w:rPr>
          <w:rFonts w:asciiTheme="majorBidi" w:hAnsiTheme="majorBidi" w:cstheme="majorBidi"/>
          <w:sz w:val="20"/>
          <w:szCs w:val="20"/>
        </w:rPr>
        <w:t xml:space="preserve">. (2025). </w:t>
      </w:r>
      <w:r w:rsidR="00AC0BD8" w:rsidRPr="006F5F7E">
        <w:rPr>
          <w:rFonts w:asciiTheme="majorBidi" w:hAnsiTheme="majorBidi" w:cstheme="majorBidi"/>
          <w:sz w:val="20"/>
          <w:szCs w:val="20"/>
        </w:rPr>
        <w:t xml:space="preserve">The Moderating Effect of Profitability </w:t>
      </w:r>
      <w:r w:rsidR="00F80208" w:rsidRPr="006F5F7E">
        <w:rPr>
          <w:rFonts w:asciiTheme="majorBidi" w:hAnsiTheme="majorBidi" w:cstheme="majorBidi"/>
          <w:sz w:val="20"/>
          <w:szCs w:val="20"/>
        </w:rPr>
        <w:t>on</w:t>
      </w:r>
      <w:r w:rsidR="00AC0BD8" w:rsidRPr="006F5F7E">
        <w:rPr>
          <w:rFonts w:asciiTheme="majorBidi" w:hAnsiTheme="majorBidi" w:cstheme="majorBidi"/>
          <w:sz w:val="20"/>
          <w:szCs w:val="20"/>
        </w:rPr>
        <w:t xml:space="preserve"> Dividend Policy </w:t>
      </w:r>
      <w:proofErr w:type="gramStart"/>
      <w:r w:rsidR="00AC0BD8" w:rsidRPr="006F5F7E">
        <w:rPr>
          <w:rFonts w:asciiTheme="majorBidi" w:hAnsiTheme="majorBidi" w:cstheme="majorBidi"/>
          <w:sz w:val="20"/>
          <w:szCs w:val="20"/>
        </w:rPr>
        <w:t>In</w:t>
      </w:r>
      <w:proofErr w:type="gramEnd"/>
      <w:r w:rsidR="00AC0BD8" w:rsidRPr="006F5F7E">
        <w:rPr>
          <w:rFonts w:asciiTheme="majorBidi" w:hAnsiTheme="majorBidi" w:cstheme="majorBidi"/>
          <w:sz w:val="20"/>
          <w:szCs w:val="20"/>
        </w:rPr>
        <w:t xml:space="preserve"> Indonesian Infrastructure Companies</w:t>
      </w:r>
      <w:r w:rsidRPr="006F5F7E">
        <w:rPr>
          <w:rFonts w:asciiTheme="majorBidi" w:hAnsiTheme="majorBidi" w:cstheme="majorBidi"/>
          <w:sz w:val="20"/>
          <w:szCs w:val="20"/>
        </w:rPr>
        <w:t xml:space="preserve">. </w:t>
      </w:r>
      <w:r w:rsidRPr="003550F5">
        <w:rPr>
          <w:rFonts w:asciiTheme="majorBidi" w:hAnsiTheme="majorBidi" w:cstheme="majorBidi"/>
          <w:i/>
          <w:iCs/>
          <w:sz w:val="20"/>
          <w:szCs w:val="20"/>
        </w:rPr>
        <w:t>JRAK</w:t>
      </w:r>
      <w:r w:rsidRPr="006F5F7E">
        <w:rPr>
          <w:rFonts w:asciiTheme="majorBidi" w:hAnsiTheme="majorBidi" w:cstheme="majorBidi"/>
          <w:sz w:val="20"/>
          <w:szCs w:val="20"/>
        </w:rPr>
        <w:t xml:space="preserve">, </w:t>
      </w:r>
      <w:r w:rsidRPr="006F5F7E">
        <w:rPr>
          <w:rFonts w:asciiTheme="majorBidi" w:hAnsiTheme="majorBidi" w:cstheme="majorBidi"/>
          <w:i/>
          <w:iCs/>
          <w:sz w:val="20"/>
          <w:szCs w:val="20"/>
        </w:rPr>
        <w:t>17</w:t>
      </w:r>
      <w:r w:rsidRPr="006F5F7E">
        <w:rPr>
          <w:rFonts w:asciiTheme="majorBidi" w:hAnsiTheme="majorBidi" w:cstheme="majorBidi"/>
          <w:sz w:val="20"/>
          <w:szCs w:val="20"/>
        </w:rPr>
        <w:t>(2), 159–174. Https://Doi.Org/10.23969/Jrak.V17i2.22566</w:t>
      </w:r>
    </w:p>
    <w:p w14:paraId="78BB191D" w14:textId="7A0BB55E" w:rsidR="00223895" w:rsidRPr="006F5F7E" w:rsidRDefault="00223895" w:rsidP="00223895">
      <w:pPr>
        <w:spacing w:line="360" w:lineRule="auto"/>
        <w:ind w:left="1077" w:hanging="720"/>
        <w:contextualSpacing/>
      </w:pPr>
      <w:r w:rsidRPr="00EC7449">
        <w:rPr>
          <w:rFonts w:asciiTheme="majorBidi" w:hAnsiTheme="majorBidi" w:cstheme="majorBidi"/>
          <w:sz w:val="20"/>
          <w:szCs w:val="20"/>
          <w:lang w:val="en-GB"/>
        </w:rPr>
        <w:t xml:space="preserve">La Porta, R., Lopez-de-Silanes, F., Shleifer, A., &amp; </w:t>
      </w:r>
      <w:proofErr w:type="spellStart"/>
      <w:r w:rsidRPr="00EC7449">
        <w:rPr>
          <w:rFonts w:asciiTheme="majorBidi" w:hAnsiTheme="majorBidi" w:cstheme="majorBidi"/>
          <w:sz w:val="20"/>
          <w:szCs w:val="20"/>
          <w:lang w:val="en-GB"/>
        </w:rPr>
        <w:t>Vishny</w:t>
      </w:r>
      <w:proofErr w:type="spellEnd"/>
      <w:r w:rsidRPr="00EC7449">
        <w:rPr>
          <w:rFonts w:asciiTheme="majorBidi" w:hAnsiTheme="majorBidi" w:cstheme="majorBidi"/>
          <w:sz w:val="20"/>
          <w:szCs w:val="20"/>
          <w:lang w:val="en-GB"/>
        </w:rPr>
        <w:t xml:space="preserve">, R. W. (2000). </w:t>
      </w:r>
      <w:r w:rsidRPr="006F5F7E">
        <w:rPr>
          <w:rFonts w:asciiTheme="majorBidi" w:hAnsiTheme="majorBidi" w:cstheme="majorBidi"/>
          <w:sz w:val="20"/>
          <w:szCs w:val="20"/>
        </w:rPr>
        <w:t>Agency problems and dividend policies around the world. </w:t>
      </w:r>
      <w:r w:rsidRPr="006F5F7E">
        <w:rPr>
          <w:rFonts w:asciiTheme="majorBidi" w:hAnsiTheme="majorBidi" w:cstheme="majorBidi"/>
          <w:i/>
          <w:iCs/>
          <w:sz w:val="20"/>
          <w:szCs w:val="20"/>
        </w:rPr>
        <w:t>Journal of Finance</w:t>
      </w:r>
      <w:r w:rsidRPr="006F5F7E">
        <w:rPr>
          <w:rFonts w:asciiTheme="majorBidi" w:hAnsiTheme="majorBidi" w:cstheme="majorBidi"/>
          <w:sz w:val="20"/>
          <w:szCs w:val="20"/>
        </w:rPr>
        <w:t>, 55(1), 1–33. </w:t>
      </w:r>
      <w:hyperlink r:id="rId34" w:tgtFrame="_blank" w:history="1">
        <w:r w:rsidRPr="00EC7449">
          <w:rPr>
            <w:rStyle w:val="Hyperlink"/>
            <w:rFonts w:asciiTheme="majorBidi" w:hAnsiTheme="majorBidi" w:cstheme="majorBidi"/>
            <w:sz w:val="20"/>
            <w:szCs w:val="20"/>
            <w:lang w:val="en-GB"/>
          </w:rPr>
          <w:t>https://doi.org/10.1111/0022-1082.00199</w:t>
        </w:r>
      </w:hyperlink>
    </w:p>
    <w:p w14:paraId="40757DAD" w14:textId="6DCA2BEF" w:rsidR="00734C0A" w:rsidRPr="006F5F7E" w:rsidRDefault="00734C0A" w:rsidP="00734C0A">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Loncan, T. (2020). Foreign institutional ownership and corporate cash holdings: evidence from emerging economies. International Review of Financial Analysis, 71, 101295. https://doi.org/10.1016/j.irfa.2018.12.003</w:t>
      </w:r>
    </w:p>
    <w:p w14:paraId="17631784" w14:textId="4E2F2AAA"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lang w:val="pt-BR"/>
        </w:rPr>
        <w:t xml:space="preserve">Lubis, R. K., Darmadi, S., Pratiwi, T. A., Windara, P. F., Lutvian, S., &amp; Firas, R. (2025). </w:t>
      </w:r>
      <w:r w:rsidRPr="006F5F7E">
        <w:rPr>
          <w:rFonts w:asciiTheme="majorBidi" w:hAnsiTheme="majorBidi" w:cstheme="majorBidi"/>
          <w:sz w:val="20"/>
          <w:szCs w:val="20"/>
        </w:rPr>
        <w:t>Managerial ownership as a corporate governance mechanism in shaping leverage decisions: Insights from Indonesia. </w:t>
      </w:r>
      <w:r w:rsidRPr="00EC7449">
        <w:rPr>
          <w:rFonts w:asciiTheme="majorBidi" w:hAnsiTheme="majorBidi" w:cstheme="majorBidi"/>
          <w:i/>
          <w:iCs/>
          <w:sz w:val="20"/>
          <w:szCs w:val="20"/>
          <w:lang w:val="en-GB"/>
        </w:rPr>
        <w:t>Cogent Business &amp; Management</w:t>
      </w:r>
      <w:r w:rsidRPr="00EC7449">
        <w:rPr>
          <w:rFonts w:asciiTheme="majorBidi" w:hAnsiTheme="majorBidi" w:cstheme="majorBidi"/>
          <w:sz w:val="20"/>
          <w:szCs w:val="20"/>
          <w:lang w:val="en-GB"/>
        </w:rPr>
        <w:t>, 12(1). </w:t>
      </w:r>
      <w:hyperlink r:id="rId35" w:tgtFrame="_blank" w:history="1">
        <w:r w:rsidRPr="00EC7449">
          <w:rPr>
            <w:rStyle w:val="Hyperlink"/>
            <w:rFonts w:asciiTheme="majorBidi" w:hAnsiTheme="majorBidi" w:cstheme="majorBidi"/>
            <w:sz w:val="20"/>
            <w:szCs w:val="20"/>
            <w:lang w:val="en-GB"/>
          </w:rPr>
          <w:t>https://doi.org/10.1080/23311975.2025.2473043</w:t>
        </w:r>
      </w:hyperlink>
    </w:p>
    <w:p w14:paraId="19BF31D3" w14:textId="32FB4264" w:rsidR="002521FB" w:rsidRPr="006F5F7E" w:rsidRDefault="00B0415E" w:rsidP="00B0415E">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Miller, M. H., &amp; Rock, K. (1985). Dividend policy under asymmetric information. </w:t>
      </w:r>
      <w:r w:rsidRPr="006F5F7E">
        <w:rPr>
          <w:rFonts w:asciiTheme="majorBidi" w:hAnsiTheme="majorBidi" w:cstheme="majorBidi"/>
          <w:i/>
          <w:iCs/>
          <w:sz w:val="20"/>
          <w:szCs w:val="20"/>
        </w:rPr>
        <w:t>The Journal of Finance</w:t>
      </w:r>
      <w:r w:rsidRPr="006F5F7E">
        <w:rPr>
          <w:rFonts w:asciiTheme="majorBidi" w:hAnsiTheme="majorBidi" w:cstheme="majorBidi"/>
          <w:sz w:val="20"/>
          <w:szCs w:val="20"/>
        </w:rPr>
        <w:t xml:space="preserve">, </w:t>
      </w:r>
      <w:r w:rsidRPr="006F5F7E">
        <w:rPr>
          <w:rFonts w:asciiTheme="majorBidi" w:hAnsiTheme="majorBidi" w:cstheme="majorBidi"/>
          <w:i/>
          <w:iCs/>
          <w:sz w:val="20"/>
          <w:szCs w:val="20"/>
        </w:rPr>
        <w:t>40</w:t>
      </w:r>
      <w:r w:rsidRPr="006F5F7E">
        <w:rPr>
          <w:rFonts w:asciiTheme="majorBidi" w:hAnsiTheme="majorBidi" w:cstheme="majorBidi"/>
          <w:sz w:val="20"/>
          <w:szCs w:val="20"/>
        </w:rPr>
        <w:t xml:space="preserve">(4), 1031–1051. </w:t>
      </w:r>
      <w:hyperlink r:id="rId36" w:history="1">
        <w:r w:rsidRPr="006F5F7E">
          <w:rPr>
            <w:rStyle w:val="Hyperlink"/>
            <w:rFonts w:asciiTheme="majorBidi" w:hAnsiTheme="majorBidi" w:cstheme="majorBidi"/>
            <w:sz w:val="20"/>
            <w:szCs w:val="20"/>
          </w:rPr>
          <w:t>https://doi.org/10.1111/j.1540-6261.1985.tb02362.x</w:t>
        </w:r>
      </w:hyperlink>
      <w:r w:rsidRPr="006F5F7E">
        <w:rPr>
          <w:rFonts w:asciiTheme="majorBidi" w:hAnsiTheme="majorBidi" w:cstheme="majorBidi"/>
          <w:sz w:val="20"/>
          <w:szCs w:val="20"/>
        </w:rPr>
        <w:t xml:space="preserve"> </w:t>
      </w:r>
    </w:p>
    <w:p w14:paraId="502AD024" w14:textId="727EA0E8" w:rsidR="00733ACC" w:rsidRPr="006F5F7E" w:rsidRDefault="00733ACC" w:rsidP="00733ACC">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Morck, R., Shleifer, A., &amp; Vishny, R. W. (1988). Management ownership and market valuation: An empirical analysis. </w:t>
      </w:r>
      <w:r w:rsidRPr="006F5F7E">
        <w:rPr>
          <w:rFonts w:asciiTheme="majorBidi" w:hAnsiTheme="majorBidi" w:cstheme="majorBidi"/>
          <w:i/>
          <w:iCs/>
          <w:sz w:val="20"/>
          <w:szCs w:val="20"/>
        </w:rPr>
        <w:t>Journal of Financial Economics, 20</w:t>
      </w:r>
      <w:r w:rsidRPr="006F5F7E">
        <w:rPr>
          <w:rFonts w:asciiTheme="majorBidi" w:hAnsiTheme="majorBidi" w:cstheme="majorBidi"/>
          <w:sz w:val="20"/>
          <w:szCs w:val="20"/>
        </w:rPr>
        <w:t>, 293–315. https://doi.org/10.1016/0304-405X(88)90048-7</w:t>
      </w:r>
    </w:p>
    <w:p w14:paraId="76D7216A" w14:textId="754B869B"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lang w:val="en-GB"/>
        </w:rPr>
        <w:t xml:space="preserve">Munir, Q., Akram, B., &amp; Abbas, S. A. (2024). </w:t>
      </w:r>
      <w:r w:rsidRPr="006F5F7E">
        <w:rPr>
          <w:rFonts w:asciiTheme="majorBidi" w:hAnsiTheme="majorBidi" w:cstheme="majorBidi"/>
          <w:sz w:val="20"/>
          <w:szCs w:val="20"/>
        </w:rPr>
        <w:t>Understanding stock price dynamics with dividend-related metrics and financial indicators in Pakistan's non-financial sectors. </w:t>
      </w:r>
      <w:r w:rsidRPr="006F5F7E">
        <w:rPr>
          <w:rFonts w:asciiTheme="majorBidi" w:hAnsiTheme="majorBidi" w:cstheme="majorBidi"/>
          <w:i/>
          <w:iCs/>
          <w:sz w:val="20"/>
          <w:szCs w:val="20"/>
        </w:rPr>
        <w:t>Journal of Business and Economic Options</w:t>
      </w:r>
      <w:r w:rsidRPr="006F5F7E">
        <w:rPr>
          <w:rFonts w:asciiTheme="majorBidi" w:hAnsiTheme="majorBidi" w:cstheme="majorBidi"/>
          <w:sz w:val="20"/>
          <w:szCs w:val="20"/>
        </w:rPr>
        <w:t>, 7(1), 1–9.</w:t>
      </w:r>
    </w:p>
    <w:p w14:paraId="3629CC9B" w14:textId="77777777" w:rsidR="00223895" w:rsidRPr="006F5F7E" w:rsidRDefault="00223895" w:rsidP="00223895">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lastRenderedPageBreak/>
        <w:t xml:space="preserve">Nel, G., </w:t>
      </w:r>
      <w:proofErr w:type="spellStart"/>
      <w:r w:rsidRPr="006F5F7E">
        <w:rPr>
          <w:rFonts w:asciiTheme="majorBidi" w:hAnsiTheme="majorBidi" w:cstheme="majorBidi"/>
          <w:sz w:val="20"/>
          <w:szCs w:val="20"/>
        </w:rPr>
        <w:t>Jachi</w:t>
      </w:r>
      <w:proofErr w:type="spellEnd"/>
      <w:r w:rsidRPr="006F5F7E">
        <w:rPr>
          <w:rFonts w:asciiTheme="majorBidi" w:hAnsiTheme="majorBidi" w:cstheme="majorBidi"/>
          <w:sz w:val="20"/>
          <w:szCs w:val="20"/>
        </w:rPr>
        <w:t>, M., &amp; Scholtz, H. (2024). The impact of institutional and managerial ownership on the pay-performance relationship: Evidence from JSE-listed firms. </w:t>
      </w:r>
      <w:r w:rsidRPr="006F5F7E">
        <w:rPr>
          <w:rFonts w:asciiTheme="majorBidi" w:hAnsiTheme="majorBidi" w:cstheme="majorBidi"/>
          <w:i/>
          <w:iCs/>
          <w:sz w:val="20"/>
          <w:szCs w:val="20"/>
        </w:rPr>
        <w:t>Journal of Management &amp; Governance</w:t>
      </w:r>
      <w:r w:rsidRPr="006F5F7E">
        <w:rPr>
          <w:rFonts w:asciiTheme="majorBidi" w:hAnsiTheme="majorBidi" w:cstheme="majorBidi"/>
          <w:sz w:val="20"/>
          <w:szCs w:val="20"/>
        </w:rPr>
        <w:t>. Advance online publication. </w:t>
      </w:r>
      <w:hyperlink r:id="rId37" w:tgtFrame="_blank" w:history="1">
        <w:r w:rsidRPr="006F5F7E">
          <w:rPr>
            <w:rStyle w:val="Hyperlink"/>
            <w:rFonts w:asciiTheme="majorBidi" w:hAnsiTheme="majorBidi" w:cstheme="majorBidi"/>
            <w:sz w:val="20"/>
            <w:szCs w:val="20"/>
          </w:rPr>
          <w:t>https://doi.org/10.1007/s10997-024-09725-9</w:t>
        </w:r>
      </w:hyperlink>
    </w:p>
    <w:p w14:paraId="7C9B1BC4" w14:textId="6280D3DB" w:rsidR="00223895" w:rsidRPr="006F5F7E" w:rsidRDefault="00223895" w:rsidP="00223895">
      <w:pPr>
        <w:spacing w:line="360" w:lineRule="auto"/>
        <w:ind w:left="1077" w:hanging="720"/>
        <w:contextualSpacing/>
        <w:rPr>
          <w:rFonts w:asciiTheme="majorBidi" w:hAnsiTheme="majorBidi" w:cstheme="majorBidi"/>
          <w:sz w:val="20"/>
          <w:szCs w:val="20"/>
        </w:rPr>
      </w:pPr>
      <w:proofErr w:type="spellStart"/>
      <w:r w:rsidRPr="006F5F7E">
        <w:rPr>
          <w:rFonts w:asciiTheme="majorBidi" w:hAnsiTheme="majorBidi" w:cstheme="majorBidi"/>
          <w:sz w:val="20"/>
          <w:szCs w:val="20"/>
          <w:lang w:val="fr-FR"/>
        </w:rPr>
        <w:t>Nworie</w:t>
      </w:r>
      <w:proofErr w:type="spellEnd"/>
      <w:r w:rsidRPr="006F5F7E">
        <w:rPr>
          <w:rFonts w:asciiTheme="majorBidi" w:hAnsiTheme="majorBidi" w:cstheme="majorBidi"/>
          <w:sz w:val="20"/>
          <w:szCs w:val="20"/>
          <w:lang w:val="fr-FR"/>
        </w:rPr>
        <w:t xml:space="preserve">, G. O., </w:t>
      </w:r>
      <w:proofErr w:type="spellStart"/>
      <w:r w:rsidRPr="006F5F7E">
        <w:rPr>
          <w:rFonts w:asciiTheme="majorBidi" w:hAnsiTheme="majorBidi" w:cstheme="majorBidi"/>
          <w:sz w:val="20"/>
          <w:szCs w:val="20"/>
          <w:lang w:val="fr-FR"/>
        </w:rPr>
        <w:t>Oduche</w:t>
      </w:r>
      <w:proofErr w:type="spellEnd"/>
      <w:r w:rsidRPr="006F5F7E">
        <w:rPr>
          <w:rFonts w:asciiTheme="majorBidi" w:hAnsiTheme="majorBidi" w:cstheme="majorBidi"/>
          <w:sz w:val="20"/>
          <w:szCs w:val="20"/>
          <w:lang w:val="fr-FR"/>
        </w:rPr>
        <w:t>, I. J., &amp; Cyril-</w:t>
      </w:r>
      <w:proofErr w:type="spellStart"/>
      <w:r w:rsidRPr="006F5F7E">
        <w:rPr>
          <w:rFonts w:asciiTheme="majorBidi" w:hAnsiTheme="majorBidi" w:cstheme="majorBidi"/>
          <w:sz w:val="20"/>
          <w:szCs w:val="20"/>
          <w:lang w:val="fr-FR"/>
        </w:rPr>
        <w:t>Nwuche</w:t>
      </w:r>
      <w:proofErr w:type="spellEnd"/>
      <w:r w:rsidRPr="006F5F7E">
        <w:rPr>
          <w:rFonts w:asciiTheme="majorBidi" w:hAnsiTheme="majorBidi" w:cstheme="majorBidi"/>
          <w:sz w:val="20"/>
          <w:szCs w:val="20"/>
          <w:lang w:val="fr-FR"/>
        </w:rPr>
        <w:t xml:space="preserve">, O. F. (2024). </w:t>
      </w:r>
      <w:r w:rsidRPr="006F5F7E">
        <w:rPr>
          <w:rFonts w:asciiTheme="majorBidi" w:hAnsiTheme="majorBidi" w:cstheme="majorBidi"/>
          <w:sz w:val="20"/>
          <w:szCs w:val="20"/>
        </w:rPr>
        <w:t>Signaling theory in action: How dividends affect shareholder investment decisions in Nigerian deposit money banks. </w:t>
      </w:r>
      <w:r w:rsidRPr="006F5F7E">
        <w:rPr>
          <w:rFonts w:asciiTheme="majorBidi" w:hAnsiTheme="majorBidi" w:cstheme="majorBidi"/>
          <w:i/>
          <w:iCs/>
          <w:sz w:val="20"/>
          <w:szCs w:val="20"/>
        </w:rPr>
        <w:t>Asian Journal of Economics, Business and Accounting</w:t>
      </w:r>
      <w:r w:rsidRPr="006F5F7E">
        <w:rPr>
          <w:rFonts w:asciiTheme="majorBidi" w:hAnsiTheme="majorBidi" w:cstheme="majorBidi"/>
          <w:sz w:val="20"/>
          <w:szCs w:val="20"/>
        </w:rPr>
        <w:t>, 24(7), 506</w:t>
      </w:r>
      <w:r w:rsidR="00425C3D" w:rsidRPr="006F5F7E">
        <w:rPr>
          <w:rFonts w:asciiTheme="majorBidi" w:hAnsiTheme="majorBidi" w:cstheme="majorBidi"/>
          <w:sz w:val="20"/>
          <w:szCs w:val="20"/>
        </w:rPr>
        <w:t>-</w:t>
      </w:r>
      <w:r w:rsidRPr="006F5F7E">
        <w:rPr>
          <w:rFonts w:asciiTheme="majorBidi" w:hAnsiTheme="majorBidi" w:cstheme="majorBidi"/>
          <w:sz w:val="20"/>
          <w:szCs w:val="20"/>
        </w:rPr>
        <w:t>515. </w:t>
      </w:r>
      <w:hyperlink r:id="rId38" w:tgtFrame="_blank" w:history="1">
        <w:r w:rsidRPr="006F5F7E">
          <w:rPr>
            <w:rStyle w:val="Hyperlink"/>
            <w:rFonts w:asciiTheme="majorBidi" w:hAnsiTheme="majorBidi" w:cstheme="majorBidi"/>
            <w:sz w:val="20"/>
            <w:szCs w:val="20"/>
          </w:rPr>
          <w:t>https://doi.org/10.9734/ajeba/2024/v24i71426</w:t>
        </w:r>
      </w:hyperlink>
    </w:p>
    <w:p w14:paraId="076AD2FD" w14:textId="4A1CBD39" w:rsidR="0050722E" w:rsidRPr="006F5F7E" w:rsidRDefault="0050722E" w:rsidP="0050722E">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Sinha, P., &amp; Kumar, A. (2024). Do dividends signal earnings quality in the emerging markets? Large sample evidence from India. </w:t>
      </w:r>
      <w:r w:rsidRPr="006F5F7E">
        <w:rPr>
          <w:rFonts w:asciiTheme="majorBidi" w:hAnsiTheme="majorBidi" w:cstheme="majorBidi"/>
          <w:i/>
          <w:iCs/>
          <w:sz w:val="20"/>
          <w:szCs w:val="20"/>
        </w:rPr>
        <w:t>International Journal of System Assurance Engineering and Management</w:t>
      </w:r>
      <w:r w:rsidRPr="006F5F7E">
        <w:rPr>
          <w:rFonts w:asciiTheme="majorBidi" w:hAnsiTheme="majorBidi" w:cstheme="majorBidi"/>
          <w:sz w:val="20"/>
          <w:szCs w:val="20"/>
        </w:rPr>
        <w:t>, 1-21.</w:t>
      </w:r>
    </w:p>
    <w:p w14:paraId="3F7104FE" w14:textId="65DD6FDC" w:rsidR="00CC4973" w:rsidRPr="006F5F7E" w:rsidRDefault="00CC4973" w:rsidP="00CC4973">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Susilo, B. W., Chandrarin, G., &amp; Asih, P. (2021). The effect of profitability on dividend policy and firm value: A case study of Indonesian manufacturing company. </w:t>
      </w:r>
      <w:r w:rsidRPr="006F5F7E">
        <w:rPr>
          <w:rFonts w:asciiTheme="majorBidi" w:hAnsiTheme="majorBidi" w:cstheme="majorBidi"/>
          <w:i/>
          <w:iCs/>
          <w:sz w:val="20"/>
          <w:szCs w:val="20"/>
        </w:rPr>
        <w:t>International Journal of Advances in Scientific Research and Engineering, 7</w:t>
      </w:r>
      <w:r w:rsidRPr="006F5F7E">
        <w:rPr>
          <w:rFonts w:asciiTheme="majorBidi" w:hAnsiTheme="majorBidi" w:cstheme="majorBidi"/>
          <w:sz w:val="20"/>
          <w:szCs w:val="20"/>
        </w:rPr>
        <w:t xml:space="preserve">(8), 70–76. </w:t>
      </w:r>
      <w:hyperlink r:id="rId39" w:tgtFrame="_new" w:history="1">
        <w:r w:rsidRPr="006F5F7E">
          <w:rPr>
            <w:rStyle w:val="Hyperlink"/>
            <w:rFonts w:asciiTheme="majorBidi" w:hAnsiTheme="majorBidi" w:cstheme="majorBidi"/>
            <w:sz w:val="20"/>
            <w:szCs w:val="20"/>
          </w:rPr>
          <w:t>https://doi.org/10.31695/ijasre.2021.34068</w:t>
        </w:r>
      </w:hyperlink>
    </w:p>
    <w:p w14:paraId="111D1A42" w14:textId="58AD657D" w:rsidR="008E52CD" w:rsidRPr="006F5F7E" w:rsidRDefault="008E52CD" w:rsidP="00AC7FBD">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Tawfik, O. I., Rashid, A. R. A., Elbaz, M. M., &amp; Madbouly, A. (2024). The effects of managerial entrenchments on the relationship between cash holdings and corporate financial objectives in GCC countries. </w:t>
      </w:r>
      <w:r w:rsidRPr="006F5F7E">
        <w:rPr>
          <w:rFonts w:asciiTheme="majorBidi" w:hAnsiTheme="majorBidi" w:cstheme="majorBidi"/>
          <w:i/>
          <w:iCs/>
          <w:sz w:val="20"/>
          <w:szCs w:val="20"/>
        </w:rPr>
        <w:t>Cogent Business &amp; Management</w:t>
      </w:r>
      <w:r w:rsidRPr="006F5F7E">
        <w:rPr>
          <w:rFonts w:asciiTheme="majorBidi" w:hAnsiTheme="majorBidi" w:cstheme="majorBidi"/>
          <w:sz w:val="20"/>
          <w:szCs w:val="20"/>
        </w:rPr>
        <w:t xml:space="preserve">, </w:t>
      </w:r>
      <w:r w:rsidRPr="006F5F7E">
        <w:rPr>
          <w:rFonts w:asciiTheme="majorBidi" w:hAnsiTheme="majorBidi" w:cstheme="majorBidi"/>
          <w:i/>
          <w:iCs/>
          <w:sz w:val="20"/>
          <w:szCs w:val="20"/>
        </w:rPr>
        <w:t>11</w:t>
      </w:r>
      <w:r w:rsidRPr="006F5F7E">
        <w:rPr>
          <w:rFonts w:asciiTheme="majorBidi" w:hAnsiTheme="majorBidi" w:cstheme="majorBidi"/>
          <w:sz w:val="20"/>
          <w:szCs w:val="20"/>
        </w:rPr>
        <w:t xml:space="preserve">(1). </w:t>
      </w:r>
      <w:hyperlink r:id="rId40" w:history="1">
        <w:r w:rsidR="00AC7FBD" w:rsidRPr="006F5F7E">
          <w:rPr>
            <w:rStyle w:val="Hyperlink"/>
            <w:rFonts w:asciiTheme="majorBidi" w:hAnsiTheme="majorBidi" w:cstheme="majorBidi"/>
            <w:sz w:val="20"/>
            <w:szCs w:val="20"/>
          </w:rPr>
          <w:t>https://doi.org/10.1080/23311975.2024.2396045</w:t>
        </w:r>
      </w:hyperlink>
      <w:r w:rsidR="00AC7FBD" w:rsidRPr="006F5F7E">
        <w:rPr>
          <w:rFonts w:asciiTheme="majorBidi" w:hAnsiTheme="majorBidi" w:cstheme="majorBidi"/>
          <w:sz w:val="20"/>
          <w:szCs w:val="20"/>
        </w:rPr>
        <w:t xml:space="preserve"> </w:t>
      </w:r>
    </w:p>
    <w:p w14:paraId="72FB4807" w14:textId="316BCE8D" w:rsidR="00337731" w:rsidRPr="006F5F7E" w:rsidRDefault="00337731" w:rsidP="00337731">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Tayachi, T., Hunjra, A. I., Jones, K., Mehmood, R., &amp; Al‐Faryan, M. A. S. (2021). How does ownership structure affect the financing and dividend decisions of firm</w:t>
      </w:r>
      <w:proofErr w:type="gramStart"/>
      <w:r w:rsidRPr="006F5F7E">
        <w:rPr>
          <w:rFonts w:asciiTheme="majorBidi" w:hAnsiTheme="majorBidi" w:cstheme="majorBidi"/>
          <w:sz w:val="20"/>
          <w:szCs w:val="20"/>
        </w:rPr>
        <w:t>?.</w:t>
      </w:r>
      <w:proofErr w:type="gramEnd"/>
      <w:r w:rsidRPr="006F5F7E">
        <w:rPr>
          <w:rFonts w:asciiTheme="majorBidi" w:hAnsiTheme="majorBidi" w:cstheme="majorBidi"/>
          <w:sz w:val="20"/>
          <w:szCs w:val="20"/>
        </w:rPr>
        <w:t xml:space="preserve"> Journal of Financial Reporting and Accounting, 21(3), 729-746. </w:t>
      </w:r>
      <w:hyperlink r:id="rId41" w:history="1">
        <w:r w:rsidR="00440904" w:rsidRPr="006F5F7E">
          <w:rPr>
            <w:rStyle w:val="Hyperlink"/>
            <w:rFonts w:asciiTheme="majorBidi" w:hAnsiTheme="majorBidi" w:cstheme="majorBidi"/>
            <w:sz w:val="20"/>
            <w:szCs w:val="20"/>
          </w:rPr>
          <w:t>https://doi.org/10.1108/jfra-09-2021-0291</w:t>
        </w:r>
      </w:hyperlink>
      <w:r w:rsidR="00440904" w:rsidRPr="006F5F7E">
        <w:rPr>
          <w:rFonts w:asciiTheme="majorBidi" w:hAnsiTheme="majorBidi" w:cstheme="majorBidi"/>
          <w:sz w:val="20"/>
          <w:szCs w:val="20"/>
        </w:rPr>
        <w:t xml:space="preserve"> </w:t>
      </w:r>
    </w:p>
    <w:p w14:paraId="791564EE" w14:textId="5D7DB538"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Tayeh, M., Mustafa, R., &amp; Bino, A. (2023). Ownership structure and agency costs: Evidence from the insurance industry in Jordan. </w:t>
      </w:r>
      <w:r w:rsidRPr="006F5F7E">
        <w:rPr>
          <w:rFonts w:asciiTheme="majorBidi" w:hAnsiTheme="majorBidi" w:cstheme="majorBidi"/>
          <w:i/>
          <w:iCs/>
          <w:sz w:val="20"/>
          <w:szCs w:val="20"/>
        </w:rPr>
        <w:t>Journal of Economics, Finance and Administrative Science</w:t>
      </w:r>
      <w:r w:rsidRPr="006F5F7E">
        <w:rPr>
          <w:rFonts w:asciiTheme="majorBidi" w:hAnsiTheme="majorBidi" w:cstheme="majorBidi"/>
          <w:sz w:val="20"/>
          <w:szCs w:val="20"/>
        </w:rPr>
        <w:t>, 28(56), 287–302. </w:t>
      </w:r>
      <w:hyperlink r:id="rId42" w:tgtFrame="_blank" w:history="1">
        <w:r w:rsidRPr="006F5F7E">
          <w:rPr>
            <w:rStyle w:val="Hyperlink"/>
            <w:rFonts w:asciiTheme="majorBidi" w:hAnsiTheme="majorBidi" w:cstheme="majorBidi"/>
            <w:sz w:val="20"/>
            <w:szCs w:val="20"/>
          </w:rPr>
          <w:t>https://doi.org/10.1108/JEFAS-12-2021-0257</w:t>
        </w:r>
      </w:hyperlink>
    </w:p>
    <w:p w14:paraId="00754F73" w14:textId="40E02A3C" w:rsidR="005A75D8" w:rsidRPr="006F5F7E" w:rsidRDefault="005A75D8" w:rsidP="005A75D8">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 xml:space="preserve">Tran, Q. T. (2024). Industry environment and dividend policy. In </w:t>
      </w:r>
      <w:r w:rsidRPr="006F5F7E">
        <w:rPr>
          <w:rFonts w:asciiTheme="majorBidi" w:hAnsiTheme="majorBidi" w:cstheme="majorBidi"/>
          <w:i/>
          <w:iCs/>
          <w:sz w:val="20"/>
          <w:szCs w:val="20"/>
        </w:rPr>
        <w:t>Emerald Publishing Limited eBooks</w:t>
      </w:r>
      <w:r w:rsidRPr="006F5F7E">
        <w:rPr>
          <w:rFonts w:asciiTheme="majorBidi" w:hAnsiTheme="majorBidi" w:cstheme="majorBidi"/>
          <w:sz w:val="20"/>
          <w:szCs w:val="20"/>
        </w:rPr>
        <w:t xml:space="preserve"> (pp. 57–66). </w:t>
      </w:r>
      <w:hyperlink r:id="rId43" w:history="1">
        <w:r w:rsidRPr="006F5F7E">
          <w:rPr>
            <w:rStyle w:val="Hyperlink"/>
            <w:rFonts w:asciiTheme="majorBidi" w:hAnsiTheme="majorBidi" w:cstheme="majorBidi"/>
            <w:sz w:val="20"/>
            <w:szCs w:val="20"/>
          </w:rPr>
          <w:t>https://doi.org/10.1108/978-1-83797-987-520241007</w:t>
        </w:r>
      </w:hyperlink>
      <w:r w:rsidRPr="006F5F7E">
        <w:rPr>
          <w:rFonts w:asciiTheme="majorBidi" w:hAnsiTheme="majorBidi" w:cstheme="majorBidi"/>
          <w:sz w:val="20"/>
          <w:szCs w:val="20"/>
        </w:rPr>
        <w:t xml:space="preserve"> </w:t>
      </w:r>
    </w:p>
    <w:p w14:paraId="44CDE723" w14:textId="5EDCCB7F"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Vijayakumaran, R. (2020). Impact of managerial ownership on investment and liquidity constraints: Evidence from Chinese listed companies. </w:t>
      </w:r>
      <w:r w:rsidRPr="006F5F7E">
        <w:rPr>
          <w:rFonts w:asciiTheme="majorBidi" w:hAnsiTheme="majorBidi" w:cstheme="majorBidi"/>
          <w:i/>
          <w:iCs/>
          <w:sz w:val="20"/>
          <w:szCs w:val="20"/>
        </w:rPr>
        <w:t>Research in International Business and Finance</w:t>
      </w:r>
      <w:r w:rsidRPr="006F5F7E">
        <w:rPr>
          <w:rFonts w:asciiTheme="majorBidi" w:hAnsiTheme="majorBidi" w:cstheme="majorBidi"/>
          <w:sz w:val="20"/>
          <w:szCs w:val="20"/>
        </w:rPr>
        <w:t>, 55, 101321. </w:t>
      </w:r>
      <w:hyperlink r:id="rId44" w:tgtFrame="_blank" w:history="1">
        <w:r w:rsidRPr="006F5F7E">
          <w:rPr>
            <w:rStyle w:val="Hyperlink"/>
            <w:rFonts w:asciiTheme="majorBidi" w:hAnsiTheme="majorBidi" w:cstheme="majorBidi"/>
            <w:sz w:val="20"/>
            <w:szCs w:val="20"/>
          </w:rPr>
          <w:t>https://doi.org/10.1016/j.ribaf.2020.101321</w:t>
        </w:r>
      </w:hyperlink>
    </w:p>
    <w:p w14:paraId="7DD6F510" w14:textId="59DE1E65" w:rsidR="009E72AA" w:rsidRPr="006F5F7E" w:rsidRDefault="009E72AA" w:rsidP="009E72AA">
      <w:pPr>
        <w:spacing w:line="360" w:lineRule="auto"/>
        <w:ind w:left="1077" w:hanging="720"/>
        <w:contextualSpacing/>
        <w:rPr>
          <w:rFonts w:asciiTheme="majorBidi" w:hAnsiTheme="majorBidi" w:cstheme="majorBidi"/>
          <w:sz w:val="20"/>
          <w:szCs w:val="20"/>
        </w:rPr>
      </w:pPr>
      <w:r w:rsidRPr="006F5F7E">
        <w:rPr>
          <w:rFonts w:asciiTheme="majorBidi" w:hAnsiTheme="majorBidi" w:cstheme="majorBidi"/>
          <w:sz w:val="20"/>
          <w:szCs w:val="20"/>
        </w:rPr>
        <w:t>Wijaya, H. (2023). Cash holdings, dividend payout, and corporate value: the role of institutional investors. Journal of Accounting and Strategic Finance, 5(2), 302-315. https://doi.org/10.33005/jasf.v5i2.307</w:t>
      </w:r>
    </w:p>
    <w:p w14:paraId="0110008F" w14:textId="77777777" w:rsidR="00223895" w:rsidRPr="006F5F7E" w:rsidRDefault="00223895" w:rsidP="00223895">
      <w:pPr>
        <w:spacing w:line="360" w:lineRule="auto"/>
        <w:ind w:left="1077" w:hanging="720"/>
        <w:contextualSpacing/>
      </w:pPr>
      <w:r w:rsidRPr="006F5F7E">
        <w:rPr>
          <w:rFonts w:asciiTheme="majorBidi" w:hAnsiTheme="majorBidi" w:cstheme="majorBidi"/>
          <w:sz w:val="20"/>
          <w:szCs w:val="20"/>
        </w:rPr>
        <w:t>Yahaya, O. A. (2025). Institutional ownership and firm performance. </w:t>
      </w:r>
      <w:r w:rsidRPr="006F5F7E">
        <w:rPr>
          <w:rFonts w:asciiTheme="majorBidi" w:hAnsiTheme="majorBidi" w:cstheme="majorBidi"/>
          <w:i/>
          <w:iCs/>
          <w:sz w:val="20"/>
          <w:szCs w:val="20"/>
        </w:rPr>
        <w:t>SSRN Electronic Journal</w:t>
      </w:r>
      <w:r w:rsidRPr="006F5F7E">
        <w:rPr>
          <w:rFonts w:asciiTheme="majorBidi" w:hAnsiTheme="majorBidi" w:cstheme="majorBidi"/>
          <w:sz w:val="20"/>
          <w:szCs w:val="20"/>
        </w:rPr>
        <w:t>. </w:t>
      </w:r>
      <w:hyperlink r:id="rId45" w:tgtFrame="_blank" w:history="1">
        <w:r w:rsidRPr="006F5F7E">
          <w:rPr>
            <w:rStyle w:val="Hyperlink"/>
            <w:rFonts w:asciiTheme="majorBidi" w:hAnsiTheme="majorBidi" w:cstheme="majorBidi"/>
            <w:sz w:val="20"/>
            <w:szCs w:val="20"/>
          </w:rPr>
          <w:t>https://doi.org/10.2139/ssrn.5216573</w:t>
        </w:r>
      </w:hyperlink>
    </w:p>
    <w:p w14:paraId="29741055" w14:textId="62686ADE" w:rsidR="005931A6" w:rsidRDefault="005931A6" w:rsidP="005931A6">
      <w:pPr>
        <w:spacing w:line="360" w:lineRule="auto"/>
        <w:ind w:left="1077" w:hanging="720"/>
        <w:contextualSpacing/>
        <w:rPr>
          <w:rFonts w:asciiTheme="majorBidi" w:hAnsiTheme="majorBidi" w:cstheme="majorBidi"/>
          <w:sz w:val="20"/>
          <w:szCs w:val="20"/>
        </w:rPr>
      </w:pPr>
      <w:r w:rsidRPr="005931A6">
        <w:rPr>
          <w:rFonts w:asciiTheme="majorBidi" w:hAnsiTheme="majorBidi" w:cstheme="majorBidi"/>
          <w:sz w:val="20"/>
          <w:szCs w:val="20"/>
        </w:rPr>
        <w:t>Yahaya, O. A. (2025</w:t>
      </w:r>
      <w:r w:rsidR="00C72350" w:rsidRPr="006F5F7E">
        <w:rPr>
          <w:rFonts w:asciiTheme="majorBidi" w:hAnsiTheme="majorBidi" w:cstheme="majorBidi"/>
          <w:sz w:val="20"/>
          <w:szCs w:val="20"/>
        </w:rPr>
        <w:t>b</w:t>
      </w:r>
      <w:r w:rsidRPr="005931A6">
        <w:rPr>
          <w:rFonts w:asciiTheme="majorBidi" w:hAnsiTheme="majorBidi" w:cstheme="majorBidi"/>
          <w:sz w:val="20"/>
          <w:szCs w:val="20"/>
        </w:rPr>
        <w:t xml:space="preserve">). Could a board share ownership encourage a dividend payout policy? </w:t>
      </w:r>
      <w:r w:rsidRPr="005931A6">
        <w:rPr>
          <w:rFonts w:asciiTheme="majorBidi" w:hAnsiTheme="majorBidi" w:cstheme="majorBidi"/>
          <w:i/>
          <w:iCs/>
          <w:sz w:val="20"/>
          <w:szCs w:val="20"/>
        </w:rPr>
        <w:t>SSRN Electronic Journal</w:t>
      </w:r>
      <w:r w:rsidRPr="005931A6">
        <w:rPr>
          <w:rFonts w:asciiTheme="majorBidi" w:hAnsiTheme="majorBidi" w:cstheme="majorBidi"/>
          <w:sz w:val="20"/>
          <w:szCs w:val="20"/>
        </w:rPr>
        <w:t xml:space="preserve">. </w:t>
      </w:r>
      <w:hyperlink r:id="rId46" w:history="1">
        <w:r w:rsidR="00C72350" w:rsidRPr="005931A6">
          <w:rPr>
            <w:rStyle w:val="Hyperlink"/>
            <w:rFonts w:asciiTheme="majorBidi" w:hAnsiTheme="majorBidi" w:cstheme="majorBidi"/>
            <w:sz w:val="20"/>
            <w:szCs w:val="20"/>
          </w:rPr>
          <w:t>https://doi.org/10.2139/ssrn.5272049</w:t>
        </w:r>
      </w:hyperlink>
    </w:p>
    <w:p w14:paraId="4D39E043" w14:textId="77777777" w:rsidR="00C72350" w:rsidRPr="005931A6" w:rsidRDefault="00C72350" w:rsidP="005931A6">
      <w:pPr>
        <w:spacing w:line="360" w:lineRule="auto"/>
        <w:ind w:left="1077" w:hanging="720"/>
        <w:contextualSpacing/>
        <w:rPr>
          <w:rFonts w:asciiTheme="majorBidi" w:hAnsiTheme="majorBidi" w:cstheme="majorBidi"/>
          <w:sz w:val="20"/>
          <w:szCs w:val="20"/>
        </w:rPr>
      </w:pPr>
    </w:p>
    <w:commentRangeEnd w:id="43"/>
    <w:p w14:paraId="658379F4" w14:textId="77777777" w:rsidR="005931A6" w:rsidRPr="00223895" w:rsidRDefault="00006C61" w:rsidP="00223895">
      <w:pPr>
        <w:spacing w:line="360" w:lineRule="auto"/>
        <w:ind w:left="1077" w:hanging="720"/>
        <w:contextualSpacing/>
        <w:rPr>
          <w:rFonts w:asciiTheme="majorBidi" w:hAnsiTheme="majorBidi" w:cstheme="majorBidi"/>
          <w:sz w:val="20"/>
          <w:szCs w:val="20"/>
        </w:rPr>
      </w:pPr>
      <w:r>
        <w:rPr>
          <w:rStyle w:val="CommentReference"/>
        </w:rPr>
        <w:commentReference w:id="43"/>
      </w:r>
    </w:p>
    <w:p w14:paraId="4AEF825D" w14:textId="5CE3FFA3" w:rsidR="00D04062" w:rsidRPr="003C36A6" w:rsidRDefault="00D04062" w:rsidP="00E400D3">
      <w:pPr>
        <w:spacing w:line="360" w:lineRule="auto"/>
        <w:ind w:left="1077" w:hanging="720"/>
        <w:contextualSpacing/>
        <w:rPr>
          <w:rFonts w:asciiTheme="majorBidi" w:hAnsiTheme="majorBidi" w:cstheme="majorBidi"/>
          <w:sz w:val="20"/>
          <w:szCs w:val="20"/>
        </w:rPr>
      </w:pPr>
    </w:p>
    <w:sectPr w:rsidR="00D04062" w:rsidRPr="003C36A6">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5-07-30T01:22:00Z" w:initials="A">
    <w:p w14:paraId="47A45DEA" w14:textId="60D67738" w:rsidR="00B23C10" w:rsidRDefault="00B23C10">
      <w:pPr>
        <w:pStyle w:val="CommentText"/>
      </w:pPr>
      <w:r>
        <w:rPr>
          <w:rStyle w:val="CommentReference"/>
        </w:rPr>
        <w:annotationRef/>
      </w:r>
      <w:r w:rsidR="00EF472A">
        <w:t>The topic is good but key work needs to be co-opt.</w:t>
      </w:r>
    </w:p>
  </w:comment>
  <w:comment w:id="1" w:author="ADMIN" w:date="2025-07-30T01:19:00Z" w:initials="A">
    <w:p w14:paraId="75BE3759" w14:textId="24A9BDD9" w:rsidR="00EF472A" w:rsidRDefault="00EF472A">
      <w:pPr>
        <w:pStyle w:val="CommentText"/>
      </w:pPr>
      <w:r>
        <w:rPr>
          <w:rStyle w:val="CommentReference"/>
        </w:rPr>
        <w:annotationRef/>
      </w:r>
      <w:r>
        <w:t>Abstract needs to start with statement of problem before the objective of the study.</w:t>
      </w:r>
    </w:p>
  </w:comment>
  <w:comment w:id="2" w:author="ADMIN" w:date="2025-07-30T01:20:00Z" w:initials="A">
    <w:p w14:paraId="49D6AF8A" w14:textId="5DFC6BCD" w:rsidR="00EF472A" w:rsidRDefault="00EF472A">
      <w:pPr>
        <w:pStyle w:val="CommentText"/>
      </w:pPr>
      <w:r>
        <w:rPr>
          <w:rStyle w:val="CommentReference"/>
        </w:rPr>
        <w:annotationRef/>
      </w:r>
      <w:r>
        <w:t xml:space="preserve">These are not necessary here. </w:t>
      </w:r>
    </w:p>
  </w:comment>
  <w:comment w:id="3" w:author="ADMIN" w:date="2025-07-30T01:22:00Z" w:initials="A">
    <w:p w14:paraId="37C08A30" w14:textId="0235B110" w:rsidR="00EF472A" w:rsidRDefault="00EF472A">
      <w:pPr>
        <w:pStyle w:val="CommentText"/>
      </w:pPr>
      <w:r>
        <w:rPr>
          <w:rStyle w:val="CommentReference"/>
        </w:rPr>
        <w:annotationRef/>
      </w:r>
      <w:r>
        <w:t xml:space="preserve">I don’t think this is necessary in abstract. </w:t>
      </w:r>
    </w:p>
  </w:comment>
  <w:comment w:id="4" w:author="ADMIN" w:date="2025-07-30T01:28:00Z" w:initials="A">
    <w:p w14:paraId="5052155B" w14:textId="493B157C" w:rsidR="00B8206D" w:rsidRDefault="00B8206D">
      <w:pPr>
        <w:pStyle w:val="CommentText"/>
      </w:pPr>
      <w:r>
        <w:rPr>
          <w:rStyle w:val="CommentReference"/>
        </w:rPr>
        <w:annotationRef/>
      </w:r>
      <w:r>
        <w:t xml:space="preserve">Generally </w:t>
      </w:r>
      <w:r w:rsidR="00CE3D40">
        <w:t>the abstract is fairly ok. However, Abstract needs to follow in this direction:</w:t>
      </w:r>
    </w:p>
    <w:p w14:paraId="2E3FBAFA" w14:textId="77777777" w:rsidR="00CE3D40" w:rsidRDefault="00CE3D40" w:rsidP="00CE3D40">
      <w:pPr>
        <w:pStyle w:val="CommentText"/>
        <w:numPr>
          <w:ilvl w:val="0"/>
          <w:numId w:val="34"/>
        </w:numPr>
      </w:pPr>
      <w:r>
        <w:t xml:space="preserve"> Background and Statement needs to be address in the first statement of the abstract.</w:t>
      </w:r>
    </w:p>
    <w:p w14:paraId="7B794829" w14:textId="77777777" w:rsidR="00CE3D40" w:rsidRDefault="00CE3D40" w:rsidP="00CE3D40">
      <w:pPr>
        <w:pStyle w:val="CommentText"/>
        <w:numPr>
          <w:ilvl w:val="0"/>
          <w:numId w:val="34"/>
        </w:numPr>
      </w:pPr>
      <w:r>
        <w:t>The second statement is Objective</w:t>
      </w:r>
    </w:p>
    <w:p w14:paraId="02B24CBB" w14:textId="77777777" w:rsidR="00CE3D40" w:rsidRDefault="00CE3D40" w:rsidP="00CE3D40">
      <w:pPr>
        <w:pStyle w:val="CommentText"/>
        <w:numPr>
          <w:ilvl w:val="0"/>
          <w:numId w:val="34"/>
        </w:numPr>
      </w:pPr>
      <w:r>
        <w:t>Follow by methodology</w:t>
      </w:r>
    </w:p>
    <w:p w14:paraId="23C9F73C" w14:textId="4797B0C0" w:rsidR="00CE3D40" w:rsidRDefault="00CE3D40" w:rsidP="00CE3D40">
      <w:pPr>
        <w:pStyle w:val="CommentText"/>
        <w:numPr>
          <w:ilvl w:val="0"/>
          <w:numId w:val="34"/>
        </w:numPr>
      </w:pPr>
      <w:r>
        <w:t xml:space="preserve">Finding, conclusion and recommendation </w:t>
      </w:r>
      <w:proofErr w:type="gramStart"/>
      <w:r>
        <w:t>is</w:t>
      </w:r>
      <w:proofErr w:type="gramEnd"/>
      <w:r>
        <w:t xml:space="preserve"> the last. </w:t>
      </w:r>
    </w:p>
  </w:comment>
  <w:comment w:id="5" w:author="ADMIN" w:date="2025-07-30T01:27:00Z" w:initials="A">
    <w:p w14:paraId="27176F69" w14:textId="7456CDA1" w:rsidR="00CE3D40" w:rsidRDefault="00CE3D40">
      <w:pPr>
        <w:pStyle w:val="CommentText"/>
      </w:pPr>
      <w:r>
        <w:rPr>
          <w:rStyle w:val="CommentReference"/>
        </w:rPr>
        <w:annotationRef/>
      </w:r>
      <w:r>
        <w:t xml:space="preserve">I don’t think citation is the first to address in the introduction. Kindly come with your perception. </w:t>
      </w:r>
    </w:p>
  </w:comment>
  <w:comment w:id="6" w:author="ADMIN" w:date="2025-07-30T01:30:00Z" w:initials="A">
    <w:p w14:paraId="21649E94" w14:textId="4A6B2C99" w:rsidR="00CE3D40" w:rsidRDefault="00CE3D40">
      <w:pPr>
        <w:pStyle w:val="CommentText"/>
      </w:pPr>
      <w:r>
        <w:rPr>
          <w:rStyle w:val="CommentReference"/>
        </w:rPr>
        <w:annotationRef/>
      </w:r>
      <w:r>
        <w:t>Let us see other emerging economies before Nigeria.</w:t>
      </w:r>
    </w:p>
  </w:comment>
  <w:comment w:id="7" w:author="ADMIN" w:date="2025-07-30T01:31:00Z" w:initials="A">
    <w:p w14:paraId="1D8D3C7D" w14:textId="33FF8C8C" w:rsidR="00221FBF" w:rsidRDefault="00221FBF">
      <w:pPr>
        <w:pStyle w:val="CommentText"/>
      </w:pPr>
      <w:r>
        <w:rPr>
          <w:rStyle w:val="CommentReference"/>
        </w:rPr>
        <w:annotationRef/>
      </w:r>
      <w:r>
        <w:t>Say by Who?</w:t>
      </w:r>
    </w:p>
  </w:comment>
  <w:comment w:id="8" w:author="ADMIN" w:date="2025-07-30T01:32:00Z" w:initials="A">
    <w:p w14:paraId="6DBF9C17" w14:textId="639B15A8" w:rsidR="00221FBF" w:rsidRDefault="00221FBF">
      <w:pPr>
        <w:pStyle w:val="CommentText"/>
      </w:pPr>
      <w:r>
        <w:rPr>
          <w:rStyle w:val="CommentReference"/>
        </w:rPr>
        <w:annotationRef/>
      </w:r>
      <w:r>
        <w:t xml:space="preserve">This is not necessary in the Introduction </w:t>
      </w:r>
    </w:p>
  </w:comment>
  <w:comment w:id="9" w:author="ADMIN" w:date="2025-07-30T01:32:00Z" w:initials="A">
    <w:p w14:paraId="43A35C44" w14:textId="35D1A2C1" w:rsidR="00741347" w:rsidRDefault="00741347">
      <w:pPr>
        <w:pStyle w:val="CommentText"/>
      </w:pPr>
      <w:r>
        <w:rPr>
          <w:rStyle w:val="CommentReference"/>
        </w:rPr>
        <w:annotationRef/>
      </w:r>
      <w:r>
        <w:t>Remove!</w:t>
      </w:r>
    </w:p>
  </w:comment>
  <w:comment w:id="10" w:author="ADMIN" w:date="2025-07-30T01:33:00Z" w:initials="A">
    <w:p w14:paraId="465D8AD3" w14:textId="7F03A22F" w:rsidR="00741347" w:rsidRDefault="00741347">
      <w:pPr>
        <w:pStyle w:val="CommentText"/>
      </w:pPr>
      <w:r>
        <w:rPr>
          <w:rStyle w:val="CommentReference"/>
        </w:rPr>
        <w:annotationRef/>
      </w:r>
      <w:r>
        <w:t>Recast</w:t>
      </w:r>
    </w:p>
  </w:comment>
  <w:comment w:id="11" w:author="ADMIN" w:date="2025-07-30T01:33:00Z" w:initials="A">
    <w:p w14:paraId="4971D2D8" w14:textId="02AD6A19" w:rsidR="00741347" w:rsidRDefault="00741347">
      <w:pPr>
        <w:pStyle w:val="CommentText"/>
      </w:pPr>
      <w:r>
        <w:rPr>
          <w:rStyle w:val="CommentReference"/>
        </w:rPr>
        <w:annotationRef/>
      </w:r>
      <w:r>
        <w:t>Where are they?</w:t>
      </w:r>
    </w:p>
  </w:comment>
  <w:comment w:id="12" w:author="ADMIN" w:date="2025-07-30T01:34:00Z" w:initials="A">
    <w:p w14:paraId="51CBE81E" w14:textId="3F946EFA" w:rsidR="00741347" w:rsidRDefault="00741347">
      <w:pPr>
        <w:pStyle w:val="CommentText"/>
      </w:pPr>
      <w:r>
        <w:rPr>
          <w:rStyle w:val="CommentReference"/>
        </w:rPr>
        <w:annotationRef/>
      </w:r>
      <w:r>
        <w:t xml:space="preserve">You are not to address this in the Introduction </w:t>
      </w:r>
    </w:p>
  </w:comment>
  <w:comment w:id="13" w:author="ADMIN" w:date="2025-07-30T01:41:00Z" w:initials="A">
    <w:p w14:paraId="3C723367" w14:textId="51050F0A" w:rsidR="00741347" w:rsidRDefault="00741347">
      <w:pPr>
        <w:pStyle w:val="CommentText"/>
      </w:pPr>
      <w:r>
        <w:rPr>
          <w:rStyle w:val="CommentReference"/>
        </w:rPr>
        <w:annotationRef/>
      </w:r>
      <w:r>
        <w:t xml:space="preserve">You need to re-cast your introduction </w:t>
      </w:r>
      <w:r w:rsidR="00153AED">
        <w:t xml:space="preserve">and </w:t>
      </w:r>
      <w:r>
        <w:t>address the main issues relating to profitability and bri</w:t>
      </w:r>
      <w:r w:rsidR="00153AED">
        <w:t xml:space="preserve">ng out the gaps. </w:t>
      </w:r>
      <w:r>
        <w:t xml:space="preserve"> </w:t>
      </w:r>
    </w:p>
  </w:comment>
  <w:comment w:id="14" w:author="ADMIN" w:date="2025-07-30T01:42:00Z" w:initials="A">
    <w:p w14:paraId="4A1EDFE1" w14:textId="6AFCF228" w:rsidR="00153AED" w:rsidRDefault="00153AED">
      <w:pPr>
        <w:pStyle w:val="CommentText"/>
      </w:pPr>
      <w:r>
        <w:rPr>
          <w:rStyle w:val="CommentReference"/>
        </w:rPr>
        <w:annotationRef/>
      </w:r>
      <w:r>
        <w:t>Account for brief introduction of your Literature review.</w:t>
      </w:r>
    </w:p>
  </w:comment>
  <w:comment w:id="15" w:author="ADMIN" w:date="2025-07-30T01:43:00Z" w:initials="A">
    <w:p w14:paraId="04E2E30B" w14:textId="450AEE4C" w:rsidR="00153AED" w:rsidRDefault="00153AED">
      <w:pPr>
        <w:pStyle w:val="CommentText"/>
      </w:pPr>
      <w:r>
        <w:rPr>
          <w:rStyle w:val="CommentReference"/>
        </w:rPr>
        <w:annotationRef/>
      </w:r>
      <w:r>
        <w:t xml:space="preserve">Why not Conceptual Review. I think that needs to be address before </w:t>
      </w:r>
      <w:r w:rsidR="00253128">
        <w:t>Theoretical</w:t>
      </w:r>
      <w:r>
        <w:t xml:space="preserve"> </w:t>
      </w:r>
      <w:r w:rsidR="00253128">
        <w:t xml:space="preserve">review not even framework. </w:t>
      </w:r>
    </w:p>
  </w:comment>
  <w:comment w:id="16" w:author="ADMIN" w:date="2025-07-30T01:58:00Z" w:initials="A">
    <w:p w14:paraId="5D79BF90" w14:textId="696EECC9" w:rsidR="0066009E" w:rsidRDefault="0066009E">
      <w:pPr>
        <w:pStyle w:val="CommentText"/>
      </w:pPr>
      <w:r>
        <w:rPr>
          <w:rStyle w:val="CommentReference"/>
        </w:rPr>
        <w:annotationRef/>
      </w:r>
      <w:r>
        <w:t xml:space="preserve">This statement is not clear. </w:t>
      </w:r>
      <w:proofErr w:type="spellStart"/>
      <w:r>
        <w:t>Pls</w:t>
      </w:r>
      <w:proofErr w:type="spellEnd"/>
      <w:r>
        <w:t>, Re-Cast</w:t>
      </w:r>
    </w:p>
  </w:comment>
  <w:comment w:id="17" w:author="ADMIN" w:date="2025-07-30T23:50:00Z" w:initials="A">
    <w:p w14:paraId="04E0B503" w14:textId="7B029FB2" w:rsidR="00823385" w:rsidRDefault="00823385">
      <w:pPr>
        <w:pStyle w:val="CommentText"/>
      </w:pPr>
      <w:r>
        <w:rPr>
          <w:rStyle w:val="CommentReference"/>
        </w:rPr>
        <w:annotationRef/>
      </w:r>
      <w:r>
        <w:t xml:space="preserve">Use </w:t>
      </w:r>
      <w:proofErr w:type="spellStart"/>
      <w:r>
        <w:t>Apa</w:t>
      </w:r>
      <w:proofErr w:type="spellEnd"/>
      <w:r>
        <w:t xml:space="preserve"> 7</w:t>
      </w:r>
    </w:p>
  </w:comment>
  <w:comment w:id="18" w:author="ADMIN" w:date="2025-07-30T23:50:00Z" w:initials="A">
    <w:p w14:paraId="2EB57470" w14:textId="118A5D72" w:rsidR="00823385" w:rsidRDefault="00823385">
      <w:pPr>
        <w:pStyle w:val="CommentText"/>
      </w:pPr>
      <w:r>
        <w:rPr>
          <w:rStyle w:val="CommentReference"/>
        </w:rPr>
        <w:annotationRef/>
      </w:r>
      <w:r>
        <w:t>Ditto!</w:t>
      </w:r>
    </w:p>
  </w:comment>
  <w:comment w:id="19" w:author="ADMIN" w:date="2025-07-30T23:51:00Z" w:initials="A">
    <w:p w14:paraId="042F9B1C" w14:textId="6CA4A039" w:rsidR="00823385" w:rsidRDefault="00823385">
      <w:pPr>
        <w:pStyle w:val="CommentText"/>
      </w:pPr>
      <w:r>
        <w:rPr>
          <w:rStyle w:val="CommentReference"/>
        </w:rPr>
        <w:annotationRef/>
      </w:r>
      <w:r>
        <w:t>Which emerging market!</w:t>
      </w:r>
    </w:p>
  </w:comment>
  <w:comment w:id="20" w:author="ADMIN" w:date="2025-07-30T02:00:00Z" w:initials="A">
    <w:p w14:paraId="5F7EDD78" w14:textId="6EF69647" w:rsidR="0066009E" w:rsidRDefault="0066009E">
      <w:pPr>
        <w:pStyle w:val="CommentText"/>
      </w:pPr>
      <w:r>
        <w:rPr>
          <w:rStyle w:val="CommentReference"/>
        </w:rPr>
        <w:annotationRef/>
      </w:r>
      <w:r>
        <w:t>Each of the theories need to address independently. Let us how the theories can be with both IV and DV</w:t>
      </w:r>
    </w:p>
  </w:comment>
  <w:comment w:id="21" w:author="ADMIN" w:date="2025-07-30T02:02:00Z" w:initials="A">
    <w:p w14:paraId="4840838D" w14:textId="164C5046" w:rsidR="00D45B10" w:rsidRDefault="00D45B10">
      <w:pPr>
        <w:pStyle w:val="CommentText"/>
      </w:pPr>
      <w:r>
        <w:rPr>
          <w:rStyle w:val="CommentReference"/>
        </w:rPr>
        <w:annotationRef/>
      </w:r>
      <w:r>
        <w:t>Why not discuss this in your introduction?</w:t>
      </w:r>
    </w:p>
  </w:comment>
  <w:comment w:id="22" w:author="ADMIN" w:date="2025-07-30T02:07:00Z" w:initials="A">
    <w:p w14:paraId="255CA149" w14:textId="4D088301" w:rsidR="00E9456A" w:rsidRDefault="00E9456A">
      <w:pPr>
        <w:pStyle w:val="CommentText"/>
      </w:pPr>
      <w:r>
        <w:rPr>
          <w:rStyle w:val="CommentReference"/>
        </w:rPr>
        <w:annotationRef/>
      </w:r>
      <w:r>
        <w:t>.</w:t>
      </w:r>
    </w:p>
  </w:comment>
  <w:comment w:id="23" w:author="ADMIN" w:date="2025-07-30T02:11:00Z" w:initials="A">
    <w:p w14:paraId="5A96ADAE" w14:textId="71674BCA" w:rsidR="00E9456A" w:rsidRDefault="00E9456A">
      <w:pPr>
        <w:pStyle w:val="CommentText"/>
      </w:pPr>
      <w:r>
        <w:rPr>
          <w:rStyle w:val="CommentReference"/>
        </w:rPr>
        <w:annotationRef/>
      </w:r>
      <w:r>
        <w:t xml:space="preserve">This can be address in the empirical review. </w:t>
      </w:r>
    </w:p>
  </w:comment>
  <w:comment w:id="24" w:author="ADMIN" w:date="2025-07-30T02:11:00Z" w:initials="A">
    <w:p w14:paraId="3202BFE7" w14:textId="08D2950D" w:rsidR="00E9456A" w:rsidRDefault="00E9456A">
      <w:pPr>
        <w:pStyle w:val="CommentText"/>
      </w:pPr>
      <w:r>
        <w:rPr>
          <w:rStyle w:val="CommentReference"/>
        </w:rPr>
        <w:annotationRef/>
      </w:r>
      <w:r>
        <w:t>Ditto</w:t>
      </w:r>
    </w:p>
  </w:comment>
  <w:comment w:id="25" w:author="ADMIN" w:date="2025-07-30T23:52:00Z" w:initials="A">
    <w:p w14:paraId="02A39A94" w14:textId="1F924023" w:rsidR="00823385" w:rsidRDefault="00823385">
      <w:pPr>
        <w:pStyle w:val="CommentText"/>
      </w:pPr>
      <w:r>
        <w:rPr>
          <w:rStyle w:val="CommentReference"/>
        </w:rPr>
        <w:annotationRef/>
      </w:r>
      <w:r>
        <w:t xml:space="preserve">I don’t think this should be address here why not in introduction. </w:t>
      </w:r>
    </w:p>
  </w:comment>
  <w:comment w:id="26" w:author="ADMIN" w:date="2025-07-30T23:52:00Z" w:initials="A">
    <w:p w14:paraId="48B3472C" w14:textId="4A5D8F05" w:rsidR="00823385" w:rsidRDefault="00823385">
      <w:pPr>
        <w:pStyle w:val="CommentText"/>
      </w:pPr>
      <w:r>
        <w:rPr>
          <w:rStyle w:val="CommentReference"/>
        </w:rPr>
        <w:annotationRef/>
      </w:r>
      <w:r>
        <w:t>Ditto!</w:t>
      </w:r>
    </w:p>
  </w:comment>
  <w:comment w:id="27" w:author="ADMIN" w:date="2025-07-30T23:53:00Z" w:initials="A">
    <w:p w14:paraId="0244962D" w14:textId="05200C04" w:rsidR="00823385" w:rsidRDefault="00823385">
      <w:pPr>
        <w:pStyle w:val="CommentText"/>
      </w:pPr>
      <w:r>
        <w:rPr>
          <w:rStyle w:val="CommentReference"/>
        </w:rPr>
        <w:annotationRef/>
      </w:r>
      <w:r>
        <w:t>Citation is require here!</w:t>
      </w:r>
    </w:p>
  </w:comment>
  <w:comment w:id="28" w:author="ADMIN" w:date="2025-07-30T23:54:00Z" w:initials="A">
    <w:p w14:paraId="3979BA17" w14:textId="56122A78" w:rsidR="00823385" w:rsidRDefault="00823385">
      <w:pPr>
        <w:pStyle w:val="CommentText"/>
      </w:pPr>
      <w:r>
        <w:rPr>
          <w:rStyle w:val="CommentReference"/>
        </w:rPr>
        <w:annotationRef/>
      </w:r>
      <w:r>
        <w:t>Say by who!</w:t>
      </w:r>
    </w:p>
  </w:comment>
  <w:comment w:id="29" w:author="ADMIN" w:date="2025-07-30T23:55:00Z" w:initials="A">
    <w:p w14:paraId="11F4218D" w14:textId="6CBC4AFB" w:rsidR="00823385" w:rsidRDefault="00823385">
      <w:pPr>
        <w:pStyle w:val="CommentText"/>
      </w:pPr>
      <w:r>
        <w:rPr>
          <w:rStyle w:val="CommentReference"/>
        </w:rPr>
        <w:annotationRef/>
      </w:r>
      <w:r>
        <w:t xml:space="preserve">Why et al, the name has not be cited previously. </w:t>
      </w:r>
    </w:p>
  </w:comment>
  <w:comment w:id="30" w:author="ADMIN" w:date="2025-07-30T23:57:00Z" w:initials="A">
    <w:p w14:paraId="0E9583A9" w14:textId="09FAB1B9" w:rsidR="00823385" w:rsidRDefault="00823385">
      <w:pPr>
        <w:pStyle w:val="CommentText"/>
      </w:pPr>
      <w:r>
        <w:rPr>
          <w:rStyle w:val="CommentReference"/>
        </w:rPr>
        <w:annotationRef/>
      </w:r>
      <w:r>
        <w:t>Try to be specific, which of the historical data.</w:t>
      </w:r>
    </w:p>
  </w:comment>
  <w:comment w:id="31" w:author="ADMIN" w:date="2025-07-30T23:58:00Z" w:initials="A">
    <w:p w14:paraId="7180AE4A" w14:textId="68B4B503" w:rsidR="00823385" w:rsidRDefault="00823385">
      <w:pPr>
        <w:pStyle w:val="CommentText"/>
      </w:pPr>
      <w:r>
        <w:rPr>
          <w:rStyle w:val="CommentReference"/>
        </w:rPr>
        <w:annotationRef/>
      </w:r>
      <w:r>
        <w:t xml:space="preserve">Are you sure and how do you sure of tis statement. </w:t>
      </w:r>
    </w:p>
  </w:comment>
  <w:comment w:id="32" w:author="ADMIN" w:date="2025-07-30T23:58:00Z" w:initials="A">
    <w:p w14:paraId="77912335" w14:textId="56173094" w:rsidR="00823385" w:rsidRDefault="00823385">
      <w:pPr>
        <w:pStyle w:val="CommentText"/>
      </w:pPr>
      <w:r>
        <w:rPr>
          <w:rStyle w:val="CommentReference"/>
        </w:rPr>
        <w:annotationRef/>
      </w:r>
      <w:r>
        <w:t>Good!</w:t>
      </w:r>
    </w:p>
  </w:comment>
  <w:comment w:id="33" w:author="ADMIN" w:date="2025-07-31T00:09:00Z" w:initials="A">
    <w:p w14:paraId="52AF7C2D" w14:textId="285DE4B0" w:rsidR="00823385" w:rsidRDefault="00823385">
      <w:pPr>
        <w:pStyle w:val="CommentText"/>
      </w:pPr>
      <w:r>
        <w:rPr>
          <w:rStyle w:val="CommentReference"/>
        </w:rPr>
        <w:annotationRef/>
      </w:r>
      <w:r>
        <w:t>Why this</w:t>
      </w:r>
      <w:r w:rsidR="00662EF0">
        <w:t xml:space="preserve">! Why not others regression model. </w:t>
      </w:r>
    </w:p>
  </w:comment>
  <w:comment w:id="34" w:author="ADMIN" w:date="2025-07-31T00:12:00Z" w:initials="A">
    <w:p w14:paraId="01CAC7D9" w14:textId="4675E531" w:rsidR="00B51698" w:rsidRDefault="00B51698">
      <w:pPr>
        <w:pStyle w:val="CommentText"/>
      </w:pPr>
      <w:r>
        <w:rPr>
          <w:rStyle w:val="CommentReference"/>
        </w:rPr>
        <w:annotationRef/>
      </w:r>
      <w:r>
        <w:t>!</w:t>
      </w:r>
    </w:p>
  </w:comment>
  <w:comment w:id="35" w:author="ADMIN" w:date="2025-07-31T00:14:00Z" w:initials="A">
    <w:p w14:paraId="33E672D3" w14:textId="1C4CF49A" w:rsidR="00B51698" w:rsidRDefault="00B51698">
      <w:pPr>
        <w:pStyle w:val="CommentText"/>
      </w:pPr>
      <w:r>
        <w:rPr>
          <w:rStyle w:val="CommentReference"/>
        </w:rPr>
        <w:annotationRef/>
      </w:r>
      <w:r>
        <w:t>Are you sure of this range</w:t>
      </w:r>
    </w:p>
  </w:comment>
  <w:comment w:id="36" w:author="ADMIN" w:date="2025-07-31T00:15:00Z" w:initials="A">
    <w:p w14:paraId="4F508A4A" w14:textId="2A8F11E6" w:rsidR="00B51698" w:rsidRDefault="00B51698">
      <w:pPr>
        <w:pStyle w:val="CommentText"/>
      </w:pPr>
      <w:r>
        <w:rPr>
          <w:rStyle w:val="CommentReference"/>
        </w:rPr>
        <w:annotationRef/>
      </w:r>
      <w:r>
        <w:t>Kindly space this.</w:t>
      </w:r>
    </w:p>
  </w:comment>
  <w:comment w:id="37" w:author="ADMIN" w:date="2025-07-31T00:17:00Z" w:initials="A">
    <w:p w14:paraId="4DAE6571" w14:textId="4C4F480D" w:rsidR="00B51698" w:rsidRDefault="00B51698">
      <w:pPr>
        <w:pStyle w:val="CommentText"/>
      </w:pPr>
      <w:r>
        <w:rPr>
          <w:rStyle w:val="CommentReference"/>
        </w:rPr>
        <w:annotationRef/>
      </w:r>
      <w:r>
        <w:t xml:space="preserve">Kindly re-visit this and let us see the table. </w:t>
      </w:r>
    </w:p>
  </w:comment>
  <w:comment w:id="38" w:author="ADMIN" w:date="2025-07-31T00:17:00Z" w:initials="A">
    <w:p w14:paraId="188BFC5B" w14:textId="1AE372AC" w:rsidR="00B51698" w:rsidRDefault="00B51698">
      <w:pPr>
        <w:pStyle w:val="CommentText"/>
      </w:pPr>
      <w:r>
        <w:rPr>
          <w:rStyle w:val="CommentReference"/>
        </w:rPr>
        <w:annotationRef/>
      </w:r>
      <w:r>
        <w:t xml:space="preserve">Good work and commendable. </w:t>
      </w:r>
    </w:p>
  </w:comment>
  <w:comment w:id="39" w:author="ADMIN" w:date="2025-07-31T00:21:00Z" w:initials="A">
    <w:p w14:paraId="5C0A2507" w14:textId="6231A1CA" w:rsidR="00392BA0" w:rsidRDefault="00392BA0">
      <w:pPr>
        <w:pStyle w:val="CommentText"/>
      </w:pPr>
      <w:r>
        <w:rPr>
          <w:rStyle w:val="CommentReference"/>
        </w:rPr>
        <w:annotationRef/>
      </w:r>
      <w:r>
        <w:t xml:space="preserve">Note that you are to address your discussion of findings in line with the stated hypotheses in literature review. Thus, you need to re-visit this. </w:t>
      </w:r>
    </w:p>
  </w:comment>
  <w:comment w:id="40" w:author="ADMIN" w:date="2025-07-31T00:19:00Z" w:initials="A">
    <w:p w14:paraId="22B2E9A8" w14:textId="538ABE8D" w:rsidR="00B51698" w:rsidRDefault="00B51698">
      <w:pPr>
        <w:pStyle w:val="CommentText"/>
      </w:pPr>
      <w:r>
        <w:rPr>
          <w:rStyle w:val="CommentReference"/>
        </w:rPr>
        <w:annotationRef/>
      </w:r>
      <w:r>
        <w:t xml:space="preserve">Is this necessary.  </w:t>
      </w:r>
    </w:p>
  </w:comment>
  <w:comment w:id="41" w:author="ADMIN" w:date="2025-07-31T00:22:00Z" w:initials="A">
    <w:p w14:paraId="2518AD02" w14:textId="11EDBC6A" w:rsidR="00392BA0" w:rsidRDefault="00392BA0">
      <w:pPr>
        <w:pStyle w:val="CommentText"/>
      </w:pPr>
      <w:r>
        <w:rPr>
          <w:rStyle w:val="CommentReference"/>
        </w:rPr>
        <w:annotationRef/>
      </w:r>
      <w:r>
        <w:t>Kindly remove this!</w:t>
      </w:r>
    </w:p>
  </w:comment>
  <w:comment w:id="42" w:author="ADMIN" w:date="2025-07-31T00:25:00Z" w:initials="A">
    <w:p w14:paraId="6861E3DB" w14:textId="3D41931D" w:rsidR="00392BA0" w:rsidRDefault="00392BA0">
      <w:pPr>
        <w:pStyle w:val="CommentText"/>
      </w:pPr>
      <w:r>
        <w:rPr>
          <w:rStyle w:val="CommentReference"/>
        </w:rPr>
        <w:annotationRef/>
      </w:r>
      <w:r>
        <w:t xml:space="preserve"> You need to improve on this and recommends in in line with objective of this study. </w:t>
      </w:r>
    </w:p>
  </w:comment>
  <w:comment w:id="43" w:author="ADMIN" w:date="2025-07-31T00:27:00Z" w:initials="A">
    <w:p w14:paraId="17FF38A9" w14:textId="56E62072" w:rsidR="00006C61" w:rsidRDefault="00006C61">
      <w:pPr>
        <w:pStyle w:val="CommentText"/>
      </w:pPr>
      <w:r>
        <w:rPr>
          <w:rStyle w:val="CommentReference"/>
        </w:rPr>
        <w:annotationRef/>
      </w:r>
      <w:r>
        <w:t xml:space="preserve">A line your references with APA </w:t>
      </w:r>
      <w:r>
        <w:t>7</w:t>
      </w:r>
      <w:bookmarkStart w:id="44" w:name="_GoBack"/>
      <w:bookmarkEnd w:id="4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65809" w14:textId="77777777" w:rsidR="007C0C94" w:rsidRDefault="007C0C94" w:rsidP="00F059E7">
      <w:pPr>
        <w:spacing w:after="0" w:line="240" w:lineRule="auto"/>
      </w:pPr>
      <w:r>
        <w:separator/>
      </w:r>
    </w:p>
  </w:endnote>
  <w:endnote w:type="continuationSeparator" w:id="0">
    <w:p w14:paraId="0F8CE118" w14:textId="77777777" w:rsidR="007C0C94" w:rsidRDefault="007C0C94" w:rsidP="00F0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268C" w14:textId="77777777" w:rsidR="00F059E7" w:rsidRDefault="00F05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17123" w14:textId="77777777" w:rsidR="00F059E7" w:rsidRDefault="00F05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DAF4" w14:textId="77777777" w:rsidR="00F059E7" w:rsidRDefault="00F0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BE330" w14:textId="77777777" w:rsidR="007C0C94" w:rsidRDefault="007C0C94" w:rsidP="00F059E7">
      <w:pPr>
        <w:spacing w:after="0" w:line="240" w:lineRule="auto"/>
      </w:pPr>
      <w:r>
        <w:separator/>
      </w:r>
    </w:p>
  </w:footnote>
  <w:footnote w:type="continuationSeparator" w:id="0">
    <w:p w14:paraId="1BA2B284" w14:textId="77777777" w:rsidR="007C0C94" w:rsidRDefault="007C0C94" w:rsidP="00F05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9810" w14:textId="61A291C5" w:rsidR="00F059E7" w:rsidRDefault="007C0C94">
    <w:pPr>
      <w:pStyle w:val="Header"/>
    </w:pPr>
    <w:r>
      <w:rPr>
        <w:noProof/>
      </w:rPr>
      <w:pict w14:anchorId="5BA19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856C3" w14:textId="5AE335A1" w:rsidR="00F059E7" w:rsidRDefault="007C0C94">
    <w:pPr>
      <w:pStyle w:val="Header"/>
    </w:pPr>
    <w:r>
      <w:rPr>
        <w:noProof/>
      </w:rPr>
      <w:pict w14:anchorId="0ADCF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1205" w14:textId="41269F05" w:rsidR="00F059E7" w:rsidRDefault="007C0C94">
    <w:pPr>
      <w:pStyle w:val="Header"/>
    </w:pPr>
    <w:r>
      <w:rPr>
        <w:noProof/>
      </w:rPr>
      <w:pict w14:anchorId="22EB8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8990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78A56B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375ABF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E77E4E4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4"/>
    <w:multiLevelType w:val="multilevel"/>
    <w:tmpl w:val="3D5C54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multilevel"/>
    <w:tmpl w:val="3392CC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6"/>
    <w:multiLevelType w:val="multilevel"/>
    <w:tmpl w:val="792276C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7"/>
    <w:multiLevelType w:val="multilevel"/>
    <w:tmpl w:val="3B7A0D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8"/>
    <w:multiLevelType w:val="multilevel"/>
    <w:tmpl w:val="10E8022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multilevel"/>
    <w:tmpl w:val="41DC19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A"/>
    <w:multiLevelType w:val="multilevel"/>
    <w:tmpl w:val="EB5CB0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multilevel"/>
    <w:tmpl w:val="27E614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nsid w:val="0000000C"/>
    <w:multiLevelType w:val="multilevel"/>
    <w:tmpl w:val="F33865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D"/>
    <w:multiLevelType w:val="multilevel"/>
    <w:tmpl w:val="0BDE9F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multilevel"/>
    <w:tmpl w:val="DF3EE618"/>
    <w:lvl w:ilvl="0">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nsid w:val="0000000F"/>
    <w:multiLevelType w:val="multilevel"/>
    <w:tmpl w:val="214E38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10"/>
    <w:multiLevelType w:val="multilevel"/>
    <w:tmpl w:val="40520B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nsid w:val="00000011"/>
    <w:multiLevelType w:val="multilevel"/>
    <w:tmpl w:val="930CC7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multilevel"/>
    <w:tmpl w:val="C3D68D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3"/>
    <w:multiLevelType w:val="multilevel"/>
    <w:tmpl w:val="FD2898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nsid w:val="00000014"/>
    <w:multiLevelType w:val="multilevel"/>
    <w:tmpl w:val="FBC8DF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nsid w:val="00000015"/>
    <w:multiLevelType w:val="multilevel"/>
    <w:tmpl w:val="28B2AE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nsid w:val="00000016"/>
    <w:multiLevelType w:val="multilevel"/>
    <w:tmpl w:val="C1265F1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nsid w:val="00000017"/>
    <w:multiLevelType w:val="multilevel"/>
    <w:tmpl w:val="4E347DD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nsid w:val="00000018"/>
    <w:multiLevelType w:val="multilevel"/>
    <w:tmpl w:val="4E104DF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nsid w:val="00000019"/>
    <w:multiLevelType w:val="multilevel"/>
    <w:tmpl w:val="7E865E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A"/>
    <w:multiLevelType w:val="multilevel"/>
    <w:tmpl w:val="0068FEC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6">
    <w:nsid w:val="0000001B"/>
    <w:multiLevelType w:val="multilevel"/>
    <w:tmpl w:val="F420F0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nsid w:val="0000001C"/>
    <w:multiLevelType w:val="multilevel"/>
    <w:tmpl w:val="A808C1D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nsid w:val="07AE4FAE"/>
    <w:multiLevelType w:val="multilevel"/>
    <w:tmpl w:val="359E4D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5976E43"/>
    <w:multiLevelType w:val="hybridMultilevel"/>
    <w:tmpl w:val="8BE40E5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35C747D3"/>
    <w:multiLevelType w:val="multilevel"/>
    <w:tmpl w:val="B16C06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nsid w:val="37893D3E"/>
    <w:multiLevelType w:val="multilevel"/>
    <w:tmpl w:val="76761E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3ADC39F3"/>
    <w:multiLevelType w:val="multilevel"/>
    <w:tmpl w:val="DDFC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043228"/>
    <w:multiLevelType w:val="multilevel"/>
    <w:tmpl w:val="B16C06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nsid w:val="5821225B"/>
    <w:multiLevelType w:val="hybridMultilevel"/>
    <w:tmpl w:val="6770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4"/>
  </w:num>
  <w:num w:numId="4">
    <w:abstractNumId w:val="30"/>
  </w:num>
  <w:num w:numId="5">
    <w:abstractNumId w:val="23"/>
  </w:num>
  <w:num w:numId="6">
    <w:abstractNumId w:val="17"/>
  </w:num>
  <w:num w:numId="7">
    <w:abstractNumId w:val="5"/>
  </w:num>
  <w:num w:numId="8">
    <w:abstractNumId w:val="12"/>
  </w:num>
  <w:num w:numId="9">
    <w:abstractNumId w:val="14"/>
  </w:num>
  <w:num w:numId="10">
    <w:abstractNumId w:val="25"/>
  </w:num>
  <w:num w:numId="11">
    <w:abstractNumId w:val="9"/>
  </w:num>
  <w:num w:numId="12">
    <w:abstractNumId w:val="3"/>
  </w:num>
  <w:num w:numId="13">
    <w:abstractNumId w:val="19"/>
  </w:num>
  <w:num w:numId="14">
    <w:abstractNumId w:val="15"/>
  </w:num>
  <w:num w:numId="15">
    <w:abstractNumId w:val="1"/>
  </w:num>
  <w:num w:numId="16">
    <w:abstractNumId w:val="24"/>
  </w:num>
  <w:num w:numId="17">
    <w:abstractNumId w:val="2"/>
  </w:num>
  <w:num w:numId="18">
    <w:abstractNumId w:val="20"/>
  </w:num>
  <w:num w:numId="19">
    <w:abstractNumId w:val="7"/>
  </w:num>
  <w:num w:numId="20">
    <w:abstractNumId w:val="26"/>
  </w:num>
  <w:num w:numId="21">
    <w:abstractNumId w:val="18"/>
  </w:num>
  <w:num w:numId="22">
    <w:abstractNumId w:val="11"/>
  </w:num>
  <w:num w:numId="23">
    <w:abstractNumId w:val="16"/>
  </w:num>
  <w:num w:numId="24">
    <w:abstractNumId w:val="10"/>
  </w:num>
  <w:num w:numId="25">
    <w:abstractNumId w:val="6"/>
  </w:num>
  <w:num w:numId="26">
    <w:abstractNumId w:val="27"/>
  </w:num>
  <w:num w:numId="27">
    <w:abstractNumId w:val="8"/>
  </w:num>
  <w:num w:numId="28">
    <w:abstractNumId w:val="0"/>
  </w:num>
  <w:num w:numId="29">
    <w:abstractNumId w:val="22"/>
  </w:num>
  <w:num w:numId="30">
    <w:abstractNumId w:val="32"/>
  </w:num>
  <w:num w:numId="31">
    <w:abstractNumId w:val="29"/>
  </w:num>
  <w:num w:numId="32">
    <w:abstractNumId w:val="28"/>
  </w:num>
  <w:num w:numId="33">
    <w:abstractNumId w:val="31"/>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62"/>
    <w:rsid w:val="000032AA"/>
    <w:rsid w:val="000045D5"/>
    <w:rsid w:val="00006BE1"/>
    <w:rsid w:val="00006C61"/>
    <w:rsid w:val="00010846"/>
    <w:rsid w:val="000110FC"/>
    <w:rsid w:val="00011832"/>
    <w:rsid w:val="00023C25"/>
    <w:rsid w:val="00026F6B"/>
    <w:rsid w:val="000309F6"/>
    <w:rsid w:val="00033416"/>
    <w:rsid w:val="00035204"/>
    <w:rsid w:val="00047A23"/>
    <w:rsid w:val="0006013F"/>
    <w:rsid w:val="000608F4"/>
    <w:rsid w:val="00061B98"/>
    <w:rsid w:val="0006696A"/>
    <w:rsid w:val="00067FEC"/>
    <w:rsid w:val="00075BA8"/>
    <w:rsid w:val="0007684C"/>
    <w:rsid w:val="00077184"/>
    <w:rsid w:val="000835D5"/>
    <w:rsid w:val="000856F1"/>
    <w:rsid w:val="0009060D"/>
    <w:rsid w:val="00090D4B"/>
    <w:rsid w:val="000919A2"/>
    <w:rsid w:val="0009269B"/>
    <w:rsid w:val="000949AF"/>
    <w:rsid w:val="000A2054"/>
    <w:rsid w:val="000A314E"/>
    <w:rsid w:val="000A7F5F"/>
    <w:rsid w:val="000B06A4"/>
    <w:rsid w:val="000B0F48"/>
    <w:rsid w:val="000B4317"/>
    <w:rsid w:val="000B61B0"/>
    <w:rsid w:val="000B7406"/>
    <w:rsid w:val="000C076F"/>
    <w:rsid w:val="000C5498"/>
    <w:rsid w:val="000C77C1"/>
    <w:rsid w:val="000C7E43"/>
    <w:rsid w:val="000D025F"/>
    <w:rsid w:val="000D45DD"/>
    <w:rsid w:val="000D5FE1"/>
    <w:rsid w:val="000D75C4"/>
    <w:rsid w:val="000E27EA"/>
    <w:rsid w:val="000E614F"/>
    <w:rsid w:val="000F0303"/>
    <w:rsid w:val="000F2DC8"/>
    <w:rsid w:val="000F42A4"/>
    <w:rsid w:val="000F473C"/>
    <w:rsid w:val="000F4D36"/>
    <w:rsid w:val="000F51B2"/>
    <w:rsid w:val="000F726C"/>
    <w:rsid w:val="000F7573"/>
    <w:rsid w:val="00100D70"/>
    <w:rsid w:val="00100F68"/>
    <w:rsid w:val="0010502F"/>
    <w:rsid w:val="00105C5C"/>
    <w:rsid w:val="00105C8C"/>
    <w:rsid w:val="00107E32"/>
    <w:rsid w:val="00112FBF"/>
    <w:rsid w:val="00114541"/>
    <w:rsid w:val="00123FF6"/>
    <w:rsid w:val="001263E3"/>
    <w:rsid w:val="001264DE"/>
    <w:rsid w:val="00127A3B"/>
    <w:rsid w:val="001310AB"/>
    <w:rsid w:val="00136FE6"/>
    <w:rsid w:val="001411D3"/>
    <w:rsid w:val="0014410C"/>
    <w:rsid w:val="00150CE1"/>
    <w:rsid w:val="00152812"/>
    <w:rsid w:val="00153AED"/>
    <w:rsid w:val="0016135C"/>
    <w:rsid w:val="00161369"/>
    <w:rsid w:val="001622C5"/>
    <w:rsid w:val="001638BA"/>
    <w:rsid w:val="00163CF7"/>
    <w:rsid w:val="00166C08"/>
    <w:rsid w:val="00170F43"/>
    <w:rsid w:val="00177B57"/>
    <w:rsid w:val="0018408B"/>
    <w:rsid w:val="0018529D"/>
    <w:rsid w:val="00191D90"/>
    <w:rsid w:val="001967D3"/>
    <w:rsid w:val="001A2355"/>
    <w:rsid w:val="001A2EB8"/>
    <w:rsid w:val="001A7EEF"/>
    <w:rsid w:val="001B0F1C"/>
    <w:rsid w:val="001B1920"/>
    <w:rsid w:val="001B19B6"/>
    <w:rsid w:val="001C0551"/>
    <w:rsid w:val="001C0792"/>
    <w:rsid w:val="001C0A28"/>
    <w:rsid w:val="001C1780"/>
    <w:rsid w:val="001C2D42"/>
    <w:rsid w:val="001C5B82"/>
    <w:rsid w:val="001C6037"/>
    <w:rsid w:val="001D02BA"/>
    <w:rsid w:val="001D09DF"/>
    <w:rsid w:val="001D2255"/>
    <w:rsid w:val="001D29CF"/>
    <w:rsid w:val="001D2AB5"/>
    <w:rsid w:val="001D2C05"/>
    <w:rsid w:val="001D6C1F"/>
    <w:rsid w:val="001E27B0"/>
    <w:rsid w:val="001E357C"/>
    <w:rsid w:val="001E41D2"/>
    <w:rsid w:val="001E56C2"/>
    <w:rsid w:val="001E58D4"/>
    <w:rsid w:val="001E5C8E"/>
    <w:rsid w:val="001E6985"/>
    <w:rsid w:val="001F241C"/>
    <w:rsid w:val="001F2F28"/>
    <w:rsid w:val="001F3384"/>
    <w:rsid w:val="0020016D"/>
    <w:rsid w:val="002011B9"/>
    <w:rsid w:val="00201E1E"/>
    <w:rsid w:val="00202ECC"/>
    <w:rsid w:val="00205198"/>
    <w:rsid w:val="00206ECD"/>
    <w:rsid w:val="00207AB0"/>
    <w:rsid w:val="0021384C"/>
    <w:rsid w:val="0021579B"/>
    <w:rsid w:val="00217A86"/>
    <w:rsid w:val="00221FBF"/>
    <w:rsid w:val="00223895"/>
    <w:rsid w:val="00226AB3"/>
    <w:rsid w:val="00236AFF"/>
    <w:rsid w:val="0024580D"/>
    <w:rsid w:val="0025090B"/>
    <w:rsid w:val="002515C9"/>
    <w:rsid w:val="002521FB"/>
    <w:rsid w:val="00253128"/>
    <w:rsid w:val="00254D22"/>
    <w:rsid w:val="00257F14"/>
    <w:rsid w:val="002610C2"/>
    <w:rsid w:val="00262094"/>
    <w:rsid w:val="0026654C"/>
    <w:rsid w:val="0027226E"/>
    <w:rsid w:val="00272DBA"/>
    <w:rsid w:val="002776EF"/>
    <w:rsid w:val="00281735"/>
    <w:rsid w:val="002838E9"/>
    <w:rsid w:val="002857AB"/>
    <w:rsid w:val="0029144C"/>
    <w:rsid w:val="00294156"/>
    <w:rsid w:val="00297173"/>
    <w:rsid w:val="002A0C7E"/>
    <w:rsid w:val="002A1368"/>
    <w:rsid w:val="002A1937"/>
    <w:rsid w:val="002A5F2B"/>
    <w:rsid w:val="002A68CC"/>
    <w:rsid w:val="002A7D26"/>
    <w:rsid w:val="002B340B"/>
    <w:rsid w:val="002B4EA9"/>
    <w:rsid w:val="002C7B12"/>
    <w:rsid w:val="002F0E64"/>
    <w:rsid w:val="002F5DED"/>
    <w:rsid w:val="003004F8"/>
    <w:rsid w:val="00300DB0"/>
    <w:rsid w:val="00303A5E"/>
    <w:rsid w:val="00303CA0"/>
    <w:rsid w:val="00304CF4"/>
    <w:rsid w:val="00306B41"/>
    <w:rsid w:val="003117CC"/>
    <w:rsid w:val="00312A8D"/>
    <w:rsid w:val="00322FEA"/>
    <w:rsid w:val="00330CBF"/>
    <w:rsid w:val="003318E6"/>
    <w:rsid w:val="00333351"/>
    <w:rsid w:val="00334DB9"/>
    <w:rsid w:val="00336208"/>
    <w:rsid w:val="00337731"/>
    <w:rsid w:val="00337CB7"/>
    <w:rsid w:val="00342448"/>
    <w:rsid w:val="0034427F"/>
    <w:rsid w:val="00346CA5"/>
    <w:rsid w:val="00347949"/>
    <w:rsid w:val="003507CC"/>
    <w:rsid w:val="003508D9"/>
    <w:rsid w:val="0035118D"/>
    <w:rsid w:val="00351F1B"/>
    <w:rsid w:val="003550F5"/>
    <w:rsid w:val="00371603"/>
    <w:rsid w:val="003806E1"/>
    <w:rsid w:val="003851CC"/>
    <w:rsid w:val="00390A0F"/>
    <w:rsid w:val="00392BA0"/>
    <w:rsid w:val="00396FFA"/>
    <w:rsid w:val="00397A90"/>
    <w:rsid w:val="003A07E8"/>
    <w:rsid w:val="003A0BD0"/>
    <w:rsid w:val="003B467C"/>
    <w:rsid w:val="003B4D0F"/>
    <w:rsid w:val="003B6495"/>
    <w:rsid w:val="003C36A6"/>
    <w:rsid w:val="003C6247"/>
    <w:rsid w:val="003C78BD"/>
    <w:rsid w:val="003D1004"/>
    <w:rsid w:val="003D11C3"/>
    <w:rsid w:val="003D132A"/>
    <w:rsid w:val="003D1BB3"/>
    <w:rsid w:val="003D28FD"/>
    <w:rsid w:val="003D5809"/>
    <w:rsid w:val="003E334D"/>
    <w:rsid w:val="003E3D1E"/>
    <w:rsid w:val="003E4320"/>
    <w:rsid w:val="003F0AF9"/>
    <w:rsid w:val="003F747F"/>
    <w:rsid w:val="004025CF"/>
    <w:rsid w:val="004130B0"/>
    <w:rsid w:val="004138AE"/>
    <w:rsid w:val="00422A8C"/>
    <w:rsid w:val="00423D14"/>
    <w:rsid w:val="00425AF5"/>
    <w:rsid w:val="00425C3D"/>
    <w:rsid w:val="004301DD"/>
    <w:rsid w:val="00431608"/>
    <w:rsid w:val="00436A6F"/>
    <w:rsid w:val="00440904"/>
    <w:rsid w:val="00456664"/>
    <w:rsid w:val="00463235"/>
    <w:rsid w:val="00470F6E"/>
    <w:rsid w:val="004720C9"/>
    <w:rsid w:val="00472EC8"/>
    <w:rsid w:val="0047689A"/>
    <w:rsid w:val="0047757B"/>
    <w:rsid w:val="00480192"/>
    <w:rsid w:val="004825C6"/>
    <w:rsid w:val="00487143"/>
    <w:rsid w:val="004937CC"/>
    <w:rsid w:val="00497E79"/>
    <w:rsid w:val="004A7C22"/>
    <w:rsid w:val="004B1539"/>
    <w:rsid w:val="004B16A9"/>
    <w:rsid w:val="004B42B8"/>
    <w:rsid w:val="004B5F63"/>
    <w:rsid w:val="004B61DA"/>
    <w:rsid w:val="004B7442"/>
    <w:rsid w:val="004C0724"/>
    <w:rsid w:val="004C61F7"/>
    <w:rsid w:val="004C76AA"/>
    <w:rsid w:val="004C7B30"/>
    <w:rsid w:val="004D027D"/>
    <w:rsid w:val="004D1070"/>
    <w:rsid w:val="004D61DA"/>
    <w:rsid w:val="004E0F8D"/>
    <w:rsid w:val="004E64B0"/>
    <w:rsid w:val="004F6CA5"/>
    <w:rsid w:val="00500AB3"/>
    <w:rsid w:val="00501336"/>
    <w:rsid w:val="005050D7"/>
    <w:rsid w:val="0050722E"/>
    <w:rsid w:val="00511DE5"/>
    <w:rsid w:val="00513864"/>
    <w:rsid w:val="00521C31"/>
    <w:rsid w:val="005229F1"/>
    <w:rsid w:val="005324A8"/>
    <w:rsid w:val="005331F7"/>
    <w:rsid w:val="00533ED6"/>
    <w:rsid w:val="00536C4F"/>
    <w:rsid w:val="0053723C"/>
    <w:rsid w:val="005402D2"/>
    <w:rsid w:val="00542139"/>
    <w:rsid w:val="00546494"/>
    <w:rsid w:val="00550D91"/>
    <w:rsid w:val="00552149"/>
    <w:rsid w:val="00552F94"/>
    <w:rsid w:val="005652D7"/>
    <w:rsid w:val="0056796E"/>
    <w:rsid w:val="00567BA0"/>
    <w:rsid w:val="00567D18"/>
    <w:rsid w:val="00570614"/>
    <w:rsid w:val="00572CFE"/>
    <w:rsid w:val="00573897"/>
    <w:rsid w:val="005772F5"/>
    <w:rsid w:val="00577E2A"/>
    <w:rsid w:val="00584059"/>
    <w:rsid w:val="00585329"/>
    <w:rsid w:val="00585549"/>
    <w:rsid w:val="00587EDF"/>
    <w:rsid w:val="00590495"/>
    <w:rsid w:val="00592371"/>
    <w:rsid w:val="00592841"/>
    <w:rsid w:val="005931A6"/>
    <w:rsid w:val="005A317A"/>
    <w:rsid w:val="005A75D8"/>
    <w:rsid w:val="005B0925"/>
    <w:rsid w:val="005B143C"/>
    <w:rsid w:val="005B5A34"/>
    <w:rsid w:val="005C4A4F"/>
    <w:rsid w:val="005C6D1D"/>
    <w:rsid w:val="005C70C3"/>
    <w:rsid w:val="005D07F4"/>
    <w:rsid w:val="005D5288"/>
    <w:rsid w:val="005D5F5F"/>
    <w:rsid w:val="005E2C0B"/>
    <w:rsid w:val="005E7342"/>
    <w:rsid w:val="005F45B6"/>
    <w:rsid w:val="0060345F"/>
    <w:rsid w:val="00611B8E"/>
    <w:rsid w:val="006133EC"/>
    <w:rsid w:val="0061497B"/>
    <w:rsid w:val="006165AD"/>
    <w:rsid w:val="00616FEC"/>
    <w:rsid w:val="00622228"/>
    <w:rsid w:val="00624C47"/>
    <w:rsid w:val="0062611E"/>
    <w:rsid w:val="00631F63"/>
    <w:rsid w:val="006331A1"/>
    <w:rsid w:val="00634CAD"/>
    <w:rsid w:val="00635CF7"/>
    <w:rsid w:val="0066009E"/>
    <w:rsid w:val="00660375"/>
    <w:rsid w:val="006605C5"/>
    <w:rsid w:val="0066197E"/>
    <w:rsid w:val="00661B09"/>
    <w:rsid w:val="00662EF0"/>
    <w:rsid w:val="00665AC9"/>
    <w:rsid w:val="00667357"/>
    <w:rsid w:val="00670691"/>
    <w:rsid w:val="0067315F"/>
    <w:rsid w:val="00674CE9"/>
    <w:rsid w:val="0068292E"/>
    <w:rsid w:val="00692DBA"/>
    <w:rsid w:val="00693ABC"/>
    <w:rsid w:val="00694C69"/>
    <w:rsid w:val="006954C6"/>
    <w:rsid w:val="006A2140"/>
    <w:rsid w:val="006A531B"/>
    <w:rsid w:val="006A6588"/>
    <w:rsid w:val="006A76C3"/>
    <w:rsid w:val="006B3139"/>
    <w:rsid w:val="006B71FC"/>
    <w:rsid w:val="006C4355"/>
    <w:rsid w:val="006C6636"/>
    <w:rsid w:val="006D3513"/>
    <w:rsid w:val="006D4E19"/>
    <w:rsid w:val="006D6015"/>
    <w:rsid w:val="006D6E46"/>
    <w:rsid w:val="006D7E5E"/>
    <w:rsid w:val="006E12E6"/>
    <w:rsid w:val="006E7CDF"/>
    <w:rsid w:val="006F079C"/>
    <w:rsid w:val="006F1B69"/>
    <w:rsid w:val="006F2FE9"/>
    <w:rsid w:val="006F368D"/>
    <w:rsid w:val="006F5F7E"/>
    <w:rsid w:val="006F7860"/>
    <w:rsid w:val="00704776"/>
    <w:rsid w:val="007071B8"/>
    <w:rsid w:val="0071172A"/>
    <w:rsid w:val="00715C4A"/>
    <w:rsid w:val="00716ABA"/>
    <w:rsid w:val="00722EAD"/>
    <w:rsid w:val="00723071"/>
    <w:rsid w:val="00725E35"/>
    <w:rsid w:val="007262DF"/>
    <w:rsid w:val="00727118"/>
    <w:rsid w:val="00733ACC"/>
    <w:rsid w:val="00734175"/>
    <w:rsid w:val="00734C0A"/>
    <w:rsid w:val="00740F93"/>
    <w:rsid w:val="00741347"/>
    <w:rsid w:val="0074397C"/>
    <w:rsid w:val="007448F3"/>
    <w:rsid w:val="00750129"/>
    <w:rsid w:val="007536D0"/>
    <w:rsid w:val="00755B15"/>
    <w:rsid w:val="00755E87"/>
    <w:rsid w:val="00762E34"/>
    <w:rsid w:val="00764E9E"/>
    <w:rsid w:val="0076572B"/>
    <w:rsid w:val="00771A83"/>
    <w:rsid w:val="00771C20"/>
    <w:rsid w:val="00772D66"/>
    <w:rsid w:val="00773CB8"/>
    <w:rsid w:val="007824B9"/>
    <w:rsid w:val="00786FDA"/>
    <w:rsid w:val="00794553"/>
    <w:rsid w:val="00794709"/>
    <w:rsid w:val="00795460"/>
    <w:rsid w:val="00796826"/>
    <w:rsid w:val="007A47C2"/>
    <w:rsid w:val="007B0E56"/>
    <w:rsid w:val="007B3701"/>
    <w:rsid w:val="007B4E1D"/>
    <w:rsid w:val="007C0C94"/>
    <w:rsid w:val="007C5C31"/>
    <w:rsid w:val="007C7AAE"/>
    <w:rsid w:val="007D0E8D"/>
    <w:rsid w:val="007D163D"/>
    <w:rsid w:val="007D20FC"/>
    <w:rsid w:val="007D3BF9"/>
    <w:rsid w:val="007D4526"/>
    <w:rsid w:val="007D729A"/>
    <w:rsid w:val="007E0A9D"/>
    <w:rsid w:val="007F1C06"/>
    <w:rsid w:val="007F3CF1"/>
    <w:rsid w:val="007F4B35"/>
    <w:rsid w:val="007F7535"/>
    <w:rsid w:val="00800985"/>
    <w:rsid w:val="00801372"/>
    <w:rsid w:val="00804FFD"/>
    <w:rsid w:val="00817648"/>
    <w:rsid w:val="00820975"/>
    <w:rsid w:val="00823385"/>
    <w:rsid w:val="008254EB"/>
    <w:rsid w:val="00826470"/>
    <w:rsid w:val="00827DDC"/>
    <w:rsid w:val="00833548"/>
    <w:rsid w:val="00844A1E"/>
    <w:rsid w:val="00847E62"/>
    <w:rsid w:val="00850E84"/>
    <w:rsid w:val="0085199C"/>
    <w:rsid w:val="0085241F"/>
    <w:rsid w:val="008530E1"/>
    <w:rsid w:val="008531CD"/>
    <w:rsid w:val="00854435"/>
    <w:rsid w:val="00857D3D"/>
    <w:rsid w:val="008610CC"/>
    <w:rsid w:val="00864C33"/>
    <w:rsid w:val="00865809"/>
    <w:rsid w:val="00874F4C"/>
    <w:rsid w:val="00875DD4"/>
    <w:rsid w:val="00875DDB"/>
    <w:rsid w:val="00880393"/>
    <w:rsid w:val="00880614"/>
    <w:rsid w:val="00882E2B"/>
    <w:rsid w:val="0088799E"/>
    <w:rsid w:val="00892CF5"/>
    <w:rsid w:val="00893F8E"/>
    <w:rsid w:val="008A2190"/>
    <w:rsid w:val="008A3568"/>
    <w:rsid w:val="008B0DE9"/>
    <w:rsid w:val="008B4EEA"/>
    <w:rsid w:val="008C38D7"/>
    <w:rsid w:val="008D1B24"/>
    <w:rsid w:val="008D1D1A"/>
    <w:rsid w:val="008D31CC"/>
    <w:rsid w:val="008E2C47"/>
    <w:rsid w:val="008E2E24"/>
    <w:rsid w:val="008E361C"/>
    <w:rsid w:val="008E37C3"/>
    <w:rsid w:val="008E3838"/>
    <w:rsid w:val="008E517F"/>
    <w:rsid w:val="008E52CD"/>
    <w:rsid w:val="008E6FA5"/>
    <w:rsid w:val="008F084B"/>
    <w:rsid w:val="008F1C51"/>
    <w:rsid w:val="008F2B10"/>
    <w:rsid w:val="008F7EE1"/>
    <w:rsid w:val="00905C83"/>
    <w:rsid w:val="00915063"/>
    <w:rsid w:val="0091578C"/>
    <w:rsid w:val="009200D2"/>
    <w:rsid w:val="0092205B"/>
    <w:rsid w:val="00927EE5"/>
    <w:rsid w:val="00930193"/>
    <w:rsid w:val="009308F1"/>
    <w:rsid w:val="00930C7F"/>
    <w:rsid w:val="00931282"/>
    <w:rsid w:val="00943E8A"/>
    <w:rsid w:val="00946E74"/>
    <w:rsid w:val="00947A82"/>
    <w:rsid w:val="00950B70"/>
    <w:rsid w:val="00951369"/>
    <w:rsid w:val="0095727F"/>
    <w:rsid w:val="00963501"/>
    <w:rsid w:val="00963C0C"/>
    <w:rsid w:val="00964B43"/>
    <w:rsid w:val="0096545B"/>
    <w:rsid w:val="00970339"/>
    <w:rsid w:val="00970A91"/>
    <w:rsid w:val="009717B0"/>
    <w:rsid w:val="009728AA"/>
    <w:rsid w:val="00977E99"/>
    <w:rsid w:val="00983A31"/>
    <w:rsid w:val="00984E29"/>
    <w:rsid w:val="00987B67"/>
    <w:rsid w:val="00991E74"/>
    <w:rsid w:val="00993E6F"/>
    <w:rsid w:val="00995CBE"/>
    <w:rsid w:val="009A491D"/>
    <w:rsid w:val="009B1925"/>
    <w:rsid w:val="009B4859"/>
    <w:rsid w:val="009B4A79"/>
    <w:rsid w:val="009C1BE8"/>
    <w:rsid w:val="009C4239"/>
    <w:rsid w:val="009C5103"/>
    <w:rsid w:val="009C6477"/>
    <w:rsid w:val="009E26E6"/>
    <w:rsid w:val="009E5C76"/>
    <w:rsid w:val="009E72AA"/>
    <w:rsid w:val="009F0ED6"/>
    <w:rsid w:val="009F6348"/>
    <w:rsid w:val="00A0777D"/>
    <w:rsid w:val="00A1295D"/>
    <w:rsid w:val="00A144CA"/>
    <w:rsid w:val="00A25684"/>
    <w:rsid w:val="00A25D69"/>
    <w:rsid w:val="00A26266"/>
    <w:rsid w:val="00A2719C"/>
    <w:rsid w:val="00A27247"/>
    <w:rsid w:val="00A339AC"/>
    <w:rsid w:val="00A33E53"/>
    <w:rsid w:val="00A34C03"/>
    <w:rsid w:val="00A36025"/>
    <w:rsid w:val="00A404C0"/>
    <w:rsid w:val="00A4080D"/>
    <w:rsid w:val="00A44055"/>
    <w:rsid w:val="00A47F12"/>
    <w:rsid w:val="00A50C0E"/>
    <w:rsid w:val="00A51438"/>
    <w:rsid w:val="00A573AD"/>
    <w:rsid w:val="00A5769D"/>
    <w:rsid w:val="00A578B9"/>
    <w:rsid w:val="00A578F3"/>
    <w:rsid w:val="00A61140"/>
    <w:rsid w:val="00A629D6"/>
    <w:rsid w:val="00A6754C"/>
    <w:rsid w:val="00A67C19"/>
    <w:rsid w:val="00A75BA4"/>
    <w:rsid w:val="00A816A9"/>
    <w:rsid w:val="00A81DF6"/>
    <w:rsid w:val="00A824DF"/>
    <w:rsid w:val="00A900DD"/>
    <w:rsid w:val="00A93211"/>
    <w:rsid w:val="00A93732"/>
    <w:rsid w:val="00A9576F"/>
    <w:rsid w:val="00A972E7"/>
    <w:rsid w:val="00A973D8"/>
    <w:rsid w:val="00AA41FC"/>
    <w:rsid w:val="00AA4BD7"/>
    <w:rsid w:val="00AA5809"/>
    <w:rsid w:val="00AB4E29"/>
    <w:rsid w:val="00AB5A7E"/>
    <w:rsid w:val="00AC0BD8"/>
    <w:rsid w:val="00AC0DFF"/>
    <w:rsid w:val="00AC18E4"/>
    <w:rsid w:val="00AC5E83"/>
    <w:rsid w:val="00AC6F15"/>
    <w:rsid w:val="00AC714E"/>
    <w:rsid w:val="00AC7FBD"/>
    <w:rsid w:val="00AD4E7F"/>
    <w:rsid w:val="00AD61BC"/>
    <w:rsid w:val="00AF1929"/>
    <w:rsid w:val="00AF483A"/>
    <w:rsid w:val="00AF57B7"/>
    <w:rsid w:val="00B000A8"/>
    <w:rsid w:val="00B02B1F"/>
    <w:rsid w:val="00B0415E"/>
    <w:rsid w:val="00B0546E"/>
    <w:rsid w:val="00B0756D"/>
    <w:rsid w:val="00B07C15"/>
    <w:rsid w:val="00B1529E"/>
    <w:rsid w:val="00B23C10"/>
    <w:rsid w:val="00B23DB3"/>
    <w:rsid w:val="00B333DB"/>
    <w:rsid w:val="00B366B0"/>
    <w:rsid w:val="00B371EB"/>
    <w:rsid w:val="00B46FE6"/>
    <w:rsid w:val="00B50E49"/>
    <w:rsid w:val="00B5119D"/>
    <w:rsid w:val="00B51698"/>
    <w:rsid w:val="00B54CC7"/>
    <w:rsid w:val="00B6148D"/>
    <w:rsid w:val="00B664D1"/>
    <w:rsid w:val="00B7651F"/>
    <w:rsid w:val="00B77D83"/>
    <w:rsid w:val="00B8206D"/>
    <w:rsid w:val="00B92188"/>
    <w:rsid w:val="00B93BED"/>
    <w:rsid w:val="00B94BC8"/>
    <w:rsid w:val="00B95319"/>
    <w:rsid w:val="00BA289C"/>
    <w:rsid w:val="00BA2940"/>
    <w:rsid w:val="00BA545C"/>
    <w:rsid w:val="00BA7A12"/>
    <w:rsid w:val="00BB120F"/>
    <w:rsid w:val="00BB7C2D"/>
    <w:rsid w:val="00BB7D99"/>
    <w:rsid w:val="00BC0761"/>
    <w:rsid w:val="00BC455E"/>
    <w:rsid w:val="00BC45F7"/>
    <w:rsid w:val="00BC4A1A"/>
    <w:rsid w:val="00BC67E2"/>
    <w:rsid w:val="00BC778E"/>
    <w:rsid w:val="00BD03D3"/>
    <w:rsid w:val="00BD5704"/>
    <w:rsid w:val="00BE12EB"/>
    <w:rsid w:val="00BE4FDD"/>
    <w:rsid w:val="00BF073D"/>
    <w:rsid w:val="00C0086A"/>
    <w:rsid w:val="00C0436F"/>
    <w:rsid w:val="00C06D0C"/>
    <w:rsid w:val="00C10051"/>
    <w:rsid w:val="00C1284D"/>
    <w:rsid w:val="00C167FD"/>
    <w:rsid w:val="00C178D2"/>
    <w:rsid w:val="00C20219"/>
    <w:rsid w:val="00C22F94"/>
    <w:rsid w:val="00C22FC3"/>
    <w:rsid w:val="00C231B8"/>
    <w:rsid w:val="00C249F7"/>
    <w:rsid w:val="00C24CA2"/>
    <w:rsid w:val="00C275DE"/>
    <w:rsid w:val="00C319DE"/>
    <w:rsid w:val="00C35934"/>
    <w:rsid w:val="00C36287"/>
    <w:rsid w:val="00C4407E"/>
    <w:rsid w:val="00C509AA"/>
    <w:rsid w:val="00C52122"/>
    <w:rsid w:val="00C53CDF"/>
    <w:rsid w:val="00C55DF1"/>
    <w:rsid w:val="00C6064E"/>
    <w:rsid w:val="00C6164F"/>
    <w:rsid w:val="00C61FA0"/>
    <w:rsid w:val="00C652A3"/>
    <w:rsid w:val="00C67C66"/>
    <w:rsid w:val="00C72350"/>
    <w:rsid w:val="00C751D6"/>
    <w:rsid w:val="00C75BC4"/>
    <w:rsid w:val="00C77C5E"/>
    <w:rsid w:val="00C804AB"/>
    <w:rsid w:val="00C8249F"/>
    <w:rsid w:val="00C84090"/>
    <w:rsid w:val="00C850B3"/>
    <w:rsid w:val="00C85B0D"/>
    <w:rsid w:val="00C85F76"/>
    <w:rsid w:val="00C86C56"/>
    <w:rsid w:val="00C976F0"/>
    <w:rsid w:val="00CA0FF9"/>
    <w:rsid w:val="00CA1AFA"/>
    <w:rsid w:val="00CA1CA2"/>
    <w:rsid w:val="00CA59D2"/>
    <w:rsid w:val="00CB0227"/>
    <w:rsid w:val="00CB0550"/>
    <w:rsid w:val="00CB12F3"/>
    <w:rsid w:val="00CB2F4F"/>
    <w:rsid w:val="00CB442A"/>
    <w:rsid w:val="00CC1525"/>
    <w:rsid w:val="00CC388E"/>
    <w:rsid w:val="00CC4973"/>
    <w:rsid w:val="00CC6567"/>
    <w:rsid w:val="00CC769C"/>
    <w:rsid w:val="00CD20AF"/>
    <w:rsid w:val="00CD29FA"/>
    <w:rsid w:val="00CD404A"/>
    <w:rsid w:val="00CD446F"/>
    <w:rsid w:val="00CD5357"/>
    <w:rsid w:val="00CD66B0"/>
    <w:rsid w:val="00CE0E9C"/>
    <w:rsid w:val="00CE29E2"/>
    <w:rsid w:val="00CE3D40"/>
    <w:rsid w:val="00CE5B27"/>
    <w:rsid w:val="00CF1288"/>
    <w:rsid w:val="00CF13F3"/>
    <w:rsid w:val="00CF17EA"/>
    <w:rsid w:val="00CF51E0"/>
    <w:rsid w:val="00CF762D"/>
    <w:rsid w:val="00D01059"/>
    <w:rsid w:val="00D04062"/>
    <w:rsid w:val="00D13216"/>
    <w:rsid w:val="00D138F8"/>
    <w:rsid w:val="00D14FC7"/>
    <w:rsid w:val="00D15646"/>
    <w:rsid w:val="00D161E4"/>
    <w:rsid w:val="00D16E9D"/>
    <w:rsid w:val="00D17B6C"/>
    <w:rsid w:val="00D22766"/>
    <w:rsid w:val="00D231E0"/>
    <w:rsid w:val="00D238B5"/>
    <w:rsid w:val="00D26063"/>
    <w:rsid w:val="00D269C8"/>
    <w:rsid w:val="00D30DA7"/>
    <w:rsid w:val="00D32F99"/>
    <w:rsid w:val="00D33093"/>
    <w:rsid w:val="00D35C87"/>
    <w:rsid w:val="00D36DF5"/>
    <w:rsid w:val="00D401A5"/>
    <w:rsid w:val="00D403BC"/>
    <w:rsid w:val="00D40B6B"/>
    <w:rsid w:val="00D45B10"/>
    <w:rsid w:val="00D46243"/>
    <w:rsid w:val="00D471F8"/>
    <w:rsid w:val="00D47DFA"/>
    <w:rsid w:val="00D50B07"/>
    <w:rsid w:val="00D52A86"/>
    <w:rsid w:val="00D53C0C"/>
    <w:rsid w:val="00D549BE"/>
    <w:rsid w:val="00D559DA"/>
    <w:rsid w:val="00D65901"/>
    <w:rsid w:val="00D719BF"/>
    <w:rsid w:val="00D72560"/>
    <w:rsid w:val="00D74E78"/>
    <w:rsid w:val="00D76B4D"/>
    <w:rsid w:val="00D82CC8"/>
    <w:rsid w:val="00D855A9"/>
    <w:rsid w:val="00D866B4"/>
    <w:rsid w:val="00DA2AF3"/>
    <w:rsid w:val="00DB032A"/>
    <w:rsid w:val="00DB0EFB"/>
    <w:rsid w:val="00DB1EC9"/>
    <w:rsid w:val="00DB38AB"/>
    <w:rsid w:val="00DB4278"/>
    <w:rsid w:val="00DB554A"/>
    <w:rsid w:val="00DB5A04"/>
    <w:rsid w:val="00DB63D7"/>
    <w:rsid w:val="00DB6AD4"/>
    <w:rsid w:val="00DC000A"/>
    <w:rsid w:val="00DC1569"/>
    <w:rsid w:val="00DC622F"/>
    <w:rsid w:val="00DD1B49"/>
    <w:rsid w:val="00DD344F"/>
    <w:rsid w:val="00DD34B1"/>
    <w:rsid w:val="00DD350C"/>
    <w:rsid w:val="00DE023F"/>
    <w:rsid w:val="00DE11F8"/>
    <w:rsid w:val="00DE5841"/>
    <w:rsid w:val="00DE5D24"/>
    <w:rsid w:val="00DF1708"/>
    <w:rsid w:val="00DF3D82"/>
    <w:rsid w:val="00DF59B7"/>
    <w:rsid w:val="00DF766B"/>
    <w:rsid w:val="00E04145"/>
    <w:rsid w:val="00E07557"/>
    <w:rsid w:val="00E10023"/>
    <w:rsid w:val="00E155F3"/>
    <w:rsid w:val="00E16CBC"/>
    <w:rsid w:val="00E17C36"/>
    <w:rsid w:val="00E233EF"/>
    <w:rsid w:val="00E354C1"/>
    <w:rsid w:val="00E36B15"/>
    <w:rsid w:val="00E400D3"/>
    <w:rsid w:val="00E40A71"/>
    <w:rsid w:val="00E4257D"/>
    <w:rsid w:val="00E4267E"/>
    <w:rsid w:val="00E47A2B"/>
    <w:rsid w:val="00E51D38"/>
    <w:rsid w:val="00E53D52"/>
    <w:rsid w:val="00E53DA5"/>
    <w:rsid w:val="00E561D0"/>
    <w:rsid w:val="00E64F68"/>
    <w:rsid w:val="00E6681B"/>
    <w:rsid w:val="00E674E1"/>
    <w:rsid w:val="00E71166"/>
    <w:rsid w:val="00E73687"/>
    <w:rsid w:val="00E74485"/>
    <w:rsid w:val="00E8407E"/>
    <w:rsid w:val="00E858E0"/>
    <w:rsid w:val="00E905A1"/>
    <w:rsid w:val="00E93BBC"/>
    <w:rsid w:val="00E94445"/>
    <w:rsid w:val="00E9456A"/>
    <w:rsid w:val="00EA3198"/>
    <w:rsid w:val="00EA4D94"/>
    <w:rsid w:val="00EB06E9"/>
    <w:rsid w:val="00EB3308"/>
    <w:rsid w:val="00EB43A2"/>
    <w:rsid w:val="00EB5516"/>
    <w:rsid w:val="00EC0821"/>
    <w:rsid w:val="00EC3BD7"/>
    <w:rsid w:val="00EC3BE6"/>
    <w:rsid w:val="00EC489B"/>
    <w:rsid w:val="00EC4F7F"/>
    <w:rsid w:val="00EC5962"/>
    <w:rsid w:val="00EC6177"/>
    <w:rsid w:val="00EC7449"/>
    <w:rsid w:val="00ED5C54"/>
    <w:rsid w:val="00EE16AE"/>
    <w:rsid w:val="00EF472A"/>
    <w:rsid w:val="00EF5552"/>
    <w:rsid w:val="00EF5A0E"/>
    <w:rsid w:val="00EF6FF5"/>
    <w:rsid w:val="00F0392B"/>
    <w:rsid w:val="00F05748"/>
    <w:rsid w:val="00F059E7"/>
    <w:rsid w:val="00F06E2F"/>
    <w:rsid w:val="00F15149"/>
    <w:rsid w:val="00F1582A"/>
    <w:rsid w:val="00F17A05"/>
    <w:rsid w:val="00F17C0B"/>
    <w:rsid w:val="00F26A3D"/>
    <w:rsid w:val="00F275FA"/>
    <w:rsid w:val="00F349B3"/>
    <w:rsid w:val="00F362E5"/>
    <w:rsid w:val="00F479F6"/>
    <w:rsid w:val="00F5356D"/>
    <w:rsid w:val="00F557EF"/>
    <w:rsid w:val="00F55970"/>
    <w:rsid w:val="00F56695"/>
    <w:rsid w:val="00F6438D"/>
    <w:rsid w:val="00F65106"/>
    <w:rsid w:val="00F66012"/>
    <w:rsid w:val="00F66864"/>
    <w:rsid w:val="00F67C54"/>
    <w:rsid w:val="00F70C81"/>
    <w:rsid w:val="00F725AF"/>
    <w:rsid w:val="00F7468A"/>
    <w:rsid w:val="00F76287"/>
    <w:rsid w:val="00F77C6C"/>
    <w:rsid w:val="00F80208"/>
    <w:rsid w:val="00F82F3F"/>
    <w:rsid w:val="00F87821"/>
    <w:rsid w:val="00F90505"/>
    <w:rsid w:val="00F9059C"/>
    <w:rsid w:val="00F91BDF"/>
    <w:rsid w:val="00F92610"/>
    <w:rsid w:val="00F940FA"/>
    <w:rsid w:val="00F941F3"/>
    <w:rsid w:val="00FA0C31"/>
    <w:rsid w:val="00FA2B4C"/>
    <w:rsid w:val="00FA61A6"/>
    <w:rsid w:val="00FB3121"/>
    <w:rsid w:val="00FB5756"/>
    <w:rsid w:val="00FB7E73"/>
    <w:rsid w:val="00FC1F7D"/>
    <w:rsid w:val="00FC5503"/>
    <w:rsid w:val="00FC65D8"/>
    <w:rsid w:val="00FE4FC4"/>
    <w:rsid w:val="00FF2697"/>
    <w:rsid w:val="00FF2FDB"/>
    <w:rsid w:val="00FF34B4"/>
    <w:rsid w:val="00FF3AEF"/>
    <w:rsid w:val="00FF7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E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DengXian" w:hAnsi="Aptos" w:cs="Arial"/>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DengXian Light" w:hAnsi="Aptos Display" w:cs="Times New Roman"/>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eastAsia="DengXian Light" w:hAnsi="Aptos Display" w:cs="Times New Roman"/>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DengXian Light" w:cs="Times New Roma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DengXian Light" w:cs="Times New Roma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DengXian Light" w:cs="Times New Roma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DengXian Light"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DengXian Light"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DengXian Light"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DengXian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DengXian Light" w:hAnsi="Aptos Display" w:cs="Times New Roman"/>
      <w:color w:val="0F4761"/>
      <w:sz w:val="40"/>
      <w:szCs w:val="40"/>
    </w:rPr>
  </w:style>
  <w:style w:type="character" w:customStyle="1" w:styleId="Heading2Char">
    <w:name w:val="Heading 2 Char"/>
    <w:basedOn w:val="DefaultParagraphFont"/>
    <w:link w:val="Heading2"/>
    <w:uiPriority w:val="9"/>
    <w:rPr>
      <w:rFonts w:ascii="Aptos Display" w:eastAsia="DengXian Light" w:hAnsi="Aptos Display" w:cs="Times New Roman"/>
      <w:color w:val="0F4761"/>
      <w:sz w:val="32"/>
      <w:szCs w:val="32"/>
    </w:rPr>
  </w:style>
  <w:style w:type="character" w:customStyle="1" w:styleId="Heading3Char">
    <w:name w:val="Heading 3 Char"/>
    <w:basedOn w:val="DefaultParagraphFont"/>
    <w:link w:val="Heading3"/>
    <w:uiPriority w:val="9"/>
    <w:rPr>
      <w:rFonts w:eastAsia="DengXian Light" w:cs="Times New Roman"/>
      <w:color w:val="0F4761"/>
      <w:sz w:val="28"/>
      <w:szCs w:val="28"/>
    </w:rPr>
  </w:style>
  <w:style w:type="character" w:customStyle="1" w:styleId="Heading4Char">
    <w:name w:val="Heading 4 Char"/>
    <w:basedOn w:val="DefaultParagraphFont"/>
    <w:link w:val="Heading4"/>
    <w:uiPriority w:val="9"/>
    <w:rPr>
      <w:rFonts w:eastAsia="DengXian Light" w:cs="Times New Roman"/>
      <w:i/>
      <w:iCs/>
      <w:color w:val="0F4761"/>
    </w:rPr>
  </w:style>
  <w:style w:type="character" w:customStyle="1" w:styleId="Heading5Char">
    <w:name w:val="Heading 5 Char"/>
    <w:basedOn w:val="DefaultParagraphFont"/>
    <w:link w:val="Heading5"/>
    <w:uiPriority w:val="9"/>
    <w:rPr>
      <w:rFonts w:eastAsia="DengXian Light" w:cs="Times New Roman"/>
      <w:color w:val="0F4761"/>
    </w:rPr>
  </w:style>
  <w:style w:type="character" w:customStyle="1" w:styleId="Heading6Char">
    <w:name w:val="Heading 6 Char"/>
    <w:basedOn w:val="DefaultParagraphFont"/>
    <w:link w:val="Heading6"/>
    <w:uiPriority w:val="9"/>
    <w:rPr>
      <w:rFonts w:eastAsia="DengXian Light" w:cs="Times New Roman"/>
      <w:i/>
      <w:iCs/>
      <w:color w:val="595959"/>
    </w:rPr>
  </w:style>
  <w:style w:type="character" w:customStyle="1" w:styleId="Heading7Char">
    <w:name w:val="Heading 7 Char"/>
    <w:basedOn w:val="DefaultParagraphFont"/>
    <w:link w:val="Heading7"/>
    <w:uiPriority w:val="9"/>
    <w:rPr>
      <w:rFonts w:eastAsia="DengXian Light" w:cs="Times New Roman"/>
      <w:color w:val="595959"/>
    </w:rPr>
  </w:style>
  <w:style w:type="character" w:customStyle="1" w:styleId="Heading8Char">
    <w:name w:val="Heading 8 Char"/>
    <w:basedOn w:val="DefaultParagraphFont"/>
    <w:link w:val="Heading8"/>
    <w:uiPriority w:val="9"/>
    <w:rPr>
      <w:rFonts w:eastAsia="DengXian Light" w:cs="Times New Roman"/>
      <w:i/>
      <w:iCs/>
      <w:color w:val="272727"/>
    </w:rPr>
  </w:style>
  <w:style w:type="character" w:customStyle="1" w:styleId="Heading9Char">
    <w:name w:val="Heading 9 Char"/>
    <w:basedOn w:val="DefaultParagraphFont"/>
    <w:link w:val="Heading9"/>
    <w:uiPriority w:val="9"/>
    <w:rPr>
      <w:rFonts w:eastAsia="DengXian Light" w:cs="Times New Roma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DengXian Light" w:hAnsi="Aptos Display" w:cs="Times New Roman"/>
      <w:spacing w:val="-10"/>
      <w:kern w:val="28"/>
      <w:sz w:val="56"/>
      <w:szCs w:val="56"/>
    </w:rPr>
  </w:style>
  <w:style w:type="character" w:customStyle="1" w:styleId="TitleChar">
    <w:name w:val="Title Char"/>
    <w:basedOn w:val="DefaultParagraphFont"/>
    <w:link w:val="Title"/>
    <w:uiPriority w:val="10"/>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DengXian Light" w:cs="Times New Roman"/>
      <w:color w:val="595959"/>
      <w:spacing w:val="15"/>
      <w:sz w:val="28"/>
      <w:szCs w:val="28"/>
    </w:rPr>
  </w:style>
  <w:style w:type="character" w:customStyle="1" w:styleId="SubtitleChar">
    <w:name w:val="Subtitle Char"/>
    <w:basedOn w:val="DefaultParagraphFont"/>
    <w:link w:val="Subtitle"/>
    <w:uiPriority w:val="11"/>
    <w:rPr>
      <w:rFonts w:eastAsia="DengXian Light"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pPr>
      <w:spacing w:after="0" w:line="240" w:lineRule="auto"/>
    </w:pPr>
    <w:rPr>
      <w:rFonts w:ascii="Calibri" w:eastAsia="SimSun" w:hAnsi="Calibri"/>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rPr>
      <w:rFonts w:ascii="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28AA"/>
    <w:rPr>
      <w:b/>
      <w:bCs/>
    </w:rPr>
  </w:style>
  <w:style w:type="character" w:customStyle="1" w:styleId="CommentSubjectChar">
    <w:name w:val="Comment Subject Char"/>
    <w:basedOn w:val="CommentTextChar"/>
    <w:link w:val="CommentSubject"/>
    <w:uiPriority w:val="99"/>
    <w:semiHidden/>
    <w:rsid w:val="009728AA"/>
    <w:rPr>
      <w:b/>
      <w:bCs/>
      <w:sz w:val="20"/>
      <w:szCs w:val="20"/>
    </w:rPr>
  </w:style>
  <w:style w:type="character" w:styleId="Hyperlink">
    <w:name w:val="Hyperlink"/>
    <w:basedOn w:val="DefaultParagraphFont"/>
    <w:uiPriority w:val="99"/>
    <w:unhideWhenUsed/>
    <w:rsid w:val="009728AA"/>
    <w:rPr>
      <w:color w:val="0000FF" w:themeColor="hyperlink"/>
      <w:u w:val="single"/>
    </w:rPr>
  </w:style>
  <w:style w:type="character" w:customStyle="1" w:styleId="UnresolvedMention">
    <w:name w:val="Unresolved Mention"/>
    <w:basedOn w:val="DefaultParagraphFont"/>
    <w:uiPriority w:val="99"/>
    <w:semiHidden/>
    <w:unhideWhenUsed/>
    <w:rsid w:val="009728AA"/>
    <w:rPr>
      <w:color w:val="605E5C"/>
      <w:shd w:val="clear" w:color="auto" w:fill="E1DFDD"/>
    </w:rPr>
  </w:style>
  <w:style w:type="character" w:styleId="FollowedHyperlink">
    <w:name w:val="FollowedHyperlink"/>
    <w:basedOn w:val="DefaultParagraphFont"/>
    <w:uiPriority w:val="99"/>
    <w:semiHidden/>
    <w:unhideWhenUsed/>
    <w:rsid w:val="001D6C1F"/>
    <w:rPr>
      <w:color w:val="800080" w:themeColor="followedHyperlink"/>
      <w:u w:val="single"/>
    </w:rPr>
  </w:style>
  <w:style w:type="paragraph" w:styleId="Header">
    <w:name w:val="header"/>
    <w:basedOn w:val="Normal"/>
    <w:link w:val="HeaderChar"/>
    <w:uiPriority w:val="99"/>
    <w:unhideWhenUsed/>
    <w:rsid w:val="00F0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E7"/>
  </w:style>
  <w:style w:type="paragraph" w:styleId="Footer">
    <w:name w:val="footer"/>
    <w:basedOn w:val="Normal"/>
    <w:link w:val="FooterChar"/>
    <w:uiPriority w:val="99"/>
    <w:unhideWhenUsed/>
    <w:rsid w:val="00F0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E7"/>
  </w:style>
  <w:style w:type="paragraph" w:styleId="BalloonText">
    <w:name w:val="Balloon Text"/>
    <w:basedOn w:val="Normal"/>
    <w:link w:val="BalloonTextChar"/>
    <w:uiPriority w:val="99"/>
    <w:semiHidden/>
    <w:unhideWhenUsed/>
    <w:rsid w:val="00B2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DengXian" w:hAnsi="Aptos" w:cs="Arial"/>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DengXian Light" w:hAnsi="Aptos Display" w:cs="Times New Roman"/>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eastAsia="DengXian Light" w:hAnsi="Aptos Display" w:cs="Times New Roman"/>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DengXian Light" w:cs="Times New Roma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DengXian Light" w:cs="Times New Roma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DengXian Light" w:cs="Times New Roma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DengXian Light" w:cs="Times New Roma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DengXian Light" w:cs="Times New Roman"/>
      <w:color w:val="595959"/>
    </w:rPr>
  </w:style>
  <w:style w:type="paragraph" w:styleId="Heading8">
    <w:name w:val="heading 8"/>
    <w:basedOn w:val="Normal"/>
    <w:next w:val="Normal"/>
    <w:link w:val="Heading8Char"/>
    <w:uiPriority w:val="9"/>
    <w:qFormat/>
    <w:pPr>
      <w:keepNext/>
      <w:keepLines/>
      <w:spacing w:after="0"/>
      <w:outlineLvl w:val="7"/>
    </w:pPr>
    <w:rPr>
      <w:rFonts w:eastAsia="DengXian Light" w:cs="Times New Roman"/>
      <w:i/>
      <w:iCs/>
      <w:color w:val="272727"/>
    </w:rPr>
  </w:style>
  <w:style w:type="paragraph" w:styleId="Heading9">
    <w:name w:val="heading 9"/>
    <w:basedOn w:val="Normal"/>
    <w:next w:val="Normal"/>
    <w:link w:val="Heading9Char"/>
    <w:uiPriority w:val="9"/>
    <w:qFormat/>
    <w:pPr>
      <w:keepNext/>
      <w:keepLines/>
      <w:spacing w:after="0"/>
      <w:outlineLvl w:val="8"/>
    </w:pPr>
    <w:rPr>
      <w:rFonts w:eastAsia="DengXian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DengXian Light" w:hAnsi="Aptos Display" w:cs="Times New Roman"/>
      <w:color w:val="0F4761"/>
      <w:sz w:val="40"/>
      <w:szCs w:val="40"/>
    </w:rPr>
  </w:style>
  <w:style w:type="character" w:customStyle="1" w:styleId="Heading2Char">
    <w:name w:val="Heading 2 Char"/>
    <w:basedOn w:val="DefaultParagraphFont"/>
    <w:link w:val="Heading2"/>
    <w:uiPriority w:val="9"/>
    <w:rPr>
      <w:rFonts w:ascii="Aptos Display" w:eastAsia="DengXian Light" w:hAnsi="Aptos Display" w:cs="Times New Roman"/>
      <w:color w:val="0F4761"/>
      <w:sz w:val="32"/>
      <w:szCs w:val="32"/>
    </w:rPr>
  </w:style>
  <w:style w:type="character" w:customStyle="1" w:styleId="Heading3Char">
    <w:name w:val="Heading 3 Char"/>
    <w:basedOn w:val="DefaultParagraphFont"/>
    <w:link w:val="Heading3"/>
    <w:uiPriority w:val="9"/>
    <w:rPr>
      <w:rFonts w:eastAsia="DengXian Light" w:cs="Times New Roman"/>
      <w:color w:val="0F4761"/>
      <w:sz w:val="28"/>
      <w:szCs w:val="28"/>
    </w:rPr>
  </w:style>
  <w:style w:type="character" w:customStyle="1" w:styleId="Heading4Char">
    <w:name w:val="Heading 4 Char"/>
    <w:basedOn w:val="DefaultParagraphFont"/>
    <w:link w:val="Heading4"/>
    <w:uiPriority w:val="9"/>
    <w:rPr>
      <w:rFonts w:eastAsia="DengXian Light" w:cs="Times New Roman"/>
      <w:i/>
      <w:iCs/>
      <w:color w:val="0F4761"/>
    </w:rPr>
  </w:style>
  <w:style w:type="character" w:customStyle="1" w:styleId="Heading5Char">
    <w:name w:val="Heading 5 Char"/>
    <w:basedOn w:val="DefaultParagraphFont"/>
    <w:link w:val="Heading5"/>
    <w:uiPriority w:val="9"/>
    <w:rPr>
      <w:rFonts w:eastAsia="DengXian Light" w:cs="Times New Roman"/>
      <w:color w:val="0F4761"/>
    </w:rPr>
  </w:style>
  <w:style w:type="character" w:customStyle="1" w:styleId="Heading6Char">
    <w:name w:val="Heading 6 Char"/>
    <w:basedOn w:val="DefaultParagraphFont"/>
    <w:link w:val="Heading6"/>
    <w:uiPriority w:val="9"/>
    <w:rPr>
      <w:rFonts w:eastAsia="DengXian Light" w:cs="Times New Roman"/>
      <w:i/>
      <w:iCs/>
      <w:color w:val="595959"/>
    </w:rPr>
  </w:style>
  <w:style w:type="character" w:customStyle="1" w:styleId="Heading7Char">
    <w:name w:val="Heading 7 Char"/>
    <w:basedOn w:val="DefaultParagraphFont"/>
    <w:link w:val="Heading7"/>
    <w:uiPriority w:val="9"/>
    <w:rPr>
      <w:rFonts w:eastAsia="DengXian Light" w:cs="Times New Roman"/>
      <w:color w:val="595959"/>
    </w:rPr>
  </w:style>
  <w:style w:type="character" w:customStyle="1" w:styleId="Heading8Char">
    <w:name w:val="Heading 8 Char"/>
    <w:basedOn w:val="DefaultParagraphFont"/>
    <w:link w:val="Heading8"/>
    <w:uiPriority w:val="9"/>
    <w:rPr>
      <w:rFonts w:eastAsia="DengXian Light" w:cs="Times New Roman"/>
      <w:i/>
      <w:iCs/>
      <w:color w:val="272727"/>
    </w:rPr>
  </w:style>
  <w:style w:type="character" w:customStyle="1" w:styleId="Heading9Char">
    <w:name w:val="Heading 9 Char"/>
    <w:basedOn w:val="DefaultParagraphFont"/>
    <w:link w:val="Heading9"/>
    <w:uiPriority w:val="9"/>
    <w:rPr>
      <w:rFonts w:eastAsia="DengXian Light" w:cs="Times New Roman"/>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DengXian Light" w:hAnsi="Aptos Display" w:cs="Times New Roman"/>
      <w:spacing w:val="-10"/>
      <w:kern w:val="28"/>
      <w:sz w:val="56"/>
      <w:szCs w:val="56"/>
    </w:rPr>
  </w:style>
  <w:style w:type="character" w:customStyle="1" w:styleId="TitleChar">
    <w:name w:val="Title Char"/>
    <w:basedOn w:val="DefaultParagraphFont"/>
    <w:link w:val="Title"/>
    <w:uiPriority w:val="10"/>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DengXian Light" w:cs="Times New Roman"/>
      <w:color w:val="595959"/>
      <w:spacing w:val="15"/>
      <w:sz w:val="28"/>
      <w:szCs w:val="28"/>
    </w:rPr>
  </w:style>
  <w:style w:type="character" w:customStyle="1" w:styleId="SubtitleChar">
    <w:name w:val="Subtitle Char"/>
    <w:basedOn w:val="DefaultParagraphFont"/>
    <w:link w:val="Subtitle"/>
    <w:uiPriority w:val="11"/>
    <w:rPr>
      <w:rFonts w:eastAsia="DengXian Light" w:cs="Times New Roma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pPr>
      <w:spacing w:after="0" w:line="240" w:lineRule="auto"/>
    </w:pPr>
    <w:rPr>
      <w:rFonts w:ascii="Calibri" w:eastAsia="SimSun" w:hAnsi="Calibri"/>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rPr>
      <w:rFonts w:ascii="Times New Roman" w:hAnsi="Times New Roman" w:cs="Times New Roman"/>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28AA"/>
    <w:rPr>
      <w:b/>
      <w:bCs/>
    </w:rPr>
  </w:style>
  <w:style w:type="character" w:customStyle="1" w:styleId="CommentSubjectChar">
    <w:name w:val="Comment Subject Char"/>
    <w:basedOn w:val="CommentTextChar"/>
    <w:link w:val="CommentSubject"/>
    <w:uiPriority w:val="99"/>
    <w:semiHidden/>
    <w:rsid w:val="009728AA"/>
    <w:rPr>
      <w:b/>
      <w:bCs/>
      <w:sz w:val="20"/>
      <w:szCs w:val="20"/>
    </w:rPr>
  </w:style>
  <w:style w:type="character" w:styleId="Hyperlink">
    <w:name w:val="Hyperlink"/>
    <w:basedOn w:val="DefaultParagraphFont"/>
    <w:uiPriority w:val="99"/>
    <w:unhideWhenUsed/>
    <w:rsid w:val="009728AA"/>
    <w:rPr>
      <w:color w:val="0000FF" w:themeColor="hyperlink"/>
      <w:u w:val="single"/>
    </w:rPr>
  </w:style>
  <w:style w:type="character" w:customStyle="1" w:styleId="UnresolvedMention">
    <w:name w:val="Unresolved Mention"/>
    <w:basedOn w:val="DefaultParagraphFont"/>
    <w:uiPriority w:val="99"/>
    <w:semiHidden/>
    <w:unhideWhenUsed/>
    <w:rsid w:val="009728AA"/>
    <w:rPr>
      <w:color w:val="605E5C"/>
      <w:shd w:val="clear" w:color="auto" w:fill="E1DFDD"/>
    </w:rPr>
  </w:style>
  <w:style w:type="character" w:styleId="FollowedHyperlink">
    <w:name w:val="FollowedHyperlink"/>
    <w:basedOn w:val="DefaultParagraphFont"/>
    <w:uiPriority w:val="99"/>
    <w:semiHidden/>
    <w:unhideWhenUsed/>
    <w:rsid w:val="001D6C1F"/>
    <w:rPr>
      <w:color w:val="800080" w:themeColor="followedHyperlink"/>
      <w:u w:val="single"/>
    </w:rPr>
  </w:style>
  <w:style w:type="paragraph" w:styleId="Header">
    <w:name w:val="header"/>
    <w:basedOn w:val="Normal"/>
    <w:link w:val="HeaderChar"/>
    <w:uiPriority w:val="99"/>
    <w:unhideWhenUsed/>
    <w:rsid w:val="00F0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E7"/>
  </w:style>
  <w:style w:type="paragraph" w:styleId="Footer">
    <w:name w:val="footer"/>
    <w:basedOn w:val="Normal"/>
    <w:link w:val="FooterChar"/>
    <w:uiPriority w:val="99"/>
    <w:unhideWhenUsed/>
    <w:rsid w:val="00F0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E7"/>
  </w:style>
  <w:style w:type="paragraph" w:styleId="BalloonText">
    <w:name w:val="Balloon Text"/>
    <w:basedOn w:val="Normal"/>
    <w:link w:val="BalloonTextChar"/>
    <w:uiPriority w:val="99"/>
    <w:semiHidden/>
    <w:unhideWhenUsed/>
    <w:rsid w:val="00B23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678">
      <w:bodyDiv w:val="1"/>
      <w:marLeft w:val="0"/>
      <w:marRight w:val="0"/>
      <w:marTop w:val="0"/>
      <w:marBottom w:val="0"/>
      <w:divBdr>
        <w:top w:val="none" w:sz="0" w:space="0" w:color="auto"/>
        <w:left w:val="none" w:sz="0" w:space="0" w:color="auto"/>
        <w:bottom w:val="none" w:sz="0" w:space="0" w:color="auto"/>
        <w:right w:val="none" w:sz="0" w:space="0" w:color="auto"/>
      </w:divBdr>
      <w:divsChild>
        <w:div w:id="613102365">
          <w:marLeft w:val="0"/>
          <w:marRight w:val="0"/>
          <w:marTop w:val="0"/>
          <w:marBottom w:val="0"/>
          <w:divBdr>
            <w:top w:val="none" w:sz="0" w:space="0" w:color="auto"/>
            <w:left w:val="none" w:sz="0" w:space="0" w:color="auto"/>
            <w:bottom w:val="none" w:sz="0" w:space="0" w:color="auto"/>
            <w:right w:val="none" w:sz="0" w:space="0" w:color="auto"/>
          </w:divBdr>
          <w:divsChild>
            <w:div w:id="895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971">
      <w:bodyDiv w:val="1"/>
      <w:marLeft w:val="0"/>
      <w:marRight w:val="0"/>
      <w:marTop w:val="0"/>
      <w:marBottom w:val="0"/>
      <w:divBdr>
        <w:top w:val="none" w:sz="0" w:space="0" w:color="auto"/>
        <w:left w:val="none" w:sz="0" w:space="0" w:color="auto"/>
        <w:bottom w:val="none" w:sz="0" w:space="0" w:color="auto"/>
        <w:right w:val="none" w:sz="0" w:space="0" w:color="auto"/>
      </w:divBdr>
    </w:div>
    <w:div w:id="31881211">
      <w:bodyDiv w:val="1"/>
      <w:marLeft w:val="0"/>
      <w:marRight w:val="0"/>
      <w:marTop w:val="0"/>
      <w:marBottom w:val="0"/>
      <w:divBdr>
        <w:top w:val="none" w:sz="0" w:space="0" w:color="auto"/>
        <w:left w:val="none" w:sz="0" w:space="0" w:color="auto"/>
        <w:bottom w:val="none" w:sz="0" w:space="0" w:color="auto"/>
        <w:right w:val="none" w:sz="0" w:space="0" w:color="auto"/>
      </w:divBdr>
    </w:div>
    <w:div w:id="32079186">
      <w:bodyDiv w:val="1"/>
      <w:marLeft w:val="0"/>
      <w:marRight w:val="0"/>
      <w:marTop w:val="0"/>
      <w:marBottom w:val="0"/>
      <w:divBdr>
        <w:top w:val="none" w:sz="0" w:space="0" w:color="auto"/>
        <w:left w:val="none" w:sz="0" w:space="0" w:color="auto"/>
        <w:bottom w:val="none" w:sz="0" w:space="0" w:color="auto"/>
        <w:right w:val="none" w:sz="0" w:space="0" w:color="auto"/>
      </w:divBdr>
      <w:divsChild>
        <w:div w:id="41297406">
          <w:marLeft w:val="0"/>
          <w:marRight w:val="0"/>
          <w:marTop w:val="0"/>
          <w:marBottom w:val="0"/>
          <w:divBdr>
            <w:top w:val="none" w:sz="0" w:space="0" w:color="auto"/>
            <w:left w:val="none" w:sz="0" w:space="0" w:color="auto"/>
            <w:bottom w:val="none" w:sz="0" w:space="0" w:color="auto"/>
            <w:right w:val="none" w:sz="0" w:space="0" w:color="auto"/>
          </w:divBdr>
          <w:divsChild>
            <w:div w:id="922422126">
              <w:marLeft w:val="0"/>
              <w:marRight w:val="0"/>
              <w:marTop w:val="0"/>
              <w:marBottom w:val="0"/>
              <w:divBdr>
                <w:top w:val="none" w:sz="0" w:space="0" w:color="auto"/>
                <w:left w:val="none" w:sz="0" w:space="0" w:color="auto"/>
                <w:bottom w:val="none" w:sz="0" w:space="0" w:color="auto"/>
                <w:right w:val="none" w:sz="0" w:space="0" w:color="auto"/>
              </w:divBdr>
              <w:divsChild>
                <w:div w:id="669606069">
                  <w:marLeft w:val="0"/>
                  <w:marRight w:val="0"/>
                  <w:marTop w:val="0"/>
                  <w:marBottom w:val="0"/>
                  <w:divBdr>
                    <w:top w:val="none" w:sz="0" w:space="0" w:color="auto"/>
                    <w:left w:val="none" w:sz="0" w:space="0" w:color="auto"/>
                    <w:bottom w:val="none" w:sz="0" w:space="0" w:color="auto"/>
                    <w:right w:val="none" w:sz="0" w:space="0" w:color="auto"/>
                  </w:divBdr>
                  <w:divsChild>
                    <w:div w:id="1367831516">
                      <w:marLeft w:val="0"/>
                      <w:marRight w:val="0"/>
                      <w:marTop w:val="0"/>
                      <w:marBottom w:val="0"/>
                      <w:divBdr>
                        <w:top w:val="none" w:sz="0" w:space="0" w:color="auto"/>
                        <w:left w:val="none" w:sz="0" w:space="0" w:color="auto"/>
                        <w:bottom w:val="none" w:sz="0" w:space="0" w:color="auto"/>
                        <w:right w:val="none" w:sz="0" w:space="0" w:color="auto"/>
                      </w:divBdr>
                      <w:divsChild>
                        <w:div w:id="455562511">
                          <w:marLeft w:val="0"/>
                          <w:marRight w:val="0"/>
                          <w:marTop w:val="0"/>
                          <w:marBottom w:val="0"/>
                          <w:divBdr>
                            <w:top w:val="none" w:sz="0" w:space="0" w:color="auto"/>
                            <w:left w:val="none" w:sz="0" w:space="0" w:color="auto"/>
                            <w:bottom w:val="none" w:sz="0" w:space="0" w:color="auto"/>
                            <w:right w:val="none" w:sz="0" w:space="0" w:color="auto"/>
                          </w:divBdr>
                          <w:divsChild>
                            <w:div w:id="2012752022">
                              <w:marLeft w:val="0"/>
                              <w:marRight w:val="0"/>
                              <w:marTop w:val="0"/>
                              <w:marBottom w:val="0"/>
                              <w:divBdr>
                                <w:top w:val="none" w:sz="0" w:space="0" w:color="auto"/>
                                <w:left w:val="none" w:sz="0" w:space="0" w:color="auto"/>
                                <w:bottom w:val="none" w:sz="0" w:space="0" w:color="auto"/>
                                <w:right w:val="none" w:sz="0" w:space="0" w:color="auto"/>
                              </w:divBdr>
                              <w:divsChild>
                                <w:div w:id="1506434231">
                                  <w:marLeft w:val="0"/>
                                  <w:marRight w:val="0"/>
                                  <w:marTop w:val="0"/>
                                  <w:marBottom w:val="0"/>
                                  <w:divBdr>
                                    <w:top w:val="none" w:sz="0" w:space="0" w:color="auto"/>
                                    <w:left w:val="none" w:sz="0" w:space="0" w:color="auto"/>
                                    <w:bottom w:val="none" w:sz="0" w:space="0" w:color="auto"/>
                                    <w:right w:val="none" w:sz="0" w:space="0" w:color="auto"/>
                                  </w:divBdr>
                                  <w:divsChild>
                                    <w:div w:id="2976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9805">
                      <w:marLeft w:val="0"/>
                      <w:marRight w:val="0"/>
                      <w:marTop w:val="0"/>
                      <w:marBottom w:val="0"/>
                      <w:divBdr>
                        <w:top w:val="none" w:sz="0" w:space="0" w:color="auto"/>
                        <w:left w:val="none" w:sz="0" w:space="0" w:color="auto"/>
                        <w:bottom w:val="none" w:sz="0" w:space="0" w:color="auto"/>
                        <w:right w:val="none" w:sz="0" w:space="0" w:color="auto"/>
                      </w:divBdr>
                      <w:divsChild>
                        <w:div w:id="20121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84284">
      <w:bodyDiv w:val="1"/>
      <w:marLeft w:val="0"/>
      <w:marRight w:val="0"/>
      <w:marTop w:val="0"/>
      <w:marBottom w:val="0"/>
      <w:divBdr>
        <w:top w:val="none" w:sz="0" w:space="0" w:color="auto"/>
        <w:left w:val="none" w:sz="0" w:space="0" w:color="auto"/>
        <w:bottom w:val="none" w:sz="0" w:space="0" w:color="auto"/>
        <w:right w:val="none" w:sz="0" w:space="0" w:color="auto"/>
      </w:divBdr>
    </w:div>
    <w:div w:id="68814032">
      <w:bodyDiv w:val="1"/>
      <w:marLeft w:val="0"/>
      <w:marRight w:val="0"/>
      <w:marTop w:val="0"/>
      <w:marBottom w:val="0"/>
      <w:divBdr>
        <w:top w:val="none" w:sz="0" w:space="0" w:color="auto"/>
        <w:left w:val="none" w:sz="0" w:space="0" w:color="auto"/>
        <w:bottom w:val="none" w:sz="0" w:space="0" w:color="auto"/>
        <w:right w:val="none" w:sz="0" w:space="0" w:color="auto"/>
      </w:divBdr>
    </w:div>
    <w:div w:id="82722199">
      <w:bodyDiv w:val="1"/>
      <w:marLeft w:val="0"/>
      <w:marRight w:val="0"/>
      <w:marTop w:val="0"/>
      <w:marBottom w:val="0"/>
      <w:divBdr>
        <w:top w:val="none" w:sz="0" w:space="0" w:color="auto"/>
        <w:left w:val="none" w:sz="0" w:space="0" w:color="auto"/>
        <w:bottom w:val="none" w:sz="0" w:space="0" w:color="auto"/>
        <w:right w:val="none" w:sz="0" w:space="0" w:color="auto"/>
      </w:divBdr>
    </w:div>
    <w:div w:id="93987118">
      <w:bodyDiv w:val="1"/>
      <w:marLeft w:val="0"/>
      <w:marRight w:val="0"/>
      <w:marTop w:val="0"/>
      <w:marBottom w:val="0"/>
      <w:divBdr>
        <w:top w:val="none" w:sz="0" w:space="0" w:color="auto"/>
        <w:left w:val="none" w:sz="0" w:space="0" w:color="auto"/>
        <w:bottom w:val="none" w:sz="0" w:space="0" w:color="auto"/>
        <w:right w:val="none" w:sz="0" w:space="0" w:color="auto"/>
      </w:divBdr>
    </w:div>
    <w:div w:id="106431507">
      <w:bodyDiv w:val="1"/>
      <w:marLeft w:val="0"/>
      <w:marRight w:val="0"/>
      <w:marTop w:val="0"/>
      <w:marBottom w:val="0"/>
      <w:divBdr>
        <w:top w:val="none" w:sz="0" w:space="0" w:color="auto"/>
        <w:left w:val="none" w:sz="0" w:space="0" w:color="auto"/>
        <w:bottom w:val="none" w:sz="0" w:space="0" w:color="auto"/>
        <w:right w:val="none" w:sz="0" w:space="0" w:color="auto"/>
      </w:divBdr>
    </w:div>
    <w:div w:id="109475834">
      <w:bodyDiv w:val="1"/>
      <w:marLeft w:val="0"/>
      <w:marRight w:val="0"/>
      <w:marTop w:val="0"/>
      <w:marBottom w:val="0"/>
      <w:divBdr>
        <w:top w:val="none" w:sz="0" w:space="0" w:color="auto"/>
        <w:left w:val="none" w:sz="0" w:space="0" w:color="auto"/>
        <w:bottom w:val="none" w:sz="0" w:space="0" w:color="auto"/>
        <w:right w:val="none" w:sz="0" w:space="0" w:color="auto"/>
      </w:divBdr>
      <w:divsChild>
        <w:div w:id="1536700179">
          <w:marLeft w:val="-720"/>
          <w:marRight w:val="0"/>
          <w:marTop w:val="0"/>
          <w:marBottom w:val="0"/>
          <w:divBdr>
            <w:top w:val="none" w:sz="0" w:space="0" w:color="auto"/>
            <w:left w:val="none" w:sz="0" w:space="0" w:color="auto"/>
            <w:bottom w:val="none" w:sz="0" w:space="0" w:color="auto"/>
            <w:right w:val="none" w:sz="0" w:space="0" w:color="auto"/>
          </w:divBdr>
        </w:div>
      </w:divsChild>
    </w:div>
    <w:div w:id="118648066">
      <w:bodyDiv w:val="1"/>
      <w:marLeft w:val="0"/>
      <w:marRight w:val="0"/>
      <w:marTop w:val="0"/>
      <w:marBottom w:val="0"/>
      <w:divBdr>
        <w:top w:val="none" w:sz="0" w:space="0" w:color="auto"/>
        <w:left w:val="none" w:sz="0" w:space="0" w:color="auto"/>
        <w:bottom w:val="none" w:sz="0" w:space="0" w:color="auto"/>
        <w:right w:val="none" w:sz="0" w:space="0" w:color="auto"/>
      </w:divBdr>
      <w:divsChild>
        <w:div w:id="1554317425">
          <w:marLeft w:val="-720"/>
          <w:marRight w:val="0"/>
          <w:marTop w:val="0"/>
          <w:marBottom w:val="0"/>
          <w:divBdr>
            <w:top w:val="none" w:sz="0" w:space="0" w:color="auto"/>
            <w:left w:val="none" w:sz="0" w:space="0" w:color="auto"/>
            <w:bottom w:val="none" w:sz="0" w:space="0" w:color="auto"/>
            <w:right w:val="none" w:sz="0" w:space="0" w:color="auto"/>
          </w:divBdr>
        </w:div>
      </w:divsChild>
    </w:div>
    <w:div w:id="119153793">
      <w:bodyDiv w:val="1"/>
      <w:marLeft w:val="0"/>
      <w:marRight w:val="0"/>
      <w:marTop w:val="0"/>
      <w:marBottom w:val="0"/>
      <w:divBdr>
        <w:top w:val="none" w:sz="0" w:space="0" w:color="auto"/>
        <w:left w:val="none" w:sz="0" w:space="0" w:color="auto"/>
        <w:bottom w:val="none" w:sz="0" w:space="0" w:color="auto"/>
        <w:right w:val="none" w:sz="0" w:space="0" w:color="auto"/>
      </w:divBdr>
    </w:div>
    <w:div w:id="125201007">
      <w:bodyDiv w:val="1"/>
      <w:marLeft w:val="0"/>
      <w:marRight w:val="0"/>
      <w:marTop w:val="0"/>
      <w:marBottom w:val="0"/>
      <w:divBdr>
        <w:top w:val="none" w:sz="0" w:space="0" w:color="auto"/>
        <w:left w:val="none" w:sz="0" w:space="0" w:color="auto"/>
        <w:bottom w:val="none" w:sz="0" w:space="0" w:color="auto"/>
        <w:right w:val="none" w:sz="0" w:space="0" w:color="auto"/>
      </w:divBdr>
    </w:div>
    <w:div w:id="128985593">
      <w:bodyDiv w:val="1"/>
      <w:marLeft w:val="0"/>
      <w:marRight w:val="0"/>
      <w:marTop w:val="0"/>
      <w:marBottom w:val="0"/>
      <w:divBdr>
        <w:top w:val="none" w:sz="0" w:space="0" w:color="auto"/>
        <w:left w:val="none" w:sz="0" w:space="0" w:color="auto"/>
        <w:bottom w:val="none" w:sz="0" w:space="0" w:color="auto"/>
        <w:right w:val="none" w:sz="0" w:space="0" w:color="auto"/>
      </w:divBdr>
    </w:div>
    <w:div w:id="163253116">
      <w:bodyDiv w:val="1"/>
      <w:marLeft w:val="0"/>
      <w:marRight w:val="0"/>
      <w:marTop w:val="0"/>
      <w:marBottom w:val="0"/>
      <w:divBdr>
        <w:top w:val="none" w:sz="0" w:space="0" w:color="auto"/>
        <w:left w:val="none" w:sz="0" w:space="0" w:color="auto"/>
        <w:bottom w:val="none" w:sz="0" w:space="0" w:color="auto"/>
        <w:right w:val="none" w:sz="0" w:space="0" w:color="auto"/>
      </w:divBdr>
    </w:div>
    <w:div w:id="164787688">
      <w:bodyDiv w:val="1"/>
      <w:marLeft w:val="0"/>
      <w:marRight w:val="0"/>
      <w:marTop w:val="0"/>
      <w:marBottom w:val="0"/>
      <w:divBdr>
        <w:top w:val="none" w:sz="0" w:space="0" w:color="auto"/>
        <w:left w:val="none" w:sz="0" w:space="0" w:color="auto"/>
        <w:bottom w:val="none" w:sz="0" w:space="0" w:color="auto"/>
        <w:right w:val="none" w:sz="0" w:space="0" w:color="auto"/>
      </w:divBdr>
    </w:div>
    <w:div w:id="174194859">
      <w:bodyDiv w:val="1"/>
      <w:marLeft w:val="0"/>
      <w:marRight w:val="0"/>
      <w:marTop w:val="0"/>
      <w:marBottom w:val="0"/>
      <w:divBdr>
        <w:top w:val="none" w:sz="0" w:space="0" w:color="auto"/>
        <w:left w:val="none" w:sz="0" w:space="0" w:color="auto"/>
        <w:bottom w:val="none" w:sz="0" w:space="0" w:color="auto"/>
        <w:right w:val="none" w:sz="0" w:space="0" w:color="auto"/>
      </w:divBdr>
    </w:div>
    <w:div w:id="193930581">
      <w:bodyDiv w:val="1"/>
      <w:marLeft w:val="0"/>
      <w:marRight w:val="0"/>
      <w:marTop w:val="0"/>
      <w:marBottom w:val="0"/>
      <w:divBdr>
        <w:top w:val="none" w:sz="0" w:space="0" w:color="auto"/>
        <w:left w:val="none" w:sz="0" w:space="0" w:color="auto"/>
        <w:bottom w:val="none" w:sz="0" w:space="0" w:color="auto"/>
        <w:right w:val="none" w:sz="0" w:space="0" w:color="auto"/>
      </w:divBdr>
    </w:div>
    <w:div w:id="196092108">
      <w:bodyDiv w:val="1"/>
      <w:marLeft w:val="0"/>
      <w:marRight w:val="0"/>
      <w:marTop w:val="0"/>
      <w:marBottom w:val="0"/>
      <w:divBdr>
        <w:top w:val="none" w:sz="0" w:space="0" w:color="auto"/>
        <w:left w:val="none" w:sz="0" w:space="0" w:color="auto"/>
        <w:bottom w:val="none" w:sz="0" w:space="0" w:color="auto"/>
        <w:right w:val="none" w:sz="0" w:space="0" w:color="auto"/>
      </w:divBdr>
    </w:div>
    <w:div w:id="201989943">
      <w:bodyDiv w:val="1"/>
      <w:marLeft w:val="0"/>
      <w:marRight w:val="0"/>
      <w:marTop w:val="0"/>
      <w:marBottom w:val="0"/>
      <w:divBdr>
        <w:top w:val="none" w:sz="0" w:space="0" w:color="auto"/>
        <w:left w:val="none" w:sz="0" w:space="0" w:color="auto"/>
        <w:bottom w:val="none" w:sz="0" w:space="0" w:color="auto"/>
        <w:right w:val="none" w:sz="0" w:space="0" w:color="auto"/>
      </w:divBdr>
      <w:divsChild>
        <w:div w:id="909078719">
          <w:marLeft w:val="-720"/>
          <w:marRight w:val="0"/>
          <w:marTop w:val="0"/>
          <w:marBottom w:val="0"/>
          <w:divBdr>
            <w:top w:val="none" w:sz="0" w:space="0" w:color="auto"/>
            <w:left w:val="none" w:sz="0" w:space="0" w:color="auto"/>
            <w:bottom w:val="none" w:sz="0" w:space="0" w:color="auto"/>
            <w:right w:val="none" w:sz="0" w:space="0" w:color="auto"/>
          </w:divBdr>
        </w:div>
      </w:divsChild>
    </w:div>
    <w:div w:id="215557267">
      <w:bodyDiv w:val="1"/>
      <w:marLeft w:val="0"/>
      <w:marRight w:val="0"/>
      <w:marTop w:val="0"/>
      <w:marBottom w:val="0"/>
      <w:divBdr>
        <w:top w:val="none" w:sz="0" w:space="0" w:color="auto"/>
        <w:left w:val="none" w:sz="0" w:space="0" w:color="auto"/>
        <w:bottom w:val="none" w:sz="0" w:space="0" w:color="auto"/>
        <w:right w:val="none" w:sz="0" w:space="0" w:color="auto"/>
      </w:divBdr>
    </w:div>
    <w:div w:id="220412056">
      <w:bodyDiv w:val="1"/>
      <w:marLeft w:val="0"/>
      <w:marRight w:val="0"/>
      <w:marTop w:val="0"/>
      <w:marBottom w:val="0"/>
      <w:divBdr>
        <w:top w:val="none" w:sz="0" w:space="0" w:color="auto"/>
        <w:left w:val="none" w:sz="0" w:space="0" w:color="auto"/>
        <w:bottom w:val="none" w:sz="0" w:space="0" w:color="auto"/>
        <w:right w:val="none" w:sz="0" w:space="0" w:color="auto"/>
      </w:divBdr>
    </w:div>
    <w:div w:id="223876958">
      <w:bodyDiv w:val="1"/>
      <w:marLeft w:val="0"/>
      <w:marRight w:val="0"/>
      <w:marTop w:val="0"/>
      <w:marBottom w:val="0"/>
      <w:divBdr>
        <w:top w:val="none" w:sz="0" w:space="0" w:color="auto"/>
        <w:left w:val="none" w:sz="0" w:space="0" w:color="auto"/>
        <w:bottom w:val="none" w:sz="0" w:space="0" w:color="auto"/>
        <w:right w:val="none" w:sz="0" w:space="0" w:color="auto"/>
      </w:divBdr>
    </w:div>
    <w:div w:id="250704418">
      <w:bodyDiv w:val="1"/>
      <w:marLeft w:val="0"/>
      <w:marRight w:val="0"/>
      <w:marTop w:val="0"/>
      <w:marBottom w:val="0"/>
      <w:divBdr>
        <w:top w:val="none" w:sz="0" w:space="0" w:color="auto"/>
        <w:left w:val="none" w:sz="0" w:space="0" w:color="auto"/>
        <w:bottom w:val="none" w:sz="0" w:space="0" w:color="auto"/>
        <w:right w:val="none" w:sz="0" w:space="0" w:color="auto"/>
      </w:divBdr>
    </w:div>
    <w:div w:id="265502346">
      <w:bodyDiv w:val="1"/>
      <w:marLeft w:val="0"/>
      <w:marRight w:val="0"/>
      <w:marTop w:val="0"/>
      <w:marBottom w:val="0"/>
      <w:divBdr>
        <w:top w:val="none" w:sz="0" w:space="0" w:color="auto"/>
        <w:left w:val="none" w:sz="0" w:space="0" w:color="auto"/>
        <w:bottom w:val="none" w:sz="0" w:space="0" w:color="auto"/>
        <w:right w:val="none" w:sz="0" w:space="0" w:color="auto"/>
      </w:divBdr>
    </w:div>
    <w:div w:id="310453492">
      <w:bodyDiv w:val="1"/>
      <w:marLeft w:val="0"/>
      <w:marRight w:val="0"/>
      <w:marTop w:val="0"/>
      <w:marBottom w:val="0"/>
      <w:divBdr>
        <w:top w:val="none" w:sz="0" w:space="0" w:color="auto"/>
        <w:left w:val="none" w:sz="0" w:space="0" w:color="auto"/>
        <w:bottom w:val="none" w:sz="0" w:space="0" w:color="auto"/>
        <w:right w:val="none" w:sz="0" w:space="0" w:color="auto"/>
      </w:divBdr>
    </w:div>
    <w:div w:id="310604102">
      <w:bodyDiv w:val="1"/>
      <w:marLeft w:val="0"/>
      <w:marRight w:val="0"/>
      <w:marTop w:val="0"/>
      <w:marBottom w:val="0"/>
      <w:divBdr>
        <w:top w:val="none" w:sz="0" w:space="0" w:color="auto"/>
        <w:left w:val="none" w:sz="0" w:space="0" w:color="auto"/>
        <w:bottom w:val="none" w:sz="0" w:space="0" w:color="auto"/>
        <w:right w:val="none" w:sz="0" w:space="0" w:color="auto"/>
      </w:divBdr>
    </w:div>
    <w:div w:id="331881128">
      <w:bodyDiv w:val="1"/>
      <w:marLeft w:val="0"/>
      <w:marRight w:val="0"/>
      <w:marTop w:val="0"/>
      <w:marBottom w:val="0"/>
      <w:divBdr>
        <w:top w:val="none" w:sz="0" w:space="0" w:color="auto"/>
        <w:left w:val="none" w:sz="0" w:space="0" w:color="auto"/>
        <w:bottom w:val="none" w:sz="0" w:space="0" w:color="auto"/>
        <w:right w:val="none" w:sz="0" w:space="0" w:color="auto"/>
      </w:divBdr>
    </w:div>
    <w:div w:id="334117874">
      <w:bodyDiv w:val="1"/>
      <w:marLeft w:val="0"/>
      <w:marRight w:val="0"/>
      <w:marTop w:val="0"/>
      <w:marBottom w:val="0"/>
      <w:divBdr>
        <w:top w:val="none" w:sz="0" w:space="0" w:color="auto"/>
        <w:left w:val="none" w:sz="0" w:space="0" w:color="auto"/>
        <w:bottom w:val="none" w:sz="0" w:space="0" w:color="auto"/>
        <w:right w:val="none" w:sz="0" w:space="0" w:color="auto"/>
      </w:divBdr>
    </w:div>
    <w:div w:id="335159838">
      <w:bodyDiv w:val="1"/>
      <w:marLeft w:val="0"/>
      <w:marRight w:val="0"/>
      <w:marTop w:val="0"/>
      <w:marBottom w:val="0"/>
      <w:divBdr>
        <w:top w:val="none" w:sz="0" w:space="0" w:color="auto"/>
        <w:left w:val="none" w:sz="0" w:space="0" w:color="auto"/>
        <w:bottom w:val="none" w:sz="0" w:space="0" w:color="auto"/>
        <w:right w:val="none" w:sz="0" w:space="0" w:color="auto"/>
      </w:divBdr>
    </w:div>
    <w:div w:id="378938678">
      <w:bodyDiv w:val="1"/>
      <w:marLeft w:val="0"/>
      <w:marRight w:val="0"/>
      <w:marTop w:val="0"/>
      <w:marBottom w:val="0"/>
      <w:divBdr>
        <w:top w:val="none" w:sz="0" w:space="0" w:color="auto"/>
        <w:left w:val="none" w:sz="0" w:space="0" w:color="auto"/>
        <w:bottom w:val="none" w:sz="0" w:space="0" w:color="auto"/>
        <w:right w:val="none" w:sz="0" w:space="0" w:color="auto"/>
      </w:divBdr>
    </w:div>
    <w:div w:id="399987467">
      <w:bodyDiv w:val="1"/>
      <w:marLeft w:val="0"/>
      <w:marRight w:val="0"/>
      <w:marTop w:val="0"/>
      <w:marBottom w:val="0"/>
      <w:divBdr>
        <w:top w:val="none" w:sz="0" w:space="0" w:color="auto"/>
        <w:left w:val="none" w:sz="0" w:space="0" w:color="auto"/>
        <w:bottom w:val="none" w:sz="0" w:space="0" w:color="auto"/>
        <w:right w:val="none" w:sz="0" w:space="0" w:color="auto"/>
      </w:divBdr>
      <w:divsChild>
        <w:div w:id="285552243">
          <w:marLeft w:val="0"/>
          <w:marRight w:val="0"/>
          <w:marTop w:val="0"/>
          <w:marBottom w:val="0"/>
          <w:divBdr>
            <w:top w:val="none" w:sz="0" w:space="0" w:color="auto"/>
            <w:left w:val="none" w:sz="0" w:space="0" w:color="auto"/>
            <w:bottom w:val="none" w:sz="0" w:space="0" w:color="auto"/>
            <w:right w:val="none" w:sz="0" w:space="0" w:color="auto"/>
          </w:divBdr>
          <w:divsChild>
            <w:div w:id="7607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923">
      <w:bodyDiv w:val="1"/>
      <w:marLeft w:val="0"/>
      <w:marRight w:val="0"/>
      <w:marTop w:val="0"/>
      <w:marBottom w:val="0"/>
      <w:divBdr>
        <w:top w:val="none" w:sz="0" w:space="0" w:color="auto"/>
        <w:left w:val="none" w:sz="0" w:space="0" w:color="auto"/>
        <w:bottom w:val="none" w:sz="0" w:space="0" w:color="auto"/>
        <w:right w:val="none" w:sz="0" w:space="0" w:color="auto"/>
      </w:divBdr>
    </w:div>
    <w:div w:id="409620534">
      <w:bodyDiv w:val="1"/>
      <w:marLeft w:val="0"/>
      <w:marRight w:val="0"/>
      <w:marTop w:val="0"/>
      <w:marBottom w:val="0"/>
      <w:divBdr>
        <w:top w:val="none" w:sz="0" w:space="0" w:color="auto"/>
        <w:left w:val="none" w:sz="0" w:space="0" w:color="auto"/>
        <w:bottom w:val="none" w:sz="0" w:space="0" w:color="auto"/>
        <w:right w:val="none" w:sz="0" w:space="0" w:color="auto"/>
      </w:divBdr>
    </w:div>
    <w:div w:id="411780928">
      <w:bodyDiv w:val="1"/>
      <w:marLeft w:val="0"/>
      <w:marRight w:val="0"/>
      <w:marTop w:val="0"/>
      <w:marBottom w:val="0"/>
      <w:divBdr>
        <w:top w:val="none" w:sz="0" w:space="0" w:color="auto"/>
        <w:left w:val="none" w:sz="0" w:space="0" w:color="auto"/>
        <w:bottom w:val="none" w:sz="0" w:space="0" w:color="auto"/>
        <w:right w:val="none" w:sz="0" w:space="0" w:color="auto"/>
      </w:divBdr>
    </w:div>
    <w:div w:id="418599784">
      <w:bodyDiv w:val="1"/>
      <w:marLeft w:val="0"/>
      <w:marRight w:val="0"/>
      <w:marTop w:val="0"/>
      <w:marBottom w:val="0"/>
      <w:divBdr>
        <w:top w:val="none" w:sz="0" w:space="0" w:color="auto"/>
        <w:left w:val="none" w:sz="0" w:space="0" w:color="auto"/>
        <w:bottom w:val="none" w:sz="0" w:space="0" w:color="auto"/>
        <w:right w:val="none" w:sz="0" w:space="0" w:color="auto"/>
      </w:divBdr>
    </w:div>
    <w:div w:id="426312221">
      <w:bodyDiv w:val="1"/>
      <w:marLeft w:val="0"/>
      <w:marRight w:val="0"/>
      <w:marTop w:val="0"/>
      <w:marBottom w:val="0"/>
      <w:divBdr>
        <w:top w:val="none" w:sz="0" w:space="0" w:color="auto"/>
        <w:left w:val="none" w:sz="0" w:space="0" w:color="auto"/>
        <w:bottom w:val="none" w:sz="0" w:space="0" w:color="auto"/>
        <w:right w:val="none" w:sz="0" w:space="0" w:color="auto"/>
      </w:divBdr>
    </w:div>
    <w:div w:id="438336250">
      <w:bodyDiv w:val="1"/>
      <w:marLeft w:val="0"/>
      <w:marRight w:val="0"/>
      <w:marTop w:val="0"/>
      <w:marBottom w:val="0"/>
      <w:divBdr>
        <w:top w:val="none" w:sz="0" w:space="0" w:color="auto"/>
        <w:left w:val="none" w:sz="0" w:space="0" w:color="auto"/>
        <w:bottom w:val="none" w:sz="0" w:space="0" w:color="auto"/>
        <w:right w:val="none" w:sz="0" w:space="0" w:color="auto"/>
      </w:divBdr>
    </w:div>
    <w:div w:id="465467227">
      <w:bodyDiv w:val="1"/>
      <w:marLeft w:val="0"/>
      <w:marRight w:val="0"/>
      <w:marTop w:val="0"/>
      <w:marBottom w:val="0"/>
      <w:divBdr>
        <w:top w:val="none" w:sz="0" w:space="0" w:color="auto"/>
        <w:left w:val="none" w:sz="0" w:space="0" w:color="auto"/>
        <w:bottom w:val="none" w:sz="0" w:space="0" w:color="auto"/>
        <w:right w:val="none" w:sz="0" w:space="0" w:color="auto"/>
      </w:divBdr>
    </w:div>
    <w:div w:id="497889329">
      <w:bodyDiv w:val="1"/>
      <w:marLeft w:val="0"/>
      <w:marRight w:val="0"/>
      <w:marTop w:val="0"/>
      <w:marBottom w:val="0"/>
      <w:divBdr>
        <w:top w:val="none" w:sz="0" w:space="0" w:color="auto"/>
        <w:left w:val="none" w:sz="0" w:space="0" w:color="auto"/>
        <w:bottom w:val="none" w:sz="0" w:space="0" w:color="auto"/>
        <w:right w:val="none" w:sz="0" w:space="0" w:color="auto"/>
      </w:divBdr>
      <w:divsChild>
        <w:div w:id="1486582689">
          <w:marLeft w:val="-720"/>
          <w:marRight w:val="0"/>
          <w:marTop w:val="0"/>
          <w:marBottom w:val="0"/>
          <w:divBdr>
            <w:top w:val="none" w:sz="0" w:space="0" w:color="auto"/>
            <w:left w:val="none" w:sz="0" w:space="0" w:color="auto"/>
            <w:bottom w:val="none" w:sz="0" w:space="0" w:color="auto"/>
            <w:right w:val="none" w:sz="0" w:space="0" w:color="auto"/>
          </w:divBdr>
        </w:div>
      </w:divsChild>
    </w:div>
    <w:div w:id="549608752">
      <w:bodyDiv w:val="1"/>
      <w:marLeft w:val="0"/>
      <w:marRight w:val="0"/>
      <w:marTop w:val="0"/>
      <w:marBottom w:val="0"/>
      <w:divBdr>
        <w:top w:val="none" w:sz="0" w:space="0" w:color="auto"/>
        <w:left w:val="none" w:sz="0" w:space="0" w:color="auto"/>
        <w:bottom w:val="none" w:sz="0" w:space="0" w:color="auto"/>
        <w:right w:val="none" w:sz="0" w:space="0" w:color="auto"/>
      </w:divBdr>
    </w:div>
    <w:div w:id="554706588">
      <w:bodyDiv w:val="1"/>
      <w:marLeft w:val="0"/>
      <w:marRight w:val="0"/>
      <w:marTop w:val="0"/>
      <w:marBottom w:val="0"/>
      <w:divBdr>
        <w:top w:val="none" w:sz="0" w:space="0" w:color="auto"/>
        <w:left w:val="none" w:sz="0" w:space="0" w:color="auto"/>
        <w:bottom w:val="none" w:sz="0" w:space="0" w:color="auto"/>
        <w:right w:val="none" w:sz="0" w:space="0" w:color="auto"/>
      </w:divBdr>
    </w:div>
    <w:div w:id="561790579">
      <w:bodyDiv w:val="1"/>
      <w:marLeft w:val="0"/>
      <w:marRight w:val="0"/>
      <w:marTop w:val="0"/>
      <w:marBottom w:val="0"/>
      <w:divBdr>
        <w:top w:val="none" w:sz="0" w:space="0" w:color="auto"/>
        <w:left w:val="none" w:sz="0" w:space="0" w:color="auto"/>
        <w:bottom w:val="none" w:sz="0" w:space="0" w:color="auto"/>
        <w:right w:val="none" w:sz="0" w:space="0" w:color="auto"/>
      </w:divBdr>
    </w:div>
    <w:div w:id="566570444">
      <w:bodyDiv w:val="1"/>
      <w:marLeft w:val="0"/>
      <w:marRight w:val="0"/>
      <w:marTop w:val="0"/>
      <w:marBottom w:val="0"/>
      <w:divBdr>
        <w:top w:val="none" w:sz="0" w:space="0" w:color="auto"/>
        <w:left w:val="none" w:sz="0" w:space="0" w:color="auto"/>
        <w:bottom w:val="none" w:sz="0" w:space="0" w:color="auto"/>
        <w:right w:val="none" w:sz="0" w:space="0" w:color="auto"/>
      </w:divBdr>
    </w:div>
    <w:div w:id="601105052">
      <w:bodyDiv w:val="1"/>
      <w:marLeft w:val="0"/>
      <w:marRight w:val="0"/>
      <w:marTop w:val="0"/>
      <w:marBottom w:val="0"/>
      <w:divBdr>
        <w:top w:val="none" w:sz="0" w:space="0" w:color="auto"/>
        <w:left w:val="none" w:sz="0" w:space="0" w:color="auto"/>
        <w:bottom w:val="none" w:sz="0" w:space="0" w:color="auto"/>
        <w:right w:val="none" w:sz="0" w:space="0" w:color="auto"/>
      </w:divBdr>
    </w:div>
    <w:div w:id="674117793">
      <w:bodyDiv w:val="1"/>
      <w:marLeft w:val="0"/>
      <w:marRight w:val="0"/>
      <w:marTop w:val="0"/>
      <w:marBottom w:val="0"/>
      <w:divBdr>
        <w:top w:val="none" w:sz="0" w:space="0" w:color="auto"/>
        <w:left w:val="none" w:sz="0" w:space="0" w:color="auto"/>
        <w:bottom w:val="none" w:sz="0" w:space="0" w:color="auto"/>
        <w:right w:val="none" w:sz="0" w:space="0" w:color="auto"/>
      </w:divBdr>
    </w:div>
    <w:div w:id="674378901">
      <w:bodyDiv w:val="1"/>
      <w:marLeft w:val="0"/>
      <w:marRight w:val="0"/>
      <w:marTop w:val="0"/>
      <w:marBottom w:val="0"/>
      <w:divBdr>
        <w:top w:val="none" w:sz="0" w:space="0" w:color="auto"/>
        <w:left w:val="none" w:sz="0" w:space="0" w:color="auto"/>
        <w:bottom w:val="none" w:sz="0" w:space="0" w:color="auto"/>
        <w:right w:val="none" w:sz="0" w:space="0" w:color="auto"/>
      </w:divBdr>
    </w:div>
    <w:div w:id="708339043">
      <w:bodyDiv w:val="1"/>
      <w:marLeft w:val="0"/>
      <w:marRight w:val="0"/>
      <w:marTop w:val="0"/>
      <w:marBottom w:val="0"/>
      <w:divBdr>
        <w:top w:val="none" w:sz="0" w:space="0" w:color="auto"/>
        <w:left w:val="none" w:sz="0" w:space="0" w:color="auto"/>
        <w:bottom w:val="none" w:sz="0" w:space="0" w:color="auto"/>
        <w:right w:val="none" w:sz="0" w:space="0" w:color="auto"/>
      </w:divBdr>
    </w:div>
    <w:div w:id="723065051">
      <w:bodyDiv w:val="1"/>
      <w:marLeft w:val="0"/>
      <w:marRight w:val="0"/>
      <w:marTop w:val="0"/>
      <w:marBottom w:val="0"/>
      <w:divBdr>
        <w:top w:val="none" w:sz="0" w:space="0" w:color="auto"/>
        <w:left w:val="none" w:sz="0" w:space="0" w:color="auto"/>
        <w:bottom w:val="none" w:sz="0" w:space="0" w:color="auto"/>
        <w:right w:val="none" w:sz="0" w:space="0" w:color="auto"/>
      </w:divBdr>
    </w:div>
    <w:div w:id="724303938">
      <w:bodyDiv w:val="1"/>
      <w:marLeft w:val="0"/>
      <w:marRight w:val="0"/>
      <w:marTop w:val="0"/>
      <w:marBottom w:val="0"/>
      <w:divBdr>
        <w:top w:val="none" w:sz="0" w:space="0" w:color="auto"/>
        <w:left w:val="none" w:sz="0" w:space="0" w:color="auto"/>
        <w:bottom w:val="none" w:sz="0" w:space="0" w:color="auto"/>
        <w:right w:val="none" w:sz="0" w:space="0" w:color="auto"/>
      </w:divBdr>
    </w:div>
    <w:div w:id="746264859">
      <w:bodyDiv w:val="1"/>
      <w:marLeft w:val="0"/>
      <w:marRight w:val="0"/>
      <w:marTop w:val="0"/>
      <w:marBottom w:val="0"/>
      <w:divBdr>
        <w:top w:val="none" w:sz="0" w:space="0" w:color="auto"/>
        <w:left w:val="none" w:sz="0" w:space="0" w:color="auto"/>
        <w:bottom w:val="none" w:sz="0" w:space="0" w:color="auto"/>
        <w:right w:val="none" w:sz="0" w:space="0" w:color="auto"/>
      </w:divBdr>
    </w:div>
    <w:div w:id="757825499">
      <w:bodyDiv w:val="1"/>
      <w:marLeft w:val="0"/>
      <w:marRight w:val="0"/>
      <w:marTop w:val="0"/>
      <w:marBottom w:val="0"/>
      <w:divBdr>
        <w:top w:val="none" w:sz="0" w:space="0" w:color="auto"/>
        <w:left w:val="none" w:sz="0" w:space="0" w:color="auto"/>
        <w:bottom w:val="none" w:sz="0" w:space="0" w:color="auto"/>
        <w:right w:val="none" w:sz="0" w:space="0" w:color="auto"/>
      </w:divBdr>
      <w:divsChild>
        <w:div w:id="1732116975">
          <w:marLeft w:val="-720"/>
          <w:marRight w:val="0"/>
          <w:marTop w:val="0"/>
          <w:marBottom w:val="0"/>
          <w:divBdr>
            <w:top w:val="none" w:sz="0" w:space="0" w:color="auto"/>
            <w:left w:val="none" w:sz="0" w:space="0" w:color="auto"/>
            <w:bottom w:val="none" w:sz="0" w:space="0" w:color="auto"/>
            <w:right w:val="none" w:sz="0" w:space="0" w:color="auto"/>
          </w:divBdr>
        </w:div>
      </w:divsChild>
    </w:div>
    <w:div w:id="759177819">
      <w:bodyDiv w:val="1"/>
      <w:marLeft w:val="0"/>
      <w:marRight w:val="0"/>
      <w:marTop w:val="0"/>
      <w:marBottom w:val="0"/>
      <w:divBdr>
        <w:top w:val="none" w:sz="0" w:space="0" w:color="auto"/>
        <w:left w:val="none" w:sz="0" w:space="0" w:color="auto"/>
        <w:bottom w:val="none" w:sz="0" w:space="0" w:color="auto"/>
        <w:right w:val="none" w:sz="0" w:space="0" w:color="auto"/>
      </w:divBdr>
    </w:div>
    <w:div w:id="783308374">
      <w:bodyDiv w:val="1"/>
      <w:marLeft w:val="0"/>
      <w:marRight w:val="0"/>
      <w:marTop w:val="0"/>
      <w:marBottom w:val="0"/>
      <w:divBdr>
        <w:top w:val="none" w:sz="0" w:space="0" w:color="auto"/>
        <w:left w:val="none" w:sz="0" w:space="0" w:color="auto"/>
        <w:bottom w:val="none" w:sz="0" w:space="0" w:color="auto"/>
        <w:right w:val="none" w:sz="0" w:space="0" w:color="auto"/>
      </w:divBdr>
    </w:div>
    <w:div w:id="809906159">
      <w:bodyDiv w:val="1"/>
      <w:marLeft w:val="0"/>
      <w:marRight w:val="0"/>
      <w:marTop w:val="0"/>
      <w:marBottom w:val="0"/>
      <w:divBdr>
        <w:top w:val="none" w:sz="0" w:space="0" w:color="auto"/>
        <w:left w:val="none" w:sz="0" w:space="0" w:color="auto"/>
        <w:bottom w:val="none" w:sz="0" w:space="0" w:color="auto"/>
        <w:right w:val="none" w:sz="0" w:space="0" w:color="auto"/>
      </w:divBdr>
    </w:div>
    <w:div w:id="816264145">
      <w:bodyDiv w:val="1"/>
      <w:marLeft w:val="0"/>
      <w:marRight w:val="0"/>
      <w:marTop w:val="0"/>
      <w:marBottom w:val="0"/>
      <w:divBdr>
        <w:top w:val="none" w:sz="0" w:space="0" w:color="auto"/>
        <w:left w:val="none" w:sz="0" w:space="0" w:color="auto"/>
        <w:bottom w:val="none" w:sz="0" w:space="0" w:color="auto"/>
        <w:right w:val="none" w:sz="0" w:space="0" w:color="auto"/>
      </w:divBdr>
    </w:div>
    <w:div w:id="824668569">
      <w:bodyDiv w:val="1"/>
      <w:marLeft w:val="0"/>
      <w:marRight w:val="0"/>
      <w:marTop w:val="0"/>
      <w:marBottom w:val="0"/>
      <w:divBdr>
        <w:top w:val="none" w:sz="0" w:space="0" w:color="auto"/>
        <w:left w:val="none" w:sz="0" w:space="0" w:color="auto"/>
        <w:bottom w:val="none" w:sz="0" w:space="0" w:color="auto"/>
        <w:right w:val="none" w:sz="0" w:space="0" w:color="auto"/>
      </w:divBdr>
    </w:div>
    <w:div w:id="845289929">
      <w:bodyDiv w:val="1"/>
      <w:marLeft w:val="0"/>
      <w:marRight w:val="0"/>
      <w:marTop w:val="0"/>
      <w:marBottom w:val="0"/>
      <w:divBdr>
        <w:top w:val="none" w:sz="0" w:space="0" w:color="auto"/>
        <w:left w:val="none" w:sz="0" w:space="0" w:color="auto"/>
        <w:bottom w:val="none" w:sz="0" w:space="0" w:color="auto"/>
        <w:right w:val="none" w:sz="0" w:space="0" w:color="auto"/>
      </w:divBdr>
    </w:div>
    <w:div w:id="855926275">
      <w:bodyDiv w:val="1"/>
      <w:marLeft w:val="0"/>
      <w:marRight w:val="0"/>
      <w:marTop w:val="0"/>
      <w:marBottom w:val="0"/>
      <w:divBdr>
        <w:top w:val="none" w:sz="0" w:space="0" w:color="auto"/>
        <w:left w:val="none" w:sz="0" w:space="0" w:color="auto"/>
        <w:bottom w:val="none" w:sz="0" w:space="0" w:color="auto"/>
        <w:right w:val="none" w:sz="0" w:space="0" w:color="auto"/>
      </w:divBdr>
      <w:divsChild>
        <w:div w:id="2109883705">
          <w:marLeft w:val="-720"/>
          <w:marRight w:val="0"/>
          <w:marTop w:val="0"/>
          <w:marBottom w:val="0"/>
          <w:divBdr>
            <w:top w:val="none" w:sz="0" w:space="0" w:color="auto"/>
            <w:left w:val="none" w:sz="0" w:space="0" w:color="auto"/>
            <w:bottom w:val="none" w:sz="0" w:space="0" w:color="auto"/>
            <w:right w:val="none" w:sz="0" w:space="0" w:color="auto"/>
          </w:divBdr>
        </w:div>
      </w:divsChild>
    </w:div>
    <w:div w:id="856039863">
      <w:bodyDiv w:val="1"/>
      <w:marLeft w:val="0"/>
      <w:marRight w:val="0"/>
      <w:marTop w:val="0"/>
      <w:marBottom w:val="0"/>
      <w:divBdr>
        <w:top w:val="none" w:sz="0" w:space="0" w:color="auto"/>
        <w:left w:val="none" w:sz="0" w:space="0" w:color="auto"/>
        <w:bottom w:val="none" w:sz="0" w:space="0" w:color="auto"/>
        <w:right w:val="none" w:sz="0" w:space="0" w:color="auto"/>
      </w:divBdr>
    </w:div>
    <w:div w:id="869226521">
      <w:bodyDiv w:val="1"/>
      <w:marLeft w:val="0"/>
      <w:marRight w:val="0"/>
      <w:marTop w:val="0"/>
      <w:marBottom w:val="0"/>
      <w:divBdr>
        <w:top w:val="none" w:sz="0" w:space="0" w:color="auto"/>
        <w:left w:val="none" w:sz="0" w:space="0" w:color="auto"/>
        <w:bottom w:val="none" w:sz="0" w:space="0" w:color="auto"/>
        <w:right w:val="none" w:sz="0" w:space="0" w:color="auto"/>
      </w:divBdr>
    </w:div>
    <w:div w:id="917708936">
      <w:bodyDiv w:val="1"/>
      <w:marLeft w:val="0"/>
      <w:marRight w:val="0"/>
      <w:marTop w:val="0"/>
      <w:marBottom w:val="0"/>
      <w:divBdr>
        <w:top w:val="none" w:sz="0" w:space="0" w:color="auto"/>
        <w:left w:val="none" w:sz="0" w:space="0" w:color="auto"/>
        <w:bottom w:val="none" w:sz="0" w:space="0" w:color="auto"/>
        <w:right w:val="none" w:sz="0" w:space="0" w:color="auto"/>
      </w:divBdr>
    </w:div>
    <w:div w:id="931284020">
      <w:bodyDiv w:val="1"/>
      <w:marLeft w:val="0"/>
      <w:marRight w:val="0"/>
      <w:marTop w:val="0"/>
      <w:marBottom w:val="0"/>
      <w:divBdr>
        <w:top w:val="none" w:sz="0" w:space="0" w:color="auto"/>
        <w:left w:val="none" w:sz="0" w:space="0" w:color="auto"/>
        <w:bottom w:val="none" w:sz="0" w:space="0" w:color="auto"/>
        <w:right w:val="none" w:sz="0" w:space="0" w:color="auto"/>
      </w:divBdr>
    </w:div>
    <w:div w:id="941650035">
      <w:bodyDiv w:val="1"/>
      <w:marLeft w:val="0"/>
      <w:marRight w:val="0"/>
      <w:marTop w:val="0"/>
      <w:marBottom w:val="0"/>
      <w:divBdr>
        <w:top w:val="none" w:sz="0" w:space="0" w:color="auto"/>
        <w:left w:val="none" w:sz="0" w:space="0" w:color="auto"/>
        <w:bottom w:val="none" w:sz="0" w:space="0" w:color="auto"/>
        <w:right w:val="none" w:sz="0" w:space="0" w:color="auto"/>
      </w:divBdr>
    </w:div>
    <w:div w:id="946154604">
      <w:bodyDiv w:val="1"/>
      <w:marLeft w:val="0"/>
      <w:marRight w:val="0"/>
      <w:marTop w:val="0"/>
      <w:marBottom w:val="0"/>
      <w:divBdr>
        <w:top w:val="none" w:sz="0" w:space="0" w:color="auto"/>
        <w:left w:val="none" w:sz="0" w:space="0" w:color="auto"/>
        <w:bottom w:val="none" w:sz="0" w:space="0" w:color="auto"/>
        <w:right w:val="none" w:sz="0" w:space="0" w:color="auto"/>
      </w:divBdr>
    </w:div>
    <w:div w:id="948926639">
      <w:bodyDiv w:val="1"/>
      <w:marLeft w:val="0"/>
      <w:marRight w:val="0"/>
      <w:marTop w:val="0"/>
      <w:marBottom w:val="0"/>
      <w:divBdr>
        <w:top w:val="none" w:sz="0" w:space="0" w:color="auto"/>
        <w:left w:val="none" w:sz="0" w:space="0" w:color="auto"/>
        <w:bottom w:val="none" w:sz="0" w:space="0" w:color="auto"/>
        <w:right w:val="none" w:sz="0" w:space="0" w:color="auto"/>
      </w:divBdr>
    </w:div>
    <w:div w:id="953906007">
      <w:bodyDiv w:val="1"/>
      <w:marLeft w:val="0"/>
      <w:marRight w:val="0"/>
      <w:marTop w:val="0"/>
      <w:marBottom w:val="0"/>
      <w:divBdr>
        <w:top w:val="none" w:sz="0" w:space="0" w:color="auto"/>
        <w:left w:val="none" w:sz="0" w:space="0" w:color="auto"/>
        <w:bottom w:val="none" w:sz="0" w:space="0" w:color="auto"/>
        <w:right w:val="none" w:sz="0" w:space="0" w:color="auto"/>
      </w:divBdr>
      <w:divsChild>
        <w:div w:id="1957783821">
          <w:marLeft w:val="-720"/>
          <w:marRight w:val="0"/>
          <w:marTop w:val="0"/>
          <w:marBottom w:val="0"/>
          <w:divBdr>
            <w:top w:val="none" w:sz="0" w:space="0" w:color="auto"/>
            <w:left w:val="none" w:sz="0" w:space="0" w:color="auto"/>
            <w:bottom w:val="none" w:sz="0" w:space="0" w:color="auto"/>
            <w:right w:val="none" w:sz="0" w:space="0" w:color="auto"/>
          </w:divBdr>
        </w:div>
      </w:divsChild>
    </w:div>
    <w:div w:id="961421674">
      <w:bodyDiv w:val="1"/>
      <w:marLeft w:val="0"/>
      <w:marRight w:val="0"/>
      <w:marTop w:val="0"/>
      <w:marBottom w:val="0"/>
      <w:divBdr>
        <w:top w:val="none" w:sz="0" w:space="0" w:color="auto"/>
        <w:left w:val="none" w:sz="0" w:space="0" w:color="auto"/>
        <w:bottom w:val="none" w:sz="0" w:space="0" w:color="auto"/>
        <w:right w:val="none" w:sz="0" w:space="0" w:color="auto"/>
      </w:divBdr>
    </w:div>
    <w:div w:id="980187252">
      <w:bodyDiv w:val="1"/>
      <w:marLeft w:val="0"/>
      <w:marRight w:val="0"/>
      <w:marTop w:val="0"/>
      <w:marBottom w:val="0"/>
      <w:divBdr>
        <w:top w:val="none" w:sz="0" w:space="0" w:color="auto"/>
        <w:left w:val="none" w:sz="0" w:space="0" w:color="auto"/>
        <w:bottom w:val="none" w:sz="0" w:space="0" w:color="auto"/>
        <w:right w:val="none" w:sz="0" w:space="0" w:color="auto"/>
      </w:divBdr>
    </w:div>
    <w:div w:id="1057628917">
      <w:bodyDiv w:val="1"/>
      <w:marLeft w:val="0"/>
      <w:marRight w:val="0"/>
      <w:marTop w:val="0"/>
      <w:marBottom w:val="0"/>
      <w:divBdr>
        <w:top w:val="none" w:sz="0" w:space="0" w:color="auto"/>
        <w:left w:val="none" w:sz="0" w:space="0" w:color="auto"/>
        <w:bottom w:val="none" w:sz="0" w:space="0" w:color="auto"/>
        <w:right w:val="none" w:sz="0" w:space="0" w:color="auto"/>
      </w:divBdr>
    </w:div>
    <w:div w:id="1079790668">
      <w:bodyDiv w:val="1"/>
      <w:marLeft w:val="0"/>
      <w:marRight w:val="0"/>
      <w:marTop w:val="0"/>
      <w:marBottom w:val="0"/>
      <w:divBdr>
        <w:top w:val="none" w:sz="0" w:space="0" w:color="auto"/>
        <w:left w:val="none" w:sz="0" w:space="0" w:color="auto"/>
        <w:bottom w:val="none" w:sz="0" w:space="0" w:color="auto"/>
        <w:right w:val="none" w:sz="0" w:space="0" w:color="auto"/>
      </w:divBdr>
    </w:div>
    <w:div w:id="1079907107">
      <w:bodyDiv w:val="1"/>
      <w:marLeft w:val="0"/>
      <w:marRight w:val="0"/>
      <w:marTop w:val="0"/>
      <w:marBottom w:val="0"/>
      <w:divBdr>
        <w:top w:val="none" w:sz="0" w:space="0" w:color="auto"/>
        <w:left w:val="none" w:sz="0" w:space="0" w:color="auto"/>
        <w:bottom w:val="none" w:sz="0" w:space="0" w:color="auto"/>
        <w:right w:val="none" w:sz="0" w:space="0" w:color="auto"/>
      </w:divBdr>
    </w:div>
    <w:div w:id="1086995483">
      <w:bodyDiv w:val="1"/>
      <w:marLeft w:val="0"/>
      <w:marRight w:val="0"/>
      <w:marTop w:val="0"/>
      <w:marBottom w:val="0"/>
      <w:divBdr>
        <w:top w:val="none" w:sz="0" w:space="0" w:color="auto"/>
        <w:left w:val="none" w:sz="0" w:space="0" w:color="auto"/>
        <w:bottom w:val="none" w:sz="0" w:space="0" w:color="auto"/>
        <w:right w:val="none" w:sz="0" w:space="0" w:color="auto"/>
      </w:divBdr>
    </w:div>
    <w:div w:id="1106654051">
      <w:bodyDiv w:val="1"/>
      <w:marLeft w:val="0"/>
      <w:marRight w:val="0"/>
      <w:marTop w:val="0"/>
      <w:marBottom w:val="0"/>
      <w:divBdr>
        <w:top w:val="none" w:sz="0" w:space="0" w:color="auto"/>
        <w:left w:val="none" w:sz="0" w:space="0" w:color="auto"/>
        <w:bottom w:val="none" w:sz="0" w:space="0" w:color="auto"/>
        <w:right w:val="none" w:sz="0" w:space="0" w:color="auto"/>
      </w:divBdr>
    </w:div>
    <w:div w:id="1121221688">
      <w:bodyDiv w:val="1"/>
      <w:marLeft w:val="0"/>
      <w:marRight w:val="0"/>
      <w:marTop w:val="0"/>
      <w:marBottom w:val="0"/>
      <w:divBdr>
        <w:top w:val="none" w:sz="0" w:space="0" w:color="auto"/>
        <w:left w:val="none" w:sz="0" w:space="0" w:color="auto"/>
        <w:bottom w:val="none" w:sz="0" w:space="0" w:color="auto"/>
        <w:right w:val="none" w:sz="0" w:space="0" w:color="auto"/>
      </w:divBdr>
    </w:div>
    <w:div w:id="1126197637">
      <w:bodyDiv w:val="1"/>
      <w:marLeft w:val="0"/>
      <w:marRight w:val="0"/>
      <w:marTop w:val="0"/>
      <w:marBottom w:val="0"/>
      <w:divBdr>
        <w:top w:val="none" w:sz="0" w:space="0" w:color="auto"/>
        <w:left w:val="none" w:sz="0" w:space="0" w:color="auto"/>
        <w:bottom w:val="none" w:sz="0" w:space="0" w:color="auto"/>
        <w:right w:val="none" w:sz="0" w:space="0" w:color="auto"/>
      </w:divBdr>
    </w:div>
    <w:div w:id="1145703507">
      <w:bodyDiv w:val="1"/>
      <w:marLeft w:val="0"/>
      <w:marRight w:val="0"/>
      <w:marTop w:val="0"/>
      <w:marBottom w:val="0"/>
      <w:divBdr>
        <w:top w:val="none" w:sz="0" w:space="0" w:color="auto"/>
        <w:left w:val="none" w:sz="0" w:space="0" w:color="auto"/>
        <w:bottom w:val="none" w:sz="0" w:space="0" w:color="auto"/>
        <w:right w:val="none" w:sz="0" w:space="0" w:color="auto"/>
      </w:divBdr>
    </w:div>
    <w:div w:id="1146052399">
      <w:bodyDiv w:val="1"/>
      <w:marLeft w:val="0"/>
      <w:marRight w:val="0"/>
      <w:marTop w:val="0"/>
      <w:marBottom w:val="0"/>
      <w:divBdr>
        <w:top w:val="none" w:sz="0" w:space="0" w:color="auto"/>
        <w:left w:val="none" w:sz="0" w:space="0" w:color="auto"/>
        <w:bottom w:val="none" w:sz="0" w:space="0" w:color="auto"/>
        <w:right w:val="none" w:sz="0" w:space="0" w:color="auto"/>
      </w:divBdr>
    </w:div>
    <w:div w:id="1150245495">
      <w:bodyDiv w:val="1"/>
      <w:marLeft w:val="0"/>
      <w:marRight w:val="0"/>
      <w:marTop w:val="0"/>
      <w:marBottom w:val="0"/>
      <w:divBdr>
        <w:top w:val="none" w:sz="0" w:space="0" w:color="auto"/>
        <w:left w:val="none" w:sz="0" w:space="0" w:color="auto"/>
        <w:bottom w:val="none" w:sz="0" w:space="0" w:color="auto"/>
        <w:right w:val="none" w:sz="0" w:space="0" w:color="auto"/>
      </w:divBdr>
      <w:divsChild>
        <w:div w:id="767694216">
          <w:marLeft w:val="0"/>
          <w:marRight w:val="0"/>
          <w:marTop w:val="100"/>
          <w:marBottom w:val="100"/>
          <w:divBdr>
            <w:top w:val="none" w:sz="0" w:space="0" w:color="auto"/>
            <w:left w:val="none" w:sz="0" w:space="0" w:color="auto"/>
            <w:bottom w:val="none" w:sz="0" w:space="0" w:color="auto"/>
            <w:right w:val="none" w:sz="0" w:space="0" w:color="auto"/>
          </w:divBdr>
          <w:divsChild>
            <w:div w:id="439499054">
              <w:marLeft w:val="0"/>
              <w:marRight w:val="0"/>
              <w:marTop w:val="0"/>
              <w:marBottom w:val="0"/>
              <w:divBdr>
                <w:top w:val="none" w:sz="0" w:space="0" w:color="auto"/>
                <w:left w:val="none" w:sz="0" w:space="0" w:color="auto"/>
                <w:bottom w:val="none" w:sz="0" w:space="0" w:color="auto"/>
                <w:right w:val="none" w:sz="0" w:space="0" w:color="auto"/>
              </w:divBdr>
              <w:divsChild>
                <w:div w:id="3680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3045">
      <w:bodyDiv w:val="1"/>
      <w:marLeft w:val="0"/>
      <w:marRight w:val="0"/>
      <w:marTop w:val="0"/>
      <w:marBottom w:val="0"/>
      <w:divBdr>
        <w:top w:val="none" w:sz="0" w:space="0" w:color="auto"/>
        <w:left w:val="none" w:sz="0" w:space="0" w:color="auto"/>
        <w:bottom w:val="none" w:sz="0" w:space="0" w:color="auto"/>
        <w:right w:val="none" w:sz="0" w:space="0" w:color="auto"/>
      </w:divBdr>
    </w:div>
    <w:div w:id="1175341907">
      <w:bodyDiv w:val="1"/>
      <w:marLeft w:val="0"/>
      <w:marRight w:val="0"/>
      <w:marTop w:val="0"/>
      <w:marBottom w:val="0"/>
      <w:divBdr>
        <w:top w:val="none" w:sz="0" w:space="0" w:color="auto"/>
        <w:left w:val="none" w:sz="0" w:space="0" w:color="auto"/>
        <w:bottom w:val="none" w:sz="0" w:space="0" w:color="auto"/>
        <w:right w:val="none" w:sz="0" w:space="0" w:color="auto"/>
      </w:divBdr>
    </w:div>
    <w:div w:id="1183281780">
      <w:bodyDiv w:val="1"/>
      <w:marLeft w:val="0"/>
      <w:marRight w:val="0"/>
      <w:marTop w:val="0"/>
      <w:marBottom w:val="0"/>
      <w:divBdr>
        <w:top w:val="none" w:sz="0" w:space="0" w:color="auto"/>
        <w:left w:val="none" w:sz="0" w:space="0" w:color="auto"/>
        <w:bottom w:val="none" w:sz="0" w:space="0" w:color="auto"/>
        <w:right w:val="none" w:sz="0" w:space="0" w:color="auto"/>
      </w:divBdr>
    </w:div>
    <w:div w:id="1200171397">
      <w:bodyDiv w:val="1"/>
      <w:marLeft w:val="0"/>
      <w:marRight w:val="0"/>
      <w:marTop w:val="0"/>
      <w:marBottom w:val="0"/>
      <w:divBdr>
        <w:top w:val="none" w:sz="0" w:space="0" w:color="auto"/>
        <w:left w:val="none" w:sz="0" w:space="0" w:color="auto"/>
        <w:bottom w:val="none" w:sz="0" w:space="0" w:color="auto"/>
        <w:right w:val="none" w:sz="0" w:space="0" w:color="auto"/>
      </w:divBdr>
    </w:div>
    <w:div w:id="1215311104">
      <w:bodyDiv w:val="1"/>
      <w:marLeft w:val="0"/>
      <w:marRight w:val="0"/>
      <w:marTop w:val="0"/>
      <w:marBottom w:val="0"/>
      <w:divBdr>
        <w:top w:val="none" w:sz="0" w:space="0" w:color="auto"/>
        <w:left w:val="none" w:sz="0" w:space="0" w:color="auto"/>
        <w:bottom w:val="none" w:sz="0" w:space="0" w:color="auto"/>
        <w:right w:val="none" w:sz="0" w:space="0" w:color="auto"/>
      </w:divBdr>
    </w:div>
    <w:div w:id="1223491917">
      <w:bodyDiv w:val="1"/>
      <w:marLeft w:val="0"/>
      <w:marRight w:val="0"/>
      <w:marTop w:val="0"/>
      <w:marBottom w:val="0"/>
      <w:divBdr>
        <w:top w:val="none" w:sz="0" w:space="0" w:color="auto"/>
        <w:left w:val="none" w:sz="0" w:space="0" w:color="auto"/>
        <w:bottom w:val="none" w:sz="0" w:space="0" w:color="auto"/>
        <w:right w:val="none" w:sz="0" w:space="0" w:color="auto"/>
      </w:divBdr>
    </w:div>
    <w:div w:id="1224608427">
      <w:bodyDiv w:val="1"/>
      <w:marLeft w:val="0"/>
      <w:marRight w:val="0"/>
      <w:marTop w:val="0"/>
      <w:marBottom w:val="0"/>
      <w:divBdr>
        <w:top w:val="none" w:sz="0" w:space="0" w:color="auto"/>
        <w:left w:val="none" w:sz="0" w:space="0" w:color="auto"/>
        <w:bottom w:val="none" w:sz="0" w:space="0" w:color="auto"/>
        <w:right w:val="none" w:sz="0" w:space="0" w:color="auto"/>
      </w:divBdr>
    </w:div>
    <w:div w:id="1225027435">
      <w:bodyDiv w:val="1"/>
      <w:marLeft w:val="0"/>
      <w:marRight w:val="0"/>
      <w:marTop w:val="0"/>
      <w:marBottom w:val="0"/>
      <w:divBdr>
        <w:top w:val="none" w:sz="0" w:space="0" w:color="auto"/>
        <w:left w:val="none" w:sz="0" w:space="0" w:color="auto"/>
        <w:bottom w:val="none" w:sz="0" w:space="0" w:color="auto"/>
        <w:right w:val="none" w:sz="0" w:space="0" w:color="auto"/>
      </w:divBdr>
    </w:div>
    <w:div w:id="1237739638">
      <w:bodyDiv w:val="1"/>
      <w:marLeft w:val="0"/>
      <w:marRight w:val="0"/>
      <w:marTop w:val="0"/>
      <w:marBottom w:val="0"/>
      <w:divBdr>
        <w:top w:val="none" w:sz="0" w:space="0" w:color="auto"/>
        <w:left w:val="none" w:sz="0" w:space="0" w:color="auto"/>
        <w:bottom w:val="none" w:sz="0" w:space="0" w:color="auto"/>
        <w:right w:val="none" w:sz="0" w:space="0" w:color="auto"/>
      </w:divBdr>
    </w:div>
    <w:div w:id="1278756267">
      <w:bodyDiv w:val="1"/>
      <w:marLeft w:val="0"/>
      <w:marRight w:val="0"/>
      <w:marTop w:val="0"/>
      <w:marBottom w:val="0"/>
      <w:divBdr>
        <w:top w:val="none" w:sz="0" w:space="0" w:color="auto"/>
        <w:left w:val="none" w:sz="0" w:space="0" w:color="auto"/>
        <w:bottom w:val="none" w:sz="0" w:space="0" w:color="auto"/>
        <w:right w:val="none" w:sz="0" w:space="0" w:color="auto"/>
      </w:divBdr>
    </w:div>
    <w:div w:id="1315140597">
      <w:bodyDiv w:val="1"/>
      <w:marLeft w:val="0"/>
      <w:marRight w:val="0"/>
      <w:marTop w:val="0"/>
      <w:marBottom w:val="0"/>
      <w:divBdr>
        <w:top w:val="none" w:sz="0" w:space="0" w:color="auto"/>
        <w:left w:val="none" w:sz="0" w:space="0" w:color="auto"/>
        <w:bottom w:val="none" w:sz="0" w:space="0" w:color="auto"/>
        <w:right w:val="none" w:sz="0" w:space="0" w:color="auto"/>
      </w:divBdr>
      <w:divsChild>
        <w:div w:id="2056825">
          <w:marLeft w:val="-720"/>
          <w:marRight w:val="0"/>
          <w:marTop w:val="0"/>
          <w:marBottom w:val="0"/>
          <w:divBdr>
            <w:top w:val="none" w:sz="0" w:space="0" w:color="auto"/>
            <w:left w:val="none" w:sz="0" w:space="0" w:color="auto"/>
            <w:bottom w:val="none" w:sz="0" w:space="0" w:color="auto"/>
            <w:right w:val="none" w:sz="0" w:space="0" w:color="auto"/>
          </w:divBdr>
        </w:div>
      </w:divsChild>
    </w:div>
    <w:div w:id="1319267191">
      <w:bodyDiv w:val="1"/>
      <w:marLeft w:val="0"/>
      <w:marRight w:val="0"/>
      <w:marTop w:val="0"/>
      <w:marBottom w:val="0"/>
      <w:divBdr>
        <w:top w:val="none" w:sz="0" w:space="0" w:color="auto"/>
        <w:left w:val="none" w:sz="0" w:space="0" w:color="auto"/>
        <w:bottom w:val="none" w:sz="0" w:space="0" w:color="auto"/>
        <w:right w:val="none" w:sz="0" w:space="0" w:color="auto"/>
      </w:divBdr>
    </w:div>
    <w:div w:id="1325007845">
      <w:bodyDiv w:val="1"/>
      <w:marLeft w:val="0"/>
      <w:marRight w:val="0"/>
      <w:marTop w:val="0"/>
      <w:marBottom w:val="0"/>
      <w:divBdr>
        <w:top w:val="none" w:sz="0" w:space="0" w:color="auto"/>
        <w:left w:val="none" w:sz="0" w:space="0" w:color="auto"/>
        <w:bottom w:val="none" w:sz="0" w:space="0" w:color="auto"/>
        <w:right w:val="none" w:sz="0" w:space="0" w:color="auto"/>
      </w:divBdr>
    </w:div>
    <w:div w:id="1362513082">
      <w:bodyDiv w:val="1"/>
      <w:marLeft w:val="0"/>
      <w:marRight w:val="0"/>
      <w:marTop w:val="0"/>
      <w:marBottom w:val="0"/>
      <w:divBdr>
        <w:top w:val="none" w:sz="0" w:space="0" w:color="auto"/>
        <w:left w:val="none" w:sz="0" w:space="0" w:color="auto"/>
        <w:bottom w:val="none" w:sz="0" w:space="0" w:color="auto"/>
        <w:right w:val="none" w:sz="0" w:space="0" w:color="auto"/>
      </w:divBdr>
    </w:div>
    <w:div w:id="1376537628">
      <w:bodyDiv w:val="1"/>
      <w:marLeft w:val="0"/>
      <w:marRight w:val="0"/>
      <w:marTop w:val="0"/>
      <w:marBottom w:val="0"/>
      <w:divBdr>
        <w:top w:val="none" w:sz="0" w:space="0" w:color="auto"/>
        <w:left w:val="none" w:sz="0" w:space="0" w:color="auto"/>
        <w:bottom w:val="none" w:sz="0" w:space="0" w:color="auto"/>
        <w:right w:val="none" w:sz="0" w:space="0" w:color="auto"/>
      </w:divBdr>
    </w:div>
    <w:div w:id="1393046003">
      <w:bodyDiv w:val="1"/>
      <w:marLeft w:val="0"/>
      <w:marRight w:val="0"/>
      <w:marTop w:val="0"/>
      <w:marBottom w:val="0"/>
      <w:divBdr>
        <w:top w:val="none" w:sz="0" w:space="0" w:color="auto"/>
        <w:left w:val="none" w:sz="0" w:space="0" w:color="auto"/>
        <w:bottom w:val="none" w:sz="0" w:space="0" w:color="auto"/>
        <w:right w:val="none" w:sz="0" w:space="0" w:color="auto"/>
      </w:divBdr>
      <w:divsChild>
        <w:div w:id="1682077900">
          <w:marLeft w:val="-720"/>
          <w:marRight w:val="0"/>
          <w:marTop w:val="0"/>
          <w:marBottom w:val="0"/>
          <w:divBdr>
            <w:top w:val="none" w:sz="0" w:space="0" w:color="auto"/>
            <w:left w:val="none" w:sz="0" w:space="0" w:color="auto"/>
            <w:bottom w:val="none" w:sz="0" w:space="0" w:color="auto"/>
            <w:right w:val="none" w:sz="0" w:space="0" w:color="auto"/>
          </w:divBdr>
        </w:div>
      </w:divsChild>
    </w:div>
    <w:div w:id="1401715067">
      <w:bodyDiv w:val="1"/>
      <w:marLeft w:val="0"/>
      <w:marRight w:val="0"/>
      <w:marTop w:val="0"/>
      <w:marBottom w:val="0"/>
      <w:divBdr>
        <w:top w:val="none" w:sz="0" w:space="0" w:color="auto"/>
        <w:left w:val="none" w:sz="0" w:space="0" w:color="auto"/>
        <w:bottom w:val="none" w:sz="0" w:space="0" w:color="auto"/>
        <w:right w:val="none" w:sz="0" w:space="0" w:color="auto"/>
      </w:divBdr>
    </w:div>
    <w:div w:id="1414660776">
      <w:bodyDiv w:val="1"/>
      <w:marLeft w:val="0"/>
      <w:marRight w:val="0"/>
      <w:marTop w:val="0"/>
      <w:marBottom w:val="0"/>
      <w:divBdr>
        <w:top w:val="none" w:sz="0" w:space="0" w:color="auto"/>
        <w:left w:val="none" w:sz="0" w:space="0" w:color="auto"/>
        <w:bottom w:val="none" w:sz="0" w:space="0" w:color="auto"/>
        <w:right w:val="none" w:sz="0" w:space="0" w:color="auto"/>
      </w:divBdr>
    </w:div>
    <w:div w:id="1431469030">
      <w:bodyDiv w:val="1"/>
      <w:marLeft w:val="0"/>
      <w:marRight w:val="0"/>
      <w:marTop w:val="0"/>
      <w:marBottom w:val="0"/>
      <w:divBdr>
        <w:top w:val="none" w:sz="0" w:space="0" w:color="auto"/>
        <w:left w:val="none" w:sz="0" w:space="0" w:color="auto"/>
        <w:bottom w:val="none" w:sz="0" w:space="0" w:color="auto"/>
        <w:right w:val="none" w:sz="0" w:space="0" w:color="auto"/>
      </w:divBdr>
    </w:div>
    <w:div w:id="1433091714">
      <w:bodyDiv w:val="1"/>
      <w:marLeft w:val="0"/>
      <w:marRight w:val="0"/>
      <w:marTop w:val="0"/>
      <w:marBottom w:val="0"/>
      <w:divBdr>
        <w:top w:val="none" w:sz="0" w:space="0" w:color="auto"/>
        <w:left w:val="none" w:sz="0" w:space="0" w:color="auto"/>
        <w:bottom w:val="none" w:sz="0" w:space="0" w:color="auto"/>
        <w:right w:val="none" w:sz="0" w:space="0" w:color="auto"/>
      </w:divBdr>
    </w:div>
    <w:div w:id="1454252949">
      <w:bodyDiv w:val="1"/>
      <w:marLeft w:val="0"/>
      <w:marRight w:val="0"/>
      <w:marTop w:val="0"/>
      <w:marBottom w:val="0"/>
      <w:divBdr>
        <w:top w:val="none" w:sz="0" w:space="0" w:color="auto"/>
        <w:left w:val="none" w:sz="0" w:space="0" w:color="auto"/>
        <w:bottom w:val="none" w:sz="0" w:space="0" w:color="auto"/>
        <w:right w:val="none" w:sz="0" w:space="0" w:color="auto"/>
      </w:divBdr>
      <w:divsChild>
        <w:div w:id="592518835">
          <w:marLeft w:val="-720"/>
          <w:marRight w:val="0"/>
          <w:marTop w:val="0"/>
          <w:marBottom w:val="0"/>
          <w:divBdr>
            <w:top w:val="none" w:sz="0" w:space="0" w:color="auto"/>
            <w:left w:val="none" w:sz="0" w:space="0" w:color="auto"/>
            <w:bottom w:val="none" w:sz="0" w:space="0" w:color="auto"/>
            <w:right w:val="none" w:sz="0" w:space="0" w:color="auto"/>
          </w:divBdr>
        </w:div>
      </w:divsChild>
    </w:div>
    <w:div w:id="1460614278">
      <w:bodyDiv w:val="1"/>
      <w:marLeft w:val="0"/>
      <w:marRight w:val="0"/>
      <w:marTop w:val="0"/>
      <w:marBottom w:val="0"/>
      <w:divBdr>
        <w:top w:val="none" w:sz="0" w:space="0" w:color="auto"/>
        <w:left w:val="none" w:sz="0" w:space="0" w:color="auto"/>
        <w:bottom w:val="none" w:sz="0" w:space="0" w:color="auto"/>
        <w:right w:val="none" w:sz="0" w:space="0" w:color="auto"/>
      </w:divBdr>
    </w:div>
    <w:div w:id="1462845296">
      <w:bodyDiv w:val="1"/>
      <w:marLeft w:val="0"/>
      <w:marRight w:val="0"/>
      <w:marTop w:val="0"/>
      <w:marBottom w:val="0"/>
      <w:divBdr>
        <w:top w:val="none" w:sz="0" w:space="0" w:color="auto"/>
        <w:left w:val="none" w:sz="0" w:space="0" w:color="auto"/>
        <w:bottom w:val="none" w:sz="0" w:space="0" w:color="auto"/>
        <w:right w:val="none" w:sz="0" w:space="0" w:color="auto"/>
      </w:divBdr>
    </w:div>
    <w:div w:id="1463232223">
      <w:bodyDiv w:val="1"/>
      <w:marLeft w:val="0"/>
      <w:marRight w:val="0"/>
      <w:marTop w:val="0"/>
      <w:marBottom w:val="0"/>
      <w:divBdr>
        <w:top w:val="none" w:sz="0" w:space="0" w:color="auto"/>
        <w:left w:val="none" w:sz="0" w:space="0" w:color="auto"/>
        <w:bottom w:val="none" w:sz="0" w:space="0" w:color="auto"/>
        <w:right w:val="none" w:sz="0" w:space="0" w:color="auto"/>
      </w:divBdr>
      <w:divsChild>
        <w:div w:id="774442834">
          <w:marLeft w:val="0"/>
          <w:marRight w:val="0"/>
          <w:marTop w:val="0"/>
          <w:marBottom w:val="0"/>
          <w:divBdr>
            <w:top w:val="none" w:sz="0" w:space="0" w:color="auto"/>
            <w:left w:val="none" w:sz="0" w:space="0" w:color="auto"/>
            <w:bottom w:val="none" w:sz="0" w:space="0" w:color="auto"/>
            <w:right w:val="none" w:sz="0" w:space="0" w:color="auto"/>
          </w:divBdr>
          <w:divsChild>
            <w:div w:id="1778482549">
              <w:marLeft w:val="0"/>
              <w:marRight w:val="0"/>
              <w:marTop w:val="0"/>
              <w:marBottom w:val="0"/>
              <w:divBdr>
                <w:top w:val="none" w:sz="0" w:space="0" w:color="auto"/>
                <w:left w:val="none" w:sz="0" w:space="0" w:color="auto"/>
                <w:bottom w:val="none" w:sz="0" w:space="0" w:color="auto"/>
                <w:right w:val="none" w:sz="0" w:space="0" w:color="auto"/>
              </w:divBdr>
              <w:divsChild>
                <w:div w:id="784810608">
                  <w:marLeft w:val="0"/>
                  <w:marRight w:val="0"/>
                  <w:marTop w:val="0"/>
                  <w:marBottom w:val="0"/>
                  <w:divBdr>
                    <w:top w:val="none" w:sz="0" w:space="0" w:color="auto"/>
                    <w:left w:val="none" w:sz="0" w:space="0" w:color="auto"/>
                    <w:bottom w:val="none" w:sz="0" w:space="0" w:color="auto"/>
                    <w:right w:val="none" w:sz="0" w:space="0" w:color="auto"/>
                  </w:divBdr>
                  <w:divsChild>
                    <w:div w:id="1524442462">
                      <w:marLeft w:val="0"/>
                      <w:marRight w:val="0"/>
                      <w:marTop w:val="0"/>
                      <w:marBottom w:val="0"/>
                      <w:divBdr>
                        <w:top w:val="none" w:sz="0" w:space="0" w:color="auto"/>
                        <w:left w:val="none" w:sz="0" w:space="0" w:color="auto"/>
                        <w:bottom w:val="none" w:sz="0" w:space="0" w:color="auto"/>
                        <w:right w:val="none" w:sz="0" w:space="0" w:color="auto"/>
                      </w:divBdr>
                      <w:divsChild>
                        <w:div w:id="123623836">
                          <w:marLeft w:val="0"/>
                          <w:marRight w:val="0"/>
                          <w:marTop w:val="0"/>
                          <w:marBottom w:val="0"/>
                          <w:divBdr>
                            <w:top w:val="none" w:sz="0" w:space="0" w:color="auto"/>
                            <w:left w:val="none" w:sz="0" w:space="0" w:color="auto"/>
                            <w:bottom w:val="none" w:sz="0" w:space="0" w:color="auto"/>
                            <w:right w:val="none" w:sz="0" w:space="0" w:color="auto"/>
                          </w:divBdr>
                          <w:divsChild>
                            <w:div w:id="145241532">
                              <w:marLeft w:val="0"/>
                              <w:marRight w:val="0"/>
                              <w:marTop w:val="0"/>
                              <w:marBottom w:val="0"/>
                              <w:divBdr>
                                <w:top w:val="none" w:sz="0" w:space="0" w:color="auto"/>
                                <w:left w:val="none" w:sz="0" w:space="0" w:color="auto"/>
                                <w:bottom w:val="none" w:sz="0" w:space="0" w:color="auto"/>
                                <w:right w:val="none" w:sz="0" w:space="0" w:color="auto"/>
                              </w:divBdr>
                              <w:divsChild>
                                <w:div w:id="560334982">
                                  <w:marLeft w:val="0"/>
                                  <w:marRight w:val="0"/>
                                  <w:marTop w:val="0"/>
                                  <w:marBottom w:val="0"/>
                                  <w:divBdr>
                                    <w:top w:val="none" w:sz="0" w:space="0" w:color="auto"/>
                                    <w:left w:val="none" w:sz="0" w:space="0" w:color="auto"/>
                                    <w:bottom w:val="none" w:sz="0" w:space="0" w:color="auto"/>
                                    <w:right w:val="none" w:sz="0" w:space="0" w:color="auto"/>
                                  </w:divBdr>
                                  <w:divsChild>
                                    <w:div w:id="809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309">
                      <w:marLeft w:val="0"/>
                      <w:marRight w:val="0"/>
                      <w:marTop w:val="0"/>
                      <w:marBottom w:val="0"/>
                      <w:divBdr>
                        <w:top w:val="none" w:sz="0" w:space="0" w:color="auto"/>
                        <w:left w:val="none" w:sz="0" w:space="0" w:color="auto"/>
                        <w:bottom w:val="none" w:sz="0" w:space="0" w:color="auto"/>
                        <w:right w:val="none" w:sz="0" w:space="0" w:color="auto"/>
                      </w:divBdr>
                      <w:divsChild>
                        <w:div w:id="4567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748149">
      <w:bodyDiv w:val="1"/>
      <w:marLeft w:val="0"/>
      <w:marRight w:val="0"/>
      <w:marTop w:val="0"/>
      <w:marBottom w:val="0"/>
      <w:divBdr>
        <w:top w:val="none" w:sz="0" w:space="0" w:color="auto"/>
        <w:left w:val="none" w:sz="0" w:space="0" w:color="auto"/>
        <w:bottom w:val="none" w:sz="0" w:space="0" w:color="auto"/>
        <w:right w:val="none" w:sz="0" w:space="0" w:color="auto"/>
      </w:divBdr>
    </w:div>
    <w:div w:id="1492989171">
      <w:bodyDiv w:val="1"/>
      <w:marLeft w:val="0"/>
      <w:marRight w:val="0"/>
      <w:marTop w:val="0"/>
      <w:marBottom w:val="0"/>
      <w:divBdr>
        <w:top w:val="none" w:sz="0" w:space="0" w:color="auto"/>
        <w:left w:val="none" w:sz="0" w:space="0" w:color="auto"/>
        <w:bottom w:val="none" w:sz="0" w:space="0" w:color="auto"/>
        <w:right w:val="none" w:sz="0" w:space="0" w:color="auto"/>
      </w:divBdr>
    </w:div>
    <w:div w:id="1508012150">
      <w:bodyDiv w:val="1"/>
      <w:marLeft w:val="0"/>
      <w:marRight w:val="0"/>
      <w:marTop w:val="0"/>
      <w:marBottom w:val="0"/>
      <w:divBdr>
        <w:top w:val="none" w:sz="0" w:space="0" w:color="auto"/>
        <w:left w:val="none" w:sz="0" w:space="0" w:color="auto"/>
        <w:bottom w:val="none" w:sz="0" w:space="0" w:color="auto"/>
        <w:right w:val="none" w:sz="0" w:space="0" w:color="auto"/>
      </w:divBdr>
    </w:div>
    <w:div w:id="1546873250">
      <w:bodyDiv w:val="1"/>
      <w:marLeft w:val="0"/>
      <w:marRight w:val="0"/>
      <w:marTop w:val="0"/>
      <w:marBottom w:val="0"/>
      <w:divBdr>
        <w:top w:val="none" w:sz="0" w:space="0" w:color="auto"/>
        <w:left w:val="none" w:sz="0" w:space="0" w:color="auto"/>
        <w:bottom w:val="none" w:sz="0" w:space="0" w:color="auto"/>
        <w:right w:val="none" w:sz="0" w:space="0" w:color="auto"/>
      </w:divBdr>
      <w:divsChild>
        <w:div w:id="2112385872">
          <w:marLeft w:val="-720"/>
          <w:marRight w:val="0"/>
          <w:marTop w:val="0"/>
          <w:marBottom w:val="0"/>
          <w:divBdr>
            <w:top w:val="none" w:sz="0" w:space="0" w:color="auto"/>
            <w:left w:val="none" w:sz="0" w:space="0" w:color="auto"/>
            <w:bottom w:val="none" w:sz="0" w:space="0" w:color="auto"/>
            <w:right w:val="none" w:sz="0" w:space="0" w:color="auto"/>
          </w:divBdr>
        </w:div>
      </w:divsChild>
    </w:div>
    <w:div w:id="1553347022">
      <w:bodyDiv w:val="1"/>
      <w:marLeft w:val="0"/>
      <w:marRight w:val="0"/>
      <w:marTop w:val="0"/>
      <w:marBottom w:val="0"/>
      <w:divBdr>
        <w:top w:val="none" w:sz="0" w:space="0" w:color="auto"/>
        <w:left w:val="none" w:sz="0" w:space="0" w:color="auto"/>
        <w:bottom w:val="none" w:sz="0" w:space="0" w:color="auto"/>
        <w:right w:val="none" w:sz="0" w:space="0" w:color="auto"/>
      </w:divBdr>
    </w:div>
    <w:div w:id="1560821382">
      <w:bodyDiv w:val="1"/>
      <w:marLeft w:val="0"/>
      <w:marRight w:val="0"/>
      <w:marTop w:val="0"/>
      <w:marBottom w:val="0"/>
      <w:divBdr>
        <w:top w:val="none" w:sz="0" w:space="0" w:color="auto"/>
        <w:left w:val="none" w:sz="0" w:space="0" w:color="auto"/>
        <w:bottom w:val="none" w:sz="0" w:space="0" w:color="auto"/>
        <w:right w:val="none" w:sz="0" w:space="0" w:color="auto"/>
      </w:divBdr>
    </w:div>
    <w:div w:id="1578369084">
      <w:bodyDiv w:val="1"/>
      <w:marLeft w:val="0"/>
      <w:marRight w:val="0"/>
      <w:marTop w:val="0"/>
      <w:marBottom w:val="0"/>
      <w:divBdr>
        <w:top w:val="none" w:sz="0" w:space="0" w:color="auto"/>
        <w:left w:val="none" w:sz="0" w:space="0" w:color="auto"/>
        <w:bottom w:val="none" w:sz="0" w:space="0" w:color="auto"/>
        <w:right w:val="none" w:sz="0" w:space="0" w:color="auto"/>
      </w:divBdr>
    </w:div>
    <w:div w:id="1590890323">
      <w:bodyDiv w:val="1"/>
      <w:marLeft w:val="0"/>
      <w:marRight w:val="0"/>
      <w:marTop w:val="0"/>
      <w:marBottom w:val="0"/>
      <w:divBdr>
        <w:top w:val="none" w:sz="0" w:space="0" w:color="auto"/>
        <w:left w:val="none" w:sz="0" w:space="0" w:color="auto"/>
        <w:bottom w:val="none" w:sz="0" w:space="0" w:color="auto"/>
        <w:right w:val="none" w:sz="0" w:space="0" w:color="auto"/>
      </w:divBdr>
    </w:div>
    <w:div w:id="1598440808">
      <w:bodyDiv w:val="1"/>
      <w:marLeft w:val="0"/>
      <w:marRight w:val="0"/>
      <w:marTop w:val="0"/>
      <w:marBottom w:val="0"/>
      <w:divBdr>
        <w:top w:val="none" w:sz="0" w:space="0" w:color="auto"/>
        <w:left w:val="none" w:sz="0" w:space="0" w:color="auto"/>
        <w:bottom w:val="none" w:sz="0" w:space="0" w:color="auto"/>
        <w:right w:val="none" w:sz="0" w:space="0" w:color="auto"/>
      </w:divBdr>
    </w:div>
    <w:div w:id="1602688253">
      <w:bodyDiv w:val="1"/>
      <w:marLeft w:val="0"/>
      <w:marRight w:val="0"/>
      <w:marTop w:val="0"/>
      <w:marBottom w:val="0"/>
      <w:divBdr>
        <w:top w:val="none" w:sz="0" w:space="0" w:color="auto"/>
        <w:left w:val="none" w:sz="0" w:space="0" w:color="auto"/>
        <w:bottom w:val="none" w:sz="0" w:space="0" w:color="auto"/>
        <w:right w:val="none" w:sz="0" w:space="0" w:color="auto"/>
      </w:divBdr>
    </w:div>
    <w:div w:id="1602906908">
      <w:bodyDiv w:val="1"/>
      <w:marLeft w:val="0"/>
      <w:marRight w:val="0"/>
      <w:marTop w:val="0"/>
      <w:marBottom w:val="0"/>
      <w:divBdr>
        <w:top w:val="none" w:sz="0" w:space="0" w:color="auto"/>
        <w:left w:val="none" w:sz="0" w:space="0" w:color="auto"/>
        <w:bottom w:val="none" w:sz="0" w:space="0" w:color="auto"/>
        <w:right w:val="none" w:sz="0" w:space="0" w:color="auto"/>
      </w:divBdr>
      <w:divsChild>
        <w:div w:id="1756125787">
          <w:marLeft w:val="0"/>
          <w:marRight w:val="0"/>
          <w:marTop w:val="100"/>
          <w:marBottom w:val="10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21292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20404">
      <w:bodyDiv w:val="1"/>
      <w:marLeft w:val="0"/>
      <w:marRight w:val="0"/>
      <w:marTop w:val="0"/>
      <w:marBottom w:val="0"/>
      <w:divBdr>
        <w:top w:val="none" w:sz="0" w:space="0" w:color="auto"/>
        <w:left w:val="none" w:sz="0" w:space="0" w:color="auto"/>
        <w:bottom w:val="none" w:sz="0" w:space="0" w:color="auto"/>
        <w:right w:val="none" w:sz="0" w:space="0" w:color="auto"/>
      </w:divBdr>
    </w:div>
    <w:div w:id="1639724730">
      <w:bodyDiv w:val="1"/>
      <w:marLeft w:val="0"/>
      <w:marRight w:val="0"/>
      <w:marTop w:val="0"/>
      <w:marBottom w:val="0"/>
      <w:divBdr>
        <w:top w:val="none" w:sz="0" w:space="0" w:color="auto"/>
        <w:left w:val="none" w:sz="0" w:space="0" w:color="auto"/>
        <w:bottom w:val="none" w:sz="0" w:space="0" w:color="auto"/>
        <w:right w:val="none" w:sz="0" w:space="0" w:color="auto"/>
      </w:divBdr>
    </w:div>
    <w:div w:id="1648048398">
      <w:bodyDiv w:val="1"/>
      <w:marLeft w:val="0"/>
      <w:marRight w:val="0"/>
      <w:marTop w:val="0"/>
      <w:marBottom w:val="0"/>
      <w:divBdr>
        <w:top w:val="none" w:sz="0" w:space="0" w:color="auto"/>
        <w:left w:val="none" w:sz="0" w:space="0" w:color="auto"/>
        <w:bottom w:val="none" w:sz="0" w:space="0" w:color="auto"/>
        <w:right w:val="none" w:sz="0" w:space="0" w:color="auto"/>
      </w:divBdr>
    </w:div>
    <w:div w:id="1665935329">
      <w:bodyDiv w:val="1"/>
      <w:marLeft w:val="0"/>
      <w:marRight w:val="0"/>
      <w:marTop w:val="0"/>
      <w:marBottom w:val="0"/>
      <w:divBdr>
        <w:top w:val="none" w:sz="0" w:space="0" w:color="auto"/>
        <w:left w:val="none" w:sz="0" w:space="0" w:color="auto"/>
        <w:bottom w:val="none" w:sz="0" w:space="0" w:color="auto"/>
        <w:right w:val="none" w:sz="0" w:space="0" w:color="auto"/>
      </w:divBdr>
    </w:div>
    <w:div w:id="1690836400">
      <w:bodyDiv w:val="1"/>
      <w:marLeft w:val="0"/>
      <w:marRight w:val="0"/>
      <w:marTop w:val="0"/>
      <w:marBottom w:val="0"/>
      <w:divBdr>
        <w:top w:val="none" w:sz="0" w:space="0" w:color="auto"/>
        <w:left w:val="none" w:sz="0" w:space="0" w:color="auto"/>
        <w:bottom w:val="none" w:sz="0" w:space="0" w:color="auto"/>
        <w:right w:val="none" w:sz="0" w:space="0" w:color="auto"/>
      </w:divBdr>
    </w:div>
    <w:div w:id="1705594707">
      <w:bodyDiv w:val="1"/>
      <w:marLeft w:val="0"/>
      <w:marRight w:val="0"/>
      <w:marTop w:val="0"/>
      <w:marBottom w:val="0"/>
      <w:divBdr>
        <w:top w:val="none" w:sz="0" w:space="0" w:color="auto"/>
        <w:left w:val="none" w:sz="0" w:space="0" w:color="auto"/>
        <w:bottom w:val="none" w:sz="0" w:space="0" w:color="auto"/>
        <w:right w:val="none" w:sz="0" w:space="0" w:color="auto"/>
      </w:divBdr>
    </w:div>
    <w:div w:id="1720204004">
      <w:bodyDiv w:val="1"/>
      <w:marLeft w:val="0"/>
      <w:marRight w:val="0"/>
      <w:marTop w:val="0"/>
      <w:marBottom w:val="0"/>
      <w:divBdr>
        <w:top w:val="none" w:sz="0" w:space="0" w:color="auto"/>
        <w:left w:val="none" w:sz="0" w:space="0" w:color="auto"/>
        <w:bottom w:val="none" w:sz="0" w:space="0" w:color="auto"/>
        <w:right w:val="none" w:sz="0" w:space="0" w:color="auto"/>
      </w:divBdr>
    </w:div>
    <w:div w:id="1722047574">
      <w:bodyDiv w:val="1"/>
      <w:marLeft w:val="0"/>
      <w:marRight w:val="0"/>
      <w:marTop w:val="0"/>
      <w:marBottom w:val="0"/>
      <w:divBdr>
        <w:top w:val="none" w:sz="0" w:space="0" w:color="auto"/>
        <w:left w:val="none" w:sz="0" w:space="0" w:color="auto"/>
        <w:bottom w:val="none" w:sz="0" w:space="0" w:color="auto"/>
        <w:right w:val="none" w:sz="0" w:space="0" w:color="auto"/>
      </w:divBdr>
    </w:div>
    <w:div w:id="1751582667">
      <w:bodyDiv w:val="1"/>
      <w:marLeft w:val="0"/>
      <w:marRight w:val="0"/>
      <w:marTop w:val="0"/>
      <w:marBottom w:val="0"/>
      <w:divBdr>
        <w:top w:val="none" w:sz="0" w:space="0" w:color="auto"/>
        <w:left w:val="none" w:sz="0" w:space="0" w:color="auto"/>
        <w:bottom w:val="none" w:sz="0" w:space="0" w:color="auto"/>
        <w:right w:val="none" w:sz="0" w:space="0" w:color="auto"/>
      </w:divBdr>
    </w:div>
    <w:div w:id="1772243715">
      <w:bodyDiv w:val="1"/>
      <w:marLeft w:val="0"/>
      <w:marRight w:val="0"/>
      <w:marTop w:val="0"/>
      <w:marBottom w:val="0"/>
      <w:divBdr>
        <w:top w:val="none" w:sz="0" w:space="0" w:color="auto"/>
        <w:left w:val="none" w:sz="0" w:space="0" w:color="auto"/>
        <w:bottom w:val="none" w:sz="0" w:space="0" w:color="auto"/>
        <w:right w:val="none" w:sz="0" w:space="0" w:color="auto"/>
      </w:divBdr>
    </w:div>
    <w:div w:id="1785494540">
      <w:bodyDiv w:val="1"/>
      <w:marLeft w:val="0"/>
      <w:marRight w:val="0"/>
      <w:marTop w:val="0"/>
      <w:marBottom w:val="0"/>
      <w:divBdr>
        <w:top w:val="none" w:sz="0" w:space="0" w:color="auto"/>
        <w:left w:val="none" w:sz="0" w:space="0" w:color="auto"/>
        <w:bottom w:val="none" w:sz="0" w:space="0" w:color="auto"/>
        <w:right w:val="none" w:sz="0" w:space="0" w:color="auto"/>
      </w:divBdr>
      <w:divsChild>
        <w:div w:id="1300846501">
          <w:marLeft w:val="-720"/>
          <w:marRight w:val="0"/>
          <w:marTop w:val="0"/>
          <w:marBottom w:val="0"/>
          <w:divBdr>
            <w:top w:val="none" w:sz="0" w:space="0" w:color="auto"/>
            <w:left w:val="none" w:sz="0" w:space="0" w:color="auto"/>
            <w:bottom w:val="none" w:sz="0" w:space="0" w:color="auto"/>
            <w:right w:val="none" w:sz="0" w:space="0" w:color="auto"/>
          </w:divBdr>
        </w:div>
      </w:divsChild>
    </w:div>
    <w:div w:id="1799642650">
      <w:bodyDiv w:val="1"/>
      <w:marLeft w:val="0"/>
      <w:marRight w:val="0"/>
      <w:marTop w:val="0"/>
      <w:marBottom w:val="0"/>
      <w:divBdr>
        <w:top w:val="none" w:sz="0" w:space="0" w:color="auto"/>
        <w:left w:val="none" w:sz="0" w:space="0" w:color="auto"/>
        <w:bottom w:val="none" w:sz="0" w:space="0" w:color="auto"/>
        <w:right w:val="none" w:sz="0" w:space="0" w:color="auto"/>
      </w:divBdr>
    </w:div>
    <w:div w:id="1801461535">
      <w:bodyDiv w:val="1"/>
      <w:marLeft w:val="0"/>
      <w:marRight w:val="0"/>
      <w:marTop w:val="0"/>
      <w:marBottom w:val="0"/>
      <w:divBdr>
        <w:top w:val="none" w:sz="0" w:space="0" w:color="auto"/>
        <w:left w:val="none" w:sz="0" w:space="0" w:color="auto"/>
        <w:bottom w:val="none" w:sz="0" w:space="0" w:color="auto"/>
        <w:right w:val="none" w:sz="0" w:space="0" w:color="auto"/>
      </w:divBdr>
      <w:divsChild>
        <w:div w:id="1143883944">
          <w:marLeft w:val="-720"/>
          <w:marRight w:val="0"/>
          <w:marTop w:val="0"/>
          <w:marBottom w:val="0"/>
          <w:divBdr>
            <w:top w:val="none" w:sz="0" w:space="0" w:color="auto"/>
            <w:left w:val="none" w:sz="0" w:space="0" w:color="auto"/>
            <w:bottom w:val="none" w:sz="0" w:space="0" w:color="auto"/>
            <w:right w:val="none" w:sz="0" w:space="0" w:color="auto"/>
          </w:divBdr>
        </w:div>
      </w:divsChild>
    </w:div>
    <w:div w:id="1803040366">
      <w:bodyDiv w:val="1"/>
      <w:marLeft w:val="0"/>
      <w:marRight w:val="0"/>
      <w:marTop w:val="0"/>
      <w:marBottom w:val="0"/>
      <w:divBdr>
        <w:top w:val="none" w:sz="0" w:space="0" w:color="auto"/>
        <w:left w:val="none" w:sz="0" w:space="0" w:color="auto"/>
        <w:bottom w:val="none" w:sz="0" w:space="0" w:color="auto"/>
        <w:right w:val="none" w:sz="0" w:space="0" w:color="auto"/>
      </w:divBdr>
      <w:divsChild>
        <w:div w:id="1300502392">
          <w:marLeft w:val="-720"/>
          <w:marRight w:val="0"/>
          <w:marTop w:val="0"/>
          <w:marBottom w:val="0"/>
          <w:divBdr>
            <w:top w:val="none" w:sz="0" w:space="0" w:color="auto"/>
            <w:left w:val="none" w:sz="0" w:space="0" w:color="auto"/>
            <w:bottom w:val="none" w:sz="0" w:space="0" w:color="auto"/>
            <w:right w:val="none" w:sz="0" w:space="0" w:color="auto"/>
          </w:divBdr>
        </w:div>
      </w:divsChild>
    </w:div>
    <w:div w:id="1805267116">
      <w:bodyDiv w:val="1"/>
      <w:marLeft w:val="0"/>
      <w:marRight w:val="0"/>
      <w:marTop w:val="0"/>
      <w:marBottom w:val="0"/>
      <w:divBdr>
        <w:top w:val="none" w:sz="0" w:space="0" w:color="auto"/>
        <w:left w:val="none" w:sz="0" w:space="0" w:color="auto"/>
        <w:bottom w:val="none" w:sz="0" w:space="0" w:color="auto"/>
        <w:right w:val="none" w:sz="0" w:space="0" w:color="auto"/>
      </w:divBdr>
    </w:div>
    <w:div w:id="1826433533">
      <w:bodyDiv w:val="1"/>
      <w:marLeft w:val="0"/>
      <w:marRight w:val="0"/>
      <w:marTop w:val="0"/>
      <w:marBottom w:val="0"/>
      <w:divBdr>
        <w:top w:val="none" w:sz="0" w:space="0" w:color="auto"/>
        <w:left w:val="none" w:sz="0" w:space="0" w:color="auto"/>
        <w:bottom w:val="none" w:sz="0" w:space="0" w:color="auto"/>
        <w:right w:val="none" w:sz="0" w:space="0" w:color="auto"/>
      </w:divBdr>
    </w:div>
    <w:div w:id="1836066875">
      <w:bodyDiv w:val="1"/>
      <w:marLeft w:val="0"/>
      <w:marRight w:val="0"/>
      <w:marTop w:val="0"/>
      <w:marBottom w:val="0"/>
      <w:divBdr>
        <w:top w:val="none" w:sz="0" w:space="0" w:color="auto"/>
        <w:left w:val="none" w:sz="0" w:space="0" w:color="auto"/>
        <w:bottom w:val="none" w:sz="0" w:space="0" w:color="auto"/>
        <w:right w:val="none" w:sz="0" w:space="0" w:color="auto"/>
      </w:divBdr>
    </w:div>
    <w:div w:id="1911116812">
      <w:bodyDiv w:val="1"/>
      <w:marLeft w:val="0"/>
      <w:marRight w:val="0"/>
      <w:marTop w:val="0"/>
      <w:marBottom w:val="0"/>
      <w:divBdr>
        <w:top w:val="none" w:sz="0" w:space="0" w:color="auto"/>
        <w:left w:val="none" w:sz="0" w:space="0" w:color="auto"/>
        <w:bottom w:val="none" w:sz="0" w:space="0" w:color="auto"/>
        <w:right w:val="none" w:sz="0" w:space="0" w:color="auto"/>
      </w:divBdr>
    </w:div>
    <w:div w:id="1915582795">
      <w:bodyDiv w:val="1"/>
      <w:marLeft w:val="0"/>
      <w:marRight w:val="0"/>
      <w:marTop w:val="0"/>
      <w:marBottom w:val="0"/>
      <w:divBdr>
        <w:top w:val="none" w:sz="0" w:space="0" w:color="auto"/>
        <w:left w:val="none" w:sz="0" w:space="0" w:color="auto"/>
        <w:bottom w:val="none" w:sz="0" w:space="0" w:color="auto"/>
        <w:right w:val="none" w:sz="0" w:space="0" w:color="auto"/>
      </w:divBdr>
    </w:div>
    <w:div w:id="1974559799">
      <w:bodyDiv w:val="1"/>
      <w:marLeft w:val="0"/>
      <w:marRight w:val="0"/>
      <w:marTop w:val="0"/>
      <w:marBottom w:val="0"/>
      <w:divBdr>
        <w:top w:val="none" w:sz="0" w:space="0" w:color="auto"/>
        <w:left w:val="none" w:sz="0" w:space="0" w:color="auto"/>
        <w:bottom w:val="none" w:sz="0" w:space="0" w:color="auto"/>
        <w:right w:val="none" w:sz="0" w:space="0" w:color="auto"/>
      </w:divBdr>
    </w:div>
    <w:div w:id="2020769099">
      <w:bodyDiv w:val="1"/>
      <w:marLeft w:val="0"/>
      <w:marRight w:val="0"/>
      <w:marTop w:val="0"/>
      <w:marBottom w:val="0"/>
      <w:divBdr>
        <w:top w:val="none" w:sz="0" w:space="0" w:color="auto"/>
        <w:left w:val="none" w:sz="0" w:space="0" w:color="auto"/>
        <w:bottom w:val="none" w:sz="0" w:space="0" w:color="auto"/>
        <w:right w:val="none" w:sz="0" w:space="0" w:color="auto"/>
      </w:divBdr>
      <w:divsChild>
        <w:div w:id="445467213">
          <w:marLeft w:val="-720"/>
          <w:marRight w:val="0"/>
          <w:marTop w:val="0"/>
          <w:marBottom w:val="0"/>
          <w:divBdr>
            <w:top w:val="none" w:sz="0" w:space="0" w:color="auto"/>
            <w:left w:val="none" w:sz="0" w:space="0" w:color="auto"/>
            <w:bottom w:val="none" w:sz="0" w:space="0" w:color="auto"/>
            <w:right w:val="none" w:sz="0" w:space="0" w:color="auto"/>
          </w:divBdr>
        </w:div>
      </w:divsChild>
    </w:div>
    <w:div w:id="2039813782">
      <w:bodyDiv w:val="1"/>
      <w:marLeft w:val="0"/>
      <w:marRight w:val="0"/>
      <w:marTop w:val="0"/>
      <w:marBottom w:val="0"/>
      <w:divBdr>
        <w:top w:val="none" w:sz="0" w:space="0" w:color="auto"/>
        <w:left w:val="none" w:sz="0" w:space="0" w:color="auto"/>
        <w:bottom w:val="none" w:sz="0" w:space="0" w:color="auto"/>
        <w:right w:val="none" w:sz="0" w:space="0" w:color="auto"/>
      </w:divBdr>
    </w:div>
    <w:div w:id="2046363634">
      <w:bodyDiv w:val="1"/>
      <w:marLeft w:val="0"/>
      <w:marRight w:val="0"/>
      <w:marTop w:val="0"/>
      <w:marBottom w:val="0"/>
      <w:divBdr>
        <w:top w:val="none" w:sz="0" w:space="0" w:color="auto"/>
        <w:left w:val="none" w:sz="0" w:space="0" w:color="auto"/>
        <w:bottom w:val="none" w:sz="0" w:space="0" w:color="auto"/>
        <w:right w:val="none" w:sz="0" w:space="0" w:color="auto"/>
      </w:divBdr>
    </w:div>
    <w:div w:id="2049455645">
      <w:bodyDiv w:val="1"/>
      <w:marLeft w:val="0"/>
      <w:marRight w:val="0"/>
      <w:marTop w:val="0"/>
      <w:marBottom w:val="0"/>
      <w:divBdr>
        <w:top w:val="none" w:sz="0" w:space="0" w:color="auto"/>
        <w:left w:val="none" w:sz="0" w:space="0" w:color="auto"/>
        <w:bottom w:val="none" w:sz="0" w:space="0" w:color="auto"/>
        <w:right w:val="none" w:sz="0" w:space="0" w:color="auto"/>
      </w:divBdr>
    </w:div>
    <w:div w:id="2057195211">
      <w:bodyDiv w:val="1"/>
      <w:marLeft w:val="0"/>
      <w:marRight w:val="0"/>
      <w:marTop w:val="0"/>
      <w:marBottom w:val="0"/>
      <w:divBdr>
        <w:top w:val="none" w:sz="0" w:space="0" w:color="auto"/>
        <w:left w:val="none" w:sz="0" w:space="0" w:color="auto"/>
        <w:bottom w:val="none" w:sz="0" w:space="0" w:color="auto"/>
        <w:right w:val="none" w:sz="0" w:space="0" w:color="auto"/>
      </w:divBdr>
    </w:div>
    <w:div w:id="2059356696">
      <w:bodyDiv w:val="1"/>
      <w:marLeft w:val="0"/>
      <w:marRight w:val="0"/>
      <w:marTop w:val="0"/>
      <w:marBottom w:val="0"/>
      <w:divBdr>
        <w:top w:val="none" w:sz="0" w:space="0" w:color="auto"/>
        <w:left w:val="none" w:sz="0" w:space="0" w:color="auto"/>
        <w:bottom w:val="none" w:sz="0" w:space="0" w:color="auto"/>
        <w:right w:val="none" w:sz="0" w:space="0" w:color="auto"/>
      </w:divBdr>
    </w:div>
    <w:div w:id="2064208811">
      <w:bodyDiv w:val="1"/>
      <w:marLeft w:val="0"/>
      <w:marRight w:val="0"/>
      <w:marTop w:val="0"/>
      <w:marBottom w:val="0"/>
      <w:divBdr>
        <w:top w:val="none" w:sz="0" w:space="0" w:color="auto"/>
        <w:left w:val="none" w:sz="0" w:space="0" w:color="auto"/>
        <w:bottom w:val="none" w:sz="0" w:space="0" w:color="auto"/>
        <w:right w:val="none" w:sz="0" w:space="0" w:color="auto"/>
      </w:divBdr>
    </w:div>
    <w:div w:id="2065054601">
      <w:bodyDiv w:val="1"/>
      <w:marLeft w:val="0"/>
      <w:marRight w:val="0"/>
      <w:marTop w:val="0"/>
      <w:marBottom w:val="0"/>
      <w:divBdr>
        <w:top w:val="none" w:sz="0" w:space="0" w:color="auto"/>
        <w:left w:val="none" w:sz="0" w:space="0" w:color="auto"/>
        <w:bottom w:val="none" w:sz="0" w:space="0" w:color="auto"/>
        <w:right w:val="none" w:sz="0" w:space="0" w:color="auto"/>
      </w:divBdr>
    </w:div>
    <w:div w:id="2078436424">
      <w:bodyDiv w:val="1"/>
      <w:marLeft w:val="0"/>
      <w:marRight w:val="0"/>
      <w:marTop w:val="0"/>
      <w:marBottom w:val="0"/>
      <w:divBdr>
        <w:top w:val="none" w:sz="0" w:space="0" w:color="auto"/>
        <w:left w:val="none" w:sz="0" w:space="0" w:color="auto"/>
        <w:bottom w:val="none" w:sz="0" w:space="0" w:color="auto"/>
        <w:right w:val="none" w:sz="0" w:space="0" w:color="auto"/>
      </w:divBdr>
    </w:div>
    <w:div w:id="2097358530">
      <w:bodyDiv w:val="1"/>
      <w:marLeft w:val="0"/>
      <w:marRight w:val="0"/>
      <w:marTop w:val="0"/>
      <w:marBottom w:val="0"/>
      <w:divBdr>
        <w:top w:val="none" w:sz="0" w:space="0" w:color="auto"/>
        <w:left w:val="none" w:sz="0" w:space="0" w:color="auto"/>
        <w:bottom w:val="none" w:sz="0" w:space="0" w:color="auto"/>
        <w:right w:val="none" w:sz="0" w:space="0" w:color="auto"/>
      </w:divBdr>
    </w:div>
    <w:div w:id="2103455204">
      <w:bodyDiv w:val="1"/>
      <w:marLeft w:val="0"/>
      <w:marRight w:val="0"/>
      <w:marTop w:val="0"/>
      <w:marBottom w:val="0"/>
      <w:divBdr>
        <w:top w:val="none" w:sz="0" w:space="0" w:color="auto"/>
        <w:left w:val="none" w:sz="0" w:space="0" w:color="auto"/>
        <w:bottom w:val="none" w:sz="0" w:space="0" w:color="auto"/>
        <w:right w:val="none" w:sz="0" w:space="0" w:color="auto"/>
      </w:divBdr>
    </w:div>
    <w:div w:id="2113893479">
      <w:bodyDiv w:val="1"/>
      <w:marLeft w:val="0"/>
      <w:marRight w:val="0"/>
      <w:marTop w:val="0"/>
      <w:marBottom w:val="0"/>
      <w:divBdr>
        <w:top w:val="none" w:sz="0" w:space="0" w:color="auto"/>
        <w:left w:val="none" w:sz="0" w:space="0" w:color="auto"/>
        <w:bottom w:val="none" w:sz="0" w:space="0" w:color="auto"/>
        <w:right w:val="none" w:sz="0" w:space="0" w:color="auto"/>
      </w:divBdr>
    </w:div>
    <w:div w:id="2134979164">
      <w:bodyDiv w:val="1"/>
      <w:marLeft w:val="0"/>
      <w:marRight w:val="0"/>
      <w:marTop w:val="0"/>
      <w:marBottom w:val="0"/>
      <w:divBdr>
        <w:top w:val="none" w:sz="0" w:space="0" w:color="auto"/>
        <w:left w:val="none" w:sz="0" w:space="0" w:color="auto"/>
        <w:bottom w:val="none" w:sz="0" w:space="0" w:color="auto"/>
        <w:right w:val="none" w:sz="0" w:space="0" w:color="auto"/>
      </w:divBdr>
      <w:divsChild>
        <w:div w:id="1321302271">
          <w:marLeft w:val="-720"/>
          <w:marRight w:val="0"/>
          <w:marTop w:val="0"/>
          <w:marBottom w:val="0"/>
          <w:divBdr>
            <w:top w:val="none" w:sz="0" w:space="0" w:color="auto"/>
            <w:left w:val="none" w:sz="0" w:space="0" w:color="auto"/>
            <w:bottom w:val="none" w:sz="0" w:space="0" w:color="auto"/>
            <w:right w:val="none" w:sz="0" w:space="0" w:color="auto"/>
          </w:divBdr>
        </w:div>
      </w:divsChild>
    </w:div>
    <w:div w:id="213655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doi.org/10.3390/jrfm17120563" TargetMode="External"/><Relationship Id="rId26" Type="http://schemas.openxmlformats.org/officeDocument/2006/relationships/hyperlink" Target="https://doi.org/10.59324/ejmeb.2024.1(3).07" TargetMode="External"/><Relationship Id="rId39" Type="http://schemas.openxmlformats.org/officeDocument/2006/relationships/hyperlink" Target="https://doi.org/10.31695/ijasre.2021.34068" TargetMode="External"/><Relationship Id="rId3" Type="http://schemas.openxmlformats.org/officeDocument/2006/relationships/customXml" Target="../customXml/item3.xml"/><Relationship Id="rId21" Type="http://schemas.openxmlformats.org/officeDocument/2006/relationships/hyperlink" Target="https://doi.org/10.1080/23311975.2025.2463576" TargetMode="External"/><Relationship Id="rId34" Type="http://schemas.openxmlformats.org/officeDocument/2006/relationships/hyperlink" Target="https://doi.org/10.1111/0022-1082.00199" TargetMode="External"/><Relationship Id="rId42" Type="http://schemas.openxmlformats.org/officeDocument/2006/relationships/hyperlink" Target="https://doi.org/10.1108/JEFAS-12-2021-0257"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doi.org/10.5430/afr.v13n2p129" TargetMode="External"/><Relationship Id="rId25" Type="http://schemas.openxmlformats.org/officeDocument/2006/relationships/hyperlink" Target="https://doi.org/10.1080/23311975.2020.1863175" TargetMode="External"/><Relationship Id="rId33" Type="http://schemas.openxmlformats.org/officeDocument/2006/relationships/hyperlink" Target="https://doi.org/10.1016/0304-405X(76)90026-X" TargetMode="External"/><Relationship Id="rId38" Type="http://schemas.openxmlformats.org/officeDocument/2006/relationships/hyperlink" Target="https://doi.org/10.9734/ajeba/2024/v24i71426" TargetMode="External"/><Relationship Id="rId46" Type="http://schemas.openxmlformats.org/officeDocument/2006/relationships/hyperlink" Target="https://doi.org/10.2139/ssrn.5272049"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doi.org/10.1080/23311975.2025.2504131" TargetMode="External"/><Relationship Id="rId29" Type="http://schemas.openxmlformats.org/officeDocument/2006/relationships/hyperlink" Target="https://doi.org/10.1016/j.bar.2019.03.001" TargetMode="External"/><Relationship Id="rId41" Type="http://schemas.openxmlformats.org/officeDocument/2006/relationships/hyperlink" Target="https://doi.org/10.1108/jfra-09-2021-029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s://doi.org/10.1080/23322039.2023.2243709" TargetMode="External"/><Relationship Id="rId32" Type="http://schemas.openxmlformats.org/officeDocument/2006/relationships/hyperlink" Target="https://doi.org/10.15294/jda.v16i2.6560" TargetMode="External"/><Relationship Id="rId37" Type="http://schemas.openxmlformats.org/officeDocument/2006/relationships/hyperlink" Target="https://doi.org/10.1007/s10997-024-09725-9" TargetMode="External"/><Relationship Id="rId40" Type="http://schemas.openxmlformats.org/officeDocument/2006/relationships/hyperlink" Target="https://doi.org/10.1080/23311975.2024.2396045" TargetMode="External"/><Relationship Id="rId45" Type="http://schemas.openxmlformats.org/officeDocument/2006/relationships/hyperlink" Target="https://doi.org/10.2139/ssrn.5216573"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journals.uol.edu.pk/afrj/article/view/2934" TargetMode="External"/><Relationship Id="rId28" Type="http://schemas.openxmlformats.org/officeDocument/2006/relationships/hyperlink" Target="https://doi.org/10.1108/MF-09-2017-0331" TargetMode="External"/><Relationship Id="rId36" Type="http://schemas.openxmlformats.org/officeDocument/2006/relationships/hyperlink" Target="https://doi.org/10.1111/j.1540-6261.1985.tb02362.x" TargetMode="External"/><Relationship Id="rId49"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doi.org/10.1111/fmii.12183" TargetMode="External"/><Relationship Id="rId31" Type="http://schemas.openxmlformats.org/officeDocument/2006/relationships/hyperlink" Target="https://doi.org/10.1080/23322039.2022.2159735" TargetMode="External"/><Relationship Id="rId44" Type="http://schemas.openxmlformats.org/officeDocument/2006/relationships/hyperlink" Target="https://doi.org/10.1016/j.ribaf.2020.101321"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s://doi.org/10.1002/bse.70020" TargetMode="External"/><Relationship Id="rId27" Type="http://schemas.openxmlformats.org/officeDocument/2006/relationships/hyperlink" Target="https://doi.org/10.31966/jabminternational.v32i1.1464" TargetMode="External"/><Relationship Id="rId30" Type="http://schemas.openxmlformats.org/officeDocument/2006/relationships/hyperlink" Target="https://doi.org/10.1016/S0304-405X(01)00038-1" TargetMode="External"/><Relationship Id="rId35" Type="http://schemas.openxmlformats.org/officeDocument/2006/relationships/hyperlink" Target="https://doi.org/10.1080/23311975.2025.2473043" TargetMode="External"/><Relationship Id="rId43" Type="http://schemas.openxmlformats.org/officeDocument/2006/relationships/hyperlink" Target="https://doi.org/10.1108/978-1-83797-987-520241007" TargetMode="External"/><Relationship Id="rId4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E605CA-4443-4E00-963F-5672E5D7C19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C587-7C2C-4DD1-98C4-9C1AE8A6DD39}">
  <ds:schemaRefs>
    <ds:schemaRef ds:uri="http://www.wps.cn/android/officeDocument/2013/mofficeCustomData"/>
  </ds:schemaRefs>
</ds:datastoreItem>
</file>

<file path=customXml/itemProps2.xml><?xml version="1.0" encoding="utf-8"?>
<ds:datastoreItem xmlns:ds="http://schemas.openxmlformats.org/officeDocument/2006/customXml" ds:itemID="{E09CF118-912C-4A5C-8B2E-11F0EBDC91EB}">
  <ds:schemaRefs>
    <ds:schemaRef ds:uri="http://www.wps.cn/android/officeDocument/2013/mofficeCustomData"/>
  </ds:schemaRefs>
</ds:datastoreItem>
</file>

<file path=customXml/itemProps3.xml><?xml version="1.0" encoding="utf-8"?>
<ds:datastoreItem xmlns:ds="http://schemas.openxmlformats.org/officeDocument/2006/customXml" ds:itemID="{46EBC9B6-A83C-4952-96D2-4134A0282238}">
  <ds:schemaRefs>
    <ds:schemaRef ds:uri="http://www.wps.cn/android/officeDocument/2013/mofficeCustomData"/>
  </ds:schemaRefs>
</ds:datastoreItem>
</file>

<file path=customXml/itemProps4.xml><?xml version="1.0" encoding="utf-8"?>
<ds:datastoreItem xmlns:ds="http://schemas.openxmlformats.org/officeDocument/2006/customXml" ds:itemID="{487C8841-71FC-4169-A242-CA87C01FA695}">
  <ds:schemaRefs>
    <ds:schemaRef ds:uri="http://www.wps.cn/android/officeDocument/2013/mofficeCustomData"/>
  </ds:schemaRefs>
</ds:datastoreItem>
</file>

<file path=customXml/itemProps5.xml><?xml version="1.0" encoding="utf-8"?>
<ds:datastoreItem xmlns:ds="http://schemas.openxmlformats.org/officeDocument/2006/customXml" ds:itemID="{4BA2A1D5-00D5-4E08-A9A5-F91CCF763ADD}">
  <ds:schemaRefs>
    <ds:schemaRef ds:uri="http://www.wps.cn/android/officeDocument/2013/mofficeCustomData"/>
  </ds:schemaRefs>
</ds:datastoreItem>
</file>

<file path=customXml/itemProps6.xml><?xml version="1.0" encoding="utf-8"?>
<ds:datastoreItem xmlns:ds="http://schemas.openxmlformats.org/officeDocument/2006/customXml" ds:itemID="{3B75090F-3B3E-4116-A959-7A2DEB1F2479}">
  <ds:schemaRefs>
    <ds:schemaRef ds:uri="http://www.wps.cn/android/officeDocument/2013/mofficeCustomData"/>
  </ds:schemaRefs>
</ds:datastoreItem>
</file>

<file path=customXml/itemProps7.xml><?xml version="1.0" encoding="utf-8"?>
<ds:datastoreItem xmlns:ds="http://schemas.openxmlformats.org/officeDocument/2006/customXml" ds:itemID="{812309DE-FAB7-4685-A4FA-92A2E41BD607}">
  <ds:schemaRefs>
    <ds:schemaRef ds:uri="http://www.wps.cn/android/officeDocument/2013/mofficeCustomData"/>
  </ds:schemaRefs>
</ds:datastoreItem>
</file>

<file path=customXml/itemProps8.xml><?xml version="1.0" encoding="utf-8"?>
<ds:datastoreItem xmlns:ds="http://schemas.openxmlformats.org/officeDocument/2006/customXml" ds:itemID="{052DDB28-56C9-4527-BE22-2539C44C9148}">
  <ds:schemaRefs>
    <ds:schemaRef ds:uri="http://schemas.openxmlformats.org/officeDocument/2006/bibliography"/>
  </ds:schemaRefs>
</ds:datastoreItem>
</file>

<file path=docMetadata/LabelInfo.xml><?xml version="1.0" encoding="utf-8"?>
<clbl:labelList xmlns:clbl="http://schemas.microsoft.com/office/2020/mipLabelMetadata">
  <clbl:label id="{6479eda9-a6bf-4259-ba8a-f27ac2ab3254}" enabled="0" method="" siteId="{6479eda9-a6bf-4259-ba8a-f27ac2ab3254}" removed="1"/>
</clbl:labelList>
</file>

<file path=docProps/app.xml><?xml version="1.0" encoding="utf-8"?>
<Properties xmlns="http://schemas.openxmlformats.org/officeDocument/2006/extended-properties" xmlns:vt="http://schemas.openxmlformats.org/officeDocument/2006/docPropsVTypes">
  <Template>Normal</Template>
  <TotalTime>4250</TotalTime>
  <Pages>14</Pages>
  <Words>7477</Words>
  <Characters>42619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49997</CharactersWithSpaces>
  <SharedDoc>false</SharedDoc>
  <HLinks>
    <vt:vector size="150" baseType="variant">
      <vt:variant>
        <vt:i4>786510</vt:i4>
      </vt:variant>
      <vt:variant>
        <vt:i4>72</vt:i4>
      </vt:variant>
      <vt:variant>
        <vt:i4>0</vt:i4>
      </vt:variant>
      <vt:variant>
        <vt:i4>5</vt:i4>
      </vt:variant>
      <vt:variant>
        <vt:lpwstr>https://doi.org/10.2139/ssrn.5216573</vt:lpwstr>
      </vt:variant>
      <vt:variant>
        <vt:lpwstr/>
      </vt:variant>
      <vt:variant>
        <vt:i4>2621549</vt:i4>
      </vt:variant>
      <vt:variant>
        <vt:i4>69</vt:i4>
      </vt:variant>
      <vt:variant>
        <vt:i4>0</vt:i4>
      </vt:variant>
      <vt:variant>
        <vt:i4>5</vt:i4>
      </vt:variant>
      <vt:variant>
        <vt:lpwstr>https://doi.org/10.1016/j.ribaf.2020.101321</vt:lpwstr>
      </vt:variant>
      <vt:variant>
        <vt:lpwstr/>
      </vt:variant>
      <vt:variant>
        <vt:i4>2097204</vt:i4>
      </vt:variant>
      <vt:variant>
        <vt:i4>66</vt:i4>
      </vt:variant>
      <vt:variant>
        <vt:i4>0</vt:i4>
      </vt:variant>
      <vt:variant>
        <vt:i4>5</vt:i4>
      </vt:variant>
      <vt:variant>
        <vt:lpwstr>https://doi.org/10.1108/JEFAS-12-2021-0257</vt:lpwstr>
      </vt:variant>
      <vt:variant>
        <vt:lpwstr/>
      </vt:variant>
      <vt:variant>
        <vt:i4>2687090</vt:i4>
      </vt:variant>
      <vt:variant>
        <vt:i4>63</vt:i4>
      </vt:variant>
      <vt:variant>
        <vt:i4>0</vt:i4>
      </vt:variant>
      <vt:variant>
        <vt:i4>5</vt:i4>
      </vt:variant>
      <vt:variant>
        <vt:lpwstr>https://doi.org/10.1111/j.1475-6803.1982.tb00299.x</vt:lpwstr>
      </vt:variant>
      <vt:variant>
        <vt:lpwstr/>
      </vt:variant>
      <vt:variant>
        <vt:i4>3670128</vt:i4>
      </vt:variant>
      <vt:variant>
        <vt:i4>60</vt:i4>
      </vt:variant>
      <vt:variant>
        <vt:i4>0</vt:i4>
      </vt:variant>
      <vt:variant>
        <vt:i4>5</vt:i4>
      </vt:variant>
      <vt:variant>
        <vt:lpwstr>https://doi.org/10.3846/jbem.2019.9857</vt:lpwstr>
      </vt:variant>
      <vt:variant>
        <vt:lpwstr/>
      </vt:variant>
      <vt:variant>
        <vt:i4>4980811</vt:i4>
      </vt:variant>
      <vt:variant>
        <vt:i4>57</vt:i4>
      </vt:variant>
      <vt:variant>
        <vt:i4>0</vt:i4>
      </vt:variant>
      <vt:variant>
        <vt:i4>5</vt:i4>
      </vt:variant>
      <vt:variant>
        <vt:lpwstr>https://doi.org/10.9734/ajeba/2024/v24i71426</vt:lpwstr>
      </vt:variant>
      <vt:variant>
        <vt:lpwstr/>
      </vt:variant>
      <vt:variant>
        <vt:i4>2293811</vt:i4>
      </vt:variant>
      <vt:variant>
        <vt:i4>54</vt:i4>
      </vt:variant>
      <vt:variant>
        <vt:i4>0</vt:i4>
      </vt:variant>
      <vt:variant>
        <vt:i4>5</vt:i4>
      </vt:variant>
      <vt:variant>
        <vt:lpwstr>https://doi.org/10.1007/s10997-024-09725-9</vt:lpwstr>
      </vt:variant>
      <vt:variant>
        <vt:lpwstr/>
      </vt:variant>
      <vt:variant>
        <vt:i4>5308437</vt:i4>
      </vt:variant>
      <vt:variant>
        <vt:i4>51</vt:i4>
      </vt:variant>
      <vt:variant>
        <vt:i4>0</vt:i4>
      </vt:variant>
      <vt:variant>
        <vt:i4>5</vt:i4>
      </vt:variant>
      <vt:variant>
        <vt:lpwstr>https://doi.org/10.1016/j.jeconom.2019.04.015</vt:lpwstr>
      </vt:variant>
      <vt:variant>
        <vt:lpwstr/>
      </vt:variant>
      <vt:variant>
        <vt:i4>524355</vt:i4>
      </vt:variant>
      <vt:variant>
        <vt:i4>48</vt:i4>
      </vt:variant>
      <vt:variant>
        <vt:i4>0</vt:i4>
      </vt:variant>
      <vt:variant>
        <vt:i4>5</vt:i4>
      </vt:variant>
      <vt:variant>
        <vt:lpwstr>https://doi.org/10.1080/23311975.2025.2473043</vt:lpwstr>
      </vt:variant>
      <vt:variant>
        <vt:lpwstr/>
      </vt:variant>
      <vt:variant>
        <vt:i4>3342459</vt:i4>
      </vt:variant>
      <vt:variant>
        <vt:i4>45</vt:i4>
      </vt:variant>
      <vt:variant>
        <vt:i4>0</vt:i4>
      </vt:variant>
      <vt:variant>
        <vt:i4>5</vt:i4>
      </vt:variant>
      <vt:variant>
        <vt:lpwstr>https://doi.org/10.1515/econ-2022-0041</vt:lpwstr>
      </vt:variant>
      <vt:variant>
        <vt:lpwstr/>
      </vt:variant>
      <vt:variant>
        <vt:i4>4063350</vt:i4>
      </vt:variant>
      <vt:variant>
        <vt:i4>42</vt:i4>
      </vt:variant>
      <vt:variant>
        <vt:i4>0</vt:i4>
      </vt:variant>
      <vt:variant>
        <vt:i4>5</vt:i4>
      </vt:variant>
      <vt:variant>
        <vt:lpwstr>https://doi.org/10.1111/0022-1082.00199</vt:lpwstr>
      </vt:variant>
      <vt:variant>
        <vt:lpwstr/>
      </vt:variant>
      <vt:variant>
        <vt:i4>3014760</vt:i4>
      </vt:variant>
      <vt:variant>
        <vt:i4>39</vt:i4>
      </vt:variant>
      <vt:variant>
        <vt:i4>0</vt:i4>
      </vt:variant>
      <vt:variant>
        <vt:i4>5</vt:i4>
      </vt:variant>
      <vt:variant>
        <vt:lpwstr>https://doi.org/10.2307/1913643</vt:lpwstr>
      </vt:variant>
      <vt:variant>
        <vt:lpwstr/>
      </vt:variant>
      <vt:variant>
        <vt:i4>5046280</vt:i4>
      </vt:variant>
      <vt:variant>
        <vt:i4>36</vt:i4>
      </vt:variant>
      <vt:variant>
        <vt:i4>0</vt:i4>
      </vt:variant>
      <vt:variant>
        <vt:i4>5</vt:i4>
      </vt:variant>
      <vt:variant>
        <vt:lpwstr>https://doi.org/10.1016/0304-405X(76)90026-X</vt:lpwstr>
      </vt:variant>
      <vt:variant>
        <vt:lpwstr/>
      </vt:variant>
      <vt:variant>
        <vt:i4>393286</vt:i4>
      </vt:variant>
      <vt:variant>
        <vt:i4>33</vt:i4>
      </vt:variant>
      <vt:variant>
        <vt:i4>0</vt:i4>
      </vt:variant>
      <vt:variant>
        <vt:i4>5</vt:i4>
      </vt:variant>
      <vt:variant>
        <vt:lpwstr>https://doi.org/10.1080/23322039.2022.2159735</vt:lpwstr>
      </vt:variant>
      <vt:variant>
        <vt:lpwstr/>
      </vt:variant>
      <vt:variant>
        <vt:i4>4194312</vt:i4>
      </vt:variant>
      <vt:variant>
        <vt:i4>30</vt:i4>
      </vt:variant>
      <vt:variant>
        <vt:i4>0</vt:i4>
      </vt:variant>
      <vt:variant>
        <vt:i4>5</vt:i4>
      </vt:variant>
      <vt:variant>
        <vt:lpwstr>https://doi.org/10.1016/S0304-405X(01)00038-1</vt:lpwstr>
      </vt:variant>
      <vt:variant>
        <vt:lpwstr/>
      </vt:variant>
      <vt:variant>
        <vt:i4>1572946</vt:i4>
      </vt:variant>
      <vt:variant>
        <vt:i4>27</vt:i4>
      </vt:variant>
      <vt:variant>
        <vt:i4>0</vt:i4>
      </vt:variant>
      <vt:variant>
        <vt:i4>5</vt:i4>
      </vt:variant>
      <vt:variant>
        <vt:lpwstr>https://doi.org/10.1177/0007650320930638</vt:lpwstr>
      </vt:variant>
      <vt:variant>
        <vt:lpwstr/>
      </vt:variant>
      <vt:variant>
        <vt:i4>7077943</vt:i4>
      </vt:variant>
      <vt:variant>
        <vt:i4>24</vt:i4>
      </vt:variant>
      <vt:variant>
        <vt:i4>0</vt:i4>
      </vt:variant>
      <vt:variant>
        <vt:i4>5</vt:i4>
      </vt:variant>
      <vt:variant>
        <vt:lpwstr>https://doi.org/10.1108/MF-09-2017-0331</vt:lpwstr>
      </vt:variant>
      <vt:variant>
        <vt:lpwstr/>
      </vt:variant>
      <vt:variant>
        <vt:i4>1966095</vt:i4>
      </vt:variant>
      <vt:variant>
        <vt:i4>21</vt:i4>
      </vt:variant>
      <vt:variant>
        <vt:i4>0</vt:i4>
      </vt:variant>
      <vt:variant>
        <vt:i4>5</vt:i4>
      </vt:variant>
      <vt:variant>
        <vt:lpwstr>https://doi.org/10.31966/jabminternational.v32i1.1464</vt:lpwstr>
      </vt:variant>
      <vt:variant>
        <vt:lpwstr/>
      </vt:variant>
      <vt:variant>
        <vt:i4>6094935</vt:i4>
      </vt:variant>
      <vt:variant>
        <vt:i4>18</vt:i4>
      </vt:variant>
      <vt:variant>
        <vt:i4>0</vt:i4>
      </vt:variant>
      <vt:variant>
        <vt:i4>5</vt:i4>
      </vt:variant>
      <vt:variant>
        <vt:lpwstr>https://doi.org/10.1111/j.1368-423X.2011.00349.x</vt:lpwstr>
      </vt:variant>
      <vt:variant>
        <vt:lpwstr/>
      </vt:variant>
      <vt:variant>
        <vt:i4>7995511</vt:i4>
      </vt:variant>
      <vt:variant>
        <vt:i4>15</vt:i4>
      </vt:variant>
      <vt:variant>
        <vt:i4>0</vt:i4>
      </vt:variant>
      <vt:variant>
        <vt:i4>5</vt:i4>
      </vt:variant>
      <vt:variant>
        <vt:lpwstr>https://doi.org/10.59324/ejmeb.2024.1(3).07</vt:lpwstr>
      </vt:variant>
      <vt:variant>
        <vt:lpwstr/>
      </vt:variant>
      <vt:variant>
        <vt:i4>786502</vt:i4>
      </vt:variant>
      <vt:variant>
        <vt:i4>12</vt:i4>
      </vt:variant>
      <vt:variant>
        <vt:i4>0</vt:i4>
      </vt:variant>
      <vt:variant>
        <vt:i4>5</vt:i4>
      </vt:variant>
      <vt:variant>
        <vt:lpwstr>https://doi.org/10.1080/23322039.2023.2243709</vt:lpwstr>
      </vt:variant>
      <vt:variant>
        <vt:lpwstr/>
      </vt:variant>
      <vt:variant>
        <vt:i4>4980824</vt:i4>
      </vt:variant>
      <vt:variant>
        <vt:i4>9</vt:i4>
      </vt:variant>
      <vt:variant>
        <vt:i4>0</vt:i4>
      </vt:variant>
      <vt:variant>
        <vt:i4>5</vt:i4>
      </vt:variant>
      <vt:variant>
        <vt:lpwstr>https://doi.org/10.1002/bse.70020</vt:lpwstr>
      </vt:variant>
      <vt:variant>
        <vt:lpwstr/>
      </vt:variant>
      <vt:variant>
        <vt:i4>5767232</vt:i4>
      </vt:variant>
      <vt:variant>
        <vt:i4>6</vt:i4>
      </vt:variant>
      <vt:variant>
        <vt:i4>0</vt:i4>
      </vt:variant>
      <vt:variant>
        <vt:i4>5</vt:i4>
      </vt:variant>
      <vt:variant>
        <vt:lpwstr>https://doi.org/10.1016/j.ememar.2021.100890</vt:lpwstr>
      </vt:variant>
      <vt:variant>
        <vt:lpwstr/>
      </vt:variant>
      <vt:variant>
        <vt:i4>589893</vt:i4>
      </vt:variant>
      <vt:variant>
        <vt:i4>3</vt:i4>
      </vt:variant>
      <vt:variant>
        <vt:i4>0</vt:i4>
      </vt:variant>
      <vt:variant>
        <vt:i4>5</vt:i4>
      </vt:variant>
      <vt:variant>
        <vt:lpwstr>https://doi.org/10.1080/23311975.2025.2504131</vt:lpwstr>
      </vt:variant>
      <vt:variant>
        <vt:lpwstr/>
      </vt:variant>
      <vt:variant>
        <vt:i4>2424945</vt:i4>
      </vt:variant>
      <vt:variant>
        <vt:i4>0</vt:i4>
      </vt:variant>
      <vt:variant>
        <vt:i4>0</vt:i4>
      </vt:variant>
      <vt:variant>
        <vt:i4>5</vt:i4>
      </vt:variant>
      <vt:variant>
        <vt:lpwstr>https://doi.org/10.1111/fmii.12183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Akpadaka</dc:creator>
  <cp:keywords/>
  <cp:lastModifiedBy>ADMIN</cp:lastModifiedBy>
  <cp:revision>593</cp:revision>
  <dcterms:created xsi:type="dcterms:W3CDTF">2025-05-17T03:35:00Z</dcterms:created>
  <dcterms:modified xsi:type="dcterms:W3CDTF">2025-07-31T07:27:00Z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605d1f10c71c42c19bc74187458e93c6</vt:lpwstr>
  </property>
</Properties>
</file>