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9F94" w14:textId="77777777" w:rsidR="00D11E61" w:rsidRPr="00F15A61" w:rsidRDefault="00D11E61" w:rsidP="00F15A61">
      <w:pPr>
        <w:pStyle w:val="NormalWeb"/>
        <w:spacing w:before="0" w:beforeAutospacing="0" w:after="0" w:afterAutospacing="0"/>
        <w:jc w:val="center"/>
        <w:rPr>
          <w:rFonts w:ascii="Arial Narrow" w:hAnsi="Arial Narrow"/>
        </w:rPr>
      </w:pPr>
      <w:r w:rsidRPr="00F15A61">
        <w:rPr>
          <w:rStyle w:val="Strong"/>
          <w:rFonts w:ascii="Arial Narrow" w:hAnsi="Arial Narrow"/>
        </w:rPr>
        <w:t>ASSESSMENT OF TANZANIA’S COMPLIANCE WITH INTERNATIONAL ORGANIZATION OF SECURITIES COMMISSIONS STANDARDS ON SECURITIES MARKET REGULATION</w:t>
      </w:r>
    </w:p>
    <w:p w14:paraId="2D8E9CFA" w14:textId="77777777" w:rsidR="00CE6DDA" w:rsidRPr="00F15A61" w:rsidRDefault="00CE6DDA" w:rsidP="00F15A61">
      <w:pPr>
        <w:pStyle w:val="Heading2"/>
        <w:spacing w:before="0" w:line="240" w:lineRule="auto"/>
        <w:jc w:val="center"/>
        <w:rPr>
          <w:rFonts w:ascii="Arial Narrow" w:hAnsi="Arial Narrow" w:cs="Times New Roman"/>
          <w:b w:val="0"/>
          <w:color w:val="auto"/>
          <w:sz w:val="24"/>
          <w:szCs w:val="24"/>
          <w:shd w:val="clear" w:color="auto" w:fill="FFFFFF"/>
        </w:rPr>
      </w:pPr>
    </w:p>
    <w:p w14:paraId="5328DCBD" w14:textId="77777777" w:rsidR="00CE6DDA" w:rsidRDefault="00CE6DDA" w:rsidP="00F15A61">
      <w:pPr>
        <w:pStyle w:val="Heading2"/>
        <w:spacing w:before="0" w:line="240" w:lineRule="auto"/>
        <w:rPr>
          <w:rFonts w:ascii="Arial Narrow" w:hAnsi="Arial Narrow" w:cs="Times New Roman"/>
          <w:b w:val="0"/>
          <w:color w:val="auto"/>
          <w:sz w:val="24"/>
          <w:szCs w:val="24"/>
          <w:shd w:val="clear" w:color="auto" w:fill="FFFFFF"/>
        </w:rPr>
      </w:pPr>
    </w:p>
    <w:p w14:paraId="61A92828" w14:textId="77777777" w:rsidR="008D0316" w:rsidRPr="008D0316" w:rsidRDefault="008D0316" w:rsidP="008D0316"/>
    <w:p w14:paraId="31767D25" w14:textId="77777777" w:rsidR="00E02E70" w:rsidRPr="00F15A61" w:rsidRDefault="00CE6DDA"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b/>
          <w:bCs/>
        </w:rPr>
        <w:t>Abstract</w:t>
      </w:r>
    </w:p>
    <w:p w14:paraId="29ABBC86" w14:textId="77777777" w:rsidR="00CE6DDA" w:rsidRPr="00F15A61" w:rsidRDefault="00E02E70"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rPr>
        <w:t xml:space="preserve">Tanzania’s compliance with International Organization of Securities Commissions </w:t>
      </w:r>
      <w:r w:rsidR="00076E79" w:rsidRPr="00F15A61">
        <w:rPr>
          <w:rFonts w:ascii="Arial Narrow" w:eastAsia="Times New Roman" w:hAnsi="Arial Narrow" w:cs="Times New Roman"/>
        </w:rPr>
        <w:t>Organization</w:t>
      </w:r>
      <w:r w:rsidRPr="00F15A61">
        <w:rPr>
          <w:rFonts w:ascii="Arial Narrow" w:eastAsia="Times New Roman" w:hAnsi="Arial Narrow" w:cs="Times New Roman"/>
        </w:rPr>
        <w:t xml:space="preserve"> (IOSCO) objectives, principles and Multilatera</w:t>
      </w:r>
      <w:r w:rsidR="00976744" w:rsidRPr="00F15A61">
        <w:rPr>
          <w:rFonts w:ascii="Arial Narrow" w:eastAsia="Times New Roman" w:hAnsi="Arial Narrow" w:cs="Times New Roman"/>
        </w:rPr>
        <w:t>l Memorandum of Understanding (</w:t>
      </w:r>
      <w:r w:rsidRPr="00F15A61">
        <w:rPr>
          <w:rFonts w:ascii="Arial Narrow" w:eastAsia="Times New Roman" w:hAnsi="Arial Narrow" w:cs="Times New Roman"/>
        </w:rPr>
        <w:t xml:space="preserve">MMOU) is ongoing process. </w:t>
      </w:r>
      <w:commentRangeStart w:id="0"/>
      <w:r w:rsidR="00CE6DDA" w:rsidRPr="00F15A61">
        <w:rPr>
          <w:rFonts w:ascii="Arial Narrow" w:eastAsia="Times New Roman" w:hAnsi="Arial Narrow" w:cs="Times New Roman"/>
        </w:rPr>
        <w:t xml:space="preserve">This </w:t>
      </w:r>
      <w:r w:rsidR="00002683" w:rsidRPr="00F15A61">
        <w:rPr>
          <w:rFonts w:ascii="Arial Narrow" w:eastAsia="Times New Roman" w:hAnsi="Arial Narrow" w:cs="Times New Roman"/>
        </w:rPr>
        <w:t>paper</w:t>
      </w:r>
      <w:r w:rsidR="00CE6DDA" w:rsidRPr="00F15A61">
        <w:rPr>
          <w:rFonts w:ascii="Arial Narrow" w:eastAsia="Times New Roman" w:hAnsi="Arial Narrow" w:cs="Times New Roman"/>
        </w:rPr>
        <w:t xml:space="preserve"> </w:t>
      </w:r>
      <w:commentRangeEnd w:id="0"/>
      <w:r w:rsidR="00002683">
        <w:rPr>
          <w:rStyle w:val="CommentReference"/>
        </w:rPr>
        <w:commentReference w:id="0"/>
      </w:r>
      <w:r w:rsidR="00CE6DDA" w:rsidRPr="00F15A61">
        <w:rPr>
          <w:rFonts w:ascii="Arial Narrow" w:eastAsia="Times New Roman" w:hAnsi="Arial Narrow" w:cs="Times New Roman"/>
        </w:rPr>
        <w:t xml:space="preserve">provides a comprehensive assessment of Tanzania’s compliance with international securities market standards, with a focus on the IOSCO Principles as the global benchmark. </w:t>
      </w:r>
      <w:commentRangeStart w:id="1"/>
      <w:r w:rsidR="00CE6DDA" w:rsidRPr="00F15A61">
        <w:rPr>
          <w:rFonts w:ascii="Arial Narrow" w:eastAsia="Times New Roman" w:hAnsi="Arial Narrow" w:cs="Times New Roman"/>
        </w:rPr>
        <w:t xml:space="preserve">It </w:t>
      </w:r>
      <w:commentRangeEnd w:id="1"/>
      <w:r w:rsidR="00002683">
        <w:rPr>
          <w:rStyle w:val="CommentReference"/>
        </w:rPr>
        <w:commentReference w:id="1"/>
      </w:r>
      <w:r w:rsidR="00CE6DDA" w:rsidRPr="00F15A61">
        <w:rPr>
          <w:rFonts w:ascii="Arial Narrow" w:eastAsia="Times New Roman" w:hAnsi="Arial Narrow" w:cs="Times New Roman"/>
        </w:rPr>
        <w:t>examines Tanzania’s legal and regulatory framework governing securities markets by highlighting the roles of the Capital Markets and Securities Authority (CMSA), the Dar es Salaam Stock Exchange (DSE), and the Bank of Tanzania. The study explores the main legal instruments, including the Capital Markets and Securities Act and the Companies Act, which establish licensing, disclosure, compliance, and enforcement mechanisms critical for market integrity and investor protection. Through a critical legal a</w:t>
      </w:r>
      <w:r w:rsidR="00D65E8E">
        <w:rPr>
          <w:rFonts w:ascii="Arial Narrow" w:eastAsia="Times New Roman" w:hAnsi="Arial Narrow" w:cs="Times New Roman"/>
        </w:rPr>
        <w:t xml:space="preserve">nalysis with IOSCO the study </w:t>
      </w:r>
      <w:r w:rsidR="00CE6DDA" w:rsidRPr="00F15A61">
        <w:rPr>
          <w:rFonts w:ascii="Arial Narrow" w:eastAsia="Times New Roman" w:hAnsi="Arial Narrow" w:cs="Times New Roman"/>
        </w:rPr>
        <w:t>reveals Tanzania’s legal framework contains significant legal challenges particularly in enforcement capacity, technological infrastructure, cross-border regulatory cooperation, and investor awareness. These limitations constrain the full realization of market transparency, efficiency, and fairness. The study argues that strengthening institutional capabilities, enhancing legal provisions, and fostering regional and international collaboration are crucial for addressing existing gaps. Additionally, improving public awareness and investor education is essential to promote greater market participation and confidence. Therefore, while Tanzania has made considerable progress in developing its securities markets continued reforms and capacity building are necessary to achieve full alignment with global standards. Such alignment is expected to support sustainable securities markets development, investor protection, and economic growth.</w:t>
      </w:r>
    </w:p>
    <w:p w14:paraId="3C6C307B" w14:textId="77777777" w:rsidR="00CE6DDA" w:rsidRPr="00F15A61" w:rsidRDefault="00CE6DDA" w:rsidP="00F15A61">
      <w:pPr>
        <w:spacing w:after="0" w:line="240" w:lineRule="auto"/>
        <w:jc w:val="both"/>
        <w:rPr>
          <w:rFonts w:ascii="Arial Narrow" w:eastAsia="Times New Roman" w:hAnsi="Arial Narrow" w:cs="Times New Roman"/>
          <w:b/>
          <w:bCs/>
        </w:rPr>
      </w:pPr>
    </w:p>
    <w:p w14:paraId="1D8CA352" w14:textId="77777777" w:rsidR="00CE6DDA" w:rsidRPr="00F15A61" w:rsidRDefault="00CE6DDA"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b/>
          <w:bCs/>
        </w:rPr>
        <w:t>Keywords:</w:t>
      </w:r>
      <w:r w:rsidRPr="00F15A61">
        <w:rPr>
          <w:rFonts w:ascii="Arial Narrow" w:eastAsia="Times New Roman" w:hAnsi="Arial Narrow" w:cs="Times New Roman"/>
        </w:rPr>
        <w:t xml:space="preserve">  </w:t>
      </w:r>
      <w:r w:rsidRPr="00F15A61">
        <w:rPr>
          <w:rFonts w:ascii="Arial Narrow" w:eastAsia="Times New Roman" w:hAnsi="Arial Narrow" w:cs="Times New Roman"/>
          <w:i/>
        </w:rPr>
        <w:t>Securities markets, Securities Regulation, IOSCO Principles, Investor Protection, Market Transparency, Enforcement, Legal Reform</w:t>
      </w:r>
      <w:r w:rsidRPr="00F15A61">
        <w:rPr>
          <w:rFonts w:ascii="Arial Narrow" w:eastAsia="Times New Roman" w:hAnsi="Arial Narrow" w:cs="Times New Roman"/>
        </w:rPr>
        <w:t xml:space="preserve">, </w:t>
      </w:r>
    </w:p>
    <w:p w14:paraId="376242F4" w14:textId="77777777" w:rsidR="00CE6DDA" w:rsidRPr="00F15A61" w:rsidRDefault="00CE6DDA" w:rsidP="00F15A61">
      <w:pPr>
        <w:pStyle w:val="NormalWeb"/>
        <w:spacing w:before="0" w:beforeAutospacing="0" w:after="0" w:afterAutospacing="0"/>
        <w:jc w:val="both"/>
        <w:rPr>
          <w:rStyle w:val="Strong"/>
          <w:rFonts w:ascii="Arial Narrow" w:hAnsi="Arial Narrow"/>
          <w:sz w:val="22"/>
          <w:szCs w:val="22"/>
        </w:rPr>
      </w:pPr>
    </w:p>
    <w:p w14:paraId="4FAF4D07" w14:textId="77777777" w:rsidR="00CE6DDA" w:rsidRPr="00F15A61" w:rsidRDefault="00D11E61" w:rsidP="00F15A61">
      <w:pPr>
        <w:pStyle w:val="NormalWeb"/>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Introduction</w:t>
      </w:r>
      <w:r w:rsidRPr="00F15A61">
        <w:rPr>
          <w:rFonts w:ascii="Arial Narrow" w:hAnsi="Arial Narrow"/>
          <w:sz w:val="22"/>
          <w:szCs w:val="22"/>
        </w:rPr>
        <w:t xml:space="preserve"> </w:t>
      </w:r>
    </w:p>
    <w:p w14:paraId="132ADCD6" w14:textId="77777777" w:rsidR="001A3F45"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internationalization of securities markets has become a global concern that necessitates cross-border cooperation among IOSCO signatories.</w:t>
      </w:r>
      <w:r w:rsidR="00BC5C9D" w:rsidRPr="00F15A61">
        <w:rPr>
          <w:rFonts w:ascii="Arial Narrow" w:hAnsi="Arial Narrow"/>
          <w:sz w:val="22"/>
          <w:szCs w:val="22"/>
        </w:rPr>
        <w:t xml:space="preserve"> This demands securities commissions and similar bodies with the responsibilities for securities regulation to join together to with the view of improving their efficiency, coordinating enforcement of securities regulation and implementing common standards</w:t>
      </w:r>
      <w:r w:rsidR="00BC5C9D" w:rsidRPr="00F15A61">
        <w:rPr>
          <w:rStyle w:val="FootnoteReference"/>
          <w:rFonts w:ascii="Arial Narrow" w:hAnsi="Arial Narrow"/>
          <w:sz w:val="22"/>
          <w:szCs w:val="22"/>
        </w:rPr>
        <w:footnoteReference w:id="1"/>
      </w:r>
      <w:r w:rsidR="00BC5C9D" w:rsidRPr="00F15A61">
        <w:rPr>
          <w:rFonts w:ascii="Arial Narrow" w:hAnsi="Arial Narrow"/>
          <w:sz w:val="22"/>
          <w:szCs w:val="22"/>
        </w:rPr>
        <w:t>.</w:t>
      </w:r>
      <w:r w:rsidRPr="00F15A61">
        <w:rPr>
          <w:rFonts w:ascii="Arial Narrow" w:hAnsi="Arial Narrow"/>
          <w:sz w:val="22"/>
          <w:szCs w:val="22"/>
        </w:rPr>
        <w:t xml:space="preserve"> This situation is driven by rapid economic and technological changes worldwide, which significantly impact securities markets.</w:t>
      </w:r>
      <w:r w:rsidR="00C94672" w:rsidRPr="00F15A61">
        <w:rPr>
          <w:rFonts w:ascii="Arial Narrow" w:hAnsi="Arial Narrow"/>
          <w:sz w:val="22"/>
          <w:szCs w:val="22"/>
        </w:rPr>
        <w:t xml:space="preserve"> In the process of opening up to the world, multinational corporations have acted as vital bridges by optimizing global resource allocation, facilitating technology transfer, enhancing managerial efficiency</w:t>
      </w:r>
      <w:r w:rsidR="00C94672" w:rsidRPr="00F15A61">
        <w:rPr>
          <w:rStyle w:val="FootnoteReference"/>
          <w:rFonts w:ascii="Arial Narrow" w:hAnsi="Arial Narrow"/>
          <w:sz w:val="22"/>
          <w:szCs w:val="22"/>
        </w:rPr>
        <w:footnoteReference w:id="2"/>
      </w:r>
      <w:r w:rsidR="00C94672" w:rsidRPr="00F15A61">
        <w:rPr>
          <w:rFonts w:ascii="Arial Narrow" w:hAnsi="Arial Narrow"/>
          <w:sz w:val="22"/>
          <w:szCs w:val="22"/>
        </w:rPr>
        <w:t>.</w:t>
      </w:r>
      <w:r w:rsidRPr="00F15A61">
        <w:rPr>
          <w:rFonts w:ascii="Arial Narrow" w:hAnsi="Arial Narrow"/>
          <w:sz w:val="22"/>
          <w:szCs w:val="22"/>
        </w:rPr>
        <w:t xml:space="preserve"> As these changes unfold, there is an increasing need for the international community to strengthen regulatory frameworks, particularly in relation to cross-border trading. </w:t>
      </w:r>
    </w:p>
    <w:p w14:paraId="6E66C8AB" w14:textId="77777777" w:rsidR="001A3F45" w:rsidRPr="00F15A61" w:rsidRDefault="001A3F45" w:rsidP="00F15A61">
      <w:pPr>
        <w:pStyle w:val="NormalWeb"/>
        <w:spacing w:before="0" w:beforeAutospacing="0" w:after="0" w:afterAutospacing="0"/>
        <w:jc w:val="both"/>
        <w:rPr>
          <w:rFonts w:ascii="Arial Narrow" w:hAnsi="Arial Narrow"/>
          <w:sz w:val="22"/>
          <w:szCs w:val="22"/>
        </w:rPr>
      </w:pPr>
    </w:p>
    <w:p w14:paraId="782D3A89" w14:textId="77777777" w:rsidR="00A34A3F" w:rsidRPr="00F15A61" w:rsidRDefault="00A34A3F"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internationalization of world’s securities markets has become a common parlance among securities regulators and market </w:t>
      </w:r>
      <w:r w:rsidR="00076E79" w:rsidRPr="00F15A61">
        <w:rPr>
          <w:rFonts w:ascii="Arial Narrow" w:hAnsi="Arial Narrow"/>
          <w:sz w:val="22"/>
          <w:szCs w:val="22"/>
        </w:rPr>
        <w:t xml:space="preserve">analysis. </w:t>
      </w:r>
      <w:commentRangeStart w:id="2"/>
      <w:r w:rsidR="00076E79" w:rsidRPr="00F15A61">
        <w:rPr>
          <w:rFonts w:ascii="Arial Narrow" w:hAnsi="Arial Narrow"/>
          <w:sz w:val="22"/>
          <w:szCs w:val="22"/>
        </w:rPr>
        <w:t>The</w:t>
      </w:r>
      <w:r w:rsidR="00B84873" w:rsidRPr="00F15A61">
        <w:rPr>
          <w:rFonts w:ascii="Arial Narrow" w:hAnsi="Arial Narrow"/>
          <w:sz w:val="22"/>
          <w:szCs w:val="22"/>
        </w:rPr>
        <w:t xml:space="preserve"> expansion of securities markets has attracted numerous investors, with many companies choosing to cross-list in various countries to broaden their capital base. Without a robust legal framework to govern these processes, market participants are vulnerable to abuses that undermine fairness and integrity in securities trading.</w:t>
      </w:r>
      <w:commentRangeEnd w:id="2"/>
      <w:r w:rsidR="009B1607">
        <w:rPr>
          <w:rStyle w:val="CommentReference"/>
          <w:rFonts w:asciiTheme="minorHAnsi" w:eastAsiaTheme="minorHAnsi" w:hAnsiTheme="minorHAnsi" w:cstheme="minorBidi"/>
        </w:rPr>
        <w:commentReference w:id="2"/>
      </w:r>
      <w:r w:rsidR="008D0631" w:rsidRPr="00F15A61">
        <w:rPr>
          <w:rFonts w:ascii="Arial Narrow" w:hAnsi="Arial Narrow"/>
          <w:sz w:val="22"/>
          <w:szCs w:val="22"/>
        </w:rPr>
        <w:t xml:space="preserve"> For example, China’s equity markets internationalization process started in the early 2000s but accelerated after 2012, when Chinese firms’ shares listed in Shanghai and Shenzhen gradually became available to international </w:t>
      </w:r>
      <w:r w:rsidR="008D0631" w:rsidRPr="00F15A61">
        <w:rPr>
          <w:rFonts w:ascii="Arial Narrow" w:hAnsi="Arial Narrow"/>
          <w:sz w:val="22"/>
          <w:szCs w:val="22"/>
        </w:rPr>
        <w:lastRenderedPageBreak/>
        <w:t>investors</w:t>
      </w:r>
      <w:r w:rsidR="008D0631" w:rsidRPr="00F15A61">
        <w:rPr>
          <w:rStyle w:val="FootnoteReference"/>
          <w:rFonts w:ascii="Arial Narrow" w:hAnsi="Arial Narrow"/>
          <w:sz w:val="22"/>
          <w:szCs w:val="22"/>
        </w:rPr>
        <w:footnoteReference w:id="3"/>
      </w:r>
      <w:r w:rsidR="008D0631" w:rsidRPr="00F15A61">
        <w:rPr>
          <w:rFonts w:ascii="Arial Narrow" w:hAnsi="Arial Narrow"/>
          <w:sz w:val="22"/>
          <w:szCs w:val="22"/>
        </w:rPr>
        <w:t>.</w:t>
      </w:r>
      <w:r w:rsidRPr="00F15A61">
        <w:rPr>
          <w:rFonts w:ascii="Arial Narrow" w:hAnsi="Arial Narrow"/>
          <w:sz w:val="22"/>
          <w:szCs w:val="22"/>
        </w:rPr>
        <w:t xml:space="preserve"> Developing securities markets and having strong financial functions is one of the important economic goals of global powers </w:t>
      </w:r>
    </w:p>
    <w:p w14:paraId="7A2B81B1" w14:textId="77777777" w:rsidR="00A34A3F" w:rsidRPr="00F15A61" w:rsidRDefault="00A34A3F" w:rsidP="00F15A61">
      <w:pPr>
        <w:pStyle w:val="NormalWeb"/>
        <w:spacing w:before="0" w:beforeAutospacing="0" w:after="0" w:afterAutospacing="0"/>
        <w:jc w:val="both"/>
        <w:rPr>
          <w:rFonts w:ascii="Arial Narrow" w:hAnsi="Arial Narrow"/>
          <w:sz w:val="22"/>
          <w:szCs w:val="22"/>
        </w:rPr>
      </w:pPr>
    </w:p>
    <w:p w14:paraId="721B611A" w14:textId="77777777" w:rsidR="00CE6DDA"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According to Article 31 of IOSCO by</w:t>
      </w:r>
      <w:r w:rsidR="005526C9" w:rsidRPr="00F15A61">
        <w:rPr>
          <w:rFonts w:ascii="Arial Narrow" w:hAnsi="Arial Narrow"/>
          <w:sz w:val="22"/>
          <w:szCs w:val="22"/>
        </w:rPr>
        <w:t>-</w:t>
      </w:r>
      <w:r w:rsidRPr="00F15A61">
        <w:rPr>
          <w:rFonts w:ascii="Arial Narrow" w:hAnsi="Arial Narrow"/>
          <w:sz w:val="22"/>
          <w:szCs w:val="22"/>
        </w:rPr>
        <w:t>laws it is stipulated that market intermediaries should be required to establish an internal function that delivers compliance with standards for internal organization and operational conduct, with the aim of protecting the interests of clients and their assets and ensuring proper management of risk, through which management of the intermediary accepts primary responsibility for these matters</w:t>
      </w:r>
      <w:r w:rsidR="005526C9" w:rsidRPr="00F15A61">
        <w:rPr>
          <w:rStyle w:val="FootnoteReference"/>
          <w:rFonts w:ascii="Arial Narrow" w:hAnsi="Arial Narrow"/>
          <w:sz w:val="22"/>
          <w:szCs w:val="22"/>
        </w:rPr>
        <w:footnoteReference w:id="4"/>
      </w:r>
      <w:r w:rsidRPr="00F15A61">
        <w:rPr>
          <w:rFonts w:ascii="Arial Narrow" w:hAnsi="Arial Narrow"/>
          <w:sz w:val="22"/>
          <w:szCs w:val="22"/>
        </w:rPr>
        <w:t>.</w:t>
      </w:r>
      <w:r w:rsidR="00261BE8" w:rsidRPr="00F15A61">
        <w:rPr>
          <w:rFonts w:ascii="Arial Narrow" w:hAnsi="Arial Narrow"/>
          <w:sz w:val="22"/>
          <w:szCs w:val="22"/>
        </w:rPr>
        <w:t xml:space="preserve"> As countries become increasingly economically connected, the internationalization of securities markets has gradually become an important development plan for all countries.</w:t>
      </w:r>
      <w:r w:rsidR="00D4767C" w:rsidRPr="00F15A61">
        <w:rPr>
          <w:rFonts w:ascii="Arial Narrow" w:hAnsi="Arial Narrow"/>
          <w:sz w:val="22"/>
          <w:szCs w:val="22"/>
        </w:rPr>
        <w:t xml:space="preserve"> The capital market serves to link capital with the real economy</w:t>
      </w:r>
      <w:r w:rsidR="00D4767C" w:rsidRPr="00F15A61">
        <w:rPr>
          <w:rStyle w:val="FootnoteReference"/>
          <w:rFonts w:ascii="Arial Narrow" w:hAnsi="Arial Narrow"/>
          <w:sz w:val="22"/>
          <w:szCs w:val="22"/>
        </w:rPr>
        <w:footnoteReference w:id="5"/>
      </w:r>
      <w:r w:rsidR="00CE6DDA" w:rsidRPr="00F15A61">
        <w:rPr>
          <w:rFonts w:ascii="Arial Narrow" w:hAnsi="Arial Narrow"/>
          <w:sz w:val="22"/>
          <w:szCs w:val="22"/>
        </w:rPr>
        <w:t xml:space="preserve"> Increased trading volume originating from foreign nations with secrecy and blocking laws has compounded the complexity of enforcement and multinational trading linkages have spread transactions in securities around the globe. The phenomenon of insider trading transcends national borders presenting complex challenges for regulatory framework around the world</w:t>
      </w:r>
      <w:r w:rsidR="00261BE8" w:rsidRPr="00F15A61">
        <w:rPr>
          <w:rFonts w:ascii="Arial Narrow" w:hAnsi="Arial Narrow"/>
          <w:sz w:val="22"/>
          <w:szCs w:val="22"/>
        </w:rPr>
        <w:t>.</w:t>
      </w:r>
      <w:r w:rsidR="00C94672" w:rsidRPr="00F15A61">
        <w:rPr>
          <w:rFonts w:ascii="Arial Narrow" w:hAnsi="Arial Narrow"/>
          <w:sz w:val="22"/>
          <w:szCs w:val="22"/>
        </w:rPr>
        <w:t xml:space="preserve"> </w:t>
      </w:r>
    </w:p>
    <w:p w14:paraId="1F6921C0" w14:textId="77777777" w:rsidR="00A34A3F" w:rsidRPr="00F15A61" w:rsidRDefault="00A34A3F" w:rsidP="00F15A61">
      <w:pPr>
        <w:pStyle w:val="NormalWeb"/>
        <w:spacing w:before="0" w:beforeAutospacing="0" w:after="0" w:afterAutospacing="0"/>
        <w:jc w:val="both"/>
        <w:rPr>
          <w:rFonts w:ascii="Arial Narrow" w:hAnsi="Arial Narrow"/>
          <w:sz w:val="22"/>
          <w:szCs w:val="22"/>
        </w:rPr>
      </w:pPr>
    </w:p>
    <w:p w14:paraId="1F408D9B" w14:textId="77777777" w:rsidR="00A71169" w:rsidRPr="00F15A61" w:rsidRDefault="00A71169"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Compliance with international securities market standards is critically important for emerging economies like Tanzania, as it fosters investor confidence, promotes transparency, and supports sustainable economic growth. In Tanzania, the capital market is governed by the Capital Markets and Securities Act, Chapter 79 R.E. 2002 (CMS Act), which is supplemented by 19 Regulations and Guidelines that address various aspects of capital markets operations</w:t>
      </w:r>
      <w:r w:rsidRPr="00F15A61">
        <w:rPr>
          <w:rStyle w:val="FootnoteReference"/>
          <w:rFonts w:ascii="Arial Narrow" w:hAnsi="Arial Narrow"/>
          <w:sz w:val="22"/>
          <w:szCs w:val="22"/>
        </w:rPr>
        <w:footnoteReference w:id="6"/>
      </w:r>
      <w:r w:rsidRPr="00F15A61">
        <w:rPr>
          <w:rFonts w:ascii="Arial Narrow" w:hAnsi="Arial Narrow"/>
          <w:sz w:val="22"/>
          <w:szCs w:val="22"/>
        </w:rPr>
        <w:t>. Additionally, the Capital Markets and Securities Authority (CMSA) is mandated to supervise, develop, and regulate commodity exchanges in the country. This function is supported by the Commodity Exchanges Act of 2015 and the Commodity Exchanges Regulations of 2016</w:t>
      </w:r>
      <w:r w:rsidRPr="00F15A61">
        <w:rPr>
          <w:rStyle w:val="FootnoteReference"/>
          <w:rFonts w:ascii="Arial Narrow" w:hAnsi="Arial Narrow"/>
          <w:sz w:val="22"/>
          <w:szCs w:val="22"/>
        </w:rPr>
        <w:footnoteReference w:id="7"/>
      </w:r>
      <w:r w:rsidRPr="00F15A61">
        <w:rPr>
          <w:rFonts w:ascii="Arial Narrow" w:hAnsi="Arial Narrow"/>
          <w:sz w:val="22"/>
          <w:szCs w:val="22"/>
        </w:rPr>
        <w:t>. For countries such as Tanzania, adherence to globally recognized principles is not only vital for protecting investors but also crucial for attracting foreign investment, improving access to capital, and integrating into the global financial system. These international standards provide a framework for sound regulation and market stability, thereby reducing the risk of financial misconduct such as insider trading, fraud, and market manipulation.</w:t>
      </w:r>
    </w:p>
    <w:p w14:paraId="0A853865" w14:textId="77777777" w:rsidR="00CE6DDA" w:rsidRPr="00F15A61" w:rsidRDefault="00CE6DDA" w:rsidP="00F15A61">
      <w:pPr>
        <w:pStyle w:val="NormalWeb"/>
        <w:spacing w:before="0" w:beforeAutospacing="0" w:after="0" w:afterAutospacing="0"/>
        <w:jc w:val="both"/>
        <w:rPr>
          <w:rFonts w:ascii="Arial Narrow" w:hAnsi="Arial Narrow"/>
          <w:sz w:val="22"/>
          <w:szCs w:val="22"/>
        </w:rPr>
      </w:pPr>
    </w:p>
    <w:p w14:paraId="33D1404D" w14:textId="77777777" w:rsidR="008752CE" w:rsidRPr="00F15A61" w:rsidRDefault="00D7662C"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 one of the fastest-growing economies in East Africa, has made substantial progress in developing its securities market over the past two decades. The government continues to pursue strategies aimed at building a vibrant capital market, including the full liberalization of financial accounts to encourage broader and more active participation in the securities market in terms of both</w:t>
      </w:r>
      <w:r w:rsidR="00696B65" w:rsidRPr="00F15A61">
        <w:rPr>
          <w:rFonts w:ascii="Arial Narrow" w:hAnsi="Arial Narrow"/>
          <w:sz w:val="22"/>
          <w:szCs w:val="22"/>
        </w:rPr>
        <w:t xml:space="preserve"> products and players</w:t>
      </w:r>
      <w:r w:rsidR="00696B65" w:rsidRPr="00F15A61">
        <w:rPr>
          <w:rStyle w:val="FootnoteReference"/>
          <w:rFonts w:ascii="Arial Narrow" w:hAnsi="Arial Narrow"/>
          <w:sz w:val="22"/>
          <w:szCs w:val="22"/>
        </w:rPr>
        <w:footnoteReference w:id="8"/>
      </w:r>
      <w:r w:rsidRPr="00F15A61">
        <w:rPr>
          <w:rFonts w:ascii="Arial Narrow" w:hAnsi="Arial Narrow"/>
          <w:sz w:val="22"/>
          <w:szCs w:val="22"/>
        </w:rPr>
        <w:t>. The securities market is primarily regulated by the Capital Markets and Securities Authority (CMSA), which operates in collaboration with other f</w:t>
      </w:r>
      <w:r w:rsidR="00696B65" w:rsidRPr="00F15A61">
        <w:rPr>
          <w:rFonts w:ascii="Arial Narrow" w:hAnsi="Arial Narrow"/>
          <w:sz w:val="22"/>
          <w:szCs w:val="22"/>
        </w:rPr>
        <w:t>inancial institutions</w:t>
      </w:r>
      <w:r w:rsidRPr="00F15A61">
        <w:rPr>
          <w:rFonts w:ascii="Arial Narrow" w:hAnsi="Arial Narrow"/>
          <w:sz w:val="22"/>
          <w:szCs w:val="22"/>
        </w:rPr>
        <w:t>. The Dar es Salaam Stock Exchange (DSE) serves as the country’s sole official platf</w:t>
      </w:r>
      <w:r w:rsidR="00696B65" w:rsidRPr="00F15A61">
        <w:rPr>
          <w:rFonts w:ascii="Arial Narrow" w:hAnsi="Arial Narrow"/>
          <w:sz w:val="22"/>
          <w:szCs w:val="22"/>
        </w:rPr>
        <w:t>orm for share trading</w:t>
      </w:r>
      <w:r w:rsidR="00696B65" w:rsidRPr="00F15A61">
        <w:rPr>
          <w:rStyle w:val="FootnoteReference"/>
          <w:rFonts w:ascii="Arial Narrow" w:hAnsi="Arial Narrow"/>
          <w:sz w:val="22"/>
          <w:szCs w:val="22"/>
        </w:rPr>
        <w:footnoteReference w:id="9"/>
      </w:r>
      <w:r w:rsidRPr="00F15A61">
        <w:rPr>
          <w:rFonts w:ascii="Arial Narrow" w:hAnsi="Arial Narrow"/>
          <w:sz w:val="22"/>
          <w:szCs w:val="22"/>
        </w:rPr>
        <w:t>. Financial instruments such as equities, bonds, and collective investment schemes are traded on the DSE, making it the central hub for securities transactions in Tanzania. The government has prioritized reforms in the securities market as part of broader financial sector development efforts aimed at stimulating investment and promoting financial inclusion [Footnote]. Moreover, monetary policy remains a fundamental pillar of economic management, shaping financial markets and contributing to ma</w:t>
      </w:r>
      <w:r w:rsidR="00696B65" w:rsidRPr="00F15A61">
        <w:rPr>
          <w:rFonts w:ascii="Arial Narrow" w:hAnsi="Arial Narrow"/>
          <w:sz w:val="22"/>
          <w:szCs w:val="22"/>
        </w:rPr>
        <w:t>croeconomic stability</w:t>
      </w:r>
      <w:r w:rsidR="00696B65" w:rsidRPr="00F15A61">
        <w:rPr>
          <w:rStyle w:val="FootnoteReference"/>
          <w:rFonts w:ascii="Arial Narrow" w:hAnsi="Arial Narrow"/>
          <w:sz w:val="22"/>
          <w:szCs w:val="22"/>
        </w:rPr>
        <w:footnoteReference w:id="10"/>
      </w:r>
      <w:r w:rsidRPr="00F15A61">
        <w:rPr>
          <w:rFonts w:ascii="Arial Narrow" w:hAnsi="Arial Narrow"/>
          <w:sz w:val="22"/>
          <w:szCs w:val="22"/>
        </w:rPr>
        <w:t>.</w:t>
      </w:r>
    </w:p>
    <w:p w14:paraId="7D9C99FE" w14:textId="77777777" w:rsidR="00696B65" w:rsidRPr="00F15A61" w:rsidRDefault="00696B65" w:rsidP="00F15A61">
      <w:pPr>
        <w:pStyle w:val="NormalWeb"/>
        <w:spacing w:before="0" w:beforeAutospacing="0" w:after="0" w:afterAutospacing="0"/>
        <w:jc w:val="both"/>
        <w:rPr>
          <w:rFonts w:ascii="Arial Narrow" w:hAnsi="Arial Narrow"/>
          <w:sz w:val="22"/>
          <w:szCs w:val="22"/>
        </w:rPr>
      </w:pPr>
    </w:p>
    <w:p w14:paraId="7BCCA52C" w14:textId="77777777" w:rsidR="00696B65" w:rsidRPr="00F15A61" w:rsidRDefault="00696B65"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Capital Markets and Securities Authority (CMSA) has implemented initiatives that have opened new market frontiers including development of thematic and innovative capital market products and services; promotion of technology-enabled financial service distribution channels; increasing the number of certified market professionals recognized internationally; and enhancement of financial literacy and public awareness</w:t>
      </w:r>
      <w:r w:rsidR="00E8464B" w:rsidRPr="00F15A61">
        <w:rPr>
          <w:rStyle w:val="FootnoteReference"/>
          <w:rFonts w:ascii="Arial Narrow" w:hAnsi="Arial Narrow"/>
          <w:sz w:val="22"/>
          <w:szCs w:val="22"/>
        </w:rPr>
        <w:footnoteReference w:id="11"/>
      </w:r>
      <w:r w:rsidRPr="00F15A61">
        <w:rPr>
          <w:rFonts w:ascii="Arial Narrow" w:hAnsi="Arial Narrow"/>
          <w:sz w:val="22"/>
          <w:szCs w:val="22"/>
        </w:rPr>
        <w:t>. The total value of investments in the capital markets increased by 9.3 percent, reaching TZS 37,410.1 billion during the year ending December 2023. Trading activities in equity and bond markets rose by 31.4 percent, while the Net Asset Value (NAV) of Collective Investment Schemes increased by 50.2 percent.</w:t>
      </w:r>
      <w:r w:rsidR="00E8464B" w:rsidRPr="00F15A61">
        <w:rPr>
          <w:rStyle w:val="FootnoteReference"/>
          <w:rFonts w:ascii="Arial Narrow" w:hAnsi="Arial Narrow"/>
          <w:sz w:val="22"/>
          <w:szCs w:val="22"/>
        </w:rPr>
        <w:footnoteReference w:id="12"/>
      </w:r>
      <w:r w:rsidRPr="00F15A61">
        <w:rPr>
          <w:rFonts w:ascii="Arial Narrow" w:hAnsi="Arial Narrow"/>
          <w:sz w:val="22"/>
          <w:szCs w:val="22"/>
        </w:rPr>
        <w:t xml:space="preserve"> These positive developments were mainly attributed to the improved regulatory and business environment, pick-up in economic activities and growth in the financial sector</w:t>
      </w:r>
      <w:r w:rsidR="00E8464B" w:rsidRPr="00F15A61">
        <w:rPr>
          <w:rStyle w:val="FootnoteReference"/>
          <w:rFonts w:ascii="Arial Narrow" w:hAnsi="Arial Narrow"/>
          <w:sz w:val="22"/>
          <w:szCs w:val="22"/>
        </w:rPr>
        <w:footnoteReference w:id="13"/>
      </w:r>
      <w:r w:rsidRPr="00F15A61">
        <w:rPr>
          <w:rFonts w:ascii="Arial Narrow" w:hAnsi="Arial Narrow"/>
          <w:sz w:val="22"/>
          <w:szCs w:val="22"/>
        </w:rPr>
        <w:t>.</w:t>
      </w:r>
    </w:p>
    <w:p w14:paraId="74E98B95" w14:textId="77777777" w:rsidR="00696B65" w:rsidRPr="00F15A61" w:rsidRDefault="00696B65" w:rsidP="00F15A61">
      <w:pPr>
        <w:pStyle w:val="NormalWeb"/>
        <w:spacing w:before="0" w:beforeAutospacing="0" w:after="0" w:afterAutospacing="0"/>
        <w:jc w:val="both"/>
        <w:rPr>
          <w:rFonts w:ascii="Arial Narrow" w:hAnsi="Arial Narrow"/>
          <w:sz w:val="22"/>
          <w:szCs w:val="22"/>
        </w:rPr>
      </w:pPr>
    </w:p>
    <w:p w14:paraId="3E9CC40C" w14:textId="77777777" w:rsidR="00440AC3" w:rsidRPr="00F15A61" w:rsidRDefault="00440AC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Despite notable progress, Tanzania’s securities markets remain relatively underdeveloped compared to more mature global markets. Key challenges persist, including limited market depth, low liquidity, and insufficient diversification of financial products. These structural constraints continue to impede market growth and limit broader investor participation. Moreover, foreign investment in the Dar es Salaam Stock Exchange (DSE) is subject to Tanzania’s foreign investor policies, which significantly influence the investment environment</w:t>
      </w:r>
      <w:r w:rsidRPr="00F15A61">
        <w:rPr>
          <w:rStyle w:val="FootnoteReference"/>
          <w:rFonts w:ascii="Arial Narrow" w:hAnsi="Arial Narrow"/>
          <w:sz w:val="22"/>
          <w:szCs w:val="22"/>
        </w:rPr>
        <w:footnoteReference w:id="14"/>
      </w:r>
      <w:r w:rsidRPr="00F15A61">
        <w:rPr>
          <w:rFonts w:ascii="Arial Narrow" w:hAnsi="Arial Narrow"/>
          <w:sz w:val="22"/>
          <w:szCs w:val="22"/>
        </w:rPr>
        <w:t>.When evaluating investment opportunities, individuals typically consider their objectives, associated risks, and expected returns. However, in Tanzania, stock market participation remains notably low. Recent statistics reveal that only about 1% of the population is engaged in stock market investment, highlighting both a lack of awareness and persistent structural barriers to entry</w:t>
      </w:r>
      <w:r w:rsidRPr="00F15A61">
        <w:rPr>
          <w:rStyle w:val="FootnoteReference"/>
          <w:rFonts w:ascii="Arial Narrow" w:hAnsi="Arial Narrow"/>
          <w:sz w:val="22"/>
          <w:szCs w:val="22"/>
        </w:rPr>
        <w:footnoteReference w:id="15"/>
      </w:r>
      <w:r w:rsidRPr="00F15A61">
        <w:rPr>
          <w:rFonts w:ascii="Arial Narrow" w:hAnsi="Arial Narrow"/>
          <w:sz w:val="22"/>
          <w:szCs w:val="22"/>
        </w:rPr>
        <w:t>. This situation raises important questions about whether Tanzania adequately complies with the standards set by the International Organization of Securities Commissions (IOSCO), of which it is a signatory.</w:t>
      </w:r>
    </w:p>
    <w:p w14:paraId="1F19D003" w14:textId="77777777" w:rsidR="00B12735" w:rsidRPr="00F15A61" w:rsidRDefault="00B12735" w:rsidP="00F15A61">
      <w:pPr>
        <w:pStyle w:val="NormalWeb"/>
        <w:shd w:val="clear" w:color="auto" w:fill="FFFFFF"/>
        <w:spacing w:before="0" w:beforeAutospacing="0" w:after="0" w:afterAutospacing="0"/>
        <w:jc w:val="both"/>
        <w:rPr>
          <w:rFonts w:ascii="Arial Narrow" w:hAnsi="Arial Narrow"/>
          <w:sz w:val="22"/>
          <w:szCs w:val="22"/>
        </w:rPr>
      </w:pPr>
    </w:p>
    <w:p w14:paraId="3C4DB9CA" w14:textId="77777777" w:rsidR="00387E00" w:rsidRPr="00F15A61" w:rsidRDefault="00387E00" w:rsidP="00F15A61">
      <w:pPr>
        <w:spacing w:after="0" w:line="240" w:lineRule="auto"/>
        <w:jc w:val="both"/>
        <w:rPr>
          <w:rFonts w:ascii="Arial Narrow" w:eastAsia="Times New Roman" w:hAnsi="Arial Narrow" w:cs="Times New Roman"/>
          <w:b/>
        </w:rPr>
      </w:pPr>
      <w:r w:rsidRPr="00F15A61">
        <w:rPr>
          <w:rFonts w:ascii="Arial Narrow" w:eastAsia="Times New Roman" w:hAnsi="Arial Narrow" w:cs="Times New Roman"/>
          <w:b/>
        </w:rPr>
        <w:t xml:space="preserve">Methodology </w:t>
      </w:r>
    </w:p>
    <w:p w14:paraId="0CDD44CA" w14:textId="77777777" w:rsidR="00387E00" w:rsidRPr="00F15A61" w:rsidRDefault="00387E00"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rPr>
        <w:t>To achieve the objective, the research employed doctrinal legal research complemented by empirical legal research. The doctrinal approach involves analyzing primary legal texts, regulations, and international standards to establish the legal framework and its alignment with global best practices. Complementing this, the empirical legal methodology gathers qualitative data from market participants, regulatory reports, and case studies to evaluate the practical application and effectiveness of the regulatory regime. This combined approach provides a comprehensive understanding of both the legal provisions and their real-world implementation within Tanzania’s securities market.</w:t>
      </w:r>
    </w:p>
    <w:p w14:paraId="1FA4BB06" w14:textId="77777777" w:rsidR="00387E00" w:rsidRPr="00F15A61" w:rsidRDefault="00387E00" w:rsidP="00F15A61">
      <w:pPr>
        <w:pStyle w:val="Heading2"/>
        <w:spacing w:before="0" w:line="240" w:lineRule="auto"/>
        <w:jc w:val="both"/>
        <w:rPr>
          <w:rFonts w:ascii="Arial Narrow" w:hAnsi="Arial Narrow" w:cs="Times New Roman"/>
          <w:color w:val="auto"/>
          <w:sz w:val="22"/>
          <w:szCs w:val="22"/>
        </w:rPr>
      </w:pPr>
    </w:p>
    <w:p w14:paraId="0DA78D28" w14:textId="77777777" w:rsidR="005C1EE5" w:rsidRPr="00F15A61" w:rsidRDefault="00387E00"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International Securities Market Standards</w:t>
      </w:r>
    </w:p>
    <w:p w14:paraId="6FDEDEF1" w14:textId="77777777" w:rsidR="00387E00" w:rsidRPr="00F15A61" w:rsidRDefault="00374CD2"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IOSCO is the leading international policy forum for securities regulators and the global standard setter for financial markets regulation. It </w:t>
      </w:r>
      <w:r w:rsidR="00850BA3" w:rsidRPr="00F15A61">
        <w:rPr>
          <w:rFonts w:ascii="Arial Narrow" w:hAnsi="Arial Narrow"/>
          <w:sz w:val="22"/>
          <w:szCs w:val="22"/>
        </w:rPr>
        <w:t>develops,</w:t>
      </w:r>
      <w:r w:rsidRPr="00F15A61">
        <w:rPr>
          <w:rFonts w:ascii="Arial Narrow" w:hAnsi="Arial Narrow"/>
          <w:sz w:val="22"/>
          <w:szCs w:val="22"/>
        </w:rPr>
        <w:t xml:space="preserve"> implements and promotes adherence to internationally recognized standards for financial markets regulation and works closely with other international organizations on the global regulatory reform agenda</w:t>
      </w:r>
      <w:r w:rsidRPr="00F15A61">
        <w:rPr>
          <w:rStyle w:val="FootnoteReference"/>
          <w:rFonts w:ascii="Arial Narrow" w:hAnsi="Arial Narrow"/>
          <w:sz w:val="22"/>
          <w:szCs w:val="22"/>
        </w:rPr>
        <w:footnoteReference w:id="16"/>
      </w:r>
      <w:r w:rsidRPr="00F15A61">
        <w:rPr>
          <w:rFonts w:ascii="Arial Narrow" w:hAnsi="Arial Narrow"/>
          <w:sz w:val="22"/>
          <w:szCs w:val="22"/>
        </w:rPr>
        <w:t xml:space="preserve">. </w:t>
      </w:r>
      <w:r w:rsidR="00387E00" w:rsidRPr="00F15A61">
        <w:rPr>
          <w:rFonts w:ascii="Arial Narrow" w:hAnsi="Arial Narrow"/>
          <w:sz w:val="22"/>
          <w:szCs w:val="22"/>
        </w:rPr>
        <w:t xml:space="preserve">International securities market standards provide a framework for regulating and supervising securities markets to promote their integrity, efficiency, and transparency. One of the most influential and widely recognized sets of standards is the </w:t>
      </w:r>
      <w:r w:rsidR="00387E00" w:rsidRPr="00F15A61">
        <w:rPr>
          <w:rStyle w:val="Strong"/>
          <w:rFonts w:ascii="Arial Narrow" w:hAnsi="Arial Narrow"/>
          <w:b w:val="0"/>
          <w:sz w:val="22"/>
          <w:szCs w:val="22"/>
        </w:rPr>
        <w:t>Objectives and Principles of Securities Regulation</w:t>
      </w:r>
      <w:r w:rsidR="00387E00" w:rsidRPr="00F15A61">
        <w:rPr>
          <w:rFonts w:ascii="Arial Narrow" w:hAnsi="Arial Narrow"/>
          <w:b/>
          <w:sz w:val="22"/>
          <w:szCs w:val="22"/>
        </w:rPr>
        <w:t xml:space="preserve"> </w:t>
      </w:r>
      <w:r w:rsidR="00387E00" w:rsidRPr="00F15A61">
        <w:rPr>
          <w:rFonts w:ascii="Arial Narrow" w:hAnsi="Arial Narrow"/>
          <w:sz w:val="22"/>
          <w:szCs w:val="22"/>
        </w:rPr>
        <w:t>developed by the</w:t>
      </w:r>
      <w:r w:rsidR="00387E00" w:rsidRPr="00F15A61">
        <w:rPr>
          <w:rFonts w:ascii="Arial Narrow" w:hAnsi="Arial Narrow"/>
          <w:b/>
          <w:sz w:val="22"/>
          <w:szCs w:val="22"/>
        </w:rPr>
        <w:t xml:space="preserve"> </w:t>
      </w:r>
      <w:r w:rsidR="00387E00" w:rsidRPr="00F15A61">
        <w:rPr>
          <w:rStyle w:val="Strong"/>
          <w:rFonts w:ascii="Arial Narrow" w:hAnsi="Arial Narrow"/>
          <w:b w:val="0"/>
          <w:sz w:val="22"/>
          <w:szCs w:val="22"/>
        </w:rPr>
        <w:t>International Organization of Securities</w:t>
      </w:r>
      <w:r w:rsidR="00387E00" w:rsidRPr="00F15A61">
        <w:rPr>
          <w:rStyle w:val="Strong"/>
          <w:rFonts w:ascii="Arial Narrow" w:hAnsi="Arial Narrow"/>
          <w:sz w:val="22"/>
          <w:szCs w:val="22"/>
        </w:rPr>
        <w:t xml:space="preserve"> </w:t>
      </w:r>
      <w:r w:rsidR="00387E00" w:rsidRPr="00F15A61">
        <w:rPr>
          <w:rStyle w:val="Strong"/>
          <w:rFonts w:ascii="Arial Narrow" w:hAnsi="Arial Narrow"/>
          <w:b w:val="0"/>
          <w:sz w:val="22"/>
          <w:szCs w:val="22"/>
        </w:rPr>
        <w:t>Commissions (IOSCO)</w:t>
      </w:r>
      <w:r w:rsidR="00850BA3" w:rsidRPr="00F15A61">
        <w:rPr>
          <w:rStyle w:val="FootnoteReference"/>
          <w:rFonts w:ascii="Arial Narrow" w:hAnsi="Arial Narrow"/>
          <w:bCs/>
          <w:sz w:val="22"/>
          <w:szCs w:val="22"/>
        </w:rPr>
        <w:footnoteReference w:id="17"/>
      </w:r>
      <w:r w:rsidR="00387E00" w:rsidRPr="00F15A61">
        <w:rPr>
          <w:rFonts w:ascii="Arial Narrow" w:hAnsi="Arial Narrow"/>
          <w:b/>
          <w:sz w:val="22"/>
          <w:szCs w:val="22"/>
        </w:rPr>
        <w:t>.</w:t>
      </w:r>
      <w:r w:rsidR="00387E00" w:rsidRPr="00F15A61">
        <w:rPr>
          <w:rFonts w:ascii="Arial Narrow" w:hAnsi="Arial Narrow"/>
          <w:sz w:val="22"/>
          <w:szCs w:val="22"/>
        </w:rPr>
        <w:t xml:space="preserve"> </w:t>
      </w:r>
      <w:r w:rsidR="00850BA3" w:rsidRPr="00F15A61">
        <w:rPr>
          <w:rFonts w:ascii="Arial Narrow" w:hAnsi="Arial Narrow"/>
          <w:sz w:val="22"/>
          <w:szCs w:val="22"/>
        </w:rPr>
        <w:t>The</w:t>
      </w:r>
      <w:r w:rsidR="00387E00" w:rsidRPr="00F15A61">
        <w:rPr>
          <w:rFonts w:ascii="Arial Narrow" w:hAnsi="Arial Narrow"/>
          <w:sz w:val="22"/>
          <w:szCs w:val="22"/>
        </w:rPr>
        <w:t xml:space="preserve"> IOSCO Principles outline 38 key principles organized into three main objectives: protecting investors, ensuring that markets are fair, efficient and transparent, and reducing </w:t>
      </w:r>
      <w:r w:rsidR="00387E00" w:rsidRPr="00F15A61">
        <w:rPr>
          <w:rFonts w:ascii="Arial Narrow" w:hAnsi="Arial Narrow"/>
          <w:sz w:val="22"/>
          <w:szCs w:val="22"/>
        </w:rPr>
        <w:lastRenderedPageBreak/>
        <w:t>systemic risk</w:t>
      </w:r>
      <w:r w:rsidR="00850BA3" w:rsidRPr="00F15A61">
        <w:rPr>
          <w:rStyle w:val="FootnoteReference"/>
          <w:rFonts w:ascii="Arial Narrow" w:hAnsi="Arial Narrow"/>
          <w:sz w:val="22"/>
          <w:szCs w:val="22"/>
        </w:rPr>
        <w:footnoteReference w:id="18"/>
      </w:r>
      <w:r w:rsidR="00387E00" w:rsidRPr="00F15A61">
        <w:rPr>
          <w:rFonts w:ascii="Arial Narrow" w:hAnsi="Arial Narrow"/>
          <w:sz w:val="22"/>
          <w:szCs w:val="22"/>
        </w:rPr>
        <w:t>. These principles serve as a global benchmark for securities regulators to design, implement, and enforce effective regulatory frameworks.</w:t>
      </w:r>
    </w:p>
    <w:p w14:paraId="541BB238" w14:textId="77777777" w:rsidR="00387E00" w:rsidRPr="00F15A61" w:rsidRDefault="00387E00" w:rsidP="00F15A61">
      <w:pPr>
        <w:pStyle w:val="NormalWeb"/>
        <w:spacing w:before="0" w:beforeAutospacing="0" w:after="0" w:afterAutospacing="0"/>
        <w:jc w:val="both"/>
        <w:rPr>
          <w:rFonts w:ascii="Arial Narrow" w:hAnsi="Arial Narrow"/>
          <w:sz w:val="22"/>
          <w:szCs w:val="22"/>
          <w:shd w:val="clear" w:color="auto" w:fill="FFFFFF"/>
        </w:rPr>
      </w:pPr>
    </w:p>
    <w:p w14:paraId="4590F31F" w14:textId="77777777" w:rsidR="00387E00"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 xml:space="preserve">In addition to IOSCO, other international standards complement these principles. For example, the </w:t>
      </w:r>
      <w:r w:rsidRPr="00F15A61">
        <w:rPr>
          <w:rStyle w:val="Strong"/>
          <w:rFonts w:ascii="Arial Narrow" w:hAnsi="Arial Narrow"/>
          <w:b w:val="0"/>
          <w:sz w:val="22"/>
          <w:szCs w:val="22"/>
        </w:rPr>
        <w:t>International Financial Reporting Standards (IFRS)</w:t>
      </w:r>
      <w:r w:rsidRPr="00F15A61">
        <w:rPr>
          <w:rFonts w:ascii="Arial Narrow" w:hAnsi="Arial Narrow"/>
          <w:b/>
          <w:sz w:val="22"/>
          <w:szCs w:val="22"/>
        </w:rPr>
        <w:t>,</w:t>
      </w:r>
      <w:r w:rsidRPr="00F15A61">
        <w:rPr>
          <w:rFonts w:ascii="Arial Narrow" w:hAnsi="Arial Narrow"/>
          <w:sz w:val="22"/>
          <w:szCs w:val="22"/>
        </w:rPr>
        <w:t xml:space="preserve"> issued by </w:t>
      </w:r>
      <w:r w:rsidRPr="00F15A61">
        <w:rPr>
          <w:rFonts w:ascii="Arial Narrow" w:hAnsi="Arial Narrow"/>
          <w:sz w:val="22"/>
          <w:szCs w:val="22"/>
          <w:shd w:val="clear" w:color="auto" w:fill="FFFFFF"/>
        </w:rPr>
        <w:t>International Financial Reporting Standards (IFRS) are issued by the International Accounting Standards Board (IASB)</w:t>
      </w:r>
      <w:r w:rsidRPr="00F15A61">
        <w:rPr>
          <w:rStyle w:val="FootnoteReference"/>
          <w:rFonts w:ascii="Arial Narrow" w:hAnsi="Arial Narrow"/>
          <w:sz w:val="22"/>
          <w:szCs w:val="22"/>
          <w:shd w:val="clear" w:color="auto" w:fill="FFFFFF"/>
        </w:rPr>
        <w:footnoteReference w:id="19"/>
      </w:r>
      <w:r w:rsidRPr="00F15A61">
        <w:rPr>
          <w:rFonts w:ascii="Arial Narrow" w:hAnsi="Arial Narrow"/>
          <w:sz w:val="22"/>
          <w:szCs w:val="22"/>
          <w:shd w:val="clear" w:color="auto" w:fill="FFFFFF"/>
        </w:rPr>
        <w:t>.</w:t>
      </w:r>
      <w:r w:rsidR="005C1EE5" w:rsidRPr="00F15A61">
        <w:rPr>
          <w:rFonts w:ascii="Arial Narrow" w:hAnsi="Arial Narrow"/>
          <w:sz w:val="22"/>
          <w:szCs w:val="22"/>
          <w:shd w:val="clear" w:color="auto" w:fill="FFFFFF"/>
        </w:rPr>
        <w:t xml:space="preserve"> </w:t>
      </w:r>
      <w:r w:rsidRPr="00F15A61">
        <w:rPr>
          <w:rFonts w:ascii="Arial Narrow" w:hAnsi="Arial Narrow"/>
          <w:sz w:val="22"/>
          <w:szCs w:val="22"/>
        </w:rPr>
        <w:t xml:space="preserve">Furthermore, the </w:t>
      </w:r>
      <w:r w:rsidRPr="00F15A61">
        <w:rPr>
          <w:rStyle w:val="Strong"/>
          <w:rFonts w:ascii="Arial Narrow" w:hAnsi="Arial Narrow"/>
          <w:b w:val="0"/>
          <w:sz w:val="22"/>
          <w:szCs w:val="22"/>
        </w:rPr>
        <w:t>Financial Action Task Force (FATF)</w:t>
      </w:r>
      <w:r w:rsidRPr="00F15A61">
        <w:rPr>
          <w:rFonts w:ascii="Arial Narrow" w:hAnsi="Arial Narrow"/>
          <w:sz w:val="22"/>
          <w:szCs w:val="22"/>
        </w:rPr>
        <w:t xml:space="preserve"> provides recommendations to combat money laundering and terrorist financing, which have significant implications for securities markets as channels for illicit financial flows</w:t>
      </w:r>
      <w:r w:rsidR="005C1EE5" w:rsidRPr="00F15A61">
        <w:rPr>
          <w:rFonts w:ascii="Arial Narrow" w:hAnsi="Arial Narrow"/>
          <w:sz w:val="22"/>
          <w:szCs w:val="22"/>
        </w:rPr>
        <w:t xml:space="preserve">. FATF is </w:t>
      </w:r>
      <w:r w:rsidR="005C1EE5" w:rsidRPr="00F15A61">
        <w:rPr>
          <w:rFonts w:ascii="Arial Narrow" w:hAnsi="Arial Narrow"/>
          <w:sz w:val="22"/>
          <w:szCs w:val="22"/>
          <w:shd w:val="clear" w:color="auto" w:fill="FFFFFF"/>
        </w:rPr>
        <w:t>critical tool that helps prevent terrorists and other illicit actors from abusing domestic and international financial systems</w:t>
      </w:r>
      <w:r w:rsidR="005C1EE5" w:rsidRPr="00F15A61">
        <w:rPr>
          <w:rStyle w:val="FootnoteReference"/>
          <w:rFonts w:ascii="Arial Narrow" w:hAnsi="Arial Narrow"/>
          <w:sz w:val="22"/>
          <w:szCs w:val="22"/>
          <w:shd w:val="clear" w:color="auto" w:fill="FFFFFF"/>
        </w:rPr>
        <w:footnoteReference w:id="20"/>
      </w:r>
      <w:r w:rsidRPr="00F15A61">
        <w:rPr>
          <w:rFonts w:ascii="Arial Narrow" w:hAnsi="Arial Narrow"/>
          <w:sz w:val="22"/>
          <w:szCs w:val="22"/>
        </w:rPr>
        <w:t>. These standards collectively contribute to strengthening market confidence and facilitating cross-border investment by harmonizing regulatory expectations</w:t>
      </w:r>
    </w:p>
    <w:p w14:paraId="64CBD1DD" w14:textId="77777777" w:rsidR="00850BA3"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p>
    <w:p w14:paraId="7A3EF0CF" w14:textId="77777777" w:rsidR="00850BA3"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The International Organization of Securities Commissions (IOSCO) serves as a critical reference point for jurisdictions with securities markets, providing globally recognized standards that guide the development of effective regulatory frameworks. While IOSCO standards are not legally binding, jurisdictions are expected to align their national securities laws and regulatory practices with these principles to promote consistency, transparency, and investor protection across global markets. Adhering to IOSCO standards demonstrates a jurisdiction’s commitment to international best practices, thereby enhancing market credibility, facilitating cross-border investment, and contributing to the overall stability and integrity of the global financial system.</w:t>
      </w:r>
    </w:p>
    <w:p w14:paraId="5BA93A1F" w14:textId="77777777"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14:paraId="06279A19" w14:textId="77777777" w:rsidR="00807731" w:rsidRPr="00F15A61" w:rsidRDefault="00DA241E"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Compliance with IOSCO standards plays a vital role in promoting and enhancing cross-border trading of securities. This is because investors and companies seeking to raise capital increasingly operate across multiple jurisdictions and may pursue cross-listing of their securities in foreign markets. By aligning national regulatory frameworks with internationally recognized IOSCO principles, jurisdictions foster greater investor confidence, reduce regulatory arbitrage, and facilitate smoother access to global capital markets.</w:t>
      </w:r>
    </w:p>
    <w:p w14:paraId="384F5499" w14:textId="77777777"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14:paraId="566D4F2B" w14:textId="77777777"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Cross-listing regulation plays a crucial role in overcoming international investment barriers. Evidence from country-level cross-sectional analyses suggests that this effect is more pronounced for firms based in countries with weaker investor protection and less developed stock markets during the performance period</w:t>
      </w:r>
      <w:r w:rsidRPr="00F15A61">
        <w:rPr>
          <w:rStyle w:val="FootnoteReference"/>
          <w:rFonts w:ascii="Arial Narrow" w:hAnsi="Arial Narrow"/>
          <w:sz w:val="22"/>
          <w:szCs w:val="22"/>
        </w:rPr>
        <w:footnoteReference w:id="21"/>
      </w:r>
      <w:r w:rsidRPr="00F15A61">
        <w:rPr>
          <w:rFonts w:ascii="Arial Narrow" w:hAnsi="Arial Narrow"/>
          <w:sz w:val="22"/>
          <w:szCs w:val="22"/>
        </w:rPr>
        <w:t>. Reforms tend to have a stronger impact on firms that receive limited analyst coverage and are more reliant on external financing. At the national level, corporate governance is a significant determinant in facilitating the inflow of cross-border capital, which, in turn, incentivizes firms to cross-list</w:t>
      </w:r>
      <w:r w:rsidRPr="00F15A61">
        <w:rPr>
          <w:rStyle w:val="FootnoteReference"/>
          <w:rFonts w:ascii="Arial Narrow" w:hAnsi="Arial Narrow"/>
          <w:sz w:val="22"/>
          <w:szCs w:val="22"/>
        </w:rPr>
        <w:footnoteReference w:id="22"/>
      </w:r>
      <w:r w:rsidRPr="00F15A61">
        <w:rPr>
          <w:rFonts w:ascii="Arial Narrow" w:hAnsi="Arial Narrow"/>
          <w:sz w:val="22"/>
          <w:szCs w:val="22"/>
        </w:rPr>
        <w:t>. Therefore, countries lacking well-developed capital markets should strengthen their corporate governance frameworks to enhance firms’ access to external financing and attract international capital flows.</w:t>
      </w:r>
    </w:p>
    <w:p w14:paraId="3A82F971" w14:textId="77777777" w:rsidR="00572083" w:rsidRPr="00F15A61" w:rsidRDefault="00572083" w:rsidP="00F15A61">
      <w:pPr>
        <w:pStyle w:val="NormalWeb"/>
        <w:spacing w:before="0" w:beforeAutospacing="0" w:after="0" w:afterAutospacing="0"/>
        <w:jc w:val="both"/>
        <w:rPr>
          <w:rFonts w:ascii="Arial Narrow" w:hAnsi="Arial Narrow"/>
          <w:sz w:val="22"/>
          <w:szCs w:val="22"/>
        </w:rPr>
      </w:pPr>
    </w:p>
    <w:p w14:paraId="4DA82F34" w14:textId="77777777"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BRICS nations are increasingly central to the global economy. However, to ensure sustained economic growth, they must continually address key challenges related to governance, encompassing political, socio-economic, and legal domains</w:t>
      </w:r>
      <w:r w:rsidRPr="00F15A61">
        <w:rPr>
          <w:rStyle w:val="FootnoteReference"/>
          <w:rFonts w:ascii="Arial Narrow" w:hAnsi="Arial Narrow"/>
          <w:sz w:val="22"/>
          <w:szCs w:val="22"/>
        </w:rPr>
        <w:footnoteReference w:id="23"/>
      </w:r>
      <w:r w:rsidRPr="00F15A61">
        <w:rPr>
          <w:rFonts w:ascii="Arial Narrow" w:hAnsi="Arial Narrow"/>
          <w:sz w:val="22"/>
          <w:szCs w:val="22"/>
        </w:rPr>
        <w:t>.The rationale for establishing and adhering to international securities market standards stems from the increasingly globalized and interconnected nature of securities markets</w:t>
      </w:r>
      <w:r w:rsidR="00572083" w:rsidRPr="00F15A61">
        <w:rPr>
          <w:rStyle w:val="FootnoteReference"/>
          <w:rFonts w:ascii="Arial Narrow" w:hAnsi="Arial Narrow"/>
          <w:sz w:val="22"/>
          <w:szCs w:val="22"/>
        </w:rPr>
        <w:footnoteReference w:id="24"/>
      </w:r>
      <w:r w:rsidRPr="00F15A61">
        <w:rPr>
          <w:rFonts w:ascii="Arial Narrow" w:hAnsi="Arial Narrow"/>
          <w:sz w:val="22"/>
          <w:szCs w:val="22"/>
        </w:rPr>
        <w:t xml:space="preserve">. In today’s environment, cross-border investment flows have rendered national securities markets interdependent and subject to the influence of diverse </w:t>
      </w:r>
      <w:r w:rsidRPr="00F15A61">
        <w:rPr>
          <w:rFonts w:ascii="Arial Narrow" w:hAnsi="Arial Narrow"/>
          <w:sz w:val="22"/>
          <w:szCs w:val="22"/>
        </w:rPr>
        <w:lastRenderedPageBreak/>
        <w:t>regulatory frameworks. Inconsistent or weak regulation in one jurisdiction can introduce systemic risks and jeopardize global financial stability. Accordingly, international standards serve as benchmarks to help countries develop robust regulatory frameworks that promote cooperation, facilitate information sharing, and enhance enforcement efforts across borders.</w:t>
      </w:r>
    </w:p>
    <w:p w14:paraId="4827BED9" w14:textId="77777777" w:rsidR="00572083" w:rsidRPr="00F15A61" w:rsidRDefault="00572083" w:rsidP="00F15A61">
      <w:pPr>
        <w:pStyle w:val="NormalWeb"/>
        <w:spacing w:before="0" w:beforeAutospacing="0" w:after="0" w:afterAutospacing="0"/>
        <w:jc w:val="both"/>
        <w:rPr>
          <w:rFonts w:ascii="Arial Narrow" w:hAnsi="Arial Narrow"/>
          <w:sz w:val="22"/>
          <w:szCs w:val="22"/>
        </w:rPr>
      </w:pPr>
    </w:p>
    <w:p w14:paraId="37D16652" w14:textId="77777777"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Globalization and technological advancements have amplified information spillovers across stock markets, arising from both macroeconomic and firm-level variables</w:t>
      </w:r>
      <w:r w:rsidR="00572083" w:rsidRPr="00F15A61">
        <w:rPr>
          <w:rStyle w:val="FootnoteReference"/>
          <w:rFonts w:ascii="Arial Narrow" w:hAnsi="Arial Narrow"/>
          <w:sz w:val="22"/>
          <w:szCs w:val="22"/>
        </w:rPr>
        <w:footnoteReference w:id="25"/>
      </w:r>
      <w:r w:rsidRPr="00F15A61">
        <w:rPr>
          <w:rFonts w:ascii="Arial Narrow" w:hAnsi="Arial Narrow"/>
          <w:sz w:val="22"/>
          <w:szCs w:val="22"/>
        </w:rPr>
        <w:t xml:space="preserve">. Despite this, comprehensive reviews examining how such variables influence stock market volatility remain scarce. International standards aim to address these challenges by correcting market failures and </w:t>
      </w:r>
      <w:r w:rsidR="00D2600D" w:rsidRPr="00F15A61">
        <w:rPr>
          <w:rFonts w:ascii="Arial Narrow" w:hAnsi="Arial Narrow"/>
          <w:sz w:val="22"/>
          <w:szCs w:val="22"/>
        </w:rPr>
        <w:t xml:space="preserve">reducing asymmetric information </w:t>
      </w:r>
      <w:r w:rsidRPr="00F15A61">
        <w:rPr>
          <w:rFonts w:ascii="Arial Narrow" w:hAnsi="Arial Narrow"/>
          <w:sz w:val="22"/>
          <w:szCs w:val="22"/>
        </w:rPr>
        <w:t>persistent issues in securities markets. By mandating the timely, accurate, and comprehensive disclosure of information by issuers, these standards promote fairness among investors and reduce the incidence of fraud, insider trading, and market manipulation.</w:t>
      </w:r>
    </w:p>
    <w:p w14:paraId="774F294F" w14:textId="77777777" w:rsidR="00D2600D" w:rsidRPr="00F15A61" w:rsidRDefault="00D2600D" w:rsidP="00F15A61">
      <w:pPr>
        <w:pStyle w:val="NormalWeb"/>
        <w:spacing w:before="0" w:beforeAutospacing="0" w:after="0" w:afterAutospacing="0"/>
        <w:jc w:val="both"/>
        <w:rPr>
          <w:rFonts w:ascii="Arial Narrow" w:hAnsi="Arial Narrow"/>
          <w:sz w:val="22"/>
          <w:szCs w:val="22"/>
        </w:rPr>
      </w:pPr>
    </w:p>
    <w:p w14:paraId="32F0AD84" w14:textId="77777777"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Furthermore, international benchmarks encourage the adoption of sound market infrastructures, including transparent trading platforms and efficient clearing and settlement systems. These elements are essential to ensuring market efficiency and sustaining investor confidence. In the absence of such standards, securities markets risk becoming opaque, ineffi</w:t>
      </w:r>
      <w:r w:rsidR="00D2600D" w:rsidRPr="00F15A61">
        <w:rPr>
          <w:rFonts w:ascii="Arial Narrow" w:hAnsi="Arial Narrow"/>
          <w:sz w:val="22"/>
          <w:szCs w:val="22"/>
        </w:rPr>
        <w:t xml:space="preserve">cient, and vulnerable to crises </w:t>
      </w:r>
      <w:r w:rsidRPr="00F15A61">
        <w:rPr>
          <w:rFonts w:ascii="Arial Narrow" w:hAnsi="Arial Narrow"/>
          <w:sz w:val="22"/>
          <w:szCs w:val="22"/>
        </w:rPr>
        <w:t>ultimately deterring investment and impeding economic development</w:t>
      </w:r>
    </w:p>
    <w:p w14:paraId="563D777F" w14:textId="77777777" w:rsidR="008D7C73" w:rsidRPr="00F15A61" w:rsidRDefault="008D7C73" w:rsidP="00F15A61">
      <w:pPr>
        <w:pStyle w:val="Heading3"/>
        <w:tabs>
          <w:tab w:val="left" w:pos="4050"/>
        </w:tabs>
        <w:spacing w:before="0" w:beforeAutospacing="0" w:after="0" w:afterAutospacing="0"/>
        <w:jc w:val="both"/>
        <w:rPr>
          <w:rFonts w:ascii="Arial Narrow" w:hAnsi="Arial Narrow"/>
          <w:sz w:val="22"/>
          <w:szCs w:val="22"/>
        </w:rPr>
      </w:pPr>
    </w:p>
    <w:p w14:paraId="0F1E151D"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Relevance for Investor Protection, Transparency, and Fair Markets</w:t>
      </w:r>
    </w:p>
    <w:p w14:paraId="101CA213" w14:textId="77777777"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Investor protection is a cornerstone of international securities market standards, as regulators worldwide prioritize safeguarding market participants. Empirical legal analysis of securities firms across 34 countries provides evidence that fair value measurements regardless of their level within the fair value hierarchy are value-relevant in jurisdictions with strong or moderate investor protection environments</w:t>
      </w:r>
      <w:r w:rsidRPr="00F15A61">
        <w:rPr>
          <w:rStyle w:val="FootnoteReference"/>
          <w:rFonts w:ascii="Arial Narrow" w:hAnsi="Arial Narrow"/>
          <w:sz w:val="22"/>
          <w:szCs w:val="22"/>
        </w:rPr>
        <w:footnoteReference w:id="26"/>
      </w:r>
      <w:r w:rsidRPr="00F15A61">
        <w:rPr>
          <w:rFonts w:ascii="Arial Narrow" w:hAnsi="Arial Narrow"/>
          <w:sz w:val="22"/>
          <w:szCs w:val="22"/>
        </w:rPr>
        <w:t>. Conversely, in countries with weaker investor protection, only market-based prices (Level 1) are considered re</w:t>
      </w:r>
      <w:r w:rsidR="00CF0E3D" w:rsidRPr="00F15A61">
        <w:rPr>
          <w:rFonts w:ascii="Arial Narrow" w:hAnsi="Arial Narrow"/>
          <w:sz w:val="22"/>
          <w:szCs w:val="22"/>
        </w:rPr>
        <w:t>levant by investors</w:t>
      </w:r>
      <w:r w:rsidR="00CF0E3D" w:rsidRPr="00F15A61">
        <w:rPr>
          <w:rStyle w:val="FootnoteReference"/>
          <w:rFonts w:ascii="Arial Narrow" w:hAnsi="Arial Narrow"/>
          <w:sz w:val="22"/>
          <w:szCs w:val="22"/>
        </w:rPr>
        <w:footnoteReference w:id="27"/>
      </w:r>
      <w:r w:rsidRPr="00F15A61">
        <w:rPr>
          <w:rFonts w:ascii="Arial Narrow" w:hAnsi="Arial Narrow"/>
          <w:sz w:val="22"/>
          <w:szCs w:val="22"/>
        </w:rPr>
        <w:t xml:space="preserve">. Moreover, the disparity in value relevance between Level 1 market prices and Level 3 fair value estimates narrows as the quality of investor </w:t>
      </w:r>
      <w:r w:rsidR="00CF0E3D" w:rsidRPr="00F15A61">
        <w:rPr>
          <w:rFonts w:ascii="Arial Narrow" w:hAnsi="Arial Narrow"/>
          <w:sz w:val="22"/>
          <w:szCs w:val="22"/>
        </w:rPr>
        <w:t>protection improves</w:t>
      </w:r>
      <w:r w:rsidR="00CF0E3D" w:rsidRPr="00F15A61">
        <w:rPr>
          <w:rStyle w:val="FootnoteReference"/>
          <w:rFonts w:ascii="Arial Narrow" w:hAnsi="Arial Narrow"/>
          <w:sz w:val="22"/>
          <w:szCs w:val="22"/>
        </w:rPr>
        <w:footnoteReference w:id="28"/>
      </w:r>
      <w:r w:rsidRPr="00F15A61">
        <w:rPr>
          <w:rFonts w:ascii="Arial Narrow" w:hAnsi="Arial Narrow"/>
          <w:sz w:val="22"/>
          <w:szCs w:val="22"/>
        </w:rPr>
        <w:t>.</w:t>
      </w:r>
      <w:r w:rsidR="00CF0E3D" w:rsidRPr="00F15A61">
        <w:rPr>
          <w:rFonts w:ascii="Arial Narrow" w:hAnsi="Arial Narrow"/>
          <w:sz w:val="22"/>
          <w:szCs w:val="22"/>
        </w:rPr>
        <w:t xml:space="preserve"> </w:t>
      </w:r>
      <w:r w:rsidRPr="00F15A61">
        <w:rPr>
          <w:rFonts w:ascii="Arial Narrow" w:hAnsi="Arial Narrow"/>
          <w:sz w:val="22"/>
          <w:szCs w:val="22"/>
        </w:rPr>
        <w:t>These findings underscore the importance of regulatory standards that prioritize transparency and fairness in financial reporting and market behavior. International benchmarks, such as IOSCO’s princ</w:t>
      </w:r>
      <w:r w:rsidR="00CF0E3D" w:rsidRPr="00F15A61">
        <w:rPr>
          <w:rFonts w:ascii="Arial Narrow" w:hAnsi="Arial Narrow"/>
          <w:sz w:val="22"/>
          <w:szCs w:val="22"/>
        </w:rPr>
        <w:t xml:space="preserve">iples, recognize that investors </w:t>
      </w:r>
      <w:r w:rsidRPr="00F15A61">
        <w:rPr>
          <w:rFonts w:ascii="Arial Narrow" w:hAnsi="Arial Narrow"/>
          <w:sz w:val="22"/>
          <w:szCs w:val="22"/>
        </w:rPr>
        <w:t>particularly retail and less sophistica</w:t>
      </w:r>
      <w:r w:rsidR="00CF0E3D" w:rsidRPr="00F15A61">
        <w:rPr>
          <w:rFonts w:ascii="Arial Narrow" w:hAnsi="Arial Narrow"/>
          <w:sz w:val="22"/>
          <w:szCs w:val="22"/>
        </w:rPr>
        <w:t xml:space="preserve">ted one </w:t>
      </w:r>
      <w:r w:rsidRPr="00F15A61">
        <w:rPr>
          <w:rFonts w:ascii="Arial Narrow" w:hAnsi="Arial Narrow"/>
          <w:sz w:val="22"/>
          <w:szCs w:val="22"/>
        </w:rPr>
        <w:t>are vulnerable to risks stemming from misinformation, conflicts of interest, and f</w:t>
      </w:r>
      <w:r w:rsidR="00CF0E3D" w:rsidRPr="00F15A61">
        <w:rPr>
          <w:rFonts w:ascii="Arial Narrow" w:hAnsi="Arial Narrow"/>
          <w:sz w:val="22"/>
          <w:szCs w:val="22"/>
        </w:rPr>
        <w:t xml:space="preserve">raudulent activities </w:t>
      </w:r>
      <w:r w:rsidRPr="00F15A61">
        <w:rPr>
          <w:rFonts w:ascii="Arial Narrow" w:hAnsi="Arial Narrow"/>
          <w:sz w:val="22"/>
          <w:szCs w:val="22"/>
        </w:rPr>
        <w:t>. As such, IOSCO emphasizes the establishment of regulatory frameworks that enforce robust disclosure requirements, prohibit manipulative practices, and guarantee access to effective investor</w:t>
      </w:r>
      <w:r w:rsidR="00CF0E3D" w:rsidRPr="00F15A61">
        <w:rPr>
          <w:rFonts w:ascii="Arial Narrow" w:hAnsi="Arial Narrow"/>
          <w:sz w:val="22"/>
          <w:szCs w:val="22"/>
        </w:rPr>
        <w:t xml:space="preserve"> redress mechanisms</w:t>
      </w:r>
      <w:r w:rsidRPr="00F15A61">
        <w:rPr>
          <w:rFonts w:ascii="Arial Narrow" w:hAnsi="Arial Narrow"/>
          <w:sz w:val="22"/>
          <w:szCs w:val="22"/>
        </w:rPr>
        <w:t xml:space="preserve">. </w:t>
      </w:r>
    </w:p>
    <w:p w14:paraId="358270A5" w14:textId="77777777" w:rsidR="00CF0E3D" w:rsidRPr="00F15A61" w:rsidRDefault="00CF0E3D" w:rsidP="00F15A61">
      <w:pPr>
        <w:pStyle w:val="NormalWeb"/>
        <w:spacing w:before="0" w:beforeAutospacing="0" w:after="0" w:afterAutospacing="0"/>
        <w:jc w:val="both"/>
        <w:rPr>
          <w:rFonts w:ascii="Arial Narrow" w:hAnsi="Arial Narrow"/>
          <w:sz w:val="22"/>
          <w:szCs w:val="22"/>
        </w:rPr>
      </w:pPr>
    </w:p>
    <w:p w14:paraId="68283731" w14:textId="77777777"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Additionally, the standards advocate for proactive initiatives like investor education and awareness programs, which aim to empower market participants to make informed in</w:t>
      </w:r>
      <w:r w:rsidR="00CF0E3D" w:rsidRPr="00F15A61">
        <w:rPr>
          <w:rFonts w:ascii="Arial Narrow" w:hAnsi="Arial Narrow"/>
          <w:sz w:val="22"/>
          <w:szCs w:val="22"/>
        </w:rPr>
        <w:t xml:space="preserve">vestment decisions. Scholars </w:t>
      </w:r>
      <w:r w:rsidR="00CF0E3D" w:rsidRPr="00F15A61">
        <w:rPr>
          <w:rFonts w:ascii="Arial Narrow" w:hAnsi="Arial Narrow"/>
          <w:sz w:val="22"/>
          <w:szCs w:val="22"/>
          <w:shd w:val="clear" w:color="auto" w:fill="FFFFFF"/>
        </w:rPr>
        <w:t>argue that prioritizing financial literacy programs, while expanding technology access to facilitate broader market participation enhances investor confidence in securities markets.</w:t>
      </w:r>
      <w:r w:rsidR="00CF0E3D" w:rsidRPr="00F15A61">
        <w:rPr>
          <w:rStyle w:val="FootnoteReference"/>
          <w:rFonts w:ascii="Arial Narrow" w:hAnsi="Arial Narrow"/>
          <w:sz w:val="22"/>
          <w:szCs w:val="22"/>
          <w:shd w:val="clear" w:color="auto" w:fill="FFFFFF"/>
        </w:rPr>
        <w:footnoteReference w:id="29"/>
      </w:r>
      <w:r w:rsidR="00CF0E3D" w:rsidRPr="00F15A61">
        <w:rPr>
          <w:rFonts w:ascii="Arial Narrow" w:hAnsi="Arial Narrow"/>
          <w:sz w:val="22"/>
          <w:szCs w:val="22"/>
          <w:shd w:val="clear" w:color="auto" w:fill="FFFFFF"/>
        </w:rPr>
        <w:t xml:space="preserve"> Efforts to reduce transaction costs and address liquidity constraints can further encourage individual investors</w:t>
      </w:r>
      <w:r w:rsidR="00CF0E3D" w:rsidRPr="00F15A61">
        <w:rPr>
          <w:rStyle w:val="FootnoteReference"/>
          <w:rFonts w:ascii="Arial Narrow" w:hAnsi="Arial Narrow"/>
          <w:sz w:val="22"/>
          <w:szCs w:val="22"/>
          <w:shd w:val="clear" w:color="auto" w:fill="FFFFFF"/>
        </w:rPr>
        <w:footnoteReference w:id="30"/>
      </w:r>
      <w:r w:rsidR="00CF0E3D" w:rsidRPr="00F15A61">
        <w:rPr>
          <w:rFonts w:ascii="Arial Narrow" w:hAnsi="Arial Narrow"/>
          <w:sz w:val="22"/>
          <w:szCs w:val="22"/>
          <w:shd w:val="clear" w:color="auto" w:fill="FFFFFF"/>
        </w:rPr>
        <w:t>. Enhancing social interaction platforms within investment communities will foster greater engagement, contributing to a more inclusive and vibrant stock market in Tanzania.</w:t>
      </w:r>
      <w:r w:rsidR="00CF0E3D" w:rsidRPr="00F15A61">
        <w:rPr>
          <w:rStyle w:val="FootnoteReference"/>
          <w:rFonts w:ascii="Arial Narrow" w:hAnsi="Arial Narrow"/>
          <w:sz w:val="22"/>
          <w:szCs w:val="22"/>
          <w:shd w:val="clear" w:color="auto" w:fill="FFFFFF"/>
        </w:rPr>
        <w:footnoteReference w:id="31"/>
      </w:r>
      <w:r w:rsidR="00CF0E3D" w:rsidRPr="00F15A61">
        <w:rPr>
          <w:rFonts w:ascii="Arial Narrow" w:hAnsi="Arial Narrow"/>
          <w:sz w:val="22"/>
          <w:szCs w:val="22"/>
          <w:shd w:val="clear" w:color="auto" w:fill="FFFFFF"/>
        </w:rPr>
        <w:t xml:space="preserve"> For example in Tanzania, Enhancing awareness of the Dar es Salaam Stock Exchange (DSE) and fostering social interactions are </w:t>
      </w:r>
      <w:r w:rsidR="00CF0E3D" w:rsidRPr="00F15A61">
        <w:rPr>
          <w:rFonts w:ascii="Arial Narrow" w:hAnsi="Arial Narrow"/>
          <w:sz w:val="22"/>
          <w:szCs w:val="22"/>
          <w:shd w:val="clear" w:color="auto" w:fill="FFFFFF"/>
        </w:rPr>
        <w:lastRenderedPageBreak/>
        <w:t xml:space="preserve">essential to increase investment. </w:t>
      </w:r>
      <w:r w:rsidR="00076E79" w:rsidRPr="00F15A61">
        <w:rPr>
          <w:rFonts w:ascii="Arial Narrow" w:hAnsi="Arial Narrow"/>
          <w:sz w:val="22"/>
          <w:szCs w:val="22"/>
          <w:shd w:val="clear" w:color="auto" w:fill="FFFFFF"/>
        </w:rPr>
        <w:t>Policy interventions are</w:t>
      </w:r>
      <w:r w:rsidR="00CF0E3D" w:rsidRPr="00F15A61">
        <w:rPr>
          <w:rFonts w:ascii="Arial Narrow" w:hAnsi="Arial Narrow"/>
          <w:sz w:val="22"/>
          <w:szCs w:val="22"/>
          <w:shd w:val="clear" w:color="auto" w:fill="FFFFFF"/>
        </w:rPr>
        <w:t xml:space="preserve"> also essential to promote broader stock market participation.</w:t>
      </w:r>
      <w:r w:rsidR="00CF0E3D" w:rsidRPr="00F15A61">
        <w:rPr>
          <w:rStyle w:val="FootnoteReference"/>
          <w:rFonts w:ascii="Arial Narrow" w:hAnsi="Arial Narrow"/>
          <w:sz w:val="22"/>
          <w:szCs w:val="22"/>
          <w:shd w:val="clear" w:color="auto" w:fill="FFFFFF"/>
        </w:rPr>
        <w:footnoteReference w:id="32"/>
      </w:r>
      <w:r w:rsidR="00CF0E3D" w:rsidRPr="00F15A61">
        <w:rPr>
          <w:rFonts w:ascii="Arial Narrow" w:hAnsi="Arial Narrow"/>
          <w:sz w:val="22"/>
          <w:szCs w:val="22"/>
          <w:shd w:val="clear" w:color="auto" w:fill="FFFFFF"/>
        </w:rPr>
        <w:t>.</w:t>
      </w:r>
    </w:p>
    <w:p w14:paraId="69DA370D"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14:paraId="737EEF45" w14:textId="77777777" w:rsidR="006676F4" w:rsidRPr="00F15A61" w:rsidRDefault="006676F4"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Transparency is equally vital for the proper functioning of securities markets, as it ensures accountability and trust.</w:t>
      </w:r>
      <w:r w:rsidRPr="00F15A61">
        <w:rPr>
          <w:rFonts w:ascii="Arial Narrow" w:hAnsi="Arial Narrow"/>
          <w:sz w:val="22"/>
          <w:szCs w:val="22"/>
          <w:shd w:val="clear" w:color="auto" w:fill="FFFFFF"/>
        </w:rPr>
        <w:t xml:space="preserve"> Integrating artificial intelligence (AI) into global financial markets redefines capital allocation, investment management, and risk evaluation processes</w:t>
      </w:r>
      <w:r w:rsidRPr="00F15A61">
        <w:rPr>
          <w:rStyle w:val="FootnoteReference"/>
          <w:rFonts w:ascii="Arial Narrow" w:hAnsi="Arial Narrow"/>
          <w:sz w:val="22"/>
          <w:szCs w:val="22"/>
          <w:shd w:val="clear" w:color="auto" w:fill="FFFFFF"/>
        </w:rPr>
        <w:footnoteReference w:id="33"/>
      </w:r>
      <w:r w:rsidRPr="00F15A61">
        <w:rPr>
          <w:rFonts w:ascii="Arial Narrow" w:hAnsi="Arial Narrow"/>
          <w:sz w:val="22"/>
          <w:szCs w:val="22"/>
          <w:shd w:val="clear" w:color="auto" w:fill="FFFFFF"/>
        </w:rPr>
        <w:t>. However, these innovations bring significant legal and regulatory challenges, including accountability for AI errors, transparency issues in machine learning frameworks, cross-border data governance, and regulatory inconsistencies</w:t>
      </w:r>
      <w:r w:rsidRPr="00F15A61">
        <w:rPr>
          <w:rStyle w:val="FootnoteReference"/>
          <w:rFonts w:ascii="Arial Narrow" w:hAnsi="Arial Narrow"/>
          <w:sz w:val="22"/>
          <w:szCs w:val="22"/>
          <w:shd w:val="clear" w:color="auto" w:fill="FFFFFF"/>
        </w:rPr>
        <w:footnoteReference w:id="34"/>
      </w:r>
      <w:r w:rsidRPr="00F15A61">
        <w:rPr>
          <w:rFonts w:ascii="Arial Narrow" w:hAnsi="Arial Narrow"/>
          <w:sz w:val="22"/>
          <w:szCs w:val="22"/>
          <w:shd w:val="clear" w:color="auto" w:fill="FFFFFF"/>
        </w:rPr>
        <w:t>. These issues are particularly challenging in international financial markets, where differences in jurisdiction amplify legal loopholes, threatening market integrity and overall systemic stability.</w:t>
      </w:r>
      <w:r w:rsidRPr="00F15A61">
        <w:rPr>
          <w:rStyle w:val="FootnoteReference"/>
          <w:rFonts w:ascii="Arial Narrow" w:hAnsi="Arial Narrow"/>
          <w:sz w:val="22"/>
          <w:szCs w:val="22"/>
          <w:shd w:val="clear" w:color="auto" w:fill="FFFFFF"/>
        </w:rPr>
        <w:footnoteReference w:id="35"/>
      </w:r>
      <w:r w:rsidRPr="00F15A61">
        <w:rPr>
          <w:rFonts w:ascii="Arial Narrow" w:hAnsi="Arial Narrow"/>
          <w:sz w:val="22"/>
          <w:szCs w:val="22"/>
          <w:shd w:val="clear" w:color="auto" w:fill="FFFFFF"/>
        </w:rPr>
        <w:t xml:space="preserve"> </w:t>
      </w:r>
      <w:r w:rsidRPr="00F15A61">
        <w:rPr>
          <w:rFonts w:ascii="Arial Narrow" w:hAnsi="Arial Narrow"/>
          <w:sz w:val="22"/>
          <w:szCs w:val="22"/>
        </w:rPr>
        <w:t xml:space="preserve"> The international standards require issuers to provide timely and accurate information about their financial condition, business operations, and material events, enabling investors to assess risks and opportunities effectively. Market transparency also extends to trading activities, where regulators must monitor behavior to prevent abuse and ensure prices reflect genuine supply and demand. This openness reduces information asymmetry, enhances price discovery, and facilitates efficient capital allocation.</w:t>
      </w:r>
    </w:p>
    <w:p w14:paraId="67AE2C71"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14:paraId="1FEBC6FD" w14:textId="77777777" w:rsidR="006676F4"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Fairness in securities markets is closely linked to both investor protection and transparency, ensuring equitable participation</w:t>
      </w:r>
      <w:r w:rsidRPr="00F15A61">
        <w:rPr>
          <w:rStyle w:val="FootnoteReference"/>
          <w:rFonts w:ascii="Arial Narrow" w:hAnsi="Arial Narrow"/>
          <w:sz w:val="22"/>
          <w:szCs w:val="22"/>
        </w:rPr>
        <w:footnoteReference w:id="36"/>
      </w:r>
      <w:r w:rsidRPr="00F15A61">
        <w:rPr>
          <w:rFonts w:ascii="Arial Narrow" w:hAnsi="Arial Narrow"/>
          <w:sz w:val="22"/>
          <w:szCs w:val="22"/>
        </w:rPr>
        <w:t xml:space="preserve">. International standards promote equal access to market information and equal treatment of participants, fostering a level playing field. Effective regulation of insider trading and market manipulation ensures no participant gains unfair advantages, which is critical for maintaining investor trust. Furthermore, the standards emphasize robust enforcement and supervision, recognizing that laws alone are insufficient without credible </w:t>
      </w:r>
      <w:r w:rsidR="00076E79" w:rsidRPr="00F15A61">
        <w:rPr>
          <w:rFonts w:ascii="Arial Narrow" w:hAnsi="Arial Narrow"/>
          <w:sz w:val="22"/>
          <w:szCs w:val="22"/>
        </w:rPr>
        <w:t>implementation.</w:t>
      </w:r>
      <w:r w:rsidR="00076E79" w:rsidRPr="00F15A61">
        <w:rPr>
          <w:rFonts w:ascii="Arial Narrow" w:hAnsi="Arial Narrow"/>
          <w:sz w:val="22"/>
          <w:szCs w:val="22"/>
          <w:shd w:val="clear" w:color="auto" w:fill="FFFFFF"/>
        </w:rPr>
        <w:t xml:space="preserve"> The</w:t>
      </w:r>
      <w:r w:rsidR="006676F4" w:rsidRPr="00F15A61">
        <w:rPr>
          <w:rFonts w:ascii="Arial Narrow" w:hAnsi="Arial Narrow"/>
          <w:sz w:val="22"/>
          <w:szCs w:val="22"/>
          <w:shd w:val="clear" w:color="auto" w:fill="FFFFFF"/>
        </w:rPr>
        <w:t xml:space="preserve"> political supervision, increasingly regularized output, and bureaucratic order make international financial regulation look increasingly like an administrative agency stretched into a global multilateral context</w:t>
      </w:r>
      <w:r w:rsidRPr="00F15A61">
        <w:rPr>
          <w:rStyle w:val="FootnoteReference"/>
          <w:rFonts w:ascii="Arial Narrow" w:hAnsi="Arial Narrow"/>
          <w:sz w:val="22"/>
          <w:szCs w:val="22"/>
          <w:shd w:val="clear" w:color="auto" w:fill="FFFFFF"/>
        </w:rPr>
        <w:footnoteReference w:id="37"/>
      </w:r>
      <w:r w:rsidR="006676F4" w:rsidRPr="00F15A61">
        <w:rPr>
          <w:rFonts w:ascii="Arial Narrow" w:hAnsi="Arial Narrow"/>
          <w:sz w:val="22"/>
          <w:szCs w:val="22"/>
          <w:shd w:val="clear" w:color="auto" w:fill="FFFFFF"/>
        </w:rPr>
        <w:t>. Despite all these views</w:t>
      </w:r>
      <w:r w:rsidR="00BF0C62" w:rsidRPr="00F15A61">
        <w:rPr>
          <w:rFonts w:ascii="Arial Narrow" w:hAnsi="Arial Narrow"/>
          <w:sz w:val="22"/>
          <w:szCs w:val="22"/>
          <w:shd w:val="clear" w:color="auto" w:fill="FFFFFF"/>
        </w:rPr>
        <w:t>,</w:t>
      </w:r>
      <w:r w:rsidR="006676F4" w:rsidRPr="00F15A61">
        <w:rPr>
          <w:rFonts w:ascii="Arial Narrow" w:hAnsi="Arial Narrow"/>
          <w:sz w:val="22"/>
          <w:szCs w:val="22"/>
          <w:shd w:val="clear" w:color="auto" w:fill="FFFFFF"/>
        </w:rPr>
        <w:t xml:space="preserve"> compliance to IOSCO standards would serve as </w:t>
      </w:r>
      <w:r w:rsidR="00BF0C62" w:rsidRPr="00F15A61">
        <w:rPr>
          <w:rFonts w:ascii="Arial Narrow" w:hAnsi="Arial Narrow"/>
          <w:sz w:val="22"/>
          <w:szCs w:val="22"/>
          <w:shd w:val="clear" w:color="auto" w:fill="FFFFFF"/>
        </w:rPr>
        <w:t>an alternative</w:t>
      </w:r>
      <w:r w:rsidR="006676F4" w:rsidRPr="00F15A61">
        <w:rPr>
          <w:rFonts w:ascii="Arial Narrow" w:hAnsi="Arial Narrow"/>
          <w:sz w:val="22"/>
          <w:szCs w:val="22"/>
          <w:shd w:val="clear" w:color="auto" w:fill="FFFFFF"/>
        </w:rPr>
        <w:t xml:space="preserve"> to cross border trading on securities markets</w:t>
      </w:r>
      <w:r w:rsidR="00BF0C62" w:rsidRPr="00F15A61">
        <w:rPr>
          <w:rFonts w:ascii="Arial Narrow" w:hAnsi="Arial Narrow"/>
          <w:sz w:val="22"/>
          <w:szCs w:val="22"/>
          <w:shd w:val="clear" w:color="auto" w:fill="FFFFFF"/>
        </w:rPr>
        <w:t>.</w:t>
      </w:r>
      <w:r w:rsidR="006676F4" w:rsidRPr="00F15A61">
        <w:rPr>
          <w:rFonts w:ascii="Arial Narrow" w:hAnsi="Arial Narrow"/>
          <w:sz w:val="22"/>
          <w:szCs w:val="22"/>
          <w:shd w:val="clear" w:color="auto" w:fill="FFFFFF"/>
        </w:rPr>
        <w:t xml:space="preserve"> </w:t>
      </w:r>
    </w:p>
    <w:p w14:paraId="333DACE1"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p>
    <w:p w14:paraId="601E0CD4"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Overview of Tanzania’s Legal and Regulatory Framework</w:t>
      </w:r>
      <w:r w:rsidR="0095263F" w:rsidRPr="00F15A61">
        <w:rPr>
          <w:rFonts w:ascii="Arial Narrow" w:hAnsi="Arial Narrow" w:cs="Times New Roman"/>
          <w:color w:val="auto"/>
          <w:sz w:val="22"/>
          <w:szCs w:val="22"/>
        </w:rPr>
        <w:t xml:space="preserve"> on Securities Markets.</w:t>
      </w:r>
    </w:p>
    <w:p w14:paraId="7BDEF9BA" w14:textId="77777777" w:rsidR="00D52E4E" w:rsidRPr="00F15A61" w:rsidRDefault="0095263F" w:rsidP="00F15A61">
      <w:pPr>
        <w:spacing w:after="0" w:line="240" w:lineRule="auto"/>
        <w:jc w:val="both"/>
        <w:rPr>
          <w:rFonts w:ascii="Arial Narrow" w:eastAsia="Times New Roman" w:hAnsi="Arial Narrow" w:cs="Times New Roman"/>
        </w:rPr>
      </w:pPr>
      <w:commentRangeStart w:id="3"/>
      <w:r w:rsidRPr="00F15A61">
        <w:rPr>
          <w:rFonts w:ascii="Arial Narrow" w:hAnsi="Arial Narrow" w:cs="Times New Roman"/>
          <w:color w:val="212529"/>
          <w:shd w:val="clear" w:color="auto" w:fill="FFFFFF"/>
        </w:rPr>
        <w:t>The capital markets industry is governed by the Capital Markets and Securities Act, Chapter 79 R.E. 2002</w:t>
      </w:r>
      <w:r w:rsidR="00A776F4" w:rsidRPr="00F15A61">
        <w:rPr>
          <w:rStyle w:val="FootnoteReference"/>
          <w:rFonts w:ascii="Arial Narrow" w:hAnsi="Arial Narrow" w:cs="Times New Roman"/>
          <w:color w:val="212529"/>
          <w:shd w:val="clear" w:color="auto" w:fill="FFFFFF"/>
        </w:rPr>
        <w:footnoteReference w:id="38"/>
      </w:r>
      <w:r w:rsidRPr="00F15A61">
        <w:rPr>
          <w:rFonts w:ascii="Arial Narrow" w:hAnsi="Arial Narrow" w:cs="Times New Roman"/>
          <w:color w:val="212529"/>
          <w:shd w:val="clear" w:color="auto" w:fill="FFFFFF"/>
        </w:rPr>
        <w:t>. The CMS Act is supplemented by 19 Regulations and Guidelines governing specific aspects of capital markets. The Capital Markets and Securities Authority derives is regulatory powers in Section 10 of the C</w:t>
      </w:r>
      <w:r w:rsidR="00A776F4" w:rsidRPr="00F15A61">
        <w:rPr>
          <w:rFonts w:ascii="Arial Narrow" w:hAnsi="Arial Narrow" w:cs="Times New Roman"/>
          <w:color w:val="212529"/>
          <w:shd w:val="clear" w:color="auto" w:fill="FFFFFF"/>
        </w:rPr>
        <w:t>apital Markets and Securities A</w:t>
      </w:r>
      <w:r w:rsidRPr="00F15A61">
        <w:rPr>
          <w:rFonts w:ascii="Arial Narrow" w:hAnsi="Arial Narrow" w:cs="Times New Roman"/>
          <w:color w:val="212529"/>
          <w:shd w:val="clear" w:color="auto" w:fill="FFFFFF"/>
        </w:rPr>
        <w:t>ct</w:t>
      </w:r>
      <w:r w:rsidR="00A776F4" w:rsidRPr="00F15A61">
        <w:rPr>
          <w:rStyle w:val="FootnoteReference"/>
          <w:rFonts w:ascii="Arial Narrow" w:hAnsi="Arial Narrow" w:cs="Times New Roman"/>
          <w:color w:val="212529"/>
          <w:shd w:val="clear" w:color="auto" w:fill="FFFFFF"/>
        </w:rPr>
        <w:footnoteReference w:id="39"/>
      </w:r>
      <w:r w:rsidRPr="00F15A61">
        <w:rPr>
          <w:rFonts w:ascii="Arial Narrow" w:hAnsi="Arial Narrow" w:cs="Times New Roman"/>
          <w:color w:val="212529"/>
          <w:shd w:val="clear" w:color="auto" w:fill="FFFFFF"/>
        </w:rPr>
        <w:t>. The CMSA regulates the industry by exercising surveillance over capital markets intermediaries and issuers of securities with a view of maintaining proper standards of conduct, professionalism thus ensuring integrity of securities dealings</w:t>
      </w:r>
      <w:r w:rsidR="00D52E4E" w:rsidRPr="00F15A61">
        <w:rPr>
          <w:rStyle w:val="FootnoteReference"/>
          <w:rFonts w:ascii="Arial Narrow" w:hAnsi="Arial Narrow" w:cs="Times New Roman"/>
          <w:color w:val="212529"/>
          <w:shd w:val="clear" w:color="auto" w:fill="FFFFFF"/>
        </w:rPr>
        <w:footnoteReference w:id="40"/>
      </w:r>
      <w:r w:rsidRPr="00F15A61">
        <w:rPr>
          <w:rFonts w:ascii="Arial Narrow" w:hAnsi="Arial Narrow" w:cs="Times New Roman"/>
          <w:color w:val="212529"/>
          <w:shd w:val="clear" w:color="auto" w:fill="FFFFFF"/>
        </w:rPr>
        <w:t>.</w:t>
      </w:r>
      <w:r w:rsidR="00D52E4E" w:rsidRPr="00F15A61">
        <w:rPr>
          <w:rFonts w:ascii="Arial Narrow" w:eastAsia="Times New Roman" w:hAnsi="Arial Narrow" w:cs="Times New Roman"/>
        </w:rPr>
        <w:t xml:space="preserve"> </w:t>
      </w:r>
      <w:r w:rsidR="00E5380D" w:rsidRPr="00F15A61">
        <w:rPr>
          <w:rFonts w:ascii="Arial Narrow" w:eastAsia="Times New Roman" w:hAnsi="Arial Narrow" w:cs="Times New Roman"/>
        </w:rPr>
        <w:t>This regulatory structure aims to foster investor confidence while promoting securities market development in line with Tanzania's national development goals.</w:t>
      </w:r>
      <w:r w:rsidR="00D52E4E" w:rsidRPr="00F15A61">
        <w:rPr>
          <w:rFonts w:ascii="Arial Narrow" w:eastAsia="Times New Roman" w:hAnsi="Arial Narrow" w:cs="Times New Roman"/>
        </w:rPr>
        <w:t xml:space="preserve"> </w:t>
      </w:r>
      <w:r w:rsidR="00E5380D" w:rsidRPr="00F15A61">
        <w:rPr>
          <w:rFonts w:ascii="Arial Narrow" w:eastAsia="Times New Roman" w:hAnsi="Arial Narrow" w:cs="Times New Roman"/>
        </w:rPr>
        <w:t xml:space="preserve">The Dar es Salaam Stock Exchange plays a pivotal role as Tanzania's sole securities exchange, facilitating trading in equities, bonds, and other financial instruments. </w:t>
      </w:r>
      <w:r w:rsidR="00D52E4E" w:rsidRPr="00F15A61">
        <w:rPr>
          <w:rFonts w:ascii="Arial Narrow" w:hAnsi="Arial Narrow" w:cs="Times New Roman"/>
        </w:rPr>
        <w:t xml:space="preserve">DSE has various members, including Licensed Dealing Members (brokers and dealers who conduct trade), institutional investors, listed companies, academic institutions, fund managers/investment advisors and professional </w:t>
      </w:r>
      <w:commentRangeEnd w:id="3"/>
      <w:r w:rsidR="00A87395">
        <w:rPr>
          <w:rStyle w:val="CommentReference"/>
        </w:rPr>
        <w:lastRenderedPageBreak/>
        <w:commentReference w:id="3"/>
      </w:r>
      <w:r w:rsidR="00D52E4E" w:rsidRPr="00F15A61">
        <w:rPr>
          <w:rFonts w:ascii="Arial Narrow" w:hAnsi="Arial Narrow" w:cs="Times New Roman"/>
        </w:rPr>
        <w:t>bodies</w:t>
      </w:r>
      <w:r w:rsidR="00D52E4E" w:rsidRPr="00F15A61">
        <w:rPr>
          <w:rStyle w:val="FootnoteReference"/>
          <w:rFonts w:ascii="Arial Narrow" w:hAnsi="Arial Narrow" w:cs="Times New Roman"/>
        </w:rPr>
        <w:footnoteReference w:id="41"/>
      </w:r>
      <w:r w:rsidR="00D52E4E" w:rsidRPr="00F15A61">
        <w:rPr>
          <w:rFonts w:ascii="Arial Narrow" w:hAnsi="Arial Narrow" w:cs="Times New Roman"/>
        </w:rPr>
        <w:t>. These members appoint among themselves parties to sit on the DSE Council, the governing body of the exchange. CMSA, the market regulator, was vested with the power to appoint one person to represent public interest on the Council</w:t>
      </w:r>
      <w:r w:rsidR="00D52E4E" w:rsidRPr="00F15A61">
        <w:rPr>
          <w:rStyle w:val="FootnoteReference"/>
          <w:rFonts w:ascii="Arial Narrow" w:hAnsi="Arial Narrow" w:cs="Times New Roman"/>
        </w:rPr>
        <w:footnoteReference w:id="42"/>
      </w:r>
      <w:r w:rsidR="00D52E4E" w:rsidRPr="00F15A61">
        <w:rPr>
          <w:rFonts w:ascii="Arial Narrow" w:hAnsi="Arial Narrow" w:cs="Times New Roman"/>
        </w:rPr>
        <w:t>.</w:t>
      </w:r>
    </w:p>
    <w:p w14:paraId="341F572C" w14:textId="77777777" w:rsidR="00D52E4E" w:rsidRPr="00F15A61" w:rsidRDefault="00D52E4E" w:rsidP="00F15A61">
      <w:pPr>
        <w:spacing w:after="0" w:line="240" w:lineRule="auto"/>
        <w:jc w:val="both"/>
        <w:rPr>
          <w:rFonts w:ascii="Arial Narrow" w:eastAsia="Times New Roman" w:hAnsi="Arial Narrow" w:cs="Times New Roman"/>
        </w:rPr>
      </w:pPr>
    </w:p>
    <w:p w14:paraId="315FFD8A" w14:textId="77777777"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Legal Instruments</w:t>
      </w:r>
    </w:p>
    <w:p w14:paraId="4A8E66B5" w14:textId="77777777" w:rsidR="007C2BBC" w:rsidRPr="00F15A61" w:rsidRDefault="00E5380D" w:rsidP="00F15A61">
      <w:pPr>
        <w:pStyle w:val="Default"/>
        <w:jc w:val="both"/>
        <w:rPr>
          <w:rFonts w:ascii="Arial Narrow" w:hAnsi="Arial Narrow" w:cs="Times New Roman"/>
          <w:sz w:val="22"/>
          <w:szCs w:val="22"/>
        </w:rPr>
      </w:pPr>
      <w:commentRangeStart w:id="4"/>
      <w:r w:rsidRPr="00F15A61">
        <w:rPr>
          <w:rFonts w:ascii="Arial Narrow" w:hAnsi="Arial Narrow" w:cs="Times New Roman"/>
          <w:sz w:val="22"/>
          <w:szCs w:val="22"/>
        </w:rPr>
        <w:t xml:space="preserve">The </w:t>
      </w:r>
      <w:r w:rsidRPr="00F15A61">
        <w:rPr>
          <w:rStyle w:val="Strong"/>
          <w:rFonts w:ascii="Arial Narrow" w:hAnsi="Arial Narrow" w:cs="Times New Roman"/>
          <w:b w:val="0"/>
          <w:sz w:val="22"/>
          <w:szCs w:val="22"/>
        </w:rPr>
        <w:t xml:space="preserve">Capital markets and Securities Act (CMSA Act) </w:t>
      </w:r>
      <w:r w:rsidR="00D52E4E" w:rsidRPr="00F15A61">
        <w:rPr>
          <w:rStyle w:val="Strong"/>
          <w:rFonts w:ascii="Arial Narrow" w:hAnsi="Arial Narrow" w:cs="Times New Roman"/>
          <w:b w:val="0"/>
          <w:sz w:val="22"/>
          <w:szCs w:val="22"/>
        </w:rPr>
        <w:t>C</w:t>
      </w:r>
      <w:r w:rsidR="00550A3D">
        <w:rPr>
          <w:rStyle w:val="Strong"/>
          <w:rFonts w:ascii="Arial Narrow" w:hAnsi="Arial Narrow" w:cs="Times New Roman"/>
          <w:b w:val="0"/>
          <w:sz w:val="22"/>
          <w:szCs w:val="22"/>
        </w:rPr>
        <w:t xml:space="preserve">ap </w:t>
      </w:r>
      <w:r w:rsidR="00D52E4E" w:rsidRPr="00F15A61">
        <w:rPr>
          <w:rStyle w:val="Strong"/>
          <w:rFonts w:ascii="Arial Narrow" w:hAnsi="Arial Narrow" w:cs="Times New Roman"/>
          <w:b w:val="0"/>
          <w:sz w:val="22"/>
          <w:szCs w:val="22"/>
        </w:rPr>
        <w:t>79 RE 2002</w:t>
      </w:r>
      <w:r w:rsidRPr="00F15A61">
        <w:rPr>
          <w:rFonts w:ascii="Arial Narrow" w:hAnsi="Arial Narrow" w:cs="Times New Roman"/>
          <w:sz w:val="22"/>
          <w:szCs w:val="22"/>
        </w:rPr>
        <w:t xml:space="preserve"> is the principal legislation governing Tanzania’s securities markets s, providing the legal framework for market operations, licensing, and enforcement actions</w:t>
      </w:r>
      <w:r w:rsidR="00D52E4E" w:rsidRPr="00F15A61">
        <w:rPr>
          <w:rStyle w:val="FootnoteReference"/>
          <w:rFonts w:ascii="Arial Narrow" w:hAnsi="Arial Narrow" w:cs="Times New Roman"/>
          <w:sz w:val="22"/>
          <w:szCs w:val="22"/>
        </w:rPr>
        <w:footnoteReference w:id="43"/>
      </w:r>
      <w:r w:rsidRPr="00F15A61">
        <w:rPr>
          <w:rFonts w:ascii="Arial Narrow" w:hAnsi="Arial Narrow" w:cs="Times New Roman"/>
          <w:sz w:val="22"/>
          <w:szCs w:val="22"/>
        </w:rPr>
        <w:t xml:space="preserve">. </w:t>
      </w:r>
      <w:r w:rsidR="001C7733" w:rsidRPr="00F15A61">
        <w:rPr>
          <w:rFonts w:ascii="Arial Narrow" w:hAnsi="Arial Narrow" w:cs="Times New Roman"/>
          <w:sz w:val="22"/>
          <w:szCs w:val="22"/>
        </w:rPr>
        <w:t>It is an act that establishes capital markets and securities authority for the purposes promoting and facilitating the development of an orderly, fair and efficient capital markets and security industry in Tanzania to make provisions with respect to stock exchanges and other persons dealing in securities for connected purposes</w:t>
      </w:r>
      <w:r w:rsidR="001C7733" w:rsidRPr="00F15A61">
        <w:rPr>
          <w:rStyle w:val="FootnoteReference"/>
          <w:rFonts w:ascii="Arial Narrow" w:hAnsi="Arial Narrow" w:cs="Times New Roman"/>
          <w:sz w:val="22"/>
          <w:szCs w:val="22"/>
        </w:rPr>
        <w:footnoteReference w:id="44"/>
      </w:r>
      <w:r w:rsidR="001C7733" w:rsidRPr="00F15A61">
        <w:rPr>
          <w:rFonts w:ascii="Arial Narrow" w:hAnsi="Arial Narrow" w:cs="Times New Roman"/>
          <w:sz w:val="22"/>
          <w:szCs w:val="22"/>
        </w:rPr>
        <w:t>.</w:t>
      </w:r>
    </w:p>
    <w:p w14:paraId="540703D8" w14:textId="77777777" w:rsidR="007C2BBC" w:rsidRPr="00F15A61" w:rsidRDefault="007C2BBC" w:rsidP="00F15A61">
      <w:pPr>
        <w:pStyle w:val="Default"/>
        <w:jc w:val="both"/>
        <w:rPr>
          <w:rFonts w:ascii="Arial Narrow" w:hAnsi="Arial Narrow" w:cs="Times New Roman"/>
          <w:sz w:val="22"/>
          <w:szCs w:val="22"/>
        </w:rPr>
      </w:pPr>
    </w:p>
    <w:p w14:paraId="2C2B6A5C" w14:textId="77777777" w:rsidR="00E5380D" w:rsidRPr="00F15A61" w:rsidRDefault="007C2BBC" w:rsidP="00F15A61">
      <w:pPr>
        <w:pStyle w:val="Default"/>
        <w:jc w:val="both"/>
        <w:rPr>
          <w:rFonts w:ascii="Arial Narrow" w:hAnsi="Arial Narrow" w:cs="Times New Roman"/>
          <w:sz w:val="22"/>
          <w:szCs w:val="22"/>
        </w:rPr>
      </w:pPr>
      <w:r w:rsidRPr="00F15A61">
        <w:rPr>
          <w:rFonts w:ascii="Arial Narrow" w:hAnsi="Arial Narrow" w:cs="Times New Roman"/>
          <w:sz w:val="22"/>
          <w:szCs w:val="22"/>
        </w:rPr>
        <w:t>Moreover,</w:t>
      </w:r>
      <w:r w:rsidR="00587D0A" w:rsidRPr="00F15A61">
        <w:rPr>
          <w:rFonts w:ascii="Arial Narrow" w:hAnsi="Arial Narrow" w:cs="Times New Roman"/>
          <w:sz w:val="22"/>
          <w:szCs w:val="22"/>
        </w:rPr>
        <w:t xml:space="preserve"> </w:t>
      </w:r>
      <w:r w:rsidR="00200E1D" w:rsidRPr="00F15A61">
        <w:rPr>
          <w:rFonts w:ascii="Arial Narrow" w:hAnsi="Arial Narrow" w:cs="Times New Roman"/>
          <w:sz w:val="22"/>
          <w:szCs w:val="22"/>
        </w:rPr>
        <w:t>law provides that no person shall establish or assist in establishing or maintain or hold himself out as providing or maintaining a stock market unless it is a stock market or a stock exchange.  Any person who contravenes subsection (1)</w:t>
      </w:r>
      <w:r w:rsidR="00587D0A" w:rsidRPr="00F15A61">
        <w:rPr>
          <w:rFonts w:ascii="Arial Narrow" w:hAnsi="Arial Narrow" w:cs="Times New Roman"/>
          <w:sz w:val="22"/>
          <w:szCs w:val="22"/>
        </w:rPr>
        <w:t xml:space="preserve"> of Section 32 of Capital Markets and </w:t>
      </w:r>
      <w:r w:rsidR="00550A3D">
        <w:rPr>
          <w:rFonts w:ascii="Arial Narrow" w:hAnsi="Arial Narrow" w:cs="Times New Roman"/>
          <w:sz w:val="22"/>
          <w:szCs w:val="22"/>
        </w:rPr>
        <w:t xml:space="preserve">Securities Act of Tanzania Cap </w:t>
      </w:r>
      <w:r w:rsidR="00587D0A" w:rsidRPr="00F15A61">
        <w:rPr>
          <w:rFonts w:ascii="Arial Narrow" w:hAnsi="Arial Narrow" w:cs="Times New Roman"/>
          <w:sz w:val="22"/>
          <w:szCs w:val="22"/>
        </w:rPr>
        <w:t>79 RE 2002</w:t>
      </w:r>
      <w:r w:rsidR="00200E1D" w:rsidRPr="00F15A61">
        <w:rPr>
          <w:rFonts w:ascii="Arial Narrow" w:hAnsi="Arial Narrow" w:cs="Times New Roman"/>
          <w:sz w:val="22"/>
          <w:szCs w:val="22"/>
        </w:rPr>
        <w:t xml:space="preserve"> commits an offence and on conviction is liable to a fine not exceeding five hundred thousand shillings or to imprisonment for a term not exceeding two years or to both. It</w:t>
      </w:r>
      <w:r w:rsidR="00E5380D" w:rsidRPr="00F15A61">
        <w:rPr>
          <w:rFonts w:ascii="Arial Narrow" w:hAnsi="Arial Narrow" w:cs="Times New Roman"/>
          <w:sz w:val="22"/>
          <w:szCs w:val="22"/>
        </w:rPr>
        <w:t xml:space="preserve"> </w:t>
      </w:r>
      <w:r w:rsidR="00660DC5" w:rsidRPr="00F15A61">
        <w:rPr>
          <w:rFonts w:ascii="Arial Narrow" w:hAnsi="Arial Narrow" w:cs="Times New Roman"/>
          <w:sz w:val="22"/>
          <w:szCs w:val="22"/>
        </w:rPr>
        <w:t xml:space="preserve">also </w:t>
      </w:r>
      <w:r w:rsidR="00E5380D" w:rsidRPr="00F15A61">
        <w:rPr>
          <w:rFonts w:ascii="Arial Narrow" w:hAnsi="Arial Narrow" w:cs="Times New Roman"/>
          <w:sz w:val="22"/>
          <w:szCs w:val="22"/>
        </w:rPr>
        <w:t>criminalizes market manipulation and insider trading while establishing rules for disclosure and investor protection. Securities regulators therefore prohibit insider trading and market manipulation in order to protect investors and promote market integrity</w:t>
      </w:r>
      <w:r w:rsidR="00B83621" w:rsidRPr="00F15A61">
        <w:rPr>
          <w:rStyle w:val="FootnoteReference"/>
          <w:rFonts w:ascii="Arial Narrow" w:hAnsi="Arial Narrow" w:cs="Times New Roman"/>
          <w:sz w:val="22"/>
          <w:szCs w:val="22"/>
        </w:rPr>
        <w:footnoteReference w:id="45"/>
      </w:r>
      <w:r w:rsidR="00E5380D" w:rsidRPr="00F15A61">
        <w:rPr>
          <w:rFonts w:ascii="Arial Narrow" w:hAnsi="Arial Narrow" w:cs="Times New Roman"/>
          <w:sz w:val="22"/>
          <w:szCs w:val="22"/>
        </w:rPr>
        <w:t>.</w:t>
      </w:r>
    </w:p>
    <w:p w14:paraId="189C0CB0" w14:textId="77777777" w:rsidR="00E5380D" w:rsidRPr="00F15A61" w:rsidRDefault="00E5380D" w:rsidP="00F15A61">
      <w:pPr>
        <w:pStyle w:val="NormalWeb"/>
        <w:spacing w:before="0" w:beforeAutospacing="0" w:after="0" w:afterAutospacing="0"/>
        <w:jc w:val="both"/>
        <w:rPr>
          <w:rFonts w:ascii="Arial Narrow" w:hAnsi="Arial Narrow"/>
          <w:sz w:val="22"/>
          <w:szCs w:val="22"/>
        </w:rPr>
      </w:pPr>
    </w:p>
    <w:p w14:paraId="359F776E"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w:t>
      </w:r>
      <w:r w:rsidRPr="00F15A61">
        <w:rPr>
          <w:rStyle w:val="Strong"/>
          <w:rFonts w:ascii="Arial Narrow" w:hAnsi="Arial Narrow"/>
          <w:b w:val="0"/>
          <w:sz w:val="22"/>
          <w:szCs w:val="22"/>
        </w:rPr>
        <w:t>Companies Act,</w:t>
      </w:r>
      <w:r w:rsidRPr="00F15A61">
        <w:rPr>
          <w:rStyle w:val="Strong"/>
          <w:rFonts w:ascii="Arial Narrow" w:hAnsi="Arial Narrow"/>
          <w:sz w:val="22"/>
          <w:szCs w:val="22"/>
        </w:rPr>
        <w:t xml:space="preserve"> </w:t>
      </w:r>
      <w:r w:rsidRPr="00F15A61">
        <w:rPr>
          <w:rStyle w:val="Strong"/>
          <w:rFonts w:ascii="Arial Narrow" w:hAnsi="Arial Narrow"/>
          <w:b w:val="0"/>
          <w:sz w:val="22"/>
          <w:szCs w:val="22"/>
        </w:rPr>
        <w:t>Cap. 212</w:t>
      </w:r>
      <w:r w:rsidRPr="00F15A61">
        <w:rPr>
          <w:rFonts w:ascii="Arial Narrow" w:hAnsi="Arial Narrow"/>
          <w:sz w:val="22"/>
          <w:szCs w:val="22"/>
        </w:rPr>
        <w:t>, RE 2002</w:t>
      </w:r>
      <w:r w:rsidR="00B83621" w:rsidRPr="00F15A61">
        <w:rPr>
          <w:rFonts w:ascii="Arial Narrow" w:hAnsi="Arial Narrow"/>
          <w:sz w:val="22"/>
          <w:szCs w:val="22"/>
        </w:rPr>
        <w:t xml:space="preserve"> of Tanzania</w:t>
      </w:r>
      <w:r w:rsidRPr="00F15A61">
        <w:rPr>
          <w:rFonts w:ascii="Arial Narrow" w:hAnsi="Arial Narrow"/>
          <w:sz w:val="22"/>
          <w:szCs w:val="22"/>
        </w:rPr>
        <w:t xml:space="preserve"> </w:t>
      </w:r>
      <w:r w:rsidR="00B83621" w:rsidRPr="00F15A61">
        <w:rPr>
          <w:rFonts w:ascii="Arial Narrow" w:hAnsi="Arial Narrow"/>
          <w:sz w:val="22"/>
          <w:szCs w:val="22"/>
        </w:rPr>
        <w:t>complement</w:t>
      </w:r>
      <w:r w:rsidRPr="00F15A61">
        <w:rPr>
          <w:rFonts w:ascii="Arial Narrow" w:hAnsi="Arial Narrow"/>
          <w:sz w:val="22"/>
          <w:szCs w:val="22"/>
        </w:rPr>
        <w:t xml:space="preserve"> the CMS</w:t>
      </w:r>
      <w:r w:rsidR="00B83621" w:rsidRPr="00F15A61">
        <w:rPr>
          <w:rFonts w:ascii="Arial Narrow" w:hAnsi="Arial Narrow"/>
          <w:sz w:val="22"/>
          <w:szCs w:val="22"/>
        </w:rPr>
        <w:t xml:space="preserve"> </w:t>
      </w:r>
      <w:r w:rsidRPr="00F15A61">
        <w:rPr>
          <w:rFonts w:ascii="Arial Narrow" w:hAnsi="Arial Narrow"/>
          <w:sz w:val="22"/>
          <w:szCs w:val="22"/>
        </w:rPr>
        <w:t>A</w:t>
      </w:r>
      <w:r w:rsidR="00B83621" w:rsidRPr="00F15A61">
        <w:rPr>
          <w:rFonts w:ascii="Arial Narrow" w:hAnsi="Arial Narrow"/>
          <w:sz w:val="22"/>
          <w:szCs w:val="22"/>
        </w:rPr>
        <w:t>ct</w:t>
      </w:r>
      <w:r w:rsidRPr="00F15A61">
        <w:rPr>
          <w:rFonts w:ascii="Arial Narrow" w:hAnsi="Arial Narrow"/>
          <w:sz w:val="22"/>
          <w:szCs w:val="22"/>
        </w:rPr>
        <w:t xml:space="preserve"> by regulating company registration</w:t>
      </w:r>
      <w:r w:rsidR="00B83621" w:rsidRPr="00F15A61">
        <w:rPr>
          <w:rStyle w:val="FootnoteReference"/>
          <w:rFonts w:ascii="Arial Narrow" w:hAnsi="Arial Narrow"/>
          <w:sz w:val="22"/>
          <w:szCs w:val="22"/>
        </w:rPr>
        <w:footnoteReference w:id="46"/>
      </w:r>
      <w:r w:rsidRPr="00F15A61">
        <w:rPr>
          <w:rFonts w:ascii="Arial Narrow" w:hAnsi="Arial Narrow"/>
          <w:sz w:val="22"/>
          <w:szCs w:val="22"/>
        </w:rPr>
        <w:t>, governance, and financial disclosures</w:t>
      </w:r>
      <w:r w:rsidR="00B83621" w:rsidRPr="00F15A61">
        <w:rPr>
          <w:rStyle w:val="FootnoteReference"/>
          <w:rFonts w:ascii="Arial Narrow" w:hAnsi="Arial Narrow"/>
          <w:sz w:val="22"/>
          <w:szCs w:val="22"/>
        </w:rPr>
        <w:footnoteReference w:id="47"/>
      </w:r>
      <w:r w:rsidRPr="00F15A61">
        <w:rPr>
          <w:rFonts w:ascii="Arial Narrow" w:hAnsi="Arial Narrow"/>
          <w:sz w:val="22"/>
          <w:szCs w:val="22"/>
        </w:rPr>
        <w:t>, which are vital for listed companies’ transparency and accountability. Supplementary subsidiary legislation and regulations issued by the CMSA further detail licensing requirements</w:t>
      </w:r>
      <w:r w:rsidR="007C2BBC" w:rsidRPr="00F15A61">
        <w:rPr>
          <w:rStyle w:val="FootnoteReference"/>
          <w:rFonts w:ascii="Arial Narrow" w:hAnsi="Arial Narrow"/>
          <w:sz w:val="22"/>
          <w:szCs w:val="22"/>
        </w:rPr>
        <w:footnoteReference w:id="48"/>
      </w:r>
      <w:r w:rsidRPr="00F15A61">
        <w:rPr>
          <w:rFonts w:ascii="Arial Narrow" w:hAnsi="Arial Narrow"/>
          <w:sz w:val="22"/>
          <w:szCs w:val="22"/>
        </w:rPr>
        <w:t>, disclosure obligations, and operational guidelines for market participants. Moreover, Tanzania’s adherence to international accounting standards such as the IFRS enhances the credibility of financial reporting in the securities markets</w:t>
      </w:r>
      <w:r w:rsidR="007C2BBC" w:rsidRPr="00F15A61">
        <w:rPr>
          <w:rStyle w:val="FootnoteReference"/>
          <w:rFonts w:ascii="Arial Narrow" w:hAnsi="Arial Narrow"/>
          <w:sz w:val="22"/>
          <w:szCs w:val="22"/>
        </w:rPr>
        <w:footnoteReference w:id="49"/>
      </w:r>
      <w:r w:rsidRPr="00F15A61">
        <w:rPr>
          <w:rFonts w:ascii="Arial Narrow" w:hAnsi="Arial Narrow"/>
          <w:sz w:val="22"/>
          <w:szCs w:val="22"/>
        </w:rPr>
        <w:t>.</w:t>
      </w:r>
      <w:commentRangeEnd w:id="4"/>
      <w:r w:rsidR="00B307F4">
        <w:rPr>
          <w:rStyle w:val="CommentReference"/>
          <w:rFonts w:asciiTheme="minorHAnsi" w:eastAsiaTheme="minorHAnsi" w:hAnsiTheme="minorHAnsi" w:cstheme="minorBidi"/>
        </w:rPr>
        <w:commentReference w:id="4"/>
      </w:r>
    </w:p>
    <w:p w14:paraId="41B59958" w14:textId="77777777" w:rsidR="00E5380D" w:rsidRPr="00F15A61" w:rsidRDefault="00E5380D" w:rsidP="00F15A61">
      <w:pPr>
        <w:spacing w:after="0" w:line="240" w:lineRule="auto"/>
        <w:jc w:val="both"/>
        <w:rPr>
          <w:rFonts w:ascii="Arial Narrow" w:hAnsi="Arial Narrow" w:cs="Times New Roman"/>
        </w:rPr>
      </w:pPr>
    </w:p>
    <w:p w14:paraId="6EC88B66" w14:textId="77777777"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Licensing, Disclosure, Compliance, and Enforcement Mechanisms</w:t>
      </w:r>
    </w:p>
    <w:p w14:paraId="1E98BE5E"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Licensing procedures under CMSA require market intermediaries such as brokers, dealers, and asset managers to meet stringent fit-and-proper criteria to safeguard market integrity</w:t>
      </w:r>
      <w:r w:rsidR="007C2BBC" w:rsidRPr="00F15A61">
        <w:rPr>
          <w:rStyle w:val="FootnoteReference"/>
          <w:rFonts w:ascii="Arial Narrow" w:hAnsi="Arial Narrow"/>
          <w:sz w:val="22"/>
          <w:szCs w:val="22"/>
        </w:rPr>
        <w:footnoteReference w:id="50"/>
      </w:r>
      <w:r w:rsidRPr="00F15A61">
        <w:rPr>
          <w:rFonts w:ascii="Arial Narrow" w:hAnsi="Arial Narrow"/>
          <w:sz w:val="22"/>
          <w:szCs w:val="22"/>
        </w:rPr>
        <w:t xml:space="preserve">. The authority regularly supervises licensees and can impose sanctions or revoke licenses for non-compliance, which reinforces professional standards within the industry. The Act provides that no person shall be allowed to carry out the business of securities unless he is the holder of </w:t>
      </w:r>
      <w:r w:rsidR="00076E79" w:rsidRPr="00F15A61">
        <w:rPr>
          <w:rFonts w:ascii="Arial Narrow" w:hAnsi="Arial Narrow"/>
          <w:sz w:val="22"/>
          <w:szCs w:val="22"/>
        </w:rPr>
        <w:t>license</w:t>
      </w:r>
      <w:r w:rsidRPr="00F15A61">
        <w:rPr>
          <w:rFonts w:ascii="Arial Narrow" w:hAnsi="Arial Narrow"/>
          <w:sz w:val="22"/>
          <w:szCs w:val="22"/>
        </w:rPr>
        <w:t xml:space="preserve"> or certificate of dealing with securities</w:t>
      </w:r>
      <w:r w:rsidR="007C2BBC" w:rsidRPr="00F15A61">
        <w:rPr>
          <w:rStyle w:val="FootnoteReference"/>
          <w:rFonts w:ascii="Arial Narrow" w:hAnsi="Arial Narrow"/>
          <w:sz w:val="22"/>
          <w:szCs w:val="22"/>
        </w:rPr>
        <w:footnoteReference w:id="51"/>
      </w:r>
      <w:r w:rsidRPr="00F15A61">
        <w:rPr>
          <w:rFonts w:ascii="Arial Narrow" w:hAnsi="Arial Narrow"/>
          <w:sz w:val="22"/>
          <w:szCs w:val="22"/>
        </w:rPr>
        <w:t>. Any person who contrives the provision commits an offence and is liable to offence and upon conviction is liable to a fine not exceeding five hundred thousand shilling or to imprisonment of two years or both</w:t>
      </w:r>
      <w:r w:rsidRPr="00F15A61">
        <w:rPr>
          <w:rStyle w:val="FootnoteReference"/>
          <w:rFonts w:ascii="Arial Narrow" w:hAnsi="Arial Narrow"/>
          <w:sz w:val="22"/>
          <w:szCs w:val="22"/>
        </w:rPr>
        <w:footnoteReference w:id="52"/>
      </w:r>
      <w:r w:rsidRPr="00F15A61">
        <w:rPr>
          <w:rFonts w:ascii="Arial Narrow" w:hAnsi="Arial Narrow"/>
          <w:sz w:val="22"/>
          <w:szCs w:val="22"/>
        </w:rPr>
        <w:t>.</w:t>
      </w:r>
    </w:p>
    <w:p w14:paraId="64CBEECB" w14:textId="77777777" w:rsidR="00E5380D" w:rsidRPr="00F15A61" w:rsidRDefault="00E5380D" w:rsidP="00F15A61">
      <w:pPr>
        <w:pStyle w:val="NormalWeb"/>
        <w:spacing w:before="0" w:beforeAutospacing="0" w:after="0" w:afterAutospacing="0"/>
        <w:jc w:val="both"/>
        <w:rPr>
          <w:rFonts w:ascii="Arial Narrow" w:hAnsi="Arial Narrow"/>
          <w:sz w:val="22"/>
          <w:szCs w:val="22"/>
        </w:rPr>
      </w:pPr>
    </w:p>
    <w:p w14:paraId="7E94C8FE"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Disclosure requirements for listed companies</w:t>
      </w:r>
      <w:r w:rsidR="007C2BBC" w:rsidRPr="00F15A61">
        <w:rPr>
          <w:rFonts w:ascii="Arial Narrow" w:hAnsi="Arial Narrow"/>
          <w:sz w:val="22"/>
          <w:szCs w:val="22"/>
        </w:rPr>
        <w:t xml:space="preserve"> in Tanzania</w:t>
      </w:r>
      <w:r w:rsidRPr="00F15A61">
        <w:rPr>
          <w:rFonts w:ascii="Arial Narrow" w:hAnsi="Arial Narrow"/>
          <w:sz w:val="22"/>
          <w:szCs w:val="22"/>
        </w:rPr>
        <w:t xml:space="preserve"> include the submission of audited financial statements, timely reporting of material events, and continuous disclosure obligations to maintain market </w:t>
      </w:r>
      <w:r w:rsidR="00076E79" w:rsidRPr="00F15A61">
        <w:rPr>
          <w:rFonts w:ascii="Arial Narrow" w:hAnsi="Arial Narrow"/>
          <w:sz w:val="22"/>
          <w:szCs w:val="22"/>
        </w:rPr>
        <w:t>transparency</w:t>
      </w:r>
      <w:r w:rsidRPr="00F15A61">
        <w:rPr>
          <w:rFonts w:ascii="Arial Narrow" w:hAnsi="Arial Narrow"/>
          <w:sz w:val="22"/>
          <w:szCs w:val="22"/>
        </w:rPr>
        <w:t xml:space="preserve">. For </w:t>
      </w:r>
      <w:r w:rsidRPr="00F15A61">
        <w:rPr>
          <w:rFonts w:ascii="Arial Narrow" w:hAnsi="Arial Narrow"/>
          <w:sz w:val="22"/>
          <w:szCs w:val="22"/>
        </w:rPr>
        <w:lastRenderedPageBreak/>
        <w:t>example the Company Act of Tanzania, RE 2002 provides that every company shall keep in English or Kiswahili books of accounts which are sufficient to show company transactions</w:t>
      </w:r>
      <w:r w:rsidRPr="00F15A61">
        <w:rPr>
          <w:rStyle w:val="FootnoteReference"/>
          <w:rFonts w:ascii="Arial Narrow" w:hAnsi="Arial Narrow"/>
          <w:sz w:val="22"/>
          <w:szCs w:val="22"/>
        </w:rPr>
        <w:footnoteReference w:id="53"/>
      </w:r>
      <w:r w:rsidRPr="00F15A61">
        <w:rPr>
          <w:rFonts w:ascii="Arial Narrow" w:hAnsi="Arial Narrow"/>
          <w:sz w:val="22"/>
          <w:szCs w:val="22"/>
        </w:rPr>
        <w:t>.</w:t>
      </w:r>
      <w:r w:rsidR="00B75C42" w:rsidRPr="00F15A61">
        <w:rPr>
          <w:rFonts w:ascii="Arial Narrow" w:hAnsi="Arial Narrow"/>
          <w:sz w:val="22"/>
          <w:szCs w:val="22"/>
        </w:rPr>
        <w:t xml:space="preserve"> Additionally section 208 under subsection one of the Companies Act Cap 212 RE 2002 stipulates that it shall be the duty of any director of a company to give notice to the company of such matters relating to </w:t>
      </w:r>
      <w:r w:rsidR="007848F8" w:rsidRPr="00F15A61">
        <w:rPr>
          <w:rFonts w:ascii="Arial Narrow" w:hAnsi="Arial Narrow"/>
          <w:sz w:val="22"/>
          <w:szCs w:val="22"/>
        </w:rPr>
        <w:t>him</w:t>
      </w:r>
      <w:r w:rsidR="00B75C42" w:rsidRPr="00F15A61">
        <w:rPr>
          <w:rFonts w:ascii="Arial Narrow" w:hAnsi="Arial Narrow"/>
          <w:sz w:val="22"/>
          <w:szCs w:val="22"/>
        </w:rPr>
        <w:t xml:space="preserve"> as may be necessary for the purposes of sections 205, 206 and 207 of the same Act. These</w:t>
      </w:r>
      <w:r w:rsidRPr="00F15A61">
        <w:rPr>
          <w:rFonts w:ascii="Arial Narrow" w:hAnsi="Arial Narrow"/>
          <w:sz w:val="22"/>
          <w:szCs w:val="22"/>
        </w:rPr>
        <w:t xml:space="preserve"> </w:t>
      </w:r>
      <w:r w:rsidR="00B75C42" w:rsidRPr="00F15A61">
        <w:rPr>
          <w:rFonts w:ascii="Arial Narrow" w:hAnsi="Arial Narrow"/>
          <w:sz w:val="22"/>
          <w:szCs w:val="22"/>
        </w:rPr>
        <w:t>provisions</w:t>
      </w:r>
      <w:r w:rsidRPr="00F15A61">
        <w:rPr>
          <w:rFonts w:ascii="Arial Narrow" w:hAnsi="Arial Narrow"/>
          <w:sz w:val="22"/>
          <w:szCs w:val="22"/>
        </w:rPr>
        <w:t xml:space="preserve"> align with IOSCO principles, emphasizing transparency as essential for fair and efficient markets</w:t>
      </w:r>
      <w:r w:rsidR="00393286" w:rsidRPr="00F15A61">
        <w:rPr>
          <w:rFonts w:ascii="Arial Narrow" w:hAnsi="Arial Narrow"/>
          <w:sz w:val="22"/>
          <w:szCs w:val="22"/>
        </w:rPr>
        <w:t>.</w:t>
      </w:r>
      <w:r w:rsidRPr="00F15A61">
        <w:rPr>
          <w:rFonts w:ascii="Arial Narrow" w:hAnsi="Arial Narrow"/>
          <w:sz w:val="22"/>
          <w:szCs w:val="22"/>
        </w:rPr>
        <w:t xml:space="preserve"> Compliance monitoring is undertaken through periodic audits, market surveillance, and investigation of irregular trading patterns or suspected market abuses. </w:t>
      </w:r>
    </w:p>
    <w:p w14:paraId="2CEFC404" w14:textId="77777777" w:rsidR="00E5380D" w:rsidRPr="00F15A61" w:rsidRDefault="00E5380D" w:rsidP="00F15A61">
      <w:pPr>
        <w:spacing w:after="0" w:line="240" w:lineRule="auto"/>
        <w:jc w:val="both"/>
        <w:rPr>
          <w:rFonts w:ascii="Arial Narrow" w:hAnsi="Arial Narrow" w:cs="Times New Roman"/>
        </w:rPr>
      </w:pPr>
    </w:p>
    <w:p w14:paraId="053F9E28"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Tanzania’s Compliance with International Securities Market Standards</w:t>
      </w:r>
    </w:p>
    <w:p w14:paraId="74A309B1"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Tanzania’s securities market regulatory framework demonstrates partial compliance with the principles of the International Organization of Securities Commissions (IOSCO), particularly through the establishment of formal licensing requirements and disclosure obligations under the Capital Markets and Securities Act</w:t>
      </w:r>
      <w:r w:rsidR="00844FA0" w:rsidRPr="00F15A61">
        <w:rPr>
          <w:rStyle w:val="FootnoteReference"/>
          <w:rFonts w:ascii="Arial Narrow" w:hAnsi="Arial Narrow"/>
          <w:sz w:val="22"/>
          <w:szCs w:val="22"/>
        </w:rPr>
        <w:footnoteReference w:id="54"/>
      </w:r>
      <w:r w:rsidRPr="00F15A61">
        <w:rPr>
          <w:rFonts w:ascii="Arial Narrow" w:hAnsi="Arial Narrow"/>
          <w:sz w:val="22"/>
          <w:szCs w:val="22"/>
        </w:rPr>
        <w:t xml:space="preserve">. However, critical gaps remain in enforcement effectiveness, largely due to capacity constraints that limit the operational reach of the Capital Markets and Securities Authority (CMSA). Recent assessments highlight </w:t>
      </w:r>
      <w:r w:rsidR="00844FA0" w:rsidRPr="00F15A61">
        <w:rPr>
          <w:rFonts w:ascii="Arial Narrow" w:hAnsi="Arial Narrow"/>
          <w:sz w:val="22"/>
          <w:szCs w:val="22"/>
        </w:rPr>
        <w:t>constrained budget to support capital markets development initiatives leading to a slow pace in growth of the industry</w:t>
      </w:r>
      <w:r w:rsidR="00F600A9" w:rsidRPr="00F15A61">
        <w:rPr>
          <w:rStyle w:val="FootnoteReference"/>
          <w:rFonts w:ascii="Arial Narrow" w:hAnsi="Arial Narrow"/>
          <w:sz w:val="22"/>
          <w:szCs w:val="22"/>
        </w:rPr>
        <w:footnoteReference w:id="55"/>
      </w:r>
      <w:r w:rsidR="00844FA0" w:rsidRPr="00F15A61">
        <w:rPr>
          <w:rFonts w:ascii="Arial Narrow" w:hAnsi="Arial Narrow"/>
          <w:sz w:val="22"/>
          <w:szCs w:val="22"/>
        </w:rPr>
        <w:t xml:space="preserve">. Consequently, there is significant reliance on donor funding for Capital Markets development projects. </w:t>
      </w:r>
      <w:r w:rsidRPr="00F15A61">
        <w:rPr>
          <w:rFonts w:ascii="Arial Narrow" w:hAnsi="Arial Narrow"/>
          <w:sz w:val="22"/>
          <w:szCs w:val="22"/>
        </w:rPr>
        <w:t>g. Moreover, the sanctions imposed for securities violations are less stringent than those of regional peers, diminishing their deterrent value and eroding overall market integrity. These enforcement challenges are compounded by Tanzania’s reliance on outdated monitoring systems, in contrast to the data-driven surveillance technologies employed by more advanced markets.</w:t>
      </w:r>
    </w:p>
    <w:p w14:paraId="2DB7CF1A"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7F90DF66"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Robust enforcement is essential for building investor confidence and maintaining the integrity of Tanzania’s securities markets. While the regulatory framework is supported by a network of specialized institutions, comprehensive legal instruments, and procedural safeguards aimed at promoting transparency and investor protection, enforcement and infrastructure constraints continue to limit effectiveness. Consequently, sustained reform is necessary to fully align with international standards and to foster broader and deeper market development.</w:t>
      </w:r>
    </w:p>
    <w:p w14:paraId="73D74CC7" w14:textId="77777777" w:rsidR="00844FA0" w:rsidRPr="00F15A61" w:rsidRDefault="00844FA0" w:rsidP="00F15A61">
      <w:pPr>
        <w:pStyle w:val="NormalWeb"/>
        <w:spacing w:before="0" w:beforeAutospacing="0" w:after="0" w:afterAutospacing="0"/>
        <w:jc w:val="both"/>
        <w:rPr>
          <w:rFonts w:ascii="Arial Narrow" w:hAnsi="Arial Narrow"/>
          <w:sz w:val="22"/>
          <w:szCs w:val="22"/>
        </w:rPr>
      </w:pPr>
    </w:p>
    <w:p w14:paraId="25A970E5"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Technological limitations represent a further obstacle to full IOSCO compliance. Tanzania’s market infrastructure lacks the sophisticated tools required for real-time trade monitoring and analysis.</w:t>
      </w:r>
      <w:r w:rsidR="00992DD9" w:rsidRPr="00F15A61">
        <w:rPr>
          <w:rFonts w:ascii="Arial Narrow" w:hAnsi="Arial Narrow"/>
          <w:sz w:val="22"/>
          <w:szCs w:val="22"/>
        </w:rPr>
        <w:t xml:space="preserve"> There is limited data sharing mechanism among institutions resulting from limited level of automation in data collection and dissemination</w:t>
      </w:r>
      <w:r w:rsidR="00F600A9" w:rsidRPr="00F15A61">
        <w:rPr>
          <w:rStyle w:val="FootnoteReference"/>
          <w:rFonts w:ascii="Arial Narrow" w:hAnsi="Arial Narrow"/>
          <w:sz w:val="22"/>
          <w:szCs w:val="22"/>
        </w:rPr>
        <w:footnoteReference w:id="56"/>
      </w:r>
      <w:r w:rsidR="00992DD9" w:rsidRPr="00F15A61">
        <w:rPr>
          <w:rFonts w:ascii="Arial Narrow" w:hAnsi="Arial Narrow"/>
          <w:sz w:val="22"/>
          <w:szCs w:val="22"/>
        </w:rPr>
        <w:t>.</w:t>
      </w:r>
      <w:r w:rsidRPr="00F15A61">
        <w:rPr>
          <w:rFonts w:ascii="Arial Narrow" w:hAnsi="Arial Narrow"/>
          <w:sz w:val="22"/>
          <w:szCs w:val="22"/>
        </w:rPr>
        <w:t xml:space="preserve"> Although pilot initiatives for automated trade reporting have shown promise, their widespread implementation remains hampered by financial constraints and technical capacity limitations. The continued reliance on largely manual settlement systems increases operational risk and decreases efficiency, especially when compared to jurisdictions utilizing distributed ledger technology. These technological shortcomings expose the market to manipulation and diminish the confidence of foreign institutional investors who expect advanced surveillance frameworks. Without significant investment in market infrastructure, Tanzania will remain vulnerable to integrity challenges already addressed in more digitized economies.</w:t>
      </w:r>
    </w:p>
    <w:p w14:paraId="705CCBBE"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33012DF6" w14:textId="77777777" w:rsidR="007848F8" w:rsidRPr="00F15A61" w:rsidRDefault="007848F8" w:rsidP="00F15A61">
      <w:pPr>
        <w:pStyle w:val="NormalWeb"/>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Cross-border regulatory cooperation is also underdeveloped.</w:t>
      </w:r>
      <w:r w:rsidR="00F15A61" w:rsidRPr="00F15A61">
        <w:rPr>
          <w:rFonts w:ascii="Arial Narrow" w:hAnsi="Arial Narrow"/>
          <w:sz w:val="22"/>
          <w:szCs w:val="22"/>
        </w:rPr>
        <w:t xml:space="preserve"> Restrictions on foreign ownership in certain industries may deter large-scale investments, reducing the market’s competitiveness compared to regional exchanges with more liberal </w:t>
      </w:r>
      <w:r w:rsidR="00076E79" w:rsidRPr="00F15A61">
        <w:rPr>
          <w:rFonts w:ascii="Arial Narrow" w:hAnsi="Arial Narrow"/>
          <w:sz w:val="22"/>
          <w:szCs w:val="22"/>
        </w:rPr>
        <w:t>policies. Revisiting</w:t>
      </w:r>
      <w:r w:rsidR="00F15A61" w:rsidRPr="00F15A61">
        <w:rPr>
          <w:rFonts w:ascii="Arial Narrow" w:hAnsi="Arial Narrow"/>
          <w:sz w:val="22"/>
          <w:szCs w:val="22"/>
        </w:rPr>
        <w:t xml:space="preserve"> these restrictions, while maintaining safeguards for key </w:t>
      </w:r>
      <w:r w:rsidR="00076E79" w:rsidRPr="00F15A61">
        <w:rPr>
          <w:rFonts w:ascii="Arial Narrow" w:hAnsi="Arial Narrow"/>
          <w:sz w:val="22"/>
          <w:szCs w:val="22"/>
        </w:rPr>
        <w:t>sectors</w:t>
      </w:r>
      <w:r w:rsidR="00F15A61" w:rsidRPr="00F15A61">
        <w:rPr>
          <w:rFonts w:ascii="Arial Narrow" w:hAnsi="Arial Narrow"/>
          <w:sz w:val="22"/>
          <w:szCs w:val="22"/>
        </w:rPr>
        <w:t xml:space="preserve"> could unlock greater capital inflows and stimulate economic growth</w:t>
      </w:r>
      <w:r w:rsidR="00F15A61" w:rsidRPr="00F15A61">
        <w:rPr>
          <w:rStyle w:val="FootnoteReference"/>
          <w:rFonts w:ascii="Arial Narrow" w:hAnsi="Arial Narrow"/>
          <w:sz w:val="22"/>
          <w:szCs w:val="22"/>
        </w:rPr>
        <w:footnoteReference w:id="57"/>
      </w:r>
      <w:r w:rsidR="00F15A61" w:rsidRPr="00F15A61">
        <w:rPr>
          <w:rFonts w:ascii="Arial Narrow" w:hAnsi="Arial Narrow"/>
          <w:sz w:val="22"/>
          <w:szCs w:val="22"/>
        </w:rPr>
        <w:t>.</w:t>
      </w:r>
      <w:r w:rsidR="00F600A9" w:rsidRPr="00F15A61">
        <w:rPr>
          <w:rFonts w:ascii="Arial Narrow" w:hAnsi="Arial Narrow"/>
          <w:sz w:val="22"/>
          <w:szCs w:val="22"/>
        </w:rPr>
        <w:t xml:space="preserve"> Potential for capital loss arising from currency fluctuations leading to low level of participation of foreign investors</w:t>
      </w:r>
      <w:r w:rsidR="00F15A61" w:rsidRPr="00F15A61">
        <w:rPr>
          <w:rStyle w:val="FootnoteReference"/>
          <w:rFonts w:ascii="Arial Narrow" w:hAnsi="Arial Narrow"/>
          <w:sz w:val="22"/>
          <w:szCs w:val="22"/>
        </w:rPr>
        <w:footnoteReference w:id="58"/>
      </w:r>
      <w:r w:rsidR="00F600A9" w:rsidRPr="00F15A61">
        <w:rPr>
          <w:rFonts w:ascii="Arial Narrow" w:hAnsi="Arial Narrow"/>
          <w:sz w:val="22"/>
          <w:szCs w:val="22"/>
        </w:rPr>
        <w:t>.</w:t>
      </w:r>
      <w:r w:rsidRPr="00F15A61">
        <w:rPr>
          <w:rFonts w:ascii="Arial Narrow" w:hAnsi="Arial Narrow"/>
          <w:sz w:val="22"/>
          <w:szCs w:val="22"/>
        </w:rPr>
        <w:t xml:space="preserve"> Despite Tanzania’s membership in regional platforms such as the East </w:t>
      </w:r>
      <w:r w:rsidRPr="00F15A61">
        <w:rPr>
          <w:rFonts w:ascii="Arial Narrow" w:hAnsi="Arial Narrow"/>
          <w:sz w:val="22"/>
          <w:szCs w:val="22"/>
        </w:rPr>
        <w:lastRenderedPageBreak/>
        <w:t>African Securities Regulatory Authorities (EASRA), the country has been slow to formalize bilateral agreements with major financial centers. This has hindered the resolution of transnational enforcement cases. Available data indicates that Tanzania fulfills only a small portion of international information-sharing requests within recommended timelines, trailing regional peers in cross-border cooperation. Weaknesses in data-sharing protocols and legal harmonization further constrain the country’s ability to oversee and regulate international capital flows, creating regulatory blind spots that sophisticated actors may exploit in cases involving insider trading or money laundering.</w:t>
      </w:r>
    </w:p>
    <w:p w14:paraId="4F4D0C9C"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59E99922"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Corporate governance practices among listed Tanzanian companies often fall short of global best practices, particularly concerning insider trading controls and the protection of minority shareholders. </w:t>
      </w:r>
      <w:r w:rsidR="00F600A9" w:rsidRPr="00F15A61">
        <w:rPr>
          <w:rFonts w:ascii="Arial Narrow" w:hAnsi="Arial Narrow"/>
          <w:sz w:val="22"/>
          <w:szCs w:val="22"/>
        </w:rPr>
        <w:t>Lack of an active middle class of investors that leads to illiquid markets and securities being priced significantly below the market’s potential. This can be solved through cross-border issuance of fixed income securities, leveraging on Tanzania’s rich resource base</w:t>
      </w:r>
      <w:r w:rsidR="00F600A9" w:rsidRPr="00F15A61">
        <w:rPr>
          <w:rStyle w:val="FootnoteReference"/>
          <w:rFonts w:ascii="Arial Narrow" w:hAnsi="Arial Narrow"/>
          <w:sz w:val="22"/>
          <w:szCs w:val="22"/>
        </w:rPr>
        <w:footnoteReference w:id="59"/>
      </w:r>
      <w:r w:rsidR="00F600A9" w:rsidRPr="00F15A61">
        <w:rPr>
          <w:rFonts w:ascii="Arial Narrow" w:hAnsi="Arial Narrow"/>
          <w:sz w:val="22"/>
          <w:szCs w:val="22"/>
        </w:rPr>
        <w:t xml:space="preserve">. </w:t>
      </w:r>
      <w:r w:rsidRPr="00F15A61">
        <w:rPr>
          <w:rFonts w:ascii="Arial Narrow" w:hAnsi="Arial Narrow"/>
          <w:sz w:val="22"/>
          <w:szCs w:val="22"/>
        </w:rPr>
        <w:t>Compliance audits reveal widespread deficiencies in internal control systems, with many firms lacking independent audit committees and effective whistleblower mechanisms. Material information disclosures are frequently delayed and inconsistently presented, fostering information asymmetry and disadvantaging retail investors. These governance shortfalls persist despite existing regulatory requirements, suggesting both enforcement inefficiencies and cultural resistance to transparency in parts of the corporate sector. The resulting environment elevates the risk of market abuse and deters both domestic and foreign investors seeking well-regulated investment opportunities.</w:t>
      </w:r>
    </w:p>
    <w:p w14:paraId="71A48CBC"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50B7EAE7"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Structural market limitations further constrain Tanzania’s regulatory environment.</w:t>
      </w:r>
      <w:r w:rsidR="00844FA0" w:rsidRPr="00F15A61">
        <w:rPr>
          <w:rFonts w:ascii="Arial Narrow" w:hAnsi="Arial Narrow"/>
          <w:sz w:val="22"/>
          <w:szCs w:val="22"/>
        </w:rPr>
        <w:t xml:space="preserve"> These include low level of capital markets awareness and literacy; low saving culture; constrained budget to support capital market development initiatives; and limited data sharing mechanism among financial sector players</w:t>
      </w:r>
      <w:r w:rsidR="00F600A9" w:rsidRPr="00F15A61">
        <w:rPr>
          <w:rStyle w:val="FootnoteReference"/>
          <w:rFonts w:ascii="Arial Narrow" w:hAnsi="Arial Narrow"/>
          <w:sz w:val="22"/>
          <w:szCs w:val="22"/>
        </w:rPr>
        <w:footnoteReference w:id="60"/>
      </w:r>
      <w:r w:rsidR="00844FA0" w:rsidRPr="00F15A61">
        <w:rPr>
          <w:rFonts w:ascii="Arial Narrow" w:hAnsi="Arial Narrow"/>
          <w:sz w:val="22"/>
          <w:szCs w:val="22"/>
        </w:rPr>
        <w:t>.</w:t>
      </w:r>
      <w:r w:rsidRPr="00F15A61">
        <w:rPr>
          <w:rFonts w:ascii="Arial Narrow" w:hAnsi="Arial Narrow"/>
          <w:sz w:val="22"/>
          <w:szCs w:val="22"/>
        </w:rPr>
        <w:t xml:space="preserve"> Low liquidity, limited financial instruments, and underdeveloped secondary markets impair effective price discovery and elevate volatility. Retail investor participation remains low by regional standards, influenced by limited financial literacy and lingering mistrust in capital market institutions. Recent financial inclusion strategies have yielded modest results in expanding participation beyond institutional investors. The market’s shallow depth continues to discourage foreign portfolio investors who require sufficient liquidity for timely market entry and exit. Addressing these challenges will require not only regulatory reforms but also broader initiatives to develop supporting financial infrastructure and foster an investment culture within Tanzania’s emerging middle class.</w:t>
      </w:r>
    </w:p>
    <w:p w14:paraId="3ABB7B42" w14:textId="77777777" w:rsidR="007848F8" w:rsidRPr="00F15A61" w:rsidRDefault="007848F8" w:rsidP="00F15A61">
      <w:pPr>
        <w:pStyle w:val="ds-markdown-paragraph"/>
        <w:shd w:val="clear" w:color="auto" w:fill="FFFFFF"/>
        <w:spacing w:before="0" w:beforeAutospacing="0" w:after="0" w:afterAutospacing="0"/>
        <w:jc w:val="both"/>
        <w:rPr>
          <w:rFonts w:ascii="Arial Narrow" w:hAnsi="Arial Narrow"/>
          <w:b/>
          <w:sz w:val="22"/>
          <w:szCs w:val="22"/>
        </w:rPr>
      </w:pPr>
    </w:p>
    <w:p w14:paraId="45745690" w14:textId="77777777" w:rsidR="00E5380D" w:rsidRPr="00F15A61" w:rsidRDefault="00E5380D" w:rsidP="00F15A61">
      <w:pPr>
        <w:pStyle w:val="ds-markdown-paragraph"/>
        <w:shd w:val="clear" w:color="auto" w:fill="FFFFFF"/>
        <w:spacing w:before="0" w:beforeAutospacing="0" w:after="0" w:afterAutospacing="0"/>
        <w:jc w:val="both"/>
        <w:rPr>
          <w:rFonts w:ascii="Arial Narrow" w:hAnsi="Arial Narrow"/>
          <w:b/>
          <w:sz w:val="22"/>
          <w:szCs w:val="22"/>
        </w:rPr>
      </w:pPr>
      <w:r w:rsidRPr="00F15A61">
        <w:rPr>
          <w:rFonts w:ascii="Arial Narrow" w:hAnsi="Arial Narrow"/>
          <w:b/>
          <w:sz w:val="22"/>
          <w:szCs w:val="22"/>
        </w:rPr>
        <w:t>Conclusion</w:t>
      </w:r>
    </w:p>
    <w:p w14:paraId="1B29A603"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This assessment reveals that Tanzania has made significant strides in establishing a regulatory Tanzania has developed a securities market framework that incorporates many key elements of international standards, establishing a dedicated regulator and operational stock exchange as foundational pillars for market development. While this structure provides a basic platform for investor protection and capital mobilization, significant gaps persist in enforcement effectiveness, technological infrastructure, and cross-border coordination. These limitations constrain the market's potential to fully align with global benchmarks and serve as a robust engine for economic growth.</w:t>
      </w:r>
    </w:p>
    <w:p w14:paraId="27D27072" w14:textId="77777777" w:rsidR="00E5380D" w:rsidRPr="00F15A61" w:rsidRDefault="00E5380D" w:rsidP="00F15A61">
      <w:pPr>
        <w:pStyle w:val="NormalWeb"/>
        <w:spacing w:before="0" w:beforeAutospacing="0" w:after="0" w:afterAutospacing="0"/>
        <w:jc w:val="both"/>
        <w:rPr>
          <w:rFonts w:ascii="Arial Narrow" w:hAnsi="Arial Narrow"/>
          <w:sz w:val="22"/>
          <w:szCs w:val="22"/>
        </w:rPr>
      </w:pPr>
    </w:p>
    <w:p w14:paraId="4F309776"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To realize its ambitions for a dynamic and transparent securities market, Tanzania must prioritize reforms to strengthen regulatory capacity, modernize market systems, and deepen regional integration. Critical focus areas include enhancing legal enforcement mechanisms, investing in surveillance technologies, expanding investor education programs, and fostering collaborative relationships with international regulators. By systematically addressing these priorities while adapting global standards to local conditions, Tanzania can build a more resilient and inclusive capital market capable of attracting long-term investment and supporting broader economic transformation.</w:t>
      </w:r>
    </w:p>
    <w:p w14:paraId="162F5FBD"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p>
    <w:p w14:paraId="32788F48"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Recommendation</w:t>
      </w:r>
    </w:p>
    <w:p w14:paraId="561D8AC8" w14:textId="77777777" w:rsidR="00F15A61" w:rsidRPr="00F15A61" w:rsidRDefault="00F15A61"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Tanzania’s securities market framework reflects a commitment to international standards by establishing a formal regulatory authority and operational exchange, laying the groundwork for investor protection and capital mobilization. However, persistent challenges—such as weak enforcement capacity, outdated market infrastructure, and limited cross-border cooperation—continue to hinder the market’s effectiveness and its alignment with global best practices. These deficiencies restrict the market’s ability to attract both domestic and foreign investment, undermining its potential to support inclusive economic development and financial sector growth.</w:t>
      </w:r>
    </w:p>
    <w:p w14:paraId="4661FB63" w14:textId="77777777" w:rsidR="00F15A61" w:rsidRPr="00F15A61" w:rsidRDefault="00F15A61"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To move toward full compliance with IOSCO standards, Tanzania must adopt a multidimensional reform strategy that addresses legal, institutional, and technological constraints. Strengthening regulatory powers, improving disclosure requirements, and investing in advanced surveillance technologies are critical steps. Equally important are efforts to enhance regional coordination, expand investor education, and develop a modern, integrated market infrastructure. These reforms should be adapted to local market conditions and implemented in a sequenced, sustainable manner. By doing so, Tanzania can build a transparent, well-regulated securities market that not only meets international benchmarks but also catalyzes long-term economic transformation and investor confidence.</w:t>
      </w:r>
    </w:p>
    <w:p w14:paraId="37F5F1E9" w14:textId="77777777" w:rsidR="00E5380D" w:rsidRPr="00F15A61" w:rsidRDefault="00E5380D" w:rsidP="00F15A61">
      <w:pPr>
        <w:pStyle w:val="ds-markdown-paragraph"/>
        <w:shd w:val="clear" w:color="auto" w:fill="FFFFFF"/>
        <w:spacing w:before="0" w:beforeAutospacing="0" w:after="0" w:afterAutospacing="0"/>
        <w:jc w:val="both"/>
        <w:rPr>
          <w:rFonts w:ascii="Arial Narrow" w:hAnsi="Arial Narrow"/>
          <w:sz w:val="22"/>
          <w:szCs w:val="22"/>
        </w:rPr>
      </w:pPr>
    </w:p>
    <w:p w14:paraId="714E5587" w14:textId="77777777" w:rsidR="00F15A61" w:rsidRPr="00F15A61" w:rsidRDefault="00F15A61" w:rsidP="00F15A61">
      <w:pPr>
        <w:pStyle w:val="ds-markdown-paragraph"/>
        <w:shd w:val="clear" w:color="auto" w:fill="FFFFFF"/>
        <w:spacing w:before="0" w:beforeAutospacing="0" w:after="0" w:afterAutospacing="0"/>
        <w:jc w:val="both"/>
        <w:rPr>
          <w:rFonts w:ascii="Arial Narrow" w:hAnsi="Arial Narrow"/>
          <w:b/>
        </w:rPr>
      </w:pPr>
    </w:p>
    <w:p w14:paraId="65340CBC" w14:textId="77777777" w:rsidR="00E5380D" w:rsidRPr="00F15A61" w:rsidRDefault="00E5380D" w:rsidP="00F15A61">
      <w:pPr>
        <w:pStyle w:val="ds-markdown-paragraph"/>
        <w:shd w:val="clear" w:color="auto" w:fill="FFFFFF"/>
        <w:spacing w:before="0" w:beforeAutospacing="0" w:after="0" w:afterAutospacing="0"/>
        <w:jc w:val="both"/>
        <w:rPr>
          <w:rFonts w:ascii="Arial Narrow" w:hAnsi="Arial Narrow"/>
        </w:rPr>
      </w:pPr>
      <w:r w:rsidRPr="00F15A61">
        <w:rPr>
          <w:rFonts w:ascii="Arial Narrow" w:hAnsi="Arial Narrow"/>
          <w:b/>
        </w:rPr>
        <w:t>Bibliography</w:t>
      </w:r>
      <w:r w:rsidRPr="00F15A61">
        <w:rPr>
          <w:rFonts w:ascii="Arial Narrow" w:hAnsi="Arial Narrow"/>
        </w:rPr>
        <w:t>.</w:t>
      </w:r>
    </w:p>
    <w:p w14:paraId="18D96955"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Bank of Tanzania Annual Accounts for the Year Ended 30 June 2016, https://www.bot.go.tz/Publications/Financial%20Report/Financial%20Statements/sw/2020021122481739123.pdf</w:t>
      </w:r>
    </w:p>
    <w:p w14:paraId="67AA9DF8"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Capital M</w:t>
      </w:r>
      <w:r w:rsidR="00550A3D">
        <w:rPr>
          <w:rFonts w:ascii="Arial Narrow" w:hAnsi="Arial Narrow"/>
          <w:sz w:val="22"/>
          <w:szCs w:val="22"/>
        </w:rPr>
        <w:t xml:space="preserve">arkets and Securities Act, Cap </w:t>
      </w:r>
      <w:r w:rsidRPr="00205F58">
        <w:rPr>
          <w:rFonts w:ascii="Arial Narrow" w:hAnsi="Arial Narrow"/>
          <w:sz w:val="22"/>
          <w:szCs w:val="22"/>
        </w:rPr>
        <w:t>79, RE 2002</w:t>
      </w:r>
    </w:p>
    <w:p w14:paraId="177B26DC"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Capital Markets and Securities Authorities, Capital Markets intermediaries in Tanzania, 2025, </w:t>
      </w:r>
      <w:hyperlink r:id="rId12" w:history="1">
        <w:r w:rsidRPr="00205F58">
          <w:rPr>
            <w:rStyle w:val="Hyperlink"/>
            <w:rFonts w:ascii="Arial Narrow" w:hAnsi="Arial Narrow"/>
            <w:sz w:val="22"/>
            <w:szCs w:val="22"/>
          </w:rPr>
          <w:t>https://www.cmsa.go.tz/uploads/publications/en-1575981152</w:t>
        </w:r>
      </w:hyperlink>
      <w:r w:rsidRPr="00205F58">
        <w:rPr>
          <w:rFonts w:ascii="Arial Narrow" w:hAnsi="Arial Narrow"/>
          <w:sz w:val="22"/>
          <w:szCs w:val="22"/>
        </w:rPr>
        <w:t xml:space="preserve"> </w:t>
      </w:r>
    </w:p>
    <w:p w14:paraId="6A8E91BF"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Capital Markets and Securities Authority </w:t>
      </w:r>
      <w:r>
        <w:rPr>
          <w:rFonts w:ascii="Arial Narrow" w:hAnsi="Arial Narrow"/>
          <w:sz w:val="22"/>
          <w:szCs w:val="22"/>
        </w:rPr>
        <w:t>CMSA Five Year Strategic Plan for t</w:t>
      </w:r>
      <w:r w:rsidRPr="00205F58">
        <w:rPr>
          <w:rFonts w:ascii="Arial Narrow" w:hAnsi="Arial Narrow"/>
          <w:sz w:val="22"/>
          <w:szCs w:val="22"/>
        </w:rPr>
        <w:t xml:space="preserve">he Financial Years 2018/19-2022/23 June, 2018, </w:t>
      </w:r>
      <w:hyperlink r:id="rId13" w:history="1">
        <w:r w:rsidRPr="00205F58">
          <w:rPr>
            <w:rStyle w:val="Hyperlink"/>
            <w:rFonts w:ascii="Arial Narrow" w:hAnsi="Arial Narrow"/>
            <w:sz w:val="22"/>
            <w:szCs w:val="22"/>
          </w:rPr>
          <w:t>https://www.cmsa.go.tz/uploads/publications/en-1576064406-</w:t>
        </w:r>
      </w:hyperlink>
      <w:r w:rsidRPr="00205F58">
        <w:rPr>
          <w:rFonts w:ascii="Arial Narrow" w:hAnsi="Arial Narrow"/>
          <w:sz w:val="22"/>
          <w:szCs w:val="22"/>
        </w:rPr>
        <w:t xml:space="preserve"> </w:t>
      </w:r>
    </w:p>
    <w:p w14:paraId="7A7A45B1"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Cheng, Z., Ding, Y. and Xiong, D., </w:t>
      </w:r>
      <w:r w:rsidRPr="00205F58">
        <w:rPr>
          <w:rFonts w:ascii="Arial Narrow" w:hAnsi="Arial Narrow" w:cs="Times New Roman"/>
          <w:i/>
          <w:sz w:val="22"/>
          <w:szCs w:val="22"/>
          <w:shd w:val="clear" w:color="auto" w:fill="FFFFFF"/>
        </w:rPr>
        <w:t>Promoting efficiency through openness: Internationalization of capital markets and enterprises’ overseas investment efficiency</w:t>
      </w:r>
      <w:r w:rsidRPr="00205F58">
        <w:rPr>
          <w:rFonts w:ascii="Arial Narrow" w:hAnsi="Arial Narrow" w:cs="Times New Roman"/>
          <w:sz w:val="22"/>
          <w:szCs w:val="22"/>
          <w:shd w:val="clear" w:color="auto" w:fill="FFFFFF"/>
        </w:rPr>
        <w:t>, 2025, </w:t>
      </w:r>
      <w:r w:rsidRPr="00205F58">
        <w:rPr>
          <w:rFonts w:ascii="Arial Narrow" w:hAnsi="Arial Narrow" w:cs="Times New Roman"/>
          <w:iCs/>
          <w:sz w:val="22"/>
          <w:szCs w:val="22"/>
          <w:shd w:val="clear" w:color="auto" w:fill="FFFFFF"/>
        </w:rPr>
        <w:t>Finance Research Letters</w:t>
      </w:r>
      <w:r w:rsidRPr="00205F58">
        <w:rPr>
          <w:rFonts w:ascii="Arial Narrow" w:hAnsi="Arial Narrow" w:cs="Times New Roman"/>
          <w:sz w:val="22"/>
          <w:szCs w:val="22"/>
          <w:shd w:val="clear" w:color="auto" w:fill="FFFFFF"/>
        </w:rPr>
        <w:t>, p.107994.</w:t>
      </w:r>
      <w:r w:rsidRPr="00205F58">
        <w:rPr>
          <w:rFonts w:ascii="Arial Narrow" w:hAnsi="Arial Narrow" w:cs="Times New Roman"/>
          <w:sz w:val="22"/>
          <w:szCs w:val="22"/>
        </w:rPr>
        <w:t xml:space="preserve"> </w:t>
      </w:r>
      <w:hyperlink r:id="rId14" w:history="1">
        <w:r w:rsidRPr="00205F58">
          <w:rPr>
            <w:rStyle w:val="Hyperlink"/>
            <w:rFonts w:ascii="Arial Narrow" w:hAnsi="Arial Narrow" w:cs="Times New Roman"/>
            <w:color w:val="auto"/>
            <w:sz w:val="22"/>
            <w:szCs w:val="22"/>
            <w:u w:val="none"/>
            <w:shd w:val="clear" w:color="auto" w:fill="FFFFFF"/>
          </w:rPr>
          <w:t>https://www.sciencedirect.com/science/article/abs/pii/S1544612325012528</w:t>
        </w:r>
      </w:hyperlink>
      <w:r w:rsidRPr="00205F58">
        <w:rPr>
          <w:rFonts w:ascii="Arial Narrow" w:hAnsi="Arial Narrow" w:cs="Times New Roman"/>
          <w:sz w:val="22"/>
          <w:szCs w:val="22"/>
          <w:shd w:val="clear" w:color="auto" w:fill="FFFFFF"/>
        </w:rPr>
        <w:t>.</w:t>
      </w:r>
    </w:p>
    <w:p w14:paraId="3FD09A6D"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Cortina, J.J., Martinez Peria, M.S., Schmukler, S.L. and Xiao, J.,</w:t>
      </w:r>
      <w:r w:rsidRPr="00205F58">
        <w:rPr>
          <w:rFonts w:ascii="Arial Narrow" w:hAnsi="Arial Narrow" w:cs="Times New Roman"/>
          <w:i/>
          <w:sz w:val="22"/>
          <w:szCs w:val="22"/>
          <w:shd w:val="clear" w:color="auto" w:fill="FFFFFF"/>
        </w:rPr>
        <w:t>The internationalization of China’s equity markets.</w:t>
      </w:r>
      <w:r w:rsidRPr="00205F58">
        <w:rPr>
          <w:rFonts w:ascii="Arial Narrow" w:hAnsi="Arial Narrow" w:cs="Times New Roman"/>
          <w:sz w:val="22"/>
          <w:szCs w:val="22"/>
          <w:shd w:val="clear" w:color="auto" w:fill="FFFFFF"/>
        </w:rPr>
        <w:t> </w:t>
      </w:r>
      <w:r w:rsidRPr="00205F58">
        <w:rPr>
          <w:rFonts w:ascii="Arial Narrow" w:hAnsi="Arial Narrow" w:cs="Times New Roman"/>
          <w:iCs/>
          <w:sz w:val="22"/>
          <w:szCs w:val="22"/>
          <w:shd w:val="clear" w:color="auto" w:fill="FFFFFF"/>
        </w:rPr>
        <w:t>IMF Economic Review</w:t>
      </w:r>
      <w:r w:rsidRPr="00205F58">
        <w:rPr>
          <w:rFonts w:ascii="Arial Narrow" w:hAnsi="Arial Narrow" w:cs="Times New Roman"/>
          <w:sz w:val="22"/>
          <w:szCs w:val="22"/>
          <w:shd w:val="clear" w:color="auto" w:fill="FFFFFF"/>
        </w:rPr>
        <w:t xml:space="preserve">, 2024, </w:t>
      </w:r>
      <w:r w:rsidRPr="00205F58">
        <w:rPr>
          <w:rFonts w:ascii="Arial Narrow" w:hAnsi="Arial Narrow" w:cs="Times New Roman"/>
          <w:i/>
          <w:iCs/>
          <w:sz w:val="22"/>
          <w:szCs w:val="22"/>
          <w:shd w:val="clear" w:color="auto" w:fill="FFFFFF"/>
        </w:rPr>
        <w:t>72</w:t>
      </w:r>
      <w:r w:rsidRPr="00205F58">
        <w:rPr>
          <w:rFonts w:ascii="Arial Narrow" w:hAnsi="Arial Narrow" w:cs="Times New Roman"/>
          <w:sz w:val="22"/>
          <w:szCs w:val="22"/>
          <w:shd w:val="clear" w:color="auto" w:fill="FFFFFF"/>
        </w:rPr>
        <w:t>(2), pp.554-610.</w:t>
      </w:r>
      <w:r w:rsidRPr="00205F58">
        <w:rPr>
          <w:rFonts w:ascii="Arial Narrow" w:hAnsi="Arial Narrow" w:cs="Times New Roman"/>
          <w:sz w:val="22"/>
          <w:szCs w:val="22"/>
        </w:rPr>
        <w:t xml:space="preserve"> </w:t>
      </w:r>
      <w:hyperlink r:id="rId15" w:history="1">
        <w:r w:rsidRPr="00205F58">
          <w:rPr>
            <w:rStyle w:val="Hyperlink"/>
            <w:rFonts w:ascii="Arial Narrow" w:hAnsi="Arial Narrow" w:cs="Times New Roman"/>
            <w:color w:val="auto"/>
            <w:sz w:val="22"/>
            <w:szCs w:val="22"/>
            <w:u w:val="none"/>
            <w:shd w:val="clear" w:color="auto" w:fill="FFFFFF"/>
          </w:rPr>
          <w:t>file:///C:/Users/admin/Downloads/null-001.2023.issue-026-en.pdf</w:t>
        </w:r>
      </w:hyperlink>
      <w:r w:rsidRPr="00205F58">
        <w:rPr>
          <w:rFonts w:ascii="Arial Narrow" w:hAnsi="Arial Narrow" w:cs="Times New Roman"/>
          <w:sz w:val="22"/>
          <w:szCs w:val="22"/>
          <w:shd w:val="clear" w:color="auto" w:fill="FFFFFF"/>
        </w:rPr>
        <w:t>.</w:t>
      </w:r>
    </w:p>
    <w:p w14:paraId="40C11CA4"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Dhingra B, Batra S, Aggarwal V, Yadav M, Kumar P. </w:t>
      </w:r>
      <w:r w:rsidRPr="00205F58">
        <w:rPr>
          <w:rFonts w:ascii="Arial Narrow" w:hAnsi="Arial Narrow" w:cs="Arial"/>
          <w:i/>
          <w:sz w:val="22"/>
          <w:szCs w:val="22"/>
          <w:shd w:val="clear" w:color="auto" w:fill="FFFFFF"/>
        </w:rPr>
        <w:t>Stock Market Volatility: A Systematic Review.</w:t>
      </w:r>
      <w:r w:rsidRPr="00205F58">
        <w:rPr>
          <w:rFonts w:ascii="Arial Narrow" w:hAnsi="Arial Narrow" w:cs="Arial"/>
          <w:sz w:val="22"/>
          <w:szCs w:val="22"/>
          <w:shd w:val="clear" w:color="auto" w:fill="FFFFFF"/>
        </w:rPr>
        <w:t xml:space="preserve"> Journal of Modelling in Management. 2024 Mar 13;19(3):925-52.</w:t>
      </w:r>
    </w:p>
    <w:p w14:paraId="4B749FA3"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International Financial Reporting Standards, 2025,</w:t>
      </w:r>
      <w:r w:rsidRPr="00205F58">
        <w:rPr>
          <w:rFonts w:ascii="Arial Narrow" w:hAnsi="Arial Narrow"/>
          <w:sz w:val="22"/>
          <w:szCs w:val="22"/>
        </w:rPr>
        <w:t xml:space="preserve"> </w:t>
      </w:r>
      <w:hyperlink r:id="rId16" w:history="1">
        <w:r w:rsidRPr="00205F58">
          <w:rPr>
            <w:rStyle w:val="Hyperlink"/>
            <w:rFonts w:ascii="Arial Narrow" w:hAnsi="Arial Narrow" w:cs="Arial"/>
            <w:color w:val="auto"/>
            <w:sz w:val="22"/>
            <w:szCs w:val="22"/>
            <w:u w:val="none"/>
            <w:shd w:val="clear" w:color="auto" w:fill="FFFFFF"/>
          </w:rPr>
          <w:t>https://www.iasplus.com/en/standards/ifrs</w:t>
        </w:r>
      </w:hyperlink>
      <w:r w:rsidRPr="00205F58">
        <w:rPr>
          <w:rFonts w:ascii="Arial Narrow" w:hAnsi="Arial Narrow" w:cs="Arial"/>
          <w:sz w:val="22"/>
          <w:szCs w:val="22"/>
          <w:shd w:val="clear" w:color="auto" w:fill="FFFFFF"/>
        </w:rPr>
        <w:t xml:space="preserve">  </w:t>
      </w:r>
    </w:p>
    <w:p w14:paraId="541D04CF"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International Organization for securities commissions, World Investor Week 2025, https://www.iosco.org/news/pdf/IOSCONEWS772.pdf</w:t>
      </w:r>
    </w:p>
    <w:p w14:paraId="784E55CF"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Times New Roman"/>
          <w:sz w:val="22"/>
          <w:szCs w:val="22"/>
        </w:rPr>
        <w:t xml:space="preserve">International Organization of Securities Commissions (IOSCO), </w:t>
      </w:r>
      <w:r w:rsidRPr="00205F58">
        <w:rPr>
          <w:rStyle w:val="Emphasis"/>
          <w:rFonts w:ascii="Arial Narrow" w:hAnsi="Arial Narrow" w:cs="Times New Roman"/>
          <w:i w:val="0"/>
          <w:sz w:val="22"/>
          <w:szCs w:val="22"/>
        </w:rPr>
        <w:t>Objectives and Principles of Securities Regulation</w:t>
      </w:r>
      <w:r w:rsidRPr="00205F58">
        <w:rPr>
          <w:rFonts w:ascii="Arial Narrow" w:hAnsi="Arial Narrow" w:cs="Times New Roman"/>
          <w:i/>
          <w:sz w:val="22"/>
          <w:szCs w:val="22"/>
        </w:rPr>
        <w:t>.</w:t>
      </w:r>
      <w:r w:rsidRPr="00205F58">
        <w:rPr>
          <w:rFonts w:ascii="Arial Narrow" w:hAnsi="Arial Narrow" w:cs="Times New Roman"/>
          <w:sz w:val="22"/>
          <w:szCs w:val="22"/>
        </w:rPr>
        <w:t xml:space="preserve"> 2017, Available at: </w:t>
      </w:r>
      <w:hyperlink r:id="rId17" w:tgtFrame="_new" w:history="1">
        <w:r w:rsidRPr="00205F58">
          <w:rPr>
            <w:rStyle w:val="Hyperlink"/>
            <w:rFonts w:ascii="Arial Narrow" w:hAnsi="Arial Narrow" w:cs="Times New Roman"/>
            <w:color w:val="auto"/>
            <w:sz w:val="22"/>
            <w:szCs w:val="22"/>
            <w:u w:val="none"/>
          </w:rPr>
          <w:t>https://www.iosco.org/library/pubdocs/pdf/IOSCOPD561.pdf</w:t>
        </w:r>
      </w:hyperlink>
      <w:r w:rsidRPr="00205F58">
        <w:rPr>
          <w:rFonts w:ascii="Arial Narrow" w:hAnsi="Arial Narrow" w:cs="Times New Roman"/>
          <w:sz w:val="22"/>
          <w:szCs w:val="22"/>
        </w:rPr>
        <w:t xml:space="preserve"> (Accessed: 17 July 2025).</w:t>
      </w:r>
    </w:p>
    <w:p w14:paraId="703ED384"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International Organizations for Securities Commissions, Objectives and Principles of Securities Regulation, May 2017, p. 1-13,</w:t>
      </w:r>
    </w:p>
    <w:p w14:paraId="35456FC1"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rPr>
        <w:t xml:space="preserve">IOSCO, Objectives and Principles of Securities regulation, 2017, </w:t>
      </w:r>
      <w:hyperlink r:id="rId18" w:history="1">
        <w:r w:rsidRPr="00205F58">
          <w:rPr>
            <w:rStyle w:val="Hyperlink"/>
            <w:rFonts w:ascii="Arial Narrow" w:hAnsi="Arial Narrow" w:cs="Times New Roman"/>
            <w:color w:val="auto"/>
            <w:sz w:val="22"/>
            <w:szCs w:val="22"/>
            <w:u w:val="none"/>
          </w:rPr>
          <w:t>https://www.iosco.org/library/pubdocs/pdf/ioscopd561.pdf</w:t>
        </w:r>
      </w:hyperlink>
      <w:r w:rsidRPr="00205F58">
        <w:rPr>
          <w:rFonts w:ascii="Arial Narrow" w:hAnsi="Arial Narrow" w:cs="Times New Roman"/>
          <w:sz w:val="22"/>
          <w:szCs w:val="22"/>
        </w:rPr>
        <w:t>.</w:t>
      </w:r>
    </w:p>
    <w:p w14:paraId="43DD223E"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Khan A, Verma R, Yadav M.P, Narain. Does Governance Quality Impact Stock Market Development? An Insight of BRICS Economies: A. Khan et al. Asia-Pacific Financial Markets. 2025 Jun;32(2):563-82.</w:t>
      </w:r>
    </w:p>
    <w:p w14:paraId="15778A47"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Liao CH, Tsang A, Wang KT, Zhu NZ. </w:t>
      </w:r>
      <w:r w:rsidRPr="00205F58">
        <w:rPr>
          <w:rFonts w:ascii="Arial Narrow" w:hAnsi="Arial Narrow" w:cs="Arial"/>
          <w:i/>
          <w:sz w:val="22"/>
          <w:szCs w:val="22"/>
          <w:shd w:val="clear" w:color="auto" w:fill="FFFFFF"/>
        </w:rPr>
        <w:t>Corporate Governance Reforms And Cross</w:t>
      </w:r>
      <w:r w:rsidRPr="00205F58">
        <w:rPr>
          <w:rFonts w:ascii="Cambria Math" w:hAnsi="Cambria Math" w:cs="Cambria Math"/>
          <w:i/>
          <w:sz w:val="22"/>
          <w:szCs w:val="22"/>
          <w:shd w:val="clear" w:color="auto" w:fill="FFFFFF"/>
        </w:rPr>
        <w:t>‐</w:t>
      </w:r>
      <w:r w:rsidRPr="00205F58">
        <w:rPr>
          <w:rFonts w:ascii="Arial Narrow" w:hAnsi="Arial Narrow" w:cs="Arial"/>
          <w:i/>
          <w:sz w:val="22"/>
          <w:szCs w:val="22"/>
          <w:shd w:val="clear" w:color="auto" w:fill="FFFFFF"/>
        </w:rPr>
        <w:t>Listings: International Evidence</w:t>
      </w:r>
      <w:r w:rsidRPr="00205F58">
        <w:rPr>
          <w:rFonts w:ascii="Arial Narrow" w:hAnsi="Arial Narrow" w:cs="Arial"/>
          <w:sz w:val="22"/>
          <w:szCs w:val="22"/>
          <w:shd w:val="clear" w:color="auto" w:fill="FFFFFF"/>
        </w:rPr>
        <w:t>. Contemporary Accounting Research. 2022 Mar; 39(1):537-76.</w:t>
      </w:r>
    </w:p>
    <w:p w14:paraId="260092E5"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Marcacci A. Combined Techniques for the Implementation of Securities Standards. In Transnational Securities Regulation: How it Works, Who Shapes it 2022 Nov 26 (pp. 149-185). Cham: Springer International Publishing.</w:t>
      </w:r>
    </w:p>
    <w:p w14:paraId="7F103181"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lastRenderedPageBreak/>
        <w:t>Msangi, K., Stock Exchange: Reformation for growth, (Daily News, December 3, 2024), https://dailynews.co.tz/stock-exchange-reformation-for-growth/</w:t>
      </w:r>
    </w:p>
    <w:p w14:paraId="2B482BA8"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Mwakabumbe C.A. </w:t>
      </w:r>
      <w:r w:rsidRPr="00205F58">
        <w:rPr>
          <w:rFonts w:ascii="Arial Narrow" w:hAnsi="Arial Narrow" w:cs="Arial"/>
          <w:i/>
          <w:sz w:val="22"/>
          <w:szCs w:val="22"/>
          <w:shd w:val="clear" w:color="auto" w:fill="FFFFFF"/>
        </w:rPr>
        <w:t>Investment Planning And Decision-Making Among Individual Investors In Emerging Markets: Evidence From The Dar Es Salaam Stock Exchange, Tanzania.</w:t>
      </w:r>
      <w:r w:rsidRPr="00205F58">
        <w:rPr>
          <w:rFonts w:ascii="Arial Narrow" w:hAnsi="Arial Narrow" w:cs="Arial"/>
          <w:sz w:val="22"/>
          <w:szCs w:val="22"/>
          <w:shd w:val="clear" w:color="auto" w:fill="FFFFFF"/>
        </w:rPr>
        <w:t xml:space="preserve"> East African Journal of Social and Applied Sciences (EAJ-SAS). 2024 Jun 30; 6(1).</w:t>
      </w:r>
    </w:p>
    <w:p w14:paraId="0ABFA75F"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Mwakabumbe C.A., </w:t>
      </w:r>
      <w:r w:rsidRPr="00205F58">
        <w:rPr>
          <w:rFonts w:ascii="Arial Narrow" w:hAnsi="Arial Narrow" w:cs="Arial"/>
          <w:i/>
          <w:sz w:val="22"/>
          <w:szCs w:val="22"/>
          <w:shd w:val="clear" w:color="auto" w:fill="FFFFFF"/>
        </w:rPr>
        <w:t>Investment Planning And Decision-Making Among Individual Investors in Emerging Markets: Evidence From The Dar es Salaam Stock Exchange, Tanzania.</w:t>
      </w:r>
      <w:r w:rsidRPr="00205F58">
        <w:rPr>
          <w:rFonts w:ascii="Arial Narrow" w:hAnsi="Arial Narrow" w:cs="Arial"/>
          <w:sz w:val="22"/>
          <w:szCs w:val="22"/>
          <w:shd w:val="clear" w:color="auto" w:fill="FFFFFF"/>
        </w:rPr>
        <w:t xml:space="preserve"> East African Journal of Social and Applied Sciences (EAJ-SAS). 2024 Jun 30;6(1).</w:t>
      </w:r>
    </w:p>
    <w:p w14:paraId="7584AB18"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Mwakalila E, Kasongwa L. </w:t>
      </w:r>
      <w:r w:rsidRPr="00205F58">
        <w:rPr>
          <w:rFonts w:ascii="Arial Narrow" w:hAnsi="Arial Narrow" w:cs="Arial"/>
          <w:i/>
          <w:sz w:val="22"/>
          <w:szCs w:val="22"/>
          <w:shd w:val="clear" w:color="auto" w:fill="FFFFFF"/>
        </w:rPr>
        <w:t>Monetary Policy Transmission Through Financial Markets In Tanzania: Examining The Macroeconomic Impacts.</w:t>
      </w:r>
      <w:r w:rsidRPr="00205F58">
        <w:rPr>
          <w:rFonts w:ascii="Arial Narrow" w:hAnsi="Arial Narrow" w:cs="Arial"/>
          <w:sz w:val="22"/>
          <w:szCs w:val="22"/>
          <w:shd w:val="clear" w:color="auto" w:fill="FFFFFF"/>
        </w:rPr>
        <w:t xml:space="preserve"> SN Business &amp; Economics. 2025 Jul 16; 5(8):99.</w:t>
      </w:r>
    </w:p>
    <w:p w14:paraId="7DA4B1C6"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Rutagumirwa D.L. </w:t>
      </w:r>
      <w:r w:rsidRPr="00205F58">
        <w:rPr>
          <w:rFonts w:ascii="Arial Narrow" w:hAnsi="Arial Narrow" w:cs="Arial"/>
          <w:i/>
          <w:sz w:val="22"/>
          <w:szCs w:val="22"/>
          <w:shd w:val="clear" w:color="auto" w:fill="FFFFFF"/>
        </w:rPr>
        <w:t>Modelling and Forecasting Stock Market Trend Using Markov Chain Process: A Study of Dar Es Salam Stock Exchange, Tanzania</w:t>
      </w:r>
      <w:r w:rsidRPr="00205F58">
        <w:rPr>
          <w:rFonts w:ascii="Arial Narrow" w:hAnsi="Arial Narrow" w:cs="Arial"/>
          <w:sz w:val="22"/>
          <w:szCs w:val="22"/>
          <w:shd w:val="clear" w:color="auto" w:fill="FFFFFF"/>
        </w:rPr>
        <w:t>. European Journal of Applied Science, Engineering and Technology. 2025 May 26;3(3):214-29.</w:t>
      </w:r>
    </w:p>
    <w:p w14:paraId="3244F516"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Saputra B, Kusniati R., Who's Watching the Machines? IOSCO's Role in Regulating AI in Global Finance. IOSCO's Role in Regulating AI in Global Finance (January 26, 2025). 2025 Jan 26.</w:t>
      </w:r>
    </w:p>
    <w:p w14:paraId="1A7B2616"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Siekkinen J. </w:t>
      </w:r>
      <w:r w:rsidRPr="00205F58">
        <w:rPr>
          <w:rFonts w:ascii="Arial Narrow" w:hAnsi="Arial Narrow" w:cs="Arial"/>
          <w:i/>
          <w:sz w:val="22"/>
          <w:szCs w:val="22"/>
          <w:shd w:val="clear" w:color="auto" w:fill="FFFFFF"/>
        </w:rPr>
        <w:t>Value Relevance of Fair Values in Different Investor Protection Environments</w:t>
      </w:r>
      <w:r w:rsidRPr="00205F58">
        <w:rPr>
          <w:rFonts w:ascii="Arial Narrow" w:hAnsi="Arial Narrow" w:cs="Arial"/>
          <w:sz w:val="22"/>
          <w:szCs w:val="22"/>
          <w:shd w:val="clear" w:color="auto" w:fill="FFFFFF"/>
        </w:rPr>
        <w:t>, Accounting forum 2016 Mar 1 (Vol. 40, No. 1, pp. 1-15). No longer published by Elsevier.</w:t>
      </w:r>
    </w:p>
    <w:p w14:paraId="0170CC59"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Sylidion E, Setonga J.A, Shabani O.P. Unlocking the Potential of Individual Investors Participation: A Glimpse into Tanzania’s Dar es Salaam Stock Exchange (DSE). Ranah Research: Journal of Multidisciplinary Research and Development. 2025 Jun 11;7(5):3250-65.</w:t>
      </w:r>
    </w:p>
    <w:p w14:paraId="5F5C2834"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Tan, Yafei, and Zhaohui Zhu. "The internationalization of capital market and corporate innovation capabilities: A quasi-natural experiment on the inclusion of China's A-shares in the MSCI index." </w:t>
      </w:r>
      <w:r w:rsidRPr="00205F58">
        <w:rPr>
          <w:rFonts w:ascii="Arial Narrow" w:hAnsi="Arial Narrow" w:cs="Times New Roman"/>
          <w:i/>
          <w:iCs/>
          <w:sz w:val="22"/>
          <w:szCs w:val="22"/>
          <w:shd w:val="clear" w:color="auto" w:fill="FFFFFF"/>
        </w:rPr>
        <w:t>International Review of Economics &amp; Finance</w:t>
      </w:r>
      <w:r w:rsidRPr="00205F58">
        <w:rPr>
          <w:rFonts w:ascii="Arial Narrow" w:hAnsi="Arial Narrow" w:cs="Times New Roman"/>
          <w:sz w:val="22"/>
          <w:szCs w:val="22"/>
          <w:shd w:val="clear" w:color="auto" w:fill="FFFFFF"/>
        </w:rPr>
        <w:t> 93 (2024): 1021-1038.</w:t>
      </w:r>
      <w:r w:rsidRPr="00205F58">
        <w:rPr>
          <w:rFonts w:ascii="Arial Narrow" w:hAnsi="Arial Narrow" w:cs="Times New Roman"/>
          <w:sz w:val="22"/>
          <w:szCs w:val="22"/>
        </w:rPr>
        <w:t xml:space="preserve"> </w:t>
      </w:r>
      <w:hyperlink r:id="rId19" w:history="1">
        <w:r w:rsidRPr="00205F58">
          <w:rPr>
            <w:rStyle w:val="Hyperlink"/>
            <w:rFonts w:ascii="Arial Narrow" w:hAnsi="Arial Narrow" w:cs="Times New Roman"/>
            <w:color w:val="auto"/>
            <w:sz w:val="22"/>
            <w:szCs w:val="22"/>
            <w:u w:val="none"/>
            <w:shd w:val="clear" w:color="auto" w:fill="FFFFFF"/>
          </w:rPr>
          <w:t>https://www.sciencedirect.com/science/article/abs/pii/S1059056024002259</w:t>
        </w:r>
      </w:hyperlink>
      <w:r w:rsidRPr="00205F58">
        <w:rPr>
          <w:rFonts w:ascii="Arial Narrow" w:hAnsi="Arial Narrow" w:cs="Times New Roman"/>
          <w:sz w:val="22"/>
          <w:szCs w:val="22"/>
          <w:shd w:val="clear" w:color="auto" w:fill="FFFFFF"/>
        </w:rPr>
        <w:t>.</w:t>
      </w:r>
    </w:p>
    <w:p w14:paraId="6D7F43BB"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The Companies Act Cap 212, RE 2002</w:t>
      </w:r>
    </w:p>
    <w:p w14:paraId="4656575E" w14:textId="77777777" w:rsidR="0058704B" w:rsidRPr="00205F58" w:rsidRDefault="0058704B" w:rsidP="0058704B">
      <w:pPr>
        <w:pStyle w:val="Heading6"/>
        <w:shd w:val="clear" w:color="auto" w:fill="FFFFFF"/>
        <w:spacing w:before="0"/>
        <w:ind w:left="1440" w:hanging="1440"/>
        <w:jc w:val="both"/>
        <w:rPr>
          <w:rFonts w:ascii="Arial Narrow" w:hAnsi="Arial Narrow"/>
          <w:i w:val="0"/>
          <w:color w:val="auto"/>
        </w:rPr>
      </w:pPr>
      <w:r w:rsidRPr="00205F58">
        <w:rPr>
          <w:rFonts w:ascii="Arial Narrow" w:hAnsi="Arial Narrow"/>
          <w:bCs/>
          <w:i w:val="0"/>
          <w:color w:val="auto"/>
        </w:rPr>
        <w:t>The United Republic of Tanzania,</w:t>
      </w:r>
      <w:r w:rsidRPr="00205F58">
        <w:rPr>
          <w:rFonts w:ascii="Arial Narrow" w:hAnsi="Arial Narrow"/>
          <w:b/>
          <w:bCs/>
          <w:i w:val="0"/>
          <w:color w:val="auto"/>
        </w:rPr>
        <w:t xml:space="preserve"> </w:t>
      </w:r>
      <w:r w:rsidRPr="00205F58">
        <w:rPr>
          <w:rFonts w:ascii="Arial Narrow" w:hAnsi="Arial Narrow"/>
          <w:i w:val="0"/>
          <w:color w:val="auto"/>
        </w:rPr>
        <w:t>Capital Market and Securities Authority: Regulatory Framework, 2025, https://www.cmsa.go.tz/pages/regulatory-framework.</w:t>
      </w:r>
    </w:p>
    <w:p w14:paraId="7962837E"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rPr>
        <w:t xml:space="preserve">United Republic of Tanzania, Capital Markets and Securities Authorities, 2025, </w:t>
      </w:r>
      <w:hyperlink r:id="rId20" w:history="1">
        <w:r w:rsidRPr="00205F58">
          <w:rPr>
            <w:rStyle w:val="Hyperlink"/>
            <w:rFonts w:ascii="Arial Narrow" w:hAnsi="Arial Narrow" w:cs="Times New Roman"/>
            <w:color w:val="auto"/>
            <w:sz w:val="22"/>
            <w:szCs w:val="22"/>
            <w:u w:val="none"/>
          </w:rPr>
          <w:t>https://www.cmsa.go.tz/welcome/homepage</w:t>
        </w:r>
      </w:hyperlink>
      <w:r w:rsidRPr="00205F58">
        <w:rPr>
          <w:rFonts w:ascii="Arial Narrow" w:hAnsi="Arial Narrow" w:cs="Times New Roman"/>
          <w:sz w:val="22"/>
          <w:szCs w:val="22"/>
        </w:rPr>
        <w:t>.</w:t>
      </w:r>
    </w:p>
    <w:p w14:paraId="535B6A84"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United Republic of Tanzania, Tanzania Financial Stability Report, December 2023,p. 64, https://www.bot.go.tz/Publications/Regular/Financial%20Stability/en/2024062708424936.pdf</w:t>
      </w:r>
    </w:p>
    <w:p w14:paraId="75121999" w14:textId="77777777" w:rsidR="0058704B" w:rsidRPr="00205F58" w:rsidRDefault="0058704B" w:rsidP="0058704B">
      <w:pPr>
        <w:pStyle w:val="Heading2"/>
        <w:shd w:val="clear" w:color="auto" w:fill="FFFFFF"/>
        <w:spacing w:before="0" w:line="240" w:lineRule="auto"/>
        <w:ind w:left="1440" w:hanging="1440"/>
        <w:jc w:val="both"/>
        <w:rPr>
          <w:rFonts w:ascii="Arial Narrow" w:hAnsi="Arial Narrow"/>
          <w:b w:val="0"/>
          <w:color w:val="auto"/>
          <w:spacing w:val="-15"/>
          <w:sz w:val="22"/>
          <w:szCs w:val="22"/>
        </w:rPr>
      </w:pPr>
      <w:r w:rsidRPr="00205F58">
        <w:rPr>
          <w:rFonts w:ascii="Arial Narrow" w:hAnsi="Arial Narrow"/>
          <w:b w:val="0"/>
          <w:color w:val="auto"/>
          <w:sz w:val="22"/>
          <w:szCs w:val="22"/>
        </w:rPr>
        <w:t>US Department of Treasury,</w:t>
      </w:r>
      <w:r w:rsidRPr="00205F58">
        <w:rPr>
          <w:rStyle w:val="Heading3Char"/>
          <w:rFonts w:ascii="Arial Narrow" w:eastAsiaTheme="majorEastAsia" w:hAnsi="Arial Narrow"/>
          <w:b/>
          <w:color w:val="auto"/>
          <w:spacing w:val="-15"/>
          <w:sz w:val="22"/>
          <w:szCs w:val="22"/>
        </w:rPr>
        <w:t xml:space="preserve"> </w:t>
      </w:r>
      <w:r w:rsidRPr="00205F58">
        <w:rPr>
          <w:rStyle w:val="field"/>
          <w:rFonts w:ascii="Arial Narrow" w:hAnsi="Arial Narrow"/>
          <w:b w:val="0"/>
          <w:color w:val="auto"/>
          <w:spacing w:val="-15"/>
          <w:sz w:val="22"/>
          <w:szCs w:val="22"/>
        </w:rPr>
        <w:t>Financial Action Task Force (FATF), 2025,</w:t>
      </w:r>
      <w:r w:rsidRPr="00205F58">
        <w:rPr>
          <w:rFonts w:ascii="Arial Narrow" w:hAnsi="Arial Narrow"/>
          <w:b w:val="0"/>
          <w:color w:val="auto"/>
          <w:sz w:val="22"/>
          <w:szCs w:val="22"/>
        </w:rPr>
        <w:t xml:space="preserve"> </w:t>
      </w:r>
      <w:r w:rsidRPr="00205F58">
        <w:rPr>
          <w:rStyle w:val="field"/>
          <w:rFonts w:ascii="Arial Narrow" w:hAnsi="Arial Narrow"/>
          <w:b w:val="0"/>
          <w:color w:val="auto"/>
          <w:spacing w:val="-15"/>
          <w:sz w:val="22"/>
          <w:szCs w:val="22"/>
        </w:rPr>
        <w:t>https:// home.treasury.gov/about/offices/terrorism-and-financial-intelligence/terrorist-financing-and-financial-crimes/financial-action-task-force-fatf.</w:t>
      </w:r>
    </w:p>
    <w:p w14:paraId="526D0601" w14:textId="77777777" w:rsidR="0058704B" w:rsidRPr="00205F58" w:rsidRDefault="0058704B" w:rsidP="0058704B">
      <w:pPr>
        <w:pStyle w:val="ds-markdown-paragraph"/>
        <w:shd w:val="clear" w:color="auto" w:fill="FFFFFF"/>
        <w:spacing w:before="0" w:beforeAutospacing="0" w:after="0" w:afterAutospacing="0"/>
        <w:ind w:left="1440" w:hanging="1440"/>
        <w:jc w:val="both"/>
        <w:rPr>
          <w:rFonts w:ascii="Arial Narrow" w:hAnsi="Arial Narrow"/>
          <w:sz w:val="22"/>
          <w:szCs w:val="22"/>
        </w:rPr>
      </w:pPr>
      <w:r w:rsidRPr="00205F58">
        <w:rPr>
          <w:rFonts w:ascii="Arial Narrow" w:hAnsi="Arial Narrow"/>
          <w:sz w:val="22"/>
          <w:szCs w:val="22"/>
        </w:rPr>
        <w:t xml:space="preserve">World Bank. </w:t>
      </w:r>
      <w:r w:rsidRPr="00205F58">
        <w:rPr>
          <w:rStyle w:val="Emphasis"/>
          <w:rFonts w:ascii="Arial Narrow" w:hAnsi="Arial Narrow"/>
          <w:i w:val="0"/>
          <w:sz w:val="22"/>
          <w:szCs w:val="22"/>
        </w:rPr>
        <w:t>Fairness and Enforcement in Global Securities Markets</w:t>
      </w:r>
      <w:r w:rsidRPr="00205F58">
        <w:rPr>
          <w:rFonts w:ascii="Arial Narrow" w:hAnsi="Arial Narrow"/>
          <w:i/>
          <w:sz w:val="22"/>
          <w:szCs w:val="22"/>
        </w:rPr>
        <w:t>.</w:t>
      </w:r>
      <w:r w:rsidRPr="00205F58">
        <w:rPr>
          <w:rFonts w:ascii="Arial Narrow" w:hAnsi="Arial Narrow"/>
          <w:sz w:val="22"/>
          <w:szCs w:val="22"/>
        </w:rPr>
        <w:t xml:space="preserve"> 2020. </w:t>
      </w:r>
      <w:hyperlink r:id="rId21" w:tgtFrame="_new" w:history="1">
        <w:r w:rsidRPr="00205F58">
          <w:rPr>
            <w:rStyle w:val="Hyperlink"/>
            <w:rFonts w:ascii="Arial Narrow" w:hAnsi="Arial Narrow"/>
            <w:color w:val="auto"/>
            <w:sz w:val="22"/>
            <w:szCs w:val="22"/>
            <w:u w:val="none"/>
          </w:rPr>
          <w:t>www.worldbank.org</w:t>
        </w:r>
      </w:hyperlink>
      <w:r w:rsidRPr="00205F58">
        <w:rPr>
          <w:rFonts w:ascii="Arial Narrow" w:hAnsi="Arial Narrow"/>
          <w:sz w:val="22"/>
          <w:szCs w:val="22"/>
        </w:rPr>
        <w:t xml:space="preserve">. </w:t>
      </w:r>
    </w:p>
    <w:p w14:paraId="3B8C4548" w14:textId="77777777" w:rsidR="00E5380D" w:rsidRPr="00F15A61" w:rsidRDefault="00E5380D" w:rsidP="00F15A61">
      <w:pPr>
        <w:spacing w:after="0" w:line="240" w:lineRule="auto"/>
        <w:jc w:val="both"/>
        <w:rPr>
          <w:rFonts w:ascii="Arial Narrow" w:hAnsi="Arial Narrow" w:cs="Times New Roman"/>
          <w:sz w:val="24"/>
          <w:szCs w:val="24"/>
        </w:rPr>
      </w:pPr>
    </w:p>
    <w:p w14:paraId="0F4AAABC" w14:textId="77777777" w:rsidR="00E5380D" w:rsidRPr="00F15A61" w:rsidRDefault="00E5380D" w:rsidP="00F15A61">
      <w:pPr>
        <w:spacing w:after="0" w:line="240" w:lineRule="auto"/>
        <w:jc w:val="both"/>
        <w:rPr>
          <w:rFonts w:ascii="Arial Narrow" w:hAnsi="Arial Narrow" w:cs="Times New Roman"/>
          <w:sz w:val="24"/>
          <w:szCs w:val="24"/>
        </w:rPr>
      </w:pPr>
    </w:p>
    <w:p w14:paraId="3E849E07" w14:textId="77777777" w:rsidR="00E5380D" w:rsidRPr="00F15A61" w:rsidRDefault="00E5380D" w:rsidP="00F15A61">
      <w:pPr>
        <w:spacing w:after="0" w:line="240" w:lineRule="auto"/>
        <w:rPr>
          <w:rFonts w:ascii="Arial Narrow" w:hAnsi="Arial Narrow" w:cs="Times New Roman"/>
          <w:sz w:val="24"/>
          <w:szCs w:val="24"/>
        </w:rPr>
      </w:pPr>
    </w:p>
    <w:p w14:paraId="00AF4112" w14:textId="77777777" w:rsidR="00B12735" w:rsidRPr="00F15A61" w:rsidRDefault="00B12735" w:rsidP="00F15A61">
      <w:pPr>
        <w:pStyle w:val="NormalWeb"/>
        <w:shd w:val="clear" w:color="auto" w:fill="FFFFFF"/>
        <w:spacing w:before="0" w:beforeAutospacing="0" w:after="0" w:afterAutospacing="0"/>
        <w:jc w:val="both"/>
        <w:rPr>
          <w:rFonts w:ascii="Arial Narrow" w:hAnsi="Arial Narrow"/>
        </w:rPr>
      </w:pPr>
    </w:p>
    <w:p w14:paraId="5E6010CD" w14:textId="77777777"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14:paraId="26716A55" w14:textId="77777777"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14:paraId="6809065C" w14:textId="77777777" w:rsidR="00AC53B2" w:rsidRPr="00F15A61" w:rsidRDefault="00AC53B2" w:rsidP="00F15A61">
      <w:pPr>
        <w:pStyle w:val="NormalWeb"/>
        <w:shd w:val="clear" w:color="auto" w:fill="FFFFFF"/>
        <w:spacing w:before="0" w:beforeAutospacing="0" w:after="0" w:afterAutospacing="0"/>
        <w:jc w:val="both"/>
        <w:rPr>
          <w:rFonts w:ascii="Arial Narrow" w:hAnsi="Arial Narrow"/>
        </w:rPr>
      </w:pPr>
    </w:p>
    <w:sectPr w:rsidR="00AC53B2" w:rsidRPr="00F15A61" w:rsidSect="00E02E70">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5-07-30T11:42:00Z" w:initials="U">
    <w:p w14:paraId="79FCA246" w14:textId="77777777" w:rsidR="00002683" w:rsidRDefault="00002683">
      <w:pPr>
        <w:pStyle w:val="CommentText"/>
      </w:pPr>
      <w:r>
        <w:rPr>
          <w:rStyle w:val="CommentReference"/>
        </w:rPr>
        <w:annotationRef/>
      </w:r>
      <w:r>
        <w:t>Use a suitable word “this study”</w:t>
      </w:r>
    </w:p>
    <w:p w14:paraId="4FEF5B89" w14:textId="302AEE17" w:rsidR="00002683" w:rsidRDefault="00002683">
      <w:pPr>
        <w:pStyle w:val="CommentText"/>
      </w:pPr>
      <w:r>
        <w:t xml:space="preserve"> </w:t>
      </w:r>
    </w:p>
  </w:comment>
  <w:comment w:id="1" w:author="USER" w:date="2025-07-30T11:44:00Z" w:initials="U">
    <w:p w14:paraId="14C9BAB6" w14:textId="79F58AC5" w:rsidR="00002683" w:rsidRDefault="00002683">
      <w:pPr>
        <w:pStyle w:val="CommentText"/>
      </w:pPr>
      <w:r>
        <w:rPr>
          <w:rStyle w:val="CommentReference"/>
        </w:rPr>
        <w:annotationRef/>
      </w:r>
      <w:r>
        <w:t>Use “the study examine</w:t>
      </w:r>
      <w:r w:rsidR="00E554B2">
        <w:t>d</w:t>
      </w:r>
      <w:r>
        <w:t xml:space="preserve"> the effect of </w:t>
      </w:r>
      <w:r w:rsidRPr="00F15A61">
        <w:rPr>
          <w:rFonts w:ascii="Arial Narrow" w:eastAsia="Times New Roman" w:hAnsi="Arial Narrow" w:cs="Times New Roman"/>
        </w:rPr>
        <w:t>Tanzania’s legal and regulatory framework governing securities markets by highlighting the roles of the Capital Markets and Securities Authority (CMSA), the Dar es Salaam Stock Exchange (DSE), and the Bank of Tanzania</w:t>
      </w:r>
      <w:r w:rsidR="00E554B2">
        <w:rPr>
          <w:rFonts w:ascii="Arial Narrow" w:eastAsia="Times New Roman" w:hAnsi="Arial Narrow" w:cs="Times New Roman"/>
        </w:rPr>
        <w:t>.</w:t>
      </w:r>
    </w:p>
  </w:comment>
  <w:comment w:id="2" w:author="USER" w:date="2025-07-30T11:48:00Z" w:initials="U">
    <w:p w14:paraId="5D0AF054" w14:textId="05518444" w:rsidR="009B1607" w:rsidRDefault="009B1607" w:rsidP="00F02CB6">
      <w:pPr>
        <w:pStyle w:val="CommentText"/>
      </w:pPr>
      <w:r>
        <w:rPr>
          <w:rStyle w:val="CommentReference"/>
        </w:rPr>
        <w:annotationRef/>
      </w:r>
      <w:r>
        <w:t>Recast and add source</w:t>
      </w:r>
      <w:r w:rsidR="00F02CB6">
        <w:t xml:space="preserve"> (Suggestion: </w:t>
      </w:r>
      <w:r w:rsidR="00F02CB6" w:rsidRPr="00F02CB6">
        <w:t>This growth of the markets for securities has brought in an enormous number of investors, and numerous companies have turned to cross-listing in many countries to access more capital. But without effective regulation through a robust legal framework, players in such markets are still exposed to abuses that can compromise fairness and the overall integrity of trading in securities.</w:t>
      </w:r>
      <w:r w:rsidR="00F02CB6">
        <w:t>)</w:t>
      </w:r>
    </w:p>
  </w:comment>
  <w:comment w:id="3" w:author="USER" w:date="2025-07-30T12:07:00Z" w:initials="U">
    <w:p w14:paraId="746B643B" w14:textId="47824507" w:rsidR="00A87395" w:rsidRDefault="00A87395">
      <w:pPr>
        <w:pStyle w:val="CommentText"/>
      </w:pPr>
      <w:r>
        <w:rPr>
          <w:rStyle w:val="CommentReference"/>
        </w:rPr>
        <w:annotationRef/>
      </w:r>
      <w:r>
        <w:t>This statement disjointed. Please let the author reconstruct it.</w:t>
      </w:r>
    </w:p>
  </w:comment>
  <w:comment w:id="4" w:author="USER" w:date="2025-07-30T12:09:00Z" w:initials="U">
    <w:p w14:paraId="4DFDA113" w14:textId="33ACA8F6" w:rsidR="00B307F4" w:rsidRDefault="00B307F4">
      <w:pPr>
        <w:pStyle w:val="CommentText"/>
      </w:pPr>
      <w:r>
        <w:rPr>
          <w:rStyle w:val="CommentReference"/>
        </w:rPr>
        <w:annotationRef/>
      </w:r>
      <w:r>
        <w:t xml:space="preserve">Join this paragraph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EF5B89" w15:done="0"/>
  <w15:commentEx w15:paraId="14C9BAB6" w15:done="0"/>
  <w15:commentEx w15:paraId="5D0AF054" w15:done="0"/>
  <w15:commentEx w15:paraId="746B643B" w15:done="0"/>
  <w15:commentEx w15:paraId="4DFDA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2E7615" w16cex:dateUtc="2025-07-30T10:42:00Z"/>
  <w16cex:commentExtensible w16cex:durableId="64F5B1EF" w16cex:dateUtc="2025-07-30T10:44:00Z"/>
  <w16cex:commentExtensible w16cex:durableId="0B8E953D" w16cex:dateUtc="2025-07-30T10:48:00Z"/>
  <w16cex:commentExtensible w16cex:durableId="684050EC" w16cex:dateUtc="2025-07-30T11:07:00Z"/>
  <w16cex:commentExtensible w16cex:durableId="1013AAFD" w16cex:dateUtc="2025-07-30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EF5B89" w16cid:durableId="522E7615"/>
  <w16cid:commentId w16cid:paraId="14C9BAB6" w16cid:durableId="64F5B1EF"/>
  <w16cid:commentId w16cid:paraId="5D0AF054" w16cid:durableId="0B8E953D"/>
  <w16cid:commentId w16cid:paraId="746B643B" w16cid:durableId="684050EC"/>
  <w16cid:commentId w16cid:paraId="4DFDA113" w16cid:durableId="1013A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AB2F" w14:textId="77777777" w:rsidR="005D2F4B" w:rsidRDefault="005D2F4B" w:rsidP="00CE6DDA">
      <w:pPr>
        <w:spacing w:after="0" w:line="240" w:lineRule="auto"/>
      </w:pPr>
      <w:r>
        <w:separator/>
      </w:r>
    </w:p>
  </w:endnote>
  <w:endnote w:type="continuationSeparator" w:id="0">
    <w:p w14:paraId="63479B7E" w14:textId="77777777" w:rsidR="005D2F4B" w:rsidRDefault="005D2F4B" w:rsidP="00C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3EAE" w14:textId="77777777" w:rsidR="008D0316" w:rsidRDefault="008D0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4579"/>
      <w:docPartObj>
        <w:docPartGallery w:val="Page Numbers (Bottom of Page)"/>
        <w:docPartUnique/>
      </w:docPartObj>
    </w:sdtPr>
    <w:sdtContent>
      <w:p w14:paraId="694C40BB" w14:textId="77777777" w:rsidR="00D65E8E" w:rsidRDefault="00A11FA4">
        <w:pPr>
          <w:pStyle w:val="Footer"/>
          <w:jc w:val="center"/>
        </w:pPr>
        <w:r>
          <w:fldChar w:fldCharType="begin"/>
        </w:r>
        <w:r>
          <w:instrText xml:space="preserve"> PAGE   \* MERGEFORMAT </w:instrText>
        </w:r>
        <w:r>
          <w:fldChar w:fldCharType="separate"/>
        </w:r>
        <w:r w:rsidR="00550A3D">
          <w:rPr>
            <w:noProof/>
          </w:rPr>
          <w:t>1</w:t>
        </w:r>
        <w:r>
          <w:rPr>
            <w:noProof/>
          </w:rPr>
          <w:fldChar w:fldCharType="end"/>
        </w:r>
      </w:p>
    </w:sdtContent>
  </w:sdt>
  <w:p w14:paraId="2D5C3B1F" w14:textId="77777777" w:rsidR="00D65E8E" w:rsidRDefault="00D65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FB08" w14:textId="77777777" w:rsidR="008D0316" w:rsidRDefault="008D0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26AE" w14:textId="77777777" w:rsidR="005D2F4B" w:rsidRDefault="005D2F4B" w:rsidP="00CE6DDA">
      <w:pPr>
        <w:spacing w:after="0" w:line="240" w:lineRule="auto"/>
      </w:pPr>
      <w:r>
        <w:separator/>
      </w:r>
    </w:p>
  </w:footnote>
  <w:footnote w:type="continuationSeparator" w:id="0">
    <w:p w14:paraId="1CB71C01" w14:textId="77777777" w:rsidR="005D2F4B" w:rsidRDefault="005D2F4B" w:rsidP="00CE6DDA">
      <w:pPr>
        <w:spacing w:after="0" w:line="240" w:lineRule="auto"/>
      </w:pPr>
      <w:r>
        <w:continuationSeparator/>
      </w:r>
    </w:p>
  </w:footnote>
  <w:footnote w:id="1">
    <w:p w14:paraId="355B2C5D"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p.3 </w:t>
      </w:r>
      <w:hyperlink r:id="rId1"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2">
    <w:p w14:paraId="05C1CDB8"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 xml:space="preserve">Cheng, Z., Ding, Y. and Xiong, D., </w:t>
      </w:r>
      <w:r w:rsidRPr="00550A3D">
        <w:rPr>
          <w:rFonts w:ascii="Arial Narrow" w:hAnsi="Arial Narrow" w:cs="Times New Roman"/>
          <w:i/>
          <w:shd w:val="clear" w:color="auto" w:fill="FFFFFF"/>
        </w:rPr>
        <w:t>Promoting efficiency through openness: Internationalization of capital markets and enterprises’ overseas investment efficiency</w:t>
      </w:r>
      <w:r w:rsidRPr="00550A3D">
        <w:rPr>
          <w:rFonts w:ascii="Arial Narrow" w:hAnsi="Arial Narrow" w:cs="Times New Roman"/>
          <w:shd w:val="clear" w:color="auto" w:fill="FFFFFF"/>
        </w:rPr>
        <w:t>, 2025, </w:t>
      </w:r>
      <w:r w:rsidRPr="00550A3D">
        <w:rPr>
          <w:rFonts w:ascii="Arial Narrow" w:hAnsi="Arial Narrow" w:cs="Times New Roman"/>
          <w:iCs/>
          <w:shd w:val="clear" w:color="auto" w:fill="FFFFFF"/>
        </w:rPr>
        <w:t>Finance Research Letters</w:t>
      </w:r>
      <w:r w:rsidRPr="00550A3D">
        <w:rPr>
          <w:rFonts w:ascii="Arial Narrow" w:hAnsi="Arial Narrow" w:cs="Times New Roman"/>
          <w:shd w:val="clear" w:color="auto" w:fill="FFFFFF"/>
        </w:rPr>
        <w:t>, p.107994.</w:t>
      </w:r>
      <w:r w:rsidRPr="00550A3D">
        <w:rPr>
          <w:rFonts w:ascii="Arial Narrow" w:hAnsi="Arial Narrow" w:cs="Times New Roman"/>
        </w:rPr>
        <w:t xml:space="preserve"> </w:t>
      </w:r>
      <w:hyperlink r:id="rId2" w:history="1">
        <w:r w:rsidRPr="00550A3D">
          <w:rPr>
            <w:rStyle w:val="Hyperlink"/>
            <w:rFonts w:ascii="Arial Narrow" w:hAnsi="Arial Narrow" w:cs="Times New Roman"/>
            <w:color w:val="auto"/>
            <w:u w:val="none"/>
            <w:shd w:val="clear" w:color="auto" w:fill="FFFFFF"/>
          </w:rPr>
          <w:t>https://www.sciencedirect.com/science/article/abs/pii/S1544612325012528</w:t>
        </w:r>
      </w:hyperlink>
      <w:r w:rsidRPr="00550A3D">
        <w:rPr>
          <w:rFonts w:ascii="Arial Narrow" w:hAnsi="Arial Narrow" w:cs="Times New Roman"/>
          <w:shd w:val="clear" w:color="auto" w:fill="FFFFFF"/>
        </w:rPr>
        <w:t>.</w:t>
      </w:r>
    </w:p>
  </w:footnote>
  <w:footnote w:id="3">
    <w:p w14:paraId="76FDCED4"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Cortina, J.J., Martinez Peria, M.S., Schmukler, S.L. and Xiao, J.,</w:t>
      </w:r>
      <w:r w:rsidRPr="00550A3D">
        <w:rPr>
          <w:rFonts w:ascii="Arial Narrow" w:hAnsi="Arial Narrow" w:cs="Times New Roman"/>
          <w:i/>
          <w:shd w:val="clear" w:color="auto" w:fill="FFFFFF"/>
        </w:rPr>
        <w:t>The internationalization of China’s equity markets.</w:t>
      </w:r>
      <w:r w:rsidRPr="00550A3D">
        <w:rPr>
          <w:rFonts w:ascii="Arial Narrow" w:hAnsi="Arial Narrow" w:cs="Times New Roman"/>
          <w:shd w:val="clear" w:color="auto" w:fill="FFFFFF"/>
        </w:rPr>
        <w:t> </w:t>
      </w:r>
      <w:r w:rsidRPr="00550A3D">
        <w:rPr>
          <w:rFonts w:ascii="Arial Narrow" w:hAnsi="Arial Narrow" w:cs="Times New Roman"/>
          <w:iCs/>
          <w:shd w:val="clear" w:color="auto" w:fill="FFFFFF"/>
        </w:rPr>
        <w:t>IMF Economic Review</w:t>
      </w:r>
      <w:r w:rsidRPr="00550A3D">
        <w:rPr>
          <w:rFonts w:ascii="Arial Narrow" w:hAnsi="Arial Narrow" w:cs="Times New Roman"/>
          <w:shd w:val="clear" w:color="auto" w:fill="FFFFFF"/>
        </w:rPr>
        <w:t xml:space="preserve">, 2024, </w:t>
      </w:r>
      <w:r w:rsidRPr="00550A3D">
        <w:rPr>
          <w:rFonts w:ascii="Arial Narrow" w:hAnsi="Arial Narrow" w:cs="Times New Roman"/>
          <w:i/>
          <w:iCs/>
          <w:shd w:val="clear" w:color="auto" w:fill="FFFFFF"/>
        </w:rPr>
        <w:t>72</w:t>
      </w:r>
      <w:r w:rsidRPr="00550A3D">
        <w:rPr>
          <w:rFonts w:ascii="Arial Narrow" w:hAnsi="Arial Narrow" w:cs="Times New Roman"/>
          <w:shd w:val="clear" w:color="auto" w:fill="FFFFFF"/>
        </w:rPr>
        <w:t>(2), pp.554-610.</w:t>
      </w:r>
      <w:r w:rsidRPr="00550A3D">
        <w:rPr>
          <w:rFonts w:ascii="Arial Narrow" w:hAnsi="Arial Narrow" w:cs="Times New Roman"/>
        </w:rPr>
        <w:t xml:space="preserve"> </w:t>
      </w:r>
      <w:hyperlink r:id="rId3" w:history="1">
        <w:r w:rsidRPr="00550A3D">
          <w:rPr>
            <w:rStyle w:val="Hyperlink"/>
            <w:rFonts w:ascii="Arial Narrow" w:hAnsi="Arial Narrow" w:cs="Times New Roman"/>
            <w:color w:val="auto"/>
            <w:u w:val="none"/>
            <w:shd w:val="clear" w:color="auto" w:fill="FFFFFF"/>
          </w:rPr>
          <w:t>file:///C:/Users/admin/Downloads/null-001.2023.issue-026-en.pdf</w:t>
        </w:r>
      </w:hyperlink>
      <w:r w:rsidR="00AF289B" w:rsidRPr="00550A3D">
        <w:rPr>
          <w:rFonts w:ascii="Arial Narrow" w:hAnsi="Arial Narrow" w:cs="Times New Roman"/>
          <w:shd w:val="clear" w:color="auto" w:fill="FFFFFF"/>
        </w:rPr>
        <w:t>.</w:t>
      </w:r>
    </w:p>
  </w:footnote>
  <w:footnote w:id="4">
    <w:p w14:paraId="01F483B2"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p.11 </w:t>
      </w:r>
      <w:hyperlink r:id="rId4"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5">
    <w:p w14:paraId="1C6CEDB4"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Tan, Yafei, and Zhaohui Zhu. "The internationalization of capital market and corporate innovation capabilities: A quasi-natural experiment on the inclusion of China's A-shares in the MSCI index." </w:t>
      </w:r>
      <w:r w:rsidRPr="00550A3D">
        <w:rPr>
          <w:rFonts w:ascii="Arial Narrow" w:hAnsi="Arial Narrow" w:cs="Times New Roman"/>
          <w:i/>
          <w:iCs/>
          <w:shd w:val="clear" w:color="auto" w:fill="FFFFFF"/>
        </w:rPr>
        <w:t>International Review of Economics &amp; Finance</w:t>
      </w:r>
      <w:r w:rsidRPr="00550A3D">
        <w:rPr>
          <w:rFonts w:ascii="Arial Narrow" w:hAnsi="Arial Narrow" w:cs="Times New Roman"/>
          <w:shd w:val="clear" w:color="auto" w:fill="FFFFFF"/>
        </w:rPr>
        <w:t> 93 (2024): 1021-1038.</w:t>
      </w:r>
      <w:r w:rsidRPr="00550A3D">
        <w:rPr>
          <w:rFonts w:ascii="Arial Narrow" w:hAnsi="Arial Narrow" w:cs="Times New Roman"/>
        </w:rPr>
        <w:t xml:space="preserve"> </w:t>
      </w:r>
      <w:hyperlink r:id="rId5" w:history="1">
        <w:r w:rsidRPr="00550A3D">
          <w:rPr>
            <w:rStyle w:val="Hyperlink"/>
            <w:rFonts w:ascii="Arial Narrow" w:hAnsi="Arial Narrow" w:cs="Times New Roman"/>
            <w:color w:val="auto"/>
            <w:u w:val="none"/>
            <w:shd w:val="clear" w:color="auto" w:fill="FFFFFF"/>
          </w:rPr>
          <w:t>https://www.sciencedirect.com/science/article/abs/pii/S1059056024002259</w:t>
        </w:r>
      </w:hyperlink>
      <w:r w:rsidR="00AF289B" w:rsidRPr="00550A3D">
        <w:rPr>
          <w:rFonts w:ascii="Arial Narrow" w:hAnsi="Arial Narrow" w:cs="Times New Roman"/>
          <w:shd w:val="clear" w:color="auto" w:fill="FFFFFF"/>
        </w:rPr>
        <w:t>.</w:t>
      </w:r>
    </w:p>
  </w:footnote>
  <w:footnote w:id="6">
    <w:p w14:paraId="19E7C20D"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United Republic of Tanzania, Capital Markets and Securities Authorities, 2025, </w:t>
      </w:r>
      <w:hyperlink r:id="rId6" w:history="1">
        <w:r w:rsidRPr="00550A3D">
          <w:rPr>
            <w:rStyle w:val="Hyperlink"/>
            <w:rFonts w:ascii="Arial Narrow" w:hAnsi="Arial Narrow" w:cs="Times New Roman"/>
            <w:color w:val="auto"/>
            <w:u w:val="none"/>
          </w:rPr>
          <w:t>https://www.cmsa.go.tz/welcome/homepage</w:t>
        </w:r>
      </w:hyperlink>
      <w:r w:rsidR="00AF289B" w:rsidRPr="00550A3D">
        <w:rPr>
          <w:rFonts w:ascii="Arial Narrow" w:hAnsi="Arial Narrow" w:cs="Times New Roman"/>
        </w:rPr>
        <w:t>.</w:t>
      </w:r>
    </w:p>
  </w:footnote>
  <w:footnote w:id="7">
    <w:p w14:paraId="6B0C24EB"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w:t>
      </w:r>
    </w:p>
  </w:footnote>
  <w:footnote w:id="8">
    <w:p w14:paraId="4BF12E0D"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9">
    <w:p w14:paraId="7E808B1A"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Rutagumirwa D</w:t>
      </w:r>
      <w:r w:rsidR="00AF289B" w:rsidRPr="00550A3D">
        <w:rPr>
          <w:rFonts w:ascii="Arial Narrow" w:hAnsi="Arial Narrow" w:cs="Arial"/>
          <w:shd w:val="clear" w:color="auto" w:fill="FFFFFF"/>
        </w:rPr>
        <w:t>.</w:t>
      </w:r>
      <w:r w:rsidRPr="00550A3D">
        <w:rPr>
          <w:rFonts w:ascii="Arial Narrow" w:hAnsi="Arial Narrow" w:cs="Arial"/>
          <w:shd w:val="clear" w:color="auto" w:fill="FFFFFF"/>
        </w:rPr>
        <w:t xml:space="preserve">L. </w:t>
      </w:r>
      <w:r w:rsidRPr="00550A3D">
        <w:rPr>
          <w:rFonts w:ascii="Arial Narrow" w:hAnsi="Arial Narrow" w:cs="Arial"/>
          <w:i/>
          <w:shd w:val="clear" w:color="auto" w:fill="FFFFFF"/>
        </w:rPr>
        <w:t>Modelling and Forecasting Stock Market Trend Using Markov Chain Process: A Study of Dar Es Salam Stock Exchange, Tanzania</w:t>
      </w:r>
      <w:r w:rsidRPr="00550A3D">
        <w:rPr>
          <w:rFonts w:ascii="Arial Narrow" w:hAnsi="Arial Narrow" w:cs="Arial"/>
          <w:shd w:val="clear" w:color="auto" w:fill="FFFFFF"/>
        </w:rPr>
        <w:t>. European Journal of Applied Science, Engineering and Technology. 2025 May 26;3(3):214-29.</w:t>
      </w:r>
    </w:p>
  </w:footnote>
  <w:footnote w:id="10">
    <w:p w14:paraId="2465513E"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Mwakalila E, Kasongwa L. </w:t>
      </w:r>
      <w:r w:rsidRPr="00550A3D">
        <w:rPr>
          <w:rFonts w:ascii="Arial Narrow" w:hAnsi="Arial Narrow" w:cs="Arial"/>
          <w:i/>
          <w:shd w:val="clear" w:color="auto" w:fill="FFFFFF"/>
        </w:rPr>
        <w:t xml:space="preserve">Monetary </w:t>
      </w:r>
      <w:r w:rsidR="00AF289B" w:rsidRPr="00550A3D">
        <w:rPr>
          <w:rFonts w:ascii="Arial Narrow" w:hAnsi="Arial Narrow" w:cs="Arial"/>
          <w:i/>
          <w:shd w:val="clear" w:color="auto" w:fill="FFFFFF"/>
        </w:rPr>
        <w:t xml:space="preserve">Policy Transmission Through Financial Markets In </w:t>
      </w:r>
      <w:r w:rsidRPr="00550A3D">
        <w:rPr>
          <w:rFonts w:ascii="Arial Narrow" w:hAnsi="Arial Narrow" w:cs="Arial"/>
          <w:i/>
          <w:shd w:val="clear" w:color="auto" w:fill="FFFFFF"/>
        </w:rPr>
        <w:t>Tanzania</w:t>
      </w:r>
      <w:r w:rsidR="00AF289B" w:rsidRPr="00550A3D">
        <w:rPr>
          <w:rFonts w:ascii="Arial Narrow" w:hAnsi="Arial Narrow" w:cs="Arial"/>
          <w:i/>
          <w:shd w:val="clear" w:color="auto" w:fill="FFFFFF"/>
        </w:rPr>
        <w:t>: Examining The Macroeconomic Impacts.</w:t>
      </w:r>
      <w:r w:rsidR="00AF289B" w:rsidRPr="00550A3D">
        <w:rPr>
          <w:rFonts w:ascii="Arial Narrow" w:hAnsi="Arial Narrow" w:cs="Arial"/>
          <w:shd w:val="clear" w:color="auto" w:fill="FFFFFF"/>
        </w:rPr>
        <w:t xml:space="preserve"> </w:t>
      </w:r>
      <w:r w:rsidRPr="00550A3D">
        <w:rPr>
          <w:rFonts w:ascii="Arial Narrow" w:hAnsi="Arial Narrow" w:cs="Arial"/>
          <w:shd w:val="clear" w:color="auto" w:fill="FFFFFF"/>
        </w:rPr>
        <w:t>SN Business &amp; Economics. 2025 Jul 16</w:t>
      </w:r>
      <w:r w:rsidR="00AF289B" w:rsidRPr="00550A3D">
        <w:rPr>
          <w:rFonts w:ascii="Arial Narrow" w:hAnsi="Arial Narrow" w:cs="Arial"/>
          <w:shd w:val="clear" w:color="auto" w:fill="FFFFFF"/>
        </w:rPr>
        <w:t>; 5</w:t>
      </w:r>
      <w:r w:rsidRPr="00550A3D">
        <w:rPr>
          <w:rFonts w:ascii="Arial Narrow" w:hAnsi="Arial Narrow" w:cs="Arial"/>
          <w:shd w:val="clear" w:color="auto" w:fill="FFFFFF"/>
        </w:rPr>
        <w:t>(8):99.</w:t>
      </w:r>
    </w:p>
  </w:footnote>
  <w:footnote w:id="11">
    <w:p w14:paraId="5DEA8778"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United Republic of Tanzania, </w:t>
      </w:r>
      <w:r w:rsidR="00AF289B" w:rsidRPr="00550A3D">
        <w:rPr>
          <w:rFonts w:ascii="Arial Narrow" w:hAnsi="Arial Narrow"/>
        </w:rPr>
        <w:t>Tanzania Financial Stability Report</w:t>
      </w:r>
      <w:r w:rsidRPr="00550A3D">
        <w:rPr>
          <w:rFonts w:ascii="Arial Narrow" w:hAnsi="Arial Narrow"/>
        </w:rPr>
        <w:t>, December 2023,p. 64, https://www.bot.go.tz/Publications/Regular/Financial%20Stability/en/2024062708424936.pdf</w:t>
      </w:r>
    </w:p>
  </w:footnote>
  <w:footnote w:id="12">
    <w:p w14:paraId="095BFF88"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AF289B" w:rsidRPr="00550A3D">
        <w:rPr>
          <w:rFonts w:ascii="Arial Narrow" w:hAnsi="Arial Narrow"/>
        </w:rPr>
        <w:t>Ibid.</w:t>
      </w:r>
    </w:p>
  </w:footnote>
  <w:footnote w:id="13">
    <w:p w14:paraId="2966BE54"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AF289B" w:rsidRPr="00550A3D">
        <w:rPr>
          <w:rFonts w:ascii="Arial Narrow" w:hAnsi="Arial Narrow"/>
        </w:rPr>
        <w:t xml:space="preserve"> Ibid.</w:t>
      </w:r>
    </w:p>
  </w:footnote>
  <w:footnote w:id="14">
    <w:p w14:paraId="65A05FA6"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Msangi, K., Stock Exchange: Reformation for growth, (Daily News, December 3, 2024), https://dailynews.co.tz/stock-exchange-reformation-for-growth/</w:t>
      </w:r>
    </w:p>
  </w:footnote>
  <w:footnote w:id="15">
    <w:p w14:paraId="548259EA"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Mwakabumbe C</w:t>
      </w:r>
      <w:r w:rsidR="00AF289B" w:rsidRPr="00550A3D">
        <w:rPr>
          <w:rFonts w:ascii="Arial Narrow" w:hAnsi="Arial Narrow" w:cs="Arial"/>
          <w:shd w:val="clear" w:color="auto" w:fill="FFFFFF"/>
        </w:rPr>
        <w:t>.</w:t>
      </w:r>
      <w:r w:rsidRPr="00550A3D">
        <w:rPr>
          <w:rFonts w:ascii="Arial Narrow" w:hAnsi="Arial Narrow" w:cs="Arial"/>
          <w:shd w:val="clear" w:color="auto" w:fill="FFFFFF"/>
        </w:rPr>
        <w:t xml:space="preserve">A. </w:t>
      </w:r>
      <w:r w:rsidR="00AF289B" w:rsidRPr="00550A3D">
        <w:rPr>
          <w:rFonts w:ascii="Arial Narrow" w:hAnsi="Arial Narrow" w:cs="Arial"/>
          <w:i/>
          <w:shd w:val="clear" w:color="auto" w:fill="FFFFFF"/>
        </w:rPr>
        <w:t>Investment Planning And Decision-Making Among Individual Investors In Emerging Markets: Evidence From The Dar Es Salaam Stock Exchange, Tanzania.</w:t>
      </w:r>
      <w:r w:rsidRPr="00550A3D">
        <w:rPr>
          <w:rFonts w:ascii="Arial Narrow" w:hAnsi="Arial Narrow" w:cs="Arial"/>
          <w:shd w:val="clear" w:color="auto" w:fill="FFFFFF"/>
        </w:rPr>
        <w:t xml:space="preserve"> East African Journal of Social and Applied Sciences (EAJ-SAS). 2024 Jun 30</w:t>
      </w:r>
      <w:r w:rsidR="00AF289B" w:rsidRPr="00550A3D">
        <w:rPr>
          <w:rFonts w:ascii="Arial Narrow" w:hAnsi="Arial Narrow" w:cs="Arial"/>
          <w:shd w:val="clear" w:color="auto" w:fill="FFFFFF"/>
        </w:rPr>
        <w:t>; 6</w:t>
      </w:r>
      <w:r w:rsidRPr="00550A3D">
        <w:rPr>
          <w:rFonts w:ascii="Arial Narrow" w:hAnsi="Arial Narrow" w:cs="Arial"/>
          <w:shd w:val="clear" w:color="auto" w:fill="FFFFFF"/>
        </w:rPr>
        <w:t>(1).</w:t>
      </w:r>
    </w:p>
  </w:footnote>
  <w:footnote w:id="16">
    <w:p w14:paraId="27C05474"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International Organization for securities commissions, World Investor Week 2025, https://www.iosco.org/news/pdf/IOSCONEWS772.pdf</w:t>
      </w:r>
    </w:p>
  </w:footnote>
  <w:footnote w:id="17">
    <w:p w14:paraId="1874B5F1"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International Organizations for Securities Commissions, Objectives and Principles of Securities Regulation, May 2017, p. 1-13,</w:t>
      </w:r>
    </w:p>
  </w:footnote>
  <w:footnote w:id="18">
    <w:p w14:paraId="5074A32F"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9109B4" w:rsidRPr="00550A3D">
        <w:rPr>
          <w:rFonts w:ascii="Arial Narrow" w:hAnsi="Arial Narrow"/>
        </w:rPr>
        <w:t xml:space="preserve"> Ibid,</w:t>
      </w:r>
      <w:r w:rsidRPr="00550A3D">
        <w:rPr>
          <w:rFonts w:ascii="Arial Narrow" w:hAnsi="Arial Narrow"/>
        </w:rPr>
        <w:t>p.3</w:t>
      </w:r>
    </w:p>
  </w:footnote>
  <w:footnote w:id="19">
    <w:p w14:paraId="25A52A9A"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International Financial Reporting Standards, 2025,</w:t>
      </w:r>
      <w:r w:rsidRPr="00550A3D">
        <w:rPr>
          <w:rFonts w:ascii="Arial Narrow" w:hAnsi="Arial Narrow"/>
        </w:rPr>
        <w:t xml:space="preserve"> </w:t>
      </w:r>
      <w:hyperlink r:id="rId7" w:history="1">
        <w:r w:rsidRPr="00550A3D">
          <w:rPr>
            <w:rStyle w:val="Hyperlink"/>
            <w:rFonts w:ascii="Arial Narrow" w:hAnsi="Arial Narrow" w:cs="Arial"/>
            <w:color w:val="auto"/>
            <w:u w:val="none"/>
            <w:shd w:val="clear" w:color="auto" w:fill="FFFFFF"/>
          </w:rPr>
          <w:t>https://www.iasplus.com/en/standards/ifrs</w:t>
        </w:r>
      </w:hyperlink>
      <w:r w:rsidRPr="00550A3D">
        <w:rPr>
          <w:rFonts w:ascii="Arial Narrow" w:hAnsi="Arial Narrow" w:cs="Arial"/>
          <w:shd w:val="clear" w:color="auto" w:fill="FFFFFF"/>
        </w:rPr>
        <w:t xml:space="preserve">  </w:t>
      </w:r>
    </w:p>
  </w:footnote>
  <w:footnote w:id="20">
    <w:p w14:paraId="4C601855" w14:textId="77777777" w:rsidR="00D52E4E" w:rsidRPr="00550A3D" w:rsidRDefault="00D52E4E" w:rsidP="00550A3D">
      <w:pPr>
        <w:pStyle w:val="Heading2"/>
        <w:shd w:val="clear" w:color="auto" w:fill="FFFFFF"/>
        <w:spacing w:before="0" w:line="240" w:lineRule="auto"/>
        <w:jc w:val="both"/>
        <w:rPr>
          <w:rFonts w:ascii="Arial Narrow" w:hAnsi="Arial Narrow"/>
          <w:b w:val="0"/>
          <w:color w:val="auto"/>
          <w:spacing w:val="-15"/>
          <w:sz w:val="20"/>
          <w:szCs w:val="20"/>
        </w:rPr>
      </w:pPr>
      <w:r w:rsidRPr="00550A3D">
        <w:rPr>
          <w:rStyle w:val="FootnoteReference"/>
          <w:rFonts w:ascii="Arial Narrow" w:hAnsi="Arial Narrow"/>
          <w:b w:val="0"/>
          <w:color w:val="auto"/>
          <w:sz w:val="20"/>
          <w:szCs w:val="20"/>
        </w:rPr>
        <w:footnoteRef/>
      </w:r>
      <w:r w:rsidRPr="00550A3D">
        <w:rPr>
          <w:rFonts w:ascii="Arial Narrow" w:hAnsi="Arial Narrow"/>
          <w:color w:val="auto"/>
          <w:sz w:val="20"/>
          <w:szCs w:val="20"/>
        </w:rPr>
        <w:t xml:space="preserve"> </w:t>
      </w:r>
      <w:r w:rsidRPr="00550A3D">
        <w:rPr>
          <w:rFonts w:ascii="Arial Narrow" w:hAnsi="Arial Narrow"/>
          <w:b w:val="0"/>
          <w:color w:val="auto"/>
          <w:sz w:val="20"/>
          <w:szCs w:val="20"/>
        </w:rPr>
        <w:t>US Department of Treasury,</w:t>
      </w:r>
      <w:r w:rsidRPr="00550A3D">
        <w:rPr>
          <w:rStyle w:val="Heading3Char"/>
          <w:rFonts w:ascii="Arial Narrow" w:eastAsiaTheme="majorEastAsia" w:hAnsi="Arial Narrow"/>
          <w:b/>
          <w:color w:val="auto"/>
          <w:spacing w:val="-15"/>
          <w:sz w:val="20"/>
          <w:szCs w:val="20"/>
        </w:rPr>
        <w:t xml:space="preserve"> </w:t>
      </w:r>
      <w:r w:rsidRPr="00550A3D">
        <w:rPr>
          <w:rStyle w:val="field"/>
          <w:rFonts w:ascii="Arial Narrow" w:hAnsi="Arial Narrow"/>
          <w:b w:val="0"/>
          <w:color w:val="auto"/>
          <w:spacing w:val="-15"/>
          <w:sz w:val="20"/>
          <w:szCs w:val="20"/>
        </w:rPr>
        <w:t>Financial Action Task Force (FATF), 2025,</w:t>
      </w:r>
      <w:r w:rsidRPr="00550A3D">
        <w:rPr>
          <w:rFonts w:ascii="Arial Narrow" w:hAnsi="Arial Narrow"/>
          <w:b w:val="0"/>
          <w:color w:val="auto"/>
          <w:sz w:val="20"/>
          <w:szCs w:val="20"/>
        </w:rPr>
        <w:t xml:space="preserve"> </w:t>
      </w:r>
      <w:r w:rsidRPr="00550A3D">
        <w:rPr>
          <w:rStyle w:val="field"/>
          <w:rFonts w:ascii="Arial Narrow" w:hAnsi="Arial Narrow"/>
          <w:b w:val="0"/>
          <w:color w:val="auto"/>
          <w:spacing w:val="-15"/>
          <w:sz w:val="20"/>
          <w:szCs w:val="20"/>
        </w:rPr>
        <w:t>https://home.treasury.gov/about/offices/terrorism-and-financial-intelligence/terrorist-financing-and-financial-crimes/financial-action-task-force-fatf.</w:t>
      </w:r>
    </w:p>
    <w:p w14:paraId="1D924C2C" w14:textId="77777777" w:rsidR="00D52E4E" w:rsidRPr="00550A3D" w:rsidRDefault="00D52E4E" w:rsidP="00550A3D">
      <w:pPr>
        <w:pStyle w:val="FootnoteText"/>
        <w:jc w:val="both"/>
        <w:rPr>
          <w:rFonts w:ascii="Arial Narrow" w:hAnsi="Arial Narrow"/>
        </w:rPr>
      </w:pPr>
    </w:p>
  </w:footnote>
  <w:footnote w:id="21">
    <w:p w14:paraId="1080FEEA"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Liao CH, Tsang A, Wang KT, Zhu NZ. </w:t>
      </w:r>
      <w:r w:rsidRPr="00550A3D">
        <w:rPr>
          <w:rFonts w:ascii="Arial Narrow" w:hAnsi="Arial Narrow" w:cs="Arial"/>
          <w:i/>
          <w:shd w:val="clear" w:color="auto" w:fill="FFFFFF"/>
        </w:rPr>
        <w:t xml:space="preserve">Corporate </w:t>
      </w:r>
      <w:r w:rsidR="009109B4" w:rsidRPr="00550A3D">
        <w:rPr>
          <w:rFonts w:ascii="Arial Narrow" w:hAnsi="Arial Narrow" w:cs="Arial"/>
          <w:i/>
          <w:shd w:val="clear" w:color="auto" w:fill="FFFFFF"/>
        </w:rPr>
        <w:t>Governance Reforms And Cross</w:t>
      </w:r>
      <w:r w:rsidR="009109B4" w:rsidRPr="00550A3D">
        <w:rPr>
          <w:rFonts w:ascii="Cambria Math" w:hAnsi="Cambria Math" w:cs="Cambria Math"/>
          <w:i/>
          <w:shd w:val="clear" w:color="auto" w:fill="FFFFFF"/>
        </w:rPr>
        <w:t>‐</w:t>
      </w:r>
      <w:r w:rsidR="009109B4" w:rsidRPr="00550A3D">
        <w:rPr>
          <w:rFonts w:ascii="Arial Narrow" w:hAnsi="Arial Narrow" w:cs="Arial"/>
          <w:i/>
          <w:shd w:val="clear" w:color="auto" w:fill="FFFFFF"/>
        </w:rPr>
        <w:t xml:space="preserve">Listings: </w:t>
      </w:r>
      <w:r w:rsidRPr="00550A3D">
        <w:rPr>
          <w:rFonts w:ascii="Arial Narrow" w:hAnsi="Arial Narrow" w:cs="Arial"/>
          <w:i/>
          <w:shd w:val="clear" w:color="auto" w:fill="FFFFFF"/>
        </w:rPr>
        <w:t xml:space="preserve">International </w:t>
      </w:r>
      <w:r w:rsidR="009109B4" w:rsidRPr="00550A3D">
        <w:rPr>
          <w:rFonts w:ascii="Arial Narrow" w:hAnsi="Arial Narrow" w:cs="Arial"/>
          <w:i/>
          <w:shd w:val="clear" w:color="auto" w:fill="FFFFFF"/>
        </w:rPr>
        <w:t>Evidence</w:t>
      </w:r>
      <w:r w:rsidRPr="00550A3D">
        <w:rPr>
          <w:rFonts w:ascii="Arial Narrow" w:hAnsi="Arial Narrow" w:cs="Arial"/>
          <w:shd w:val="clear" w:color="auto" w:fill="FFFFFF"/>
        </w:rPr>
        <w:t>. Contemporary Accounting Research. 2022 Mar</w:t>
      </w:r>
      <w:r w:rsidR="009109B4" w:rsidRPr="00550A3D">
        <w:rPr>
          <w:rFonts w:ascii="Arial Narrow" w:hAnsi="Arial Narrow" w:cs="Arial"/>
          <w:shd w:val="clear" w:color="auto" w:fill="FFFFFF"/>
        </w:rPr>
        <w:t>; 39</w:t>
      </w:r>
      <w:r w:rsidRPr="00550A3D">
        <w:rPr>
          <w:rFonts w:ascii="Arial Narrow" w:hAnsi="Arial Narrow" w:cs="Arial"/>
          <w:shd w:val="clear" w:color="auto" w:fill="FFFFFF"/>
        </w:rPr>
        <w:t>(1):537-76.</w:t>
      </w:r>
    </w:p>
  </w:footnote>
  <w:footnote w:id="22">
    <w:p w14:paraId="3FC0230F"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3">
    <w:p w14:paraId="490DDE4D"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cs="Arial"/>
          <w:shd w:val="clear" w:color="auto" w:fill="FFFFFF"/>
        </w:rPr>
        <w:t xml:space="preserve">Khan A, Verma R, Yadav M.P, Narain. </w:t>
      </w:r>
      <w:r w:rsidRPr="00550A3D">
        <w:rPr>
          <w:rFonts w:ascii="Arial Narrow" w:hAnsi="Arial Narrow" w:cs="Arial"/>
          <w:shd w:val="clear" w:color="auto" w:fill="FFFFFF"/>
        </w:rPr>
        <w:t>Does Governance Quality Impact Stock Market Development? An Insight of BRICS Economies: A. Khan et al. Asia-Pacific Financial Markets. 2025 Jun;32(2):563-82.</w:t>
      </w:r>
    </w:p>
  </w:footnote>
  <w:footnote w:id="24">
    <w:p w14:paraId="3416005F"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Times New Roman"/>
        </w:rPr>
        <w:t xml:space="preserve">International Organization of Securities Commissions (IOSCO), </w:t>
      </w:r>
      <w:r w:rsidRPr="00550A3D">
        <w:rPr>
          <w:rStyle w:val="Emphasis"/>
          <w:rFonts w:ascii="Arial Narrow" w:hAnsi="Arial Narrow" w:cs="Times New Roman"/>
          <w:i w:val="0"/>
        </w:rPr>
        <w:t>Objectives and Principles of Securities Regulation</w:t>
      </w:r>
      <w:r w:rsidRPr="00550A3D">
        <w:rPr>
          <w:rFonts w:ascii="Arial Narrow" w:hAnsi="Arial Narrow" w:cs="Times New Roman"/>
          <w:i/>
        </w:rPr>
        <w:t>.</w:t>
      </w:r>
      <w:r w:rsidRPr="00550A3D">
        <w:rPr>
          <w:rFonts w:ascii="Arial Narrow" w:hAnsi="Arial Narrow" w:cs="Times New Roman"/>
        </w:rPr>
        <w:t xml:space="preserve"> 2017, Available at: </w:t>
      </w:r>
      <w:hyperlink r:id="rId8" w:tgtFrame="_new" w:history="1">
        <w:r w:rsidRPr="00550A3D">
          <w:rPr>
            <w:rStyle w:val="Hyperlink"/>
            <w:rFonts w:ascii="Arial Narrow" w:hAnsi="Arial Narrow" w:cs="Times New Roman"/>
            <w:color w:val="auto"/>
            <w:u w:val="none"/>
          </w:rPr>
          <w:t>https://www.iosco.org/library/pubdocs/pdf/IOSCOPD561.pdf</w:t>
        </w:r>
      </w:hyperlink>
      <w:r w:rsidRPr="00550A3D">
        <w:rPr>
          <w:rFonts w:ascii="Arial Narrow" w:hAnsi="Arial Narrow" w:cs="Times New Roman"/>
        </w:rPr>
        <w:t xml:space="preserve"> (Accessed: 17 July 2025).</w:t>
      </w:r>
    </w:p>
  </w:footnote>
  <w:footnote w:id="25">
    <w:p w14:paraId="4B191287"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Dhingra B, Batra S, Aggarwal V, Yadav M, Kumar P. </w:t>
      </w:r>
      <w:r w:rsidRPr="00550A3D">
        <w:rPr>
          <w:rFonts w:ascii="Arial Narrow" w:hAnsi="Arial Narrow" w:cs="Arial"/>
          <w:i/>
          <w:shd w:val="clear" w:color="auto" w:fill="FFFFFF"/>
        </w:rPr>
        <w:t xml:space="preserve">Stock </w:t>
      </w:r>
      <w:r w:rsidR="009109B4" w:rsidRPr="00550A3D">
        <w:rPr>
          <w:rFonts w:ascii="Arial Narrow" w:hAnsi="Arial Narrow" w:cs="Arial"/>
          <w:i/>
          <w:shd w:val="clear" w:color="auto" w:fill="FFFFFF"/>
        </w:rPr>
        <w:t>Market Volatility: A Systematic Review</w:t>
      </w:r>
      <w:r w:rsidRPr="00550A3D">
        <w:rPr>
          <w:rFonts w:ascii="Arial Narrow" w:hAnsi="Arial Narrow" w:cs="Arial"/>
          <w:i/>
          <w:shd w:val="clear" w:color="auto" w:fill="FFFFFF"/>
        </w:rPr>
        <w:t>.</w:t>
      </w:r>
      <w:r w:rsidRPr="00550A3D">
        <w:rPr>
          <w:rFonts w:ascii="Arial Narrow" w:hAnsi="Arial Narrow" w:cs="Arial"/>
          <w:shd w:val="clear" w:color="auto" w:fill="FFFFFF"/>
        </w:rPr>
        <w:t xml:space="preserve"> Journal of Modelling in Management. 2024 Mar 13;19(3):925-52.</w:t>
      </w:r>
    </w:p>
  </w:footnote>
  <w:footnote w:id="26">
    <w:p w14:paraId="1BE8B2F7"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Siekkinen J. </w:t>
      </w:r>
      <w:r w:rsidRPr="00550A3D">
        <w:rPr>
          <w:rFonts w:ascii="Arial Narrow" w:hAnsi="Arial Narrow" w:cs="Arial"/>
          <w:i/>
          <w:shd w:val="clear" w:color="auto" w:fill="FFFFFF"/>
        </w:rPr>
        <w:t xml:space="preserve">Value </w:t>
      </w:r>
      <w:r w:rsidR="009109B4" w:rsidRPr="00550A3D">
        <w:rPr>
          <w:rFonts w:ascii="Arial Narrow" w:hAnsi="Arial Narrow" w:cs="Arial"/>
          <w:i/>
          <w:shd w:val="clear" w:color="auto" w:fill="FFFFFF"/>
        </w:rPr>
        <w:t>Relevance of Fair Values in Different Investor Protection Environments</w:t>
      </w:r>
      <w:r w:rsidR="009109B4" w:rsidRPr="00550A3D">
        <w:rPr>
          <w:rFonts w:ascii="Arial Narrow" w:hAnsi="Arial Narrow" w:cs="Arial"/>
          <w:shd w:val="clear" w:color="auto" w:fill="FFFFFF"/>
        </w:rPr>
        <w:t xml:space="preserve">, </w:t>
      </w:r>
      <w:r w:rsidRPr="00550A3D">
        <w:rPr>
          <w:rFonts w:ascii="Arial Narrow" w:hAnsi="Arial Narrow" w:cs="Arial"/>
          <w:shd w:val="clear" w:color="auto" w:fill="FFFFFF"/>
        </w:rPr>
        <w:t>Accounting forum 2016 Mar 1 (Vol. 40, No. 1, pp. 1-15). No longer published by Elsevier.</w:t>
      </w:r>
    </w:p>
  </w:footnote>
  <w:footnote w:id="27">
    <w:p w14:paraId="4926731D"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8">
    <w:p w14:paraId="631B0104"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9">
    <w:p w14:paraId="1E02DC5C"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Sylidion E, Setonga J</w:t>
      </w:r>
      <w:r w:rsidR="009109B4" w:rsidRPr="00550A3D">
        <w:rPr>
          <w:rFonts w:ascii="Arial Narrow" w:hAnsi="Arial Narrow" w:cs="Arial"/>
          <w:shd w:val="clear" w:color="auto" w:fill="FFFFFF"/>
        </w:rPr>
        <w:t>.</w:t>
      </w:r>
      <w:r w:rsidRPr="00550A3D">
        <w:rPr>
          <w:rFonts w:ascii="Arial Narrow" w:hAnsi="Arial Narrow" w:cs="Arial"/>
          <w:shd w:val="clear" w:color="auto" w:fill="FFFFFF"/>
        </w:rPr>
        <w:t>A, Shabani O</w:t>
      </w:r>
      <w:r w:rsidR="009109B4" w:rsidRPr="00550A3D">
        <w:rPr>
          <w:rFonts w:ascii="Arial Narrow" w:hAnsi="Arial Narrow" w:cs="Arial"/>
          <w:shd w:val="clear" w:color="auto" w:fill="FFFFFF"/>
        </w:rPr>
        <w:t>.</w:t>
      </w:r>
      <w:r w:rsidRPr="00550A3D">
        <w:rPr>
          <w:rFonts w:ascii="Arial Narrow" w:hAnsi="Arial Narrow" w:cs="Arial"/>
          <w:shd w:val="clear" w:color="auto" w:fill="FFFFFF"/>
        </w:rPr>
        <w:t>P. Unlocking the Potential of Individual Investors Participation: A Glimpse into Tanzania’s Dar es Salaam Stock Exchange (DSE). Ranah Research: Journal of Multidisciplinary Research and Development. 2025 Jun 11;7(5):3250-65.</w:t>
      </w:r>
    </w:p>
  </w:footnote>
  <w:footnote w:id="30">
    <w:p w14:paraId="6ECC6A18"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31">
    <w:p w14:paraId="330F0F29"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32">
    <w:p w14:paraId="63C555DC"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Mwakabumbe C</w:t>
      </w:r>
      <w:r w:rsidR="009109B4" w:rsidRPr="00550A3D">
        <w:rPr>
          <w:rFonts w:ascii="Arial Narrow" w:hAnsi="Arial Narrow" w:cs="Arial"/>
          <w:shd w:val="clear" w:color="auto" w:fill="FFFFFF"/>
        </w:rPr>
        <w:t>.</w:t>
      </w:r>
      <w:r w:rsidRPr="00550A3D">
        <w:rPr>
          <w:rFonts w:ascii="Arial Narrow" w:hAnsi="Arial Narrow" w:cs="Arial"/>
          <w:shd w:val="clear" w:color="auto" w:fill="FFFFFF"/>
        </w:rPr>
        <w:t>A.</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 </w:t>
      </w:r>
      <w:r w:rsidR="009109B4" w:rsidRPr="00550A3D">
        <w:rPr>
          <w:rFonts w:ascii="Arial Narrow" w:hAnsi="Arial Narrow" w:cs="Arial"/>
          <w:i/>
          <w:shd w:val="clear" w:color="auto" w:fill="FFFFFF"/>
        </w:rPr>
        <w:t>Investment Planning And Decision-Making Among Individual Investors in Emerging Markets: Evidence From The Dar es Salaam Stock Exchange, Tanzania.</w:t>
      </w:r>
      <w:r w:rsidRPr="00550A3D">
        <w:rPr>
          <w:rFonts w:ascii="Arial Narrow" w:hAnsi="Arial Narrow" w:cs="Arial"/>
          <w:shd w:val="clear" w:color="auto" w:fill="FFFFFF"/>
        </w:rPr>
        <w:t xml:space="preserve"> East African Journal of Social and Applied Sciences (EAJ-SAS). 2024 Jun 30;6(1).</w:t>
      </w:r>
    </w:p>
  </w:footnote>
  <w:footnote w:id="33">
    <w:p w14:paraId="247BBB14"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Saputra B, Kusniati R.</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 Who's Watching the Machines? IOSCO's Role in Regulating AI in Global Finance. IOSCO's Role in Regulating AI in Global Finance (January 26, 2025). 2025 Jan 26.</w:t>
      </w:r>
    </w:p>
  </w:footnote>
  <w:footnote w:id="34">
    <w:p w14:paraId="39C4C628"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35">
    <w:p w14:paraId="4CF2C8D8"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Ibid.</w:t>
      </w:r>
    </w:p>
  </w:footnote>
  <w:footnote w:id="36">
    <w:p w14:paraId="190FD7EB" w14:textId="77777777" w:rsidR="00D52E4E" w:rsidRPr="00550A3D" w:rsidRDefault="00D52E4E" w:rsidP="00550A3D">
      <w:pPr>
        <w:pStyle w:val="ds-markdown-paragraph"/>
        <w:shd w:val="clear" w:color="auto" w:fill="FFFFFF"/>
        <w:spacing w:before="0" w:beforeAutospacing="0" w:after="0" w:afterAutospacing="0"/>
        <w:jc w:val="both"/>
        <w:rPr>
          <w:rFonts w:ascii="Arial Narrow" w:hAnsi="Arial Narrow"/>
          <w:sz w:val="20"/>
          <w:szCs w:val="20"/>
        </w:rPr>
      </w:pPr>
      <w:r w:rsidRPr="00550A3D">
        <w:rPr>
          <w:rStyle w:val="FootnoteReference"/>
          <w:rFonts w:ascii="Arial Narrow" w:hAnsi="Arial Narrow"/>
          <w:sz w:val="20"/>
          <w:szCs w:val="20"/>
        </w:rPr>
        <w:footnoteRef/>
      </w:r>
      <w:r w:rsidRPr="00550A3D">
        <w:rPr>
          <w:rFonts w:ascii="Arial Narrow" w:hAnsi="Arial Narrow"/>
          <w:sz w:val="20"/>
          <w:szCs w:val="20"/>
        </w:rPr>
        <w:t xml:space="preserve"> World Bank. </w:t>
      </w:r>
      <w:r w:rsidRPr="00550A3D">
        <w:rPr>
          <w:rStyle w:val="Emphasis"/>
          <w:rFonts w:ascii="Arial Narrow" w:hAnsi="Arial Narrow"/>
          <w:i w:val="0"/>
          <w:sz w:val="20"/>
          <w:szCs w:val="20"/>
        </w:rPr>
        <w:t>Fairness and Enforcement in Global Securities Markets</w:t>
      </w:r>
      <w:r w:rsidRPr="00550A3D">
        <w:rPr>
          <w:rFonts w:ascii="Arial Narrow" w:hAnsi="Arial Narrow"/>
          <w:i/>
          <w:sz w:val="20"/>
          <w:szCs w:val="20"/>
        </w:rPr>
        <w:t>.</w:t>
      </w:r>
      <w:r w:rsidRPr="00550A3D">
        <w:rPr>
          <w:rFonts w:ascii="Arial Narrow" w:hAnsi="Arial Narrow"/>
          <w:sz w:val="20"/>
          <w:szCs w:val="20"/>
        </w:rPr>
        <w:t xml:space="preserve"> 2020. </w:t>
      </w:r>
      <w:hyperlink r:id="rId9" w:tgtFrame="_new" w:history="1">
        <w:r w:rsidRPr="00550A3D">
          <w:rPr>
            <w:rStyle w:val="Hyperlink"/>
            <w:rFonts w:ascii="Arial Narrow" w:hAnsi="Arial Narrow"/>
            <w:color w:val="auto"/>
            <w:sz w:val="20"/>
            <w:szCs w:val="20"/>
            <w:u w:val="none"/>
          </w:rPr>
          <w:t>www.worldbank.org</w:t>
        </w:r>
      </w:hyperlink>
      <w:r w:rsidRPr="00550A3D">
        <w:rPr>
          <w:rFonts w:ascii="Arial Narrow" w:hAnsi="Arial Narrow"/>
          <w:sz w:val="20"/>
          <w:szCs w:val="20"/>
        </w:rPr>
        <w:t xml:space="preserve">. </w:t>
      </w:r>
    </w:p>
  </w:footnote>
  <w:footnote w:id="37">
    <w:p w14:paraId="0FDB16DC"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Marcacci A. Combined Techniques for the Implementation of Securities Standards. </w:t>
      </w:r>
      <w:r w:rsidR="00076E79" w:rsidRPr="00550A3D">
        <w:rPr>
          <w:rFonts w:ascii="Arial Narrow" w:hAnsi="Arial Narrow" w:cs="Arial"/>
          <w:shd w:val="clear" w:color="auto" w:fill="FFFFFF"/>
        </w:rPr>
        <w:t>In Transnational</w:t>
      </w:r>
      <w:r w:rsidRPr="00550A3D">
        <w:rPr>
          <w:rFonts w:ascii="Arial Narrow" w:hAnsi="Arial Narrow" w:cs="Arial"/>
          <w:shd w:val="clear" w:color="auto" w:fill="FFFFFF"/>
        </w:rPr>
        <w:t xml:space="preserve"> Securities Regulation: How it Works, Who Shapes it 2022 Nov 26 (pp. 149-185). Cham: Springer International Publishing.</w:t>
      </w:r>
    </w:p>
  </w:footnote>
  <w:footnote w:id="38">
    <w:p w14:paraId="6308AA25" w14:textId="77777777" w:rsidR="00D52E4E" w:rsidRPr="00550A3D" w:rsidRDefault="00D52E4E" w:rsidP="00550A3D">
      <w:pPr>
        <w:pStyle w:val="Heading6"/>
        <w:shd w:val="clear" w:color="auto" w:fill="FFFFFF"/>
        <w:spacing w:before="0" w:line="240" w:lineRule="auto"/>
        <w:jc w:val="both"/>
        <w:rPr>
          <w:rFonts w:ascii="Arial Narrow" w:hAnsi="Arial Narrow"/>
          <w:i w:val="0"/>
          <w:color w:val="auto"/>
          <w:sz w:val="20"/>
          <w:szCs w:val="20"/>
        </w:rPr>
      </w:pPr>
      <w:r w:rsidRPr="00550A3D">
        <w:rPr>
          <w:rStyle w:val="FootnoteReference"/>
          <w:rFonts w:ascii="Arial Narrow" w:hAnsi="Arial Narrow"/>
          <w:color w:val="auto"/>
          <w:sz w:val="20"/>
          <w:szCs w:val="20"/>
        </w:rPr>
        <w:footnoteRef/>
      </w:r>
      <w:r w:rsidRPr="00550A3D">
        <w:rPr>
          <w:rFonts w:ascii="Arial Narrow" w:hAnsi="Arial Narrow"/>
          <w:i w:val="0"/>
          <w:color w:val="auto"/>
          <w:sz w:val="20"/>
          <w:szCs w:val="20"/>
        </w:rPr>
        <w:t xml:space="preserve"> </w:t>
      </w:r>
      <w:r w:rsidRPr="00550A3D">
        <w:rPr>
          <w:rFonts w:ascii="Arial Narrow" w:hAnsi="Arial Narrow"/>
          <w:bCs/>
          <w:i w:val="0"/>
          <w:color w:val="auto"/>
          <w:sz w:val="20"/>
          <w:szCs w:val="20"/>
        </w:rPr>
        <w:t>The United Republic of Tanzania,</w:t>
      </w:r>
      <w:r w:rsidRPr="00550A3D">
        <w:rPr>
          <w:rFonts w:ascii="Arial Narrow" w:hAnsi="Arial Narrow"/>
          <w:b/>
          <w:bCs/>
          <w:i w:val="0"/>
          <w:color w:val="auto"/>
          <w:sz w:val="20"/>
          <w:szCs w:val="20"/>
        </w:rPr>
        <w:t xml:space="preserve"> </w:t>
      </w:r>
      <w:r w:rsidRPr="00550A3D">
        <w:rPr>
          <w:rFonts w:ascii="Arial Narrow" w:hAnsi="Arial Narrow"/>
          <w:i w:val="0"/>
          <w:color w:val="auto"/>
          <w:sz w:val="20"/>
          <w:szCs w:val="20"/>
        </w:rPr>
        <w:t>Capital Market and Securities Authority: Regulatory Framework, 2025, https://www.cmsa.go.tz/pages/regulatory-framework.</w:t>
      </w:r>
    </w:p>
  </w:footnote>
  <w:footnote w:id="39">
    <w:p w14:paraId="5E743E6F"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0">
    <w:p w14:paraId="2C8BFEDE"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1">
    <w:p w14:paraId="11BD5CA0" w14:textId="77777777" w:rsidR="003F351B"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Capital Markets and Securities Authorities, Capital Markets intermediaries in Tanzania, 2025, </w:t>
      </w:r>
      <w:hyperlink r:id="rId10" w:history="1">
        <w:r w:rsidR="003F351B" w:rsidRPr="00550A3D">
          <w:rPr>
            <w:rStyle w:val="Hyperlink"/>
            <w:rFonts w:ascii="Arial Narrow" w:hAnsi="Arial Narrow"/>
          </w:rPr>
          <w:t>https://www.cmsa.go.tz/uploads/publications/en-1575981152</w:t>
        </w:r>
      </w:hyperlink>
      <w:r w:rsidR="003F351B" w:rsidRPr="00550A3D">
        <w:rPr>
          <w:rFonts w:ascii="Arial Narrow" w:hAnsi="Arial Narrow"/>
        </w:rPr>
        <w:t xml:space="preserve"> </w:t>
      </w:r>
    </w:p>
  </w:footnote>
  <w:footnote w:id="42">
    <w:p w14:paraId="28970EAA"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3">
    <w:p w14:paraId="461A4D80"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Capital Markets and S</w:t>
      </w:r>
      <w:r w:rsidR="00550A3D" w:rsidRPr="00550A3D">
        <w:rPr>
          <w:rFonts w:ascii="Arial Narrow" w:hAnsi="Arial Narrow"/>
        </w:rPr>
        <w:t xml:space="preserve">ecurities Act, Cap </w:t>
      </w:r>
      <w:r w:rsidRPr="00550A3D">
        <w:rPr>
          <w:rFonts w:ascii="Arial Narrow" w:hAnsi="Arial Narrow"/>
        </w:rPr>
        <w:t>79, RE 2002</w:t>
      </w:r>
    </w:p>
  </w:footnote>
  <w:footnote w:id="44">
    <w:p w14:paraId="7A1BF4BF" w14:textId="77777777" w:rsidR="001C7733" w:rsidRPr="00550A3D" w:rsidRDefault="001C7733"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Long title.</w:t>
      </w:r>
    </w:p>
  </w:footnote>
  <w:footnote w:id="45">
    <w:p w14:paraId="1D894E02" w14:textId="77777777"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46">
    <w:p w14:paraId="378257B4" w14:textId="77777777"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Section 15 The Companies Act Cap 212, RE 2002</w:t>
      </w:r>
    </w:p>
  </w:footnote>
  <w:footnote w:id="47">
    <w:p w14:paraId="1E6B57FA" w14:textId="77777777"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The Companies Act S 163</w:t>
      </w:r>
      <w:r w:rsidR="007C2BBC" w:rsidRPr="00550A3D">
        <w:rPr>
          <w:rFonts w:ascii="Arial Narrow" w:hAnsi="Arial Narrow"/>
        </w:rPr>
        <w:t>(1)(4)</w:t>
      </w:r>
    </w:p>
  </w:footnote>
  <w:footnote w:id="48">
    <w:p w14:paraId="171AE585"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49">
    <w:p w14:paraId="7DE3CEAB"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Ba</w:t>
      </w:r>
      <w:r w:rsidR="003F351B" w:rsidRPr="00550A3D">
        <w:rPr>
          <w:rFonts w:ascii="Arial Narrow" w:hAnsi="Arial Narrow"/>
        </w:rPr>
        <w:t>nk of Tanzania Annual Accounts for t</w:t>
      </w:r>
      <w:r w:rsidRPr="00550A3D">
        <w:rPr>
          <w:rFonts w:ascii="Arial Narrow" w:hAnsi="Arial Narrow"/>
        </w:rPr>
        <w:t>he Year Ended 30 June 2016, https://www.bot.go.tz/Publications/Financial%20Report/Financial%20Statements/sw/2020021122481739123.pdf</w:t>
      </w:r>
    </w:p>
  </w:footnote>
  <w:footnote w:id="50">
    <w:p w14:paraId="277C6E88"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51">
    <w:p w14:paraId="6BA92D59"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52">
    <w:p w14:paraId="543D9648"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 s. 32</w:t>
      </w:r>
    </w:p>
  </w:footnote>
  <w:footnote w:id="53">
    <w:p w14:paraId="59BB382C"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S 151(1)  of the Company Act, RE 2002</w:t>
      </w:r>
    </w:p>
  </w:footnote>
  <w:footnote w:id="54">
    <w:p w14:paraId="7E66DF06" w14:textId="77777777" w:rsidR="00844FA0" w:rsidRPr="00550A3D" w:rsidRDefault="00844FA0"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s.32-49</w:t>
      </w:r>
    </w:p>
  </w:footnote>
  <w:footnote w:id="55">
    <w:p w14:paraId="4B86F0B9"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and Securities Authority CMSA Five Year Strategic Plan For The Financial Years 2018/19-2022/23 June, 2018, </w:t>
      </w:r>
      <w:hyperlink r:id="rId11" w:history="1">
        <w:r w:rsidR="00076E79" w:rsidRPr="00550A3D">
          <w:rPr>
            <w:rStyle w:val="Hyperlink"/>
            <w:rFonts w:ascii="Arial Narrow" w:hAnsi="Arial Narrow"/>
          </w:rPr>
          <w:t>https://www.cmsa.go.tz/uploads/publications/en-1576064406-</w:t>
        </w:r>
      </w:hyperlink>
      <w:r w:rsidR="00076E79" w:rsidRPr="00550A3D">
        <w:rPr>
          <w:rFonts w:ascii="Arial Narrow" w:hAnsi="Arial Narrow"/>
        </w:rPr>
        <w:t xml:space="preserve"> </w:t>
      </w:r>
    </w:p>
  </w:footnote>
  <w:footnote w:id="56">
    <w:p w14:paraId="12CDD9AD"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3F351B" w:rsidRPr="00550A3D">
        <w:rPr>
          <w:rFonts w:ascii="Arial Narrow" w:hAnsi="Arial Narrow"/>
        </w:rPr>
        <w:t>Ibid</w:t>
      </w:r>
    </w:p>
  </w:footnote>
  <w:footnote w:id="57">
    <w:p w14:paraId="7E248DF9" w14:textId="77777777" w:rsidR="00F15A61" w:rsidRPr="00550A3D" w:rsidRDefault="00F15A6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Msangi, K., Stock Exchange: Reformation for growth, (Daily News, December 3, 2024), https://dailynews.co.tz/stock-exchange-reformation-for-growth/</w:t>
      </w:r>
    </w:p>
  </w:footnote>
  <w:footnote w:id="58">
    <w:p w14:paraId="5B677846" w14:textId="77777777" w:rsidR="00F15A61" w:rsidRPr="00550A3D" w:rsidRDefault="00F15A6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and Securities Authority CMSA Five Year Strategic Plan for the Financial Years 2018/19-2022/23 June, 2018, </w:t>
      </w:r>
      <w:hyperlink r:id="rId12" w:history="1">
        <w:r w:rsidR="00076E79" w:rsidRPr="00550A3D">
          <w:rPr>
            <w:rStyle w:val="Hyperlink"/>
            <w:rFonts w:ascii="Arial Narrow" w:hAnsi="Arial Narrow"/>
          </w:rPr>
          <w:t>https://www.cmsa.go.tz/uploads/publications/en-1576064406-</w:t>
        </w:r>
      </w:hyperlink>
    </w:p>
  </w:footnote>
  <w:footnote w:id="59">
    <w:p w14:paraId="2B7E0825"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3F351B" w:rsidRPr="00550A3D">
        <w:rPr>
          <w:rFonts w:ascii="Arial Narrow" w:hAnsi="Arial Narrow"/>
        </w:rPr>
        <w:t>Ibid</w:t>
      </w:r>
    </w:p>
  </w:footnote>
  <w:footnote w:id="60">
    <w:p w14:paraId="1D0B50CE"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And Securities Authority CMSA Five Year Strategic Plan for the Financial Years 2018/19-2022/23 June, 2018, </w:t>
      </w:r>
      <w:hyperlink r:id="rId13" w:history="1">
        <w:r w:rsidR="00076E79" w:rsidRPr="00550A3D">
          <w:rPr>
            <w:rStyle w:val="Hyperlink"/>
            <w:rFonts w:ascii="Arial Narrow" w:hAnsi="Arial Narrow"/>
          </w:rPr>
          <w:t>https://www.cmsa.go.tz/uploads/publications/en-1576064406-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7B37" w14:textId="77777777" w:rsidR="008D0316" w:rsidRDefault="00000000">
    <w:pPr>
      <w:pStyle w:val="Header"/>
    </w:pPr>
    <w:r>
      <w:rPr>
        <w:noProof/>
      </w:rPr>
      <w:pict w14:anchorId="1EA66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6BBF" w14:textId="77777777" w:rsidR="008D0316" w:rsidRDefault="00000000">
    <w:pPr>
      <w:pStyle w:val="Header"/>
    </w:pPr>
    <w:r>
      <w:rPr>
        <w:noProof/>
      </w:rPr>
      <w:pict w14:anchorId="7213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A76D" w14:textId="77777777" w:rsidR="008D0316" w:rsidRDefault="00000000">
    <w:pPr>
      <w:pStyle w:val="Header"/>
    </w:pPr>
    <w:r>
      <w:rPr>
        <w:noProof/>
      </w:rPr>
      <w:pict w14:anchorId="6F5BF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208"/>
    <w:multiLevelType w:val="multilevel"/>
    <w:tmpl w:val="4E6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B4A82"/>
    <w:multiLevelType w:val="multilevel"/>
    <w:tmpl w:val="4BEAE36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CA7345"/>
    <w:multiLevelType w:val="multilevel"/>
    <w:tmpl w:val="BE8CA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0F5F31"/>
    <w:multiLevelType w:val="multilevel"/>
    <w:tmpl w:val="505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7617C"/>
    <w:multiLevelType w:val="multilevel"/>
    <w:tmpl w:val="49584A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D6765"/>
    <w:multiLevelType w:val="multilevel"/>
    <w:tmpl w:val="8FB6CD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51F82"/>
    <w:multiLevelType w:val="multilevel"/>
    <w:tmpl w:val="D3E8F4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94D45"/>
    <w:multiLevelType w:val="multilevel"/>
    <w:tmpl w:val="206C1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127475"/>
    <w:multiLevelType w:val="hybridMultilevel"/>
    <w:tmpl w:val="EEE0C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E08E7"/>
    <w:multiLevelType w:val="multilevel"/>
    <w:tmpl w:val="72BC0F3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F3A6D"/>
    <w:multiLevelType w:val="multilevel"/>
    <w:tmpl w:val="653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E371A"/>
    <w:multiLevelType w:val="multilevel"/>
    <w:tmpl w:val="21E46F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E343A28"/>
    <w:multiLevelType w:val="multilevel"/>
    <w:tmpl w:val="AA5C0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B565B"/>
    <w:multiLevelType w:val="multilevel"/>
    <w:tmpl w:val="4F9C8AE0"/>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FB04A6"/>
    <w:multiLevelType w:val="multilevel"/>
    <w:tmpl w:val="F6CA3A6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2B4950"/>
    <w:multiLevelType w:val="multilevel"/>
    <w:tmpl w:val="6E08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128091">
    <w:abstractNumId w:val="8"/>
  </w:num>
  <w:num w:numId="2" w16cid:durableId="880827635">
    <w:abstractNumId w:val="0"/>
  </w:num>
  <w:num w:numId="3" w16cid:durableId="1690839680">
    <w:abstractNumId w:val="10"/>
  </w:num>
  <w:num w:numId="4" w16cid:durableId="2038894432">
    <w:abstractNumId w:val="2"/>
  </w:num>
  <w:num w:numId="5" w16cid:durableId="1728868720">
    <w:abstractNumId w:val="3"/>
  </w:num>
  <w:num w:numId="6" w16cid:durableId="1052116333">
    <w:abstractNumId w:val="7"/>
  </w:num>
  <w:num w:numId="7" w16cid:durableId="299386777">
    <w:abstractNumId w:val="4"/>
  </w:num>
  <w:num w:numId="8" w16cid:durableId="1436053167">
    <w:abstractNumId w:val="15"/>
  </w:num>
  <w:num w:numId="9" w16cid:durableId="578297719">
    <w:abstractNumId w:val="12"/>
  </w:num>
  <w:num w:numId="10" w16cid:durableId="18820013">
    <w:abstractNumId w:val="9"/>
  </w:num>
  <w:num w:numId="11" w16cid:durableId="270170814">
    <w:abstractNumId w:val="6"/>
  </w:num>
  <w:num w:numId="12" w16cid:durableId="1428574130">
    <w:abstractNumId w:val="5"/>
  </w:num>
  <w:num w:numId="13" w16cid:durableId="1304850972">
    <w:abstractNumId w:val="13"/>
  </w:num>
  <w:num w:numId="14" w16cid:durableId="51851709">
    <w:abstractNumId w:val="11"/>
  </w:num>
  <w:num w:numId="15" w16cid:durableId="1150488847">
    <w:abstractNumId w:val="1"/>
  </w:num>
  <w:num w:numId="16" w16cid:durableId="3908139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DDA"/>
    <w:rsid w:val="00002683"/>
    <w:rsid w:val="0005684F"/>
    <w:rsid w:val="00076E79"/>
    <w:rsid w:val="000B57CA"/>
    <w:rsid w:val="000B5E5A"/>
    <w:rsid w:val="00105DD7"/>
    <w:rsid w:val="001823C4"/>
    <w:rsid w:val="00187B85"/>
    <w:rsid w:val="001A3F45"/>
    <w:rsid w:val="001B3EC8"/>
    <w:rsid w:val="001C7733"/>
    <w:rsid w:val="001E1CF5"/>
    <w:rsid w:val="00200E1D"/>
    <w:rsid w:val="00261BE8"/>
    <w:rsid w:val="0027222C"/>
    <w:rsid w:val="00273900"/>
    <w:rsid w:val="002A79AF"/>
    <w:rsid w:val="002E6B04"/>
    <w:rsid w:val="002F3FE5"/>
    <w:rsid w:val="00374CD2"/>
    <w:rsid w:val="00387E00"/>
    <w:rsid w:val="00393286"/>
    <w:rsid w:val="003B65DB"/>
    <w:rsid w:val="003D0132"/>
    <w:rsid w:val="003F351B"/>
    <w:rsid w:val="003F6499"/>
    <w:rsid w:val="00440AC3"/>
    <w:rsid w:val="00467044"/>
    <w:rsid w:val="00550A3D"/>
    <w:rsid w:val="005526C9"/>
    <w:rsid w:val="00570C55"/>
    <w:rsid w:val="00572083"/>
    <w:rsid w:val="0058704B"/>
    <w:rsid w:val="00587D0A"/>
    <w:rsid w:val="005C1EE5"/>
    <w:rsid w:val="005D2F4B"/>
    <w:rsid w:val="005D3895"/>
    <w:rsid w:val="00660DC5"/>
    <w:rsid w:val="006676F4"/>
    <w:rsid w:val="00694494"/>
    <w:rsid w:val="00696B65"/>
    <w:rsid w:val="006F4C08"/>
    <w:rsid w:val="007071B0"/>
    <w:rsid w:val="00734DBE"/>
    <w:rsid w:val="00747394"/>
    <w:rsid w:val="00781885"/>
    <w:rsid w:val="007848F8"/>
    <w:rsid w:val="007A6E8A"/>
    <w:rsid w:val="007B48F5"/>
    <w:rsid w:val="007C2BBC"/>
    <w:rsid w:val="007D65DD"/>
    <w:rsid w:val="007E1697"/>
    <w:rsid w:val="007F19DC"/>
    <w:rsid w:val="00807731"/>
    <w:rsid w:val="00816640"/>
    <w:rsid w:val="00844FA0"/>
    <w:rsid w:val="00850BA3"/>
    <w:rsid w:val="008752CE"/>
    <w:rsid w:val="008B6B91"/>
    <w:rsid w:val="008D0316"/>
    <w:rsid w:val="008D0631"/>
    <w:rsid w:val="008D7C73"/>
    <w:rsid w:val="009109B4"/>
    <w:rsid w:val="0095263F"/>
    <w:rsid w:val="0095606B"/>
    <w:rsid w:val="00976744"/>
    <w:rsid w:val="00992DD9"/>
    <w:rsid w:val="009A6A01"/>
    <w:rsid w:val="009B1607"/>
    <w:rsid w:val="00A11FA4"/>
    <w:rsid w:val="00A34A3F"/>
    <w:rsid w:val="00A70206"/>
    <w:rsid w:val="00A71169"/>
    <w:rsid w:val="00A71A9D"/>
    <w:rsid w:val="00A776F4"/>
    <w:rsid w:val="00A87395"/>
    <w:rsid w:val="00AC53B2"/>
    <w:rsid w:val="00AF289B"/>
    <w:rsid w:val="00B05A55"/>
    <w:rsid w:val="00B12735"/>
    <w:rsid w:val="00B307F4"/>
    <w:rsid w:val="00B34AF9"/>
    <w:rsid w:val="00B75C42"/>
    <w:rsid w:val="00B8082F"/>
    <w:rsid w:val="00B83621"/>
    <w:rsid w:val="00B84873"/>
    <w:rsid w:val="00B95D56"/>
    <w:rsid w:val="00BA0F6E"/>
    <w:rsid w:val="00BB2414"/>
    <w:rsid w:val="00BB3C2C"/>
    <w:rsid w:val="00BB6FEB"/>
    <w:rsid w:val="00BC5C9D"/>
    <w:rsid w:val="00BE7460"/>
    <w:rsid w:val="00BF0C62"/>
    <w:rsid w:val="00C135A9"/>
    <w:rsid w:val="00C3471C"/>
    <w:rsid w:val="00C537BC"/>
    <w:rsid w:val="00C63390"/>
    <w:rsid w:val="00C94672"/>
    <w:rsid w:val="00CC2DEA"/>
    <w:rsid w:val="00CE6DDA"/>
    <w:rsid w:val="00CF0E3D"/>
    <w:rsid w:val="00D1168C"/>
    <w:rsid w:val="00D11E61"/>
    <w:rsid w:val="00D2600D"/>
    <w:rsid w:val="00D4767C"/>
    <w:rsid w:val="00D52E4E"/>
    <w:rsid w:val="00D65E8E"/>
    <w:rsid w:val="00D7662C"/>
    <w:rsid w:val="00D87FDF"/>
    <w:rsid w:val="00DA241E"/>
    <w:rsid w:val="00DC6150"/>
    <w:rsid w:val="00E02E70"/>
    <w:rsid w:val="00E279ED"/>
    <w:rsid w:val="00E46373"/>
    <w:rsid w:val="00E5380D"/>
    <w:rsid w:val="00E554B2"/>
    <w:rsid w:val="00E74AAD"/>
    <w:rsid w:val="00E8464B"/>
    <w:rsid w:val="00E972FD"/>
    <w:rsid w:val="00EC6C5B"/>
    <w:rsid w:val="00ED2278"/>
    <w:rsid w:val="00F02CB6"/>
    <w:rsid w:val="00F15A61"/>
    <w:rsid w:val="00F26D9A"/>
    <w:rsid w:val="00F600A9"/>
    <w:rsid w:val="00F858D6"/>
    <w:rsid w:val="00F90664"/>
    <w:rsid w:val="00FE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A944"/>
  <w15:docId w15:val="{18FFAF27-FEC3-43DA-AD24-5900D5F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DA"/>
  </w:style>
  <w:style w:type="paragraph" w:styleId="Heading1">
    <w:name w:val="heading 1"/>
    <w:basedOn w:val="Normal"/>
    <w:next w:val="Normal"/>
    <w:link w:val="Heading1Char"/>
    <w:uiPriority w:val="9"/>
    <w:qFormat/>
    <w:rsid w:val="00A77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6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A776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D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6DDA"/>
    <w:rPr>
      <w:rFonts w:ascii="Times New Roman" w:eastAsia="Times New Roman" w:hAnsi="Times New Roman" w:cs="Times New Roman"/>
      <w:b/>
      <w:bCs/>
      <w:sz w:val="27"/>
      <w:szCs w:val="27"/>
    </w:rPr>
  </w:style>
  <w:style w:type="paragraph" w:styleId="NormalWeb">
    <w:name w:val="Normal (Web)"/>
    <w:basedOn w:val="Normal"/>
    <w:uiPriority w:val="99"/>
    <w:unhideWhenUsed/>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DDA"/>
    <w:rPr>
      <w:b/>
      <w:bCs/>
    </w:rPr>
  </w:style>
  <w:style w:type="paragraph" w:styleId="FootnoteText">
    <w:name w:val="footnote text"/>
    <w:basedOn w:val="Normal"/>
    <w:link w:val="FootnoteTextChar"/>
    <w:uiPriority w:val="99"/>
    <w:unhideWhenUsed/>
    <w:rsid w:val="00CE6DDA"/>
    <w:pPr>
      <w:spacing w:after="0" w:line="240" w:lineRule="auto"/>
    </w:pPr>
    <w:rPr>
      <w:sz w:val="20"/>
      <w:szCs w:val="20"/>
    </w:rPr>
  </w:style>
  <w:style w:type="character" w:customStyle="1" w:styleId="FootnoteTextChar">
    <w:name w:val="Footnote Text Char"/>
    <w:basedOn w:val="DefaultParagraphFont"/>
    <w:link w:val="FootnoteText"/>
    <w:uiPriority w:val="99"/>
    <w:rsid w:val="00CE6DDA"/>
    <w:rPr>
      <w:sz w:val="20"/>
      <w:szCs w:val="20"/>
    </w:rPr>
  </w:style>
  <w:style w:type="character" w:styleId="FootnoteReference">
    <w:name w:val="footnote reference"/>
    <w:basedOn w:val="DefaultParagraphFont"/>
    <w:uiPriority w:val="99"/>
    <w:semiHidden/>
    <w:unhideWhenUsed/>
    <w:rsid w:val="00CE6DDA"/>
    <w:rPr>
      <w:vertAlign w:val="superscript"/>
    </w:rPr>
  </w:style>
  <w:style w:type="character" w:styleId="Emphasis">
    <w:name w:val="Emphasis"/>
    <w:basedOn w:val="DefaultParagraphFont"/>
    <w:uiPriority w:val="20"/>
    <w:qFormat/>
    <w:rsid w:val="00CE6DDA"/>
    <w:rPr>
      <w:i/>
      <w:iCs/>
    </w:rPr>
  </w:style>
  <w:style w:type="character" w:styleId="Hyperlink">
    <w:name w:val="Hyperlink"/>
    <w:basedOn w:val="DefaultParagraphFont"/>
    <w:uiPriority w:val="99"/>
    <w:unhideWhenUsed/>
    <w:rsid w:val="00CE6DDA"/>
    <w:rPr>
      <w:color w:val="0000FF"/>
      <w:u w:val="single"/>
    </w:rPr>
  </w:style>
  <w:style w:type="paragraph" w:styleId="Header">
    <w:name w:val="header"/>
    <w:basedOn w:val="Normal"/>
    <w:link w:val="HeaderChar"/>
    <w:uiPriority w:val="99"/>
    <w:unhideWhenUsed/>
    <w:rsid w:val="00CE6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DDA"/>
  </w:style>
  <w:style w:type="paragraph" w:styleId="Footer">
    <w:name w:val="footer"/>
    <w:basedOn w:val="Normal"/>
    <w:link w:val="FooterChar"/>
    <w:uiPriority w:val="99"/>
    <w:unhideWhenUsed/>
    <w:rsid w:val="00CE6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DDA"/>
  </w:style>
  <w:style w:type="character" w:styleId="CommentReference">
    <w:name w:val="annotation reference"/>
    <w:basedOn w:val="DefaultParagraphFont"/>
    <w:uiPriority w:val="99"/>
    <w:semiHidden/>
    <w:unhideWhenUsed/>
    <w:rsid w:val="00CE6DDA"/>
    <w:rPr>
      <w:sz w:val="16"/>
      <w:szCs w:val="16"/>
    </w:rPr>
  </w:style>
  <w:style w:type="paragraph" w:styleId="CommentText">
    <w:name w:val="annotation text"/>
    <w:basedOn w:val="Normal"/>
    <w:link w:val="CommentTextChar"/>
    <w:uiPriority w:val="99"/>
    <w:semiHidden/>
    <w:unhideWhenUsed/>
    <w:rsid w:val="00CE6DDA"/>
    <w:pPr>
      <w:spacing w:line="240" w:lineRule="auto"/>
    </w:pPr>
    <w:rPr>
      <w:sz w:val="20"/>
      <w:szCs w:val="20"/>
    </w:rPr>
  </w:style>
  <w:style w:type="character" w:customStyle="1" w:styleId="CommentTextChar">
    <w:name w:val="Comment Text Char"/>
    <w:basedOn w:val="DefaultParagraphFont"/>
    <w:link w:val="CommentText"/>
    <w:uiPriority w:val="99"/>
    <w:semiHidden/>
    <w:rsid w:val="00CE6DDA"/>
    <w:rPr>
      <w:sz w:val="20"/>
      <w:szCs w:val="20"/>
    </w:rPr>
  </w:style>
  <w:style w:type="paragraph" w:styleId="CommentSubject">
    <w:name w:val="annotation subject"/>
    <w:basedOn w:val="CommentText"/>
    <w:next w:val="CommentText"/>
    <w:link w:val="CommentSubjectChar"/>
    <w:uiPriority w:val="99"/>
    <w:semiHidden/>
    <w:unhideWhenUsed/>
    <w:rsid w:val="00CE6DDA"/>
    <w:rPr>
      <w:b/>
      <w:bCs/>
    </w:rPr>
  </w:style>
  <w:style w:type="character" w:customStyle="1" w:styleId="CommentSubjectChar">
    <w:name w:val="Comment Subject Char"/>
    <w:basedOn w:val="CommentTextChar"/>
    <w:link w:val="CommentSubject"/>
    <w:uiPriority w:val="99"/>
    <w:semiHidden/>
    <w:rsid w:val="00CE6DDA"/>
    <w:rPr>
      <w:b/>
      <w:bCs/>
      <w:sz w:val="20"/>
      <w:szCs w:val="20"/>
    </w:rPr>
  </w:style>
  <w:style w:type="paragraph" w:styleId="BalloonText">
    <w:name w:val="Balloon Text"/>
    <w:basedOn w:val="Normal"/>
    <w:link w:val="BalloonTextChar"/>
    <w:uiPriority w:val="99"/>
    <w:semiHidden/>
    <w:unhideWhenUsed/>
    <w:rsid w:val="00CE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DA"/>
    <w:rPr>
      <w:rFonts w:ascii="Tahoma" w:hAnsi="Tahoma" w:cs="Tahoma"/>
      <w:sz w:val="16"/>
      <w:szCs w:val="16"/>
    </w:rPr>
  </w:style>
  <w:style w:type="paragraph" w:customStyle="1" w:styleId="ds-markdown-paragraph">
    <w:name w:val="ds-markdown-paragraph"/>
    <w:basedOn w:val="Normal"/>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6DDA"/>
    <w:rPr>
      <w:color w:val="800080" w:themeColor="followedHyperlink"/>
      <w:u w:val="single"/>
    </w:rPr>
  </w:style>
  <w:style w:type="paragraph" w:styleId="EndnoteText">
    <w:name w:val="endnote text"/>
    <w:basedOn w:val="Normal"/>
    <w:link w:val="EndnoteTextChar"/>
    <w:uiPriority w:val="99"/>
    <w:semiHidden/>
    <w:unhideWhenUsed/>
    <w:rsid w:val="00747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7394"/>
    <w:rPr>
      <w:sz w:val="20"/>
      <w:szCs w:val="20"/>
    </w:rPr>
  </w:style>
  <w:style w:type="character" w:customStyle="1" w:styleId="field">
    <w:name w:val="field"/>
    <w:basedOn w:val="DefaultParagraphFont"/>
    <w:rsid w:val="005C1EE5"/>
  </w:style>
  <w:style w:type="character" w:customStyle="1" w:styleId="Heading1Char">
    <w:name w:val="Heading 1 Char"/>
    <w:basedOn w:val="DefaultParagraphFont"/>
    <w:link w:val="Heading1"/>
    <w:uiPriority w:val="9"/>
    <w:rsid w:val="00A776F4"/>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A776F4"/>
    <w:rPr>
      <w:rFonts w:asciiTheme="majorHAnsi" w:eastAsiaTheme="majorEastAsia" w:hAnsiTheme="majorHAnsi" w:cstheme="majorBidi"/>
      <w:i/>
      <w:iCs/>
      <w:color w:val="243F60" w:themeColor="accent1" w:themeShade="7F"/>
    </w:rPr>
  </w:style>
  <w:style w:type="paragraph" w:customStyle="1" w:styleId="Default">
    <w:name w:val="Default"/>
    <w:rsid w:val="00200E1D"/>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basedOn w:val="DefaultParagraphFont"/>
    <w:uiPriority w:val="99"/>
    <w:semiHidden/>
    <w:unhideWhenUsed/>
    <w:rsid w:val="00D65E8E"/>
    <w:rPr>
      <w:vertAlign w:val="superscript"/>
    </w:rPr>
  </w:style>
  <w:style w:type="character" w:styleId="UnresolvedMention">
    <w:name w:val="Unresolved Mention"/>
    <w:basedOn w:val="DefaultParagraphFont"/>
    <w:uiPriority w:val="99"/>
    <w:semiHidden/>
    <w:unhideWhenUsed/>
    <w:rsid w:val="00F8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8733">
      <w:bodyDiv w:val="1"/>
      <w:marLeft w:val="0"/>
      <w:marRight w:val="0"/>
      <w:marTop w:val="0"/>
      <w:marBottom w:val="0"/>
      <w:divBdr>
        <w:top w:val="none" w:sz="0" w:space="0" w:color="auto"/>
        <w:left w:val="none" w:sz="0" w:space="0" w:color="auto"/>
        <w:bottom w:val="none" w:sz="0" w:space="0" w:color="auto"/>
        <w:right w:val="none" w:sz="0" w:space="0" w:color="auto"/>
      </w:divBdr>
    </w:div>
    <w:div w:id="385764007">
      <w:bodyDiv w:val="1"/>
      <w:marLeft w:val="0"/>
      <w:marRight w:val="0"/>
      <w:marTop w:val="0"/>
      <w:marBottom w:val="0"/>
      <w:divBdr>
        <w:top w:val="none" w:sz="0" w:space="0" w:color="auto"/>
        <w:left w:val="none" w:sz="0" w:space="0" w:color="auto"/>
        <w:bottom w:val="none" w:sz="0" w:space="0" w:color="auto"/>
        <w:right w:val="none" w:sz="0" w:space="0" w:color="auto"/>
      </w:divBdr>
    </w:div>
    <w:div w:id="480998580">
      <w:bodyDiv w:val="1"/>
      <w:marLeft w:val="0"/>
      <w:marRight w:val="0"/>
      <w:marTop w:val="0"/>
      <w:marBottom w:val="0"/>
      <w:divBdr>
        <w:top w:val="none" w:sz="0" w:space="0" w:color="auto"/>
        <w:left w:val="none" w:sz="0" w:space="0" w:color="auto"/>
        <w:bottom w:val="none" w:sz="0" w:space="0" w:color="auto"/>
        <w:right w:val="none" w:sz="0" w:space="0" w:color="auto"/>
      </w:divBdr>
    </w:div>
    <w:div w:id="556161267">
      <w:bodyDiv w:val="1"/>
      <w:marLeft w:val="0"/>
      <w:marRight w:val="0"/>
      <w:marTop w:val="0"/>
      <w:marBottom w:val="0"/>
      <w:divBdr>
        <w:top w:val="none" w:sz="0" w:space="0" w:color="auto"/>
        <w:left w:val="none" w:sz="0" w:space="0" w:color="auto"/>
        <w:bottom w:val="none" w:sz="0" w:space="0" w:color="auto"/>
        <w:right w:val="none" w:sz="0" w:space="0" w:color="auto"/>
      </w:divBdr>
    </w:div>
    <w:div w:id="1122729666">
      <w:bodyDiv w:val="1"/>
      <w:marLeft w:val="0"/>
      <w:marRight w:val="0"/>
      <w:marTop w:val="0"/>
      <w:marBottom w:val="0"/>
      <w:divBdr>
        <w:top w:val="none" w:sz="0" w:space="0" w:color="auto"/>
        <w:left w:val="none" w:sz="0" w:space="0" w:color="auto"/>
        <w:bottom w:val="none" w:sz="0" w:space="0" w:color="auto"/>
        <w:right w:val="none" w:sz="0" w:space="0" w:color="auto"/>
      </w:divBdr>
    </w:div>
    <w:div w:id="1431051294">
      <w:bodyDiv w:val="1"/>
      <w:marLeft w:val="0"/>
      <w:marRight w:val="0"/>
      <w:marTop w:val="0"/>
      <w:marBottom w:val="0"/>
      <w:divBdr>
        <w:top w:val="none" w:sz="0" w:space="0" w:color="auto"/>
        <w:left w:val="none" w:sz="0" w:space="0" w:color="auto"/>
        <w:bottom w:val="none" w:sz="0" w:space="0" w:color="auto"/>
        <w:right w:val="none" w:sz="0" w:space="0" w:color="auto"/>
      </w:divBdr>
    </w:div>
    <w:div w:id="1496384215">
      <w:bodyDiv w:val="1"/>
      <w:marLeft w:val="0"/>
      <w:marRight w:val="0"/>
      <w:marTop w:val="0"/>
      <w:marBottom w:val="0"/>
      <w:divBdr>
        <w:top w:val="none" w:sz="0" w:space="0" w:color="auto"/>
        <w:left w:val="none" w:sz="0" w:space="0" w:color="auto"/>
        <w:bottom w:val="none" w:sz="0" w:space="0" w:color="auto"/>
        <w:right w:val="none" w:sz="0" w:space="0" w:color="auto"/>
      </w:divBdr>
    </w:div>
    <w:div w:id="1669140058">
      <w:bodyDiv w:val="1"/>
      <w:marLeft w:val="0"/>
      <w:marRight w:val="0"/>
      <w:marTop w:val="0"/>
      <w:marBottom w:val="0"/>
      <w:divBdr>
        <w:top w:val="none" w:sz="0" w:space="0" w:color="auto"/>
        <w:left w:val="none" w:sz="0" w:space="0" w:color="auto"/>
        <w:bottom w:val="none" w:sz="0" w:space="0" w:color="auto"/>
        <w:right w:val="none" w:sz="0" w:space="0" w:color="auto"/>
      </w:divBdr>
    </w:div>
    <w:div w:id="1688216012">
      <w:bodyDiv w:val="1"/>
      <w:marLeft w:val="0"/>
      <w:marRight w:val="0"/>
      <w:marTop w:val="0"/>
      <w:marBottom w:val="0"/>
      <w:divBdr>
        <w:top w:val="none" w:sz="0" w:space="0" w:color="auto"/>
        <w:left w:val="none" w:sz="0" w:space="0" w:color="auto"/>
        <w:bottom w:val="none" w:sz="0" w:space="0" w:color="auto"/>
        <w:right w:val="none" w:sz="0" w:space="0" w:color="auto"/>
      </w:divBdr>
    </w:div>
    <w:div w:id="1688940926">
      <w:bodyDiv w:val="1"/>
      <w:marLeft w:val="0"/>
      <w:marRight w:val="0"/>
      <w:marTop w:val="0"/>
      <w:marBottom w:val="0"/>
      <w:divBdr>
        <w:top w:val="none" w:sz="0" w:space="0" w:color="auto"/>
        <w:left w:val="none" w:sz="0" w:space="0" w:color="auto"/>
        <w:bottom w:val="none" w:sz="0" w:space="0" w:color="auto"/>
        <w:right w:val="none" w:sz="0" w:space="0" w:color="auto"/>
      </w:divBdr>
    </w:div>
    <w:div w:id="18652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msa.go.tz/uploads/publications/en-1576064406-" TargetMode="External"/><Relationship Id="rId18" Type="http://schemas.openxmlformats.org/officeDocument/2006/relationships/hyperlink" Target="https://www.iosco.org/library/pubdocs/pdf/ioscopd561.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orldbank.org" TargetMode="External"/><Relationship Id="rId7" Type="http://schemas.openxmlformats.org/officeDocument/2006/relationships/endnotes" Target="endnotes.xml"/><Relationship Id="rId12" Type="http://schemas.openxmlformats.org/officeDocument/2006/relationships/hyperlink" Target="https://www.cmsa.go.tz/uploads/publications/en-1575981152" TargetMode="External"/><Relationship Id="rId17" Type="http://schemas.openxmlformats.org/officeDocument/2006/relationships/hyperlink" Target="https://www.iosco.org/library/pubdocs/pdf/IOSCOPD56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asplus.com/en/standards/ifrs" TargetMode="External"/><Relationship Id="rId20" Type="http://schemas.openxmlformats.org/officeDocument/2006/relationships/hyperlink" Target="https://www.cmsa.go.tz/welcome/homepag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admin/Downloads/null-001.2023.issue-026-en.pdf"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sciencedirect.com/science/article/abs/pii/S105905602400225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science/article/abs/pii/S1544612325012528"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osco.org/library/pubdocs/pdf/IOSCOPD561.pdf" TargetMode="External"/><Relationship Id="rId13" Type="http://schemas.openxmlformats.org/officeDocument/2006/relationships/hyperlink" Target="https://www.cmsa.go.tz/uploads/publications/en-1576064406-" TargetMode="External"/><Relationship Id="rId3" Type="http://schemas.openxmlformats.org/officeDocument/2006/relationships/hyperlink" Target="file:///C:/Users/admin/Downloads/null-001.2023.issue-026-en.pdf" TargetMode="External"/><Relationship Id="rId7" Type="http://schemas.openxmlformats.org/officeDocument/2006/relationships/hyperlink" Target="https://www.iasplus.com/en/standards/ifrs" TargetMode="External"/><Relationship Id="rId12" Type="http://schemas.openxmlformats.org/officeDocument/2006/relationships/hyperlink" Target="https://www.cmsa.go.tz/uploads/publications/en-1576064406-" TargetMode="External"/><Relationship Id="rId2" Type="http://schemas.openxmlformats.org/officeDocument/2006/relationships/hyperlink" Target="https://www.sciencedirect.com/science/article/abs/pii/S1544612325012528" TargetMode="External"/><Relationship Id="rId1" Type="http://schemas.openxmlformats.org/officeDocument/2006/relationships/hyperlink" Target="https://www.iosco.org/library/pubdocs/pdf/ioscopd561.pdf" TargetMode="External"/><Relationship Id="rId6" Type="http://schemas.openxmlformats.org/officeDocument/2006/relationships/hyperlink" Target="https://www.cmsa.go.tz/welcome/homepage" TargetMode="External"/><Relationship Id="rId11" Type="http://schemas.openxmlformats.org/officeDocument/2006/relationships/hyperlink" Target="https://www.cmsa.go.tz/uploads/publications/en-1576064406-" TargetMode="External"/><Relationship Id="rId5" Type="http://schemas.openxmlformats.org/officeDocument/2006/relationships/hyperlink" Target="https://www.sciencedirect.com/science/article/abs/pii/S1059056024002259" TargetMode="External"/><Relationship Id="rId10" Type="http://schemas.openxmlformats.org/officeDocument/2006/relationships/hyperlink" Target="https://www.cmsa.go.tz/uploads/publications/en-1575981152" TargetMode="External"/><Relationship Id="rId4" Type="http://schemas.openxmlformats.org/officeDocument/2006/relationships/hyperlink" Target="https://www.iosco.org/library/pubdocs/pdf/ioscopd561.pdf" TargetMode="External"/><Relationship Id="rId9"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5EE7-22D3-4AA9-AF9F-E8F8FB1B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6102</Words>
  <Characters>34786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USER</cp:lastModifiedBy>
  <cp:revision>12</cp:revision>
  <dcterms:created xsi:type="dcterms:W3CDTF">2025-07-27T14:44:00Z</dcterms:created>
  <dcterms:modified xsi:type="dcterms:W3CDTF">2025-07-30T11:11:00Z</dcterms:modified>
</cp:coreProperties>
</file>