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E441A" w14:textId="77777777" w:rsidR="0011660C" w:rsidRPr="001B74F4" w:rsidRDefault="00FF5F6B">
      <w:pPr>
        <w:spacing w:line="240" w:lineRule="auto"/>
        <w:jc w:val="right"/>
        <w:rPr>
          <w:rFonts w:ascii="Times New Roman" w:hAnsi="Times New Roman" w:cs="Times New Roman"/>
          <w:b/>
          <w:sz w:val="24"/>
          <w:szCs w:val="24"/>
        </w:rPr>
      </w:pPr>
      <w:r w:rsidRPr="001B74F4">
        <w:rPr>
          <w:rFonts w:ascii="Times New Roman" w:hAnsi="Times New Roman" w:cs="Times New Roman"/>
          <w:b/>
          <w:i/>
          <w:iCs/>
          <w:sz w:val="24"/>
          <w:szCs w:val="24"/>
        </w:rPr>
        <w:t xml:space="preserve">Assessing the Emergency Response Capacity and Resource Availability in </w:t>
      </w:r>
      <w:r w:rsidRPr="001B74F4">
        <w:rPr>
          <w:rFonts w:ascii="Times New Roman" w:hAnsi="Times New Roman" w:cs="Times New Roman"/>
          <w:b/>
          <w:bCs/>
          <w:i/>
          <w:iCs/>
          <w:sz w:val="24"/>
          <w:szCs w:val="24"/>
        </w:rPr>
        <w:t xml:space="preserve">the Ahafo </w:t>
      </w:r>
      <w:proofErr w:type="spellStart"/>
      <w:r w:rsidRPr="001B74F4">
        <w:rPr>
          <w:rFonts w:ascii="Times New Roman" w:hAnsi="Times New Roman" w:cs="Times New Roman"/>
          <w:b/>
          <w:bCs/>
          <w:i/>
          <w:iCs/>
          <w:sz w:val="24"/>
          <w:szCs w:val="24"/>
        </w:rPr>
        <w:t>Ano</w:t>
      </w:r>
      <w:proofErr w:type="spellEnd"/>
      <w:r w:rsidRPr="001B74F4">
        <w:rPr>
          <w:rFonts w:ascii="Times New Roman" w:hAnsi="Times New Roman" w:cs="Times New Roman"/>
          <w:b/>
          <w:bCs/>
          <w:i/>
          <w:iCs/>
          <w:sz w:val="24"/>
          <w:szCs w:val="24"/>
        </w:rPr>
        <w:t xml:space="preserve"> North</w:t>
      </w:r>
      <w:r w:rsidRPr="001B74F4">
        <w:rPr>
          <w:rFonts w:ascii="Times New Roman" w:hAnsi="Times New Roman" w:cs="Times New Roman"/>
          <w:b/>
          <w:i/>
          <w:iCs/>
          <w:sz w:val="24"/>
          <w:szCs w:val="24"/>
        </w:rPr>
        <w:t xml:space="preserve"> Primary Healthcare Facilities</w:t>
      </w:r>
    </w:p>
    <w:p w14:paraId="71976B57" w14:textId="77777777" w:rsidR="0011660C" w:rsidRPr="001B74F4" w:rsidRDefault="0011660C">
      <w:pPr>
        <w:pStyle w:val="Heading1"/>
        <w:spacing w:after="160" w:line="240" w:lineRule="auto"/>
        <w:rPr>
          <w:rFonts w:ascii="Times New Roman" w:hAnsi="Times New Roman" w:cs="Times New Roman"/>
          <w:b/>
          <w:color w:val="000000" w:themeColor="text1"/>
          <w:sz w:val="24"/>
          <w:szCs w:val="24"/>
        </w:rPr>
      </w:pPr>
      <w:bookmarkStart w:id="0" w:name="_Toc195274017"/>
    </w:p>
    <w:p w14:paraId="58FDD6E6" w14:textId="77777777" w:rsidR="0011660C" w:rsidRPr="001B74F4" w:rsidRDefault="00FF5F6B">
      <w:pPr>
        <w:pStyle w:val="Heading1"/>
        <w:spacing w:after="160" w:line="240" w:lineRule="auto"/>
        <w:rPr>
          <w:rFonts w:ascii="Times New Roman" w:hAnsi="Times New Roman" w:cs="Times New Roman"/>
          <w:b/>
          <w:color w:val="000000" w:themeColor="text1"/>
          <w:sz w:val="24"/>
          <w:szCs w:val="24"/>
        </w:rPr>
      </w:pPr>
      <w:r w:rsidRPr="001B74F4">
        <w:rPr>
          <w:rFonts w:ascii="Times New Roman" w:hAnsi="Times New Roman" w:cs="Times New Roman"/>
          <w:b/>
          <w:color w:val="000000" w:themeColor="text1"/>
          <w:sz w:val="24"/>
          <w:szCs w:val="24"/>
        </w:rPr>
        <w:t>ABSTRACT</w:t>
      </w:r>
      <w:bookmarkEnd w:id="0"/>
    </w:p>
    <w:p w14:paraId="1D2A1DC8" w14:textId="77777777" w:rsidR="0011660C" w:rsidRPr="001B74F4" w:rsidRDefault="0011660C">
      <w:pPr>
        <w:spacing w:line="240" w:lineRule="auto"/>
        <w:jc w:val="center"/>
        <w:rPr>
          <w:rFonts w:ascii="Times New Roman" w:hAnsi="Times New Roman" w:cs="Times New Roman"/>
          <w:bCs/>
          <w:sz w:val="24"/>
          <w:szCs w:val="24"/>
        </w:rPr>
      </w:pPr>
    </w:p>
    <w:p w14:paraId="73C54E88"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Introduction</w:t>
      </w:r>
      <w:r w:rsidR="007456F8" w:rsidRPr="001B74F4">
        <w:rPr>
          <w:rFonts w:ascii="Times New Roman" w:hAnsi="Times New Roman" w:cs="Times New Roman"/>
          <w:sz w:val="24"/>
          <w:szCs w:val="24"/>
        </w:rPr>
        <w:t>:</w:t>
      </w:r>
      <w:r w:rsidRPr="001B74F4">
        <w:rPr>
          <w:rFonts w:ascii="Times New Roman" w:hAnsi="Times New Roman" w:cs="Times New Roman"/>
          <w:sz w:val="24"/>
          <w:szCs w:val="24"/>
        </w:rPr>
        <w:t xml:space="preserve"> Primary healthcare (PHC) provides emergency medical care because in rural areas, institutions are frequently the first—and occasionally the only—point of contact for people experiencing medical emergencies. The World Health Organization (WHO) states that these facilities must be capable of stabilizing patients, administering vital life-saving treatments, and quickly arranging referrals when necessary. Emergency care is the delivery of timely medical assistance within minutes or hours of situations requiring immediate action to avert death or harm.</w:t>
      </w:r>
    </w:p>
    <w:p w14:paraId="73629F2E"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Objectives</w:t>
      </w:r>
      <w:r w:rsidR="007456F8" w:rsidRPr="001B74F4">
        <w:rPr>
          <w:rFonts w:ascii="Times New Roman" w:hAnsi="Times New Roman" w:cs="Times New Roman"/>
          <w:b/>
          <w:bCs/>
          <w:sz w:val="24"/>
          <w:szCs w:val="24"/>
        </w:rPr>
        <w:t>:</w:t>
      </w:r>
      <w:r w:rsidRPr="001B74F4">
        <w:rPr>
          <w:rFonts w:ascii="Times New Roman" w:hAnsi="Times New Roman" w:cs="Times New Roman"/>
          <w:b/>
          <w:bCs/>
          <w:sz w:val="24"/>
          <w:szCs w:val="24"/>
        </w:rPr>
        <w:t xml:space="preserve"> </w:t>
      </w:r>
      <w:r w:rsidRPr="001B74F4">
        <w:rPr>
          <w:rFonts w:ascii="Times New Roman" w:hAnsi="Times New Roman" w:cs="Times New Roman"/>
          <w:sz w:val="24"/>
          <w:szCs w:val="24"/>
        </w:rPr>
        <w:t xml:space="preserve">To investigate the capacity of rural primary healthcare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to respond to emergency medical cases.</w:t>
      </w:r>
    </w:p>
    <w:p w14:paraId="29819795"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color w:val="000000" w:themeColor="text1"/>
          <w:sz w:val="24"/>
          <w:szCs w:val="24"/>
        </w:rPr>
        <w:t>Methods</w:t>
      </w:r>
      <w:r w:rsidR="007456F8" w:rsidRPr="001B74F4">
        <w:rPr>
          <w:rFonts w:ascii="Times New Roman" w:hAnsi="Times New Roman" w:cs="Times New Roman"/>
          <w:b/>
          <w:bCs/>
          <w:color w:val="000000" w:themeColor="text1"/>
          <w:sz w:val="24"/>
          <w:szCs w:val="24"/>
        </w:rPr>
        <w:t>:</w:t>
      </w:r>
      <w:r w:rsidRPr="001B74F4">
        <w:rPr>
          <w:rFonts w:ascii="Times New Roman" w:hAnsi="Times New Roman" w:cs="Times New Roman"/>
          <w:color w:val="000000" w:themeColor="text1"/>
          <w:sz w:val="24"/>
          <w:szCs w:val="24"/>
        </w:rPr>
        <w:t xml:space="preserve"> </w:t>
      </w:r>
      <w:r w:rsidRPr="001B74F4">
        <w:rPr>
          <w:rFonts w:ascii="Times New Roman" w:hAnsi="Times New Roman" w:cs="Times New Roman"/>
          <w:color w:val="000000" w:themeColor="text1"/>
          <w:sz w:val="24"/>
          <w:szCs w:val="24"/>
          <w:lang w:val="zh-CN"/>
        </w:rPr>
        <w:t>A descriptive cross-sectional survey design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used in the study to gather quantitative information</w:t>
      </w:r>
      <w:r w:rsidRPr="001B74F4">
        <w:rPr>
          <w:rFonts w:ascii="Times New Roman" w:hAnsi="Times New Roman" w:cs="Times New Roman"/>
          <w:color w:val="000000" w:themeColor="text1"/>
          <w:sz w:val="24"/>
          <w:szCs w:val="24"/>
        </w:rPr>
        <w:t xml:space="preserve"> in the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District. A simple random</w:t>
      </w:r>
      <w:r w:rsidRPr="001B74F4">
        <w:rPr>
          <w:rFonts w:ascii="Times New Roman" w:hAnsi="Times New Roman" w:cs="Times New Roman"/>
          <w:color w:val="000000" w:themeColor="text1"/>
          <w:sz w:val="24"/>
          <w:szCs w:val="24"/>
          <w:lang w:val="zh-CN"/>
        </w:rPr>
        <w:t xml:space="preserve"> sampl</w:t>
      </w:r>
      <w:proofErr w:type="spellStart"/>
      <w:r w:rsidRPr="001B74F4">
        <w:rPr>
          <w:rFonts w:ascii="Times New Roman" w:hAnsi="Times New Roman" w:cs="Times New Roman"/>
          <w:color w:val="000000" w:themeColor="text1"/>
          <w:sz w:val="24"/>
          <w:szCs w:val="24"/>
        </w:rPr>
        <w:t>ing</w:t>
      </w:r>
      <w:proofErr w:type="spellEnd"/>
      <w:r w:rsidRPr="001B74F4">
        <w:rPr>
          <w:rFonts w:ascii="Times New Roman" w:hAnsi="Times New Roman" w:cs="Times New Roman"/>
          <w:color w:val="000000" w:themeColor="text1"/>
          <w:sz w:val="24"/>
          <w:szCs w:val="24"/>
          <w:lang w:val="zh-CN"/>
        </w:rPr>
        <w:t xml:space="preserve"> technique</w:t>
      </w:r>
      <w:r w:rsidRPr="001B74F4">
        <w:rPr>
          <w:rFonts w:ascii="Times New Roman" w:hAnsi="Times New Roman" w:cs="Times New Roman"/>
          <w:color w:val="000000" w:themeColor="text1"/>
          <w:sz w:val="24"/>
          <w:szCs w:val="24"/>
        </w:rPr>
        <w:t xml:space="preserve"> was </w:t>
      </w:r>
      <w:r w:rsidR="007456F8" w:rsidRPr="001B74F4">
        <w:rPr>
          <w:rFonts w:ascii="Times New Roman" w:hAnsi="Times New Roman" w:cs="Times New Roman"/>
          <w:color w:val="000000" w:themeColor="text1"/>
          <w:sz w:val="24"/>
          <w:szCs w:val="24"/>
        </w:rPr>
        <w:t>employed to select 224 nursing professionals for participation in the study. The data were collected using a questionnaire and analyzed</w:t>
      </w:r>
      <w:r w:rsidRPr="001B74F4">
        <w:rPr>
          <w:rFonts w:ascii="Times New Roman" w:hAnsi="Times New Roman" w:cs="Times New Roman"/>
          <w:sz w:val="24"/>
          <w:szCs w:val="24"/>
        </w:rPr>
        <w:t xml:space="preserve"> using IBM SPSS Statistics 27 and R 4.3.1.</w:t>
      </w:r>
    </w:p>
    <w:p w14:paraId="6BA0E9F2" w14:textId="77777777" w:rsidR="0011660C" w:rsidRPr="001B74F4" w:rsidRDefault="00FF5F6B">
      <w:pPr>
        <w:spacing w:line="240" w:lineRule="auto"/>
        <w:rPr>
          <w:rFonts w:ascii="Times New Roman" w:hAnsi="Times New Roman" w:cs="Times New Roman"/>
          <w:bCs/>
          <w:sz w:val="24"/>
          <w:szCs w:val="24"/>
        </w:rPr>
      </w:pPr>
      <w:r w:rsidRPr="001B74F4">
        <w:rPr>
          <w:rFonts w:ascii="Times New Roman" w:hAnsi="Times New Roman" w:cs="Times New Roman"/>
          <w:b/>
          <w:bCs/>
          <w:sz w:val="24"/>
          <w:szCs w:val="24"/>
        </w:rPr>
        <w:t>Results and findings</w:t>
      </w:r>
      <w:r w:rsidR="007456F8" w:rsidRPr="001B74F4">
        <w:rPr>
          <w:rFonts w:ascii="Times New Roman" w:hAnsi="Times New Roman" w:cs="Times New Roman"/>
          <w:b/>
          <w:bCs/>
          <w:sz w:val="24"/>
          <w:szCs w:val="24"/>
        </w:rPr>
        <w:t>:</w:t>
      </w:r>
      <w:r w:rsidRPr="001B74F4">
        <w:rPr>
          <w:rFonts w:ascii="Times New Roman" w:hAnsi="Times New Roman" w:cs="Times New Roman"/>
          <w:b/>
          <w:bCs/>
          <w:sz w:val="24"/>
          <w:szCs w:val="24"/>
        </w:rPr>
        <w:t xml:space="preserve"> </w:t>
      </w:r>
      <w:r w:rsidRPr="001B74F4">
        <w:rPr>
          <w:rFonts w:ascii="Times New Roman" w:hAnsi="Times New Roman" w:cs="Times New Roman"/>
          <w:sz w:val="24"/>
          <w:szCs w:val="24"/>
        </w:rPr>
        <w:t xml:space="preserve">The participants' ages ranged from 18 to 45 years, with an average age of 31.53 years. The </w:t>
      </w:r>
      <w:r w:rsidRPr="001B74F4">
        <w:rPr>
          <w:rFonts w:ascii="Times New Roman" w:hAnsi="Times New Roman" w:cs="Times New Roman"/>
          <w:bCs/>
          <w:sz w:val="24"/>
          <w:szCs w:val="24"/>
        </w:rPr>
        <w:t>standard deviation</w:t>
      </w:r>
      <w:r w:rsidRPr="001B74F4">
        <w:rPr>
          <w:rFonts w:ascii="Times New Roman" w:hAnsi="Times New Roman" w:cs="Times New Roman"/>
          <w:sz w:val="24"/>
          <w:szCs w:val="24"/>
        </w:rPr>
        <w:t xml:space="preserve"> was </w:t>
      </w:r>
      <w:r w:rsidRPr="001B74F4">
        <w:rPr>
          <w:rFonts w:ascii="Times New Roman" w:hAnsi="Times New Roman" w:cs="Times New Roman"/>
          <w:bCs/>
          <w:sz w:val="24"/>
          <w:szCs w:val="24"/>
        </w:rPr>
        <w:t>6.696</w:t>
      </w:r>
      <w:r w:rsidRPr="001B74F4">
        <w:rPr>
          <w:rFonts w:ascii="Times New Roman" w:hAnsi="Times New Roman" w:cs="Times New Roman"/>
          <w:sz w:val="24"/>
          <w:szCs w:val="24"/>
        </w:rPr>
        <w:t xml:space="preserve">, indicating a </w:t>
      </w:r>
      <w:r w:rsidRPr="001B74F4">
        <w:rPr>
          <w:rFonts w:ascii="Times New Roman" w:hAnsi="Times New Roman" w:cs="Times New Roman"/>
          <w:bCs/>
          <w:sz w:val="24"/>
          <w:szCs w:val="24"/>
        </w:rPr>
        <w:t>moderate level of variability</w:t>
      </w:r>
      <w:r w:rsidRPr="001B74F4">
        <w:rPr>
          <w:rFonts w:ascii="Times New Roman" w:hAnsi="Times New Roman" w:cs="Times New Roman"/>
          <w:sz w:val="24"/>
          <w:szCs w:val="24"/>
        </w:rPr>
        <w:t xml:space="preserve"> in participants' ages. The </w:t>
      </w:r>
      <w:r w:rsidRPr="001B74F4">
        <w:rPr>
          <w:rFonts w:ascii="Times New Roman" w:hAnsi="Times New Roman" w:cs="Times New Roman"/>
          <w:bCs/>
          <w:sz w:val="24"/>
          <w:szCs w:val="24"/>
        </w:rPr>
        <w:t>variance</w:t>
      </w:r>
      <w:r w:rsidRPr="001B74F4">
        <w:rPr>
          <w:rFonts w:ascii="Times New Roman" w:hAnsi="Times New Roman" w:cs="Times New Roman"/>
          <w:sz w:val="24"/>
          <w:szCs w:val="24"/>
        </w:rPr>
        <w:t xml:space="preserve">, which represents the spread of the age data, was calculated as </w:t>
      </w:r>
      <w:r w:rsidRPr="001B74F4">
        <w:rPr>
          <w:rFonts w:ascii="Times New Roman" w:hAnsi="Times New Roman" w:cs="Times New Roman"/>
          <w:bCs/>
          <w:sz w:val="24"/>
          <w:szCs w:val="24"/>
        </w:rPr>
        <w:t>44.833</w:t>
      </w:r>
      <w:r w:rsidRPr="001B74F4">
        <w:rPr>
          <w:rFonts w:ascii="Times New Roman" w:hAnsi="Times New Roman" w:cs="Times New Roman"/>
          <w:sz w:val="24"/>
          <w:szCs w:val="24"/>
        </w:rPr>
        <w:t xml:space="preserve">. The </w:t>
      </w:r>
      <w:r w:rsidRPr="001B74F4">
        <w:rPr>
          <w:rFonts w:ascii="Times New Roman" w:hAnsi="Times New Roman" w:cs="Times New Roman"/>
          <w:bCs/>
          <w:sz w:val="24"/>
          <w:szCs w:val="24"/>
        </w:rPr>
        <w:t>skewness value was -0.082</w:t>
      </w:r>
      <w:r w:rsidRPr="001B74F4">
        <w:rPr>
          <w:rFonts w:ascii="Times New Roman" w:hAnsi="Times New Roman" w:cs="Times New Roman"/>
          <w:sz w:val="24"/>
          <w:szCs w:val="24"/>
        </w:rPr>
        <w:t xml:space="preserve"> (standard error = 0.163), slightly </w:t>
      </w:r>
      <w:proofErr w:type="spellStart"/>
      <w:r w:rsidRPr="001B74F4">
        <w:rPr>
          <w:rFonts w:ascii="Times New Roman" w:hAnsi="Times New Roman" w:cs="Times New Roman"/>
          <w:sz w:val="24"/>
          <w:szCs w:val="24"/>
        </w:rPr>
        <w:t>skew</w:t>
      </w:r>
      <w:proofErr w:type="spellEnd"/>
      <w:r w:rsidRPr="001B74F4">
        <w:rPr>
          <w:rFonts w:ascii="Times New Roman" w:hAnsi="Times New Roman" w:cs="Times New Roman"/>
          <w:sz w:val="24"/>
          <w:szCs w:val="24"/>
        </w:rPr>
        <w:t xml:space="preserve">, and the age distribution was </w:t>
      </w:r>
      <w:r w:rsidRPr="001B74F4">
        <w:rPr>
          <w:rFonts w:ascii="Times New Roman" w:hAnsi="Times New Roman" w:cs="Times New Roman"/>
          <w:bCs/>
          <w:sz w:val="24"/>
          <w:szCs w:val="24"/>
        </w:rPr>
        <w:t>approximately symmetrical</w:t>
      </w:r>
      <w:r w:rsidRPr="001B74F4">
        <w:rPr>
          <w:rFonts w:ascii="Times New Roman" w:hAnsi="Times New Roman" w:cs="Times New Roman"/>
          <w:sz w:val="24"/>
          <w:szCs w:val="24"/>
        </w:rPr>
        <w:t xml:space="preserve">. The </w:t>
      </w:r>
      <w:r w:rsidRPr="001B74F4">
        <w:rPr>
          <w:rFonts w:ascii="Times New Roman" w:hAnsi="Times New Roman" w:cs="Times New Roman"/>
          <w:bCs/>
          <w:sz w:val="24"/>
          <w:szCs w:val="24"/>
        </w:rPr>
        <w:t>kurtosis value was -0.152</w:t>
      </w:r>
      <w:r w:rsidRPr="001B74F4">
        <w:rPr>
          <w:rFonts w:ascii="Times New Roman" w:hAnsi="Times New Roman" w:cs="Times New Roman"/>
          <w:sz w:val="24"/>
          <w:szCs w:val="24"/>
        </w:rPr>
        <w:t xml:space="preserve"> (standard error = 0.324) with a slightly</w:t>
      </w:r>
      <w:r w:rsidRPr="001B74F4">
        <w:rPr>
          <w:rFonts w:ascii="Times New Roman" w:hAnsi="Times New Roman" w:cs="Times New Roman"/>
          <w:bCs/>
          <w:sz w:val="24"/>
          <w:szCs w:val="24"/>
        </w:rPr>
        <w:t xml:space="preserve"> platykurtic distribution</w:t>
      </w:r>
      <w:r w:rsidR="007456F8" w:rsidRPr="001B74F4">
        <w:rPr>
          <w:rFonts w:ascii="Times New Roman" w:hAnsi="Times New Roman" w:cs="Times New Roman"/>
          <w:bCs/>
          <w:sz w:val="24"/>
          <w:szCs w:val="24"/>
        </w:rPr>
        <w:t>.</w:t>
      </w:r>
      <w:r w:rsidRPr="001B74F4">
        <w:rPr>
          <w:rFonts w:ascii="Times New Roman" w:hAnsi="Times New Roman" w:cs="Times New Roman"/>
          <w:sz w:val="24"/>
          <w:szCs w:val="24"/>
        </w:rPr>
        <w:t xml:space="preserve"> The findings revealed that </w:t>
      </w:r>
      <w:r w:rsidRPr="001B74F4">
        <w:rPr>
          <w:rFonts w:ascii="Times New Roman" w:hAnsi="Times New Roman" w:cs="Times New Roman"/>
          <w:bCs/>
          <w:sz w:val="24"/>
          <w:szCs w:val="24"/>
        </w:rPr>
        <w:t>43.5% (</w:t>
      </w:r>
      <w:r w:rsidRPr="001B74F4">
        <w:rPr>
          <w:rFonts w:ascii="Times New Roman" w:hAnsi="Times New Roman" w:cs="Times New Roman"/>
          <w:iCs/>
          <w:sz w:val="24"/>
          <w:szCs w:val="24"/>
        </w:rPr>
        <w:t>very poor)</w:t>
      </w:r>
      <w:r w:rsidRPr="001B74F4">
        <w:rPr>
          <w:rFonts w:ascii="Times New Roman" w:hAnsi="Times New Roman" w:cs="Times New Roman"/>
          <w:bCs/>
          <w:sz w:val="24"/>
          <w:szCs w:val="24"/>
        </w:rPr>
        <w:t>, 62.8% (</w:t>
      </w:r>
      <w:r w:rsidRPr="001B74F4">
        <w:rPr>
          <w:rFonts w:ascii="Times New Roman" w:hAnsi="Times New Roman" w:cs="Times New Roman"/>
          <w:bCs/>
          <w:iCs/>
          <w:sz w:val="24"/>
          <w:szCs w:val="24"/>
        </w:rPr>
        <w:t>very poor</w:t>
      </w:r>
      <w:r w:rsidRPr="001B74F4">
        <w:rPr>
          <w:rFonts w:ascii="Times New Roman" w:hAnsi="Times New Roman" w:cs="Times New Roman"/>
          <w:bCs/>
          <w:sz w:val="24"/>
          <w:szCs w:val="24"/>
        </w:rPr>
        <w:t xml:space="preserve"> ratings), 24.7% (</w:t>
      </w:r>
      <w:r w:rsidRPr="001B74F4">
        <w:rPr>
          <w:rFonts w:ascii="Times New Roman" w:hAnsi="Times New Roman" w:cs="Times New Roman"/>
          <w:iCs/>
          <w:sz w:val="24"/>
          <w:szCs w:val="24"/>
        </w:rPr>
        <w:t>moderately) good,</w:t>
      </w:r>
      <w:r w:rsidRPr="001B74F4">
        <w:rPr>
          <w:rFonts w:ascii="Times New Roman" w:hAnsi="Times New Roman" w:cs="Times New Roman"/>
          <w:bCs/>
          <w:sz w:val="24"/>
          <w:szCs w:val="24"/>
        </w:rPr>
        <w:t xml:space="preserve"> 31.4% (</w:t>
      </w:r>
      <w:r w:rsidRPr="001B74F4">
        <w:rPr>
          <w:rFonts w:ascii="Times New Roman" w:hAnsi="Times New Roman" w:cs="Times New Roman"/>
          <w:iCs/>
          <w:sz w:val="24"/>
          <w:szCs w:val="24"/>
        </w:rPr>
        <w:t xml:space="preserve">moderately good) </w:t>
      </w:r>
      <w:r w:rsidRPr="001B74F4">
        <w:rPr>
          <w:rFonts w:ascii="Times New Roman" w:hAnsi="Times New Roman" w:cs="Times New Roman"/>
          <w:bCs/>
          <w:sz w:val="24"/>
          <w:szCs w:val="24"/>
        </w:rPr>
        <w:t>56.5% (</w:t>
      </w:r>
      <w:r w:rsidRPr="001B74F4">
        <w:rPr>
          <w:rFonts w:ascii="Times New Roman" w:hAnsi="Times New Roman" w:cs="Times New Roman"/>
          <w:bCs/>
          <w:iCs/>
          <w:sz w:val="24"/>
          <w:szCs w:val="24"/>
        </w:rPr>
        <w:t xml:space="preserve">very poorly), respectively, for first aid kits, </w:t>
      </w:r>
      <w:r w:rsidRPr="001B74F4">
        <w:rPr>
          <w:rFonts w:ascii="Times New Roman" w:hAnsi="Times New Roman" w:cs="Times New Roman"/>
          <w:bCs/>
          <w:sz w:val="24"/>
          <w:szCs w:val="24"/>
        </w:rPr>
        <w:t>automated external defibrillators (</w:t>
      </w:r>
      <w:proofErr w:type="spellStart"/>
      <w:r w:rsidRPr="001B74F4">
        <w:rPr>
          <w:rFonts w:ascii="Times New Roman" w:hAnsi="Times New Roman" w:cs="Times New Roman"/>
          <w:bCs/>
          <w:sz w:val="24"/>
          <w:szCs w:val="24"/>
        </w:rPr>
        <w:t>aeds</w:t>
      </w:r>
      <w:proofErr w:type="spellEnd"/>
      <w:r w:rsidRPr="001B74F4">
        <w:rPr>
          <w:rFonts w:ascii="Times New Roman" w:hAnsi="Times New Roman" w:cs="Times New Roman"/>
          <w:bCs/>
          <w:sz w:val="24"/>
          <w:szCs w:val="24"/>
        </w:rPr>
        <w:t>), stretchers oxygen supplies, and suction devices</w:t>
      </w:r>
    </w:p>
    <w:p w14:paraId="173BD94F" w14:textId="77777777" w:rsidR="0011660C" w:rsidRPr="001B74F4" w:rsidRDefault="007456F8">
      <w:pPr>
        <w:spacing w:line="240" w:lineRule="auto"/>
        <w:rPr>
          <w:rFonts w:ascii="Times New Roman" w:hAnsi="Times New Roman" w:cs="Times New Roman"/>
          <w:bCs/>
          <w:sz w:val="24"/>
          <w:szCs w:val="24"/>
        </w:rPr>
      </w:pPr>
      <w:r w:rsidRPr="001B74F4">
        <w:rPr>
          <w:rFonts w:ascii="Times New Roman" w:hAnsi="Times New Roman" w:cs="Times New Roman"/>
          <w:b/>
          <w:sz w:val="24"/>
          <w:szCs w:val="24"/>
        </w:rPr>
        <w:t>Conclusion:</w:t>
      </w:r>
      <w:r w:rsidR="00FF5F6B" w:rsidRPr="001B74F4">
        <w:rPr>
          <w:rFonts w:ascii="Times New Roman" w:hAnsi="Times New Roman" w:cs="Times New Roman"/>
          <w:bCs/>
          <w:sz w:val="24"/>
          <w:szCs w:val="24"/>
        </w:rPr>
        <w:t xml:space="preserve"> </w:t>
      </w:r>
      <w:commentRangeStart w:id="1"/>
      <w:r w:rsidRPr="001B74F4">
        <w:rPr>
          <w:rFonts w:ascii="Times New Roman" w:hAnsi="Times New Roman" w:cs="Times New Roman"/>
          <w:bCs/>
          <w:sz w:val="24"/>
          <w:szCs w:val="24"/>
        </w:rPr>
        <w:t>The</w:t>
      </w:r>
      <w:r w:rsidR="00FF5F6B" w:rsidRPr="001B74F4">
        <w:rPr>
          <w:rFonts w:ascii="Times New Roman" w:hAnsi="Times New Roman" w:cs="Times New Roman"/>
          <w:bCs/>
          <w:sz w:val="24"/>
          <w:szCs w:val="24"/>
        </w:rPr>
        <w:t xml:space="preserve"> study concluded </w:t>
      </w:r>
      <w:r w:rsidRPr="001B74F4">
        <w:rPr>
          <w:rFonts w:ascii="Times New Roman" w:hAnsi="Times New Roman" w:cs="Times New Roman"/>
          <w:bCs/>
          <w:sz w:val="24"/>
          <w:szCs w:val="24"/>
        </w:rPr>
        <w:t xml:space="preserve">that </w:t>
      </w:r>
      <w:r w:rsidR="00FF5F6B" w:rsidRPr="001B74F4">
        <w:rPr>
          <w:rFonts w:ascii="Times New Roman" w:hAnsi="Times New Roman" w:cs="Times New Roman"/>
          <w:bCs/>
          <w:sz w:val="24"/>
          <w:szCs w:val="24"/>
        </w:rPr>
        <w:t>developing strategies to enhance emergency preparedness in rural primary healthcare facilities</w:t>
      </w:r>
      <w:commentRangeEnd w:id="1"/>
      <w:r w:rsidR="004963C2">
        <w:rPr>
          <w:rStyle w:val="CommentReference"/>
        </w:rPr>
        <w:commentReference w:id="1"/>
      </w:r>
      <w:r w:rsidRPr="001B74F4">
        <w:rPr>
          <w:rFonts w:ascii="Times New Roman" w:hAnsi="Times New Roman" w:cs="Times New Roman"/>
          <w:bCs/>
          <w:sz w:val="24"/>
          <w:szCs w:val="24"/>
        </w:rPr>
        <w:t>. T</w:t>
      </w:r>
      <w:r w:rsidR="00FF5F6B" w:rsidRPr="001B74F4">
        <w:rPr>
          <w:rFonts w:ascii="Times New Roman" w:hAnsi="Times New Roman" w:cs="Times New Roman"/>
          <w:bCs/>
          <w:sz w:val="24"/>
          <w:szCs w:val="24"/>
        </w:rPr>
        <w:t xml:space="preserve">he study reviewed very important ways to improve primary health care, such as </w:t>
      </w:r>
      <w:r w:rsidR="00FF5F6B" w:rsidRPr="001B74F4">
        <w:rPr>
          <w:rFonts w:ascii="Times New Roman" w:hAnsi="Times New Roman" w:cs="Times New Roman"/>
          <w:sz w:val="24"/>
          <w:szCs w:val="24"/>
        </w:rPr>
        <w:t>targeted training, standardized protocols, improved resource allocation, and strengthened referral systems</w:t>
      </w:r>
      <w:r w:rsidR="00FF5F6B" w:rsidRPr="001B74F4">
        <w:rPr>
          <w:rFonts w:ascii="Times New Roman" w:hAnsi="Times New Roman" w:cs="Times New Roman"/>
          <w:bCs/>
          <w:sz w:val="24"/>
          <w:szCs w:val="24"/>
        </w:rPr>
        <w:t>.</w:t>
      </w:r>
    </w:p>
    <w:p w14:paraId="6E0C70DB" w14:textId="77777777" w:rsidR="0011660C" w:rsidRPr="001B74F4" w:rsidRDefault="00FF5F6B">
      <w:pPr>
        <w:spacing w:line="240" w:lineRule="auto"/>
        <w:rPr>
          <w:rFonts w:ascii="Times New Roman" w:hAnsi="Times New Roman" w:cs="Times New Roman"/>
          <w:bCs/>
          <w:sz w:val="24"/>
          <w:szCs w:val="24"/>
        </w:rPr>
      </w:pPr>
      <w:r w:rsidRPr="001B74F4">
        <w:rPr>
          <w:rFonts w:ascii="Times New Roman" w:hAnsi="Times New Roman" w:cs="Times New Roman"/>
          <w:b/>
          <w:bCs/>
          <w:sz w:val="24"/>
          <w:szCs w:val="24"/>
        </w:rPr>
        <w:t>Keywords</w:t>
      </w:r>
      <w:r w:rsidR="007456F8" w:rsidRPr="001B74F4">
        <w:rPr>
          <w:rFonts w:ascii="Times New Roman" w:hAnsi="Times New Roman" w:cs="Times New Roman"/>
          <w:bCs/>
          <w:sz w:val="24"/>
          <w:szCs w:val="24"/>
        </w:rPr>
        <w:t>:</w:t>
      </w:r>
      <w:r w:rsidRPr="001B74F4">
        <w:rPr>
          <w:rFonts w:ascii="Times New Roman" w:hAnsi="Times New Roman" w:cs="Times New Roman"/>
          <w:bCs/>
          <w:sz w:val="24"/>
          <w:szCs w:val="24"/>
        </w:rPr>
        <w:t xml:space="preserve"> Emergency Response Capacity, Resource Availabili</w:t>
      </w:r>
      <w:r w:rsidR="00A9261F" w:rsidRPr="001B74F4">
        <w:rPr>
          <w:rFonts w:ascii="Times New Roman" w:hAnsi="Times New Roman" w:cs="Times New Roman"/>
          <w:bCs/>
          <w:sz w:val="24"/>
          <w:szCs w:val="24"/>
        </w:rPr>
        <w:t>ty,</w:t>
      </w:r>
      <w:r w:rsidRPr="001B74F4">
        <w:rPr>
          <w:rFonts w:ascii="Times New Roman" w:hAnsi="Times New Roman" w:cs="Times New Roman"/>
          <w:bCs/>
          <w:sz w:val="24"/>
          <w:szCs w:val="24"/>
        </w:rPr>
        <w:t xml:space="preserve"> Ahafo </w:t>
      </w:r>
      <w:proofErr w:type="spellStart"/>
      <w:r w:rsidRPr="001B74F4">
        <w:rPr>
          <w:rFonts w:ascii="Times New Roman" w:hAnsi="Times New Roman" w:cs="Times New Roman"/>
          <w:bCs/>
          <w:sz w:val="24"/>
          <w:szCs w:val="24"/>
        </w:rPr>
        <w:t>Ano</w:t>
      </w:r>
      <w:proofErr w:type="spellEnd"/>
      <w:r w:rsidRPr="001B74F4">
        <w:rPr>
          <w:rFonts w:ascii="Times New Roman" w:hAnsi="Times New Roman" w:cs="Times New Roman"/>
          <w:bCs/>
          <w:sz w:val="24"/>
          <w:szCs w:val="24"/>
        </w:rPr>
        <w:t xml:space="preserve"> North, and Primary Healthcare Facilities. </w:t>
      </w:r>
    </w:p>
    <w:p w14:paraId="6E52747F" w14:textId="77777777" w:rsidR="0011660C" w:rsidRPr="001B74F4" w:rsidRDefault="0011660C">
      <w:pPr>
        <w:spacing w:line="240" w:lineRule="auto"/>
        <w:jc w:val="center"/>
        <w:rPr>
          <w:rFonts w:ascii="Times New Roman" w:hAnsi="Times New Roman" w:cs="Times New Roman"/>
          <w:b/>
          <w:bCs/>
          <w:sz w:val="24"/>
          <w:szCs w:val="24"/>
        </w:rPr>
      </w:pPr>
    </w:p>
    <w:p w14:paraId="6C4C1E8D"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1.1 Background to the Study</w:t>
      </w:r>
    </w:p>
    <w:p w14:paraId="3F3CEF26"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Primary healthcare (PHC) institutions are often the initial, and sometimes the only, point of contact for people in rural areas experiencing medical emergencies, and any successful healthcare system must include emergency medical care. According to the </w:t>
      </w:r>
      <w:commentRangeStart w:id="2"/>
      <w:r w:rsidRPr="001B74F4">
        <w:rPr>
          <w:rFonts w:ascii="Times New Roman" w:hAnsi="Times New Roman" w:cs="Times New Roman"/>
          <w:sz w:val="24"/>
          <w:szCs w:val="24"/>
        </w:rPr>
        <w:t xml:space="preserve">World Health </w:t>
      </w:r>
      <w:r w:rsidRPr="001B74F4">
        <w:rPr>
          <w:rFonts w:ascii="Times New Roman" w:hAnsi="Times New Roman" w:cs="Times New Roman"/>
          <w:sz w:val="24"/>
          <w:szCs w:val="24"/>
        </w:rPr>
        <w:lastRenderedPageBreak/>
        <w:t>Organization (WHO),</w:t>
      </w:r>
      <w:commentRangeEnd w:id="2"/>
      <w:r w:rsidR="000D18CD">
        <w:rPr>
          <w:rStyle w:val="CommentReference"/>
        </w:rPr>
        <w:commentReference w:id="2"/>
      </w:r>
      <w:r w:rsidRPr="001B74F4">
        <w:rPr>
          <w:rFonts w:ascii="Times New Roman" w:hAnsi="Times New Roman" w:cs="Times New Roman"/>
          <w:sz w:val="24"/>
          <w:szCs w:val="24"/>
        </w:rPr>
        <w:t xml:space="preserve"> these facilities must be able to stabilize patients, provide critical life-saving measures, and arrange prompt referrals when needed.</w:t>
      </w:r>
    </w:p>
    <w:p w14:paraId="1FAF5C40"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provision of prompt medical attention within minutes or hours of circumstances necessitating quick action to prevent death or impairment is known as emergency care </w:t>
      </w:r>
      <w:r w:rsidR="005341E5" w:rsidRPr="001B74F4">
        <w:rPr>
          <w:rFonts w:ascii="Times New Roman" w:hAnsi="Times New Roman" w:cs="Times New Roman"/>
          <w:sz w:val="24"/>
          <w:szCs w:val="24"/>
        </w:rPr>
        <w:fldChar w:fldCharType="begin"/>
      </w:r>
      <w:r w:rsidR="005811A6" w:rsidRPr="001B74F4">
        <w:rPr>
          <w:rFonts w:ascii="Times New Roman" w:hAnsi="Times New Roman" w:cs="Times New Roman"/>
          <w:sz w:val="24"/>
          <w:szCs w:val="24"/>
        </w:rPr>
        <w:instrText xml:space="preserve"> ADDIN ZOTERO_ITEM CSL_CITATION {"citationID":"4sRALdkM","properties":{"formattedCitation":"(1,2)","plainCitation":"(1,2)","noteIndex":0},"citationItems":[{"id":305,"uris":["http://zotero.org/users/local/fuyxLwzY/items/AZHYAKW7"],"itemData":{"id":305,"type":"article-journal","container-title":"African Journal of Emergency Medicine","DOI":"10.1016/j.afjem.2013.01.001","ISSN":"2211419X","issue":"1","journalAbbreviation":"African Journal of Emergency Medicine","language":"en","license":"https://www.elsevier.com/tdm/userlicense/1.0/","page":"42-48","source":"DOI.org (Crossref)","title":"Emergency care in sub-Saharan Africa: Results of a consensus conference","title-short":"Emergency care in sub-Saharan Africa","volume":"3","author":[{"family":"Calvello","given":"Emilie"},{"family":"Reynolds","given":"Teri"},{"family":"Hirshon","given":"Jon Mark"},{"family":"Buckle","given":"Conrad"},{"family":"Moresky","given":"Rachel"},{"family":"O’Neill","given":"Joseph"},{"family":"Wallis","given":"Lee A."}],"issued":{"date-parts":[["2013",3]]}}},{"id":306,"uris":["http://zotero.org/users/local/fuyxLwzY/items/2PI2CWC7"],"itemData":{"id":306,"type":"article-journal","container-title":"Clinical Governance: An International Journal","DOI":"10.1108/CGIJ-03-2012-0010","ISSN":"1477-7274","issue":"4","journalAbbreviation":"Clinical Governance: An Intl J","language":"en","license":"http://www.emeraldinsight.com/page/tdm","page":"300-314","source":"DOI.org (Crossref)","title":"Promoting quality emergency care in a resource-constrained setting","volume":"18","author":[{"family":"M. Molyneux","given":"Elizabeth"},{"family":"Dube","given":"Queen"}],"issued":{"date-parts":[["2013",10,14]]}}}],"schema":"https://github.com/citation-style-language/schema/raw/master/csl-citation.json"} </w:instrText>
      </w:r>
      <w:r w:rsidR="005341E5"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(1,2)</w:t>
      </w:r>
      <w:r w:rsidR="005341E5" w:rsidRPr="001B74F4">
        <w:rPr>
          <w:rFonts w:ascii="Times New Roman" w:hAnsi="Times New Roman" w:cs="Times New Roman"/>
          <w:sz w:val="24"/>
          <w:szCs w:val="24"/>
        </w:rPr>
        <w:fldChar w:fldCharType="end"/>
      </w:r>
      <w:r w:rsidR="008564F6" w:rsidRPr="001B74F4">
        <w:rPr>
          <w:rFonts w:ascii="Times New Roman" w:hAnsi="Times New Roman" w:cs="Times New Roman"/>
          <w:sz w:val="24"/>
          <w:szCs w:val="24"/>
        </w:rPr>
        <w:t>.</w:t>
      </w:r>
      <w:r w:rsidRPr="001B74F4">
        <w:rPr>
          <w:rFonts w:ascii="Times New Roman" w:hAnsi="Times New Roman" w:cs="Times New Roman"/>
          <w:sz w:val="24"/>
          <w:szCs w:val="24"/>
        </w:rPr>
        <w:t xml:space="preserve"> Ailments that fall under the purview of emergency medical treatment include injuries, infectious and non-communicable diseases, acute decompensation of chronic </w:t>
      </w:r>
      <w:r w:rsidR="005341E5" w:rsidRPr="001B74F4">
        <w:rPr>
          <w:rFonts w:ascii="Times New Roman" w:hAnsi="Times New Roman" w:cs="Times New Roman"/>
          <w:sz w:val="24"/>
          <w:szCs w:val="24"/>
        </w:rPr>
        <w:t>illnesses</w:t>
      </w:r>
      <w:r w:rsidRPr="001B74F4">
        <w:rPr>
          <w:rFonts w:ascii="Times New Roman" w:hAnsi="Times New Roman" w:cs="Times New Roman"/>
          <w:sz w:val="24"/>
          <w:szCs w:val="24"/>
        </w:rPr>
        <w:t>, and pregnancy difficulties. These conditions necessitate prompt, high-quality care to prevent death or permanent impairment</w:t>
      </w:r>
      <w:commentRangeStart w:id="3"/>
      <w:r w:rsidRPr="001B74F4">
        <w:rPr>
          <w:rFonts w:ascii="Times New Roman" w:hAnsi="Times New Roman" w:cs="Times New Roman"/>
          <w:sz w:val="24"/>
          <w:szCs w:val="24"/>
        </w:rPr>
        <w:t xml:space="preserve">. Approximately 2.1 billion deaths and disability-adjusted life years occur worldwide each year as a result of these illnesses </w:t>
      </w:r>
      <w:r w:rsidR="008564F6" w:rsidRPr="001B74F4">
        <w:rPr>
          <w:rFonts w:ascii="Times New Roman" w:hAnsi="Times New Roman" w:cs="Times New Roman"/>
          <w:sz w:val="24"/>
          <w:szCs w:val="24"/>
        </w:rPr>
        <w:fldChar w:fldCharType="begin"/>
      </w:r>
      <w:r w:rsidR="008564F6" w:rsidRPr="001B74F4">
        <w:rPr>
          <w:rFonts w:ascii="Times New Roman" w:hAnsi="Times New Roman" w:cs="Times New Roman"/>
          <w:sz w:val="24"/>
          <w:szCs w:val="24"/>
        </w:rPr>
        <w:instrText xml:space="preserve"> ADDIN ZOTERO_ITEM CSL_CITATION {"citationID":"hLwefIQP","properties":{"formattedCitation":"(3)","plainCitation":"(3)","noteIndex":0},"citationItems":[{"id":307,"uris":["http://zotero.org/users/local/fuyxLwzY/items/Q3Y5MB4X"],"itemData":{"id":307,"type":"article-journal","abstract":"Objective\n              To estimate the global and national burden of emergency conditions, and compare them to emergency care usage rates.\n            \n            \n              Methods\n              We coded all 291 Global Burden of Disease 2010 conditions into three categories to estimate emergency burden: conditions that, if not addressed within hours to days of onset, commonly lead to serious disability or death; conditions with common acute decompensations that lead to serious disability or death; and non-emergencies. Emergency care usage rates were obtained from a systematic literature review on emergency care facilities in low-income and middle-income countries (LMICs), supplemented by national health system reports.\n            \n            \n              Findings\n              All 15 leading causes of death and disability-adjusted life years (DALYs) globally were conditions with potential emergent manifestations. We identified 41 facility-based reports in 23 countries, 12 of which were in LMICs; data for 17 additional countries were obtained from national or regional reports on emergency usage. Burden of emergency conditions was the highest in low-income countries, with median DALYs of 47 728 per 100 000 population (IQR 45 253–50 085) in low-income, 25 186 (IQR 21 982–40 480) in middle-income and 15 691 (IQR 14 649–16 382) in high-income countries. Patterns were similar using deaths to measure burden and excluding acute decompensations from the definition of emergency conditions. Conversely, emergency usage rates were the lowest in low-income countries, with median 8 visits per 1000 population (IQR 6–10), 78 (IQR 25–197) in middle-income and 264 (IQR 177–341) in high-income countries.\n            \n            \n              Conclusions\n              Despite higher burden of emergency conditions, emergency usage rates are substantially lower in LMICs, likely due to limited access to emergency care.","container-title":"Emergency Medicine Journal","DOI":"10.1136/emermed-2016-205709","ISSN":"1472-0205, 1472-0213","issue":"11","journalAbbreviation":"Emerg Med J","language":"en","page":"794-800","source":"DOI.org (Crossref)","title":"Burden of emergency conditions and emergency care usage: new estimates from 40 countries","title-short":"Burden of emergency conditions and emergency care usage","volume":"33","author":[{"family":"Chang","given":"Cindy Y"},{"family":"Abujaber","given":"Samer"},{"family":"Reynolds","given":"Teri A"},{"family":"Camargo","given":"Carlos A"},{"family":"Obermeyer","given":"Ziad"}],"issued":{"date-parts":[["2016",11]]}}}],"schema":"https://github.com/citation-style-language/schema/raw/master/csl-citation.json"} </w:instrText>
      </w:r>
      <w:r w:rsidR="008564F6"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(3)</w:t>
      </w:r>
      <w:r w:rsidR="008564F6" w:rsidRPr="001B74F4">
        <w:rPr>
          <w:rFonts w:ascii="Times New Roman" w:hAnsi="Times New Roman" w:cs="Times New Roman"/>
          <w:sz w:val="24"/>
          <w:szCs w:val="24"/>
        </w:rPr>
        <w:fldChar w:fldCharType="end"/>
      </w:r>
      <w:commentRangeEnd w:id="3"/>
      <w:r w:rsidR="000D18CD">
        <w:rPr>
          <w:rStyle w:val="CommentReference"/>
        </w:rPr>
        <w:commentReference w:id="3"/>
      </w:r>
      <w:r w:rsidRPr="001B74F4">
        <w:rPr>
          <w:rFonts w:ascii="Times New Roman" w:hAnsi="Times New Roman" w:cs="Times New Roman"/>
          <w:sz w:val="24"/>
          <w:szCs w:val="24"/>
        </w:rPr>
        <w:t xml:space="preserve">. In low- and middle-income countries (LMICs), where the burden of these conditions is largest and the results are disproportionately worse, the integration of emergency care systems into the broader health system has thus not lived up to its full potential, even though it is particularly </w:t>
      </w:r>
      <w:r w:rsidR="008564F6" w:rsidRPr="001B74F4">
        <w:rPr>
          <w:rFonts w:ascii="Times New Roman" w:hAnsi="Times New Roman" w:cs="Times New Roman"/>
          <w:sz w:val="24"/>
          <w:szCs w:val="24"/>
        </w:rPr>
        <w:t>life-saving</w:t>
      </w:r>
      <w:r w:rsidRPr="001B74F4">
        <w:rPr>
          <w:rFonts w:ascii="Times New Roman" w:hAnsi="Times New Roman" w:cs="Times New Roman"/>
          <w:sz w:val="24"/>
          <w:szCs w:val="24"/>
        </w:rPr>
        <w:t xml:space="preserve"> </w:t>
      </w:r>
      <w:r w:rsidR="008564F6" w:rsidRPr="001B74F4">
        <w:rPr>
          <w:rFonts w:ascii="Times New Roman" w:hAnsi="Times New Roman" w:cs="Times New Roman"/>
          <w:sz w:val="24"/>
          <w:szCs w:val="24"/>
        </w:rPr>
        <w:fldChar w:fldCharType="begin"/>
      </w:r>
      <w:r w:rsidR="008564F6" w:rsidRPr="001B74F4">
        <w:rPr>
          <w:rFonts w:ascii="Times New Roman" w:hAnsi="Times New Roman" w:cs="Times New Roman"/>
          <w:sz w:val="24"/>
          <w:szCs w:val="24"/>
        </w:rPr>
        <w:instrText xml:space="preserve"> ADDIN ZOTERO_ITEM CSL_CITATION {"citationID":"N9TG6JgX","properties":{"formattedCitation":"(4)","plainCitation":"(4)","noteIndex":0},"citationItems":[{"id":309,"uris":["http://zotero.org/users/local/fuyxLwzY/items/XST7QDRC"],"itemData":{"id":309,"type":"article-journal","abstract":"Objective\n              There are currently no metrics for measuring population-level burden of emergency medical diseases (EMDs). This study presents an analysis of the burden of EMDs using two metrics: the emergency disease mortality rate (EDMR) and the emergency disease burden (EDB) per 1000 population at the national, regional and global levels.\n            \n            \n              Methods\n              We used the 1990 and 2015 Global Burden of Disease Study for morbidity and mortality data on 249 medical conditions in 195 countries. Thirty-one diseases were classified as ‘emergency medical diseases’ based on earlier published work. We developed two indicators, one focused on mortality (EDMR) and the other on burden (EDB). We compared the EDMR and EDB across countries, regions and income groups and compared these metrics from 1990 to 2015.\n            \n            \n              Results\n              In 2015, globally, there were 28.3 million deaths due to EMDs. EMDs contributed to 50.7% of mortality and 41.5% of all burden of diseases. The EDB in low-income countries is 4.4 times that of high-income countries. The EDB in the African region is 273 disability-adjusted life years (DALYs) per 1000 compared with 100 DALYs per 1000 in the European region. There has been a 6% increase in overall mortality due to EMDs from 1990 to 2015. Globally, injuries (22%), ischaemic heart disease (17%), lower respiratory infections (11%) and haemorrhagic strokes (7%) made up about 60% of EMDs in 2015.\n            \n            \n              Conclusion\n              Globally, EMDs contributed to more than half of all years of life lost. There is a significant disparity between the EDMR and EDB between regions and socioeconomic groups at the global level.","container-title":"BMJ Global Health","DOI":"10.1136/bmjgh-2018-000733","ISSN":"2059-7908","issue":"2","journalAbbreviation":"BMJ Glob Health","language":"en","page":"e000733","source":"DOI.org (Crossref)","title":"Global, regional and national burden of emergency medical diseases using specific emergency disease indicators: analysis of the 2015 Global Burden of Disease Study","title-short":"Global, regional and national burden of emergency medical diseases using specific emergency disease indicators","volume":"4","author":[{"family":"Razzak","given":"Junaid"},{"family":"Usmani","given":"Mohammad Farooq"},{"family":"Bhutta","given":"Zulfiqar A"}],"issued":{"date-parts":[["2019",3]]}}}],"schema":"https://github.com/citation-style-language/schema/raw/master/csl-citation.json"} </w:instrText>
      </w:r>
      <w:r w:rsidR="008564F6"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(4)</w:t>
      </w:r>
      <w:r w:rsidR="008564F6"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14:paraId="2572B5C1"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burden of medical, surgical, and traumatic emergency conditions is highest in LMICs worldwide </w:t>
      </w:r>
      <w:r w:rsidR="008564F6" w:rsidRPr="001B74F4">
        <w:rPr>
          <w:rFonts w:ascii="Times New Roman" w:hAnsi="Times New Roman" w:cs="Times New Roman"/>
          <w:sz w:val="24"/>
          <w:szCs w:val="24"/>
        </w:rPr>
        <w:fldChar w:fldCharType="begin"/>
      </w:r>
      <w:r w:rsidR="008564F6" w:rsidRPr="001B74F4">
        <w:rPr>
          <w:rFonts w:ascii="Times New Roman" w:hAnsi="Times New Roman" w:cs="Times New Roman"/>
          <w:sz w:val="24"/>
          <w:szCs w:val="24"/>
        </w:rPr>
        <w:instrText xml:space="preserve"> ADDIN ZOTERO_ITEM CSL_CITATION {"citationID":"qohNKCCw","properties":{"formattedCitation":"(5)","plainCitation":"(5)","noteIndex":0},"citationItems":[{"id":311,"uris":["http://zotero.org/users/local/fuyxLwzY/items/A3Q4R54G"],"itemData":{"id":311,"type":"article-journal","abstract":"Abstract\n            \n              Background\n              Surgical disease is inadequately addressed globally, and emergency conditions requiring surgery contribute substantially to the global disease burden.\n            \n            \n              Methods\n              This was a review of studies that contributed to define the population-based health burden of emergency surgical conditions (excluding trauma and obstetrics) and the status of available capacity to address this burden. Further data were retrieved from the Global Burden of Disease Study 2010 and the University of Washington's Institute for Health Metrics and Evaluation online data.\n            \n            \n              Results\n              In the index year of 2010, there were 896 000 deaths, 20 million years of life lost and 25 million disability-adjusted life-years from 11 emergency general surgical conditions reported individually in the Global Burden of Disease Study. The most common cause of death was complicated peptic ulcer disease, followed by aortic aneurysm, bowel obstruction, biliary disease, mesenteric ischaemia, peripheral vascular disease, abscess and soft tissue infections, and appendicitis. The mortality rate was higher in high-income countries (HICs) than in low- and middle-income countries (LMICs) (24·3 versus 10·6 deaths per 100 000 inhabitants respectively), primarily owing to a higher rate of vascular disease in HICs. However, because of the much larger population, 70 per cent of deaths occurred in LMICs. Deaths from vascular disease rose from 15 to 25 per cent of surgical emergency-related deaths in LMICs (from 1990 to 2010). Surgical capacity to address this burden is suboptimal in LMICs, with fewer than one operating theatre per 100 000 inhabitants in many LMICs, whereas some HICs have more than 14 per 100 000 inhabitants.\n            \n            \n              Conclusion\n              The global burden of surgical emergencies is described insufficiently. The bare estimates indicate a tremendous health burden. LMICs carry the majority of emergency conditions; in these countries the pattern of surgical disease is changing and capacity to deal with the problem is inadequate. The data presented in this study will be useful for both the surgical and public health communities to plan a more adequate response.","container-title":"Journal of British Surgery","DOI":"10.1002/bjs.9329","ISSN":"0007-1323, 1365-2168","issue":"1","language":"en","license":"https://academic.oup.com/journals/pages/open_access/funder_policies/chorus/standard_publication_model","page":"e9-e22","source":"DOI.org (Crossref)","title":"Global disease burden of conditions requiring emergency surgery","volume":"101","author":[{"family":"Stewart","given":"B"},{"family":"Khanduri","given":"P"},{"family":"McCord","given":"C"},{"family":"Ohene-Yeboah","given":"M"},{"family":"Uranues","given":"S"},{"family":"Vega Rivera","given":"F"},{"family":"Mock","given":"C"}],"issued":{"date-parts":[["2014",1,1]]}}}],"schema":"https://github.com/citation-style-language/schema/raw/master/csl-citation.json"} </w:instrText>
      </w:r>
      <w:r w:rsidR="008564F6"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(5)</w:t>
      </w:r>
      <w:r w:rsidR="008564F6"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There is insufficient readiness to handle and treat emergencies when they arise because of deficiencies in organizational planning, human resource capabilities, and material resources </w:t>
      </w:r>
      <w:r w:rsidR="00BC457C" w:rsidRPr="001B74F4">
        <w:rPr>
          <w:rFonts w:ascii="Times New Roman" w:hAnsi="Times New Roman" w:cs="Times New Roman"/>
          <w:sz w:val="24"/>
          <w:szCs w:val="24"/>
        </w:rPr>
        <w:fldChar w:fldCharType="begin"/>
      </w:r>
      <w:r w:rsidR="004D0FB1" w:rsidRPr="001B74F4">
        <w:rPr>
          <w:rFonts w:ascii="Times New Roman" w:hAnsi="Times New Roman" w:cs="Times New Roman"/>
          <w:sz w:val="24"/>
          <w:szCs w:val="24"/>
        </w:rPr>
        <w:instrText xml:space="preserve"> ADDIN ZOTERO_ITEM CSL_CITATION {"citationID":"o6JNmjUC","properties":{"formattedCitation":"(5\\uc0\\u8211{}7)","plainCitation":"(5–7)","noteIndex":0},"citationItems":[{"id":311,"uris":["http://zotero.org/users/local/fuyxLwzY/items/A3Q4R54G"],"itemData":{"id":311,"type":"article-journal","abstract":"Abstract\n            \n              Background\n              Surgical disease is inadequately addressed globally, and emergency conditions requiring surgery contribute substantially to the global disease burden.\n            \n            \n              Methods\n              This was a review of studies that contributed to define the population-based health burden of emergency surgical conditions (excluding trauma and obstetrics) and the status of available capacity to address this burden. Further data were retrieved from the Global Burden of Disease Study 2010 and the University of Washington's Institute for Health Metrics and Evaluation online data.\n            \n            \n              Results\n              In the index year of 2010, there were 896 000 deaths, 20 million years of life lost and 25 million disability-adjusted life-years from 11 emergency general surgical conditions reported individually in the Global Burden of Disease Study. The most common cause of death was complicated peptic ulcer disease, followed by aortic aneurysm, bowel obstruction, biliary disease, mesenteric ischaemia, peripheral vascular disease, abscess and soft tissue infections, and appendicitis. The mortality rate was higher in high-income countries (HICs) than in low- and middle-income countries (LMICs) (24·3 versus 10·6 deaths per 100 000 inhabitants respectively), primarily owing to a higher rate of vascular disease in HICs. However, because of the much larger population, 70 per cent of deaths occurred in LMICs. Deaths from vascular disease rose from 15 to 25 per cent of surgical emergency-related deaths in LMICs (from 1990 to 2010). Surgical capacity to address this burden is suboptimal in LMICs, with fewer than one operating theatre per 100 000 inhabitants in many LMICs, whereas some HICs have more than 14 per 100 000 inhabitants.\n            \n            \n              Conclusion\n              The global burden of surgical emergencies is described insufficiently. The bare estimates indicate a tremendous health burden. LMICs carry the majority of emergency conditions; in these countries the pattern of surgical disease is changing and capacity to deal with the problem is inadequate. The data presented in this study will be useful for both the surgical and public health communities to plan a more adequate response.","container-title":"Journal of British Surgery","DOI":"10.1002/bjs.9329","ISSN":"0007-1323, 1365-2168","issue":"1","language":"en","license":"https://academic.oup.com/journals/pages/open_access/funder_policies/chorus/standard_publication_model","page":"e9-e22","source":"DOI.org (Crossref)","title":"Global disease burden of conditions requiring emergency surgery","volume":"101","author":[{"family":"Stewart","given":"B"},{"family":"Khanduri","given":"P"},{"family":"McCord","given":"C"},{"family":"Ohene-Yeboah","given":"M"},{"family":"Uranues","given":"S"},{"family":"Vega Rivera","given":"F"},{"family":"Mock","given":"C"}],"issued":{"date-parts":[["2014",1,1]]}}},{"id":314,"uris":["http://zotero.org/users/local/fuyxLwzY/items/Q7E4YWJN"],"itemData":{"id":314,"type":"article-journal","container-title":"Journal of Surgical Research","DOI":"10.1016/j.jss.2014.08.055","ISSN":"00224804","issue":"1","journalAbbreviation":"Journal of Surgical Research","language":"en","page":"217-222","source":"DOI.org (Crossref)","title":"Prioritizing injury care: a review of trauma capacity in low and middle-income countries","title-short":"Prioritizing injury care","volume":"193","author":[{"family":"Wong","given":"Evan G."},{"family":"Gupta","given":"Shailvi"},{"family":"Deckelbaum","given":"Dan L."},{"family":"Razek","given":"Tarek"},{"family":"Kushner","given":"Adam L."}],"issued":{"date-parts":[["2015",1]]}}},{"id":315,"uris":["http://zotero.org/users/local/fuyxLwzY/items/LVD28UIA"],"itemData":{"id":315,"type":"article-journal","abstract":"Abstract\n            \n              Background\n              We sought to assess the status of availability of technology for trauma care in a state in India and to identify factors contributing to both adequate levels of availability and to deficiencies. We also sought to identify potential solutions to deficiencies in terms of health system management and product development.\n            \n            \n              Methods\n              \n                Thirty‐two technology‐related items were selected from the World Health Organization’s\n                Guidelines for Essential Trauma Care\n                . The status of these items was assessed at 43 small and large hospitals in Gujarat State. Site visits utilized direct inspection and interviews with administrative, clinical, and bioengineering staff.\n              \n            \n            \n              Results\n              Many specific individual items could be better supplied, including many that were very low cost (e.g., chest tubes). Many deficiencies arose because of mismatch of resources, such as availability of equipment in the absence of personnel trained to use it. Several locally manufactured items were fairly well supplied: pulse oximetry, image intensification, and X‐ray machines. Ventilators were often deficient because of inadequate numbers of units and frequent breakdowns.\n            \n            \n              Conclusions\n              Availability of a range of lower‐cost items could be improved by better organization and planning, such as: better procurement and stock management; eliminating mismatch of resources, including optimizing training for use of existing resources; and by strengthening service contracts and in‐house repair capabilities. From a product development viewpoint, there is a need for lower cost, more durable, and easier to repair ventilators. Promoting increased capacity for local manufacturing should also be considered as a potential method to decrease cost and increase availability of a range of equipment.","container-title":"World Journal of Surgery","DOI":"10.1007/s00268-014-2805-7","ISSN":"0364-2313, 1432-2323","issue":"2","journalAbbreviation":"World j. surg.","language":"en","license":"http://onlinelibrary.wiley.com/termsAndConditions#vor","page":"363-372","source":"DOI.org (Crossref)","title":"Assessment of the Availability of Technology for Trauma Care in India","volume":"39","author":[{"family":"Shah","given":"Mihir Tejanshu"},{"family":"Joshipura","given":"Manjul"},{"family":"Singleton","given":"Jered"},{"family":"LaBarre","given":"Paul"},{"family":"Desai","given":"Hem"},{"family":"Sharma","given":"Eliza"},{"family":"Mock","given":"Charles"}],"issued":{"date-parts":[["2015",2]]}}}],"schema":"https://github.com/citation-style-language/schema/raw/master/csl-citation.json"} </w:instrText>
      </w:r>
      <w:r w:rsidR="00BC457C"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(5–7)</w:t>
      </w:r>
      <w:r w:rsidR="00BC457C" w:rsidRPr="001B74F4">
        <w:rPr>
          <w:rFonts w:ascii="Times New Roman" w:hAnsi="Times New Roman" w:cs="Times New Roman"/>
          <w:sz w:val="24"/>
          <w:szCs w:val="24"/>
        </w:rPr>
        <w:fldChar w:fldCharType="end"/>
      </w:r>
      <w:r w:rsidRPr="001B74F4">
        <w:rPr>
          <w:rFonts w:ascii="Times New Roman" w:hAnsi="Times New Roman" w:cs="Times New Roman"/>
          <w:sz w:val="24"/>
          <w:szCs w:val="24"/>
        </w:rPr>
        <w:t>. In Sub-Saharan Africa, 71% of the population reportedly resides within two hours of a hospital that may offer emergency medical services (EMS)</w:t>
      </w:r>
      <w:r w:rsidR="00B3537E" w:rsidRPr="001B74F4">
        <w:rPr>
          <w:rFonts w:ascii="Times New Roman" w:hAnsi="Times New Roman" w:cs="Times New Roman"/>
          <w:sz w:val="24"/>
          <w:szCs w:val="24"/>
        </w:rPr>
        <w:fldChar w:fldCharType="begin"/>
      </w:r>
      <w:r w:rsidR="00B3537E" w:rsidRPr="001B74F4">
        <w:rPr>
          <w:rFonts w:ascii="Times New Roman" w:hAnsi="Times New Roman" w:cs="Times New Roman"/>
          <w:sz w:val="24"/>
          <w:szCs w:val="24"/>
        </w:rPr>
        <w:instrText xml:space="preserve"> ADDIN ZOTERO_ITEM CSL_CITATION {"citationID":"ZBqIzz1n","properties":{"formattedCitation":"(8)","plainCitation":"(8)","noteIndex":0},"citationItems":[{"id":317,"uris":["http://zotero.org/users/local/fuyxLwzY/items/VVA6BT7R"],"itemData":{"id":317,"type":"article-journal","container-title":"African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Yemotsoo"}],"issued":{"date-parts":[["2023",9]]}}}],"schema":"https://github.com/citation-style-language/schema/raw/master/csl-citation.json"} </w:instrText>
      </w:r>
      <w:r w:rsidR="00B3537E"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(8)</w:t>
      </w:r>
      <w:r w:rsidR="00B3537E" w:rsidRPr="001B74F4">
        <w:rPr>
          <w:rFonts w:ascii="Times New Roman" w:hAnsi="Times New Roman" w:cs="Times New Roman"/>
          <w:sz w:val="24"/>
          <w:szCs w:val="24"/>
        </w:rPr>
        <w:fldChar w:fldCharType="end"/>
      </w:r>
      <w:r w:rsidRPr="001B74F4">
        <w:rPr>
          <w:rFonts w:ascii="Times New Roman" w:hAnsi="Times New Roman" w:cs="Times New Roman"/>
          <w:sz w:val="24"/>
          <w:szCs w:val="24"/>
        </w:rPr>
        <w:t>. A highly effective emergency care service (ECS) can save more than half of all deaths in LMICs, according to Reynolds et al.</w:t>
      </w:r>
      <w:r w:rsidR="00B3537E" w:rsidRPr="001B74F4">
        <w:rPr>
          <w:rFonts w:ascii="Times New Roman" w:hAnsi="Times New Roman" w:cs="Times New Roman"/>
          <w:sz w:val="24"/>
          <w:szCs w:val="24"/>
        </w:rPr>
        <w:fldChar w:fldCharType="begin"/>
      </w:r>
      <w:r w:rsidR="001B50C3" w:rsidRPr="001B74F4">
        <w:rPr>
          <w:rFonts w:ascii="Times New Roman" w:hAnsi="Times New Roman" w:cs="Times New Roman"/>
          <w:sz w:val="24"/>
          <w:szCs w:val="24"/>
        </w:rPr>
        <w:instrText xml:space="preserve"> ADDIN ZOTERO_ITEM CSL_CITATION {"citationID":"0Zym1B2I","properties":{"formattedCitation":"(8)","plainCitation":"(8)","noteIndex":0},"citationItems":[{"id":317,"uris":["http://zotero.org/users/local/fuyxLwzY/items/VVA6BT7R"],"itemData":{"id":317,"type":"article-journal","container-title":"African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Yemotsoo"}],"issued":{"date-parts":[["2023",9]]}}}],"schema":"https://github.com/citation-style-language/schema/raw/master/csl-citation.json"} </w:instrText>
      </w:r>
      <w:r w:rsidR="00B3537E"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(8)</w:t>
      </w:r>
      <w:r w:rsidR="00B3537E"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w:t>
      </w:r>
    </w:p>
    <w:p w14:paraId="3CB370ED"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However, the majority of Sub-Saharan African nations lack these services, and those that do have inadequate funding. For instance, emergency rooms account for 10–15% of the 1.6 million documented deaths in Nigeria each year.</w:t>
      </w:r>
    </w:p>
    <w:p w14:paraId="4AFFF655"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Despite global progress in emergency care, many low- and middle-income countries (LMICs), including Ghana, continue to face significant challenges in ensuring that PHC facilities are adequately prepared to respond to emergencies. Common constraints include a shortage of trained personnel, </w:t>
      </w:r>
      <w:r w:rsidR="008F48B8" w:rsidRPr="001B74F4">
        <w:rPr>
          <w:rFonts w:ascii="Times New Roman" w:hAnsi="Times New Roman" w:cs="Times New Roman"/>
          <w:sz w:val="24"/>
          <w:szCs w:val="24"/>
        </w:rPr>
        <w:t xml:space="preserve">a </w:t>
      </w:r>
      <w:r w:rsidRPr="001B74F4">
        <w:rPr>
          <w:rFonts w:ascii="Times New Roman" w:hAnsi="Times New Roman" w:cs="Times New Roman"/>
          <w:sz w:val="24"/>
          <w:szCs w:val="24"/>
        </w:rPr>
        <w:t xml:space="preserve">lack of essential drugs and equipment, poor infrastructure, and weak referral systems </w:t>
      </w:r>
      <w:r w:rsidR="008F48B8" w:rsidRPr="001B74F4">
        <w:rPr>
          <w:rFonts w:ascii="Times New Roman" w:hAnsi="Times New Roman" w:cs="Times New Roman"/>
          <w:sz w:val="24"/>
          <w:szCs w:val="24"/>
        </w:rPr>
        <w:fldChar w:fldCharType="begin"/>
      </w:r>
      <w:r w:rsidR="008F48B8" w:rsidRPr="001B74F4">
        <w:rPr>
          <w:rFonts w:ascii="Times New Roman" w:hAnsi="Times New Roman" w:cs="Times New Roman"/>
          <w:sz w:val="24"/>
          <w:szCs w:val="24"/>
        </w:rPr>
        <w:instrText xml:space="preserve"> ADDIN ZOTERO_ITEM CSL_CITATION {"citationID":"Mc5YQyHs","properties":{"formattedCitation":"(9)","plainCitation":"(9)","noteIndex":0},"citationItems":[{"id":321,"uris":["http://zotero.org/users/local/fuyxLwzY/items/V93WICS8"],"itemData":{"id":321,"type":"article-journal","container-title":"African Journal of Emergency Medicine","DOI":"10.1016/j.afjem.2012.11.006","ISSN":"2211419X","issue":"2","journalAbbreviation":"African Journal of Emergency Medicine","language":"en","license":"https://www.elsevier.com/tdm/userlicense/1.0/","page":"52-58","source":"DOI.org (Crossref)","title":"The evolution and current state of emergency care in Ghana","volume":"3","author":[{"family":"Osei-Ampofo","given":"Maxwell"},{"family":"Oduro","given":"George"},{"family":"Oteng","given":"Rockefeller"},{"family":"Zakariah","given":"Ahmed"},{"family":"Jacquet","given":"Gabrielle"},{"family":"Donkor","given":"Peter"}],"issued":{"date-parts":[["2013",6]]}}}],"schema":"https://github.com/citation-style-language/schema/raw/master/csl-citation.json"} </w:instrText>
      </w:r>
      <w:r w:rsidR="008F48B8"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(9)</w:t>
      </w:r>
      <w:r w:rsidR="008F48B8" w:rsidRPr="001B74F4">
        <w:rPr>
          <w:rFonts w:ascii="Times New Roman" w:hAnsi="Times New Roman" w:cs="Times New Roman"/>
          <w:sz w:val="24"/>
          <w:szCs w:val="24"/>
        </w:rPr>
        <w:fldChar w:fldCharType="end"/>
      </w:r>
      <w:r w:rsidR="008F48B8" w:rsidRPr="001B74F4">
        <w:rPr>
          <w:rFonts w:ascii="Times New Roman" w:hAnsi="Times New Roman" w:cs="Times New Roman"/>
          <w:sz w:val="24"/>
          <w:szCs w:val="24"/>
        </w:rPr>
        <w:t xml:space="preserve">. </w:t>
      </w:r>
      <w:r w:rsidRPr="001B74F4">
        <w:rPr>
          <w:rFonts w:ascii="Times New Roman" w:hAnsi="Times New Roman" w:cs="Times New Roman"/>
          <w:sz w:val="24"/>
          <w:szCs w:val="24"/>
        </w:rPr>
        <w:t>These limitations are particularly acute in rural areas, where health system resources are often stretched thin and distances to higher-level care are vast.</w:t>
      </w:r>
    </w:p>
    <w:p w14:paraId="589A0A99"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In Ghana, rural districts such as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in the Ashanti Region rely heavily on Community-based Health Planning and Services (CHPS) compounds and health centers for emergency care. However, anecdotal reports and district health reviews suggest these facilities may not be adequately resourced or staffed to handle emergencies effectively. In such contexts, delayed or ineffective emergency care can lead to avoidable morbidity and mortality</w:t>
      </w:r>
      <w:r w:rsidR="00B623D4" w:rsidRPr="001B74F4">
        <w:rPr>
          <w:rFonts w:ascii="Times New Roman" w:hAnsi="Times New Roman" w:cs="Times New Roman"/>
          <w:sz w:val="24"/>
          <w:szCs w:val="24"/>
        </w:rPr>
        <w:fldChar w:fldCharType="begin"/>
      </w:r>
      <w:r w:rsidR="00B623D4" w:rsidRPr="001B74F4">
        <w:rPr>
          <w:rFonts w:ascii="Times New Roman" w:hAnsi="Times New Roman" w:cs="Times New Roman"/>
          <w:sz w:val="24"/>
          <w:szCs w:val="24"/>
        </w:rPr>
        <w:instrText xml:space="preserve"> ADDIN ZOTERO_ITEM CSL_CITATION {"citationID":"x1We7KsE","properties":{"formattedCitation":"(10)","plainCitation":"(10)","noteIndex":0},"citationItems":[{"id":322,"uris":["http://zotero.org/users/local/fuyxLwzY/items/2MFP3A7P"],"itemData":{"id":322,"type":"article-journal","abstract":"Abstract\n            \n              Background\n              Injuries accounted for 11 % of the global burden of disease in 2010. This study aimed to quantify the burden of injury in low‐ and middle‐income countries (LMICs) that could be averted if basic surgical services were made available and accessible to the entire population.\n            \n            \n              Methods\n              We examined all causes of injury from the Global Burden of Disease 2010 Study. We split the disability‐adjusted life years (DALYs) for these conditions between surgically “avertable” and “nonavertable” burdens. For estimating the avertable fatal burden, we applied the lowest fatality rates among the 21 epidemiologic regions to each LMIC region, assuming that the differences in death rates between each region and the lowest rates reflect the gap in surgical care. We adjusted for fatal cases that occur prior to reaching hospitals as they are not surgically avertable. Similarly, we applied the lowest nonfatal burden per case to each LMIC region.\n            \n            \n              Results\n              Overall, 21 % of the injury burden in LMICs was potentially avertable by basic surgical care (52.3 million DALYs). The avertable proportion was greater for deaths than for nonfatal burden (23 vs. 20 %), suggesting that surgical services for injuries more effectively save lives than ameliorate disability. Sub‐Saharan Africa had the largest proportion of potentially avertable burden (25 %). South Asia had the highest total avertable DALYs (17.4 million). Road injury comprised the largest total avertable burden in LMICs (16.1 million DALYs).\n            \n            \n              Conclusions\n              Basic surgical care has the potential to play a major role in reducing the injury‐related burden in LMICs.","container-title":"World Journal of Surgery","DOI":"10.1007/s00268-014-2685-x","ISSN":"0364-2313, 1432-2323","issue":"1","journalAbbreviation":"World j. surg.","language":"en","license":"http://onlinelibrary.wiley.com/termsAndConditions#vor","page":"1-9","source":"DOI.org (Crossref)","title":"Burden of Injuries Avertable By a Basic Surgical Package in Low‐ and Middle‐Income Regions: A Systematic Analysis From the Global Burden of Disease 2010 Study","title-short":"Burden of Injuries Avertable By a Basic Surgical Package in Low‐ and Middle‐Income Regions","volume":"39","author":[{"family":"Higashi","given":"Hideki"},{"family":"Barendregt","given":"Jan J."},{"family":"Kassebaum","given":"Nicholas J."},{"family":"Weiser","given":"Thomas G."},{"family":"Bickler","given":"Stephen W."},{"family":"Vos","given":"Theo"}],"issued":{"date-parts":[["2015",1]]}}}],"schema":"https://github.com/citation-style-language/schema/raw/master/csl-citation.json"} </w:instrText>
      </w:r>
      <w:r w:rsidR="00B623D4"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(10)</w:t>
      </w:r>
      <w:r w:rsidR="00B623D4"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(Afriyie et al., 2022).</w:t>
      </w:r>
    </w:p>
    <w:p w14:paraId="289562C1"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 capacity to respond to emergencies encompasses both tangible resources (for example, emergency drugs, equipment, and vehicles) and intangible aspects such as staff knowledge, clinical preparedness, and protocol adherence. Assessing this capacity is essential for identifying gaps, informing policy, and guiding investments in rural health system strengthening</w:t>
      </w:r>
      <w:r w:rsidR="00B623D4" w:rsidRPr="001B74F4">
        <w:rPr>
          <w:rFonts w:ascii="Times New Roman" w:hAnsi="Times New Roman" w:cs="Times New Roman"/>
          <w:sz w:val="24"/>
          <w:szCs w:val="24"/>
        </w:rPr>
        <w:t xml:space="preserve"> </w:t>
      </w:r>
      <w:r w:rsidR="00B623D4" w:rsidRPr="001B74F4">
        <w:rPr>
          <w:rFonts w:ascii="Times New Roman" w:hAnsi="Times New Roman" w:cs="Times New Roman"/>
          <w:sz w:val="24"/>
          <w:szCs w:val="24"/>
        </w:rPr>
        <w:fldChar w:fldCharType="begin"/>
      </w:r>
      <w:r w:rsidR="00B623D4" w:rsidRPr="001B74F4">
        <w:rPr>
          <w:rFonts w:ascii="Times New Roman" w:hAnsi="Times New Roman" w:cs="Times New Roman"/>
          <w:sz w:val="24"/>
          <w:szCs w:val="24"/>
        </w:rPr>
        <w:instrText xml:space="preserve"> ADDIN ZOTERO_ITEM CSL_CITATION {"citationID":"W6K4n0MH","properties":{"formattedCitation":"(11)","plainCitation":"(11)","noteIndex":0},"citationItems":[{"id":324,"uris":["http://zotero.org/users/local/fuyxLwzY/items/EAIUER4R"],"itemData":{"id":324,"type":"article-journal","container-title":"The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B623D4"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(11)</w:t>
      </w:r>
      <w:r w:rsidR="00B623D4"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14:paraId="05FA516C"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This study, therefore, seeks to assess the emergency response capacity and resource availability in rural PHC facilities in the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District, focusing on equipment, drugs, staff training, and system readiness.</w:t>
      </w:r>
    </w:p>
    <w:p w14:paraId="6F123E66" w14:textId="77777777" w:rsidR="0011660C" w:rsidRPr="001B74F4" w:rsidRDefault="0011660C">
      <w:pPr>
        <w:spacing w:line="240" w:lineRule="auto"/>
        <w:rPr>
          <w:rFonts w:ascii="Times New Roman" w:hAnsi="Times New Roman" w:cs="Times New Roman"/>
          <w:b/>
          <w:bCs/>
          <w:sz w:val="24"/>
          <w:szCs w:val="24"/>
        </w:rPr>
      </w:pPr>
    </w:p>
    <w:p w14:paraId="29F0C8AA"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lastRenderedPageBreak/>
        <w:t>1.2 Problem Statement</w:t>
      </w:r>
    </w:p>
    <w:p w14:paraId="154EF41B"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lang w:val="zh-CN"/>
        </w:rPr>
        <w:t xml:space="preserve">In rural Ghana, </w:t>
      </w:r>
      <w:r w:rsidRPr="001B74F4">
        <w:rPr>
          <w:rFonts w:ascii="Times New Roman" w:hAnsi="Times New Roman" w:cs="Times New Roman"/>
          <w:sz w:val="24"/>
          <w:szCs w:val="24"/>
        </w:rPr>
        <w:t>when a patient has a medical emergency, such as trauma, cardiovascular events, respiratory distress, or pregnancy-related issues, primary healthcare facilities are usually the first place they go. However, the lack of staff, resources, and training that many of these facilities face may make it more difficult to handle such situations effectively.</w:t>
      </w:r>
    </w:p>
    <w:p w14:paraId="10F77B31"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effectiveness of emergency medical response in rural Ghana is undermined by systemic deficiencies in health facility readiness and human resource capacity.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District, where health infrastructure is limited and communities are dispersed across challenging terrains, the capacity of PHC facilities to manage medical emergencies is a pressing concern.</w:t>
      </w:r>
    </w:p>
    <w:p w14:paraId="013DAFF1"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Despite being critical points of care, many rural PHC facilities reportedly lack basic emergency supplies, trained staff, and functional transport or communication systems. This situation leads to delays in care, poor clinical outcomes, and preventable deaths, especially in cases of trauma, obstetric emergencies, and acute medical illnesses</w:t>
      </w:r>
      <w:r w:rsidR="00F25E08" w:rsidRPr="001B74F4">
        <w:rPr>
          <w:rFonts w:ascii="Times New Roman" w:hAnsi="Times New Roman" w:cs="Times New Roman"/>
          <w:sz w:val="24"/>
          <w:szCs w:val="24"/>
        </w:rPr>
        <w:fldChar w:fldCharType="begin"/>
      </w:r>
      <w:r w:rsidR="00F25E08" w:rsidRPr="001B74F4">
        <w:rPr>
          <w:rFonts w:ascii="Times New Roman" w:hAnsi="Times New Roman" w:cs="Times New Roman"/>
          <w:sz w:val="24"/>
          <w:szCs w:val="24"/>
        </w:rPr>
        <w:instrText xml:space="preserve"> ADDIN ZOTERO_ITEM CSL_CITATION {"citationID":"Y0HFkYTU","properties":{"formattedCitation":"(12)","plainCitation":"(12)","noteIndex":0},"citationItems":[{"id":326,"uris":["http://zotero.org/users/local/fuyxLwzY/items/R92HTJJ6"],"itemData":{"id":326,"type":"book","ISBN":"978-0-8213-9667-4","language":"en","note":"DOI: 10.1596/978-0-8213-9667-4","publisher":"Washington, DC:  World Bank","source":"DOI.org (Crossref)","title":"Toward Interventions in Human Resources for Health in Ghana","URL":"https://hdl.handle.net/10986/13116","author":[{"family":"Appiah-Denkyira","given":"Ebenezer"},{"family":"Herbst","given":"Christopher H."},{"family":"Soucat","given":"Agnes"},{"family":"Lemiere","given":"Christophe"},{"family":"Saleh","given":"Karima"}],"accessed":{"date-parts":[["2025",7,5]]},"issued":{"date-parts":[["2013",3,22]]}}}],"schema":"https://github.com/citation-style-language/schema/raw/master/csl-citation.json"} </w:instrText>
      </w:r>
      <w:r w:rsidR="00F25E08"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(12)</w:t>
      </w:r>
      <w:r w:rsidR="00F25E08"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However, there is limited empirical data assessing the extent of these limitations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thereby making evidence-based planning difficult.</w:t>
      </w:r>
    </w:p>
    <w:p w14:paraId="36935950"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A comprehensive assessment of emergency response capacity and resource availability in these rural PHC facilities is urgently needed to inform district and national health strategies aimed at improving rural emergency care delivery.</w:t>
      </w:r>
    </w:p>
    <w:p w14:paraId="4DD624B6" w14:textId="77777777" w:rsidR="0011660C" w:rsidRPr="001B74F4" w:rsidRDefault="0011660C">
      <w:pPr>
        <w:spacing w:line="240" w:lineRule="auto"/>
        <w:rPr>
          <w:rFonts w:ascii="Times New Roman" w:hAnsi="Times New Roman" w:cs="Times New Roman"/>
          <w:b/>
          <w:bCs/>
          <w:sz w:val="24"/>
          <w:szCs w:val="24"/>
        </w:rPr>
      </w:pPr>
    </w:p>
    <w:p w14:paraId="2B4B2679"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1.3 Research Objectives</w:t>
      </w:r>
    </w:p>
    <w:p w14:paraId="7D0FA6F3"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Primary Objective:</w:t>
      </w:r>
    </w:p>
    <w:p w14:paraId="5C84C4EB" w14:textId="77777777" w:rsidR="0011660C" w:rsidRPr="001B74F4" w:rsidRDefault="00FF5F6B">
      <w:pPr>
        <w:numPr>
          <w:ilvl w:val="0"/>
          <w:numId w:val="1"/>
        </w:num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To investigate the capacity of rural primary healthcare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to respond to emergency medical cases.</w:t>
      </w:r>
    </w:p>
    <w:p w14:paraId="6C8342F6"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Specific Objectives:</w:t>
      </w:r>
    </w:p>
    <w:p w14:paraId="02ACBE2C" w14:textId="77777777" w:rsidR="0011660C" w:rsidRPr="001B74F4" w:rsidRDefault="00FF5F6B">
      <w:pPr>
        <w:numPr>
          <w:ilvl w:val="0"/>
          <w:numId w:val="2"/>
        </w:numPr>
        <w:spacing w:line="240" w:lineRule="auto"/>
        <w:rPr>
          <w:rFonts w:ascii="Times New Roman" w:hAnsi="Times New Roman" w:cs="Times New Roman"/>
          <w:sz w:val="24"/>
          <w:szCs w:val="24"/>
        </w:rPr>
      </w:pPr>
      <w:bookmarkStart w:id="4" w:name="_Hlk202327494"/>
      <w:commentRangeStart w:id="5"/>
      <w:r w:rsidRPr="001B74F4">
        <w:rPr>
          <w:rFonts w:ascii="Times New Roman" w:hAnsi="Times New Roman" w:cs="Times New Roman"/>
          <w:sz w:val="24"/>
          <w:szCs w:val="24"/>
        </w:rPr>
        <w:t>To determine the availability of emergency care resources (equipment, drugs, and personnel).</w:t>
      </w:r>
    </w:p>
    <w:p w14:paraId="3808598E" w14:textId="77777777" w:rsidR="0011660C" w:rsidRPr="001B74F4" w:rsidRDefault="00FF5F6B">
      <w:pPr>
        <w:numPr>
          <w:ilvl w:val="0"/>
          <w:numId w:val="2"/>
        </w:num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To assess the training and preparedness of </w:t>
      </w:r>
      <w:r w:rsidR="006230B8" w:rsidRPr="001B74F4">
        <w:rPr>
          <w:rFonts w:ascii="Times New Roman" w:hAnsi="Times New Roman" w:cs="Times New Roman"/>
          <w:sz w:val="24"/>
          <w:szCs w:val="24"/>
        </w:rPr>
        <w:t>nurses and midwives in</w:t>
      </w:r>
      <w:r w:rsidRPr="001B74F4">
        <w:rPr>
          <w:rFonts w:ascii="Times New Roman" w:hAnsi="Times New Roman" w:cs="Times New Roman"/>
          <w:sz w:val="24"/>
          <w:szCs w:val="24"/>
        </w:rPr>
        <w:t xml:space="preserve"> managing emergencies.</w:t>
      </w:r>
    </w:p>
    <w:p w14:paraId="33605F93" w14:textId="77777777" w:rsidR="0011660C" w:rsidRPr="001B74F4" w:rsidRDefault="00FF5F6B">
      <w:pPr>
        <w:numPr>
          <w:ilvl w:val="0"/>
          <w:numId w:val="2"/>
        </w:numPr>
        <w:spacing w:line="240" w:lineRule="auto"/>
        <w:rPr>
          <w:rFonts w:ascii="Times New Roman" w:hAnsi="Times New Roman" w:cs="Times New Roman"/>
          <w:sz w:val="24"/>
          <w:szCs w:val="24"/>
        </w:rPr>
      </w:pPr>
      <w:r w:rsidRPr="001B74F4">
        <w:rPr>
          <w:rFonts w:ascii="Times New Roman" w:hAnsi="Times New Roman" w:cs="Times New Roman"/>
          <w:sz w:val="24"/>
          <w:szCs w:val="24"/>
        </w:rPr>
        <w:t>To recommend strategies to enhance emergency preparedness at rural PHC facilities</w:t>
      </w:r>
      <w:bookmarkEnd w:id="4"/>
      <w:r w:rsidRPr="001B74F4">
        <w:rPr>
          <w:rFonts w:ascii="Times New Roman" w:hAnsi="Times New Roman" w:cs="Times New Roman"/>
          <w:sz w:val="24"/>
          <w:szCs w:val="24"/>
        </w:rPr>
        <w:t>.</w:t>
      </w:r>
      <w:commentRangeEnd w:id="5"/>
      <w:r w:rsidR="009A004C">
        <w:rPr>
          <w:rStyle w:val="CommentReference"/>
        </w:rPr>
        <w:commentReference w:id="5"/>
      </w:r>
    </w:p>
    <w:p w14:paraId="133F63B8" w14:textId="77777777" w:rsidR="0011660C" w:rsidRPr="001B74F4" w:rsidRDefault="0011660C">
      <w:pPr>
        <w:spacing w:line="240" w:lineRule="auto"/>
        <w:ind w:left="360"/>
        <w:rPr>
          <w:rFonts w:ascii="Times New Roman" w:hAnsi="Times New Roman" w:cs="Times New Roman"/>
          <w:sz w:val="24"/>
          <w:szCs w:val="24"/>
        </w:rPr>
      </w:pPr>
    </w:p>
    <w:p w14:paraId="01E1511B" w14:textId="77777777" w:rsidR="0011660C" w:rsidRPr="001B74F4" w:rsidRDefault="0011660C">
      <w:pPr>
        <w:spacing w:line="240" w:lineRule="auto"/>
        <w:ind w:left="360"/>
        <w:rPr>
          <w:rFonts w:ascii="Times New Roman" w:hAnsi="Times New Roman" w:cs="Times New Roman"/>
          <w:sz w:val="24"/>
          <w:szCs w:val="24"/>
        </w:rPr>
      </w:pPr>
    </w:p>
    <w:p w14:paraId="3BF12252" w14:textId="77777777" w:rsidR="006230B8" w:rsidRPr="001B74F4" w:rsidRDefault="006230B8">
      <w:pPr>
        <w:spacing w:line="240" w:lineRule="auto"/>
        <w:ind w:left="360"/>
        <w:rPr>
          <w:rFonts w:ascii="Times New Roman" w:hAnsi="Times New Roman" w:cs="Times New Roman"/>
          <w:sz w:val="24"/>
          <w:szCs w:val="24"/>
        </w:rPr>
      </w:pPr>
    </w:p>
    <w:p w14:paraId="2CBE6F65" w14:textId="77777777" w:rsidR="006230B8" w:rsidRPr="001B74F4" w:rsidRDefault="006230B8">
      <w:pPr>
        <w:spacing w:line="240" w:lineRule="auto"/>
        <w:ind w:left="360"/>
        <w:rPr>
          <w:rFonts w:ascii="Times New Roman" w:hAnsi="Times New Roman" w:cs="Times New Roman"/>
          <w:sz w:val="24"/>
          <w:szCs w:val="24"/>
        </w:rPr>
      </w:pPr>
    </w:p>
    <w:p w14:paraId="20C44ABD"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1.4 Research Questions</w:t>
      </w:r>
    </w:p>
    <w:p w14:paraId="2573EE5B" w14:textId="77777777" w:rsidR="0011660C" w:rsidRPr="001B74F4" w:rsidRDefault="00FF5F6B">
      <w:pPr>
        <w:numPr>
          <w:ilvl w:val="0"/>
          <w:numId w:val="3"/>
        </w:num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What emergency care resources (equipment, drugs, and staff) are available in rural PHC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w:t>
      </w:r>
    </w:p>
    <w:p w14:paraId="6B8BEDA6" w14:textId="77777777" w:rsidR="0011660C" w:rsidRPr="001B74F4" w:rsidRDefault="00FF5F6B">
      <w:pPr>
        <w:numPr>
          <w:ilvl w:val="0"/>
          <w:numId w:val="3"/>
        </w:numPr>
        <w:spacing w:line="240" w:lineRule="auto"/>
        <w:rPr>
          <w:rFonts w:ascii="Times New Roman" w:hAnsi="Times New Roman" w:cs="Times New Roman"/>
          <w:sz w:val="24"/>
          <w:szCs w:val="24"/>
        </w:rPr>
      </w:pPr>
      <w:r w:rsidRPr="001B74F4">
        <w:rPr>
          <w:rFonts w:ascii="Times New Roman" w:hAnsi="Times New Roman" w:cs="Times New Roman"/>
          <w:sz w:val="24"/>
          <w:szCs w:val="24"/>
        </w:rPr>
        <w:lastRenderedPageBreak/>
        <w:t xml:space="preserve">How well-prepared and trained are </w:t>
      </w:r>
      <w:r w:rsidR="006230B8" w:rsidRPr="001B74F4">
        <w:rPr>
          <w:rFonts w:ascii="Times New Roman" w:hAnsi="Times New Roman" w:cs="Times New Roman"/>
          <w:sz w:val="24"/>
          <w:szCs w:val="24"/>
        </w:rPr>
        <w:t>nurses and midwives</w:t>
      </w:r>
      <w:r w:rsidRPr="001B74F4">
        <w:rPr>
          <w:rFonts w:ascii="Times New Roman" w:hAnsi="Times New Roman" w:cs="Times New Roman"/>
          <w:sz w:val="24"/>
          <w:szCs w:val="24"/>
        </w:rPr>
        <w:t xml:space="preserve"> to handle medical emergencies?</w:t>
      </w:r>
    </w:p>
    <w:p w14:paraId="7228FC47" w14:textId="77777777" w:rsidR="0011660C" w:rsidRPr="001B74F4" w:rsidRDefault="00FF5F6B">
      <w:pPr>
        <w:numPr>
          <w:ilvl w:val="0"/>
          <w:numId w:val="3"/>
        </w:numPr>
        <w:spacing w:line="240" w:lineRule="auto"/>
        <w:rPr>
          <w:rFonts w:ascii="Times New Roman" w:hAnsi="Times New Roman" w:cs="Times New Roman"/>
          <w:sz w:val="24"/>
          <w:szCs w:val="24"/>
        </w:rPr>
      </w:pPr>
      <w:r w:rsidRPr="001B74F4">
        <w:rPr>
          <w:rFonts w:ascii="Times New Roman" w:hAnsi="Times New Roman" w:cs="Times New Roman"/>
          <w:sz w:val="24"/>
          <w:szCs w:val="24"/>
        </w:rPr>
        <w:t>What practical strategies can be implemented to improve emergency preparedness in these facilities?</w:t>
      </w:r>
    </w:p>
    <w:p w14:paraId="29631D1D"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1.5 Significance of the Study</w:t>
      </w:r>
    </w:p>
    <w:p w14:paraId="5A60BBF9" w14:textId="77777777" w:rsidR="0011660C" w:rsidRPr="001B74F4" w:rsidRDefault="00FF5F6B">
      <w:pPr>
        <w:spacing w:line="240" w:lineRule="auto"/>
        <w:rPr>
          <w:rFonts w:ascii="Times New Roman" w:hAnsi="Times New Roman" w:cs="Times New Roman"/>
          <w:sz w:val="24"/>
          <w:szCs w:val="24"/>
        </w:rPr>
      </w:pPr>
      <w:commentRangeStart w:id="7"/>
      <w:r w:rsidRPr="001B74F4">
        <w:rPr>
          <w:rFonts w:ascii="Times New Roman" w:hAnsi="Times New Roman" w:cs="Times New Roman"/>
          <w:sz w:val="24"/>
          <w:szCs w:val="24"/>
        </w:rPr>
        <w:t xml:space="preserve">This study will provide valuable insights into the emergency readiness of rural PHC facilities in Ghana, focusing on the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District. The findings will inform local and national health authorities, including the Ghana Health Service, the Ministry of Health, and non-governmental organizations, about the gaps that exist in emergency care provision at the grassroots level.</w:t>
      </w:r>
    </w:p>
    <w:p w14:paraId="4C182283"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By highlighting specific resource and capacity deficiencies, the study can serve as a guide for targeted investments in training, infrastructure, and logistics. Moreover, it will contribute to broader health system strengthening efforts and help improve health outcomes in rural communities </w:t>
      </w:r>
      <w:r w:rsidR="00D80691" w:rsidRPr="001B74F4">
        <w:rPr>
          <w:rFonts w:ascii="Times New Roman" w:hAnsi="Times New Roman" w:cs="Times New Roman"/>
          <w:sz w:val="24"/>
          <w:szCs w:val="24"/>
        </w:rPr>
        <w:fldChar w:fldCharType="begin"/>
      </w:r>
      <w:r w:rsidR="00D80691" w:rsidRPr="001B74F4">
        <w:rPr>
          <w:rFonts w:ascii="Times New Roman" w:hAnsi="Times New Roman" w:cs="Times New Roman"/>
          <w:sz w:val="24"/>
          <w:szCs w:val="24"/>
        </w:rPr>
        <w:instrText xml:space="preserve"> ADDIN ZOTERO_ITEM CSL_CITATION {"citationID":"oJLLT3rX","properties":{"formattedCitation":"(11)","plainCitation":"(11)","noteIndex":0},"citationItems":[{"id":324,"uris":["http://zotero.org/users/local/fuyxLwzY/items/EAIUER4R"],"itemData":{"id":324,"type":"article-journal","container-title":"The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D80691" w:rsidRPr="001B74F4">
        <w:rPr>
          <w:rFonts w:ascii="Times New Roman" w:hAnsi="Times New Roman" w:cs="Times New Roman"/>
          <w:sz w:val="24"/>
          <w:szCs w:val="24"/>
        </w:rPr>
        <w:fldChar w:fldCharType="separate"/>
      </w:r>
      <w:r w:rsidR="00D80691" w:rsidRPr="001B74F4">
        <w:rPr>
          <w:rFonts w:ascii="Times New Roman" w:hAnsi="Times New Roman" w:cs="Times New Roman"/>
          <w:sz w:val="24"/>
          <w:szCs w:val="24"/>
        </w:rPr>
        <w:t>(11)</w:t>
      </w:r>
      <w:r w:rsidR="00D80691" w:rsidRPr="001B74F4">
        <w:rPr>
          <w:rFonts w:ascii="Times New Roman" w:hAnsi="Times New Roman" w:cs="Times New Roman"/>
          <w:sz w:val="24"/>
          <w:szCs w:val="24"/>
        </w:rPr>
        <w:fldChar w:fldCharType="end"/>
      </w:r>
      <w:r w:rsidR="00D80691" w:rsidRPr="001B74F4">
        <w:rPr>
          <w:rFonts w:ascii="Times New Roman" w:hAnsi="Times New Roman" w:cs="Times New Roman"/>
          <w:sz w:val="24"/>
          <w:szCs w:val="24"/>
        </w:rPr>
        <w:t>.</w:t>
      </w:r>
      <w:r w:rsidRPr="001B74F4">
        <w:rPr>
          <w:rFonts w:ascii="Times New Roman" w:hAnsi="Times New Roman" w:cs="Times New Roman"/>
          <w:sz w:val="24"/>
          <w:szCs w:val="24"/>
        </w:rPr>
        <w:t xml:space="preserve"> </w:t>
      </w:r>
      <w:commentRangeEnd w:id="7"/>
      <w:r w:rsidR="009A004C">
        <w:rPr>
          <w:rStyle w:val="CommentReference"/>
        </w:rPr>
        <w:commentReference w:id="7"/>
      </w:r>
      <w:r w:rsidRPr="001B74F4">
        <w:rPr>
          <w:rFonts w:ascii="Times New Roman" w:hAnsi="Times New Roman" w:cs="Times New Roman"/>
          <w:sz w:val="24"/>
          <w:szCs w:val="24"/>
        </w:rPr>
        <w:t>Academically, the study adds to the limited body of literature on rural emergency health systems in West Africa.</w:t>
      </w:r>
    </w:p>
    <w:p w14:paraId="54F0DA60"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1.6 Scope of the Study</w:t>
      </w:r>
    </w:p>
    <w:p w14:paraId="36F66619"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This research is limited to rural Primary Health Care (PHC) facilities in </w:t>
      </w:r>
      <w:r w:rsidR="006230B8" w:rsidRPr="001B74F4">
        <w:rPr>
          <w:rFonts w:ascii="Times New Roman" w:hAnsi="Times New Roman" w:cs="Times New Roman"/>
          <w:sz w:val="24"/>
          <w:szCs w:val="24"/>
        </w:rPr>
        <w:t xml:space="preserve">the </w:t>
      </w:r>
      <w:r w:rsidRPr="001B74F4">
        <w:rPr>
          <w:rFonts w:ascii="Times New Roman" w:hAnsi="Times New Roman" w:cs="Times New Roman"/>
          <w:sz w:val="24"/>
          <w:szCs w:val="24"/>
        </w:rPr>
        <w:t xml:space="preserve">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District of the Ashanti Region. The study focuses on resource availability, staff training and preparedness, and emergency response systems. Secondary and tertiary hospitals are excluded from the scope.</w:t>
      </w:r>
    </w:p>
    <w:p w14:paraId="25B7A307"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1.7 Operational Definitions</w:t>
      </w:r>
    </w:p>
    <w:p w14:paraId="10F60422" w14:textId="77777777" w:rsidR="0011660C" w:rsidRPr="001B74F4" w:rsidRDefault="00FF5F6B">
      <w:pPr>
        <w:numPr>
          <w:ilvl w:val="0"/>
          <w:numId w:val="4"/>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Emergency Response Capacity:</w:t>
      </w:r>
      <w:r w:rsidRPr="001B74F4">
        <w:rPr>
          <w:rFonts w:ascii="Times New Roman" w:hAnsi="Times New Roman" w:cs="Times New Roman"/>
          <w:sz w:val="24"/>
          <w:szCs w:val="24"/>
        </w:rPr>
        <w:t xml:space="preserve"> The ability of a health facility to effectively manage medical emergencies through adequate infrastructure, equipment, trained personnel, and referral protocols.</w:t>
      </w:r>
    </w:p>
    <w:p w14:paraId="490955DB" w14:textId="77777777" w:rsidR="0011660C" w:rsidRPr="001B74F4" w:rsidRDefault="00FF5F6B">
      <w:pPr>
        <w:numPr>
          <w:ilvl w:val="0"/>
          <w:numId w:val="4"/>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Primary Healthcare Facility:</w:t>
      </w:r>
      <w:r w:rsidRPr="001B74F4">
        <w:rPr>
          <w:rFonts w:ascii="Times New Roman" w:hAnsi="Times New Roman" w:cs="Times New Roman"/>
          <w:sz w:val="24"/>
          <w:szCs w:val="24"/>
        </w:rPr>
        <w:t xml:space="preserve"> A health center or CHPS compound providing basic health services, often serving as the first point of contact in the health system.</w:t>
      </w:r>
    </w:p>
    <w:p w14:paraId="062F93AB" w14:textId="77777777" w:rsidR="0011660C" w:rsidRPr="001B74F4" w:rsidRDefault="00FF5F6B">
      <w:pPr>
        <w:numPr>
          <w:ilvl w:val="0"/>
          <w:numId w:val="4"/>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Preparedness:</w:t>
      </w:r>
      <w:r w:rsidRPr="001B74F4">
        <w:rPr>
          <w:rFonts w:ascii="Times New Roman" w:hAnsi="Times New Roman" w:cs="Times New Roman"/>
          <w:sz w:val="24"/>
          <w:szCs w:val="24"/>
        </w:rPr>
        <w:t xml:space="preserve"> The readiness of healthcare workers and facilities to respond to emergencies, including training, protocols, and response plans.</w:t>
      </w:r>
    </w:p>
    <w:p w14:paraId="6A40CA2E" w14:textId="77777777" w:rsidR="0011660C" w:rsidRPr="001B74F4" w:rsidRDefault="00FF5F6B">
      <w:pPr>
        <w:numPr>
          <w:ilvl w:val="0"/>
          <w:numId w:val="4"/>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Resource Availability:</w:t>
      </w:r>
      <w:r w:rsidRPr="001B74F4">
        <w:rPr>
          <w:rFonts w:ascii="Times New Roman" w:hAnsi="Times New Roman" w:cs="Times New Roman"/>
          <w:sz w:val="24"/>
          <w:szCs w:val="24"/>
        </w:rPr>
        <w:t xml:space="preserve"> The presence of essential inputs (e.g., drugs, equipment, and staff) required to deliver emergency healthcare services effectively.</w:t>
      </w:r>
    </w:p>
    <w:p w14:paraId="5299365A" w14:textId="77777777" w:rsidR="0011660C" w:rsidRPr="001B74F4" w:rsidRDefault="0011660C">
      <w:pPr>
        <w:spacing w:line="240" w:lineRule="auto"/>
        <w:rPr>
          <w:rFonts w:ascii="Times New Roman" w:hAnsi="Times New Roman" w:cs="Times New Roman"/>
          <w:sz w:val="24"/>
          <w:szCs w:val="24"/>
        </w:rPr>
      </w:pPr>
    </w:p>
    <w:p w14:paraId="5AC70D42" w14:textId="77777777" w:rsidR="0011660C" w:rsidRPr="001B74F4" w:rsidRDefault="0011660C">
      <w:pPr>
        <w:spacing w:line="240" w:lineRule="auto"/>
        <w:rPr>
          <w:rFonts w:ascii="Times New Roman" w:hAnsi="Times New Roman" w:cs="Times New Roman"/>
          <w:sz w:val="24"/>
          <w:szCs w:val="24"/>
        </w:rPr>
      </w:pPr>
    </w:p>
    <w:p w14:paraId="215492C4" w14:textId="77777777" w:rsidR="0011660C" w:rsidRPr="001B74F4" w:rsidRDefault="0011660C">
      <w:pPr>
        <w:spacing w:line="240" w:lineRule="auto"/>
        <w:rPr>
          <w:rFonts w:ascii="Times New Roman" w:hAnsi="Times New Roman" w:cs="Times New Roman"/>
          <w:sz w:val="24"/>
          <w:szCs w:val="24"/>
        </w:rPr>
      </w:pPr>
    </w:p>
    <w:p w14:paraId="448F315C" w14:textId="77777777" w:rsidR="0011660C" w:rsidRPr="001B74F4" w:rsidRDefault="00FF5F6B">
      <w:pPr>
        <w:pStyle w:val="Heading2"/>
        <w:spacing w:after="160" w:line="240" w:lineRule="auto"/>
        <w:rPr>
          <w:rFonts w:ascii="Times New Roman" w:hAnsi="Times New Roman" w:cs="Times New Roman"/>
          <w:color w:val="auto"/>
          <w:sz w:val="24"/>
          <w:szCs w:val="24"/>
        </w:rPr>
      </w:pPr>
      <w:r w:rsidRPr="001B74F4">
        <w:rPr>
          <w:rFonts w:ascii="Times New Roman" w:hAnsi="Times New Roman" w:cs="Times New Roman"/>
          <w:color w:val="auto"/>
          <w:sz w:val="24"/>
          <w:szCs w:val="24"/>
        </w:rPr>
        <w:t>1. 8</w:t>
      </w:r>
      <w:commentRangeStart w:id="8"/>
      <w:r w:rsidRPr="001B74F4">
        <w:rPr>
          <w:rFonts w:ascii="Times New Roman" w:hAnsi="Times New Roman" w:cs="Times New Roman"/>
          <w:color w:val="auto"/>
          <w:sz w:val="24"/>
          <w:szCs w:val="24"/>
        </w:rPr>
        <w:t xml:space="preserve">. </w:t>
      </w:r>
      <w:r w:rsidRPr="001B74F4">
        <w:rPr>
          <w:rStyle w:val="Strong"/>
          <w:rFonts w:ascii="Times New Roman" w:hAnsi="Times New Roman" w:cs="Times New Roman"/>
          <w:bCs w:val="0"/>
          <w:color w:val="auto"/>
          <w:sz w:val="24"/>
          <w:szCs w:val="24"/>
        </w:rPr>
        <w:t>Conceptual Framework</w:t>
      </w:r>
    </w:p>
    <w:p w14:paraId="44656D30" w14:textId="77777777" w:rsidR="0011660C" w:rsidRPr="001B74F4" w:rsidRDefault="00FF5F6B">
      <w:pPr>
        <w:pStyle w:val="Heading3"/>
        <w:spacing w:after="160" w:afterAutospacing="0"/>
        <w:rPr>
          <w:sz w:val="24"/>
          <w:szCs w:val="24"/>
        </w:rPr>
      </w:pPr>
      <w:r w:rsidRPr="001B74F4">
        <w:rPr>
          <w:rStyle w:val="Strong"/>
          <w:b/>
          <w:bCs/>
          <w:sz w:val="24"/>
          <w:szCs w:val="24"/>
        </w:rPr>
        <w:t xml:space="preserve">Introduction </w:t>
      </w:r>
    </w:p>
    <w:p w14:paraId="021AB151" w14:textId="77777777" w:rsidR="0011660C" w:rsidRPr="001B74F4" w:rsidRDefault="00FF5F6B">
      <w:pPr>
        <w:pStyle w:val="NormalWeb"/>
        <w:spacing w:after="160" w:afterAutospacing="0"/>
      </w:pPr>
      <w:r w:rsidRPr="001B74F4">
        <w:t xml:space="preserve">A conceptual framework illustrates the logical structure of the research by showing the key variables and their relationships. For this study, the framework is guided by the </w:t>
      </w:r>
      <w:r w:rsidRPr="001B74F4">
        <w:rPr>
          <w:rStyle w:val="Strong"/>
        </w:rPr>
        <w:t xml:space="preserve">WHO Health </w:t>
      </w:r>
      <w:r w:rsidRPr="001B74F4">
        <w:rPr>
          <w:rStyle w:val="Strong"/>
        </w:rPr>
        <w:lastRenderedPageBreak/>
        <w:t>Systems Framework</w:t>
      </w:r>
      <w:r w:rsidRPr="001B74F4">
        <w:t xml:space="preserve"> </w:t>
      </w:r>
      <w:r w:rsidR="001443E3" w:rsidRPr="001B74F4">
        <w:fldChar w:fldCharType="begin"/>
      </w:r>
      <w:r w:rsidR="001443E3" w:rsidRPr="001B74F4">
        <w:instrText xml:space="preserve"> ADDIN ZOTERO_ITEM CSL_CITATION {"citationID":"LEz7pz8S","properties":{"formattedCitation":"(13)","plainCitation":"(13)","noteIndex":0},"citationItems":[{"id":327,"uris":["http://zotero.org/users/local/fuyxLwzY/items/X2JZ4F4H"],"itemData":{"id":327,"type":"book","event-place":"Geneva","ISBN":"978-92-4-156405-2","language":"en","note":"section: xii, 92 p.","publisher":"World Health Organization","publisher-place":"Geneva","source":"WHO IRIS","title":"Monitoring the building blocks of health systems: a handbook of indicators and their measurement strategies","title-short":"Monitoring the building blocks of health systems","URL":"https://iris.who.int/handle/10665/258734","author":[{"literal":"World Health Organization"}],"accessed":{"date-parts":[["2025",7,5]]},"issued":{"date-parts":[["2010"]]}}}],"schema":"https://github.com/citation-style-language/schema/raw/master/csl-citation.json"} </w:instrText>
      </w:r>
      <w:r w:rsidR="001443E3" w:rsidRPr="001B74F4">
        <w:fldChar w:fldCharType="separate"/>
      </w:r>
      <w:r w:rsidR="00763654" w:rsidRPr="001B74F4">
        <w:t>(13)</w:t>
      </w:r>
      <w:r w:rsidR="001443E3" w:rsidRPr="001B74F4">
        <w:fldChar w:fldCharType="end"/>
      </w:r>
      <w:r w:rsidRPr="001B74F4">
        <w:t xml:space="preserve">(WHO, 2010) and concepts from the </w:t>
      </w:r>
      <w:r w:rsidRPr="001B74F4">
        <w:rPr>
          <w:rStyle w:val="Strong"/>
        </w:rPr>
        <w:t>Emergency Care Systems Assessment Tool</w:t>
      </w:r>
      <w:r w:rsidRPr="001B74F4">
        <w:t xml:space="preserve"> (WHO, 2021), which emphasize six building blocks of health systems: service delivery, health workforce, information systems, medical products, financing, and leadership/governance.</w:t>
      </w:r>
    </w:p>
    <w:p w14:paraId="551132F6" w14:textId="77777777" w:rsidR="0011660C" w:rsidRPr="001B74F4" w:rsidRDefault="00FF5F6B">
      <w:pPr>
        <w:pStyle w:val="NormalWeb"/>
        <w:spacing w:after="160" w:afterAutospacing="0"/>
      </w:pPr>
      <w:r w:rsidRPr="001B74F4">
        <w:t>This study adapts and simplifies these models to focus on emergency care in rural PHC facilities, using three main components:</w:t>
      </w:r>
    </w:p>
    <w:p w14:paraId="0FDCEC9A" w14:textId="77777777" w:rsidR="0011660C" w:rsidRPr="001B74F4" w:rsidRDefault="00FF5F6B">
      <w:pPr>
        <w:pStyle w:val="NormalWeb"/>
        <w:numPr>
          <w:ilvl w:val="0"/>
          <w:numId w:val="5"/>
        </w:numPr>
        <w:spacing w:after="160" w:afterAutospacing="0"/>
      </w:pPr>
      <w:r w:rsidRPr="001B74F4">
        <w:rPr>
          <w:rStyle w:val="Strong"/>
        </w:rPr>
        <w:t>Inputs</w:t>
      </w:r>
      <w:r w:rsidRPr="001B74F4">
        <w:t>: Availability of emergency resources (equipment, drugs, and personnel)</w:t>
      </w:r>
    </w:p>
    <w:p w14:paraId="296D8346" w14:textId="77777777" w:rsidR="0011660C" w:rsidRPr="001B74F4" w:rsidRDefault="00FF5F6B">
      <w:pPr>
        <w:pStyle w:val="NormalWeb"/>
        <w:numPr>
          <w:ilvl w:val="0"/>
          <w:numId w:val="5"/>
        </w:numPr>
        <w:spacing w:after="160" w:afterAutospacing="0"/>
      </w:pPr>
      <w:r w:rsidRPr="001B74F4">
        <w:rPr>
          <w:rStyle w:val="Strong"/>
        </w:rPr>
        <w:t>Processes</w:t>
      </w:r>
      <w:r w:rsidRPr="001B74F4">
        <w:t>: Staff training and preparedness (protocols, drills, supervision)</w:t>
      </w:r>
    </w:p>
    <w:p w14:paraId="6951D82A" w14:textId="77777777" w:rsidR="0011660C" w:rsidRPr="001B74F4" w:rsidRDefault="00FF5F6B">
      <w:pPr>
        <w:pStyle w:val="NormalWeb"/>
        <w:numPr>
          <w:ilvl w:val="0"/>
          <w:numId w:val="5"/>
        </w:numPr>
        <w:spacing w:after="160" w:afterAutospacing="0"/>
      </w:pPr>
      <w:r w:rsidRPr="001B74F4">
        <w:rPr>
          <w:rStyle w:val="Strong"/>
        </w:rPr>
        <w:t>Outputs/Outcomes</w:t>
      </w:r>
      <w:r w:rsidRPr="001B74F4">
        <w:t>: Emergency response capacity and recommendations for improvement.</w:t>
      </w:r>
    </w:p>
    <w:p w14:paraId="03DEA4E5" w14:textId="77777777" w:rsidR="0011660C" w:rsidRPr="001B74F4" w:rsidRDefault="0011660C">
      <w:pPr>
        <w:spacing w:line="240" w:lineRule="auto"/>
        <w:rPr>
          <w:rFonts w:ascii="Times New Roman" w:hAnsi="Times New Roman" w:cs="Times New Roman"/>
          <w:sz w:val="24"/>
          <w:szCs w:val="24"/>
        </w:rPr>
      </w:pPr>
    </w:p>
    <w:p w14:paraId="0F688C4F"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14:anchorId="4077D13B" wp14:editId="4FA2883E">
            <wp:extent cx="6315075" cy="2838450"/>
            <wp:effectExtent l="0" t="0" r="9525"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8DB5F22"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 </w:t>
      </w:r>
      <w:r w:rsidRPr="001B74F4">
        <w:rPr>
          <w:rFonts w:ascii="Times New Roman" w:hAnsi="Times New Roman" w:cs="Times New Roman"/>
          <w:noProof/>
          <w:sz w:val="24"/>
          <w:szCs w:val="24"/>
        </w:rPr>
        <w:drawing>
          <wp:inline distT="0" distB="0" distL="0" distR="0" wp14:anchorId="29519B20" wp14:editId="3AB8E3FB">
            <wp:extent cx="6324600" cy="723900"/>
            <wp:effectExtent l="0" t="0" r="19050" b="571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2DD6A2D" w14:textId="77777777" w:rsidR="0011660C" w:rsidRPr="001B74F4" w:rsidRDefault="0011660C">
      <w:pPr>
        <w:spacing w:line="240" w:lineRule="auto"/>
        <w:rPr>
          <w:rFonts w:ascii="Times New Roman" w:hAnsi="Times New Roman" w:cs="Times New Roman"/>
          <w:sz w:val="24"/>
          <w:szCs w:val="24"/>
        </w:rPr>
      </w:pPr>
    </w:p>
    <w:p w14:paraId="133F1D7D"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The Framework Components</w:t>
      </w:r>
    </w:p>
    <w:p w14:paraId="775AEF6A"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A. Inputs</w:t>
      </w:r>
    </w:p>
    <w:p w14:paraId="769FBFBF"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These refer to the foundational resources required to respond to emergencies effectively:</w:t>
      </w:r>
    </w:p>
    <w:p w14:paraId="698C0788" w14:textId="77777777" w:rsidR="0011660C" w:rsidRPr="001B74F4" w:rsidRDefault="00FF5F6B">
      <w:pPr>
        <w:numPr>
          <w:ilvl w:val="0"/>
          <w:numId w:val="6"/>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Emergency Equipment</w:t>
      </w:r>
      <w:r w:rsidRPr="001B74F4">
        <w:rPr>
          <w:rFonts w:ascii="Times New Roman" w:hAnsi="Times New Roman" w:cs="Times New Roman"/>
          <w:sz w:val="24"/>
          <w:szCs w:val="24"/>
        </w:rPr>
        <w:t>: Defibrillators, oxygen, IV fluids, monitoring devices</w:t>
      </w:r>
    </w:p>
    <w:p w14:paraId="3C09E411" w14:textId="77777777" w:rsidR="0011660C" w:rsidRPr="001B74F4" w:rsidRDefault="00FF5F6B">
      <w:pPr>
        <w:numPr>
          <w:ilvl w:val="0"/>
          <w:numId w:val="6"/>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lastRenderedPageBreak/>
        <w:t>Essential Drugs</w:t>
      </w:r>
      <w:r w:rsidRPr="001B74F4">
        <w:rPr>
          <w:rFonts w:ascii="Times New Roman" w:hAnsi="Times New Roman" w:cs="Times New Roman"/>
          <w:sz w:val="24"/>
          <w:szCs w:val="24"/>
        </w:rPr>
        <w:t>: Adrenaline, antibiotics, analgesics, anti-</w:t>
      </w:r>
      <w:proofErr w:type="spellStart"/>
      <w:r w:rsidRPr="001B74F4">
        <w:rPr>
          <w:rFonts w:ascii="Times New Roman" w:hAnsi="Times New Roman" w:cs="Times New Roman"/>
          <w:sz w:val="24"/>
          <w:szCs w:val="24"/>
        </w:rPr>
        <w:t>malarials</w:t>
      </w:r>
      <w:proofErr w:type="spellEnd"/>
    </w:p>
    <w:p w14:paraId="627F3D16" w14:textId="77777777" w:rsidR="0011660C" w:rsidRPr="001B74F4" w:rsidRDefault="00FF5F6B">
      <w:pPr>
        <w:numPr>
          <w:ilvl w:val="0"/>
          <w:numId w:val="6"/>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Personnel</w:t>
      </w:r>
      <w:r w:rsidRPr="001B74F4">
        <w:rPr>
          <w:rFonts w:ascii="Times New Roman" w:hAnsi="Times New Roman" w:cs="Times New Roman"/>
          <w:sz w:val="24"/>
          <w:szCs w:val="24"/>
        </w:rPr>
        <w:t xml:space="preserve">: Number, type, and skill level of health professionals (nurses, </w:t>
      </w:r>
      <w:r w:rsidR="005F4988" w:rsidRPr="001B74F4">
        <w:rPr>
          <w:rFonts w:ascii="Times New Roman" w:hAnsi="Times New Roman" w:cs="Times New Roman"/>
          <w:sz w:val="24"/>
          <w:szCs w:val="24"/>
        </w:rPr>
        <w:t>physician assistants, midwives</w:t>
      </w:r>
      <w:r w:rsidR="005F4988" w:rsidRPr="001B74F4">
        <w:rPr>
          <w:rFonts w:ascii="Times New Roman" w:hAnsi="Times New Roman" w:cs="Times New Roman"/>
          <w:sz w:val="24"/>
          <w:szCs w:val="24"/>
        </w:rPr>
        <w:fldChar w:fldCharType="begin"/>
      </w:r>
      <w:r w:rsidR="005F4988" w:rsidRPr="001B74F4">
        <w:rPr>
          <w:rFonts w:ascii="Times New Roman" w:hAnsi="Times New Roman" w:cs="Times New Roman"/>
          <w:sz w:val="24"/>
          <w:szCs w:val="24"/>
        </w:rPr>
        <w:instrText xml:space="preserve"> ADDIN ZOTERO_ITEM CSL_CITATION {"citationID":"PXarTe8S","properties":{"formattedCitation":"(9)","plainCitation":"(9)","noteIndex":0},"citationItems":[{"id":321,"uris":["http://zotero.org/users/local/fuyxLwzY/items/V93WICS8"],"itemData":{"id":321,"type":"article-journal","container-title":"African Journal of Emergency Medicine","DOI":"10.1016/j.afjem.2012.11.006","ISSN":"2211419X","issue":"2","journalAbbreviation":"African Journal of Emergency Medicine","language":"en","license":"https://www.elsevier.com/tdm/userlicense/1.0/","page":"52-58","source":"DOI.org (Crossref)","title":"The evolution and current state of emergency care in Ghana","volume":"3","author":[{"family":"Osei-Ampofo","given":"Maxwell"},{"family":"Oduro","given":"George"},{"family":"Oteng","given":"Rockefeller"},{"family":"Zakariah","given":"Ahmed"},{"family":"Jacquet","given":"Gabrielle"},{"family":"Donkor","given":"Peter"}],"issued":{"date-parts":[["2013",6]]}}}],"schema":"https://github.com/citation-style-language/schema/raw/master/csl-citation.json"} </w:instrText>
      </w:r>
      <w:r w:rsidR="005F4988"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(9)</w:t>
      </w:r>
      <w:r w:rsidR="005F4988" w:rsidRPr="001B74F4">
        <w:rPr>
          <w:rFonts w:ascii="Times New Roman" w:hAnsi="Times New Roman" w:cs="Times New Roman"/>
          <w:sz w:val="24"/>
          <w:szCs w:val="24"/>
        </w:rPr>
        <w:fldChar w:fldCharType="end"/>
      </w:r>
      <w:r w:rsidR="00502AA2" w:rsidRPr="001B74F4">
        <w:rPr>
          <w:rFonts w:ascii="Times New Roman" w:hAnsi="Times New Roman" w:cs="Times New Roman"/>
          <w:sz w:val="24"/>
          <w:szCs w:val="24"/>
        </w:rPr>
        <w:t>.</w:t>
      </w:r>
    </w:p>
    <w:p w14:paraId="465757D3"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B. Processes (Staff Preparedness)</w:t>
      </w:r>
    </w:p>
    <w:p w14:paraId="1FD10389"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These include the actions and systems that determine how well the resources are used:</w:t>
      </w:r>
    </w:p>
    <w:p w14:paraId="308155FE" w14:textId="77777777" w:rsidR="0011660C" w:rsidRPr="001B74F4" w:rsidRDefault="00FF5F6B">
      <w:pPr>
        <w:numPr>
          <w:ilvl w:val="0"/>
          <w:numId w:val="7"/>
        </w:numPr>
        <w:spacing w:line="240" w:lineRule="auto"/>
        <w:rPr>
          <w:rFonts w:ascii="Times New Roman" w:hAnsi="Times New Roman" w:cs="Times New Roman"/>
          <w:sz w:val="24"/>
          <w:szCs w:val="24"/>
        </w:rPr>
      </w:pPr>
      <w:r w:rsidRPr="001B74F4">
        <w:rPr>
          <w:rFonts w:ascii="Times New Roman" w:hAnsi="Times New Roman" w:cs="Times New Roman"/>
          <w:sz w:val="24"/>
          <w:szCs w:val="24"/>
        </w:rPr>
        <w:t>Training and refresher courses.</w:t>
      </w:r>
      <w:r w:rsidR="006B35B9" w:rsidRPr="001B74F4">
        <w:rPr>
          <w:rFonts w:ascii="Times New Roman" w:hAnsi="Times New Roman" w:cs="Times New Roman"/>
          <w:sz w:val="24"/>
          <w:szCs w:val="24"/>
        </w:rPr>
        <w:fldChar w:fldCharType="begin"/>
      </w:r>
      <w:r w:rsidR="006B35B9" w:rsidRPr="001B74F4">
        <w:rPr>
          <w:rFonts w:ascii="Times New Roman" w:hAnsi="Times New Roman" w:cs="Times New Roman"/>
          <w:sz w:val="24"/>
          <w:szCs w:val="24"/>
        </w:rPr>
        <w:instrText xml:space="preserve"> ADDIN ZOTERO_ITEM CSL_CITATION {"citationID":"etacb1aV","properties":{"formattedCitation":"(11)","plainCitation":"(11)","noteIndex":0},"citationItems":[{"id":324,"uris":["http://zotero.org/users/local/fuyxLwzY/items/EAIUER4R"],"itemData":{"id":324,"type":"article-journal","container-title":"The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6B35B9"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(11)</w:t>
      </w:r>
      <w:r w:rsidR="006B35B9" w:rsidRPr="001B74F4">
        <w:rPr>
          <w:rFonts w:ascii="Times New Roman" w:hAnsi="Times New Roman" w:cs="Times New Roman"/>
          <w:sz w:val="24"/>
          <w:szCs w:val="24"/>
        </w:rPr>
        <w:fldChar w:fldCharType="end"/>
      </w:r>
      <w:r w:rsidR="00763654" w:rsidRPr="001B74F4">
        <w:rPr>
          <w:rFonts w:ascii="Times New Roman" w:hAnsi="Times New Roman" w:cs="Times New Roman"/>
          <w:sz w:val="24"/>
          <w:szCs w:val="24"/>
        </w:rPr>
        <w:t xml:space="preserve"> </w:t>
      </w:r>
      <w:r w:rsidR="007927AE" w:rsidRPr="001B74F4">
        <w:rPr>
          <w:rFonts w:ascii="Times New Roman" w:hAnsi="Times New Roman" w:cs="Times New Roman"/>
          <w:sz w:val="24"/>
          <w:szCs w:val="24"/>
        </w:rPr>
        <w:fldChar w:fldCharType="begin"/>
      </w:r>
      <w:r w:rsidR="007927AE" w:rsidRPr="001B74F4">
        <w:rPr>
          <w:rFonts w:ascii="Times New Roman" w:hAnsi="Times New Roman" w:cs="Times New Roman"/>
          <w:sz w:val="24"/>
          <w:szCs w:val="24"/>
        </w:rPr>
        <w:instrText xml:space="preserve"> ADDIN ZOTERO_ITEM CSL_CITATION {"citationID":"AbPte3z5","properties":{"formattedCitation":"(14)","plainCitation":"(14)","noteIndex":0},"citationItems":[{"id":350,"uris":["http://zotero.org/users/local/fuyxLwzY/items/EAZI77CC"],"itemData":{"id":350,"type":"article-journal","abstract":"Introduction\n              Several efforts have been made globally to strengthen the health workforce (HWF); however, significant challenges still persist especially in the African Region. This study was conducted by the WHO Regional Office for Africa to present the status of the HWF in 47 countries as a baseline in measuring countries’ progress in implementing the Global Strategy for HWF by 2030.\n            \n            \n              Methods\n              This was a cross-sectional survey of 47 countries in the African Region using a semistructured questionnaire. Data were collected from January 2018 to April 2019. Before data collection, a tool was developed and piloted in four countries. The completed tools were validated in the countries by relevant stakeholders in the 47 countries. Data were collated and analysed in Epi Info and Microsoft Excel.\n            \n            \n              Results\n              The total stock of health workers was approximately 3.6 million across 47 countries. Among these, 37% of the health workers were nurses and midwives, 9% were medical doctors, 10% were laboratory personnel, 14% were community health workers, 14% were other health workers, and 12% were administrative and support staff. Results show uneven distribution of health workers within the African Region. Most health workers (85%) are in the public sector. Regional density of physicians, nurses and midwives per 1000 population was 1.55, only 4 countries had densities of more than 4.45 physicians, nurses and midwives per 1000 population.\n            \n            \n              Conclusion\n              This survey has demonstrated that the shortage and maldistribution of health workers in the WHO African Region remain a big challenge towards the attainment of universal access to health services. This calls for the need to substantially increase investment in the HWF based on contextual evidence in line with the current and future health needs.","container-title":"BMJ Global Health","DOI":"10.1136/bmjgh-2021-008317","ISSN":"2059-7908","issue":"Suppl 1","journalAbbreviation":"BMJ Glob Health","language":"en","page":"e008317","source":"DOI.org (Crossref)","title":"The health workforce status in the WHO African Region: findings of a cross-sectional study","title-short":"The health workforce status in the WHO African Region","volume":"7","author":[{"family":"Ahmat","given":"Adam"},{"family":"Okoroafor","given":"Sunny C"},{"family":"Kazanga","given":"Isabel"},{"family":"Asamani","given":"James Avoka"},{"family":"Millogo","given":"Jean Jacques Salvador"},{"family":"Illou","given":"Mourtala Mahaman Abdou"},{"family":"Mwinga","given":"Kasonde"},{"family":"Nyoni","given":"Jennifer"}],"issued":{"date-parts":[["2022",5]]}}}],"schema":"https://github.com/citation-style-language/schema/raw/master/csl-citation.json"} </w:instrText>
      </w:r>
      <w:r w:rsidR="007927AE" w:rsidRPr="001B74F4">
        <w:rPr>
          <w:rFonts w:ascii="Times New Roman" w:hAnsi="Times New Roman" w:cs="Times New Roman"/>
          <w:sz w:val="24"/>
          <w:szCs w:val="24"/>
        </w:rPr>
        <w:fldChar w:fldCharType="separate"/>
      </w:r>
      <w:r w:rsidR="007927AE" w:rsidRPr="001B74F4">
        <w:rPr>
          <w:rFonts w:ascii="Times New Roman" w:hAnsi="Times New Roman" w:cs="Times New Roman"/>
          <w:sz w:val="24"/>
          <w:szCs w:val="24"/>
        </w:rPr>
        <w:t>(14)</w:t>
      </w:r>
      <w:r w:rsidR="007927AE" w:rsidRPr="001B74F4">
        <w:rPr>
          <w:rFonts w:ascii="Times New Roman" w:hAnsi="Times New Roman" w:cs="Times New Roman"/>
          <w:sz w:val="24"/>
          <w:szCs w:val="24"/>
        </w:rPr>
        <w:fldChar w:fldCharType="end"/>
      </w:r>
    </w:p>
    <w:p w14:paraId="6CCCC617"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C. Output (Response Capacity)</w:t>
      </w:r>
    </w:p>
    <w:p w14:paraId="06D851E0"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 degree to which PHC facilities can:</w:t>
      </w:r>
    </w:p>
    <w:p w14:paraId="33C9B90C" w14:textId="77777777" w:rsidR="0011660C" w:rsidRPr="001B74F4" w:rsidRDefault="00FF5F6B">
      <w:pPr>
        <w:numPr>
          <w:ilvl w:val="0"/>
          <w:numId w:val="8"/>
        </w:numPr>
        <w:spacing w:line="240" w:lineRule="auto"/>
        <w:rPr>
          <w:rFonts w:ascii="Times New Roman" w:hAnsi="Times New Roman" w:cs="Times New Roman"/>
          <w:sz w:val="24"/>
          <w:szCs w:val="24"/>
        </w:rPr>
      </w:pPr>
      <w:r w:rsidRPr="001B74F4">
        <w:rPr>
          <w:rFonts w:ascii="Times New Roman" w:hAnsi="Times New Roman" w:cs="Times New Roman"/>
          <w:sz w:val="24"/>
          <w:szCs w:val="24"/>
        </w:rPr>
        <w:t>Recognize and manage emergencies</w:t>
      </w:r>
    </w:p>
    <w:p w14:paraId="5CCCBD73" w14:textId="77777777" w:rsidR="0011660C" w:rsidRPr="001B74F4" w:rsidRDefault="00FF5F6B">
      <w:pPr>
        <w:numPr>
          <w:ilvl w:val="0"/>
          <w:numId w:val="8"/>
        </w:numPr>
        <w:spacing w:line="240" w:lineRule="auto"/>
        <w:rPr>
          <w:rFonts w:ascii="Times New Roman" w:hAnsi="Times New Roman" w:cs="Times New Roman"/>
          <w:sz w:val="24"/>
          <w:szCs w:val="24"/>
        </w:rPr>
      </w:pPr>
      <w:r w:rsidRPr="001B74F4">
        <w:rPr>
          <w:rFonts w:ascii="Times New Roman" w:hAnsi="Times New Roman" w:cs="Times New Roman"/>
          <w:sz w:val="24"/>
          <w:szCs w:val="24"/>
        </w:rPr>
        <w:t>Stabilize patients</w:t>
      </w:r>
    </w:p>
    <w:p w14:paraId="358CD88B" w14:textId="77777777" w:rsidR="0011660C" w:rsidRPr="001B74F4" w:rsidRDefault="00FF5F6B">
      <w:pPr>
        <w:numPr>
          <w:ilvl w:val="0"/>
          <w:numId w:val="8"/>
        </w:numPr>
        <w:spacing w:line="240" w:lineRule="auto"/>
        <w:rPr>
          <w:rFonts w:ascii="Times New Roman" w:hAnsi="Times New Roman" w:cs="Times New Roman"/>
          <w:sz w:val="24"/>
          <w:szCs w:val="24"/>
        </w:rPr>
      </w:pPr>
      <w:r w:rsidRPr="001B74F4">
        <w:rPr>
          <w:rFonts w:ascii="Times New Roman" w:hAnsi="Times New Roman" w:cs="Times New Roman"/>
          <w:sz w:val="24"/>
          <w:szCs w:val="24"/>
        </w:rPr>
        <w:t>Ensure timely referral and transport</w:t>
      </w:r>
    </w:p>
    <w:p w14:paraId="775C1852" w14:textId="77777777" w:rsidR="0011660C" w:rsidRPr="001B74F4" w:rsidRDefault="00FF5F6B">
      <w:pPr>
        <w:numPr>
          <w:ilvl w:val="0"/>
          <w:numId w:val="8"/>
        </w:numPr>
        <w:spacing w:line="240" w:lineRule="auto"/>
        <w:rPr>
          <w:rFonts w:ascii="Times New Roman" w:hAnsi="Times New Roman" w:cs="Times New Roman"/>
          <w:sz w:val="24"/>
          <w:szCs w:val="24"/>
        </w:rPr>
      </w:pPr>
      <w:r w:rsidRPr="001B74F4">
        <w:rPr>
          <w:rFonts w:ascii="Times New Roman" w:hAnsi="Times New Roman" w:cs="Times New Roman"/>
          <w:sz w:val="24"/>
          <w:szCs w:val="24"/>
        </w:rPr>
        <w:t>Maintain coordination and documentation</w:t>
      </w:r>
    </w:p>
    <w:p w14:paraId="231DFB1A"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This is the primary outcome the study seeks to assess.</w:t>
      </w:r>
    </w:p>
    <w:p w14:paraId="5036CAEB"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D. Outcome (Recommendations/Improvements)</w:t>
      </w:r>
    </w:p>
    <w:p w14:paraId="6113753B"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These are the implications and strategies derived from the findings. Examples may include:</w:t>
      </w:r>
    </w:p>
    <w:p w14:paraId="42854CCC" w14:textId="77777777" w:rsidR="0011660C" w:rsidRPr="001B74F4" w:rsidRDefault="00FF5F6B">
      <w:pPr>
        <w:numPr>
          <w:ilvl w:val="0"/>
          <w:numId w:val="9"/>
        </w:numPr>
        <w:spacing w:line="240" w:lineRule="auto"/>
        <w:rPr>
          <w:rFonts w:ascii="Times New Roman" w:hAnsi="Times New Roman" w:cs="Times New Roman"/>
          <w:sz w:val="24"/>
          <w:szCs w:val="24"/>
        </w:rPr>
      </w:pPr>
      <w:r w:rsidRPr="001B74F4">
        <w:rPr>
          <w:rFonts w:ascii="Times New Roman" w:hAnsi="Times New Roman" w:cs="Times New Roman"/>
          <w:sz w:val="24"/>
          <w:szCs w:val="24"/>
        </w:rPr>
        <w:t>Training programs for staff</w:t>
      </w:r>
    </w:p>
    <w:p w14:paraId="0EE00B53" w14:textId="77777777" w:rsidR="0011660C" w:rsidRPr="001B74F4" w:rsidRDefault="00FF5F6B">
      <w:pPr>
        <w:numPr>
          <w:ilvl w:val="0"/>
          <w:numId w:val="9"/>
        </w:numPr>
        <w:spacing w:line="240" w:lineRule="auto"/>
        <w:rPr>
          <w:rFonts w:ascii="Times New Roman" w:hAnsi="Times New Roman" w:cs="Times New Roman"/>
          <w:sz w:val="24"/>
          <w:szCs w:val="24"/>
        </w:rPr>
      </w:pPr>
      <w:r w:rsidRPr="001B74F4">
        <w:rPr>
          <w:rFonts w:ascii="Times New Roman" w:hAnsi="Times New Roman" w:cs="Times New Roman"/>
          <w:sz w:val="24"/>
          <w:szCs w:val="24"/>
        </w:rPr>
        <w:t>Procurement and distribution of critical supplies</w:t>
      </w:r>
    </w:p>
    <w:p w14:paraId="441F2121" w14:textId="77777777" w:rsidR="0011660C" w:rsidRPr="001B74F4" w:rsidRDefault="00FF5F6B">
      <w:pPr>
        <w:numPr>
          <w:ilvl w:val="0"/>
          <w:numId w:val="9"/>
        </w:numPr>
        <w:spacing w:line="240" w:lineRule="auto"/>
        <w:rPr>
          <w:rFonts w:ascii="Times New Roman" w:hAnsi="Times New Roman" w:cs="Times New Roman"/>
          <w:sz w:val="24"/>
          <w:szCs w:val="24"/>
        </w:rPr>
      </w:pPr>
      <w:r w:rsidRPr="001B74F4">
        <w:rPr>
          <w:rFonts w:ascii="Times New Roman" w:hAnsi="Times New Roman" w:cs="Times New Roman"/>
          <w:sz w:val="24"/>
          <w:szCs w:val="24"/>
        </w:rPr>
        <w:t>Strengthening referral systems</w:t>
      </w:r>
    </w:p>
    <w:p w14:paraId="7946CEBE" w14:textId="77777777" w:rsidR="0011660C" w:rsidRPr="001B74F4" w:rsidRDefault="00FF5F6B">
      <w:pPr>
        <w:numPr>
          <w:ilvl w:val="0"/>
          <w:numId w:val="9"/>
        </w:numPr>
        <w:spacing w:line="240" w:lineRule="auto"/>
        <w:rPr>
          <w:rFonts w:ascii="Times New Roman" w:hAnsi="Times New Roman" w:cs="Times New Roman"/>
          <w:sz w:val="24"/>
          <w:szCs w:val="24"/>
        </w:rPr>
      </w:pPr>
      <w:r w:rsidRPr="001B74F4">
        <w:rPr>
          <w:rFonts w:ascii="Times New Roman" w:hAnsi="Times New Roman" w:cs="Times New Roman"/>
          <w:sz w:val="24"/>
          <w:szCs w:val="24"/>
        </w:rPr>
        <w:t>Policy advocacy for rural emergency care investment</w:t>
      </w:r>
    </w:p>
    <w:p w14:paraId="2C765479"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Theoretical Underpinning</w:t>
      </w:r>
    </w:p>
    <w:p w14:paraId="52936CC3"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This framework aligns with the </w:t>
      </w:r>
      <w:r w:rsidRPr="001B74F4">
        <w:rPr>
          <w:rFonts w:ascii="Times New Roman" w:hAnsi="Times New Roman" w:cs="Times New Roman"/>
          <w:b/>
          <w:bCs/>
          <w:sz w:val="24"/>
          <w:szCs w:val="24"/>
        </w:rPr>
        <w:t>Donabedian Model</w:t>
      </w:r>
      <w:r w:rsidRPr="001B74F4">
        <w:rPr>
          <w:rFonts w:ascii="Times New Roman" w:hAnsi="Times New Roman" w:cs="Times New Roman"/>
          <w:sz w:val="24"/>
          <w:szCs w:val="24"/>
        </w:rPr>
        <w:t xml:space="preserve"> of healthcare quality, which emphasizes:</w:t>
      </w:r>
    </w:p>
    <w:p w14:paraId="7CC067A0" w14:textId="77777777" w:rsidR="0011660C" w:rsidRPr="001B74F4" w:rsidRDefault="00FF5F6B">
      <w:pPr>
        <w:numPr>
          <w:ilvl w:val="0"/>
          <w:numId w:val="10"/>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Structure</w:t>
      </w:r>
      <w:r w:rsidRPr="001B74F4">
        <w:rPr>
          <w:rFonts w:ascii="Times New Roman" w:hAnsi="Times New Roman" w:cs="Times New Roman"/>
          <w:sz w:val="24"/>
          <w:szCs w:val="24"/>
        </w:rPr>
        <w:t xml:space="preserve"> (inputs/resources),</w:t>
      </w:r>
    </w:p>
    <w:p w14:paraId="7C546FD0" w14:textId="77777777" w:rsidR="0011660C" w:rsidRPr="001B74F4" w:rsidRDefault="00FF5F6B">
      <w:pPr>
        <w:numPr>
          <w:ilvl w:val="0"/>
          <w:numId w:val="10"/>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Process</w:t>
      </w:r>
      <w:r w:rsidRPr="001B74F4">
        <w:rPr>
          <w:rFonts w:ascii="Times New Roman" w:hAnsi="Times New Roman" w:cs="Times New Roman"/>
          <w:sz w:val="24"/>
          <w:szCs w:val="24"/>
        </w:rPr>
        <w:t xml:space="preserve"> (training, care delivery), and</w:t>
      </w:r>
    </w:p>
    <w:p w14:paraId="4E528728" w14:textId="77777777" w:rsidR="008F68CB" w:rsidRPr="001B74F4" w:rsidRDefault="00FF5F6B" w:rsidP="008F68CB">
      <w:pPr>
        <w:numPr>
          <w:ilvl w:val="0"/>
          <w:numId w:val="10"/>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Outcomes</w:t>
      </w:r>
      <w:r w:rsidRPr="001B74F4">
        <w:rPr>
          <w:rFonts w:ascii="Times New Roman" w:hAnsi="Times New Roman" w:cs="Times New Roman"/>
          <w:sz w:val="24"/>
          <w:szCs w:val="24"/>
        </w:rPr>
        <w:t xml:space="preserve"> (response effectiveness and patient care results)</w:t>
      </w:r>
      <w:r w:rsidRPr="001B74F4">
        <w:rPr>
          <w:rFonts w:ascii="Times New Roman" w:hAnsi="Times New Roman" w:cs="Times New Roman"/>
          <w:sz w:val="24"/>
          <w:szCs w:val="24"/>
        </w:rPr>
        <w:br/>
      </w:r>
      <w:r w:rsidR="00763654" w:rsidRPr="001B74F4">
        <w:rPr>
          <w:rFonts w:ascii="Times New Roman" w:hAnsi="Times New Roman" w:cs="Times New Roman"/>
          <w:sz w:val="24"/>
          <w:szCs w:val="24"/>
        </w:rPr>
        <w:fldChar w:fldCharType="begin"/>
      </w:r>
      <w:r w:rsidR="007927AE" w:rsidRPr="001B74F4">
        <w:rPr>
          <w:rFonts w:ascii="Times New Roman" w:hAnsi="Times New Roman" w:cs="Times New Roman"/>
          <w:sz w:val="24"/>
          <w:szCs w:val="24"/>
        </w:rPr>
        <w:instrText xml:space="preserve"> ADDIN ZOTERO_ITEM CSL_CITATION {"citationID":"aW0LYgA7","properties":{"formattedCitation":"(15)","plainCitation":"(15)","noteIndex":0},"citationItems":[{"id":329,"uris":["http://zotero.org/users/local/fuyxLwzY/items/5QI4PKKN"],"itemData":{"id":329,"type":"article-journal","container-title":"JAMA","DOI":"10.1001/jama.1988.03410120089033","ISSN":"0098-7484","issue":"12","journalAbbreviation":"JAMA","language":"en","page":"1743","source":"DOI.org (Crossref)","title":"The Quality of Care: How Can It Be Assessed?","title-short":"The Quality of Care","volume":"260","author":[{"family":"Donabedian","given":"Avedis"}],"issued":{"date-parts":[["1988",9,23]]}}}],"schema":"https://github.com/citation-style-language/schema/raw/master/csl-citation.json"} </w:instrText>
      </w:r>
      <w:r w:rsidR="00763654" w:rsidRPr="001B74F4">
        <w:rPr>
          <w:rFonts w:ascii="Times New Roman" w:hAnsi="Times New Roman" w:cs="Times New Roman"/>
          <w:sz w:val="24"/>
          <w:szCs w:val="24"/>
        </w:rPr>
        <w:fldChar w:fldCharType="separate"/>
      </w:r>
      <w:r w:rsidR="007927AE" w:rsidRPr="001B74F4">
        <w:rPr>
          <w:rFonts w:ascii="Times New Roman" w:hAnsi="Times New Roman" w:cs="Times New Roman"/>
          <w:sz w:val="24"/>
          <w:szCs w:val="24"/>
        </w:rPr>
        <w:t>(15)</w:t>
      </w:r>
      <w:r w:rsidR="00763654" w:rsidRPr="001B74F4">
        <w:rPr>
          <w:rFonts w:ascii="Times New Roman" w:hAnsi="Times New Roman" w:cs="Times New Roman"/>
          <w:sz w:val="24"/>
          <w:szCs w:val="24"/>
        </w:rPr>
        <w:fldChar w:fldCharType="end"/>
      </w:r>
      <w:r w:rsidR="00763654" w:rsidRPr="001B74F4">
        <w:rPr>
          <w:rFonts w:ascii="Times New Roman" w:hAnsi="Times New Roman" w:cs="Times New Roman"/>
          <w:sz w:val="24"/>
          <w:szCs w:val="24"/>
        </w:rPr>
        <w:t>.</w:t>
      </w:r>
      <w:r w:rsidR="00C81A53" w:rsidRPr="001B74F4">
        <w:rPr>
          <w:rFonts w:ascii="Times New Roman" w:hAnsi="Times New Roman" w:cs="Times New Roman"/>
          <w:sz w:val="24"/>
          <w:szCs w:val="24"/>
        </w:rPr>
        <w:t xml:space="preserve"> </w:t>
      </w:r>
    </w:p>
    <w:p w14:paraId="4F17E877" w14:textId="77777777" w:rsidR="0011660C" w:rsidRPr="001B74F4" w:rsidRDefault="00FF5F6B" w:rsidP="008F68C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Donabedian developed a set of standards for evaluating the caliber of medical staff and facilities in his theories and publications from the 1960s to the 1980s. The Donabedian paradigm has three primary criteria: outcome, process, and structure. </w:t>
      </w:r>
      <w:r w:rsidRPr="001B74F4">
        <w:rPr>
          <w:rFonts w:ascii="Times New Roman" w:hAnsi="Times New Roman" w:cs="Times New Roman"/>
          <w:sz w:val="24"/>
          <w:szCs w:val="24"/>
        </w:rPr>
        <w:br/>
        <w:t>But according to Donabedian, these standards were not what made anything good. Instead, they were classifications of data that were used to assess quality. Only when such data were thoroughly and jointly examined could a sound quality judgment be made. According to Donabedian, the definition of quality itself could vary based on the objectives and principles of the medical community as well as the larger society.</w:t>
      </w:r>
    </w:p>
    <w:p w14:paraId="633DFC63"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lastRenderedPageBreak/>
        <w:t>Structure is the basic type of information. The context of the care—more especially, the features of the healthcare organization—is referred to in this area. This category's content is frequently the easiest to see and understand. The structural category includes, for instance, the building's design and layout, as well as its furnishings and the number of rooms and beds it offers. This area also includes information about human resources, such as staff-to-patient ratios and average staff training, as well as other specifics, such as the many ways patients can pay their bills. Assessing the healthcare experience and identifying trouble spots that could compromise patient care and satisfaction can be accomplished with the aid of structural analysis.</w:t>
      </w:r>
    </w:p>
    <w:p w14:paraId="5C085607"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 second category of information is process. Process is a broad category encompassing all interactions among patients and their health-care providers. It relates to the overall experience of health care. Donabedian considered process likely to be the most important measurement of quality because of how much information it includes. The process begins with the initial contact among patients and providers, including checkups and diagnoses of health problems. It extends through all related treatments, education imparted to patients and their families relating to self-treatment or preventative actions, and subsequent results. Evaluators at the process level may find information in many sources, including observation, interviews, or surveys of medical records.</w:t>
      </w:r>
    </w:p>
    <w:p w14:paraId="46D9323E" w14:textId="77777777" w:rsidR="0011660C" w:rsidRPr="001B74F4" w:rsidRDefault="00FF5F6B">
      <w:pPr>
        <w:spacing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Outcome is the third and last category. Outcome, like process, is a fairly broad concept. It covers every impact that medical treatment has on one or more individuals. These impacts could be short-term or long-term, and they could be mental, emotional, or physical. Whether the patient's condition was successfully treated is the most evident result. Additional results include whether the patient was happy with the care they received or whether they changed their health-related behavior. In contrast to structure, evaluating the outcome category can be somewhat challenging. Long-term case studies of health-related behaviors, changes, and attitudes may be included, as well as studies of sizable patient populations.</w:t>
      </w:r>
    </w:p>
    <w:p w14:paraId="15695D5A" w14:textId="77777777" w:rsidR="0011660C" w:rsidRPr="001B74F4" w:rsidRDefault="00FF5F6B">
      <w:pPr>
        <w:spacing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Furthermore, evaluators must distinguish results based on the health treatment in question from all other unrelated aspects of an individual's or group's life. Notwithstanding this challenge, the result category is perhaps the most significant since it pertains to a healthcare provider's actual overall efficacy.</w:t>
      </w:r>
    </w:p>
    <w:commentRangeEnd w:id="8"/>
    <w:p w14:paraId="062EFD98" w14:textId="77777777" w:rsidR="0011660C" w:rsidRPr="001B74F4" w:rsidRDefault="00175ECC">
      <w:pPr>
        <w:spacing w:line="240" w:lineRule="auto"/>
        <w:rPr>
          <w:rFonts w:ascii="Times New Roman" w:eastAsia="Times New Roman" w:hAnsi="Times New Roman" w:cs="Times New Roman"/>
          <w:sz w:val="24"/>
          <w:szCs w:val="24"/>
        </w:rPr>
      </w:pPr>
      <w:r>
        <w:rPr>
          <w:rStyle w:val="CommentReference"/>
        </w:rPr>
        <w:commentReference w:id="8"/>
      </w:r>
    </w:p>
    <w:p w14:paraId="53C37706" w14:textId="77777777" w:rsidR="001B74F4" w:rsidRPr="001B74F4" w:rsidRDefault="001B74F4">
      <w:pPr>
        <w:spacing w:line="240" w:lineRule="auto"/>
        <w:rPr>
          <w:rFonts w:ascii="Times New Roman" w:eastAsia="Times New Roman" w:hAnsi="Times New Roman" w:cs="Times New Roman"/>
          <w:sz w:val="24"/>
          <w:szCs w:val="24"/>
        </w:rPr>
      </w:pPr>
    </w:p>
    <w:p w14:paraId="0CBA13F9" w14:textId="77777777" w:rsidR="001B74F4" w:rsidRPr="001B74F4" w:rsidRDefault="001B74F4">
      <w:pPr>
        <w:spacing w:line="240" w:lineRule="auto"/>
        <w:rPr>
          <w:rFonts w:ascii="Times New Roman" w:eastAsia="Times New Roman" w:hAnsi="Times New Roman" w:cs="Times New Roman"/>
          <w:sz w:val="24"/>
          <w:szCs w:val="24"/>
        </w:rPr>
      </w:pPr>
    </w:p>
    <w:p w14:paraId="599CF56C" w14:textId="77777777" w:rsidR="001B74F4" w:rsidRPr="001B74F4" w:rsidRDefault="001B74F4">
      <w:pPr>
        <w:spacing w:line="240" w:lineRule="auto"/>
        <w:rPr>
          <w:rFonts w:ascii="Times New Roman" w:eastAsia="Times New Roman" w:hAnsi="Times New Roman" w:cs="Times New Roman"/>
          <w:sz w:val="24"/>
          <w:szCs w:val="24"/>
        </w:rPr>
      </w:pPr>
    </w:p>
    <w:p w14:paraId="75801263" w14:textId="77777777" w:rsidR="001B74F4" w:rsidRPr="001B74F4" w:rsidRDefault="001B74F4">
      <w:pPr>
        <w:spacing w:line="240" w:lineRule="auto"/>
        <w:rPr>
          <w:rFonts w:ascii="Times New Roman" w:eastAsia="Times New Roman" w:hAnsi="Times New Roman" w:cs="Times New Roman"/>
          <w:sz w:val="24"/>
          <w:szCs w:val="24"/>
        </w:rPr>
      </w:pPr>
    </w:p>
    <w:p w14:paraId="4D4E5E38" w14:textId="77777777" w:rsidR="001B74F4" w:rsidRPr="001B74F4" w:rsidRDefault="001B74F4">
      <w:pPr>
        <w:spacing w:line="240" w:lineRule="auto"/>
        <w:rPr>
          <w:rFonts w:ascii="Times New Roman" w:eastAsia="Times New Roman" w:hAnsi="Times New Roman" w:cs="Times New Roman"/>
          <w:sz w:val="24"/>
          <w:szCs w:val="24"/>
        </w:rPr>
      </w:pPr>
    </w:p>
    <w:p w14:paraId="528166BB" w14:textId="77777777" w:rsidR="0011660C" w:rsidRPr="001B74F4" w:rsidRDefault="00FF5F6B">
      <w:pPr>
        <w:spacing w:line="240" w:lineRule="auto"/>
        <w:rPr>
          <w:rFonts w:ascii="Times New Roman" w:hAnsi="Times New Roman" w:cs="Times New Roman"/>
          <w:b/>
          <w:sz w:val="24"/>
          <w:szCs w:val="24"/>
        </w:rPr>
      </w:pPr>
      <w:r w:rsidRPr="001B74F4">
        <w:rPr>
          <w:rFonts w:ascii="Times New Roman" w:hAnsi="Times New Roman" w:cs="Times New Roman"/>
          <w:b/>
          <w:sz w:val="24"/>
          <w:szCs w:val="24"/>
        </w:rPr>
        <w:t>2.0 Methodology</w:t>
      </w:r>
    </w:p>
    <w:p w14:paraId="494EEC59"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.1 Study Design</w:t>
      </w:r>
    </w:p>
    <w:p w14:paraId="73CDF90E"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lang w:val="zh-CN"/>
        </w:rPr>
        <w:t>A descriptive cross-sectional survey design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used in the study to gather quantitative information on the emergency</w:t>
      </w:r>
      <w:r w:rsidRPr="001B74F4">
        <w:rPr>
          <w:rFonts w:ascii="Times New Roman" w:hAnsi="Times New Roman" w:cs="Times New Roman"/>
          <w:color w:val="000000" w:themeColor="text1"/>
          <w:sz w:val="24"/>
          <w:szCs w:val="24"/>
        </w:rPr>
        <w:t xml:space="preserve"> capacity of rural primary healthcare facilities in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to respond to emergency medical cases</w:t>
      </w:r>
      <w:r w:rsidRPr="001B74F4">
        <w:rPr>
          <w:rFonts w:ascii="Times New Roman" w:hAnsi="Times New Roman" w:cs="Times New Roman"/>
          <w:color w:val="000000" w:themeColor="text1"/>
          <w:sz w:val="24"/>
          <w:szCs w:val="24"/>
          <w:lang w:val="zh-CN"/>
        </w:rPr>
        <w:t xml:space="preserve"> medical services</w:t>
      </w:r>
      <w:r w:rsidRPr="001B74F4">
        <w:rPr>
          <w:rFonts w:ascii="Times New Roman" w:hAnsi="Times New Roman" w:cs="Times New Roman"/>
          <w:color w:val="000000" w:themeColor="text1"/>
          <w:sz w:val="24"/>
          <w:szCs w:val="24"/>
        </w:rPr>
        <w:t>.</w:t>
      </w:r>
    </w:p>
    <w:p w14:paraId="3FD88F6A"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lastRenderedPageBreak/>
        <w:t xml:space="preserve"> 2</w:t>
      </w:r>
      <w:r w:rsidRPr="001B74F4">
        <w:rPr>
          <w:rFonts w:ascii="Times New Roman" w:hAnsi="Times New Roman" w:cs="Times New Roman"/>
          <w:b/>
          <w:bCs/>
          <w:color w:val="000000" w:themeColor="text1"/>
          <w:sz w:val="24"/>
          <w:szCs w:val="24"/>
          <w:lang w:val="zh-CN"/>
        </w:rPr>
        <w:t>.2 Study Area</w:t>
      </w:r>
    </w:p>
    <w:p w14:paraId="72029CC3" w14:textId="77777777" w:rsidR="0011660C" w:rsidRPr="001B74F4" w:rsidRDefault="00FF5F6B">
      <w:pPr>
        <w:spacing w:line="240" w:lineRule="auto"/>
        <w:rPr>
          <w:rFonts w:ascii="Times New Roman" w:hAnsi="Times New Roman" w:cs="Times New Roman"/>
          <w:color w:val="000000" w:themeColor="text1"/>
          <w:sz w:val="24"/>
          <w:szCs w:val="24"/>
        </w:rPr>
      </w:pPr>
      <w:r w:rsidRPr="001B74F4">
        <w:rPr>
          <w:rFonts w:ascii="Times New Roman" w:hAnsi="Times New Roman" w:cs="Times New Roman"/>
          <w:color w:val="000000" w:themeColor="text1"/>
          <w:sz w:val="24"/>
          <w:szCs w:val="24"/>
          <w:lang w:val="zh-CN"/>
        </w:rPr>
        <w:t>The study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carried out in Ghana's Ashanti Region in the Ahafo Ano North Municipality. This municipality is made up of both rural and urban areas, and the first line of treatment for medical crises is provided by many primary healthcare facilities.</w:t>
      </w:r>
      <w:r w:rsidRPr="001B74F4">
        <w:rPr>
          <w:rFonts w:ascii="Times New Roman" w:hAnsi="Times New Roman" w:cs="Times New Roman"/>
          <w:color w:val="000000" w:themeColor="text1"/>
          <w:sz w:val="24"/>
          <w:szCs w:val="24"/>
        </w:rPr>
        <w:t xml:space="preserve">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Municipality is a predominantly rural district with a population of around 93,000–95,000 people. It features a municipal hospital supported by health </w:t>
      </w:r>
      <w:proofErr w:type="spellStart"/>
      <w:r w:rsidRPr="001B74F4">
        <w:rPr>
          <w:rFonts w:ascii="Times New Roman" w:hAnsi="Times New Roman" w:cs="Times New Roman"/>
          <w:color w:val="000000" w:themeColor="text1"/>
          <w:sz w:val="24"/>
          <w:szCs w:val="24"/>
        </w:rPr>
        <w:t>centres</w:t>
      </w:r>
      <w:proofErr w:type="spellEnd"/>
      <w:r w:rsidRPr="001B74F4">
        <w:rPr>
          <w:rFonts w:ascii="Times New Roman" w:hAnsi="Times New Roman" w:cs="Times New Roman"/>
          <w:color w:val="000000" w:themeColor="text1"/>
          <w:sz w:val="24"/>
          <w:szCs w:val="24"/>
        </w:rPr>
        <w:t>, CHPS compounds, and private/maternity facilities.</w:t>
      </w:r>
      <w:r w:rsidRPr="001B74F4">
        <w:rPr>
          <w:rFonts w:ascii="Times New Roman" w:eastAsia="Times New Roman" w:hAnsi="Times New Roman" w:cs="Times New Roman"/>
          <w:color w:val="000000" w:themeColor="text1"/>
          <w:sz w:val="24"/>
          <w:szCs w:val="24"/>
        </w:rPr>
        <w:t xml:space="preserve"> </w:t>
      </w:r>
      <w:r w:rsidRPr="001B74F4">
        <w:rPr>
          <w:rFonts w:ascii="Times New Roman" w:hAnsi="Times New Roman" w:cs="Times New Roman"/>
          <w:color w:val="000000" w:themeColor="text1"/>
          <w:sz w:val="24"/>
          <w:szCs w:val="24"/>
        </w:rPr>
        <w:t>With a population of 92,742</w:t>
      </w:r>
      <w:r w:rsidRPr="001B74F4">
        <w:rPr>
          <w:rFonts w:ascii="Times New Roman" w:hAnsi="Times New Roman" w:cs="Times New Roman"/>
          <w:b/>
          <w:bCs/>
          <w:color w:val="000000" w:themeColor="text1"/>
          <w:sz w:val="24"/>
          <w:szCs w:val="24"/>
        </w:rPr>
        <w:t xml:space="preserve"> </w:t>
      </w:r>
      <w:r w:rsidRPr="001B74F4">
        <w:rPr>
          <w:rFonts w:ascii="Times New Roman" w:hAnsi="Times New Roman" w:cs="Times New Roman"/>
          <w:bCs/>
          <w:color w:val="000000" w:themeColor="text1"/>
          <w:sz w:val="24"/>
          <w:szCs w:val="24"/>
        </w:rPr>
        <w:t>from the 2021 population census, with</w:t>
      </w:r>
      <w:r w:rsidRPr="001B74F4">
        <w:rPr>
          <w:rFonts w:ascii="Times New Roman" w:hAnsi="Times New Roman" w:cs="Times New Roman"/>
          <w:color w:val="000000" w:themeColor="text1"/>
          <w:sz w:val="24"/>
          <w:szCs w:val="24"/>
        </w:rPr>
        <w:t xml:space="preserve"> 107 communities and 6 sub-municipals: Tepa, </w:t>
      </w:r>
      <w:proofErr w:type="spellStart"/>
      <w:r w:rsidRPr="001B74F4">
        <w:rPr>
          <w:rFonts w:ascii="Times New Roman" w:hAnsi="Times New Roman" w:cs="Times New Roman"/>
          <w:color w:val="000000" w:themeColor="text1"/>
          <w:sz w:val="24"/>
          <w:szCs w:val="24"/>
        </w:rPr>
        <w:t>Manfo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Anyinasuso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Betiako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Subriso</w:t>
      </w:r>
      <w:proofErr w:type="spellEnd"/>
      <w:r w:rsidRPr="001B74F4">
        <w:rPr>
          <w:rFonts w:ascii="Times New Roman" w:hAnsi="Times New Roman" w:cs="Times New Roman"/>
          <w:color w:val="000000" w:themeColor="text1"/>
          <w:sz w:val="24"/>
          <w:szCs w:val="24"/>
        </w:rPr>
        <w:t xml:space="preserve">, and </w:t>
      </w:r>
      <w:proofErr w:type="spellStart"/>
      <w:r w:rsidRPr="001B74F4">
        <w:rPr>
          <w:rFonts w:ascii="Times New Roman" w:hAnsi="Times New Roman" w:cs="Times New Roman"/>
          <w:color w:val="000000" w:themeColor="text1"/>
          <w:sz w:val="24"/>
          <w:szCs w:val="24"/>
        </w:rPr>
        <w:t>Twabidi</w:t>
      </w:r>
      <w:proofErr w:type="spellEnd"/>
      <w:r w:rsidRPr="001B74F4">
        <w:rPr>
          <w:rFonts w:ascii="Times New Roman" w:hAnsi="Times New Roman" w:cs="Times New Roman"/>
          <w:color w:val="000000" w:themeColor="text1"/>
          <w:sz w:val="24"/>
          <w:szCs w:val="24"/>
        </w:rPr>
        <w:t xml:space="preserve">, with a distribution of rural–urban distribution of 71% rural and 29% urban. The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Municipality has </w:t>
      </w:r>
      <w:r w:rsidRPr="001B74F4">
        <w:rPr>
          <w:rFonts w:ascii="Times New Roman" w:hAnsi="Times New Roman" w:cs="Times New Roman"/>
          <w:bCs/>
          <w:color w:val="000000" w:themeColor="text1"/>
          <w:sz w:val="24"/>
          <w:szCs w:val="24"/>
        </w:rPr>
        <w:t>26 health facilities</w:t>
      </w:r>
      <w:r w:rsidRPr="001B74F4">
        <w:rPr>
          <w:rFonts w:ascii="Times New Roman" w:hAnsi="Times New Roman" w:cs="Times New Roman"/>
          <w:color w:val="000000" w:themeColor="text1"/>
          <w:sz w:val="24"/>
          <w:szCs w:val="24"/>
        </w:rPr>
        <w:t xml:space="preserve"> in total, with 1 Government-run municipal hospital located in Tepa, 8 Government health </w:t>
      </w:r>
      <w:proofErr w:type="spellStart"/>
      <w:r w:rsidRPr="001B74F4">
        <w:rPr>
          <w:rFonts w:ascii="Times New Roman" w:hAnsi="Times New Roman" w:cs="Times New Roman"/>
          <w:color w:val="000000" w:themeColor="text1"/>
          <w:sz w:val="24"/>
          <w:szCs w:val="24"/>
        </w:rPr>
        <w:t>centres</w:t>
      </w:r>
      <w:proofErr w:type="spellEnd"/>
      <w:r w:rsidRPr="001B74F4">
        <w:rPr>
          <w:rFonts w:ascii="Times New Roman" w:hAnsi="Times New Roman" w:cs="Times New Roman"/>
          <w:color w:val="000000" w:themeColor="text1"/>
          <w:sz w:val="24"/>
          <w:szCs w:val="24"/>
        </w:rPr>
        <w:t xml:space="preserve">, 3 Mission/CHAG facilities, 9 Private clinics/hospitals, and 4 Maternity homes/clinics. The key facilities are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Municipal Hospital, </w:t>
      </w:r>
      <w:r w:rsidRPr="001B74F4">
        <w:rPr>
          <w:rFonts w:ascii="Times New Roman" w:hAnsi="Times New Roman" w:cs="Times New Roman"/>
          <w:bCs/>
          <w:color w:val="000000" w:themeColor="text1"/>
          <w:sz w:val="24"/>
          <w:szCs w:val="24"/>
        </w:rPr>
        <w:t xml:space="preserve"> </w:t>
      </w:r>
      <w:r w:rsidRPr="001B74F4">
        <w:rPr>
          <w:rFonts w:ascii="Times New Roman" w:hAnsi="Times New Roman" w:cs="Times New Roman"/>
          <w:color w:val="000000" w:themeColor="text1"/>
          <w:sz w:val="24"/>
          <w:szCs w:val="24"/>
        </w:rPr>
        <w:t xml:space="preserve"> in </w:t>
      </w:r>
      <w:proofErr w:type="spellStart"/>
      <w:r w:rsidRPr="001B74F4">
        <w:rPr>
          <w:rFonts w:ascii="Times New Roman" w:hAnsi="Times New Roman" w:cs="Times New Roman"/>
          <w:color w:val="000000" w:themeColor="text1"/>
          <w:sz w:val="24"/>
          <w:szCs w:val="24"/>
        </w:rPr>
        <w:t>Anyinasuso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Betiako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Manfo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Subriso</w:t>
      </w:r>
      <w:proofErr w:type="spellEnd"/>
      <w:r w:rsidRPr="001B74F4">
        <w:rPr>
          <w:rFonts w:ascii="Times New Roman" w:hAnsi="Times New Roman" w:cs="Times New Roman"/>
          <w:color w:val="000000" w:themeColor="text1"/>
          <w:sz w:val="24"/>
          <w:szCs w:val="24"/>
        </w:rPr>
        <w:t xml:space="preserve">, and </w:t>
      </w:r>
      <w:proofErr w:type="spellStart"/>
      <w:r w:rsidRPr="001B74F4">
        <w:rPr>
          <w:rFonts w:ascii="Times New Roman" w:hAnsi="Times New Roman" w:cs="Times New Roman"/>
          <w:color w:val="000000" w:themeColor="text1"/>
          <w:sz w:val="24"/>
          <w:szCs w:val="24"/>
        </w:rPr>
        <w:t>Twabidi</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Akwasiase</w:t>
      </w:r>
      <w:proofErr w:type="spellEnd"/>
      <w:r w:rsidRPr="001B74F4">
        <w:rPr>
          <w:rFonts w:ascii="Times New Roman" w:hAnsi="Times New Roman" w:cs="Times New Roman"/>
          <w:color w:val="000000" w:themeColor="text1"/>
          <w:sz w:val="24"/>
          <w:szCs w:val="24"/>
        </w:rPr>
        <w:t xml:space="preserve">, and </w:t>
      </w:r>
      <w:r w:rsidRPr="001B74F4">
        <w:rPr>
          <w:rFonts w:ascii="Times New Roman" w:hAnsi="Times New Roman" w:cs="Times New Roman"/>
          <w:bCs/>
          <w:color w:val="000000" w:themeColor="text1"/>
          <w:sz w:val="24"/>
          <w:szCs w:val="24"/>
        </w:rPr>
        <w:t>CHPS compounds</w:t>
      </w:r>
      <w:r w:rsidRPr="001B74F4">
        <w:rPr>
          <w:rFonts w:ascii="Times New Roman" w:hAnsi="Times New Roman" w:cs="Times New Roman"/>
          <w:color w:val="000000" w:themeColor="text1"/>
          <w:sz w:val="24"/>
          <w:szCs w:val="24"/>
        </w:rPr>
        <w:t>: ~39 zones covering community-level primary care</w:t>
      </w:r>
    </w:p>
    <w:p w14:paraId="6944DB13" w14:textId="77777777" w:rsidR="0011660C" w:rsidRPr="001B74F4" w:rsidRDefault="0011660C">
      <w:pPr>
        <w:spacing w:line="240" w:lineRule="auto"/>
        <w:rPr>
          <w:rFonts w:ascii="Times New Roman" w:hAnsi="Times New Roman" w:cs="Times New Roman"/>
          <w:color w:val="000000" w:themeColor="text1"/>
          <w:sz w:val="24"/>
          <w:szCs w:val="24"/>
        </w:rPr>
      </w:pPr>
    </w:p>
    <w:p w14:paraId="11955A05"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.3 Study Population</w:t>
      </w:r>
    </w:p>
    <w:p w14:paraId="29AB3DCC"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lang w:val="zh-CN"/>
        </w:rPr>
        <w:t xml:space="preserve">Primary healthcare nurses, midwives, community health nurses, and other nursing professionals employed in primary healthcare facilities located within the municipality comprise the research population. To acquire a deeper understanding of the systemic issues confronting the health sector, all categories of nurses in these </w:t>
      </w:r>
      <w:r w:rsidRPr="001B74F4">
        <w:rPr>
          <w:rFonts w:ascii="Times New Roman" w:hAnsi="Times New Roman" w:cs="Times New Roman"/>
          <w:color w:val="000000" w:themeColor="text1"/>
          <w:sz w:val="24"/>
          <w:szCs w:val="24"/>
        </w:rPr>
        <w:t>facilities</w:t>
      </w:r>
      <w:r w:rsidRPr="001B74F4">
        <w:rPr>
          <w:rFonts w:ascii="Times New Roman" w:hAnsi="Times New Roman" w:cs="Times New Roman"/>
          <w:color w:val="000000" w:themeColor="text1"/>
          <w:sz w:val="24"/>
          <w:szCs w:val="24"/>
          <w:lang w:val="zh-CN"/>
        </w:rPr>
        <w:t xml:space="preserve"> w</w:t>
      </w:r>
      <w:r w:rsidRPr="001B74F4">
        <w:rPr>
          <w:rFonts w:ascii="Times New Roman" w:hAnsi="Times New Roman" w:cs="Times New Roman"/>
          <w:color w:val="000000" w:themeColor="text1"/>
          <w:sz w:val="24"/>
          <w:szCs w:val="24"/>
        </w:rPr>
        <w:t>ere asked to answer the questionnaire.</w:t>
      </w:r>
      <w:r w:rsidRPr="001B74F4">
        <w:rPr>
          <w:rFonts w:ascii="Times New Roman" w:hAnsi="Times New Roman" w:cs="Times New Roman"/>
          <w:color w:val="000000" w:themeColor="text1"/>
          <w:sz w:val="24"/>
          <w:szCs w:val="24"/>
          <w:lang w:val="zh-CN"/>
        </w:rPr>
        <w:t xml:space="preserve"> </w:t>
      </w:r>
    </w:p>
    <w:p w14:paraId="296E75A1" w14:textId="77777777" w:rsidR="0011660C" w:rsidRPr="001B74F4" w:rsidRDefault="0011660C">
      <w:pPr>
        <w:spacing w:line="240" w:lineRule="auto"/>
        <w:rPr>
          <w:rFonts w:ascii="Times New Roman" w:hAnsi="Times New Roman" w:cs="Times New Roman"/>
          <w:b/>
          <w:bCs/>
          <w:color w:val="000000" w:themeColor="text1"/>
          <w:sz w:val="24"/>
          <w:szCs w:val="24"/>
        </w:rPr>
      </w:pPr>
    </w:p>
    <w:p w14:paraId="0DA37603" w14:textId="77777777" w:rsidR="0011660C" w:rsidRPr="001B74F4" w:rsidRDefault="00FF5F6B">
      <w:pPr>
        <w:spacing w:line="240" w:lineRule="auto"/>
        <w:rPr>
          <w:rFonts w:ascii="Times New Roman" w:hAnsi="Times New Roman" w:cs="Times New Roman"/>
          <w:b/>
          <w:bCs/>
          <w:color w:val="000000" w:themeColor="text1"/>
          <w:sz w:val="24"/>
          <w:szCs w:val="24"/>
          <w:lang w:val="zh-CN"/>
        </w:rPr>
      </w:pPr>
      <w:commentRangeStart w:id="9"/>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.4 Sampling Method and Size</w:t>
      </w:r>
    </w:p>
    <w:p w14:paraId="52F3005E"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rPr>
        <w:t xml:space="preserve">Nurses and midwives who </w:t>
      </w:r>
      <w:r w:rsidRPr="001B74F4">
        <w:rPr>
          <w:rFonts w:ascii="Times New Roman" w:hAnsi="Times New Roman" w:cs="Times New Roman"/>
          <w:color w:val="000000" w:themeColor="text1"/>
          <w:sz w:val="24"/>
          <w:szCs w:val="24"/>
          <w:lang w:val="zh-CN"/>
        </w:rPr>
        <w:t xml:space="preserve">provide </w:t>
      </w:r>
      <w:r w:rsidRPr="001B74F4">
        <w:rPr>
          <w:rFonts w:ascii="Times New Roman" w:hAnsi="Times New Roman" w:cs="Times New Roman"/>
          <w:color w:val="000000" w:themeColor="text1"/>
          <w:sz w:val="24"/>
          <w:szCs w:val="24"/>
        </w:rPr>
        <w:t xml:space="preserve">primary care </w:t>
      </w:r>
      <w:r w:rsidRPr="001B74F4">
        <w:rPr>
          <w:rFonts w:ascii="Times New Roman" w:hAnsi="Times New Roman" w:cs="Times New Roman"/>
          <w:color w:val="000000" w:themeColor="text1"/>
          <w:sz w:val="24"/>
          <w:szCs w:val="24"/>
          <w:lang w:val="zh-CN"/>
        </w:rPr>
        <w:t>w</w:t>
      </w:r>
      <w:r w:rsidRPr="001B74F4">
        <w:rPr>
          <w:rFonts w:ascii="Times New Roman" w:hAnsi="Times New Roman" w:cs="Times New Roman"/>
          <w:color w:val="000000" w:themeColor="text1"/>
          <w:sz w:val="24"/>
          <w:szCs w:val="24"/>
        </w:rPr>
        <w:t>ere</w:t>
      </w:r>
      <w:r w:rsidRPr="001B74F4">
        <w:rPr>
          <w:rFonts w:ascii="Times New Roman" w:hAnsi="Times New Roman" w:cs="Times New Roman"/>
          <w:color w:val="000000" w:themeColor="text1"/>
          <w:sz w:val="24"/>
          <w:szCs w:val="24"/>
          <w:lang w:val="zh-CN"/>
        </w:rPr>
        <w:t xml:space="preserve"> chosen</w:t>
      </w:r>
      <w:r w:rsidRPr="001B74F4">
        <w:rPr>
          <w:rFonts w:ascii="Times New Roman" w:hAnsi="Times New Roman" w:cs="Times New Roman"/>
          <w:color w:val="000000" w:themeColor="text1"/>
          <w:sz w:val="24"/>
          <w:szCs w:val="24"/>
        </w:rPr>
        <w:t>,</w:t>
      </w:r>
      <w:r w:rsidRPr="001B74F4">
        <w:rPr>
          <w:rFonts w:ascii="Times New Roman" w:hAnsi="Times New Roman" w:cs="Times New Roman"/>
          <w:color w:val="000000" w:themeColor="text1"/>
          <w:sz w:val="24"/>
          <w:szCs w:val="24"/>
          <w:lang w:val="zh-CN"/>
        </w:rPr>
        <w:t xml:space="preserve"> using a </w:t>
      </w:r>
      <w:r w:rsidRPr="001B74F4">
        <w:rPr>
          <w:rFonts w:ascii="Times New Roman" w:hAnsi="Times New Roman" w:cs="Times New Roman"/>
          <w:color w:val="000000" w:themeColor="text1"/>
          <w:sz w:val="24"/>
          <w:szCs w:val="24"/>
        </w:rPr>
        <w:t>simple random</w:t>
      </w:r>
      <w:r w:rsidRPr="001B74F4">
        <w:rPr>
          <w:rFonts w:ascii="Times New Roman" w:hAnsi="Times New Roman" w:cs="Times New Roman"/>
          <w:color w:val="000000" w:themeColor="text1"/>
          <w:sz w:val="24"/>
          <w:szCs w:val="24"/>
          <w:lang w:val="zh-CN"/>
        </w:rPr>
        <w:t xml:space="preserve"> sampl</w:t>
      </w:r>
      <w:proofErr w:type="spellStart"/>
      <w:r w:rsidRPr="001B74F4">
        <w:rPr>
          <w:rFonts w:ascii="Times New Roman" w:hAnsi="Times New Roman" w:cs="Times New Roman"/>
          <w:color w:val="000000" w:themeColor="text1"/>
          <w:sz w:val="24"/>
          <w:szCs w:val="24"/>
        </w:rPr>
        <w:t>ing</w:t>
      </w:r>
      <w:proofErr w:type="spellEnd"/>
      <w:r w:rsidRPr="001B74F4">
        <w:rPr>
          <w:rFonts w:ascii="Times New Roman" w:hAnsi="Times New Roman" w:cs="Times New Roman"/>
          <w:color w:val="000000" w:themeColor="text1"/>
          <w:sz w:val="24"/>
          <w:szCs w:val="24"/>
          <w:lang w:val="zh-CN"/>
        </w:rPr>
        <w:t xml:space="preserve"> technique.</w:t>
      </w:r>
      <w:r w:rsidRPr="001B74F4">
        <w:rPr>
          <w:rFonts w:ascii="Times New Roman" w:hAnsi="Times New Roman" w:cs="Times New Roman"/>
          <w:color w:val="000000" w:themeColor="text1"/>
          <w:sz w:val="24"/>
          <w:szCs w:val="24"/>
        </w:rPr>
        <w:t xml:space="preserve"> A sample size of </w:t>
      </w:r>
      <w:r w:rsidRPr="001B74F4">
        <w:rPr>
          <w:rFonts w:ascii="Times New Roman" w:hAnsi="Times New Roman" w:cs="Times New Roman"/>
          <w:b/>
          <w:bCs/>
          <w:color w:val="000000" w:themeColor="text1"/>
          <w:sz w:val="24"/>
          <w:szCs w:val="24"/>
        </w:rPr>
        <w:t>224 respondents from a total population of 246</w:t>
      </w:r>
      <w:r w:rsidRPr="001B74F4">
        <w:rPr>
          <w:rFonts w:ascii="Times New Roman" w:hAnsi="Times New Roman" w:cs="Times New Roman"/>
          <w:color w:val="000000" w:themeColor="text1"/>
          <w:sz w:val="24"/>
          <w:szCs w:val="24"/>
        </w:rPr>
        <w:t xml:space="preserve"> represents approximately</w:t>
      </w:r>
      <w:r w:rsidRPr="001B74F4">
        <w:rPr>
          <w:rFonts w:ascii="Times New Roman" w:hAnsi="Times New Roman" w:cs="Times New Roman"/>
          <w:b/>
          <w:bCs/>
          <w:color w:val="000000" w:themeColor="text1"/>
          <w:sz w:val="24"/>
          <w:szCs w:val="24"/>
        </w:rPr>
        <w:t xml:space="preserve"> 91%</w:t>
      </w:r>
      <w:r w:rsidRPr="001B74F4">
        <w:rPr>
          <w:rFonts w:ascii="Times New Roman" w:hAnsi="Times New Roman" w:cs="Times New Roman"/>
          <w:color w:val="000000" w:themeColor="text1"/>
          <w:sz w:val="24"/>
          <w:szCs w:val="24"/>
        </w:rPr>
        <w:t xml:space="preserve"> of the population. At this high proportion, the </w:t>
      </w:r>
      <w:r w:rsidRPr="001B74F4">
        <w:rPr>
          <w:rFonts w:ascii="Times New Roman" w:hAnsi="Times New Roman" w:cs="Times New Roman"/>
          <w:b/>
          <w:bCs/>
          <w:color w:val="000000" w:themeColor="text1"/>
          <w:sz w:val="24"/>
          <w:szCs w:val="24"/>
        </w:rPr>
        <w:t>probability sampling method was the</w:t>
      </w:r>
      <w:r w:rsidRPr="001B74F4">
        <w:rPr>
          <w:rFonts w:ascii="Times New Roman" w:hAnsi="Times New Roman" w:cs="Times New Roman"/>
          <w:color w:val="000000" w:themeColor="text1"/>
          <w:sz w:val="24"/>
          <w:szCs w:val="24"/>
        </w:rPr>
        <w:t xml:space="preserve"> most appropriate to reduce bias and ensure representativeness.</w:t>
      </w:r>
      <w:r w:rsidRPr="001B74F4">
        <w:rPr>
          <w:rFonts w:ascii="Times New Roman" w:hAnsi="Times New Roman" w:cs="Times New Roman"/>
          <w:color w:val="000000" w:themeColor="text1"/>
          <w:sz w:val="24"/>
          <w:szCs w:val="24"/>
          <w:lang w:val="zh-CN"/>
        </w:rPr>
        <w:t xml:space="preserve"> About </w:t>
      </w:r>
      <w:r w:rsidRPr="001B74F4">
        <w:rPr>
          <w:rFonts w:ascii="Times New Roman" w:hAnsi="Times New Roman" w:cs="Times New Roman"/>
          <w:color w:val="000000" w:themeColor="text1"/>
          <w:sz w:val="24"/>
          <w:szCs w:val="24"/>
        </w:rPr>
        <w:t>224</w:t>
      </w:r>
      <w:r w:rsidRPr="001B74F4">
        <w:rPr>
          <w:rFonts w:ascii="Times New Roman" w:hAnsi="Times New Roman" w:cs="Times New Roman"/>
          <w:color w:val="000000" w:themeColor="text1"/>
          <w:sz w:val="24"/>
          <w:szCs w:val="24"/>
          <w:lang w:val="zh-CN"/>
        </w:rPr>
        <w:t xml:space="preserve"> </w:t>
      </w:r>
      <w:r w:rsidRPr="001B74F4">
        <w:rPr>
          <w:rFonts w:ascii="Times New Roman" w:hAnsi="Times New Roman" w:cs="Times New Roman"/>
          <w:color w:val="000000" w:themeColor="text1"/>
          <w:sz w:val="24"/>
          <w:szCs w:val="24"/>
        </w:rPr>
        <w:t>nursing</w:t>
      </w:r>
      <w:r w:rsidRPr="001B74F4">
        <w:rPr>
          <w:rFonts w:ascii="Times New Roman" w:hAnsi="Times New Roman" w:cs="Times New Roman"/>
          <w:color w:val="000000" w:themeColor="text1"/>
          <w:sz w:val="24"/>
          <w:szCs w:val="24"/>
          <w:lang w:val="zh-CN"/>
        </w:rPr>
        <w:t xml:space="preserve"> professionals participated in the study; </w:t>
      </w:r>
      <w:r w:rsidRPr="001B74F4">
        <w:rPr>
          <w:rFonts w:ascii="Times New Roman" w:hAnsi="Times New Roman" w:cs="Times New Roman"/>
          <w:color w:val="000000" w:themeColor="text1"/>
          <w:sz w:val="24"/>
          <w:szCs w:val="24"/>
        </w:rPr>
        <w:t xml:space="preserve">these were nurses and midwives who work at the </w:t>
      </w:r>
      <w:r w:rsidRPr="001B74F4">
        <w:rPr>
          <w:rFonts w:ascii="Times New Roman" w:hAnsi="Times New Roman" w:cs="Times New Roman"/>
          <w:color w:val="000000" w:themeColor="text1"/>
          <w:sz w:val="24"/>
          <w:szCs w:val="24"/>
          <w:lang w:val="zh-CN"/>
        </w:rPr>
        <w:t xml:space="preserve">primary healthcare centers. </w:t>
      </w:r>
      <w:r w:rsidRPr="001B74F4">
        <w:rPr>
          <w:rFonts w:ascii="Times New Roman" w:eastAsia="Times New Roman" w:hAnsi="Times New Roman" w:cs="Times New Roman"/>
          <w:sz w:val="24"/>
          <w:szCs w:val="24"/>
        </w:rPr>
        <w:t xml:space="preserve">The target population consists of all </w:t>
      </w:r>
      <w:r w:rsidRPr="001B74F4">
        <w:rPr>
          <w:rFonts w:ascii="Times New Roman" w:eastAsia="Times New Roman" w:hAnsi="Times New Roman" w:cs="Times New Roman"/>
          <w:b/>
          <w:bCs/>
          <w:sz w:val="24"/>
          <w:szCs w:val="24"/>
        </w:rPr>
        <w:t>nurses and midwives (N = 246)</w:t>
      </w:r>
      <w:r w:rsidRPr="001B74F4">
        <w:rPr>
          <w:rFonts w:ascii="Times New Roman" w:eastAsia="Times New Roman" w:hAnsi="Times New Roman" w:cs="Times New Roman"/>
          <w:sz w:val="24"/>
          <w:szCs w:val="24"/>
        </w:rPr>
        <w:t xml:space="preserve"> working in the Ahafo </w:t>
      </w:r>
      <w:proofErr w:type="spellStart"/>
      <w:r w:rsidRPr="001B74F4">
        <w:rPr>
          <w:rFonts w:ascii="Times New Roman" w:eastAsia="Times New Roman" w:hAnsi="Times New Roman" w:cs="Times New Roman"/>
          <w:sz w:val="24"/>
          <w:szCs w:val="24"/>
        </w:rPr>
        <w:t>Ano</w:t>
      </w:r>
      <w:proofErr w:type="spellEnd"/>
      <w:r w:rsidRPr="001B74F4">
        <w:rPr>
          <w:rFonts w:ascii="Times New Roman" w:eastAsia="Times New Roman" w:hAnsi="Times New Roman" w:cs="Times New Roman"/>
          <w:sz w:val="24"/>
          <w:szCs w:val="24"/>
        </w:rPr>
        <w:t xml:space="preserve"> North District. </w:t>
      </w:r>
      <w:r w:rsidRPr="001B74F4">
        <w:rPr>
          <w:rFonts w:ascii="Times New Roman" w:eastAsia="Times New Roman" w:hAnsi="Times New Roman" w:cs="Times New Roman"/>
          <w:b/>
          <w:bCs/>
          <w:sz w:val="24"/>
          <w:szCs w:val="24"/>
        </w:rPr>
        <w:t xml:space="preserve">A Sampling Frame was </w:t>
      </w:r>
      <w:r w:rsidRPr="001B74F4">
        <w:rPr>
          <w:rFonts w:ascii="Times New Roman" w:eastAsia="Times New Roman" w:hAnsi="Times New Roman" w:cs="Times New Roman"/>
          <w:sz w:val="24"/>
          <w:szCs w:val="24"/>
        </w:rPr>
        <w:t xml:space="preserve">obtained from the District Health Directorate with a </w:t>
      </w:r>
      <w:r w:rsidRPr="001B74F4">
        <w:rPr>
          <w:rFonts w:ascii="Times New Roman" w:eastAsia="Times New Roman" w:hAnsi="Times New Roman" w:cs="Times New Roman"/>
          <w:b/>
          <w:bCs/>
          <w:sz w:val="24"/>
          <w:szCs w:val="24"/>
        </w:rPr>
        <w:t>complete and accurate list</w:t>
      </w:r>
      <w:r w:rsidRPr="001B74F4">
        <w:rPr>
          <w:rFonts w:ascii="Times New Roman" w:eastAsia="Times New Roman" w:hAnsi="Times New Roman" w:cs="Times New Roman"/>
          <w:sz w:val="24"/>
          <w:szCs w:val="24"/>
        </w:rPr>
        <w:t xml:space="preserve"> of all 246 nurses and midwives. A </w:t>
      </w:r>
      <w:r w:rsidRPr="001B74F4">
        <w:rPr>
          <w:rFonts w:ascii="Times New Roman" w:eastAsia="Times New Roman" w:hAnsi="Times New Roman" w:cs="Times New Roman"/>
          <w:b/>
          <w:bCs/>
          <w:sz w:val="24"/>
          <w:szCs w:val="24"/>
        </w:rPr>
        <w:t>unique identification number (1 to 246)</w:t>
      </w:r>
      <w:r w:rsidRPr="001B74F4">
        <w:rPr>
          <w:rFonts w:ascii="Times New Roman" w:eastAsia="Times New Roman" w:hAnsi="Times New Roman" w:cs="Times New Roman"/>
          <w:sz w:val="24"/>
          <w:szCs w:val="24"/>
        </w:rPr>
        <w:t xml:space="preserve"> was assigned to each person. Census Sampling was considered to help in generalization, and 224 out of 246 is </w:t>
      </w:r>
      <w:r w:rsidRPr="001B74F4">
        <w:rPr>
          <w:rFonts w:ascii="Times New Roman" w:eastAsia="Times New Roman" w:hAnsi="Times New Roman" w:cs="Times New Roman"/>
          <w:b/>
          <w:bCs/>
          <w:sz w:val="24"/>
          <w:szCs w:val="24"/>
        </w:rPr>
        <w:t>91% of the population</w:t>
      </w:r>
      <w:r w:rsidRPr="001B74F4">
        <w:rPr>
          <w:rFonts w:ascii="Times New Roman" w:eastAsia="Times New Roman" w:hAnsi="Times New Roman" w:cs="Times New Roman"/>
          <w:sz w:val="24"/>
          <w:szCs w:val="24"/>
        </w:rPr>
        <w:t>. This is statistically very robust and often eliminates the need for margin of error adjustments.</w:t>
      </w:r>
      <w:r w:rsidRPr="001B74F4">
        <w:rPr>
          <w:rFonts w:ascii="Times New Roman" w:eastAsia="Times New Roman" w:hAnsi="Times New Roman" w:cs="Times New Roman"/>
          <w:b/>
          <w:bCs/>
          <w:sz w:val="24"/>
          <w:szCs w:val="24"/>
        </w:rPr>
        <w:t xml:space="preserve"> A random selection number generator method was used to generate 224 unique numbers between 1 and 246. The randomly </w:t>
      </w:r>
      <w:r w:rsidRPr="001B74F4">
        <w:rPr>
          <w:rFonts w:ascii="Times New Roman" w:eastAsia="Times New Roman" w:hAnsi="Times New Roman" w:cs="Times New Roman"/>
          <w:sz w:val="24"/>
          <w:szCs w:val="24"/>
        </w:rPr>
        <w:t>selected numbers of the individuals on the sampling frame were matched, and the individuals became the selected respondents for the study. The selected individuals were contacted, and the purpose was explained, consent obtained, and we proceeded with data collection.</w:t>
      </w:r>
      <w:commentRangeEnd w:id="9"/>
      <w:r w:rsidR="0022314F">
        <w:rPr>
          <w:rStyle w:val="CommentReference"/>
        </w:rPr>
        <w:commentReference w:id="9"/>
      </w:r>
    </w:p>
    <w:p w14:paraId="4F620797" w14:textId="77777777" w:rsidR="0011660C" w:rsidRPr="001B74F4" w:rsidRDefault="0011660C">
      <w:pPr>
        <w:spacing w:line="240" w:lineRule="auto"/>
        <w:rPr>
          <w:rFonts w:ascii="Times New Roman" w:hAnsi="Times New Roman" w:cs="Times New Roman"/>
          <w:color w:val="000000" w:themeColor="text1"/>
          <w:sz w:val="24"/>
          <w:szCs w:val="24"/>
          <w:lang w:val="zh-CN"/>
        </w:rPr>
      </w:pPr>
    </w:p>
    <w:p w14:paraId="7ECA05D7" w14:textId="77777777" w:rsidR="0011660C" w:rsidRPr="001B74F4" w:rsidRDefault="0011660C">
      <w:pPr>
        <w:spacing w:line="240" w:lineRule="auto"/>
        <w:rPr>
          <w:rFonts w:ascii="Times New Roman" w:hAnsi="Times New Roman" w:cs="Times New Roman"/>
          <w:color w:val="000000" w:themeColor="text1"/>
          <w:sz w:val="24"/>
          <w:szCs w:val="24"/>
          <w:lang w:val="zh-CN"/>
        </w:rPr>
      </w:pPr>
    </w:p>
    <w:p w14:paraId="274F0F14" w14:textId="77777777" w:rsidR="0011660C" w:rsidRPr="001B74F4" w:rsidRDefault="0011660C">
      <w:pPr>
        <w:spacing w:line="240" w:lineRule="auto"/>
        <w:rPr>
          <w:rFonts w:ascii="Times New Roman" w:hAnsi="Times New Roman" w:cs="Times New Roman"/>
          <w:color w:val="000000" w:themeColor="text1"/>
          <w:sz w:val="24"/>
          <w:szCs w:val="24"/>
          <w:lang w:val="zh-CN"/>
        </w:rPr>
      </w:pPr>
    </w:p>
    <w:p w14:paraId="1F02436A" w14:textId="77777777" w:rsidR="0011660C" w:rsidRPr="001B74F4" w:rsidRDefault="00FF5F6B">
      <w:pPr>
        <w:spacing w:line="240" w:lineRule="auto"/>
        <w:rPr>
          <w:rFonts w:ascii="Times New Roman" w:hAnsi="Times New Roman" w:cs="Times New Roman"/>
          <w:b/>
          <w:bCs/>
          <w:color w:val="000000" w:themeColor="text1"/>
          <w:sz w:val="24"/>
          <w:szCs w:val="24"/>
        </w:rPr>
      </w:pPr>
      <w:r w:rsidRPr="001B74F4">
        <w:rPr>
          <w:rFonts w:ascii="Times New Roman" w:hAnsi="Times New Roman" w:cs="Times New Roman"/>
          <w:b/>
          <w:bCs/>
          <w:color w:val="000000" w:themeColor="text1"/>
          <w:sz w:val="24"/>
          <w:szCs w:val="24"/>
        </w:rPr>
        <w:lastRenderedPageBreak/>
        <w:t>2</w:t>
      </w:r>
      <w:r w:rsidRPr="001B74F4">
        <w:rPr>
          <w:rFonts w:ascii="Times New Roman" w:hAnsi="Times New Roman" w:cs="Times New Roman"/>
          <w:b/>
          <w:bCs/>
          <w:color w:val="000000" w:themeColor="text1"/>
          <w:sz w:val="24"/>
          <w:szCs w:val="24"/>
          <w:lang w:val="zh-CN"/>
        </w:rPr>
        <w:t>.5 Data Collection</w:t>
      </w:r>
      <w:r w:rsidRPr="001B74F4">
        <w:rPr>
          <w:rFonts w:ascii="Times New Roman" w:hAnsi="Times New Roman" w:cs="Times New Roman"/>
          <w:b/>
          <w:bCs/>
          <w:color w:val="000000" w:themeColor="text1"/>
          <w:sz w:val="24"/>
          <w:szCs w:val="24"/>
        </w:rPr>
        <w:t xml:space="preserve"> tool and procedure </w:t>
      </w:r>
    </w:p>
    <w:p w14:paraId="34E1087C"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b/>
          <w:bCs/>
          <w:color w:val="000000" w:themeColor="text1"/>
          <w:sz w:val="24"/>
          <w:szCs w:val="24"/>
          <w:lang w:val="zh-CN"/>
        </w:rPr>
        <w:t>Questionnaires:</w:t>
      </w:r>
      <w:r w:rsidRPr="001B74F4">
        <w:rPr>
          <w:rFonts w:ascii="Times New Roman" w:hAnsi="Times New Roman" w:cs="Times New Roman"/>
          <w:color w:val="000000" w:themeColor="text1"/>
          <w:sz w:val="24"/>
          <w:szCs w:val="24"/>
          <w:lang w:val="zh-CN"/>
        </w:rPr>
        <w:t xml:space="preserve"> Structured questionnaires were</w:t>
      </w:r>
      <w:r w:rsidRPr="001B74F4">
        <w:rPr>
          <w:rFonts w:ascii="Times New Roman" w:hAnsi="Times New Roman" w:cs="Times New Roman"/>
          <w:color w:val="000000" w:themeColor="text1"/>
          <w:sz w:val="24"/>
          <w:szCs w:val="24"/>
        </w:rPr>
        <w:t xml:space="preserve"> </w:t>
      </w:r>
      <w:r w:rsidRPr="001B74F4">
        <w:rPr>
          <w:rFonts w:ascii="Times New Roman" w:hAnsi="Times New Roman" w:cs="Times New Roman"/>
          <w:color w:val="000000" w:themeColor="text1"/>
          <w:sz w:val="24"/>
          <w:szCs w:val="24"/>
          <w:lang w:val="zh-CN"/>
        </w:rPr>
        <w:t xml:space="preserve">administered to nurses and </w:t>
      </w:r>
      <w:r w:rsidRPr="001B74F4">
        <w:rPr>
          <w:rFonts w:ascii="Times New Roman" w:hAnsi="Times New Roman" w:cs="Times New Roman"/>
          <w:color w:val="000000" w:themeColor="text1"/>
          <w:sz w:val="24"/>
          <w:szCs w:val="24"/>
        </w:rPr>
        <w:t>midwives</w:t>
      </w:r>
      <w:r w:rsidRPr="001B74F4">
        <w:rPr>
          <w:rFonts w:ascii="Times New Roman" w:hAnsi="Times New Roman" w:cs="Times New Roman"/>
          <w:color w:val="000000" w:themeColor="text1"/>
          <w:sz w:val="24"/>
          <w:szCs w:val="24"/>
          <w:lang w:val="zh-CN"/>
        </w:rPr>
        <w:t xml:space="preserve"> to assess the availability of emergency care resources (equipment, drugs, and personnel),</w:t>
      </w:r>
      <w:r w:rsidRPr="001B74F4">
        <w:rPr>
          <w:rFonts w:ascii="Times New Roman" w:hAnsi="Times New Roman" w:cs="Times New Roman"/>
          <w:color w:val="000000" w:themeColor="text1"/>
          <w:sz w:val="24"/>
          <w:szCs w:val="24"/>
        </w:rPr>
        <w:t xml:space="preserve"> t</w:t>
      </w:r>
      <w:r w:rsidRPr="001B74F4">
        <w:rPr>
          <w:rFonts w:ascii="Times New Roman" w:hAnsi="Times New Roman" w:cs="Times New Roman"/>
          <w:color w:val="000000" w:themeColor="text1"/>
          <w:sz w:val="24"/>
          <w:szCs w:val="24"/>
          <w:lang w:val="zh-CN"/>
        </w:rPr>
        <w:t xml:space="preserve">o assess the training and preparedness of </w:t>
      </w:r>
      <w:r w:rsidR="006230B8" w:rsidRPr="001B74F4">
        <w:rPr>
          <w:rFonts w:ascii="Times New Roman" w:hAnsi="Times New Roman" w:cs="Times New Roman"/>
          <w:color w:val="000000" w:themeColor="text1"/>
          <w:sz w:val="24"/>
          <w:szCs w:val="24"/>
          <w:lang w:val="zh-CN"/>
        </w:rPr>
        <w:t xml:space="preserve">nurses and </w:t>
      </w:r>
      <w:r w:rsidR="00C81A53" w:rsidRPr="001B74F4">
        <w:rPr>
          <w:rFonts w:ascii="Times New Roman" w:hAnsi="Times New Roman" w:cs="Times New Roman"/>
          <w:color w:val="000000" w:themeColor="text1"/>
          <w:sz w:val="24"/>
          <w:szCs w:val="24"/>
          <w:lang w:val="zh-CN"/>
        </w:rPr>
        <w:t>midwives in</w:t>
      </w:r>
      <w:r w:rsidRPr="001B74F4">
        <w:rPr>
          <w:rFonts w:ascii="Times New Roman" w:hAnsi="Times New Roman" w:cs="Times New Roman"/>
          <w:color w:val="000000" w:themeColor="text1"/>
          <w:sz w:val="24"/>
          <w:szCs w:val="24"/>
          <w:lang w:val="zh-CN"/>
        </w:rPr>
        <w:t xml:space="preserve"> managing emergencies, </w:t>
      </w:r>
      <w:r w:rsidRPr="001B74F4">
        <w:rPr>
          <w:rFonts w:ascii="Times New Roman" w:hAnsi="Times New Roman" w:cs="Times New Roman"/>
          <w:color w:val="000000" w:themeColor="text1"/>
          <w:sz w:val="24"/>
          <w:szCs w:val="24"/>
        </w:rPr>
        <w:t>and to provide possible</w:t>
      </w:r>
      <w:r w:rsidRPr="001B74F4">
        <w:rPr>
          <w:rFonts w:ascii="Times New Roman" w:hAnsi="Times New Roman" w:cs="Times New Roman"/>
          <w:color w:val="000000" w:themeColor="text1"/>
          <w:sz w:val="24"/>
          <w:szCs w:val="24"/>
          <w:lang w:val="zh-CN"/>
        </w:rPr>
        <w:t xml:space="preserve"> recommendations</w:t>
      </w:r>
      <w:r w:rsidRPr="001B74F4">
        <w:rPr>
          <w:rFonts w:ascii="Times New Roman" w:hAnsi="Times New Roman" w:cs="Times New Roman"/>
          <w:color w:val="000000" w:themeColor="text1"/>
          <w:sz w:val="24"/>
          <w:szCs w:val="24"/>
        </w:rPr>
        <w:t xml:space="preserve"> to</w:t>
      </w:r>
      <w:r w:rsidRPr="001B74F4">
        <w:rPr>
          <w:rFonts w:ascii="Times New Roman" w:hAnsi="Times New Roman" w:cs="Times New Roman"/>
          <w:color w:val="000000" w:themeColor="text1"/>
          <w:sz w:val="24"/>
          <w:szCs w:val="24"/>
          <w:lang w:val="zh-CN"/>
        </w:rPr>
        <w:t xml:space="preserve"> enhance emergency preparedness at rural PHC facilities</w:t>
      </w:r>
    </w:p>
    <w:p w14:paraId="380F41C2" w14:textId="77777777" w:rsidR="0011660C" w:rsidRPr="001B74F4" w:rsidRDefault="00FF5F6B">
      <w:pPr>
        <w:spacing w:line="240" w:lineRule="auto"/>
        <w:rPr>
          <w:rFonts w:ascii="Times New Roman" w:hAnsi="Times New Roman" w:cs="Times New Roman"/>
          <w:color w:val="000000" w:themeColor="text1"/>
          <w:sz w:val="24"/>
          <w:szCs w:val="24"/>
        </w:rPr>
      </w:pPr>
      <w:r w:rsidRPr="001B74F4">
        <w:rPr>
          <w:rFonts w:ascii="Times New Roman" w:hAnsi="Times New Roman" w:cs="Times New Roman"/>
          <w:color w:val="000000" w:themeColor="text1"/>
          <w:sz w:val="24"/>
          <w:szCs w:val="24"/>
        </w:rPr>
        <w:t xml:space="preserve">Data were collected at the primary health care facilities from September 2024 to January 2025. The assessment covered the health care facilities' preparedness capacity (equipment and medications) and EMS, focusing on the availability of emergency </w:t>
      </w:r>
      <w:r w:rsidRPr="001B74F4">
        <w:rPr>
          <w:rFonts w:ascii="Times New Roman" w:hAnsi="Times New Roman" w:cs="Times New Roman"/>
          <w:color w:val="000000" w:themeColor="text1"/>
          <w:sz w:val="24"/>
          <w:szCs w:val="24"/>
          <w:lang w:val="zh-CN"/>
        </w:rPr>
        <w:t>care resources (equipment, drugs, and personnel).</w:t>
      </w:r>
      <w:r w:rsidRPr="001B74F4">
        <w:rPr>
          <w:rFonts w:ascii="Times New Roman" w:hAnsi="Times New Roman" w:cs="Times New Roman"/>
          <w:color w:val="000000" w:themeColor="text1"/>
          <w:sz w:val="24"/>
          <w:szCs w:val="24"/>
        </w:rPr>
        <w:t>t</w:t>
      </w:r>
      <w:r w:rsidRPr="001B74F4">
        <w:rPr>
          <w:rFonts w:ascii="Times New Roman" w:hAnsi="Times New Roman" w:cs="Times New Roman"/>
          <w:color w:val="000000" w:themeColor="text1"/>
          <w:sz w:val="24"/>
          <w:szCs w:val="24"/>
          <w:lang w:val="zh-CN"/>
        </w:rPr>
        <w:t xml:space="preserve">o assess the training and preparedness of </w:t>
      </w:r>
      <w:r w:rsidR="006230B8" w:rsidRPr="001B74F4">
        <w:rPr>
          <w:rFonts w:ascii="Times New Roman" w:hAnsi="Times New Roman" w:cs="Times New Roman"/>
          <w:color w:val="000000" w:themeColor="text1"/>
          <w:sz w:val="24"/>
          <w:szCs w:val="24"/>
          <w:lang w:val="zh-CN"/>
        </w:rPr>
        <w:t xml:space="preserve">nurses and </w:t>
      </w:r>
      <w:r w:rsidR="00C81A53" w:rsidRPr="001B74F4">
        <w:rPr>
          <w:rFonts w:ascii="Times New Roman" w:hAnsi="Times New Roman" w:cs="Times New Roman"/>
          <w:color w:val="000000" w:themeColor="text1"/>
          <w:sz w:val="24"/>
          <w:szCs w:val="24"/>
          <w:lang w:val="zh-CN"/>
        </w:rPr>
        <w:t>midwives in</w:t>
      </w:r>
      <w:r w:rsidRPr="001B74F4">
        <w:rPr>
          <w:rFonts w:ascii="Times New Roman" w:hAnsi="Times New Roman" w:cs="Times New Roman"/>
          <w:color w:val="000000" w:themeColor="text1"/>
          <w:sz w:val="24"/>
          <w:szCs w:val="24"/>
          <w:lang w:val="zh-CN"/>
        </w:rPr>
        <w:t xml:space="preserve"> managing emergencies</w:t>
      </w:r>
      <w:r w:rsidRPr="001B74F4">
        <w:rPr>
          <w:rFonts w:ascii="Times New Roman" w:hAnsi="Times New Roman" w:cs="Times New Roman"/>
          <w:color w:val="000000" w:themeColor="text1"/>
          <w:sz w:val="24"/>
          <w:szCs w:val="24"/>
        </w:rPr>
        <w:t>. The nurses' perception of the availability of emergency equipment at their various facilities.</w:t>
      </w:r>
    </w:p>
    <w:p w14:paraId="3C5A789B" w14:textId="77777777" w:rsidR="0011660C" w:rsidRPr="001B74F4" w:rsidRDefault="00FF5F6B">
      <w:pPr>
        <w:spacing w:line="240" w:lineRule="auto"/>
        <w:rPr>
          <w:rFonts w:ascii="Times New Roman" w:hAnsi="Times New Roman" w:cs="Times New Roman"/>
          <w:color w:val="000000" w:themeColor="text1"/>
          <w:sz w:val="24"/>
          <w:szCs w:val="24"/>
        </w:rPr>
      </w:pPr>
      <w:r w:rsidRPr="001B74F4">
        <w:rPr>
          <w:rFonts w:ascii="Times New Roman" w:hAnsi="Times New Roman" w:cs="Times New Roman"/>
          <w:color w:val="000000" w:themeColor="text1"/>
          <w:sz w:val="24"/>
          <w:szCs w:val="24"/>
        </w:rPr>
        <w:t>Equipment and medications were all assessed and rated using the checklist by the Ministry of Health – Ghana (</w:t>
      </w:r>
      <w:proofErr w:type="spellStart"/>
      <w:r w:rsidRPr="001B74F4">
        <w:rPr>
          <w:rFonts w:ascii="Times New Roman" w:hAnsi="Times New Roman" w:cs="Times New Roman"/>
          <w:color w:val="000000" w:themeColor="text1"/>
          <w:sz w:val="24"/>
          <w:szCs w:val="24"/>
        </w:rPr>
        <w:t>MoH</w:t>
      </w:r>
      <w:proofErr w:type="spellEnd"/>
      <w:r w:rsidRPr="001B74F4">
        <w:rPr>
          <w:rFonts w:ascii="Times New Roman" w:hAnsi="Times New Roman" w:cs="Times New Roman"/>
          <w:color w:val="000000" w:themeColor="text1"/>
          <w:sz w:val="24"/>
          <w:szCs w:val="24"/>
        </w:rPr>
        <w:t>) policy guideline document</w:t>
      </w:r>
      <w:r w:rsidR="00D80691" w:rsidRPr="001B74F4">
        <w:rPr>
          <w:rFonts w:ascii="Times New Roman" w:hAnsi="Times New Roman" w:cs="Times New Roman"/>
          <w:color w:val="000000" w:themeColor="text1"/>
          <w:sz w:val="24"/>
          <w:szCs w:val="24"/>
        </w:rPr>
        <w:fldChar w:fldCharType="begin"/>
      </w:r>
      <w:r w:rsidR="00D80691" w:rsidRPr="001B74F4">
        <w:rPr>
          <w:rFonts w:ascii="Times New Roman" w:hAnsi="Times New Roman" w:cs="Times New Roman"/>
          <w:color w:val="000000" w:themeColor="text1"/>
          <w:sz w:val="24"/>
          <w:szCs w:val="24"/>
        </w:rPr>
        <w:instrText xml:space="preserve"> ADDIN ZOTERO_ITEM CSL_CITATION {"citationID":"bH36xdzT","properties":{"formattedCitation":"(11)","plainCitation":"(11)","noteIndex":0},"citationItems":[{"id":324,"uris":["http://zotero.org/users/local/fuyxLwzY/items/EAIUER4R"],"itemData":{"id":324,"type":"article-journal","container-title":"The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D80691" w:rsidRPr="001B74F4">
        <w:rPr>
          <w:rFonts w:ascii="Times New Roman" w:hAnsi="Times New Roman" w:cs="Times New Roman"/>
          <w:color w:val="000000" w:themeColor="text1"/>
          <w:sz w:val="24"/>
          <w:szCs w:val="24"/>
        </w:rPr>
        <w:fldChar w:fldCharType="separate"/>
      </w:r>
      <w:r w:rsidR="00D80691" w:rsidRPr="001B74F4">
        <w:rPr>
          <w:rFonts w:ascii="Times New Roman" w:hAnsi="Times New Roman" w:cs="Times New Roman"/>
          <w:color w:val="000000" w:themeColor="text1"/>
          <w:sz w:val="24"/>
          <w:szCs w:val="24"/>
        </w:rPr>
        <w:t>(11)</w:t>
      </w:r>
      <w:r w:rsidR="00D80691" w:rsidRPr="001B74F4">
        <w:rPr>
          <w:rFonts w:ascii="Times New Roman" w:hAnsi="Times New Roman" w:cs="Times New Roman"/>
          <w:color w:val="000000" w:themeColor="text1"/>
          <w:sz w:val="24"/>
          <w:szCs w:val="24"/>
        </w:rPr>
        <w:fldChar w:fldCharType="end"/>
      </w:r>
      <w:r w:rsidR="00D80691" w:rsidRPr="001B74F4">
        <w:rPr>
          <w:rFonts w:ascii="Times New Roman" w:hAnsi="Times New Roman" w:cs="Times New Roman"/>
          <w:color w:val="000000" w:themeColor="text1"/>
          <w:sz w:val="24"/>
          <w:szCs w:val="24"/>
        </w:rPr>
        <w:t xml:space="preserve"> </w:t>
      </w:r>
      <w:r w:rsidR="007927AE" w:rsidRPr="001B74F4">
        <w:rPr>
          <w:rFonts w:ascii="Times New Roman" w:hAnsi="Times New Roman" w:cs="Times New Roman"/>
          <w:color w:val="000000" w:themeColor="text1"/>
          <w:sz w:val="24"/>
          <w:szCs w:val="24"/>
        </w:rPr>
        <w:fldChar w:fldCharType="begin"/>
      </w:r>
      <w:r w:rsidR="007927AE" w:rsidRPr="001B74F4">
        <w:rPr>
          <w:rFonts w:ascii="Times New Roman" w:hAnsi="Times New Roman" w:cs="Times New Roman"/>
          <w:color w:val="000000" w:themeColor="text1"/>
          <w:sz w:val="24"/>
          <w:szCs w:val="24"/>
        </w:rPr>
        <w:instrText xml:space="preserve"> ADDIN ZOTERO_ITEM CSL_CITATION {"citationID":"fK4cezHj","properties":{"formattedCitation":"(16)","plainCitation":"(16)","noteIndex":0},"citationItems":[{"id":352,"uris":["http://zotero.org/users/local/fuyxLwzY/items/9C7QLG99"],"itemData":{"id":352,"type":"article-journal","container-title":"Open Access Emergency Medicine","DOI":"10.2147/OAEM.S260314","ISSN":"1179-1500","journalAbbreviation":"OAEM","language":"en","license":"http://creativecommons.org/licenses/by-nc/3.0/","page":"219-225","source":"DOI.org (Crossref)","title":"Disaster Preparedness in Selected Hospitals of Western Ethiopia and Risk Perceptions of Their Authorities","volume":"Volume 12","author":[{"family":"Woyessa","given":"Ashenafi Habte"},{"family":"Teshome","given":"Misganu"},{"family":"Mulatu","given":"Befirdu"},{"family":"Abadiga","given":"Muktar"},{"family":"Hiko","given":"Nesru"},{"family":"Kebede","given":"Burtukan"}],"issued":{"date-parts":[["2020",10]]}}}],"schema":"https://github.com/citation-style-language/schema/raw/master/csl-citation.json"} </w:instrText>
      </w:r>
      <w:r w:rsidR="007927AE" w:rsidRPr="001B74F4">
        <w:rPr>
          <w:rFonts w:ascii="Times New Roman" w:hAnsi="Times New Roman" w:cs="Times New Roman"/>
          <w:color w:val="000000" w:themeColor="text1"/>
          <w:sz w:val="24"/>
          <w:szCs w:val="24"/>
        </w:rPr>
        <w:fldChar w:fldCharType="separate"/>
      </w:r>
      <w:r w:rsidR="007927AE" w:rsidRPr="001B74F4">
        <w:rPr>
          <w:rFonts w:ascii="Times New Roman" w:hAnsi="Times New Roman" w:cs="Times New Roman"/>
          <w:sz w:val="24"/>
          <w:szCs w:val="24"/>
        </w:rPr>
        <w:t>(16)</w:t>
      </w:r>
      <w:r w:rsidR="007927AE" w:rsidRPr="001B74F4">
        <w:rPr>
          <w:rFonts w:ascii="Times New Roman" w:hAnsi="Times New Roman" w:cs="Times New Roman"/>
          <w:color w:val="000000" w:themeColor="text1"/>
          <w:sz w:val="24"/>
          <w:szCs w:val="24"/>
        </w:rPr>
        <w:fldChar w:fldCharType="end"/>
      </w:r>
      <w:r w:rsidR="007927AE" w:rsidRPr="001B74F4">
        <w:rPr>
          <w:rFonts w:ascii="Times New Roman" w:hAnsi="Times New Roman" w:cs="Times New Roman"/>
          <w:color w:val="000000" w:themeColor="text1"/>
          <w:sz w:val="24"/>
          <w:szCs w:val="24"/>
        </w:rPr>
        <w:t>,</w:t>
      </w:r>
      <w:r w:rsidRPr="001B74F4">
        <w:rPr>
          <w:rFonts w:ascii="Times New Roman" w:hAnsi="Times New Roman" w:cs="Times New Roman"/>
          <w:color w:val="000000" w:themeColor="text1"/>
          <w:sz w:val="24"/>
          <w:szCs w:val="24"/>
        </w:rPr>
        <w:t xml:space="preserve"> </w:t>
      </w:r>
      <w:bookmarkStart w:id="10" w:name="bbib0021"/>
      <w:r w:rsidRPr="001B74F4">
        <w:rPr>
          <w:rFonts w:ascii="Times New Roman" w:hAnsi="Times New Roman" w:cs="Times New Roman"/>
          <w:color w:val="000000" w:themeColor="text1"/>
          <w:sz w:val="24"/>
          <w:szCs w:val="24"/>
        </w:rPr>
        <w:t xml:space="preserve">This was done by observation and rating the availability and adequacy of equipment and medications. The emergency equipment was assessed with selected items from the 63-item checklist focusing on airways, breathing, circulation, and disability. The emergency medications were assessed with a 52-item checklist </w:t>
      </w:r>
      <w:r w:rsidR="009E6FF6" w:rsidRPr="001B74F4">
        <w:rPr>
          <w:rFonts w:ascii="Times New Roman" w:hAnsi="Times New Roman" w:cs="Times New Roman"/>
          <w:color w:val="000000" w:themeColor="text1"/>
          <w:sz w:val="24"/>
          <w:szCs w:val="24"/>
        </w:rPr>
        <w:fldChar w:fldCharType="begin"/>
      </w:r>
      <w:r w:rsidR="009E6FF6" w:rsidRPr="001B74F4">
        <w:rPr>
          <w:rFonts w:ascii="Times New Roman" w:hAnsi="Times New Roman" w:cs="Times New Roman"/>
          <w:color w:val="000000" w:themeColor="text1"/>
          <w:sz w:val="24"/>
          <w:szCs w:val="24"/>
        </w:rPr>
        <w:instrText xml:space="preserve"> ADDIN ZOTERO_ITEM CSL_CITATION {"citationID":"OK15pgv0","properties":{"formattedCitation":"(17)","plainCitation":"(17)","noteIndex":0},"citationItems":[{"id":362,"uris":["http://zotero.org/users/local/fuyxLwzY/items/A592XF87"],"itemData":{"id":362,"type":"report","title":"Hospital emergency response checklist: An all-hazards tool for hospital administrators and emergency managers. Regional Office for Europe.","author":[{"family":"","given":"World Health Organization"}],"issued":{"date-parts":[["2011"]]}}}],"schema":"https://github.com/citation-style-language/schema/raw/master/csl-citation.json"} </w:instrText>
      </w:r>
      <w:r w:rsidR="009E6FF6" w:rsidRPr="001B74F4">
        <w:rPr>
          <w:rFonts w:ascii="Times New Roman" w:hAnsi="Times New Roman" w:cs="Times New Roman"/>
          <w:color w:val="000000" w:themeColor="text1"/>
          <w:sz w:val="24"/>
          <w:szCs w:val="24"/>
        </w:rPr>
        <w:fldChar w:fldCharType="separate"/>
      </w:r>
      <w:r w:rsidR="009E6FF6" w:rsidRPr="001B74F4">
        <w:rPr>
          <w:rFonts w:ascii="Times New Roman" w:hAnsi="Times New Roman" w:cs="Times New Roman"/>
          <w:sz w:val="24"/>
          <w:szCs w:val="24"/>
        </w:rPr>
        <w:t>(17)</w:t>
      </w:r>
      <w:r w:rsidR="009E6FF6" w:rsidRPr="001B74F4">
        <w:rPr>
          <w:rFonts w:ascii="Times New Roman" w:hAnsi="Times New Roman" w:cs="Times New Roman"/>
          <w:color w:val="000000" w:themeColor="text1"/>
          <w:sz w:val="24"/>
          <w:szCs w:val="24"/>
        </w:rPr>
        <w:fldChar w:fldCharType="end"/>
      </w:r>
      <w:r w:rsidRPr="001B74F4">
        <w:rPr>
          <w:rFonts w:ascii="Times New Roman" w:hAnsi="Times New Roman" w:cs="Times New Roman"/>
          <w:color w:val="000000" w:themeColor="text1"/>
          <w:sz w:val="24"/>
          <w:szCs w:val="24"/>
        </w:rPr>
        <w:t>.</w:t>
      </w:r>
    </w:p>
    <w:bookmarkEnd w:id="10"/>
    <w:p w14:paraId="75D1B6EF" w14:textId="77777777" w:rsidR="0011660C" w:rsidRPr="001B74F4" w:rsidRDefault="0011660C">
      <w:pPr>
        <w:spacing w:line="240" w:lineRule="auto"/>
        <w:rPr>
          <w:rFonts w:ascii="Times New Roman" w:hAnsi="Times New Roman" w:cs="Times New Roman"/>
          <w:b/>
          <w:bCs/>
          <w:sz w:val="24"/>
          <w:szCs w:val="24"/>
        </w:rPr>
      </w:pPr>
    </w:p>
    <w:p w14:paraId="0963ECDB" w14:textId="77777777" w:rsidR="0011660C" w:rsidRPr="001B74F4" w:rsidRDefault="00FF5F6B">
      <w:pPr>
        <w:spacing w:line="240" w:lineRule="auto"/>
        <w:rPr>
          <w:rFonts w:ascii="Times New Roman" w:hAnsi="Times New Roman" w:cs="Times New Roman"/>
          <w:b/>
          <w:bCs/>
          <w:color w:val="000000" w:themeColor="text1"/>
          <w:sz w:val="24"/>
          <w:szCs w:val="24"/>
          <w:lang w:val="zh-CN"/>
        </w:rPr>
      </w:pPr>
      <w:commentRangeStart w:id="11"/>
      <w:r w:rsidRPr="001B74F4">
        <w:rPr>
          <w:rFonts w:ascii="Times New Roman" w:hAnsi="Times New Roman" w:cs="Times New Roman"/>
          <w:b/>
          <w:bCs/>
          <w:sz w:val="24"/>
          <w:szCs w:val="24"/>
        </w:rPr>
        <w:t>2</w:t>
      </w:r>
      <w:r w:rsidRPr="001B74F4">
        <w:rPr>
          <w:rFonts w:ascii="Times New Roman" w:hAnsi="Times New Roman" w:cs="Times New Roman"/>
          <w:b/>
          <w:bCs/>
          <w:sz w:val="24"/>
          <w:szCs w:val="24"/>
          <w:lang w:val="zh-CN"/>
        </w:rPr>
        <w:t>.</w:t>
      </w:r>
      <w:r w:rsidRPr="001B74F4">
        <w:rPr>
          <w:rFonts w:ascii="Times New Roman" w:hAnsi="Times New Roman" w:cs="Times New Roman"/>
          <w:b/>
          <w:bCs/>
          <w:color w:val="000000" w:themeColor="text1"/>
          <w:sz w:val="24"/>
          <w:szCs w:val="24"/>
          <w:lang w:val="zh-CN"/>
        </w:rPr>
        <w:t>6 Data Analysis</w:t>
      </w:r>
    </w:p>
    <w:p w14:paraId="5982551D"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rPr>
        <w:t xml:space="preserve">The </w:t>
      </w:r>
      <w:r w:rsidRPr="001B74F4">
        <w:rPr>
          <w:rFonts w:ascii="Times New Roman" w:hAnsi="Times New Roman" w:cs="Times New Roman"/>
          <w:color w:val="000000" w:themeColor="text1"/>
          <w:sz w:val="24"/>
          <w:szCs w:val="24"/>
          <w:lang w:val="zh-CN"/>
        </w:rPr>
        <w:t>quantitative data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studied using descriptive statistics.</w:t>
      </w:r>
    </w:p>
    <w:p w14:paraId="78082547" w14:textId="77777777" w:rsidR="0011660C" w:rsidRPr="001B74F4" w:rsidRDefault="00FF5F6B">
      <w:pPr>
        <w:spacing w:line="240" w:lineRule="auto"/>
        <w:rPr>
          <w:rFonts w:ascii="Times New Roman" w:hAnsi="Times New Roman" w:cs="Times New Roman"/>
          <w:color w:val="FF0000"/>
          <w:sz w:val="24"/>
          <w:szCs w:val="24"/>
        </w:rPr>
      </w:pPr>
      <w:r w:rsidRPr="001B74F4">
        <w:rPr>
          <w:rFonts w:ascii="Times New Roman" w:hAnsi="Times New Roman" w:cs="Times New Roman"/>
          <w:color w:val="000000" w:themeColor="text1"/>
          <w:sz w:val="24"/>
          <w:szCs w:val="24"/>
        </w:rPr>
        <w:t xml:space="preserve">Data was collected on paper forms, </w:t>
      </w:r>
      <w:proofErr w:type="spellStart"/>
      <w:r w:rsidRPr="001B74F4">
        <w:rPr>
          <w:rFonts w:ascii="Times New Roman" w:hAnsi="Times New Roman" w:cs="Times New Roman"/>
          <w:color w:val="000000" w:themeColor="text1"/>
          <w:sz w:val="24"/>
          <w:szCs w:val="24"/>
        </w:rPr>
        <w:t>KoboTool</w:t>
      </w:r>
      <w:proofErr w:type="spellEnd"/>
      <w:r w:rsidRPr="001B74F4">
        <w:rPr>
          <w:rFonts w:ascii="Times New Roman" w:hAnsi="Times New Roman" w:cs="Times New Roman"/>
          <w:color w:val="000000" w:themeColor="text1"/>
          <w:sz w:val="24"/>
          <w:szCs w:val="24"/>
        </w:rPr>
        <w:t xml:space="preserve">, and analyzed using Microsoft Excel (version 14). The data was cleaned under various objectives, and the demographics of the respondents. On </w:t>
      </w:r>
      <w:r w:rsidRPr="001B74F4">
        <w:rPr>
          <w:rFonts w:ascii="Times New Roman" w:hAnsi="Times New Roman" w:cs="Times New Roman"/>
          <w:bCs/>
          <w:color w:val="000000" w:themeColor="text1"/>
          <w:sz w:val="24"/>
          <w:szCs w:val="24"/>
        </w:rPr>
        <w:t>the Availability of Emergency Equipment in the Health Institutions, the variables were evaluated on a scale of 1-5 based on their availability and adequacy (</w:t>
      </w:r>
      <w:r w:rsidRPr="001B74F4">
        <w:rPr>
          <w:rFonts w:ascii="Times New Roman" w:hAnsi="Times New Roman" w:cs="Times New Roman"/>
          <w:bCs/>
          <w:i/>
          <w:iCs/>
          <w:color w:val="000000" w:themeColor="text1"/>
          <w:sz w:val="24"/>
          <w:szCs w:val="24"/>
        </w:rPr>
        <w:t>Availability &amp; Adequacy</w:t>
      </w:r>
      <w:r w:rsidRPr="001B74F4">
        <w:rPr>
          <w:rFonts w:ascii="Times New Roman" w:hAnsi="Times New Roman" w:cs="Times New Roman"/>
          <w:bCs/>
          <w:color w:val="000000" w:themeColor="text1"/>
          <w:sz w:val="24"/>
          <w:szCs w:val="24"/>
        </w:rPr>
        <w:t xml:space="preserve">: 1 – Very Poor (Absent); 2 – Poor (Inadequate (available to less than half of those who need it); 3 – Moderate (Partially adequate (available to more than half, but not to most who need it); 4 – Good (Adequate (present and readily available to almost everyone in need and used when needed) 5- Very Good (Very adequate and </w:t>
      </w:r>
      <w:proofErr w:type="spellStart"/>
      <w:r w:rsidRPr="001B74F4">
        <w:rPr>
          <w:rFonts w:ascii="Times New Roman" w:hAnsi="Times New Roman" w:cs="Times New Roman"/>
          <w:bCs/>
          <w:color w:val="000000" w:themeColor="text1"/>
          <w:sz w:val="24"/>
          <w:szCs w:val="24"/>
        </w:rPr>
        <w:t>availiable</w:t>
      </w:r>
      <w:proofErr w:type="spellEnd"/>
      <w:r w:rsidRPr="001B74F4">
        <w:rPr>
          <w:rFonts w:ascii="Times New Roman" w:hAnsi="Times New Roman" w:cs="Times New Roman"/>
          <w:bCs/>
          <w:color w:val="000000" w:themeColor="text1"/>
          <w:sz w:val="24"/>
          <w:szCs w:val="24"/>
        </w:rPr>
        <w:t xml:space="preserve"> with extra in stock)</w:t>
      </w:r>
      <w:bookmarkStart w:id="12" w:name="bbib0015"/>
      <w:r w:rsidRPr="001B74F4">
        <w:rPr>
          <w:rFonts w:ascii="Times New Roman" w:hAnsi="Times New Roman" w:cs="Times New Roman"/>
          <w:bCs/>
          <w:color w:val="000000" w:themeColor="text1"/>
          <w:sz w:val="24"/>
          <w:szCs w:val="24"/>
        </w:rPr>
        <w:t xml:space="preserve"> </w:t>
      </w:r>
      <w:r w:rsidR="00C81A53" w:rsidRPr="001B74F4">
        <w:rPr>
          <w:rFonts w:ascii="Times New Roman" w:hAnsi="Times New Roman" w:cs="Times New Roman"/>
          <w:bCs/>
          <w:color w:val="000000" w:themeColor="text1"/>
          <w:sz w:val="24"/>
          <w:szCs w:val="24"/>
        </w:rPr>
        <w:fldChar w:fldCharType="begin"/>
      </w:r>
      <w:r w:rsidR="009E6FF6" w:rsidRPr="001B74F4">
        <w:rPr>
          <w:rFonts w:ascii="Times New Roman" w:hAnsi="Times New Roman" w:cs="Times New Roman"/>
          <w:bCs/>
          <w:color w:val="000000" w:themeColor="text1"/>
          <w:sz w:val="24"/>
          <w:szCs w:val="24"/>
        </w:rPr>
        <w:instrText xml:space="preserve"> ADDIN ZOTERO_ITEM CSL_CITATION {"citationID":"RFFSEkr9","properties":{"formattedCitation":"(18)","plainCitation":"(18)","noteIndex":0},"citationItems":[{"id":334,"uris":["http://zotero.org/users/local/fuyxLwzY/items/FU3JZLIY"],"itemData":{"id":334,"type":"article-journal","container-title":"African Journal of Emergency Medicine","DOI":"10.1016/j.afjem.2015.09.001","ISSN":"2211419X","issue":"1","journalAbbreviation":"African Journal of Emergency Medicine","language":"en","page":"3-4","source":"DOI.org (Crossref)","title":"The Sendai Framework and emergency care","volume":"6","author":[{"family":"Kim","given":"Paul Y."},{"family":"Sawe","given":"Hendry R."},{"family":"Wallis","given":"Lee A."}],"issued":{"date-parts":[["2016",3]]}}}],"schema":"https://github.com/citation-style-language/schema/raw/master/csl-citation.json"} </w:instrText>
      </w:r>
      <w:r w:rsidR="00C81A53" w:rsidRPr="001B74F4">
        <w:rPr>
          <w:rFonts w:ascii="Times New Roman" w:hAnsi="Times New Roman" w:cs="Times New Roman"/>
          <w:bCs/>
          <w:color w:val="000000" w:themeColor="text1"/>
          <w:sz w:val="24"/>
          <w:szCs w:val="24"/>
        </w:rPr>
        <w:fldChar w:fldCharType="separate"/>
      </w:r>
      <w:r w:rsidR="009E6FF6" w:rsidRPr="001B74F4">
        <w:rPr>
          <w:rFonts w:ascii="Times New Roman" w:hAnsi="Times New Roman" w:cs="Times New Roman"/>
          <w:sz w:val="24"/>
          <w:szCs w:val="24"/>
        </w:rPr>
        <w:t>(18)</w:t>
      </w:r>
      <w:r w:rsidR="00C81A53" w:rsidRPr="001B74F4">
        <w:rPr>
          <w:rFonts w:ascii="Times New Roman" w:hAnsi="Times New Roman" w:cs="Times New Roman"/>
          <w:bCs/>
          <w:color w:val="000000" w:themeColor="text1"/>
          <w:sz w:val="24"/>
          <w:szCs w:val="24"/>
        </w:rPr>
        <w:fldChar w:fldCharType="end"/>
      </w:r>
      <w:bookmarkEnd w:id="12"/>
    </w:p>
    <w:p w14:paraId="6B8B1CA3" w14:textId="77777777" w:rsidR="0011660C" w:rsidRPr="001B74F4" w:rsidRDefault="00FF5F6B">
      <w:pPr>
        <w:spacing w:line="240" w:lineRule="auto"/>
        <w:rPr>
          <w:rFonts w:ascii="Times New Roman" w:hAnsi="Times New Roman" w:cs="Times New Roman"/>
          <w:bCs/>
          <w:sz w:val="24"/>
          <w:szCs w:val="24"/>
        </w:rPr>
      </w:pPr>
      <w:r w:rsidRPr="001B74F4">
        <w:rPr>
          <w:rFonts w:ascii="Times New Roman" w:hAnsi="Times New Roman" w:cs="Times New Roman"/>
          <w:bCs/>
          <w:sz w:val="24"/>
          <w:szCs w:val="24"/>
        </w:rPr>
        <w:t xml:space="preserve">Emergency Preparedness and Challenges among nurses and midwives were assessed with questions on their confidence in handling cases with the ABCDE assessment tool, no of training on emergencies, how easily emergency cases can be accessed, and how often drills or simulations </w:t>
      </w:r>
      <w:proofErr w:type="spellStart"/>
      <w:r w:rsidRPr="001B74F4">
        <w:rPr>
          <w:rFonts w:ascii="Times New Roman" w:hAnsi="Times New Roman" w:cs="Times New Roman"/>
          <w:bCs/>
          <w:sz w:val="24"/>
          <w:szCs w:val="24"/>
        </w:rPr>
        <w:t>execeis</w:t>
      </w:r>
      <w:proofErr w:type="spellEnd"/>
      <w:r w:rsidRPr="001B74F4">
        <w:rPr>
          <w:rFonts w:ascii="Times New Roman" w:hAnsi="Times New Roman" w:cs="Times New Roman"/>
          <w:bCs/>
          <w:sz w:val="24"/>
          <w:szCs w:val="24"/>
        </w:rPr>
        <w:t xml:space="preserve"> that are performed.</w:t>
      </w:r>
    </w:p>
    <w:p w14:paraId="52D67F31"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color w:val="FF0000"/>
          <w:sz w:val="24"/>
          <w:szCs w:val="24"/>
        </w:rPr>
        <w:t xml:space="preserve"> </w:t>
      </w:r>
      <w:r w:rsidRPr="001B74F4">
        <w:rPr>
          <w:rFonts w:ascii="Times New Roman" w:hAnsi="Times New Roman" w:cs="Times New Roman"/>
          <w:sz w:val="24"/>
          <w:szCs w:val="24"/>
        </w:rPr>
        <w:t xml:space="preserve">Finally, on recommending strategies to enhance emergency preparedness at rural PHC facilities, respondents were </w:t>
      </w:r>
      <w:proofErr w:type="gramStart"/>
      <w:r w:rsidRPr="001B74F4">
        <w:rPr>
          <w:rFonts w:ascii="Times New Roman" w:hAnsi="Times New Roman" w:cs="Times New Roman"/>
          <w:sz w:val="24"/>
          <w:szCs w:val="24"/>
        </w:rPr>
        <w:t>allow</w:t>
      </w:r>
      <w:proofErr w:type="gramEnd"/>
      <w:r w:rsidRPr="001B74F4">
        <w:rPr>
          <w:rFonts w:ascii="Times New Roman" w:hAnsi="Times New Roman" w:cs="Times New Roman"/>
          <w:sz w:val="24"/>
          <w:szCs w:val="24"/>
        </w:rPr>
        <w:t xml:space="preserve"> to select suggested options ( More medical equipment and supplies, regular training for healthcare staff, better referral system and transportation, increased staffing, improved communicated system) and also make individual suggestion that will help to improve emergency case management in the Primary Health Care.</w:t>
      </w:r>
      <w:commentRangeEnd w:id="11"/>
      <w:r w:rsidR="0022314F">
        <w:rPr>
          <w:rStyle w:val="CommentReference"/>
        </w:rPr>
        <w:commentReference w:id="11"/>
      </w:r>
    </w:p>
    <w:p w14:paraId="09DA5CE3" w14:textId="77777777" w:rsidR="0011660C" w:rsidRPr="001B74F4" w:rsidRDefault="00FF5F6B">
      <w:pPr>
        <w:spacing w:line="240" w:lineRule="auto"/>
        <w:rPr>
          <w:rFonts w:ascii="Times New Roman" w:hAnsi="Times New Roman" w:cs="Times New Roman"/>
          <w:color w:val="FF0000"/>
          <w:sz w:val="24"/>
          <w:szCs w:val="24"/>
        </w:rPr>
      </w:pPr>
      <w:r w:rsidRPr="001B74F4">
        <w:rPr>
          <w:rFonts w:ascii="Times New Roman" w:hAnsi="Times New Roman" w:cs="Times New Roman"/>
          <w:color w:val="FF0000"/>
          <w:sz w:val="24"/>
          <w:szCs w:val="24"/>
        </w:rPr>
        <w:t xml:space="preserve"> </w:t>
      </w:r>
    </w:p>
    <w:p w14:paraId="192A1B07" w14:textId="77777777" w:rsidR="0011660C" w:rsidRPr="001B74F4" w:rsidRDefault="0011660C">
      <w:pPr>
        <w:spacing w:line="240" w:lineRule="auto"/>
        <w:rPr>
          <w:rFonts w:ascii="Times New Roman" w:hAnsi="Times New Roman" w:cs="Times New Roman"/>
          <w:color w:val="FF0000"/>
          <w:sz w:val="24"/>
          <w:szCs w:val="24"/>
        </w:rPr>
      </w:pPr>
    </w:p>
    <w:p w14:paraId="7F5B959C" w14:textId="77777777" w:rsidR="0011660C" w:rsidRPr="001B74F4" w:rsidRDefault="0011660C">
      <w:pPr>
        <w:spacing w:line="240" w:lineRule="auto"/>
        <w:rPr>
          <w:rFonts w:ascii="Times New Roman" w:hAnsi="Times New Roman" w:cs="Times New Roman"/>
          <w:color w:val="FF0000"/>
          <w:sz w:val="24"/>
          <w:szCs w:val="24"/>
        </w:rPr>
      </w:pPr>
    </w:p>
    <w:p w14:paraId="7787791B" w14:textId="77777777" w:rsidR="0011660C" w:rsidRPr="001B74F4" w:rsidRDefault="0011660C">
      <w:pPr>
        <w:spacing w:line="240" w:lineRule="auto"/>
        <w:rPr>
          <w:rFonts w:ascii="Times New Roman" w:hAnsi="Times New Roman" w:cs="Times New Roman"/>
          <w:color w:val="FF0000"/>
          <w:sz w:val="24"/>
          <w:szCs w:val="24"/>
        </w:rPr>
      </w:pPr>
    </w:p>
    <w:p w14:paraId="233DEF54"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7. Ethical Considerations</w:t>
      </w:r>
    </w:p>
    <w:p w14:paraId="1A13405C"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lang w:val="zh-CN"/>
        </w:rPr>
        <w:t>The Ghana Health Service of the Ahafo Ano North Municipal Health Directorate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consulted to obtain approval for the study. All volunteers w</w:t>
      </w:r>
      <w:r w:rsidRPr="001B74F4">
        <w:rPr>
          <w:rFonts w:ascii="Times New Roman" w:hAnsi="Times New Roman" w:cs="Times New Roman"/>
          <w:color w:val="000000" w:themeColor="text1"/>
          <w:sz w:val="24"/>
          <w:szCs w:val="24"/>
        </w:rPr>
        <w:t>ere</w:t>
      </w:r>
      <w:r w:rsidRPr="001B74F4">
        <w:rPr>
          <w:rFonts w:ascii="Times New Roman" w:hAnsi="Times New Roman" w:cs="Times New Roman"/>
          <w:color w:val="000000" w:themeColor="text1"/>
          <w:sz w:val="24"/>
          <w:szCs w:val="24"/>
          <w:lang w:val="zh-CN"/>
        </w:rPr>
        <w:t xml:space="preserve"> give</w:t>
      </w:r>
      <w:r w:rsidRPr="001B74F4">
        <w:rPr>
          <w:rFonts w:ascii="Times New Roman" w:hAnsi="Times New Roman" w:cs="Times New Roman"/>
          <w:color w:val="000000" w:themeColor="text1"/>
          <w:sz w:val="24"/>
          <w:szCs w:val="24"/>
        </w:rPr>
        <w:t>n</w:t>
      </w:r>
      <w:r w:rsidRPr="001B74F4">
        <w:rPr>
          <w:rFonts w:ascii="Times New Roman" w:hAnsi="Times New Roman" w:cs="Times New Roman"/>
          <w:color w:val="000000" w:themeColor="text1"/>
          <w:sz w:val="24"/>
          <w:szCs w:val="24"/>
          <w:lang w:val="zh-CN"/>
        </w:rPr>
        <w:t xml:space="preserve"> their informed consent before beginning the study, and participation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entirely voluntary. Anonymity and confidentiality were closely upheld during the entire research procedure.</w:t>
      </w:r>
    </w:p>
    <w:p w14:paraId="6F98D0E7" w14:textId="77777777" w:rsidR="0011660C" w:rsidRPr="001B74F4" w:rsidRDefault="0011660C">
      <w:pPr>
        <w:spacing w:line="240" w:lineRule="auto"/>
        <w:rPr>
          <w:rFonts w:ascii="Times New Roman" w:hAnsi="Times New Roman" w:cs="Times New Roman"/>
          <w:color w:val="FF0000"/>
          <w:sz w:val="24"/>
          <w:szCs w:val="24"/>
        </w:rPr>
      </w:pPr>
    </w:p>
    <w:p w14:paraId="549312B2" w14:textId="77777777" w:rsidR="001B74F4" w:rsidRPr="001B74F4" w:rsidRDefault="001B74F4">
      <w:pPr>
        <w:spacing w:line="240" w:lineRule="auto"/>
        <w:rPr>
          <w:rFonts w:ascii="Times New Roman" w:hAnsi="Times New Roman" w:cs="Times New Roman"/>
          <w:color w:val="FF0000"/>
          <w:sz w:val="24"/>
          <w:szCs w:val="24"/>
        </w:rPr>
      </w:pPr>
    </w:p>
    <w:p w14:paraId="29411C58" w14:textId="77777777" w:rsidR="001B74F4" w:rsidRPr="001B74F4" w:rsidRDefault="001B74F4">
      <w:pPr>
        <w:spacing w:line="240" w:lineRule="auto"/>
        <w:rPr>
          <w:rFonts w:ascii="Times New Roman" w:hAnsi="Times New Roman" w:cs="Times New Roman"/>
          <w:color w:val="FF0000"/>
          <w:sz w:val="24"/>
          <w:szCs w:val="24"/>
        </w:rPr>
      </w:pPr>
    </w:p>
    <w:p w14:paraId="41E9221A" w14:textId="77777777" w:rsidR="001B74F4" w:rsidRPr="001B74F4" w:rsidRDefault="001B74F4">
      <w:pPr>
        <w:spacing w:line="240" w:lineRule="auto"/>
        <w:rPr>
          <w:rFonts w:ascii="Times New Roman" w:hAnsi="Times New Roman" w:cs="Times New Roman"/>
          <w:color w:val="FF0000"/>
          <w:sz w:val="24"/>
          <w:szCs w:val="24"/>
        </w:rPr>
      </w:pPr>
    </w:p>
    <w:p w14:paraId="27CE19E3" w14:textId="77777777" w:rsidR="001B74F4" w:rsidRPr="001B74F4" w:rsidRDefault="001B74F4">
      <w:pPr>
        <w:spacing w:line="240" w:lineRule="auto"/>
        <w:rPr>
          <w:rFonts w:ascii="Times New Roman" w:hAnsi="Times New Roman" w:cs="Times New Roman"/>
          <w:color w:val="FF0000"/>
          <w:sz w:val="24"/>
          <w:szCs w:val="24"/>
        </w:rPr>
      </w:pPr>
    </w:p>
    <w:p w14:paraId="28C3D629" w14:textId="77777777" w:rsidR="001B74F4" w:rsidRPr="001B74F4" w:rsidRDefault="001B74F4">
      <w:pPr>
        <w:spacing w:line="240" w:lineRule="auto"/>
        <w:rPr>
          <w:rFonts w:ascii="Times New Roman" w:hAnsi="Times New Roman" w:cs="Times New Roman"/>
          <w:color w:val="FF0000"/>
          <w:sz w:val="24"/>
          <w:szCs w:val="24"/>
        </w:rPr>
      </w:pPr>
    </w:p>
    <w:p w14:paraId="7BFB9B50" w14:textId="77777777" w:rsidR="001B74F4" w:rsidRPr="001B74F4" w:rsidRDefault="001B74F4">
      <w:pPr>
        <w:spacing w:line="240" w:lineRule="auto"/>
        <w:rPr>
          <w:rFonts w:ascii="Times New Roman" w:hAnsi="Times New Roman" w:cs="Times New Roman"/>
          <w:color w:val="FF0000"/>
          <w:sz w:val="24"/>
          <w:szCs w:val="24"/>
        </w:rPr>
      </w:pPr>
    </w:p>
    <w:p w14:paraId="7E8243A5" w14:textId="77777777" w:rsidR="001B74F4" w:rsidRPr="001B74F4" w:rsidRDefault="001B74F4">
      <w:pPr>
        <w:spacing w:line="240" w:lineRule="auto"/>
        <w:rPr>
          <w:rFonts w:ascii="Times New Roman" w:hAnsi="Times New Roman" w:cs="Times New Roman"/>
          <w:color w:val="FF0000"/>
          <w:sz w:val="24"/>
          <w:szCs w:val="24"/>
        </w:rPr>
      </w:pPr>
    </w:p>
    <w:p w14:paraId="666A0D3F" w14:textId="77777777" w:rsidR="001B74F4" w:rsidRPr="001B74F4" w:rsidRDefault="001B74F4">
      <w:pPr>
        <w:spacing w:line="240" w:lineRule="auto"/>
        <w:rPr>
          <w:rFonts w:ascii="Times New Roman" w:hAnsi="Times New Roman" w:cs="Times New Roman"/>
          <w:color w:val="FF0000"/>
          <w:sz w:val="24"/>
          <w:szCs w:val="24"/>
        </w:rPr>
      </w:pPr>
    </w:p>
    <w:p w14:paraId="0D8B10EB" w14:textId="77777777" w:rsidR="001B74F4" w:rsidRPr="001B74F4" w:rsidRDefault="001B74F4">
      <w:pPr>
        <w:spacing w:line="240" w:lineRule="auto"/>
        <w:rPr>
          <w:rFonts w:ascii="Times New Roman" w:hAnsi="Times New Roman" w:cs="Times New Roman"/>
          <w:color w:val="FF0000"/>
          <w:sz w:val="24"/>
          <w:szCs w:val="24"/>
        </w:rPr>
      </w:pPr>
    </w:p>
    <w:p w14:paraId="2B14B17B" w14:textId="77777777" w:rsidR="001B74F4" w:rsidRPr="001B74F4" w:rsidRDefault="001B74F4">
      <w:pPr>
        <w:spacing w:line="240" w:lineRule="auto"/>
        <w:rPr>
          <w:rFonts w:ascii="Times New Roman" w:hAnsi="Times New Roman" w:cs="Times New Roman"/>
          <w:color w:val="FF0000"/>
          <w:sz w:val="24"/>
          <w:szCs w:val="24"/>
        </w:rPr>
      </w:pPr>
    </w:p>
    <w:p w14:paraId="53E998AB" w14:textId="77777777" w:rsidR="001B74F4" w:rsidRPr="001B74F4" w:rsidRDefault="001B74F4">
      <w:pPr>
        <w:spacing w:line="240" w:lineRule="auto"/>
        <w:rPr>
          <w:rFonts w:ascii="Times New Roman" w:hAnsi="Times New Roman" w:cs="Times New Roman"/>
          <w:color w:val="FF0000"/>
          <w:sz w:val="24"/>
          <w:szCs w:val="24"/>
        </w:rPr>
      </w:pPr>
    </w:p>
    <w:p w14:paraId="4392C1EC" w14:textId="77777777" w:rsidR="001B74F4" w:rsidRPr="001B74F4" w:rsidRDefault="001B74F4">
      <w:pPr>
        <w:spacing w:line="240" w:lineRule="auto"/>
        <w:rPr>
          <w:rFonts w:ascii="Times New Roman" w:hAnsi="Times New Roman" w:cs="Times New Roman"/>
          <w:color w:val="FF0000"/>
          <w:sz w:val="24"/>
          <w:szCs w:val="24"/>
        </w:rPr>
      </w:pPr>
    </w:p>
    <w:p w14:paraId="7026407D" w14:textId="77777777" w:rsidR="001B74F4" w:rsidRPr="001B74F4" w:rsidRDefault="001B74F4">
      <w:pPr>
        <w:spacing w:line="240" w:lineRule="auto"/>
        <w:rPr>
          <w:rFonts w:ascii="Times New Roman" w:hAnsi="Times New Roman" w:cs="Times New Roman"/>
          <w:color w:val="FF0000"/>
          <w:sz w:val="24"/>
          <w:szCs w:val="24"/>
        </w:rPr>
      </w:pPr>
    </w:p>
    <w:p w14:paraId="0684FFBD" w14:textId="77777777" w:rsidR="001B74F4" w:rsidRPr="001B74F4" w:rsidRDefault="001B74F4">
      <w:pPr>
        <w:spacing w:line="240" w:lineRule="auto"/>
        <w:rPr>
          <w:rFonts w:ascii="Times New Roman" w:hAnsi="Times New Roman" w:cs="Times New Roman"/>
          <w:color w:val="FF0000"/>
          <w:sz w:val="24"/>
          <w:szCs w:val="24"/>
        </w:rPr>
      </w:pPr>
    </w:p>
    <w:p w14:paraId="3753A0BF" w14:textId="77777777" w:rsidR="001B74F4" w:rsidRPr="001B74F4" w:rsidRDefault="001B74F4">
      <w:pPr>
        <w:spacing w:line="240" w:lineRule="auto"/>
        <w:rPr>
          <w:rFonts w:ascii="Times New Roman" w:hAnsi="Times New Roman" w:cs="Times New Roman"/>
          <w:color w:val="FF0000"/>
          <w:sz w:val="24"/>
          <w:szCs w:val="24"/>
        </w:rPr>
      </w:pPr>
    </w:p>
    <w:p w14:paraId="1E4A83E0" w14:textId="77777777" w:rsidR="001B74F4" w:rsidRPr="001B74F4" w:rsidRDefault="001B74F4">
      <w:pPr>
        <w:spacing w:line="240" w:lineRule="auto"/>
        <w:rPr>
          <w:rFonts w:ascii="Times New Roman" w:hAnsi="Times New Roman" w:cs="Times New Roman"/>
          <w:color w:val="FF0000"/>
          <w:sz w:val="24"/>
          <w:szCs w:val="24"/>
        </w:rPr>
      </w:pPr>
    </w:p>
    <w:p w14:paraId="2BB1DC9A" w14:textId="77777777" w:rsidR="001B74F4" w:rsidRPr="001B74F4" w:rsidRDefault="001B74F4">
      <w:pPr>
        <w:spacing w:line="240" w:lineRule="auto"/>
        <w:rPr>
          <w:rFonts w:ascii="Times New Roman" w:hAnsi="Times New Roman" w:cs="Times New Roman"/>
          <w:color w:val="FF0000"/>
          <w:sz w:val="24"/>
          <w:szCs w:val="24"/>
        </w:rPr>
      </w:pPr>
    </w:p>
    <w:p w14:paraId="6168CA92" w14:textId="77777777" w:rsidR="001B74F4" w:rsidRPr="001B74F4" w:rsidRDefault="001B74F4">
      <w:pPr>
        <w:spacing w:line="240" w:lineRule="auto"/>
        <w:rPr>
          <w:rFonts w:ascii="Times New Roman" w:hAnsi="Times New Roman" w:cs="Times New Roman"/>
          <w:color w:val="FF0000"/>
          <w:sz w:val="24"/>
          <w:szCs w:val="24"/>
        </w:rPr>
      </w:pPr>
    </w:p>
    <w:p w14:paraId="0C303FF3" w14:textId="77777777" w:rsidR="0011660C" w:rsidRPr="001B74F4" w:rsidRDefault="0051747F">
      <w:pPr>
        <w:pStyle w:val="Heading3"/>
        <w:spacing w:after="160" w:afterAutospacing="0"/>
        <w:jc w:val="both"/>
        <w:rPr>
          <w:rStyle w:val="Strong"/>
          <w:b/>
          <w:sz w:val="24"/>
          <w:szCs w:val="24"/>
        </w:rPr>
      </w:pPr>
      <w:r w:rsidRPr="001B74F4">
        <w:rPr>
          <w:rStyle w:val="Strong"/>
          <w:b/>
          <w:sz w:val="24"/>
          <w:szCs w:val="24"/>
        </w:rPr>
        <w:t xml:space="preserve">3.0 </w:t>
      </w:r>
      <w:commentRangeStart w:id="13"/>
      <w:r w:rsidRPr="001B74F4">
        <w:rPr>
          <w:rStyle w:val="Strong"/>
          <w:b/>
          <w:sz w:val="24"/>
          <w:szCs w:val="24"/>
        </w:rPr>
        <w:t>DATA</w:t>
      </w:r>
      <w:r w:rsidR="00FF5F6B" w:rsidRPr="001B74F4">
        <w:rPr>
          <w:rStyle w:val="Strong"/>
          <w:b/>
          <w:sz w:val="24"/>
          <w:szCs w:val="24"/>
        </w:rPr>
        <w:t xml:space="preserve"> ANALYSIS AND RESULTS </w:t>
      </w:r>
      <w:commentRangeEnd w:id="13"/>
      <w:r w:rsidR="00FC0B47">
        <w:rPr>
          <w:rStyle w:val="CommentReference"/>
          <w:rFonts w:asciiTheme="minorHAnsi" w:eastAsiaTheme="minorHAnsi" w:hAnsiTheme="minorHAnsi" w:cstheme="minorBidi"/>
          <w:b w:val="0"/>
          <w:bCs w:val="0"/>
        </w:rPr>
        <w:commentReference w:id="13"/>
      </w:r>
    </w:p>
    <w:p w14:paraId="3211F8E3" w14:textId="77777777" w:rsidR="0011660C" w:rsidRPr="001B74F4" w:rsidRDefault="007E3194">
      <w:pPr>
        <w:pStyle w:val="Heading3"/>
        <w:spacing w:after="160" w:afterAutospacing="0"/>
        <w:rPr>
          <w:b w:val="0"/>
          <w:sz w:val="24"/>
          <w:szCs w:val="24"/>
        </w:rPr>
      </w:pPr>
      <w:r w:rsidRPr="001B74F4">
        <w:rPr>
          <w:rStyle w:val="Strong"/>
          <w:b/>
          <w:sz w:val="24"/>
          <w:szCs w:val="24"/>
        </w:rPr>
        <w:t xml:space="preserve">3.1 </w:t>
      </w:r>
      <w:r w:rsidR="00FF5F6B" w:rsidRPr="001B74F4">
        <w:rPr>
          <w:rStyle w:val="Strong"/>
          <w:b/>
          <w:sz w:val="24"/>
          <w:szCs w:val="24"/>
        </w:rPr>
        <w:t>Descriptive Analysis of Participants’ Age</w:t>
      </w:r>
    </w:p>
    <w:p w14:paraId="7685EB5D" w14:textId="77777777" w:rsidR="0011660C" w:rsidRPr="001B74F4" w:rsidRDefault="00FF5F6B">
      <w:pPr>
        <w:pStyle w:val="NormalWeb"/>
        <w:spacing w:after="160" w:afterAutospacing="0"/>
      </w:pPr>
      <w:r w:rsidRPr="001B74F4">
        <w:t>A total of 224 participants took part in the study, and their ages were examined to understand the sample's demographic profile. The participants' ages ranged from 18 to 45 years, with an average age of 31.53 years. This indicates that the typical participant was a young adult in their early thirties.</w:t>
      </w:r>
    </w:p>
    <w:p w14:paraId="0AA332E5" w14:textId="77777777" w:rsidR="0011660C" w:rsidRPr="001B74F4" w:rsidRDefault="00FF5F6B">
      <w:pPr>
        <w:pStyle w:val="NormalWeb"/>
        <w:spacing w:after="160" w:afterAutospacing="0"/>
      </w:pPr>
      <w:r w:rsidRPr="001B74F4">
        <w:lastRenderedPageBreak/>
        <w:t xml:space="preserve">The </w:t>
      </w:r>
      <w:r w:rsidRPr="001B74F4">
        <w:rPr>
          <w:rStyle w:val="Strong"/>
        </w:rPr>
        <w:t>standard deviation</w:t>
      </w:r>
      <w:r w:rsidRPr="001B74F4">
        <w:rPr>
          <w:b/>
        </w:rPr>
        <w:t xml:space="preserve"> </w:t>
      </w:r>
      <w:r w:rsidRPr="001B74F4">
        <w:t xml:space="preserve">was </w:t>
      </w:r>
      <w:r w:rsidRPr="001B74F4">
        <w:rPr>
          <w:rStyle w:val="Strong"/>
        </w:rPr>
        <w:t>6.696</w:t>
      </w:r>
      <w:r w:rsidRPr="001B74F4">
        <w:t xml:space="preserve">, indicating </w:t>
      </w:r>
      <w:r w:rsidRPr="001B74F4">
        <w:rPr>
          <w:b/>
        </w:rPr>
        <w:t xml:space="preserve">a </w:t>
      </w:r>
      <w:r w:rsidRPr="001B74F4">
        <w:rPr>
          <w:rStyle w:val="Strong"/>
        </w:rPr>
        <w:t>moderate level of variability</w:t>
      </w:r>
      <w:r w:rsidRPr="001B74F4">
        <w:t xml:space="preserve"> in participants' ages. Most of the participants' ages were within approximately </w:t>
      </w:r>
      <w:r w:rsidRPr="001B74F4">
        <w:rPr>
          <w:rStyle w:val="Strong"/>
        </w:rPr>
        <w:t>±6.7 years</w:t>
      </w:r>
      <w:r w:rsidRPr="001B74F4">
        <w:t xml:space="preserve"> of the mean, implying that the majority were between </w:t>
      </w:r>
      <w:r w:rsidRPr="001B74F4">
        <w:rPr>
          <w:rStyle w:val="Strong"/>
        </w:rPr>
        <w:t>approximately 25 and 38 years old</w:t>
      </w:r>
      <w:r w:rsidRPr="001B74F4">
        <w:rPr>
          <w:b/>
        </w:rPr>
        <w:t>.</w:t>
      </w:r>
      <w:r w:rsidRPr="001B74F4">
        <w:t xml:space="preserve"> The </w:t>
      </w:r>
      <w:r w:rsidRPr="001B74F4">
        <w:rPr>
          <w:rStyle w:val="Strong"/>
        </w:rPr>
        <w:t>variance</w:t>
      </w:r>
      <w:r w:rsidRPr="001B74F4">
        <w:t xml:space="preserve">, which represents the spread of the age data, was calculated as </w:t>
      </w:r>
      <w:r w:rsidRPr="001B74F4">
        <w:rPr>
          <w:rStyle w:val="Strong"/>
        </w:rPr>
        <w:t>44.833</w:t>
      </w:r>
      <w:r w:rsidRPr="001B74F4">
        <w:t>.</w:t>
      </w:r>
    </w:p>
    <w:p w14:paraId="31E42215" w14:textId="77777777" w:rsidR="0011660C" w:rsidRPr="001B74F4" w:rsidRDefault="00FF5F6B">
      <w:pPr>
        <w:pStyle w:val="NormalWeb"/>
        <w:spacing w:after="160" w:afterAutospacing="0"/>
      </w:pPr>
      <w:r w:rsidRPr="001B74F4">
        <w:t xml:space="preserve">The </w:t>
      </w:r>
      <w:r w:rsidRPr="001B74F4">
        <w:rPr>
          <w:rStyle w:val="Strong"/>
        </w:rPr>
        <w:t>skewness value was -0.082</w:t>
      </w:r>
      <w:r w:rsidRPr="001B74F4">
        <w:t xml:space="preserve"> (standard error = 0.163), indicating a very slight negative skew. However, this value is close to zero, suggesting that the age distribution was </w:t>
      </w:r>
      <w:r w:rsidRPr="001B74F4">
        <w:rPr>
          <w:rStyle w:val="Strong"/>
        </w:rPr>
        <w:t>approximately symmetrical</w:t>
      </w:r>
      <w:r w:rsidRPr="001B74F4">
        <w:t xml:space="preserve">. Likewise, the </w:t>
      </w:r>
      <w:r w:rsidRPr="001B74F4">
        <w:rPr>
          <w:rStyle w:val="Strong"/>
        </w:rPr>
        <w:t>kurtosis value was -0.152</w:t>
      </w:r>
      <w:r w:rsidRPr="001B74F4">
        <w:t xml:space="preserve"> (standard error = 0.324), suggesting a </w:t>
      </w:r>
      <w:r w:rsidRPr="001B74F4">
        <w:rPr>
          <w:rStyle w:val="Strong"/>
        </w:rPr>
        <w:t>slightly platykurtic distribution</w:t>
      </w:r>
      <w:r w:rsidRPr="001B74F4">
        <w:t xml:space="preserve">, meaning the distribution is slightly flatter than a normal curve. However, like skewness, the kurtosis value is also very close to zero, reinforcing that the age data was </w:t>
      </w:r>
      <w:r w:rsidRPr="001B74F4">
        <w:rPr>
          <w:rStyle w:val="Strong"/>
        </w:rPr>
        <w:t>approximately normally distributed</w:t>
      </w:r>
      <w:r w:rsidRPr="001B74F4">
        <w:t>.</w:t>
      </w:r>
    </w:p>
    <w:p w14:paraId="17FC3D86" w14:textId="77777777" w:rsidR="00C81A53" w:rsidRPr="001B74F4" w:rsidRDefault="00C81A53">
      <w:pPr>
        <w:pStyle w:val="Heading3"/>
        <w:spacing w:after="160" w:afterAutospacing="0"/>
        <w:rPr>
          <w:rStyle w:val="Strong"/>
          <w:sz w:val="24"/>
          <w:szCs w:val="24"/>
        </w:rPr>
      </w:pPr>
    </w:p>
    <w:p w14:paraId="42D0F281" w14:textId="77777777" w:rsidR="00C81A53" w:rsidRPr="001B74F4" w:rsidRDefault="00C81A53">
      <w:pPr>
        <w:pStyle w:val="Heading3"/>
        <w:spacing w:after="160" w:afterAutospacing="0"/>
        <w:rPr>
          <w:rStyle w:val="Strong"/>
          <w:sz w:val="24"/>
          <w:szCs w:val="24"/>
        </w:rPr>
      </w:pPr>
    </w:p>
    <w:p w14:paraId="64F41AE0" w14:textId="77777777" w:rsidR="0011660C" w:rsidRPr="001B74F4" w:rsidRDefault="00FF5F6B">
      <w:pPr>
        <w:pStyle w:val="Heading3"/>
        <w:spacing w:after="160" w:afterAutospacing="0"/>
        <w:rPr>
          <w:sz w:val="24"/>
          <w:szCs w:val="24"/>
        </w:rPr>
      </w:pPr>
      <w:r w:rsidRPr="001B74F4">
        <w:rPr>
          <w:rStyle w:val="Strong"/>
          <w:sz w:val="24"/>
          <w:szCs w:val="24"/>
        </w:rPr>
        <w:t>Table</w:t>
      </w:r>
      <w:r w:rsidR="009C5EF8" w:rsidRPr="001B74F4">
        <w:rPr>
          <w:rStyle w:val="Strong"/>
          <w:sz w:val="24"/>
          <w:szCs w:val="24"/>
        </w:rPr>
        <w:t>: 1 Descriptive</w:t>
      </w:r>
      <w:r w:rsidRPr="001B74F4">
        <w:rPr>
          <w:rStyle w:val="Strong"/>
          <w:sz w:val="24"/>
          <w:szCs w:val="24"/>
        </w:rPr>
        <w:t xml:space="preserve"> Statistics for 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0"/>
        <w:gridCol w:w="2079"/>
      </w:tblGrid>
      <w:tr w:rsidR="0011660C" w:rsidRPr="001B74F4" w14:paraId="2E3F6CFF" w14:textId="77777777">
        <w:trPr>
          <w:tblHeader/>
          <w:tblCellSpacing w:w="15" w:type="dxa"/>
        </w:trPr>
        <w:tc>
          <w:tcPr>
            <w:tcW w:w="3465" w:type="dxa"/>
            <w:tcBorders>
              <w:top w:val="single" w:sz="4" w:space="0" w:color="auto"/>
              <w:bottom w:val="single" w:sz="4" w:space="0" w:color="auto"/>
            </w:tcBorders>
            <w:vAlign w:val="center"/>
          </w:tcPr>
          <w:p w14:paraId="03B7DF51"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Statistic</w:t>
            </w:r>
          </w:p>
        </w:tc>
        <w:tc>
          <w:tcPr>
            <w:tcW w:w="2034" w:type="dxa"/>
            <w:tcBorders>
              <w:top w:val="single" w:sz="4" w:space="0" w:color="auto"/>
              <w:bottom w:val="single" w:sz="4" w:space="0" w:color="auto"/>
            </w:tcBorders>
            <w:vAlign w:val="center"/>
          </w:tcPr>
          <w:p w14:paraId="3FFED508" w14:textId="77777777" w:rsidR="0011660C" w:rsidRPr="001B74F4" w:rsidRDefault="00FF5F6B">
            <w:pPr>
              <w:spacing w:line="240" w:lineRule="auto"/>
              <w:jc w:val="center"/>
              <w:rPr>
                <w:rFonts w:ascii="Times New Roman" w:hAnsi="Times New Roman" w:cs="Times New Roman"/>
                <w:b/>
                <w:bCs/>
                <w:sz w:val="24"/>
                <w:szCs w:val="24"/>
              </w:rPr>
            </w:pPr>
            <w:r w:rsidRPr="001B74F4">
              <w:rPr>
                <w:rFonts w:ascii="Times New Roman" w:hAnsi="Times New Roman" w:cs="Times New Roman"/>
                <w:b/>
                <w:bCs/>
                <w:sz w:val="24"/>
                <w:szCs w:val="24"/>
              </w:rPr>
              <w:t>Value</w:t>
            </w:r>
          </w:p>
        </w:tc>
      </w:tr>
      <w:tr w:rsidR="0011660C" w:rsidRPr="001B74F4" w14:paraId="1299764E" w14:textId="77777777">
        <w:trPr>
          <w:tblCellSpacing w:w="15" w:type="dxa"/>
        </w:trPr>
        <w:tc>
          <w:tcPr>
            <w:tcW w:w="3465" w:type="dxa"/>
            <w:vAlign w:val="center"/>
          </w:tcPr>
          <w:p w14:paraId="52454B5A"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N (Valid)</w:t>
            </w:r>
          </w:p>
        </w:tc>
        <w:tc>
          <w:tcPr>
            <w:tcW w:w="2034" w:type="dxa"/>
            <w:vAlign w:val="center"/>
          </w:tcPr>
          <w:p w14:paraId="476897EF"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224</w:t>
            </w:r>
          </w:p>
        </w:tc>
      </w:tr>
      <w:tr w:rsidR="0011660C" w:rsidRPr="001B74F4" w14:paraId="229B6E5B" w14:textId="77777777">
        <w:trPr>
          <w:tblCellSpacing w:w="15" w:type="dxa"/>
        </w:trPr>
        <w:tc>
          <w:tcPr>
            <w:tcW w:w="3465" w:type="dxa"/>
            <w:vAlign w:val="center"/>
          </w:tcPr>
          <w:p w14:paraId="245C56F2"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Minimum Age</w:t>
            </w:r>
          </w:p>
        </w:tc>
        <w:tc>
          <w:tcPr>
            <w:tcW w:w="2034" w:type="dxa"/>
            <w:vAlign w:val="center"/>
          </w:tcPr>
          <w:p w14:paraId="058035C5"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18</w:t>
            </w:r>
          </w:p>
        </w:tc>
      </w:tr>
      <w:tr w:rsidR="0011660C" w:rsidRPr="001B74F4" w14:paraId="131F5630" w14:textId="77777777">
        <w:trPr>
          <w:tblCellSpacing w:w="15" w:type="dxa"/>
        </w:trPr>
        <w:tc>
          <w:tcPr>
            <w:tcW w:w="3465" w:type="dxa"/>
            <w:vAlign w:val="center"/>
          </w:tcPr>
          <w:p w14:paraId="3FE55DD8"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Maximum Age</w:t>
            </w:r>
          </w:p>
        </w:tc>
        <w:tc>
          <w:tcPr>
            <w:tcW w:w="2034" w:type="dxa"/>
            <w:vAlign w:val="center"/>
          </w:tcPr>
          <w:p w14:paraId="5D4DF791"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45</w:t>
            </w:r>
          </w:p>
        </w:tc>
      </w:tr>
      <w:tr w:rsidR="0011660C" w:rsidRPr="001B74F4" w14:paraId="0B3CCB3A" w14:textId="77777777">
        <w:trPr>
          <w:tblCellSpacing w:w="15" w:type="dxa"/>
        </w:trPr>
        <w:tc>
          <w:tcPr>
            <w:tcW w:w="3465" w:type="dxa"/>
            <w:vAlign w:val="center"/>
          </w:tcPr>
          <w:p w14:paraId="343A211E"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Mean Age</w:t>
            </w:r>
          </w:p>
        </w:tc>
        <w:tc>
          <w:tcPr>
            <w:tcW w:w="2034" w:type="dxa"/>
            <w:vAlign w:val="center"/>
          </w:tcPr>
          <w:p w14:paraId="35153FC9"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31.53</w:t>
            </w:r>
          </w:p>
        </w:tc>
      </w:tr>
      <w:tr w:rsidR="0011660C" w:rsidRPr="001B74F4" w14:paraId="4447D9E2" w14:textId="77777777">
        <w:trPr>
          <w:tblCellSpacing w:w="15" w:type="dxa"/>
        </w:trPr>
        <w:tc>
          <w:tcPr>
            <w:tcW w:w="3465" w:type="dxa"/>
            <w:vAlign w:val="center"/>
          </w:tcPr>
          <w:p w14:paraId="364D354E"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Standard Deviation</w:t>
            </w:r>
          </w:p>
        </w:tc>
        <w:tc>
          <w:tcPr>
            <w:tcW w:w="2034" w:type="dxa"/>
            <w:vAlign w:val="center"/>
          </w:tcPr>
          <w:p w14:paraId="4B02C4E1"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6.696</w:t>
            </w:r>
          </w:p>
        </w:tc>
      </w:tr>
      <w:tr w:rsidR="0011660C" w:rsidRPr="001B74F4" w14:paraId="04B49E72" w14:textId="77777777">
        <w:trPr>
          <w:tblCellSpacing w:w="15" w:type="dxa"/>
        </w:trPr>
        <w:tc>
          <w:tcPr>
            <w:tcW w:w="3465" w:type="dxa"/>
            <w:vAlign w:val="center"/>
          </w:tcPr>
          <w:p w14:paraId="137E8D65"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Variance</w:t>
            </w:r>
          </w:p>
        </w:tc>
        <w:tc>
          <w:tcPr>
            <w:tcW w:w="2034" w:type="dxa"/>
            <w:vAlign w:val="center"/>
          </w:tcPr>
          <w:p w14:paraId="79030A72"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44.833</w:t>
            </w:r>
          </w:p>
        </w:tc>
      </w:tr>
      <w:tr w:rsidR="0011660C" w:rsidRPr="001B74F4" w14:paraId="767F6772" w14:textId="77777777">
        <w:trPr>
          <w:tblCellSpacing w:w="15" w:type="dxa"/>
        </w:trPr>
        <w:tc>
          <w:tcPr>
            <w:tcW w:w="3465" w:type="dxa"/>
            <w:vAlign w:val="center"/>
          </w:tcPr>
          <w:p w14:paraId="202F259A"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Skewness</w:t>
            </w:r>
          </w:p>
        </w:tc>
        <w:tc>
          <w:tcPr>
            <w:tcW w:w="2034" w:type="dxa"/>
            <w:vAlign w:val="center"/>
          </w:tcPr>
          <w:p w14:paraId="4BC24289"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-0.082</w:t>
            </w:r>
          </w:p>
        </w:tc>
      </w:tr>
      <w:tr w:rsidR="0011660C" w:rsidRPr="001B74F4" w14:paraId="00E965B0" w14:textId="77777777">
        <w:trPr>
          <w:tblCellSpacing w:w="15" w:type="dxa"/>
        </w:trPr>
        <w:tc>
          <w:tcPr>
            <w:tcW w:w="3465" w:type="dxa"/>
            <w:vAlign w:val="center"/>
          </w:tcPr>
          <w:p w14:paraId="10B06CEA"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Skewness Std. Error</w:t>
            </w:r>
          </w:p>
        </w:tc>
        <w:tc>
          <w:tcPr>
            <w:tcW w:w="2034" w:type="dxa"/>
            <w:vAlign w:val="center"/>
          </w:tcPr>
          <w:p w14:paraId="5B4F0115"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0.163</w:t>
            </w:r>
          </w:p>
        </w:tc>
      </w:tr>
      <w:tr w:rsidR="0011660C" w:rsidRPr="001B74F4" w14:paraId="178C5E63" w14:textId="77777777">
        <w:trPr>
          <w:tblCellSpacing w:w="15" w:type="dxa"/>
        </w:trPr>
        <w:tc>
          <w:tcPr>
            <w:tcW w:w="3465" w:type="dxa"/>
            <w:vAlign w:val="center"/>
          </w:tcPr>
          <w:p w14:paraId="14EEC95D"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Kurtosis</w:t>
            </w:r>
          </w:p>
        </w:tc>
        <w:tc>
          <w:tcPr>
            <w:tcW w:w="2034" w:type="dxa"/>
            <w:vAlign w:val="center"/>
          </w:tcPr>
          <w:p w14:paraId="27AF9FA6"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-0.152</w:t>
            </w:r>
          </w:p>
        </w:tc>
      </w:tr>
      <w:tr w:rsidR="0011660C" w:rsidRPr="001B74F4" w14:paraId="6550FA33" w14:textId="77777777">
        <w:trPr>
          <w:tblCellSpacing w:w="15" w:type="dxa"/>
        </w:trPr>
        <w:tc>
          <w:tcPr>
            <w:tcW w:w="3465" w:type="dxa"/>
            <w:vAlign w:val="center"/>
          </w:tcPr>
          <w:p w14:paraId="7F0DCB33"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Kurtosis Std. Error</w:t>
            </w:r>
          </w:p>
        </w:tc>
        <w:tc>
          <w:tcPr>
            <w:tcW w:w="2034" w:type="dxa"/>
            <w:vAlign w:val="center"/>
          </w:tcPr>
          <w:p w14:paraId="4F3953CF"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0.324</w:t>
            </w:r>
          </w:p>
        </w:tc>
      </w:tr>
    </w:tbl>
    <w:p w14:paraId="6E9B53BC" w14:textId="77777777" w:rsidR="0011660C" w:rsidRDefault="0011660C">
      <w:pPr>
        <w:spacing w:line="240" w:lineRule="auto"/>
        <w:rPr>
          <w:rFonts w:ascii="Times New Roman" w:hAnsi="Times New Roman" w:cs="Times New Roman"/>
          <w:sz w:val="24"/>
          <w:szCs w:val="24"/>
        </w:rPr>
      </w:pPr>
    </w:p>
    <w:p w14:paraId="57E85200" w14:textId="77777777" w:rsidR="002F3011" w:rsidRPr="002F3011" w:rsidRDefault="002F3011" w:rsidP="002F3011">
      <w:pPr>
        <w:jc w:val="both"/>
        <w:rPr>
          <w:rFonts w:ascii="Times New Roman" w:eastAsia="Calibri" w:hAnsi="Times New Roman" w:cs="Times New Roman"/>
          <w:b/>
          <w:bCs/>
          <w:sz w:val="24"/>
          <w:szCs w:val="24"/>
        </w:rPr>
      </w:pPr>
      <w:r w:rsidRPr="002F3011">
        <w:rPr>
          <w:rFonts w:ascii="Times New Roman" w:eastAsia="Calibri" w:hAnsi="Times New Roman" w:cs="Times New Roman"/>
          <w:b/>
          <w:bCs/>
          <w:sz w:val="24"/>
          <w:szCs w:val="24"/>
        </w:rPr>
        <w:t>Correlational Analysis</w:t>
      </w:r>
      <w:r>
        <w:rPr>
          <w:rFonts w:ascii="Times New Roman" w:eastAsia="Calibri" w:hAnsi="Times New Roman" w:cs="Times New Roman"/>
          <w:b/>
          <w:bCs/>
          <w:sz w:val="24"/>
          <w:szCs w:val="24"/>
        </w:rPr>
        <w:t xml:space="preserve"> among the demographics of </w:t>
      </w:r>
      <w:r w:rsidRPr="001B74F4">
        <w:rPr>
          <w:rStyle w:val="Strong"/>
          <w:sz w:val="24"/>
          <w:szCs w:val="24"/>
        </w:rPr>
        <w:t>Participants</w:t>
      </w:r>
      <w:r>
        <w:rPr>
          <w:rStyle w:val="Strong"/>
          <w:sz w:val="24"/>
          <w:szCs w:val="24"/>
        </w:rPr>
        <w:t xml:space="preserve"> and key Variables.</w:t>
      </w:r>
    </w:p>
    <w:p w14:paraId="069EA9D6"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b/>
          <w:bCs/>
          <w:sz w:val="24"/>
          <w:szCs w:val="24"/>
        </w:rPr>
        <w:t>Table</w:t>
      </w:r>
      <w:r>
        <w:rPr>
          <w:rFonts w:ascii="Times New Roman" w:eastAsia="Times New Roman" w:hAnsi="Times New Roman" w:cs="Times New Roman"/>
          <w:b/>
          <w:bCs/>
          <w:sz w:val="24"/>
          <w:szCs w:val="24"/>
        </w:rPr>
        <w:t xml:space="preserve"> 2:</w:t>
      </w:r>
      <w:r w:rsidRPr="002F3011">
        <w:rPr>
          <w:rFonts w:ascii="Times New Roman" w:eastAsia="Times New Roman" w:hAnsi="Times New Roman" w:cs="Times New Roman"/>
          <w:b/>
          <w:bCs/>
          <w:sz w:val="24"/>
          <w:szCs w:val="24"/>
        </w:rPr>
        <w:t xml:space="preserve"> Pearson Correlations among Key Variables (N = 224)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0"/>
        <w:gridCol w:w="835"/>
        <w:gridCol w:w="835"/>
        <w:gridCol w:w="835"/>
        <w:gridCol w:w="720"/>
        <w:gridCol w:w="835"/>
        <w:gridCol w:w="835"/>
        <w:gridCol w:w="315"/>
      </w:tblGrid>
      <w:tr w:rsidR="002F3011" w:rsidRPr="002F3011" w14:paraId="20A18319" w14:textId="77777777" w:rsidTr="004963C2">
        <w:trPr>
          <w:tblHeader/>
          <w:tblCellSpacing w:w="15" w:type="dxa"/>
        </w:trPr>
        <w:tc>
          <w:tcPr>
            <w:tcW w:w="0" w:type="auto"/>
            <w:tcBorders>
              <w:top w:val="single" w:sz="4" w:space="0" w:color="auto"/>
              <w:bottom w:val="single" w:sz="4" w:space="0" w:color="auto"/>
            </w:tcBorders>
            <w:vAlign w:val="center"/>
            <w:hideMark/>
          </w:tcPr>
          <w:p w14:paraId="0FE6366F"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Variables</w:t>
            </w:r>
          </w:p>
        </w:tc>
        <w:tc>
          <w:tcPr>
            <w:tcW w:w="0" w:type="auto"/>
            <w:tcBorders>
              <w:top w:val="single" w:sz="4" w:space="0" w:color="auto"/>
              <w:bottom w:val="single" w:sz="4" w:space="0" w:color="auto"/>
            </w:tcBorders>
            <w:vAlign w:val="center"/>
            <w:hideMark/>
          </w:tcPr>
          <w:p w14:paraId="0DC302F0"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1</w:t>
            </w:r>
          </w:p>
        </w:tc>
        <w:tc>
          <w:tcPr>
            <w:tcW w:w="0" w:type="auto"/>
            <w:tcBorders>
              <w:top w:val="single" w:sz="4" w:space="0" w:color="auto"/>
              <w:bottom w:val="single" w:sz="4" w:space="0" w:color="auto"/>
            </w:tcBorders>
            <w:vAlign w:val="center"/>
            <w:hideMark/>
          </w:tcPr>
          <w:p w14:paraId="0D547706"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2</w:t>
            </w:r>
          </w:p>
        </w:tc>
        <w:tc>
          <w:tcPr>
            <w:tcW w:w="0" w:type="auto"/>
            <w:tcBorders>
              <w:top w:val="single" w:sz="4" w:space="0" w:color="auto"/>
              <w:bottom w:val="single" w:sz="4" w:space="0" w:color="auto"/>
            </w:tcBorders>
            <w:vAlign w:val="center"/>
            <w:hideMark/>
          </w:tcPr>
          <w:p w14:paraId="7C66DFBE"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3</w:t>
            </w:r>
          </w:p>
        </w:tc>
        <w:tc>
          <w:tcPr>
            <w:tcW w:w="0" w:type="auto"/>
            <w:tcBorders>
              <w:top w:val="single" w:sz="4" w:space="0" w:color="auto"/>
              <w:bottom w:val="single" w:sz="4" w:space="0" w:color="auto"/>
            </w:tcBorders>
            <w:vAlign w:val="center"/>
            <w:hideMark/>
          </w:tcPr>
          <w:p w14:paraId="11A26F91"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4</w:t>
            </w:r>
          </w:p>
        </w:tc>
        <w:tc>
          <w:tcPr>
            <w:tcW w:w="0" w:type="auto"/>
            <w:tcBorders>
              <w:top w:val="single" w:sz="4" w:space="0" w:color="auto"/>
              <w:bottom w:val="single" w:sz="4" w:space="0" w:color="auto"/>
            </w:tcBorders>
            <w:vAlign w:val="center"/>
            <w:hideMark/>
          </w:tcPr>
          <w:p w14:paraId="1F9EC4C0"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5</w:t>
            </w:r>
          </w:p>
        </w:tc>
        <w:tc>
          <w:tcPr>
            <w:tcW w:w="0" w:type="auto"/>
            <w:tcBorders>
              <w:top w:val="single" w:sz="4" w:space="0" w:color="auto"/>
              <w:bottom w:val="single" w:sz="4" w:space="0" w:color="auto"/>
            </w:tcBorders>
            <w:vAlign w:val="center"/>
            <w:hideMark/>
          </w:tcPr>
          <w:p w14:paraId="28EEC0A2"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6</w:t>
            </w:r>
          </w:p>
        </w:tc>
        <w:tc>
          <w:tcPr>
            <w:tcW w:w="0" w:type="auto"/>
            <w:tcBorders>
              <w:top w:val="single" w:sz="4" w:space="0" w:color="auto"/>
              <w:bottom w:val="single" w:sz="4" w:space="0" w:color="auto"/>
            </w:tcBorders>
            <w:vAlign w:val="center"/>
            <w:hideMark/>
          </w:tcPr>
          <w:p w14:paraId="6A60DA3F"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7</w:t>
            </w:r>
          </w:p>
        </w:tc>
      </w:tr>
      <w:tr w:rsidR="002F3011" w:rsidRPr="002F3011" w14:paraId="770F531F" w14:textId="77777777" w:rsidTr="004963C2">
        <w:trPr>
          <w:tblCellSpacing w:w="15" w:type="dxa"/>
        </w:trPr>
        <w:tc>
          <w:tcPr>
            <w:tcW w:w="0" w:type="auto"/>
            <w:vAlign w:val="center"/>
            <w:hideMark/>
          </w:tcPr>
          <w:p w14:paraId="6F2F123F"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7BDBF59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406A9C9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55073ABB"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1164EFE7"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68542DD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006F3813"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45C6CF66"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7C1260D0" w14:textId="77777777" w:rsidTr="004963C2">
        <w:trPr>
          <w:tblCellSpacing w:w="15" w:type="dxa"/>
        </w:trPr>
        <w:tc>
          <w:tcPr>
            <w:tcW w:w="0" w:type="auto"/>
            <w:vAlign w:val="center"/>
            <w:hideMark/>
          </w:tcPr>
          <w:p w14:paraId="21F4B41D"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F3011">
              <w:rPr>
                <w:rFonts w:ascii="Times New Roman" w:eastAsia="Times New Roman" w:hAnsi="Times New Roman" w:cs="Times New Roman"/>
                <w:sz w:val="24"/>
                <w:szCs w:val="24"/>
              </w:rPr>
              <w:t>. Confidence level</w:t>
            </w:r>
          </w:p>
        </w:tc>
        <w:tc>
          <w:tcPr>
            <w:tcW w:w="0" w:type="auto"/>
            <w:vAlign w:val="center"/>
            <w:hideMark/>
          </w:tcPr>
          <w:p w14:paraId="43AE8D1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.71***</w:t>
            </w:r>
          </w:p>
        </w:tc>
        <w:tc>
          <w:tcPr>
            <w:tcW w:w="0" w:type="auto"/>
            <w:vAlign w:val="center"/>
            <w:hideMark/>
          </w:tcPr>
          <w:p w14:paraId="1A674296"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067233CF"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663A525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66756151"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4023437B"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23E0A478"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330D8A21" w14:textId="77777777" w:rsidTr="004963C2">
        <w:trPr>
          <w:tblCellSpacing w:w="15" w:type="dxa"/>
        </w:trPr>
        <w:tc>
          <w:tcPr>
            <w:tcW w:w="0" w:type="auto"/>
            <w:vAlign w:val="center"/>
            <w:hideMark/>
          </w:tcPr>
          <w:p w14:paraId="681907D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2F3011">
              <w:rPr>
                <w:rFonts w:ascii="Times New Roman" w:eastAsia="Times New Roman" w:hAnsi="Times New Roman" w:cs="Times New Roman"/>
                <w:sz w:val="24"/>
                <w:szCs w:val="24"/>
              </w:rPr>
              <w:t>. Participation in emergency drills</w:t>
            </w:r>
          </w:p>
        </w:tc>
        <w:tc>
          <w:tcPr>
            <w:tcW w:w="0" w:type="auto"/>
            <w:vAlign w:val="center"/>
            <w:hideMark/>
          </w:tcPr>
          <w:p w14:paraId="234FB6AD"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.47***</w:t>
            </w:r>
          </w:p>
        </w:tc>
        <w:tc>
          <w:tcPr>
            <w:tcW w:w="0" w:type="auto"/>
            <w:vAlign w:val="center"/>
            <w:hideMark/>
          </w:tcPr>
          <w:p w14:paraId="441FDB5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.41***</w:t>
            </w:r>
          </w:p>
        </w:tc>
        <w:tc>
          <w:tcPr>
            <w:tcW w:w="0" w:type="auto"/>
            <w:vAlign w:val="center"/>
            <w:hideMark/>
          </w:tcPr>
          <w:p w14:paraId="152DB5C7"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15A356BB"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364309B1"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44D7A943"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208540A4"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1BA9CE4E" w14:textId="77777777" w:rsidTr="004963C2">
        <w:trPr>
          <w:tblCellSpacing w:w="15" w:type="dxa"/>
        </w:trPr>
        <w:tc>
          <w:tcPr>
            <w:tcW w:w="0" w:type="auto"/>
            <w:vAlign w:val="center"/>
            <w:hideMark/>
          </w:tcPr>
          <w:p w14:paraId="2978D07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F3011">
              <w:rPr>
                <w:rFonts w:ascii="Times New Roman" w:eastAsia="Times New Roman" w:hAnsi="Times New Roman" w:cs="Times New Roman"/>
                <w:sz w:val="24"/>
                <w:szCs w:val="24"/>
              </w:rPr>
              <w:t>. Formal emergency training (past 2 years)</w:t>
            </w:r>
          </w:p>
        </w:tc>
        <w:tc>
          <w:tcPr>
            <w:tcW w:w="0" w:type="auto"/>
            <w:vAlign w:val="center"/>
            <w:hideMark/>
          </w:tcPr>
          <w:p w14:paraId="1AE1E263"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.35***</w:t>
            </w:r>
          </w:p>
        </w:tc>
        <w:tc>
          <w:tcPr>
            <w:tcW w:w="0" w:type="auto"/>
            <w:vAlign w:val="center"/>
            <w:hideMark/>
          </w:tcPr>
          <w:p w14:paraId="66B6A72F"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.48***</w:t>
            </w:r>
          </w:p>
        </w:tc>
        <w:tc>
          <w:tcPr>
            <w:tcW w:w="0" w:type="auto"/>
            <w:vAlign w:val="center"/>
            <w:hideMark/>
          </w:tcPr>
          <w:p w14:paraId="0838B143"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.07</w:t>
            </w:r>
          </w:p>
        </w:tc>
        <w:tc>
          <w:tcPr>
            <w:tcW w:w="0" w:type="auto"/>
            <w:vAlign w:val="center"/>
            <w:hideMark/>
          </w:tcPr>
          <w:p w14:paraId="01F4FC2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2E795EF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013C4568"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003F68F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038F074E" w14:textId="77777777" w:rsidTr="004963C2">
        <w:trPr>
          <w:tblCellSpacing w:w="15" w:type="dxa"/>
        </w:trPr>
        <w:tc>
          <w:tcPr>
            <w:tcW w:w="0" w:type="auto"/>
            <w:vAlign w:val="center"/>
            <w:hideMark/>
          </w:tcPr>
          <w:p w14:paraId="5C5C42C3"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F3011">
              <w:rPr>
                <w:rFonts w:ascii="Times New Roman" w:eastAsia="Times New Roman" w:hAnsi="Times New Roman" w:cs="Times New Roman"/>
                <w:sz w:val="24"/>
                <w:szCs w:val="24"/>
              </w:rPr>
              <w:t>. Frequency of emergency case exposure</w:t>
            </w:r>
          </w:p>
        </w:tc>
        <w:tc>
          <w:tcPr>
            <w:tcW w:w="0" w:type="auto"/>
            <w:vAlign w:val="center"/>
            <w:hideMark/>
          </w:tcPr>
          <w:p w14:paraId="5A7A1EA9"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–.52***</w:t>
            </w:r>
          </w:p>
        </w:tc>
        <w:tc>
          <w:tcPr>
            <w:tcW w:w="0" w:type="auto"/>
            <w:vAlign w:val="center"/>
            <w:hideMark/>
          </w:tcPr>
          <w:p w14:paraId="19F721D9"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–.34***</w:t>
            </w:r>
          </w:p>
        </w:tc>
        <w:tc>
          <w:tcPr>
            <w:tcW w:w="0" w:type="auto"/>
            <w:vAlign w:val="center"/>
            <w:hideMark/>
          </w:tcPr>
          <w:p w14:paraId="38DA3D40"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–.54***</w:t>
            </w:r>
          </w:p>
        </w:tc>
        <w:tc>
          <w:tcPr>
            <w:tcW w:w="0" w:type="auto"/>
            <w:vAlign w:val="center"/>
            <w:hideMark/>
          </w:tcPr>
          <w:p w14:paraId="276C9BAA"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–.03</w:t>
            </w:r>
          </w:p>
        </w:tc>
        <w:tc>
          <w:tcPr>
            <w:tcW w:w="0" w:type="auto"/>
            <w:vAlign w:val="center"/>
            <w:hideMark/>
          </w:tcPr>
          <w:p w14:paraId="0C9C9351"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6DCC33A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4DE5CA4F"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4F415A1E" w14:textId="77777777" w:rsidTr="004963C2">
        <w:trPr>
          <w:tblCellSpacing w:w="15" w:type="dxa"/>
        </w:trPr>
        <w:tc>
          <w:tcPr>
            <w:tcW w:w="0" w:type="auto"/>
            <w:vAlign w:val="center"/>
            <w:hideMark/>
          </w:tcPr>
          <w:p w14:paraId="2117DD3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F3011">
              <w:rPr>
                <w:rFonts w:ascii="Times New Roman" w:eastAsia="Times New Roman" w:hAnsi="Times New Roman" w:cs="Times New Roman"/>
                <w:sz w:val="24"/>
                <w:szCs w:val="24"/>
              </w:rPr>
              <w:t>. Educational level</w:t>
            </w:r>
          </w:p>
        </w:tc>
        <w:tc>
          <w:tcPr>
            <w:tcW w:w="0" w:type="auto"/>
            <w:vAlign w:val="center"/>
            <w:hideMark/>
          </w:tcPr>
          <w:p w14:paraId="2B8DF1A1"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.47***</w:t>
            </w:r>
          </w:p>
        </w:tc>
        <w:tc>
          <w:tcPr>
            <w:tcW w:w="0" w:type="auto"/>
            <w:vAlign w:val="center"/>
            <w:hideMark/>
          </w:tcPr>
          <w:p w14:paraId="7F7B69E0"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.19**</w:t>
            </w:r>
          </w:p>
        </w:tc>
        <w:tc>
          <w:tcPr>
            <w:tcW w:w="0" w:type="auto"/>
            <w:vAlign w:val="center"/>
            <w:hideMark/>
          </w:tcPr>
          <w:p w14:paraId="3C99C603"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.58***</w:t>
            </w:r>
          </w:p>
        </w:tc>
        <w:tc>
          <w:tcPr>
            <w:tcW w:w="0" w:type="auto"/>
            <w:vAlign w:val="center"/>
            <w:hideMark/>
          </w:tcPr>
          <w:p w14:paraId="724E42D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–.13</w:t>
            </w:r>
          </w:p>
        </w:tc>
        <w:tc>
          <w:tcPr>
            <w:tcW w:w="0" w:type="auto"/>
            <w:vAlign w:val="center"/>
            <w:hideMark/>
          </w:tcPr>
          <w:p w14:paraId="3F68406D"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–.46***</w:t>
            </w:r>
          </w:p>
        </w:tc>
        <w:tc>
          <w:tcPr>
            <w:tcW w:w="0" w:type="auto"/>
            <w:vAlign w:val="center"/>
            <w:hideMark/>
          </w:tcPr>
          <w:p w14:paraId="1D7C6027"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478187B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5687EA1D" w14:textId="77777777" w:rsidTr="004963C2">
        <w:trPr>
          <w:tblCellSpacing w:w="15" w:type="dxa"/>
        </w:trPr>
        <w:tc>
          <w:tcPr>
            <w:tcW w:w="0" w:type="auto"/>
            <w:vAlign w:val="center"/>
            <w:hideMark/>
          </w:tcPr>
          <w:p w14:paraId="192AFF6D"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F3011">
              <w:rPr>
                <w:rFonts w:ascii="Times New Roman" w:eastAsia="Times New Roman" w:hAnsi="Times New Roman" w:cs="Times New Roman"/>
                <w:sz w:val="24"/>
                <w:szCs w:val="24"/>
              </w:rPr>
              <w:t>. Confidence in assessing ABCs</w:t>
            </w:r>
          </w:p>
        </w:tc>
        <w:tc>
          <w:tcPr>
            <w:tcW w:w="0" w:type="auto"/>
            <w:vAlign w:val="center"/>
            <w:hideMark/>
          </w:tcPr>
          <w:p w14:paraId="2195B9DD"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.00</w:t>
            </w:r>
          </w:p>
        </w:tc>
        <w:tc>
          <w:tcPr>
            <w:tcW w:w="0" w:type="auto"/>
            <w:vAlign w:val="center"/>
            <w:hideMark/>
          </w:tcPr>
          <w:p w14:paraId="08080EC8"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.28***</w:t>
            </w:r>
          </w:p>
        </w:tc>
        <w:tc>
          <w:tcPr>
            <w:tcW w:w="0" w:type="auto"/>
            <w:vAlign w:val="center"/>
            <w:hideMark/>
          </w:tcPr>
          <w:p w14:paraId="382BCAAD"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.18**</w:t>
            </w:r>
          </w:p>
        </w:tc>
        <w:tc>
          <w:tcPr>
            <w:tcW w:w="0" w:type="auto"/>
            <w:vAlign w:val="center"/>
            <w:hideMark/>
          </w:tcPr>
          <w:p w14:paraId="030B1549"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.26***</w:t>
            </w:r>
          </w:p>
        </w:tc>
        <w:tc>
          <w:tcPr>
            <w:tcW w:w="0" w:type="auto"/>
            <w:vAlign w:val="center"/>
            <w:hideMark/>
          </w:tcPr>
          <w:p w14:paraId="5B3C3B1A"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–.11</w:t>
            </w:r>
          </w:p>
        </w:tc>
        <w:tc>
          <w:tcPr>
            <w:tcW w:w="0" w:type="auto"/>
            <w:vAlign w:val="center"/>
            <w:hideMark/>
          </w:tcPr>
          <w:p w14:paraId="30B44D6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–.32***</w:t>
            </w:r>
          </w:p>
        </w:tc>
        <w:tc>
          <w:tcPr>
            <w:tcW w:w="0" w:type="auto"/>
            <w:vAlign w:val="center"/>
            <w:hideMark/>
          </w:tcPr>
          <w:p w14:paraId="10097987"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r>
    </w:tbl>
    <w:p w14:paraId="372D2B9C"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b/>
          <w:bCs/>
          <w:sz w:val="24"/>
          <w:szCs w:val="24"/>
        </w:rPr>
        <w:t>Note</w:t>
      </w:r>
      <w:r w:rsidRPr="002F3011">
        <w:rPr>
          <w:rFonts w:ascii="Times New Roman" w:eastAsia="Times New Roman" w:hAnsi="Times New Roman" w:cs="Times New Roman"/>
          <w:sz w:val="24"/>
          <w:szCs w:val="24"/>
        </w:rPr>
        <w:t xml:space="preserve">: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.05*, </w:t>
      </w:r>
      <w:r w:rsidRPr="002F3011">
        <w:rPr>
          <w:rFonts w:ascii="Times New Roman" w:eastAsia="Times New Roman" w:hAnsi="Times New Roman" w:cs="Times New Roman"/>
          <w:b/>
          <w:bCs/>
          <w:sz w:val="24"/>
          <w:szCs w:val="24"/>
        </w:rPr>
        <w:t>p</w:t>
      </w:r>
      <w:r w:rsidRPr="002F3011">
        <w:rPr>
          <w:rFonts w:ascii="Times New Roman" w:eastAsia="Times New Roman" w:hAnsi="Times New Roman" w:cs="Times New Roman"/>
          <w:sz w:val="24"/>
          <w:szCs w:val="24"/>
        </w:rPr>
        <w:t xml:space="preserve"> &lt; .01**, </w:t>
      </w:r>
      <w:r w:rsidRPr="002F3011">
        <w:rPr>
          <w:rFonts w:ascii="Times New Roman" w:eastAsia="Times New Roman" w:hAnsi="Times New Roman" w:cs="Times New Roman"/>
          <w:b/>
          <w:bCs/>
          <w:i/>
          <w:iCs/>
          <w:sz w:val="24"/>
          <w:szCs w:val="24"/>
        </w:rPr>
        <w:t>p</w:t>
      </w:r>
      <w:r w:rsidRPr="002F3011">
        <w:rPr>
          <w:rFonts w:ascii="Times New Roman" w:eastAsia="Times New Roman" w:hAnsi="Times New Roman" w:cs="Times New Roman"/>
          <w:sz w:val="24"/>
          <w:szCs w:val="24"/>
        </w:rPr>
        <w:t xml:space="preserve"> &lt; .001 (2-tailed).</w:t>
      </w:r>
    </w:p>
    <w:p w14:paraId="5AEEC7AD" w14:textId="77777777" w:rsidR="002F3011" w:rsidRDefault="002F3011" w:rsidP="002F301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156F270B" w14:textId="77777777" w:rsidR="002F3011" w:rsidRPr="002F3011" w:rsidRDefault="002F3011" w:rsidP="002F301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Correlational Analysis</w:t>
      </w:r>
    </w:p>
    <w:p w14:paraId="643999C0"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A Pearson product-moment correlation coefficient was computed to examine the relationships between demographic factors, emergency-related training and exposure, and the participants' confidence levels in managing emergency cases. The results showed several significant associations, as outlined below.</w:t>
      </w:r>
    </w:p>
    <w:p w14:paraId="10CC42E7" w14:textId="77777777" w:rsidR="002F3011" w:rsidRPr="002F3011" w:rsidRDefault="002F3011" w:rsidP="002F3011">
      <w:pPr>
        <w:spacing w:after="0" w:line="240" w:lineRule="auto"/>
        <w:jc w:val="both"/>
        <w:rPr>
          <w:rFonts w:ascii="Times New Roman" w:eastAsia="Calibri" w:hAnsi="Times New Roman" w:cs="Times New Roman"/>
          <w:b/>
          <w:sz w:val="24"/>
          <w:szCs w:val="24"/>
        </w:rPr>
      </w:pPr>
      <w:r w:rsidRPr="002F3011">
        <w:rPr>
          <w:rFonts w:ascii="Times New Roman" w:eastAsia="Calibri" w:hAnsi="Times New Roman" w:cs="Times New Roman"/>
          <w:b/>
          <w:sz w:val="24"/>
          <w:szCs w:val="24"/>
        </w:rPr>
        <w:t>Confidence Level</w:t>
      </w:r>
    </w:p>
    <w:p w14:paraId="072F5DD4"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 xml:space="preserve">Confidence level was also positively and strongly associated with participation in emergency drills,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.41,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and formal emergency training within the past two years,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.48,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Confidence in assessing airway, breathing, and circulation (ABCs) had a significant positive relationship with overall confidence level,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.28,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w:t>
      </w:r>
    </w:p>
    <w:p w14:paraId="3F2F538D"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 xml:space="preserve">Confidence level was moderately correlated with knowledge,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.71,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and frequency of emergency skill practice,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–.50,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(note: this negative correlation may require contextual interpretation or checking for reverse-coded items). Age had a negative correlation with confidence level,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–.24,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indicating that older participants tended to report lower confidence levels.</w:t>
      </w:r>
    </w:p>
    <w:p w14:paraId="15A51148" w14:textId="77777777" w:rsidR="00386D2F" w:rsidRDefault="00386D2F" w:rsidP="002F3011">
      <w:pPr>
        <w:spacing w:after="0" w:line="240" w:lineRule="auto"/>
        <w:jc w:val="both"/>
        <w:rPr>
          <w:rFonts w:ascii="Times New Roman" w:eastAsia="Calibri" w:hAnsi="Times New Roman" w:cs="Times New Roman"/>
          <w:b/>
          <w:sz w:val="24"/>
          <w:szCs w:val="24"/>
        </w:rPr>
      </w:pPr>
    </w:p>
    <w:p w14:paraId="7894AE73" w14:textId="77777777" w:rsidR="00386D2F" w:rsidRDefault="00386D2F" w:rsidP="002F3011">
      <w:pPr>
        <w:spacing w:after="0" w:line="240" w:lineRule="auto"/>
        <w:jc w:val="both"/>
        <w:rPr>
          <w:rFonts w:ascii="Times New Roman" w:eastAsia="Calibri" w:hAnsi="Times New Roman" w:cs="Times New Roman"/>
          <w:b/>
          <w:sz w:val="24"/>
          <w:szCs w:val="24"/>
        </w:rPr>
      </w:pPr>
    </w:p>
    <w:p w14:paraId="7AF573ED" w14:textId="77777777" w:rsidR="00386D2F" w:rsidRDefault="00386D2F" w:rsidP="002F3011">
      <w:pPr>
        <w:spacing w:after="0" w:line="240" w:lineRule="auto"/>
        <w:jc w:val="both"/>
        <w:rPr>
          <w:rFonts w:ascii="Times New Roman" w:eastAsia="Calibri" w:hAnsi="Times New Roman" w:cs="Times New Roman"/>
          <w:b/>
          <w:sz w:val="24"/>
          <w:szCs w:val="24"/>
        </w:rPr>
      </w:pPr>
    </w:p>
    <w:p w14:paraId="356D3892" w14:textId="77777777" w:rsidR="002F3011" w:rsidRPr="002F3011" w:rsidRDefault="002F3011" w:rsidP="002F3011">
      <w:pPr>
        <w:spacing w:after="0" w:line="240" w:lineRule="auto"/>
        <w:jc w:val="both"/>
        <w:rPr>
          <w:rFonts w:ascii="Times New Roman" w:eastAsia="Calibri" w:hAnsi="Times New Roman" w:cs="Times New Roman"/>
          <w:b/>
          <w:sz w:val="24"/>
          <w:szCs w:val="24"/>
        </w:rPr>
      </w:pPr>
      <w:r w:rsidRPr="002F3011">
        <w:rPr>
          <w:rFonts w:ascii="Times New Roman" w:eastAsia="Calibri" w:hAnsi="Times New Roman" w:cs="Times New Roman"/>
          <w:b/>
          <w:sz w:val="24"/>
          <w:szCs w:val="24"/>
        </w:rPr>
        <w:t>Additional Relationships</w:t>
      </w:r>
    </w:p>
    <w:p w14:paraId="3A1FFB0D"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 xml:space="preserve">Educational level was positively correlated with participation in emergency drills, </w:t>
      </w:r>
      <w:r w:rsidRPr="002F3011">
        <w:rPr>
          <w:rFonts w:ascii="Times New Roman" w:eastAsia="Times New Roman" w:hAnsi="Times New Roman" w:cs="Times New Roman"/>
          <w:i/>
          <w:iCs/>
          <w:sz w:val="24"/>
          <w:szCs w:val="24"/>
        </w:rPr>
        <w:t>r</w:t>
      </w:r>
      <w:r w:rsidR="00386D2F">
        <w:rPr>
          <w:rFonts w:ascii="Times New Roman" w:eastAsia="Times New Roman" w:hAnsi="Times New Roman" w:cs="Times New Roman"/>
          <w:sz w:val="24"/>
          <w:szCs w:val="24"/>
        </w:rPr>
        <w:t>(222) = .58, p &lt; .001, and the frequency of emergency skill practice, r</w:t>
      </w:r>
      <w:r w:rsidRPr="002F3011">
        <w:rPr>
          <w:rFonts w:ascii="Times New Roman" w:eastAsia="Times New Roman" w:hAnsi="Times New Roman" w:cs="Times New Roman"/>
          <w:sz w:val="24"/>
          <w:szCs w:val="24"/>
        </w:rPr>
        <w:t xml:space="preserve">(222) = –.42,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Gender showed strong associations with several variables</w:t>
      </w:r>
      <w:r w:rsidR="00386D2F">
        <w:rPr>
          <w:rFonts w:ascii="Times New Roman" w:eastAsia="Times New Roman" w:hAnsi="Times New Roman" w:cs="Times New Roman"/>
          <w:sz w:val="24"/>
          <w:szCs w:val="24"/>
        </w:rPr>
        <w:t>,</w:t>
      </w:r>
      <w:r w:rsidRPr="002F3011">
        <w:rPr>
          <w:rFonts w:ascii="Times New Roman" w:eastAsia="Times New Roman" w:hAnsi="Times New Roman" w:cs="Times New Roman"/>
          <w:sz w:val="24"/>
          <w:szCs w:val="24"/>
        </w:rPr>
        <w:t xml:space="preserve"> including a negative correlation with educational level, </w:t>
      </w:r>
      <w:r w:rsidRPr="002F3011">
        <w:rPr>
          <w:rFonts w:ascii="Times New Roman" w:eastAsia="Times New Roman" w:hAnsi="Times New Roman" w:cs="Times New Roman"/>
          <w:i/>
          <w:iCs/>
          <w:sz w:val="24"/>
          <w:szCs w:val="24"/>
        </w:rPr>
        <w:t>r</w:t>
      </w:r>
      <w:r w:rsidR="00386D2F">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–.49,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and a positive correlation with frequency of emergency cases, </w:t>
      </w:r>
      <w:r w:rsidRPr="002F3011">
        <w:rPr>
          <w:rFonts w:ascii="Times New Roman" w:eastAsia="Times New Roman" w:hAnsi="Times New Roman" w:cs="Times New Roman"/>
          <w:i/>
          <w:iCs/>
          <w:sz w:val="24"/>
          <w:szCs w:val="24"/>
        </w:rPr>
        <w:t>r</w:t>
      </w:r>
      <w:r w:rsidRPr="002F3011">
        <w:rPr>
          <w:rFonts w:ascii="Times New Roman" w:eastAsia="Times New Roman" w:hAnsi="Times New Roman" w:cs="Times New Roman"/>
          <w:sz w:val="24"/>
          <w:szCs w:val="24"/>
        </w:rPr>
        <w:t xml:space="preserve">(222) = .48,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w:t>
      </w:r>
    </w:p>
    <w:p w14:paraId="77EEFC88" w14:textId="77777777" w:rsidR="002F3011" w:rsidRPr="00386D2F" w:rsidRDefault="002F3011" w:rsidP="00386D2F">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lastRenderedPageBreak/>
        <w:t xml:space="preserve">Taken together, the results </w:t>
      </w:r>
      <w:r w:rsidR="00386D2F">
        <w:rPr>
          <w:rFonts w:ascii="Times New Roman" w:eastAsia="Times New Roman" w:hAnsi="Times New Roman" w:cs="Times New Roman"/>
          <w:sz w:val="24"/>
          <w:szCs w:val="24"/>
        </w:rPr>
        <w:t xml:space="preserve">indicate that training exposure, educational background, and institutional factors have a significant influence on </w:t>
      </w:r>
      <w:r w:rsidRPr="002F3011">
        <w:rPr>
          <w:rFonts w:ascii="Times New Roman" w:eastAsia="Times New Roman" w:hAnsi="Times New Roman" w:cs="Times New Roman"/>
          <w:sz w:val="24"/>
          <w:szCs w:val="24"/>
        </w:rPr>
        <w:t>confidence in emergency management. These findings underscore the importance of structured emergency training and regular practice in enhancing preparedness among healthcare professionals.</w:t>
      </w:r>
    </w:p>
    <w:p w14:paraId="265AF34E" w14:textId="77777777" w:rsidR="0011660C" w:rsidRPr="001B74F4" w:rsidRDefault="00D36E59">
      <w:pPr>
        <w:spacing w:line="240" w:lineRule="auto"/>
        <w:rPr>
          <w:rFonts w:ascii="Times New Roman" w:hAnsi="Times New Roman" w:cs="Times New Roman"/>
          <w:b/>
          <w:sz w:val="24"/>
          <w:szCs w:val="24"/>
          <w:u w:val="single"/>
        </w:rPr>
      </w:pPr>
      <w:r w:rsidRPr="001B74F4">
        <w:rPr>
          <w:rFonts w:ascii="Times New Roman" w:hAnsi="Times New Roman" w:cs="Times New Roman"/>
          <w:b/>
          <w:sz w:val="24"/>
          <w:szCs w:val="24"/>
        </w:rPr>
        <w:t xml:space="preserve">3.2  </w:t>
      </w:r>
      <w:r w:rsidRPr="001B74F4">
        <w:rPr>
          <w:rFonts w:ascii="Times New Roman" w:hAnsi="Times New Roman" w:cs="Times New Roman"/>
          <w:b/>
          <w:sz w:val="24"/>
          <w:szCs w:val="24"/>
          <w:u w:val="single"/>
        </w:rPr>
        <w:t xml:space="preserve"> </w:t>
      </w:r>
      <w:r w:rsidR="001272F6" w:rsidRPr="001B74F4">
        <w:rPr>
          <w:rFonts w:ascii="Times New Roman" w:hAnsi="Times New Roman" w:cs="Times New Roman"/>
          <w:b/>
          <w:sz w:val="24"/>
          <w:szCs w:val="24"/>
          <w:u w:val="single"/>
        </w:rPr>
        <w:t>To determine the availability of emergency care resources (equipment, drugs, and personnel).</w:t>
      </w:r>
    </w:p>
    <w:p w14:paraId="0A34C198"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Figure1</w:t>
      </w:r>
    </w:p>
    <w:p w14:paraId="24F397EC" w14:textId="77777777" w:rsidR="0011660C" w:rsidRPr="001B74F4" w:rsidRDefault="00FF5F6B">
      <w:pPr>
        <w:spacing w:before="100" w:beforeAutospacing="1" w:line="240" w:lineRule="auto"/>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The Availability of Emergency Equipment in the Health Institutions</w:t>
      </w:r>
    </w:p>
    <w:p w14:paraId="3017F8F3" w14:textId="77777777" w:rsidR="0011660C" w:rsidRPr="001B74F4" w:rsidRDefault="00FF5F6B">
      <w:pPr>
        <w:spacing w:before="100" w:beforeAutospacing="1" w:line="240" w:lineRule="auto"/>
        <w:rPr>
          <w:rFonts w:ascii="Times New Roman" w:eastAsia="Times New Roman" w:hAnsi="Times New Roman" w:cs="Times New Roman"/>
          <w:b/>
          <w:bCs/>
          <w:sz w:val="24"/>
          <w:szCs w:val="24"/>
        </w:rPr>
      </w:pPr>
      <w:r w:rsidRPr="001B74F4">
        <w:rPr>
          <w:rFonts w:ascii="Times New Roman" w:hAnsi="Times New Roman" w:cs="Times New Roman"/>
          <w:noProof/>
          <w:sz w:val="24"/>
          <w:szCs w:val="24"/>
        </w:rPr>
        <w:drawing>
          <wp:inline distT="0" distB="0" distL="0" distR="0" wp14:anchorId="08A4410D" wp14:editId="20603F87">
            <wp:extent cx="5447665" cy="4239260"/>
            <wp:effectExtent l="0" t="0" r="63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2B64F4E" w14:textId="77777777" w:rsidR="0011660C" w:rsidRPr="001B74F4" w:rsidRDefault="0086255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Source of Data: Field</w:t>
      </w:r>
    </w:p>
    <w:p w14:paraId="470D32AF"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above table illustrates the nurses' perception of the availability of emergency equipment at their various facilities. Two hundred and twenty (223) nurses rated the availability of key emergency equipment across their respective health institutions. The equipment evaluated included First Aid Kits, Automated External Defibrillators (AEDs), Stretchers, Oxygen Supplies (such as tanks and masks), and Suction Devices. Participants were asked to rate the availability of each item using five categories: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The findings are presented below in a narrative format, accompanied by corresponding percentages.</w:t>
      </w:r>
    </w:p>
    <w:p w14:paraId="605E4B20"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Cs/>
          <w:sz w:val="24"/>
          <w:szCs w:val="24"/>
        </w:rPr>
        <w:lastRenderedPageBreak/>
        <w:t>Firstly, it is observed that First Aid Kits</w:t>
      </w:r>
      <w:r w:rsidRPr="001B74F4">
        <w:rPr>
          <w:rFonts w:ascii="Times New Roman" w:eastAsia="Times New Roman" w:hAnsi="Times New Roman" w:cs="Times New Roman"/>
          <w:sz w:val="24"/>
          <w:szCs w:val="24"/>
        </w:rPr>
        <w:t xml:space="preserve"> have the largest proportion of nurses (43.5%) who rated their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A smaller percentage (12.6%) rated them as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while 18.8% felt the availability was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Additionally, 12.6% rated them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another 12.6% considered their availability to be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14:paraId="1C74E584"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Secondly, regarding </w:t>
      </w:r>
      <w:r w:rsidRPr="001B74F4">
        <w:rPr>
          <w:rFonts w:ascii="Times New Roman" w:eastAsia="Times New Roman" w:hAnsi="Times New Roman" w:cs="Times New Roman"/>
          <w:bCs/>
          <w:sz w:val="24"/>
          <w:szCs w:val="24"/>
        </w:rPr>
        <w:t>Automated External Defibrillators (AEDs)</w:t>
      </w:r>
      <w:r w:rsidRPr="001B74F4">
        <w:rPr>
          <w:rFonts w:ascii="Times New Roman" w:eastAsia="Times New Roman" w:hAnsi="Times New Roman" w:cs="Times New Roman"/>
          <w:sz w:val="24"/>
          <w:szCs w:val="24"/>
        </w:rPr>
        <w:t xml:space="preserve">, 62.8% of participants indicated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availability, making it the equipment with the highest negative response. None of the respondents rated AED availability as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About 12.1% reported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availability, and 6.3% each rated them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14:paraId="4B95B917"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For </w:t>
      </w:r>
      <w:r w:rsidRPr="001B74F4">
        <w:rPr>
          <w:rFonts w:ascii="Times New Roman" w:eastAsia="Times New Roman" w:hAnsi="Times New Roman" w:cs="Times New Roman"/>
          <w:bCs/>
          <w:sz w:val="24"/>
          <w:szCs w:val="24"/>
        </w:rPr>
        <w:t>Stretchers</w:t>
      </w:r>
      <w:r w:rsidRPr="001B74F4">
        <w:rPr>
          <w:rFonts w:ascii="Times New Roman" w:eastAsia="Times New Roman" w:hAnsi="Times New Roman" w:cs="Times New Roman"/>
          <w:sz w:val="24"/>
          <w:szCs w:val="24"/>
        </w:rPr>
        <w:t xml:space="preserve">, 25.1% of respondents rated their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while 18.8% indicated it was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Nearly a quarter (24.7%) considered stretcher availability to be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None of the respondents rated this equipment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but 12.6% rated it 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14:paraId="49EA93C7"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In terms of </w:t>
      </w:r>
      <w:r w:rsidRPr="001B74F4">
        <w:rPr>
          <w:rFonts w:ascii="Times New Roman" w:eastAsia="Times New Roman" w:hAnsi="Times New Roman" w:cs="Times New Roman"/>
          <w:bCs/>
          <w:sz w:val="24"/>
          <w:szCs w:val="24"/>
        </w:rPr>
        <w:t>Oxygen Supplies</w:t>
      </w:r>
      <w:r w:rsidRPr="001B74F4">
        <w:rPr>
          <w:rFonts w:ascii="Times New Roman" w:eastAsia="Times New Roman" w:hAnsi="Times New Roman" w:cs="Times New Roman"/>
          <w:sz w:val="24"/>
          <w:szCs w:val="24"/>
        </w:rPr>
        <w:t xml:space="preserve">, 25.1% of the nurses rated their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No one selected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A notable 31.4% of respondents rated oxygen supply availability 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and the same proportion (31.4%) rated it 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xml:space="preserve">. A smaller group (6.3%) felt the availability was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w:t>
      </w:r>
    </w:p>
    <w:p w14:paraId="47340CC3"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With regard to </w:t>
      </w:r>
      <w:r w:rsidRPr="001B74F4">
        <w:rPr>
          <w:rFonts w:ascii="Times New Roman" w:eastAsia="Times New Roman" w:hAnsi="Times New Roman" w:cs="Times New Roman"/>
          <w:bCs/>
          <w:sz w:val="24"/>
          <w:szCs w:val="24"/>
        </w:rPr>
        <w:t>Suction Devices</w:t>
      </w:r>
      <w:r w:rsidRPr="001B74F4">
        <w:rPr>
          <w:rFonts w:ascii="Times New Roman" w:eastAsia="Times New Roman" w:hAnsi="Times New Roman" w:cs="Times New Roman"/>
          <w:sz w:val="24"/>
          <w:szCs w:val="24"/>
        </w:rPr>
        <w:t xml:space="preserve">, more than half of the participants (56.5%) reported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availability. None of the respondents selected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About 12.6% rated suction device availability 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18.8% rated it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6.3% indicated it was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14:paraId="32DA7C04"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These findings highlight differing levels of emergency equipment availability across institutions. While oxygen supplies showed relatively better availability, equipment such as AEDs and suction devices were most frequently reported as being </w:t>
      </w:r>
      <w:r w:rsidRPr="001B74F4">
        <w:rPr>
          <w:rFonts w:ascii="Times New Roman" w:eastAsia="Times New Roman" w:hAnsi="Times New Roman" w:cs="Times New Roman"/>
          <w:i/>
          <w:iCs/>
          <w:sz w:val="24"/>
          <w:szCs w:val="24"/>
        </w:rPr>
        <w:t>very poorly</w:t>
      </w:r>
      <w:r w:rsidRPr="001B74F4">
        <w:rPr>
          <w:rFonts w:ascii="Times New Roman" w:eastAsia="Times New Roman" w:hAnsi="Times New Roman" w:cs="Times New Roman"/>
          <w:sz w:val="24"/>
          <w:szCs w:val="24"/>
        </w:rPr>
        <w:t xml:space="preserve"> available.</w:t>
      </w:r>
    </w:p>
    <w:p w14:paraId="02D483DE"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2DD38A08"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27631918"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1FC68370"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1DAD31BD"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1859CF2B" w14:textId="77777777" w:rsidR="0011660C" w:rsidRPr="001B74F4" w:rsidRDefault="00FF5F6B">
      <w:pPr>
        <w:spacing w:before="100" w:beforeAutospacing="1" w:line="240" w:lineRule="auto"/>
        <w:rPr>
          <w:rStyle w:val="question-label"/>
          <w:rFonts w:ascii="Times New Roman" w:hAnsi="Times New Roman" w:cs="Times New Roman"/>
          <w:b/>
          <w:bCs/>
          <w:sz w:val="24"/>
          <w:szCs w:val="24"/>
        </w:rPr>
      </w:pPr>
      <w:r w:rsidRPr="001B74F4">
        <w:rPr>
          <w:rStyle w:val="question-label"/>
          <w:rFonts w:ascii="Times New Roman" w:hAnsi="Times New Roman" w:cs="Times New Roman"/>
          <w:b/>
          <w:bCs/>
          <w:sz w:val="24"/>
          <w:szCs w:val="24"/>
        </w:rPr>
        <w:t>Figure 2</w:t>
      </w:r>
    </w:p>
    <w:p w14:paraId="486D5E3E" w14:textId="77777777" w:rsidR="0011660C" w:rsidRPr="001B74F4" w:rsidRDefault="00FF5F6B">
      <w:pPr>
        <w:spacing w:before="100" w:beforeAutospacing="1" w:line="240" w:lineRule="auto"/>
        <w:rPr>
          <w:rFonts w:ascii="Times New Roman" w:eastAsia="Times New Roman" w:hAnsi="Times New Roman" w:cs="Times New Roman"/>
          <w:b/>
          <w:bCs/>
          <w:sz w:val="24"/>
          <w:szCs w:val="24"/>
        </w:rPr>
      </w:pPr>
      <w:r w:rsidRPr="001B74F4">
        <w:rPr>
          <w:rStyle w:val="question-label"/>
          <w:rFonts w:ascii="Times New Roman" w:hAnsi="Times New Roman" w:cs="Times New Roman"/>
          <w:b/>
          <w:bCs/>
          <w:sz w:val="24"/>
          <w:szCs w:val="24"/>
        </w:rPr>
        <w:t>Availability of essential emergency supplies</w:t>
      </w:r>
    </w:p>
    <w:p w14:paraId="26C53E27"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noProof/>
          <w:sz w:val="24"/>
          <w:szCs w:val="24"/>
        </w:rPr>
        <w:lastRenderedPageBreak/>
        <w:drawing>
          <wp:inline distT="0" distB="0" distL="0" distR="0" wp14:anchorId="2771F38A" wp14:editId="5998B246">
            <wp:extent cx="5619750" cy="2291137"/>
            <wp:effectExtent l="0" t="0" r="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EE1889" w14:textId="77777777" w:rsidR="003B1FE4" w:rsidRPr="001B74F4" w:rsidRDefault="003B1FE4" w:rsidP="003B1FE4">
      <w:pPr>
        <w:rPr>
          <w:rFonts w:ascii="Times New Roman" w:hAnsi="Times New Roman" w:cs="Times New Roman"/>
          <w:sz w:val="24"/>
          <w:szCs w:val="24"/>
        </w:rPr>
      </w:pPr>
      <w:r w:rsidRPr="001B74F4">
        <w:rPr>
          <w:rFonts w:ascii="Times New Roman" w:hAnsi="Times New Roman" w:cs="Times New Roman"/>
          <w:sz w:val="24"/>
          <w:szCs w:val="24"/>
        </w:rPr>
        <w:t>Source: Field Data, 2025.</w:t>
      </w:r>
    </w:p>
    <w:p w14:paraId="04302CB8" w14:textId="77777777" w:rsidR="00D36E59" w:rsidRPr="001B74F4" w:rsidRDefault="00D36E59">
      <w:pPr>
        <w:spacing w:before="100" w:beforeAutospacing="1" w:line="240" w:lineRule="auto"/>
        <w:rPr>
          <w:rFonts w:ascii="Times New Roman" w:eastAsia="Times New Roman" w:hAnsi="Times New Roman" w:cs="Times New Roman"/>
          <w:b/>
          <w:bCs/>
          <w:sz w:val="24"/>
          <w:szCs w:val="24"/>
        </w:rPr>
      </w:pPr>
    </w:p>
    <w:p w14:paraId="47304684" w14:textId="77777777" w:rsidR="0011660C" w:rsidRPr="001B74F4" w:rsidRDefault="00FF5F6B">
      <w:pPr>
        <w:spacing w:before="100" w:beforeAutospacing="1" w:line="240" w:lineRule="auto"/>
        <w:rPr>
          <w:rFonts w:ascii="Times New Roman" w:eastAsia="Times New Roman" w:hAnsi="Times New Roman" w:cs="Times New Roman"/>
          <w:sz w:val="24"/>
          <w:szCs w:val="24"/>
        </w:rPr>
      </w:pPr>
      <w:proofErr w:type="spellStart"/>
      <w:r w:rsidRPr="001B74F4">
        <w:rPr>
          <w:rFonts w:ascii="Times New Roman" w:eastAsia="Times New Roman" w:hAnsi="Times New Roman" w:cs="Times New Roman"/>
          <w:b/>
          <w:bCs/>
          <w:sz w:val="24"/>
          <w:szCs w:val="24"/>
        </w:rPr>
        <w:t>Humanised</w:t>
      </w:r>
      <w:proofErr w:type="spellEnd"/>
      <w:r w:rsidRPr="001B74F4">
        <w:rPr>
          <w:rFonts w:ascii="Times New Roman" w:eastAsia="Times New Roman" w:hAnsi="Times New Roman" w:cs="Times New Roman"/>
          <w:b/>
          <w:bCs/>
          <w:sz w:val="24"/>
          <w:szCs w:val="24"/>
        </w:rPr>
        <w:t xml:space="preserve"> Analysis of Emergency Supply Availability Based on Nurses’ Responses</w:t>
      </w:r>
    </w:p>
    <w:p w14:paraId="220E0E39"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As part of a broader look into the readiness of health institutions to handle emergencies, nurses were asked to share their experiences regarding the availability of key clinical </w:t>
      </w:r>
      <w:r w:rsidR="0086255B" w:rsidRPr="001B74F4">
        <w:rPr>
          <w:rFonts w:ascii="Times New Roman" w:eastAsia="Times New Roman" w:hAnsi="Times New Roman" w:cs="Times New Roman"/>
          <w:sz w:val="24"/>
          <w:szCs w:val="24"/>
        </w:rPr>
        <w:t xml:space="preserve">medical </w:t>
      </w:r>
      <w:r w:rsidRPr="001B74F4">
        <w:rPr>
          <w:rFonts w:ascii="Times New Roman" w:eastAsia="Times New Roman" w:hAnsi="Times New Roman" w:cs="Times New Roman"/>
          <w:sz w:val="24"/>
          <w:szCs w:val="24"/>
        </w:rPr>
        <w:t>supplies. Specifically, they rated the availability of IV Fluids, IV Equipment, Oxygen Supplies, and Blood Products in their workplaces. Their responses shed light on how often these critical supplies are accessible when needed.</w:t>
      </w:r>
    </w:p>
    <w:p w14:paraId="10445323"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Starting with </w:t>
      </w:r>
      <w:r w:rsidRPr="001B74F4">
        <w:rPr>
          <w:rFonts w:ascii="Times New Roman" w:eastAsia="Times New Roman" w:hAnsi="Times New Roman" w:cs="Times New Roman"/>
          <w:b/>
          <w:bCs/>
          <w:sz w:val="24"/>
          <w:szCs w:val="24"/>
        </w:rPr>
        <w:t>IV Fluids</w:t>
      </w:r>
      <w:r w:rsidRPr="001B74F4">
        <w:rPr>
          <w:rFonts w:ascii="Times New Roman" w:eastAsia="Times New Roman" w:hAnsi="Times New Roman" w:cs="Times New Roman"/>
          <w:sz w:val="24"/>
          <w:szCs w:val="24"/>
        </w:rPr>
        <w:t xml:space="preserve">, only 70 nurses (about 31.4%) said these were </w:t>
      </w:r>
      <w:r w:rsidRPr="001B74F4">
        <w:rPr>
          <w:rFonts w:ascii="Times New Roman" w:eastAsia="Times New Roman" w:hAnsi="Times New Roman" w:cs="Times New Roman"/>
          <w:iCs/>
          <w:sz w:val="24"/>
          <w:szCs w:val="24"/>
        </w:rPr>
        <w:t>always available</w:t>
      </w:r>
      <w:r w:rsidRPr="001B74F4">
        <w:rPr>
          <w:rFonts w:ascii="Times New Roman" w:eastAsia="Times New Roman" w:hAnsi="Times New Roman" w:cs="Times New Roman"/>
          <w:sz w:val="24"/>
          <w:szCs w:val="24"/>
        </w:rPr>
        <w:t xml:space="preserve">, while a concerning 84 nurses (37.7%) stated they were </w:t>
      </w:r>
      <w:r w:rsidRPr="001B74F4">
        <w:rPr>
          <w:rFonts w:ascii="Times New Roman" w:eastAsia="Times New Roman" w:hAnsi="Times New Roman" w:cs="Times New Roman"/>
          <w:iCs/>
          <w:sz w:val="24"/>
          <w:szCs w:val="24"/>
        </w:rPr>
        <w:t>never available</w:t>
      </w:r>
      <w:r w:rsidRPr="001B74F4">
        <w:rPr>
          <w:rFonts w:ascii="Times New Roman" w:eastAsia="Times New Roman" w:hAnsi="Times New Roman" w:cs="Times New Roman"/>
          <w:sz w:val="24"/>
          <w:szCs w:val="24"/>
        </w:rPr>
        <w:t xml:space="preserve">. The rest were split between </w:t>
      </w:r>
      <w:r w:rsidRPr="001B74F4">
        <w:rPr>
          <w:rFonts w:ascii="Times New Roman" w:eastAsia="Times New Roman" w:hAnsi="Times New Roman" w:cs="Times New Roman"/>
          <w:iCs/>
          <w:sz w:val="24"/>
          <w:szCs w:val="24"/>
        </w:rPr>
        <w:t>sometimes available</w:t>
      </w:r>
      <w:r w:rsidRPr="001B74F4">
        <w:rPr>
          <w:rFonts w:ascii="Times New Roman" w:eastAsia="Times New Roman" w:hAnsi="Times New Roman" w:cs="Times New Roman"/>
          <w:sz w:val="24"/>
          <w:szCs w:val="24"/>
        </w:rPr>
        <w:t xml:space="preserve"> (12.6%) and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xml:space="preserve"> (18.4%). This suggests that although some facilities are reliably stocked, a significant number are not, which could delay or compromise patient care during fluid resuscitation or emergencies.</w:t>
      </w:r>
    </w:p>
    <w:p w14:paraId="2836228F"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Responses about </w:t>
      </w:r>
      <w:r w:rsidRPr="001B74F4">
        <w:rPr>
          <w:rFonts w:ascii="Times New Roman" w:eastAsia="Times New Roman" w:hAnsi="Times New Roman" w:cs="Times New Roman"/>
          <w:b/>
          <w:bCs/>
          <w:sz w:val="24"/>
          <w:szCs w:val="24"/>
        </w:rPr>
        <w:t>IV Equipment</w:t>
      </w:r>
      <w:r w:rsidRPr="001B74F4">
        <w:rPr>
          <w:rFonts w:ascii="Times New Roman" w:eastAsia="Times New Roman" w:hAnsi="Times New Roman" w:cs="Times New Roman"/>
          <w:sz w:val="24"/>
          <w:szCs w:val="24"/>
        </w:rPr>
        <w:t xml:space="preserve"> showed a slightly different pattern. Only 56 nurses (25.1%) indicated it was </w:t>
      </w:r>
      <w:r w:rsidRPr="001B74F4">
        <w:rPr>
          <w:rFonts w:ascii="Times New Roman" w:eastAsia="Times New Roman" w:hAnsi="Times New Roman" w:cs="Times New Roman"/>
          <w:iCs/>
          <w:sz w:val="24"/>
          <w:szCs w:val="24"/>
        </w:rPr>
        <w:t>always available</w:t>
      </w:r>
      <w:r w:rsidRPr="001B74F4">
        <w:rPr>
          <w:rFonts w:ascii="Times New Roman" w:eastAsia="Times New Roman" w:hAnsi="Times New Roman" w:cs="Times New Roman"/>
          <w:sz w:val="24"/>
          <w:szCs w:val="24"/>
        </w:rPr>
        <w:t xml:space="preserve">, while 56 others (25.1%) said it was </w:t>
      </w:r>
      <w:r w:rsidRPr="001B74F4">
        <w:rPr>
          <w:rFonts w:ascii="Times New Roman" w:eastAsia="Times New Roman" w:hAnsi="Times New Roman" w:cs="Times New Roman"/>
          <w:iCs/>
          <w:sz w:val="24"/>
          <w:szCs w:val="24"/>
        </w:rPr>
        <w:t>never available</w:t>
      </w:r>
      <w:r w:rsidRPr="001B74F4">
        <w:rPr>
          <w:rFonts w:ascii="Times New Roman" w:eastAsia="Times New Roman" w:hAnsi="Times New Roman" w:cs="Times New Roman"/>
          <w:sz w:val="24"/>
          <w:szCs w:val="24"/>
        </w:rPr>
        <w:t xml:space="preserve">. Meanwhile, 42 (18.8%) reported it as </w:t>
      </w:r>
      <w:r w:rsidRPr="001B74F4">
        <w:rPr>
          <w:rFonts w:ascii="Times New Roman" w:eastAsia="Times New Roman" w:hAnsi="Times New Roman" w:cs="Times New Roman"/>
          <w:iCs/>
          <w:sz w:val="24"/>
          <w:szCs w:val="24"/>
        </w:rPr>
        <w:t>sometimes available</w:t>
      </w:r>
      <w:r w:rsidRPr="001B74F4">
        <w:rPr>
          <w:rFonts w:ascii="Times New Roman" w:eastAsia="Times New Roman" w:hAnsi="Times New Roman" w:cs="Times New Roman"/>
          <w:sz w:val="24"/>
          <w:szCs w:val="24"/>
        </w:rPr>
        <w:t xml:space="preserve">, and 69 (30.9%) said it was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These findings imply that inconsistency in IV equipment access is a widespread issue, affecting nurses' ability to start or maintain IV therapy efficiently.</w:t>
      </w:r>
    </w:p>
    <w:p w14:paraId="3FD88E4F"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Regarding </w:t>
      </w:r>
      <w:r w:rsidRPr="001B74F4">
        <w:rPr>
          <w:rFonts w:ascii="Times New Roman" w:eastAsia="Times New Roman" w:hAnsi="Times New Roman" w:cs="Times New Roman"/>
          <w:b/>
          <w:bCs/>
          <w:sz w:val="24"/>
          <w:szCs w:val="24"/>
        </w:rPr>
        <w:t>Oxygen Supplies</w:t>
      </w:r>
      <w:r w:rsidRPr="001B74F4">
        <w:rPr>
          <w:rFonts w:ascii="Times New Roman" w:eastAsia="Times New Roman" w:hAnsi="Times New Roman" w:cs="Times New Roman"/>
          <w:sz w:val="24"/>
          <w:szCs w:val="24"/>
        </w:rPr>
        <w:t xml:space="preserve">, the availability picture was more balanced. Seventy nurses (31.4%) reported </w:t>
      </w:r>
      <w:r w:rsidRPr="001B74F4">
        <w:rPr>
          <w:rFonts w:ascii="Times New Roman" w:eastAsia="Times New Roman" w:hAnsi="Times New Roman" w:cs="Times New Roman"/>
          <w:iCs/>
          <w:sz w:val="24"/>
          <w:szCs w:val="24"/>
        </w:rPr>
        <w:t>always having access</w:t>
      </w:r>
      <w:r w:rsidRPr="001B74F4">
        <w:rPr>
          <w:rFonts w:ascii="Times New Roman" w:eastAsia="Times New Roman" w:hAnsi="Times New Roman" w:cs="Times New Roman"/>
          <w:sz w:val="24"/>
          <w:szCs w:val="24"/>
        </w:rPr>
        <w:t xml:space="preserve"> to oxygen, while 42 (18.8%) said it was </w:t>
      </w:r>
      <w:r w:rsidRPr="001B74F4">
        <w:rPr>
          <w:rFonts w:ascii="Times New Roman" w:eastAsia="Times New Roman" w:hAnsi="Times New Roman" w:cs="Times New Roman"/>
          <w:iCs/>
          <w:sz w:val="24"/>
          <w:szCs w:val="24"/>
        </w:rPr>
        <w:t>never available</w:t>
      </w:r>
      <w:r w:rsidRPr="001B74F4">
        <w:rPr>
          <w:rFonts w:ascii="Times New Roman" w:eastAsia="Times New Roman" w:hAnsi="Times New Roman" w:cs="Times New Roman"/>
          <w:sz w:val="24"/>
          <w:szCs w:val="24"/>
        </w:rPr>
        <w:t xml:space="preserve">. The remaining responses were distributed between </w:t>
      </w:r>
      <w:r w:rsidRPr="001B74F4">
        <w:rPr>
          <w:rFonts w:ascii="Times New Roman" w:eastAsia="Times New Roman" w:hAnsi="Times New Roman" w:cs="Times New Roman"/>
          <w:iCs/>
          <w:sz w:val="24"/>
          <w:szCs w:val="24"/>
        </w:rPr>
        <w:t>sometimes available</w:t>
      </w:r>
      <w:r w:rsidRPr="001B74F4">
        <w:rPr>
          <w:rFonts w:ascii="Times New Roman" w:eastAsia="Times New Roman" w:hAnsi="Times New Roman" w:cs="Times New Roman"/>
          <w:sz w:val="24"/>
          <w:szCs w:val="24"/>
        </w:rPr>
        <w:t xml:space="preserve"> (25.1%) and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xml:space="preserve"> (24.7%). This mixed response may reflect differences in supply levels across various departments or facilities, with some institutions better equipped than others.</w:t>
      </w:r>
    </w:p>
    <w:p w14:paraId="71D835AD" w14:textId="77777777" w:rsidR="001272F6" w:rsidRPr="001B74F4" w:rsidRDefault="00FF5F6B" w:rsidP="00D36E59">
      <w:pPr>
        <w:spacing w:before="100" w:beforeAutospacing="1" w:line="240" w:lineRule="auto"/>
        <w:rPr>
          <w:rStyle w:val="Strong"/>
          <w:rFonts w:ascii="Times New Roman" w:eastAsia="Times New Roman" w:hAnsi="Times New Roman" w:cs="Times New Roman"/>
          <w:b w:val="0"/>
          <w:bCs w:val="0"/>
          <w:sz w:val="24"/>
          <w:szCs w:val="24"/>
        </w:rPr>
      </w:pPr>
      <w:r w:rsidRPr="001B74F4">
        <w:rPr>
          <w:rFonts w:ascii="Times New Roman" w:eastAsia="Times New Roman" w:hAnsi="Times New Roman" w:cs="Times New Roman"/>
          <w:sz w:val="24"/>
          <w:szCs w:val="24"/>
        </w:rPr>
        <w:t xml:space="preserve">The most positive feedback came from the availability of </w:t>
      </w:r>
      <w:r w:rsidRPr="001B74F4">
        <w:rPr>
          <w:rFonts w:ascii="Times New Roman" w:eastAsia="Times New Roman" w:hAnsi="Times New Roman" w:cs="Times New Roman"/>
          <w:b/>
          <w:bCs/>
          <w:sz w:val="24"/>
          <w:szCs w:val="24"/>
        </w:rPr>
        <w:t>Blood Products</w:t>
      </w:r>
      <w:r w:rsidRPr="001B74F4">
        <w:rPr>
          <w:rFonts w:ascii="Times New Roman" w:eastAsia="Times New Roman" w:hAnsi="Times New Roman" w:cs="Times New Roman"/>
          <w:sz w:val="24"/>
          <w:szCs w:val="24"/>
        </w:rPr>
        <w:t xml:space="preserve">, where a majority—145 nurses (65.0%)—reported that they were </w:t>
      </w:r>
      <w:r w:rsidRPr="001B74F4">
        <w:rPr>
          <w:rFonts w:ascii="Times New Roman" w:eastAsia="Times New Roman" w:hAnsi="Times New Roman" w:cs="Times New Roman"/>
          <w:iCs/>
          <w:sz w:val="24"/>
          <w:szCs w:val="24"/>
        </w:rPr>
        <w:t>always available</w:t>
      </w:r>
      <w:r w:rsidRPr="001B74F4">
        <w:rPr>
          <w:rFonts w:ascii="Times New Roman" w:eastAsia="Times New Roman" w:hAnsi="Times New Roman" w:cs="Times New Roman"/>
          <w:sz w:val="24"/>
          <w:szCs w:val="24"/>
        </w:rPr>
        <w:t xml:space="preserve">. Only 14 nurses each (6.3%) said blood products were </w:t>
      </w:r>
      <w:r w:rsidRPr="001B74F4">
        <w:rPr>
          <w:rFonts w:ascii="Times New Roman" w:eastAsia="Times New Roman" w:hAnsi="Times New Roman" w:cs="Times New Roman"/>
          <w:iCs/>
          <w:sz w:val="24"/>
          <w:szCs w:val="24"/>
        </w:rPr>
        <w:t>sometimes</w:t>
      </w:r>
      <w:r w:rsidRPr="001B74F4">
        <w:rPr>
          <w:rFonts w:ascii="Times New Roman" w:eastAsia="Times New Roman" w:hAnsi="Times New Roman" w:cs="Times New Roman"/>
          <w:sz w:val="24"/>
          <w:szCs w:val="24"/>
        </w:rPr>
        <w:t xml:space="preserve"> or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xml:space="preserve">, and 28 (12.6%) said they were </w:t>
      </w:r>
      <w:r w:rsidRPr="001B74F4">
        <w:rPr>
          <w:rFonts w:ascii="Times New Roman" w:eastAsia="Times New Roman" w:hAnsi="Times New Roman" w:cs="Times New Roman"/>
          <w:iCs/>
          <w:sz w:val="24"/>
          <w:szCs w:val="24"/>
        </w:rPr>
        <w:t xml:space="preserve">never </w:t>
      </w:r>
      <w:r w:rsidRPr="001B74F4">
        <w:rPr>
          <w:rFonts w:ascii="Times New Roman" w:eastAsia="Times New Roman" w:hAnsi="Times New Roman" w:cs="Times New Roman"/>
          <w:iCs/>
          <w:sz w:val="24"/>
          <w:szCs w:val="24"/>
        </w:rPr>
        <w:lastRenderedPageBreak/>
        <w:t>available</w:t>
      </w:r>
      <w:r w:rsidRPr="001B74F4">
        <w:rPr>
          <w:rFonts w:ascii="Times New Roman" w:eastAsia="Times New Roman" w:hAnsi="Times New Roman" w:cs="Times New Roman"/>
          <w:sz w:val="24"/>
          <w:szCs w:val="24"/>
        </w:rPr>
        <w:t xml:space="preserve">. This suggests that, despite challenges in other areas, most institutions seem to </w:t>
      </w:r>
      <w:proofErr w:type="spellStart"/>
      <w:r w:rsidRPr="001B74F4">
        <w:rPr>
          <w:rFonts w:ascii="Times New Roman" w:eastAsia="Times New Roman" w:hAnsi="Times New Roman" w:cs="Times New Roman"/>
          <w:sz w:val="24"/>
          <w:szCs w:val="24"/>
        </w:rPr>
        <w:t>prioritise</w:t>
      </w:r>
      <w:proofErr w:type="spellEnd"/>
      <w:r w:rsidRPr="001B74F4">
        <w:rPr>
          <w:rFonts w:ascii="Times New Roman" w:eastAsia="Times New Roman" w:hAnsi="Times New Roman" w:cs="Times New Roman"/>
          <w:sz w:val="24"/>
          <w:szCs w:val="24"/>
        </w:rPr>
        <w:t xml:space="preserve"> and maintain access to blood for transfusion, which is critical in trauma, surgery, and obstetric care.</w:t>
      </w:r>
    </w:p>
    <w:p w14:paraId="0E902AE8" w14:textId="77777777" w:rsidR="001272F6" w:rsidRPr="001B74F4" w:rsidRDefault="001272F6">
      <w:pPr>
        <w:pStyle w:val="Heading3"/>
        <w:spacing w:after="160" w:afterAutospacing="0"/>
        <w:jc w:val="both"/>
        <w:rPr>
          <w:rStyle w:val="Strong"/>
          <w:b/>
          <w:bCs/>
          <w:sz w:val="24"/>
          <w:szCs w:val="24"/>
        </w:rPr>
      </w:pPr>
    </w:p>
    <w:p w14:paraId="4BCABFE7" w14:textId="77777777" w:rsidR="001272F6" w:rsidRPr="001B74F4" w:rsidRDefault="00D36E59" w:rsidP="001272F6">
      <w:pPr>
        <w:tabs>
          <w:tab w:val="left" w:pos="720"/>
        </w:tabs>
        <w:spacing w:line="240" w:lineRule="auto"/>
        <w:rPr>
          <w:rFonts w:ascii="Times New Roman" w:hAnsi="Times New Roman" w:cs="Times New Roman"/>
          <w:b/>
          <w:sz w:val="24"/>
          <w:szCs w:val="24"/>
          <w:u w:val="single"/>
        </w:rPr>
      </w:pPr>
      <w:r w:rsidRPr="001B74F4">
        <w:rPr>
          <w:rFonts w:ascii="Times New Roman" w:hAnsi="Times New Roman" w:cs="Times New Roman"/>
          <w:b/>
          <w:sz w:val="24"/>
          <w:szCs w:val="24"/>
        </w:rPr>
        <w:t xml:space="preserve">3.3 </w:t>
      </w:r>
      <w:r w:rsidR="001272F6" w:rsidRPr="001B74F4">
        <w:rPr>
          <w:rFonts w:ascii="Times New Roman" w:hAnsi="Times New Roman" w:cs="Times New Roman"/>
          <w:b/>
          <w:sz w:val="24"/>
          <w:szCs w:val="24"/>
          <w:u w:val="single"/>
        </w:rPr>
        <w:t xml:space="preserve">To assess the training and preparedness of </w:t>
      </w:r>
      <w:r w:rsidR="006230B8" w:rsidRPr="001B74F4">
        <w:rPr>
          <w:rFonts w:ascii="Times New Roman" w:hAnsi="Times New Roman" w:cs="Times New Roman"/>
          <w:b/>
          <w:sz w:val="24"/>
          <w:szCs w:val="24"/>
          <w:u w:val="single"/>
        </w:rPr>
        <w:t xml:space="preserve">nurses and </w:t>
      </w:r>
      <w:r w:rsidR="00386D2F">
        <w:rPr>
          <w:rFonts w:ascii="Times New Roman" w:hAnsi="Times New Roman" w:cs="Times New Roman"/>
          <w:b/>
          <w:sz w:val="24"/>
          <w:szCs w:val="24"/>
          <w:u w:val="single"/>
        </w:rPr>
        <w:t>midwives in</w:t>
      </w:r>
      <w:r w:rsidR="001272F6" w:rsidRPr="001B74F4">
        <w:rPr>
          <w:rFonts w:ascii="Times New Roman" w:hAnsi="Times New Roman" w:cs="Times New Roman"/>
          <w:b/>
          <w:sz w:val="24"/>
          <w:szCs w:val="24"/>
          <w:u w:val="single"/>
        </w:rPr>
        <w:t xml:space="preserve"> managing emergencies.</w:t>
      </w:r>
    </w:p>
    <w:p w14:paraId="3C30CE8B" w14:textId="77777777" w:rsidR="001272F6" w:rsidRPr="001B74F4" w:rsidRDefault="001272F6">
      <w:pPr>
        <w:pStyle w:val="Heading3"/>
        <w:spacing w:after="160" w:afterAutospacing="0"/>
        <w:jc w:val="both"/>
        <w:rPr>
          <w:rStyle w:val="Strong"/>
          <w:b/>
          <w:bCs/>
          <w:sz w:val="24"/>
          <w:szCs w:val="24"/>
        </w:rPr>
      </w:pPr>
    </w:p>
    <w:p w14:paraId="37708B3B" w14:textId="77777777" w:rsidR="0011660C" w:rsidRPr="001B74F4" w:rsidRDefault="00FF5F6B">
      <w:pPr>
        <w:pStyle w:val="Heading3"/>
        <w:spacing w:after="160" w:afterAutospacing="0"/>
        <w:jc w:val="both"/>
        <w:rPr>
          <w:sz w:val="24"/>
          <w:szCs w:val="24"/>
        </w:rPr>
      </w:pPr>
      <w:r w:rsidRPr="001B74F4">
        <w:rPr>
          <w:rStyle w:val="Strong"/>
          <w:b/>
          <w:bCs/>
          <w:sz w:val="24"/>
          <w:szCs w:val="24"/>
        </w:rPr>
        <w:t xml:space="preserve">Analysis of Emergency Preparedness and Challenges among </w:t>
      </w:r>
      <w:r w:rsidR="00386D2F" w:rsidRPr="00386D2F">
        <w:rPr>
          <w:rStyle w:val="Strong"/>
          <w:b/>
          <w:bCs/>
          <w:sz w:val="24"/>
          <w:szCs w:val="24"/>
        </w:rPr>
        <w:t>nurses and midwives</w:t>
      </w:r>
    </w:p>
    <w:p w14:paraId="739A1D03" w14:textId="77777777" w:rsidR="0011660C" w:rsidRPr="001B74F4" w:rsidRDefault="00FF5F6B">
      <w:pPr>
        <w:pStyle w:val="NormalWeb"/>
        <w:spacing w:after="160" w:afterAutospacing="0"/>
        <w:jc w:val="both"/>
      </w:pPr>
      <w:r w:rsidRPr="001B74F4">
        <w:t>The demographic profile of the study respondents reveals that the majority were female (81.3%), with males representing only 18.8%. This gender distribution is reflective of the broader composition of the healthcare workforce in many primary care settings, where women predominantly serve in frontline roles. Regarding educational qualifications, half of the respondents (50%) possessed diploma-level training, 37.5% held certificates, and only 12.5% had attained a bachelor’s degree. This indicates that while most respondents have formal healthcare training, a relatively small proportion have had exposure to higher academic training that could influence advanced clinical decision-making.</w:t>
      </w:r>
    </w:p>
    <w:p w14:paraId="7A580056" w14:textId="77777777" w:rsidR="0011660C" w:rsidRPr="001B74F4" w:rsidRDefault="00FF5F6B">
      <w:pPr>
        <w:pStyle w:val="NormalWeb"/>
        <w:spacing w:after="160" w:afterAutospacing="0"/>
        <w:jc w:val="both"/>
      </w:pPr>
      <w:r w:rsidRPr="001B74F4">
        <w:t>In terms of work experience, half of the participants (50%) had been in service for 1 to 5 years. A notable 31.3% had more than 10 years of experience, while 12.5% had worked for 6 to 10 years, and only 6.3% had less than one year of experience. These figures suggest a reasonably experienced workforce, which may contribute positively to emergency care delivery, although continued professional development remains essential.</w:t>
      </w:r>
    </w:p>
    <w:p w14:paraId="1D11D403" w14:textId="77777777" w:rsidR="0011660C" w:rsidRPr="001B74F4" w:rsidRDefault="00FF5F6B">
      <w:pPr>
        <w:pStyle w:val="NormalWeb"/>
        <w:spacing w:after="160" w:afterAutospacing="0"/>
        <w:jc w:val="both"/>
      </w:pPr>
      <w:r w:rsidRPr="001B74F4">
        <w:t>Concerning the level of health facility, a significant majority (87.5%) worked at health centers, while 12.5% were stationed at community health posts. Daily encounters with emergency cases were reported by more than half of the respondents (55.4%), with 32.1% managing emergencies weekly and 12.5% rarely involved in such cases. This frequency of exposure underscores the importance of emergency preparedness among frontline health workers.</w:t>
      </w:r>
    </w:p>
    <w:p w14:paraId="4FFF38CD" w14:textId="77777777" w:rsidR="0011660C" w:rsidRPr="001B74F4" w:rsidRDefault="00FF5F6B">
      <w:pPr>
        <w:pStyle w:val="NormalWeb"/>
        <w:spacing w:after="160" w:afterAutospacing="0"/>
        <w:jc w:val="both"/>
      </w:pPr>
      <w:r w:rsidRPr="001B74F4">
        <w:t>Despite frequent encounters with emergencies, only 18.8% of respondents reported having received any form of emergency care training. A concerning 81.3% had not undergone formal emergency training. Nevertheless, half of the respondents (50%) described themselves as very confident in handling emergencies, while 31.3% were somewhat confident, and 18.8% remained neutral. This disconnect between high confidence and low training coverage raises concerns about overestimation of capabilities or informal learning without structured support.</w:t>
      </w:r>
    </w:p>
    <w:p w14:paraId="0D32F5C7" w14:textId="77777777" w:rsidR="0011660C" w:rsidRPr="001B74F4" w:rsidRDefault="00FF5F6B">
      <w:pPr>
        <w:pStyle w:val="NormalWeb"/>
        <w:spacing w:after="160" w:afterAutospacing="0"/>
        <w:jc w:val="both"/>
      </w:pPr>
      <w:r w:rsidRPr="001B74F4">
        <w:t>When assessed on their ability to evaluate airway, breathing, and circulation (ABCs), 49.2% reported being confident or very confident. However, 44.6% remained neutral, and 6.3% indicated a lack of confidence. Familiarity with the ABCDEs of emergency care was reported by 62.5% of respondents, while 37.5% were only somewhat familiar. These figures suggest that while general awareness of emergency procedures exists, there are significant gaps in depth of knowledge and consistent application.</w:t>
      </w:r>
    </w:p>
    <w:p w14:paraId="770B9CF2" w14:textId="77777777" w:rsidR="0011660C" w:rsidRPr="001B74F4" w:rsidRDefault="00FF5F6B">
      <w:pPr>
        <w:pStyle w:val="NormalWeb"/>
        <w:spacing w:after="160" w:afterAutospacing="0"/>
        <w:jc w:val="both"/>
      </w:pPr>
      <w:r w:rsidRPr="001B74F4">
        <w:lastRenderedPageBreak/>
        <w:t>Availability of emergency care guidelines and protocols was inconsistent. While 44.6% confirmed the presence of such resources, 42.9% indicated they were unavailable, and 12.5% were uncertain. This lack of clarity and accessibility may contribute to variability in emergency care practices. The practice of emergency skills was infrequent, with only 6.3% reporting regular (at least monthly) practice. More than one-third (37.5%) never practiced emergency skills, 31.3% did so occasionally, and 25% rarely. Limited hands-on practice opportunities may hinder the ability of healthcare workers to respond effectively during real emergencies.</w:t>
      </w:r>
    </w:p>
    <w:p w14:paraId="1390DEF6" w14:textId="77777777" w:rsidR="0011660C" w:rsidRPr="001B74F4" w:rsidRDefault="00FF5F6B">
      <w:pPr>
        <w:pStyle w:val="NormalWeb"/>
        <w:spacing w:after="160" w:afterAutospacing="0"/>
        <w:jc w:val="both"/>
      </w:pPr>
      <w:r w:rsidRPr="001B74F4">
        <w:t>Emergency assessments were conducted daily by 31.3% of respondents and weekly by 30.4%, while 25% reported rare assessments and 13.4% assessed emergencies monthly. Although a majority appeared to conduct assessments regularly, one-quarter rarely engaged in this critical activity.</w:t>
      </w:r>
    </w:p>
    <w:p w14:paraId="37C63E56" w14:textId="77777777" w:rsidR="0011660C" w:rsidRPr="001B74F4" w:rsidRDefault="00FF5F6B">
      <w:pPr>
        <w:pStyle w:val="NormalWeb"/>
        <w:spacing w:after="160" w:afterAutospacing="0"/>
        <w:jc w:val="both"/>
      </w:pPr>
      <w:r w:rsidRPr="001B74F4">
        <w:t>Regarding satisfaction with available support and resources during emergencies, the largest proportion (61.6%) expressed neutrality. Only 25.9% were satisfied or very satisfied, while 12.6% reported dissatisfaction. These findings highlight a general sense of inadequacy or uncertainty regarding emergency response infrastructure.</w:t>
      </w:r>
    </w:p>
    <w:p w14:paraId="4B524135" w14:textId="77777777" w:rsidR="0011660C" w:rsidRPr="001B74F4" w:rsidRDefault="00FF5F6B">
      <w:pPr>
        <w:pStyle w:val="NormalWeb"/>
        <w:spacing w:after="160" w:afterAutospacing="0"/>
        <w:jc w:val="both"/>
      </w:pPr>
      <w:r w:rsidRPr="001B74F4">
        <w:t>Transportation challenges during emergencies were common. Approximately 63.4% of respondents noted occasional delays, while 24.1% reported frequent delays. Only 12.5% experienced such delays rarely. Furthermore, an overwhelming 87.5% of respondents reported facing challenges when referring patients to higher-level facilities. The key challenges identified included a lack of ambulance services (49.1%), distance to referral hospitals (25%), poor communication between facilities (13.4%), and other unspecified issues (12.5%).</w:t>
      </w:r>
    </w:p>
    <w:p w14:paraId="2D9C7189" w14:textId="77777777" w:rsidR="001272F6" w:rsidRPr="001B74F4" w:rsidRDefault="00D36E59">
      <w:pPr>
        <w:pStyle w:val="Heading3"/>
        <w:spacing w:after="160" w:afterAutospacing="0"/>
        <w:jc w:val="both"/>
        <w:rPr>
          <w:rStyle w:val="Strong"/>
          <w:bCs/>
          <w:sz w:val="24"/>
          <w:szCs w:val="24"/>
          <w:u w:val="single"/>
        </w:rPr>
      </w:pPr>
      <w:r w:rsidRPr="001B74F4">
        <w:rPr>
          <w:sz w:val="24"/>
          <w:szCs w:val="24"/>
        </w:rPr>
        <w:t xml:space="preserve">3.4 </w:t>
      </w:r>
      <w:r w:rsidRPr="001B74F4">
        <w:rPr>
          <w:sz w:val="24"/>
          <w:szCs w:val="24"/>
          <w:u w:val="single"/>
        </w:rPr>
        <w:t xml:space="preserve">  </w:t>
      </w:r>
      <w:r w:rsidR="001272F6" w:rsidRPr="001B74F4">
        <w:rPr>
          <w:sz w:val="24"/>
          <w:szCs w:val="24"/>
          <w:u w:val="single"/>
        </w:rPr>
        <w:t>To recommend strategies to enhance emergency preparedness at rural PHC facilities</w:t>
      </w:r>
    </w:p>
    <w:p w14:paraId="65BC6218" w14:textId="77777777" w:rsidR="0011660C" w:rsidRPr="001B74F4" w:rsidRDefault="00FF5F6B">
      <w:pPr>
        <w:pStyle w:val="Heading3"/>
        <w:spacing w:after="160" w:afterAutospacing="0"/>
        <w:jc w:val="both"/>
        <w:rPr>
          <w:rStyle w:val="Strong"/>
          <w:b/>
          <w:bCs/>
          <w:sz w:val="24"/>
          <w:szCs w:val="24"/>
        </w:rPr>
      </w:pPr>
      <w:r w:rsidRPr="001B74F4">
        <w:rPr>
          <w:rStyle w:val="Strong"/>
          <w:b/>
          <w:bCs/>
          <w:sz w:val="24"/>
          <w:szCs w:val="24"/>
        </w:rPr>
        <w:t>Analysis of Emergency Care Management: Recommendations, Challenges, and Types of Emergencies Managed</w:t>
      </w:r>
    </w:p>
    <w:p w14:paraId="070C1DF2" w14:textId="77777777" w:rsidR="00217004" w:rsidRPr="001B74F4" w:rsidRDefault="003001AC" w:rsidP="004A188E">
      <w:pPr>
        <w:spacing w:line="240" w:lineRule="auto"/>
        <w:jc w:val="both"/>
        <w:rPr>
          <w:rFonts w:ascii="Times New Roman" w:hAnsi="Times New Roman" w:cs="Times New Roman"/>
          <w:bCs/>
          <w:sz w:val="24"/>
          <w:szCs w:val="24"/>
        </w:rPr>
      </w:pPr>
      <w:r w:rsidRPr="001B74F4">
        <w:rPr>
          <w:rStyle w:val="Strong"/>
          <w:rFonts w:ascii="Times New Roman" w:hAnsi="Times New Roman" w:cs="Times New Roman"/>
          <w:b w:val="0"/>
          <w:bCs w:val="0"/>
          <w:sz w:val="24"/>
          <w:szCs w:val="24"/>
        </w:rPr>
        <w:t>To obtain appropriate information</w:t>
      </w:r>
      <w:r w:rsidRPr="001B74F4">
        <w:rPr>
          <w:rStyle w:val="Strong"/>
          <w:rFonts w:ascii="Times New Roman" w:hAnsi="Times New Roman" w:cs="Times New Roman"/>
          <w:bCs w:val="0"/>
          <w:sz w:val="24"/>
          <w:szCs w:val="24"/>
        </w:rPr>
        <w:t xml:space="preserve"> </w:t>
      </w:r>
      <w:r w:rsidR="00035FB5" w:rsidRPr="001B74F4">
        <w:rPr>
          <w:rStyle w:val="Strong"/>
          <w:rFonts w:ascii="Times New Roman" w:hAnsi="Times New Roman" w:cs="Times New Roman"/>
          <w:b w:val="0"/>
          <w:bCs w:val="0"/>
          <w:sz w:val="24"/>
          <w:szCs w:val="24"/>
        </w:rPr>
        <w:t>on</w:t>
      </w:r>
      <w:r w:rsidR="00035FB5" w:rsidRPr="001B74F4">
        <w:rPr>
          <w:rStyle w:val="Strong"/>
          <w:rFonts w:ascii="Times New Roman" w:hAnsi="Times New Roman" w:cs="Times New Roman"/>
          <w:bCs w:val="0"/>
          <w:sz w:val="24"/>
          <w:szCs w:val="24"/>
        </w:rPr>
        <w:t xml:space="preserve"> </w:t>
      </w:r>
      <w:r w:rsidR="00035FB5" w:rsidRPr="001B74F4">
        <w:rPr>
          <w:rFonts w:ascii="Times New Roman" w:hAnsi="Times New Roman" w:cs="Times New Roman"/>
          <w:sz w:val="24"/>
          <w:szCs w:val="24"/>
        </w:rPr>
        <w:t>strategies to enhance emergency preparedness at rural PHC facilities</w:t>
      </w:r>
      <w:r w:rsidR="00217004" w:rsidRPr="001B74F4">
        <w:rPr>
          <w:rFonts w:ascii="Times New Roman" w:hAnsi="Times New Roman" w:cs="Times New Roman"/>
          <w:sz w:val="24"/>
          <w:szCs w:val="24"/>
        </w:rPr>
        <w:t>,</w:t>
      </w:r>
      <w:r w:rsidR="00035FB5" w:rsidRPr="001B74F4">
        <w:rPr>
          <w:rFonts w:ascii="Times New Roman" w:hAnsi="Times New Roman" w:cs="Times New Roman"/>
          <w:sz w:val="24"/>
          <w:szCs w:val="24"/>
        </w:rPr>
        <w:t xml:space="preserve"> respondents were as </w:t>
      </w:r>
      <w:r w:rsidR="00217004" w:rsidRPr="001B74F4">
        <w:rPr>
          <w:rFonts w:ascii="Times New Roman" w:hAnsi="Times New Roman" w:cs="Times New Roman"/>
          <w:sz w:val="24"/>
          <w:szCs w:val="24"/>
        </w:rPr>
        <w:t>question on the</w:t>
      </w:r>
      <w:r w:rsidR="00217004" w:rsidRPr="001B74F4">
        <w:rPr>
          <w:rFonts w:ascii="Times New Roman" w:eastAsia="Times New Roman" w:hAnsi="Times New Roman" w:cs="Times New Roman"/>
          <w:bCs/>
          <w:sz w:val="24"/>
          <w:szCs w:val="24"/>
        </w:rPr>
        <w:t xml:space="preserve"> types of Emergencies Commonly Managed</w:t>
      </w:r>
      <w:r w:rsidR="00217004" w:rsidRPr="001B74F4">
        <w:rPr>
          <w:rFonts w:ascii="Times New Roman" w:hAnsi="Times New Roman" w:cs="Times New Roman"/>
          <w:bCs/>
          <w:sz w:val="24"/>
          <w:szCs w:val="24"/>
        </w:rPr>
        <w:t xml:space="preserve">, </w:t>
      </w:r>
      <w:r w:rsidR="00217004" w:rsidRPr="001B74F4">
        <w:rPr>
          <w:rFonts w:ascii="Times New Roman" w:eastAsia="Times New Roman" w:hAnsi="Times New Roman" w:cs="Times New Roman"/>
          <w:bCs/>
          <w:sz w:val="24"/>
          <w:szCs w:val="24"/>
        </w:rPr>
        <w:t>Barriers Faced in Managing Emergencies</w:t>
      </w:r>
      <w:r w:rsidR="00217004" w:rsidRPr="001B74F4">
        <w:rPr>
          <w:rFonts w:ascii="Times New Roman" w:hAnsi="Times New Roman" w:cs="Times New Roman"/>
          <w:bCs/>
          <w:sz w:val="24"/>
          <w:szCs w:val="24"/>
        </w:rPr>
        <w:t>, and Participants’ Opinions on Key Factors for Improving Emergency Care.</w:t>
      </w:r>
    </w:p>
    <w:p w14:paraId="76E57D9D" w14:textId="77777777" w:rsidR="005F1937" w:rsidRPr="001B74F4" w:rsidRDefault="005F1937" w:rsidP="005F1937">
      <w:pPr>
        <w:pStyle w:val="NormalWeb"/>
      </w:pPr>
      <w:r w:rsidRPr="001B74F4">
        <w:rPr>
          <w:b/>
          <w:bCs/>
        </w:rPr>
        <w:t>Types of Emergencies Commonly Managed</w:t>
      </w:r>
    </w:p>
    <w:p w14:paraId="5D10F2C9" w14:textId="77777777" w:rsidR="005F1937" w:rsidRPr="001B74F4" w:rsidRDefault="005F1937" w:rsidP="005F1937">
      <w:pPr>
        <w:pStyle w:val="NormalWeb"/>
      </w:pPr>
      <w:r w:rsidRPr="001B74F4">
        <w:t xml:space="preserve">Participants reported managing a variety of emergencies. </w:t>
      </w:r>
      <w:r w:rsidR="004A188E" w:rsidRPr="001B74F4">
        <w:t>As shown in Figure 3, t</w:t>
      </w:r>
      <w:r w:rsidRPr="001B74F4">
        <w:t xml:space="preserve">he most frequent were </w:t>
      </w:r>
      <w:r w:rsidRPr="001B74F4">
        <w:rPr>
          <w:b/>
          <w:bCs/>
        </w:rPr>
        <w:t>trauma-related accidents</w:t>
      </w:r>
      <w:r w:rsidRPr="001B74F4">
        <w:t xml:space="preserve">, cited by 208 participants, reflecting the high incidence of injuries likely related to road traffic accidents and workplace incidents. </w:t>
      </w:r>
      <w:r w:rsidRPr="001B74F4">
        <w:rPr>
          <w:b/>
          <w:bCs/>
        </w:rPr>
        <w:t>Obstetric emergencies</w:t>
      </w:r>
      <w:r w:rsidRPr="001B74F4">
        <w:t xml:space="preserve">, particularly labor complications, were also common (154 respondents), as were </w:t>
      </w:r>
      <w:r w:rsidRPr="001B74F4">
        <w:rPr>
          <w:b/>
          <w:bCs/>
        </w:rPr>
        <w:t>pediatric emergencies</w:t>
      </w:r>
      <w:r w:rsidRPr="001B74F4">
        <w:t xml:space="preserve"> (126) and </w:t>
      </w:r>
      <w:r w:rsidRPr="001B74F4">
        <w:rPr>
          <w:b/>
          <w:bCs/>
        </w:rPr>
        <w:t>cardiac emergencies</w:t>
      </w:r>
      <w:r w:rsidRPr="001B74F4">
        <w:t xml:space="preserve"> (84). An additional 30 participants noted managing other types of emergencies not specifically listed. This distribution of cases highlights the broad scope of emergency care responsibilities at the primary healthcare level.</w:t>
      </w:r>
    </w:p>
    <w:p w14:paraId="6E3EE182" w14:textId="77777777" w:rsidR="005F1937" w:rsidRPr="001B74F4" w:rsidRDefault="005F1937">
      <w:pPr>
        <w:pStyle w:val="NormalWeb"/>
        <w:spacing w:after="160" w:afterAutospacing="0"/>
        <w:jc w:val="both"/>
      </w:pPr>
    </w:p>
    <w:p w14:paraId="7D5E25EB" w14:textId="77777777" w:rsidR="005F1937" w:rsidRPr="001B74F4" w:rsidRDefault="005F1937" w:rsidP="005F1937">
      <w:pPr>
        <w:pStyle w:val="NormalWeb"/>
      </w:pPr>
      <w:r w:rsidRPr="001B74F4">
        <w:rPr>
          <w:b/>
          <w:bCs/>
        </w:rPr>
        <w:lastRenderedPageBreak/>
        <w:t>Barriers Faced in Managing Emergencies</w:t>
      </w:r>
    </w:p>
    <w:p w14:paraId="1FE1A594" w14:textId="77777777" w:rsidR="005F1937" w:rsidRPr="001B74F4" w:rsidRDefault="005F1937" w:rsidP="005F1937">
      <w:pPr>
        <w:pStyle w:val="NormalWeb"/>
      </w:pPr>
      <w:r w:rsidRPr="001B74F4">
        <w:t xml:space="preserve">A number of barriers hinder the effective management of emergencies in healthcare settings. </w:t>
      </w:r>
      <w:r w:rsidR="009E2C01" w:rsidRPr="001B74F4">
        <w:t>As shown in Figure 4, t</w:t>
      </w:r>
      <w:r w:rsidRPr="001B74F4">
        <w:t xml:space="preserve">he most significant challenge identified was </w:t>
      </w:r>
      <w:r w:rsidRPr="001B74F4">
        <w:rPr>
          <w:b/>
          <w:bCs/>
        </w:rPr>
        <w:t>staff shortages</w:t>
      </w:r>
      <w:r w:rsidRPr="001B74F4">
        <w:t xml:space="preserve">, reported by 196 participants. This was followed by </w:t>
      </w:r>
      <w:r w:rsidRPr="001B74F4">
        <w:rPr>
          <w:b/>
          <w:bCs/>
        </w:rPr>
        <w:t>inadequate medical equipment in hospitals</w:t>
      </w:r>
      <w:r w:rsidRPr="001B74F4">
        <w:t xml:space="preserve"> (182 respondents) and </w:t>
      </w:r>
      <w:r w:rsidR="00386D2F">
        <w:t xml:space="preserve">a </w:t>
      </w:r>
      <w:r w:rsidRPr="001B74F4">
        <w:rPr>
          <w:b/>
          <w:bCs/>
        </w:rPr>
        <w:t>lack of training</w:t>
      </w:r>
      <w:r w:rsidRPr="001B74F4">
        <w:t xml:space="preserve"> (128). </w:t>
      </w:r>
      <w:r w:rsidRPr="001B74F4">
        <w:rPr>
          <w:b/>
          <w:bCs/>
        </w:rPr>
        <w:t>Communication issues</w:t>
      </w:r>
      <w:r w:rsidRPr="001B74F4">
        <w:t xml:space="preserve"> (72) and </w:t>
      </w:r>
      <w:r w:rsidRPr="001B74F4">
        <w:rPr>
          <w:b/>
          <w:bCs/>
        </w:rPr>
        <w:t>delayed access to specialist care</w:t>
      </w:r>
      <w:r w:rsidRPr="001B74F4">
        <w:t xml:space="preserve"> (114) were also noted. These barriers align closely with the participants' suggestions for improvement, underlining recurring challenges related to workforce capacity, equipment availability, and inter-facility coordination.</w:t>
      </w:r>
    </w:p>
    <w:p w14:paraId="2E99E653" w14:textId="77777777" w:rsidR="005F1937" w:rsidRPr="001B74F4" w:rsidRDefault="005F1937">
      <w:pPr>
        <w:pStyle w:val="NormalWeb"/>
        <w:spacing w:after="160" w:afterAutospacing="0"/>
        <w:jc w:val="both"/>
      </w:pPr>
    </w:p>
    <w:p w14:paraId="6125C389" w14:textId="77777777" w:rsidR="001B74F4" w:rsidRPr="001B74F4" w:rsidRDefault="001B74F4">
      <w:pPr>
        <w:pStyle w:val="NormalWeb"/>
        <w:spacing w:after="160" w:afterAutospacing="0"/>
        <w:jc w:val="both"/>
      </w:pPr>
    </w:p>
    <w:p w14:paraId="00CB4041" w14:textId="77777777" w:rsidR="001B74F4" w:rsidRPr="001B74F4" w:rsidRDefault="001B74F4">
      <w:pPr>
        <w:pStyle w:val="NormalWeb"/>
        <w:spacing w:after="160" w:afterAutospacing="0"/>
        <w:jc w:val="both"/>
      </w:pPr>
    </w:p>
    <w:p w14:paraId="106CBD28" w14:textId="77777777" w:rsidR="005F1937" w:rsidRPr="001B74F4" w:rsidRDefault="005F1937" w:rsidP="005F1937">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Participants’ Opinions on Key Factors for Improving Emergency Care</w:t>
      </w:r>
    </w:p>
    <w:p w14:paraId="36A15C35" w14:textId="77777777" w:rsidR="005F1937" w:rsidRPr="001B74F4" w:rsidRDefault="005F1937" w:rsidP="005F1937">
      <w:pPr>
        <w:spacing w:line="240" w:lineRule="auto"/>
        <w:jc w:val="both"/>
        <w:rPr>
          <w:rFonts w:ascii="Times New Roman" w:hAnsi="Times New Roman" w:cs="Times New Roman"/>
          <w:bCs/>
          <w:sz w:val="24"/>
          <w:szCs w:val="24"/>
        </w:rPr>
      </w:pPr>
      <w:r w:rsidRPr="001B74F4">
        <w:rPr>
          <w:rFonts w:ascii="Times New Roman" w:hAnsi="Times New Roman" w:cs="Times New Roman"/>
          <w:bCs/>
          <w:sz w:val="24"/>
          <w:szCs w:val="24"/>
        </w:rPr>
        <w:t xml:space="preserve">Consistent with the recommendations, participants expressed strong opinions about what is needed to improve emergency services. </w:t>
      </w:r>
      <w:r w:rsidR="009E2C01" w:rsidRPr="001B74F4">
        <w:rPr>
          <w:rFonts w:ascii="Times New Roman" w:hAnsi="Times New Roman" w:cs="Times New Roman"/>
          <w:bCs/>
          <w:sz w:val="24"/>
          <w:szCs w:val="24"/>
        </w:rPr>
        <w:t xml:space="preserve">As shown in Figure 5, </w:t>
      </w:r>
      <w:r w:rsidR="00386D2F">
        <w:rPr>
          <w:rFonts w:ascii="Times New Roman" w:hAnsi="Times New Roman" w:cs="Times New Roman"/>
          <w:bCs/>
          <w:sz w:val="24"/>
          <w:szCs w:val="24"/>
        </w:rPr>
        <w:t>again</w:t>
      </w:r>
      <w:r w:rsidRPr="001B74F4">
        <w:rPr>
          <w:rFonts w:ascii="Times New Roman" w:hAnsi="Times New Roman" w:cs="Times New Roman"/>
          <w:bCs/>
          <w:sz w:val="24"/>
          <w:szCs w:val="24"/>
        </w:rPr>
        <w:t>, additional training and education topped the list with 210 endorsements, as did increased staffing and better access to emergency equipment, each also cited by 210 participants. Improving communication systems was mentioned by 142 respondents, and regular emergency drills received support from 168 participants. These opinions reinforce the view that effective emergency care is dependent on a well-trained, adequately resourced, and coordinated healthcare workforce.</w:t>
      </w:r>
    </w:p>
    <w:p w14:paraId="675B36D4" w14:textId="77777777" w:rsidR="005F1937" w:rsidRPr="001B74F4" w:rsidRDefault="005F1937">
      <w:pPr>
        <w:spacing w:line="240" w:lineRule="auto"/>
        <w:jc w:val="both"/>
        <w:rPr>
          <w:rFonts w:ascii="Times New Roman" w:hAnsi="Times New Roman" w:cs="Times New Roman"/>
          <w:b/>
          <w:bCs/>
          <w:sz w:val="24"/>
          <w:szCs w:val="24"/>
        </w:rPr>
      </w:pPr>
    </w:p>
    <w:p w14:paraId="315355CF" w14:textId="77777777" w:rsidR="005F1937" w:rsidRPr="001B74F4" w:rsidRDefault="005F1937" w:rsidP="005F1937">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Recommendations to Improve Emergency Management</w:t>
      </w:r>
    </w:p>
    <w:p w14:paraId="650FA42A" w14:textId="77777777" w:rsidR="003B1FE4" w:rsidRPr="001B74F4" w:rsidRDefault="005F1937">
      <w:pPr>
        <w:spacing w:line="240" w:lineRule="auto"/>
        <w:jc w:val="both"/>
        <w:rPr>
          <w:rFonts w:ascii="Times New Roman" w:hAnsi="Times New Roman" w:cs="Times New Roman"/>
          <w:bCs/>
          <w:sz w:val="24"/>
          <w:szCs w:val="24"/>
        </w:rPr>
      </w:pPr>
      <w:r w:rsidRPr="001B74F4">
        <w:rPr>
          <w:rFonts w:ascii="Times New Roman" w:hAnsi="Times New Roman" w:cs="Times New Roman"/>
          <w:bCs/>
          <w:sz w:val="24"/>
          <w:szCs w:val="24"/>
        </w:rPr>
        <w:t xml:space="preserve">Respondents offered several key recommendations aimed at enhancing emergency care delivery. </w:t>
      </w:r>
      <w:r w:rsidR="009E2C01" w:rsidRPr="001B74F4">
        <w:rPr>
          <w:rFonts w:ascii="Times New Roman" w:hAnsi="Times New Roman" w:cs="Times New Roman"/>
          <w:bCs/>
          <w:sz w:val="24"/>
          <w:szCs w:val="24"/>
        </w:rPr>
        <w:t xml:space="preserve">As shown in Figure 6, </w:t>
      </w:r>
      <w:r w:rsidRPr="001B74F4">
        <w:rPr>
          <w:rFonts w:ascii="Times New Roman" w:hAnsi="Times New Roman" w:cs="Times New Roman"/>
          <w:bCs/>
          <w:sz w:val="24"/>
          <w:szCs w:val="24"/>
        </w:rPr>
        <w:t xml:space="preserve">he most frequently cited suggestion was the provision of more medical equipment and supplies, indicated by 210 participants. This was closely followed by the need for regular training of </w:t>
      </w:r>
      <w:r w:rsidR="006230B8" w:rsidRPr="001B74F4">
        <w:rPr>
          <w:rFonts w:ascii="Times New Roman" w:hAnsi="Times New Roman" w:cs="Times New Roman"/>
          <w:bCs/>
          <w:sz w:val="24"/>
          <w:szCs w:val="24"/>
        </w:rPr>
        <w:t>nurses and midwives</w:t>
      </w:r>
      <w:r w:rsidRPr="001B74F4">
        <w:rPr>
          <w:rFonts w:ascii="Times New Roman" w:hAnsi="Times New Roman" w:cs="Times New Roman"/>
          <w:bCs/>
          <w:sz w:val="24"/>
          <w:szCs w:val="24"/>
        </w:rPr>
        <w:t>(184 responses) and the establishment of better referral systems and transportation networks (182 responses). Increased staffing was also highlighted by 170 participants as a critical requirement, while improved communication systems were mentioned by 86 respondents. These recommendations point to systemic gaps in emergency preparedness, infrastructure, and workforce support.</w:t>
      </w:r>
    </w:p>
    <w:p w14:paraId="2419C16A" w14:textId="77777777" w:rsidR="00386D2F" w:rsidRDefault="00386D2F">
      <w:pPr>
        <w:spacing w:line="240" w:lineRule="auto"/>
        <w:jc w:val="both"/>
        <w:rPr>
          <w:rFonts w:ascii="Times New Roman" w:hAnsi="Times New Roman" w:cs="Times New Roman"/>
          <w:b/>
          <w:bCs/>
          <w:sz w:val="24"/>
          <w:szCs w:val="24"/>
        </w:rPr>
      </w:pPr>
    </w:p>
    <w:p w14:paraId="0B1DD767" w14:textId="77777777" w:rsidR="00386D2F" w:rsidRDefault="00386D2F">
      <w:pPr>
        <w:spacing w:line="240" w:lineRule="auto"/>
        <w:jc w:val="both"/>
        <w:rPr>
          <w:rFonts w:ascii="Times New Roman" w:hAnsi="Times New Roman" w:cs="Times New Roman"/>
          <w:b/>
          <w:bCs/>
          <w:sz w:val="24"/>
          <w:szCs w:val="24"/>
        </w:rPr>
      </w:pPr>
    </w:p>
    <w:p w14:paraId="12DD405F" w14:textId="77777777" w:rsidR="00386D2F" w:rsidRDefault="00386D2F">
      <w:pPr>
        <w:spacing w:line="240" w:lineRule="auto"/>
        <w:jc w:val="both"/>
        <w:rPr>
          <w:rFonts w:ascii="Times New Roman" w:hAnsi="Times New Roman" w:cs="Times New Roman"/>
          <w:b/>
          <w:bCs/>
          <w:sz w:val="24"/>
          <w:szCs w:val="24"/>
        </w:rPr>
      </w:pPr>
    </w:p>
    <w:p w14:paraId="4CFB2798" w14:textId="77777777" w:rsidR="0011660C" w:rsidRPr="001B74F4" w:rsidRDefault="00FF5F6B">
      <w:pPr>
        <w:spacing w:line="240" w:lineRule="auto"/>
        <w:jc w:val="both"/>
        <w:rPr>
          <w:rFonts w:ascii="Times New Roman" w:hAnsi="Times New Roman" w:cs="Times New Roman"/>
          <w:bCs/>
          <w:sz w:val="24"/>
          <w:szCs w:val="24"/>
        </w:rPr>
      </w:pPr>
      <w:r w:rsidRPr="001B74F4">
        <w:rPr>
          <w:rFonts w:ascii="Times New Roman" w:hAnsi="Times New Roman" w:cs="Times New Roman"/>
          <w:b/>
          <w:bCs/>
          <w:sz w:val="24"/>
          <w:szCs w:val="24"/>
        </w:rPr>
        <w:t>Figure 3</w:t>
      </w:r>
    </w:p>
    <w:p w14:paraId="5A2ADD11" w14:textId="77777777"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lastRenderedPageBreak/>
        <w:drawing>
          <wp:inline distT="0" distB="0" distL="0" distR="0" wp14:anchorId="51FC09A9" wp14:editId="4D0B7741">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6FAFC4" w14:textId="77777777" w:rsidR="003B1FE4" w:rsidRPr="001B74F4" w:rsidRDefault="003B1FE4">
      <w:pPr>
        <w:spacing w:line="240" w:lineRule="auto"/>
        <w:jc w:val="both"/>
        <w:rPr>
          <w:rFonts w:ascii="Times New Roman" w:hAnsi="Times New Roman" w:cs="Times New Roman"/>
          <w:b/>
          <w:bCs/>
          <w:sz w:val="24"/>
          <w:szCs w:val="24"/>
        </w:rPr>
      </w:pPr>
      <w:r w:rsidRPr="001B74F4">
        <w:rPr>
          <w:rFonts w:ascii="Times New Roman" w:hAnsi="Times New Roman" w:cs="Times New Roman"/>
          <w:sz w:val="24"/>
          <w:szCs w:val="24"/>
        </w:rPr>
        <w:t>Source: Field Data, 2025</w:t>
      </w:r>
    </w:p>
    <w:p w14:paraId="0CB6BCD6" w14:textId="77777777" w:rsidR="003B1FE4" w:rsidRPr="001B74F4" w:rsidRDefault="003B1FE4">
      <w:pPr>
        <w:spacing w:line="240" w:lineRule="auto"/>
        <w:jc w:val="both"/>
        <w:rPr>
          <w:rFonts w:ascii="Times New Roman" w:hAnsi="Times New Roman" w:cs="Times New Roman"/>
          <w:b/>
          <w:bCs/>
          <w:sz w:val="24"/>
          <w:szCs w:val="24"/>
        </w:rPr>
      </w:pPr>
    </w:p>
    <w:p w14:paraId="59770DEB" w14:textId="77777777" w:rsidR="003B1FE4" w:rsidRPr="001B74F4" w:rsidRDefault="003B1FE4">
      <w:pPr>
        <w:spacing w:line="240" w:lineRule="auto"/>
        <w:jc w:val="both"/>
        <w:rPr>
          <w:rFonts w:ascii="Times New Roman" w:hAnsi="Times New Roman" w:cs="Times New Roman"/>
          <w:b/>
          <w:bCs/>
          <w:sz w:val="24"/>
          <w:szCs w:val="24"/>
        </w:rPr>
      </w:pPr>
    </w:p>
    <w:p w14:paraId="475DE8B5" w14:textId="77777777" w:rsidR="003B1FE4" w:rsidRPr="001B74F4" w:rsidRDefault="003B1FE4">
      <w:pPr>
        <w:spacing w:line="240" w:lineRule="auto"/>
        <w:jc w:val="both"/>
        <w:rPr>
          <w:rFonts w:ascii="Times New Roman" w:hAnsi="Times New Roman" w:cs="Times New Roman"/>
          <w:b/>
          <w:bCs/>
          <w:sz w:val="24"/>
          <w:szCs w:val="24"/>
        </w:rPr>
      </w:pPr>
    </w:p>
    <w:p w14:paraId="78B536A6" w14:textId="77777777" w:rsidR="003B1FE4" w:rsidRPr="001B74F4" w:rsidRDefault="003B1FE4">
      <w:pPr>
        <w:spacing w:line="240" w:lineRule="auto"/>
        <w:jc w:val="both"/>
        <w:rPr>
          <w:rFonts w:ascii="Times New Roman" w:hAnsi="Times New Roman" w:cs="Times New Roman"/>
          <w:b/>
          <w:bCs/>
          <w:sz w:val="24"/>
          <w:szCs w:val="24"/>
        </w:rPr>
      </w:pPr>
    </w:p>
    <w:p w14:paraId="5AFE88C5" w14:textId="77777777" w:rsidR="003B1FE4" w:rsidRPr="001B74F4" w:rsidRDefault="003B1FE4">
      <w:pPr>
        <w:spacing w:line="240" w:lineRule="auto"/>
        <w:jc w:val="both"/>
        <w:rPr>
          <w:rFonts w:ascii="Times New Roman" w:hAnsi="Times New Roman" w:cs="Times New Roman"/>
          <w:b/>
          <w:bCs/>
          <w:sz w:val="24"/>
          <w:szCs w:val="24"/>
        </w:rPr>
      </w:pPr>
    </w:p>
    <w:p w14:paraId="71D1E12E" w14:textId="77777777" w:rsidR="0011660C" w:rsidRPr="001B74F4" w:rsidRDefault="00FF5F6B">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Figure 4.</w:t>
      </w:r>
    </w:p>
    <w:p w14:paraId="1BB885F8" w14:textId="77777777"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14:anchorId="4BEAD0CE" wp14:editId="0A5940A9">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0F83012" w14:textId="77777777" w:rsidR="0011660C" w:rsidRPr="001B74F4" w:rsidRDefault="003B1FE4">
      <w:pPr>
        <w:spacing w:line="240" w:lineRule="auto"/>
        <w:jc w:val="both"/>
        <w:rPr>
          <w:rFonts w:ascii="Times New Roman" w:hAnsi="Times New Roman" w:cs="Times New Roman"/>
          <w:sz w:val="24"/>
          <w:szCs w:val="24"/>
        </w:rPr>
      </w:pPr>
      <w:r w:rsidRPr="001B74F4">
        <w:rPr>
          <w:rFonts w:ascii="Times New Roman" w:hAnsi="Times New Roman" w:cs="Times New Roman"/>
          <w:sz w:val="24"/>
          <w:szCs w:val="24"/>
        </w:rPr>
        <w:t>Source: Field Data, 2025</w:t>
      </w:r>
    </w:p>
    <w:p w14:paraId="1C58E620" w14:textId="77777777" w:rsidR="009E2C01" w:rsidRPr="001B74F4" w:rsidRDefault="009E2C01">
      <w:pPr>
        <w:spacing w:line="240" w:lineRule="auto"/>
        <w:jc w:val="both"/>
        <w:rPr>
          <w:rFonts w:ascii="Times New Roman" w:hAnsi="Times New Roman" w:cs="Times New Roman"/>
          <w:b/>
          <w:bCs/>
          <w:sz w:val="24"/>
          <w:szCs w:val="24"/>
        </w:rPr>
      </w:pPr>
    </w:p>
    <w:p w14:paraId="19812D53" w14:textId="77777777" w:rsidR="0011660C" w:rsidRPr="001B74F4" w:rsidRDefault="00FF5F6B">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lastRenderedPageBreak/>
        <w:t>Figure 5</w:t>
      </w:r>
    </w:p>
    <w:p w14:paraId="0BB47883" w14:textId="77777777" w:rsidR="0011660C" w:rsidRPr="001B74F4" w:rsidRDefault="0011660C">
      <w:pPr>
        <w:spacing w:line="240" w:lineRule="auto"/>
        <w:jc w:val="both"/>
        <w:rPr>
          <w:rFonts w:ascii="Times New Roman" w:hAnsi="Times New Roman" w:cs="Times New Roman"/>
          <w:sz w:val="24"/>
          <w:szCs w:val="24"/>
        </w:rPr>
      </w:pPr>
    </w:p>
    <w:p w14:paraId="257FE546" w14:textId="77777777"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14:anchorId="1D12545C" wp14:editId="633B1367">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68B844C" w14:textId="77777777" w:rsidR="0011660C" w:rsidRPr="001B74F4" w:rsidRDefault="0011660C">
      <w:pPr>
        <w:spacing w:line="240" w:lineRule="auto"/>
        <w:jc w:val="both"/>
        <w:rPr>
          <w:rFonts w:ascii="Times New Roman" w:hAnsi="Times New Roman" w:cs="Times New Roman"/>
          <w:sz w:val="24"/>
          <w:szCs w:val="24"/>
        </w:rPr>
      </w:pPr>
    </w:p>
    <w:p w14:paraId="215F3798" w14:textId="77777777" w:rsidR="0011660C" w:rsidRPr="001B74F4" w:rsidRDefault="003B1FE4">
      <w:pPr>
        <w:spacing w:line="240" w:lineRule="auto"/>
        <w:jc w:val="both"/>
        <w:rPr>
          <w:rFonts w:ascii="Times New Roman" w:hAnsi="Times New Roman" w:cs="Times New Roman"/>
          <w:sz w:val="24"/>
          <w:szCs w:val="24"/>
        </w:rPr>
      </w:pPr>
      <w:r w:rsidRPr="001B74F4">
        <w:rPr>
          <w:rFonts w:ascii="Times New Roman" w:hAnsi="Times New Roman" w:cs="Times New Roman"/>
          <w:sz w:val="24"/>
          <w:szCs w:val="24"/>
        </w:rPr>
        <w:t>Source: Field Data, 2025</w:t>
      </w:r>
    </w:p>
    <w:p w14:paraId="5CE48FD8" w14:textId="77777777" w:rsidR="0011660C" w:rsidRPr="001B74F4" w:rsidRDefault="0011660C">
      <w:pPr>
        <w:spacing w:line="240" w:lineRule="auto"/>
        <w:jc w:val="both"/>
        <w:rPr>
          <w:rFonts w:ascii="Times New Roman" w:hAnsi="Times New Roman" w:cs="Times New Roman"/>
          <w:sz w:val="24"/>
          <w:szCs w:val="24"/>
        </w:rPr>
      </w:pPr>
    </w:p>
    <w:p w14:paraId="476F3233" w14:textId="77777777" w:rsidR="0011660C" w:rsidRPr="001B74F4" w:rsidRDefault="0011660C">
      <w:pPr>
        <w:spacing w:line="240" w:lineRule="auto"/>
        <w:jc w:val="both"/>
        <w:rPr>
          <w:rFonts w:ascii="Times New Roman" w:hAnsi="Times New Roman" w:cs="Times New Roman"/>
          <w:sz w:val="24"/>
          <w:szCs w:val="24"/>
        </w:rPr>
      </w:pPr>
    </w:p>
    <w:p w14:paraId="0FE5BB7A" w14:textId="77777777" w:rsidR="0011660C" w:rsidRPr="001B74F4" w:rsidRDefault="00FF5F6B">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Figure 5</w:t>
      </w:r>
    </w:p>
    <w:p w14:paraId="7B55EED7" w14:textId="77777777"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14:anchorId="6C644948" wp14:editId="5E5C3A74">
            <wp:extent cx="4572000" cy="2743200"/>
            <wp:effectExtent l="4445" t="4445" r="1460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AB89ECD" w14:textId="77777777" w:rsidR="00C81A53" w:rsidRPr="00386D2F" w:rsidRDefault="003B1FE4">
      <w:pPr>
        <w:spacing w:line="240" w:lineRule="auto"/>
        <w:jc w:val="both"/>
        <w:rPr>
          <w:rFonts w:ascii="Times New Roman" w:hAnsi="Times New Roman" w:cs="Times New Roman"/>
          <w:sz w:val="24"/>
          <w:szCs w:val="24"/>
        </w:rPr>
      </w:pPr>
      <w:r w:rsidRPr="001B74F4">
        <w:rPr>
          <w:rFonts w:ascii="Times New Roman" w:hAnsi="Times New Roman" w:cs="Times New Roman"/>
          <w:sz w:val="24"/>
          <w:szCs w:val="24"/>
        </w:rPr>
        <w:t>Source: Field Data, 2025</w:t>
      </w:r>
    </w:p>
    <w:p w14:paraId="07B0D925" w14:textId="77777777" w:rsidR="003B1FE4" w:rsidRPr="001B74F4" w:rsidRDefault="003B1FE4">
      <w:pPr>
        <w:spacing w:line="240" w:lineRule="auto"/>
        <w:jc w:val="both"/>
        <w:rPr>
          <w:rFonts w:ascii="Times New Roman" w:eastAsia="Times New Roman" w:hAnsi="Times New Roman" w:cs="Times New Roman"/>
          <w:b/>
          <w:bCs/>
          <w:sz w:val="24"/>
          <w:szCs w:val="24"/>
        </w:rPr>
      </w:pPr>
    </w:p>
    <w:p w14:paraId="26871C89" w14:textId="77777777" w:rsidR="0011660C" w:rsidRPr="001B74F4" w:rsidRDefault="00D36E59">
      <w:pPr>
        <w:spacing w:line="240" w:lineRule="auto"/>
        <w:jc w:val="both"/>
        <w:rPr>
          <w:rFonts w:ascii="Times New Roman" w:hAnsi="Times New Roman" w:cs="Times New Roman"/>
          <w:sz w:val="24"/>
          <w:szCs w:val="24"/>
          <w:u w:val="single"/>
        </w:rPr>
      </w:pPr>
      <w:r w:rsidRPr="001B74F4">
        <w:rPr>
          <w:rFonts w:ascii="Times New Roman" w:eastAsia="Times New Roman" w:hAnsi="Times New Roman" w:cs="Times New Roman"/>
          <w:b/>
          <w:bCs/>
          <w:sz w:val="24"/>
          <w:szCs w:val="24"/>
          <w:u w:val="single"/>
        </w:rPr>
        <w:lastRenderedPageBreak/>
        <w:t xml:space="preserve">4.0 </w:t>
      </w:r>
      <w:r w:rsidR="00FF5F6B" w:rsidRPr="001B74F4">
        <w:rPr>
          <w:rFonts w:ascii="Times New Roman" w:eastAsia="Times New Roman" w:hAnsi="Times New Roman" w:cs="Times New Roman"/>
          <w:b/>
          <w:bCs/>
          <w:sz w:val="24"/>
          <w:szCs w:val="24"/>
          <w:u w:val="single"/>
        </w:rPr>
        <w:t>Discussion</w:t>
      </w:r>
    </w:p>
    <w:p w14:paraId="285E812C"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 xml:space="preserve">Assessing the Emergency Response Capacity and Resource Availability in Rural Primary Healthcare Facilities in Ahafo </w:t>
      </w:r>
      <w:proofErr w:type="spellStart"/>
      <w:r w:rsidRPr="001B74F4">
        <w:rPr>
          <w:rFonts w:ascii="Times New Roman" w:eastAsia="Times New Roman" w:hAnsi="Times New Roman" w:cs="Times New Roman"/>
          <w:b/>
          <w:bCs/>
          <w:sz w:val="24"/>
          <w:szCs w:val="24"/>
        </w:rPr>
        <w:t>Ano</w:t>
      </w:r>
      <w:proofErr w:type="spellEnd"/>
      <w:r w:rsidRPr="001B74F4">
        <w:rPr>
          <w:rFonts w:ascii="Times New Roman" w:eastAsia="Times New Roman" w:hAnsi="Times New Roman" w:cs="Times New Roman"/>
          <w:b/>
          <w:bCs/>
          <w:sz w:val="24"/>
          <w:szCs w:val="24"/>
        </w:rPr>
        <w:t xml:space="preserve"> North</w:t>
      </w:r>
    </w:p>
    <w:p w14:paraId="4C8E40D0"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primary objective of this study was to evaluate the ability of </w:t>
      </w:r>
      <w:r w:rsidR="00B623D4" w:rsidRPr="001B74F4">
        <w:rPr>
          <w:rFonts w:ascii="Times New Roman" w:eastAsia="Times New Roman" w:hAnsi="Times New Roman" w:cs="Times New Roman"/>
          <w:sz w:val="24"/>
          <w:szCs w:val="24"/>
        </w:rPr>
        <w:t>resources</w:t>
      </w:r>
      <w:r w:rsidR="00D36E59" w:rsidRPr="001B74F4">
        <w:rPr>
          <w:rFonts w:ascii="Times New Roman" w:eastAsia="Times New Roman" w:hAnsi="Times New Roman" w:cs="Times New Roman"/>
          <w:sz w:val="24"/>
          <w:szCs w:val="24"/>
        </w:rPr>
        <w:t xml:space="preserve"> at </w:t>
      </w:r>
      <w:r w:rsidRPr="001B74F4">
        <w:rPr>
          <w:rFonts w:ascii="Times New Roman" w:eastAsia="Times New Roman" w:hAnsi="Times New Roman" w:cs="Times New Roman"/>
          <w:sz w:val="24"/>
          <w:szCs w:val="24"/>
        </w:rPr>
        <w:t xml:space="preserve">rural primary healthcare facilities in the Ahafo </w:t>
      </w:r>
      <w:proofErr w:type="spellStart"/>
      <w:r w:rsidRPr="001B74F4">
        <w:rPr>
          <w:rFonts w:ascii="Times New Roman" w:eastAsia="Times New Roman" w:hAnsi="Times New Roman" w:cs="Times New Roman"/>
          <w:sz w:val="24"/>
          <w:szCs w:val="24"/>
        </w:rPr>
        <w:t>Ano</w:t>
      </w:r>
      <w:proofErr w:type="spellEnd"/>
      <w:r w:rsidRPr="001B74F4">
        <w:rPr>
          <w:rFonts w:ascii="Times New Roman" w:eastAsia="Times New Roman" w:hAnsi="Times New Roman" w:cs="Times New Roman"/>
          <w:sz w:val="24"/>
          <w:szCs w:val="24"/>
        </w:rPr>
        <w:t xml:space="preserve"> North District to effectively manage emergency medical situations. A critical aspect of this assessment involved determining the availability of emergency care resources, including equipment, essential medications, and adequately trained personnel. The interpretation of participants' demographic characteristics, particularly age, provides essential context for understanding the distribution and experiences of the healthcare workforce engaged in emergency response in these rural settings.</w:t>
      </w:r>
      <w:r w:rsidR="00E768C0" w:rsidRPr="001B74F4">
        <w:rPr>
          <w:rFonts w:ascii="Times New Roman" w:eastAsia="Times New Roman" w:hAnsi="Times New Roman" w:cs="Times New Roman"/>
          <w:sz w:val="24"/>
          <w:szCs w:val="24"/>
        </w:rPr>
        <w:t xml:space="preserve"> Hence</w:t>
      </w:r>
      <w:r w:rsidR="00B623D4" w:rsidRPr="001B74F4">
        <w:rPr>
          <w:rFonts w:ascii="Times New Roman" w:eastAsia="Times New Roman" w:hAnsi="Times New Roman" w:cs="Times New Roman"/>
          <w:sz w:val="24"/>
          <w:szCs w:val="24"/>
        </w:rPr>
        <w:t>,</w:t>
      </w:r>
      <w:r w:rsidR="00E768C0" w:rsidRPr="001B74F4">
        <w:rPr>
          <w:rFonts w:ascii="Times New Roman" w:eastAsia="Times New Roman" w:hAnsi="Times New Roman" w:cs="Times New Roman"/>
          <w:sz w:val="24"/>
          <w:szCs w:val="24"/>
        </w:rPr>
        <w:t xml:space="preserve"> the discussion of </w:t>
      </w:r>
      <w:r w:rsidR="00B623D4" w:rsidRPr="001B74F4">
        <w:rPr>
          <w:rFonts w:ascii="Times New Roman" w:eastAsia="Times New Roman" w:hAnsi="Times New Roman" w:cs="Times New Roman"/>
          <w:sz w:val="24"/>
          <w:szCs w:val="24"/>
        </w:rPr>
        <w:t>participants'</w:t>
      </w:r>
      <w:r w:rsidR="00E768C0" w:rsidRPr="001B74F4">
        <w:rPr>
          <w:rFonts w:ascii="Times New Roman" w:eastAsia="Times New Roman" w:hAnsi="Times New Roman" w:cs="Times New Roman"/>
          <w:sz w:val="24"/>
          <w:szCs w:val="24"/>
        </w:rPr>
        <w:t xml:space="preserve"> </w:t>
      </w:r>
      <w:r w:rsidR="00B623D4" w:rsidRPr="001B74F4">
        <w:rPr>
          <w:rFonts w:ascii="Times New Roman" w:eastAsia="Times New Roman" w:hAnsi="Times New Roman" w:cs="Times New Roman"/>
          <w:sz w:val="24"/>
          <w:szCs w:val="24"/>
        </w:rPr>
        <w:t>demographics</w:t>
      </w:r>
      <w:r w:rsidR="00E768C0" w:rsidRPr="001B74F4">
        <w:rPr>
          <w:rFonts w:ascii="Times New Roman" w:eastAsia="Times New Roman" w:hAnsi="Times New Roman" w:cs="Times New Roman"/>
          <w:sz w:val="24"/>
          <w:szCs w:val="24"/>
        </w:rPr>
        <w:t xml:space="preserve"> was done as fellows.</w:t>
      </w:r>
    </w:p>
    <w:p w14:paraId="08593E83" w14:textId="77777777" w:rsidR="0011660C" w:rsidRPr="001B74F4" w:rsidRDefault="00D36E59">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 xml:space="preserve">4.1 </w:t>
      </w:r>
      <w:r w:rsidR="00FF5F6B" w:rsidRPr="001B74F4">
        <w:rPr>
          <w:rFonts w:ascii="Times New Roman" w:eastAsia="Times New Roman" w:hAnsi="Times New Roman" w:cs="Times New Roman"/>
          <w:b/>
          <w:bCs/>
          <w:sz w:val="24"/>
          <w:szCs w:val="24"/>
        </w:rPr>
        <w:t>Descriptive Analysis of Participants’ Age</w:t>
      </w:r>
    </w:p>
    <w:p w14:paraId="62BFDDFC" w14:textId="77777777" w:rsidR="009E6FF6" w:rsidRPr="001B74F4" w:rsidRDefault="00FF5F6B">
      <w:pPr>
        <w:spacing w:before="100" w:beforeAutospacing="1" w:line="240" w:lineRule="auto"/>
        <w:rPr>
          <w:rFonts w:ascii="Times New Roman" w:eastAsia="Times New Roman" w:hAnsi="Times New Roman" w:cs="Times New Roman"/>
          <w:color w:val="FF0000"/>
          <w:sz w:val="24"/>
          <w:szCs w:val="24"/>
        </w:rPr>
      </w:pPr>
      <w:r w:rsidRPr="001B74F4">
        <w:rPr>
          <w:rFonts w:ascii="Times New Roman" w:eastAsia="Times New Roman" w:hAnsi="Times New Roman" w:cs="Times New Roman"/>
          <w:sz w:val="24"/>
          <w:szCs w:val="24"/>
        </w:rPr>
        <w:t xml:space="preserve">The age distribution of the 224 study participants offered valuable insights into the workforce profile within the rural healthcare facilities assessed. The mean age of 31.53 years, with a standard deviation of 6.696, indicates a relatively young workforce, predominantly in their early thirties. This demographic feature may have implications for both the physical and cognitive readiness of staff to respond to </w:t>
      </w:r>
      <w:r w:rsidR="00B623D4" w:rsidRPr="001B74F4">
        <w:rPr>
          <w:rFonts w:ascii="Times New Roman" w:eastAsia="Times New Roman" w:hAnsi="Times New Roman" w:cs="Times New Roman"/>
          <w:sz w:val="24"/>
          <w:szCs w:val="24"/>
        </w:rPr>
        <w:t>emergencies</w:t>
      </w:r>
      <w:r w:rsidRPr="001B74F4">
        <w:rPr>
          <w:rFonts w:ascii="Times New Roman" w:eastAsia="Times New Roman" w:hAnsi="Times New Roman" w:cs="Times New Roman"/>
          <w:sz w:val="24"/>
          <w:szCs w:val="24"/>
        </w:rPr>
        <w:t>. Young adult healthcare workers are typically in a phase of their professional lives where energy levels and the ability to adapt to fast-paced, high-pressure environments</w:t>
      </w:r>
      <w:r w:rsidR="00B623D4"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such as emergencies</w:t>
      </w:r>
      <w:r w:rsidR="00B623D4"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are high </w:t>
      </w:r>
      <w:r w:rsidR="009E6FF6"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{"citationID":"JllZdZ3D","properties":{"formattedCitation":"(19)","plainCitation":"(19)","noteIndex":0},"citationItems":[{"id":365,"uris":["http://zotero.org/users/local/fuyxLwzY/items/55A2VWCX"],"itemData":{"id":365,"type":"report","title":"State of the world’s nursing 2020: Investing in education, jobs and leadership. Geneva: WHO.","author":[{"family":"","given":"World Health Organization. (2020)."}],"issued":{"date-parts":[["2020"]]}}}],"schema":"https://github.com/citation-style-language/schema/raw/master/csl-citation.json"} </w:instrText>
      </w:r>
      <w:r w:rsidR="009E6FF6"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(19)</w:t>
      </w:r>
      <w:r w:rsidR="009E6FF6" w:rsidRPr="001B74F4">
        <w:rPr>
          <w:rFonts w:ascii="Times New Roman" w:eastAsia="Times New Roman" w:hAnsi="Times New Roman" w:cs="Times New Roman"/>
          <w:sz w:val="24"/>
          <w:szCs w:val="24"/>
        </w:rPr>
        <w:fldChar w:fldCharType="end"/>
      </w:r>
      <w:r w:rsidR="009E6FF6" w:rsidRPr="001B74F4">
        <w:rPr>
          <w:rFonts w:ascii="Times New Roman" w:eastAsia="Times New Roman" w:hAnsi="Times New Roman" w:cs="Times New Roman"/>
          <w:color w:val="FF0000"/>
          <w:sz w:val="24"/>
          <w:szCs w:val="24"/>
        </w:rPr>
        <w:t>.</w:t>
      </w:r>
    </w:p>
    <w:p w14:paraId="75B407CD"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statistical measures of skewness (-0.082) and kurtosis (-0.152), both of which are close to zero, confirm that the age distribution of the sample is approximately normal. This normal distribution implies that there is no significant concentration of either older or very young personnel, ensuring a balanced representation across the age spectrum. A symmetrical age distribution can also reflect a stable employment pattern and retention strategy within these rural health facilities, which may indirectly influence the availability and sustainability of emergency care services </w:t>
      </w:r>
      <w:r w:rsidR="00C81A53"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{"citationID":"g1YUepwt","properties":{"formattedCitation":"(20)","plainCitation":"(20)","noteIndex":0},"citationItems":[{"id":330,"uris":["http://zotero.org/users/local/fuyxLwzY/items/ALX3EK87"],"itemData":{"id":330,"type":"article-journal","abstract":"Abstract\n            Access to good-quality health services is crucial for the improvement of many health outcomes, such as those targeted by the Millennium Development Goals (MDGs) adopted by the international community in 2000. The health-related MDGs cannot be achieved if vulnerable populations do not have access to skilled personnel and to other necessary inputs. This paper focuses on the geographical dimension of access and on one of its critical determinants: the availability of qualified personnel. The objective of this paper is to offer a better understanding of the determinants of geographical imbalances in the distribution of health personnel, and to identify and assess the strategies developed to correct them. It reviews the recent literature on determinants, barriers and the effects of strategies that attempted to correct geographical imbalances, with a focus on empirical studies from developing and developed countries. An analysis of determinants of success and failures of strategies implemented, and a summary of lessons learnt, is included.","container-title":"Human Resources for Health","DOI":"10.1186/1478-4491-4-12","ISSN":"1478-4491","issue":"1","journalAbbreviation":"Hum Resour Health","language":"en","page":"12","source":"DOI.org (Crossref)","title":"Not enough there, too many here: understanding geographical imbalances in the distribution of the health workforce","title-short":"Not enough there, too many here","volume":"4","author":[{"family":"Dussault","given":"Gilles"},{"family":"Franceschini","given":"Maria Cristina"}],"issued":{"date-parts":[["2006",12]]}}}],"schema":"https://github.com/citation-style-language/schema/raw/master/csl-citation.json"} </w:instrText>
      </w:r>
      <w:r w:rsidR="00C81A53"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(20)</w:t>
      </w:r>
      <w:r w:rsidR="00C81A53" w:rsidRPr="001B74F4">
        <w:rPr>
          <w:rFonts w:ascii="Times New Roman" w:eastAsia="Times New Roman" w:hAnsi="Times New Roman" w:cs="Times New Roman"/>
          <w:sz w:val="24"/>
          <w:szCs w:val="24"/>
        </w:rPr>
        <w:fldChar w:fldCharType="end"/>
      </w:r>
      <w:r w:rsidR="00C81A53" w:rsidRPr="001B74F4">
        <w:rPr>
          <w:rFonts w:ascii="Times New Roman" w:eastAsia="Times New Roman" w:hAnsi="Times New Roman" w:cs="Times New Roman"/>
          <w:sz w:val="24"/>
          <w:szCs w:val="24"/>
        </w:rPr>
        <w:t>.</w:t>
      </w:r>
    </w:p>
    <w:p w14:paraId="169C3BF6"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However, while age is not a direct measure of competence or capacity, it serves as a proxy for experience and potential adaptability. Younger professionals may be more open to adopting newer emergency protocols and technologies, yet may lack the years of clinical exposure that shape rapid decision-making under pressure. Therefore, it becomes crucial to consider complementary data on the training, years of experience, and continuous professional development of staff, which</w:t>
      </w:r>
      <w:r w:rsidR="005F1937"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together with age, will offer a fuller picture of emergency response capacity.</w:t>
      </w:r>
    </w:p>
    <w:p w14:paraId="02B502D8" w14:textId="77777777" w:rsidR="00C77EF9" w:rsidRPr="001B74F4" w:rsidRDefault="00C77EF9" w:rsidP="00C77EF9">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descriptive statistics of age align with the broader research objective by highlighting the demographic preparedness of personnel to handle emergencies. Emergency response in rural areas not only relies on physical resources like defibrillators, oxygen cylinders, and essential drugs but also on the human resource factor—how available, competent, and resilient </w:t>
      </w:r>
      <w:r w:rsidR="006230B8" w:rsidRPr="001B74F4">
        <w:rPr>
          <w:rFonts w:ascii="Times New Roman" w:eastAsia="Times New Roman" w:hAnsi="Times New Roman" w:cs="Times New Roman"/>
          <w:sz w:val="24"/>
          <w:szCs w:val="24"/>
        </w:rPr>
        <w:t xml:space="preserve">nurses and </w:t>
      </w:r>
      <w:r w:rsidR="00C81A53" w:rsidRPr="001B74F4">
        <w:rPr>
          <w:rFonts w:ascii="Times New Roman" w:eastAsia="Times New Roman" w:hAnsi="Times New Roman" w:cs="Times New Roman"/>
          <w:sz w:val="24"/>
          <w:szCs w:val="24"/>
        </w:rPr>
        <w:t>midwives are</w:t>
      </w:r>
      <w:r w:rsidRPr="001B74F4">
        <w:rPr>
          <w:rFonts w:ascii="Times New Roman" w:eastAsia="Times New Roman" w:hAnsi="Times New Roman" w:cs="Times New Roman"/>
          <w:sz w:val="24"/>
          <w:szCs w:val="24"/>
        </w:rPr>
        <w:t xml:space="preserve"> when responding to crises. Previous research has shown that younger health workers often dominate rural postings due to transfer patterns and mandatory national service, </w:t>
      </w:r>
      <w:r w:rsidRPr="001B74F4">
        <w:rPr>
          <w:rFonts w:ascii="Times New Roman" w:eastAsia="Times New Roman" w:hAnsi="Times New Roman" w:cs="Times New Roman"/>
          <w:sz w:val="24"/>
          <w:szCs w:val="24"/>
        </w:rPr>
        <w:lastRenderedPageBreak/>
        <w:t>which aligns with the current findings (Lehmann, Dieleman, &amp; Martineau, 2008). This raises questions about mentorship, supervision, and continuous training in emergency care for relatively inexperienced staff.</w:t>
      </w:r>
    </w:p>
    <w:p w14:paraId="753ACDF7" w14:textId="77777777" w:rsidR="00C77EF9" w:rsidRPr="001B74F4" w:rsidRDefault="00C77EF9">
      <w:pPr>
        <w:spacing w:before="100" w:beforeAutospacing="1" w:line="240" w:lineRule="auto"/>
        <w:rPr>
          <w:rFonts w:ascii="Times New Roman" w:eastAsia="Times New Roman" w:hAnsi="Times New Roman" w:cs="Times New Roman"/>
          <w:sz w:val="24"/>
          <w:szCs w:val="24"/>
        </w:rPr>
      </w:pPr>
    </w:p>
    <w:p w14:paraId="6BFC7118" w14:textId="77777777" w:rsidR="0011660C" w:rsidRPr="001B74F4" w:rsidRDefault="0011660C">
      <w:pPr>
        <w:spacing w:line="240" w:lineRule="auto"/>
        <w:rPr>
          <w:rFonts w:ascii="Times New Roman" w:eastAsia="Times New Roman" w:hAnsi="Times New Roman" w:cs="Times New Roman"/>
          <w:sz w:val="24"/>
          <w:szCs w:val="24"/>
        </w:rPr>
      </w:pPr>
    </w:p>
    <w:p w14:paraId="4E8B99EF" w14:textId="77777777" w:rsidR="0011660C" w:rsidRPr="001B74F4" w:rsidRDefault="00D36E59">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4.2</w:t>
      </w:r>
      <w:r w:rsidR="00E94B72" w:rsidRPr="001B74F4">
        <w:rPr>
          <w:rFonts w:ascii="Times New Roman" w:eastAsia="Times New Roman" w:hAnsi="Times New Roman" w:cs="Times New Roman"/>
          <w:b/>
          <w:bCs/>
          <w:sz w:val="24"/>
          <w:szCs w:val="24"/>
        </w:rPr>
        <w:t>.1</w:t>
      </w:r>
      <w:r w:rsidRPr="001B74F4">
        <w:rPr>
          <w:rFonts w:ascii="Times New Roman" w:eastAsia="Times New Roman" w:hAnsi="Times New Roman" w:cs="Times New Roman"/>
          <w:b/>
          <w:bCs/>
          <w:sz w:val="24"/>
          <w:szCs w:val="24"/>
        </w:rPr>
        <w:t xml:space="preserve"> </w:t>
      </w:r>
      <w:r w:rsidR="00FF5F6B" w:rsidRPr="001B74F4">
        <w:rPr>
          <w:rFonts w:ascii="Times New Roman" w:eastAsia="Times New Roman" w:hAnsi="Times New Roman" w:cs="Times New Roman"/>
          <w:b/>
          <w:bCs/>
          <w:sz w:val="24"/>
          <w:szCs w:val="24"/>
        </w:rPr>
        <w:t>Availability of Essential Emergency Supplies</w:t>
      </w:r>
      <w:r w:rsidR="008D76D2" w:rsidRPr="001B74F4">
        <w:rPr>
          <w:rFonts w:ascii="Times New Roman" w:eastAsia="Times New Roman" w:hAnsi="Times New Roman" w:cs="Times New Roman"/>
          <w:b/>
          <w:bCs/>
          <w:sz w:val="24"/>
          <w:szCs w:val="24"/>
        </w:rPr>
        <w:t xml:space="preserve"> (</w:t>
      </w:r>
      <w:r w:rsidR="008D76D2" w:rsidRPr="001B74F4">
        <w:rPr>
          <w:rFonts w:ascii="Times New Roman" w:eastAsia="Times New Roman" w:hAnsi="Times New Roman" w:cs="Times New Roman"/>
          <w:sz w:val="24"/>
          <w:szCs w:val="24"/>
        </w:rPr>
        <w:t>equipment</w:t>
      </w:r>
      <w:r w:rsidR="008D76D2" w:rsidRPr="001B74F4">
        <w:rPr>
          <w:rFonts w:ascii="Times New Roman" w:eastAsia="Times New Roman" w:hAnsi="Times New Roman" w:cs="Times New Roman"/>
          <w:b/>
          <w:bCs/>
          <w:sz w:val="24"/>
          <w:szCs w:val="24"/>
        </w:rPr>
        <w:t>)</w:t>
      </w:r>
      <w:r w:rsidR="00FF5F6B" w:rsidRPr="001B74F4">
        <w:rPr>
          <w:rFonts w:ascii="Times New Roman" w:eastAsia="Times New Roman" w:hAnsi="Times New Roman" w:cs="Times New Roman"/>
          <w:b/>
          <w:bCs/>
          <w:sz w:val="24"/>
          <w:szCs w:val="24"/>
        </w:rPr>
        <w:t xml:space="preserve"> in Rural Primary Healthcare Facilities</w:t>
      </w:r>
    </w:p>
    <w:p w14:paraId="5C9D352C"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availability of essential emergency equipment is a cornerstone of effective emergency medical response, especially in rural and underserved areas where delays in referrals can be life-threatening. The findings from this study offer a revealing picture of the challenges faced by primary healthcare facilities in Ahafo </w:t>
      </w:r>
      <w:proofErr w:type="spellStart"/>
      <w:r w:rsidRPr="001B74F4">
        <w:rPr>
          <w:rFonts w:ascii="Times New Roman" w:eastAsia="Times New Roman" w:hAnsi="Times New Roman" w:cs="Times New Roman"/>
          <w:sz w:val="24"/>
          <w:szCs w:val="24"/>
        </w:rPr>
        <w:t>Ano</w:t>
      </w:r>
      <w:proofErr w:type="spellEnd"/>
      <w:r w:rsidRPr="001B74F4">
        <w:rPr>
          <w:rFonts w:ascii="Times New Roman" w:eastAsia="Times New Roman" w:hAnsi="Times New Roman" w:cs="Times New Roman"/>
          <w:sz w:val="24"/>
          <w:szCs w:val="24"/>
        </w:rPr>
        <w:t xml:space="preserve"> North in responding to emergency medical cases. The data shows considerable gaps in the availability of critical emergency tools such as Automated External Defibrillators (AEDs), suction devices, and even basic items like first aid kits, all of which are essential for initial stabilization of critically ill or injured patients.</w:t>
      </w:r>
      <w:r w:rsidR="00C81A53" w:rsidRPr="001B74F4">
        <w:rPr>
          <w:rFonts w:ascii="Times New Roman" w:eastAsia="Times New Roman" w:hAnsi="Times New Roman" w:cs="Times New Roman"/>
          <w:sz w:val="24"/>
          <w:szCs w:val="24"/>
        </w:rPr>
        <w:t xml:space="preserve"> </w:t>
      </w:r>
      <w:r w:rsidR="00D94422" w:rsidRPr="001B74F4">
        <w:rPr>
          <w:rFonts w:ascii="Times New Roman" w:eastAsia="Times New Roman" w:hAnsi="Times New Roman" w:cs="Times New Roman"/>
          <w:sz w:val="24"/>
          <w:szCs w:val="24"/>
        </w:rPr>
        <w:t xml:space="preserve">These are further discussed as </w:t>
      </w:r>
      <w:proofErr w:type="spellStart"/>
      <w:r w:rsidR="00D94422" w:rsidRPr="001B74F4">
        <w:rPr>
          <w:rFonts w:ascii="Times New Roman" w:eastAsia="Times New Roman" w:hAnsi="Times New Roman" w:cs="Times New Roman"/>
          <w:sz w:val="24"/>
          <w:szCs w:val="24"/>
        </w:rPr>
        <w:t>fellows</w:t>
      </w:r>
      <w:proofErr w:type="spellEnd"/>
      <w:r w:rsidR="00D94422" w:rsidRPr="001B74F4">
        <w:rPr>
          <w:rFonts w:ascii="Times New Roman" w:eastAsia="Times New Roman" w:hAnsi="Times New Roman" w:cs="Times New Roman"/>
          <w:sz w:val="24"/>
          <w:szCs w:val="24"/>
        </w:rPr>
        <w:t>:</w:t>
      </w:r>
    </w:p>
    <w:p w14:paraId="160DC08A" w14:textId="77777777" w:rsidR="00D94422" w:rsidRPr="001B74F4" w:rsidRDefault="00D94422">
      <w:pPr>
        <w:spacing w:before="100" w:beforeAutospacing="1" w:line="240" w:lineRule="auto"/>
        <w:outlineLvl w:val="2"/>
        <w:rPr>
          <w:rFonts w:ascii="Times New Roman" w:eastAsia="Times New Roman" w:hAnsi="Times New Roman" w:cs="Times New Roman"/>
          <w:b/>
          <w:bCs/>
          <w:sz w:val="24"/>
          <w:szCs w:val="24"/>
        </w:rPr>
      </w:pPr>
    </w:p>
    <w:p w14:paraId="28A022A9" w14:textId="77777777" w:rsidR="00D94422" w:rsidRPr="001B74F4" w:rsidRDefault="00D94422">
      <w:pPr>
        <w:spacing w:before="100" w:beforeAutospacing="1" w:line="240" w:lineRule="auto"/>
        <w:outlineLvl w:val="2"/>
        <w:rPr>
          <w:rFonts w:ascii="Times New Roman" w:eastAsia="Times New Roman" w:hAnsi="Times New Roman" w:cs="Times New Roman"/>
          <w:b/>
          <w:bCs/>
          <w:sz w:val="24"/>
          <w:szCs w:val="24"/>
        </w:rPr>
      </w:pPr>
    </w:p>
    <w:p w14:paraId="225E6D89"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First Aid Kits</w:t>
      </w:r>
    </w:p>
    <w:p w14:paraId="1B9CE6D4"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finding that </w:t>
      </w:r>
      <w:r w:rsidRPr="001B74F4">
        <w:rPr>
          <w:rFonts w:ascii="Times New Roman" w:eastAsia="Times New Roman" w:hAnsi="Times New Roman" w:cs="Times New Roman"/>
          <w:b/>
          <w:bCs/>
          <w:sz w:val="24"/>
          <w:szCs w:val="24"/>
        </w:rPr>
        <w:t>43.5%</w:t>
      </w:r>
      <w:r w:rsidRPr="001B74F4">
        <w:rPr>
          <w:rFonts w:ascii="Times New Roman" w:eastAsia="Times New Roman" w:hAnsi="Times New Roman" w:cs="Times New Roman"/>
          <w:sz w:val="24"/>
          <w:szCs w:val="24"/>
        </w:rPr>
        <w:t xml:space="preserve"> of participants rated the availability of first aid kits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raises significant concerns. First aid kits are the most basic form of emergency readiness, containing essential supplies for controlling bleeding, preventing infection, and stabilizing minor injuries before definitive care. The absence of such a fundamental resource could delay timely interventions and compromise patient outcomes</w:t>
      </w:r>
      <w:r w:rsidR="009E6FF6"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{"citationID":"7Ga9ag9u","properties":{"formattedCitation":"(21)","plainCitation":"(21)","noteIndex":0},"citationItems":[{"id":366,"uris":["http://zotero.org/users/local/fuyxLwzY/items/S35Y4FC6"],"itemData":{"id":366,"type":"report","title":"Standards for improving quality of maternal and newborn care in health facilities.","author":[{"family":"WHO","given":"World Health Organization"}],"issued":{"date-parts":[["2016"]]}}}],"schema":"https://github.com/citation-style-language/schema/raw/master/csl-citation.json"} </w:instrText>
      </w:r>
      <w:r w:rsidR="009E6FF6"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(21)</w:t>
      </w:r>
      <w:r w:rsidR="009E6FF6" w:rsidRPr="001B74F4">
        <w:rPr>
          <w:rFonts w:ascii="Times New Roman" w:eastAsia="Times New Roman" w:hAnsi="Times New Roman" w:cs="Times New Roman"/>
          <w:sz w:val="24"/>
          <w:szCs w:val="24"/>
        </w:rPr>
        <w:fldChar w:fldCharType="end"/>
      </w:r>
      <w:r w:rsidRPr="001B74F4">
        <w:rPr>
          <w:rFonts w:ascii="Times New Roman" w:eastAsia="Times New Roman" w:hAnsi="Times New Roman" w:cs="Times New Roman"/>
          <w:sz w:val="24"/>
          <w:szCs w:val="24"/>
        </w:rPr>
        <w:t xml:space="preserve"> fact that only </w:t>
      </w:r>
      <w:r w:rsidRPr="001B74F4">
        <w:rPr>
          <w:rFonts w:ascii="Times New Roman" w:eastAsia="Times New Roman" w:hAnsi="Times New Roman" w:cs="Times New Roman"/>
          <w:b/>
          <w:bCs/>
          <w:sz w:val="24"/>
          <w:szCs w:val="24"/>
        </w:rPr>
        <w:t>12.6%</w:t>
      </w:r>
      <w:r w:rsidRPr="001B74F4">
        <w:rPr>
          <w:rFonts w:ascii="Times New Roman" w:eastAsia="Times New Roman" w:hAnsi="Times New Roman" w:cs="Times New Roman"/>
          <w:sz w:val="24"/>
          <w:szCs w:val="24"/>
        </w:rPr>
        <w:t xml:space="preserve"> of respondents considered their availability 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xml:space="preserve"> underlines the uneven distribution of basic emergency care tools in rural settings.</w:t>
      </w:r>
    </w:p>
    <w:p w14:paraId="6D50267C"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Automated External Defibrillators (AEDs)</w:t>
      </w:r>
    </w:p>
    <w:p w14:paraId="36E14A39"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AEDs had the highest percentage (</w:t>
      </w:r>
      <w:r w:rsidRPr="001B74F4">
        <w:rPr>
          <w:rFonts w:ascii="Times New Roman" w:eastAsia="Times New Roman" w:hAnsi="Times New Roman" w:cs="Times New Roman"/>
          <w:b/>
          <w:bCs/>
          <w:sz w:val="24"/>
          <w:szCs w:val="24"/>
        </w:rPr>
        <w:t>62.8%</w:t>
      </w:r>
      <w:r w:rsidRPr="001B74F4">
        <w:rPr>
          <w:rFonts w:ascii="Times New Roman" w:eastAsia="Times New Roman" w:hAnsi="Times New Roman" w:cs="Times New Roman"/>
          <w:sz w:val="24"/>
          <w:szCs w:val="24"/>
        </w:rPr>
        <w:t xml:space="preserve">) of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ratings</w:t>
      </w:r>
      <w:r w:rsidR="00E95AF5"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and no respondents selected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highlighting a particularly stark inadequacy. AEDs are life-saving devices in cases of sudden cardiac arrest, and their absence significantly diminishes a facility's capacity to manage cardiovascular emergencies</w:t>
      </w:r>
      <w:r w:rsidR="007927AE"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{"citationID":"Ed1MptFb","properties":{"formattedCitation":"(22)","plainCitation":"(22)","noteIndex":0},"citationItems":[{"id":354,"uris":["http://zotero.org/users/local/fuyxLwzY/items/ZFJ2MWRF"],"itemData":{"id":354,"type":"document","title":"CPR &amp; First Aid Emergency Cardiovascular Care Guidelines.","author":[{"family":"","given":"American Heart Association."}],"issued":{"date-parts":[["2020"]]}}}],"schema":"https://github.com/citation-style-language/schema/raw/master/csl-citation.json"} </w:instrText>
      </w:r>
      <w:r w:rsidR="007927AE"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(22)</w:t>
      </w:r>
      <w:r w:rsidR="007927AE" w:rsidRPr="001B74F4">
        <w:rPr>
          <w:rFonts w:ascii="Times New Roman" w:eastAsia="Times New Roman" w:hAnsi="Times New Roman" w:cs="Times New Roman"/>
          <w:sz w:val="24"/>
          <w:szCs w:val="24"/>
        </w:rPr>
        <w:fldChar w:fldCharType="end"/>
      </w:r>
      <w:r w:rsidR="007927AE"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The low levels of moderate to good ratings suggest that most rural facilities are not equipped to respond to one of the most common emergency scenarios, particularly in older adults.</w:t>
      </w:r>
    </w:p>
    <w:p w14:paraId="7BE94B30" w14:textId="77777777" w:rsidR="00C81A53" w:rsidRPr="001B74F4" w:rsidRDefault="00C81A53">
      <w:pPr>
        <w:spacing w:before="100" w:beforeAutospacing="1" w:line="240" w:lineRule="auto"/>
        <w:outlineLvl w:val="2"/>
        <w:rPr>
          <w:rFonts w:ascii="Times New Roman" w:eastAsia="Times New Roman" w:hAnsi="Times New Roman" w:cs="Times New Roman"/>
          <w:b/>
          <w:bCs/>
          <w:sz w:val="24"/>
          <w:szCs w:val="24"/>
        </w:rPr>
      </w:pPr>
    </w:p>
    <w:p w14:paraId="3FF67283" w14:textId="77777777" w:rsidR="00C81A53" w:rsidRPr="001B74F4" w:rsidRDefault="00C81A53">
      <w:pPr>
        <w:spacing w:before="100" w:beforeAutospacing="1" w:line="240" w:lineRule="auto"/>
        <w:outlineLvl w:val="2"/>
        <w:rPr>
          <w:rFonts w:ascii="Times New Roman" w:eastAsia="Times New Roman" w:hAnsi="Times New Roman" w:cs="Times New Roman"/>
          <w:b/>
          <w:bCs/>
          <w:sz w:val="24"/>
          <w:szCs w:val="24"/>
        </w:rPr>
      </w:pPr>
    </w:p>
    <w:p w14:paraId="6C93F204"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lastRenderedPageBreak/>
        <w:t>Stretchers</w:t>
      </w:r>
    </w:p>
    <w:p w14:paraId="02B868E9"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While </w:t>
      </w:r>
      <w:r w:rsidRPr="001B74F4">
        <w:rPr>
          <w:rFonts w:ascii="Times New Roman" w:eastAsia="Times New Roman" w:hAnsi="Times New Roman" w:cs="Times New Roman"/>
          <w:b/>
          <w:bCs/>
          <w:sz w:val="24"/>
          <w:szCs w:val="24"/>
        </w:rPr>
        <w:t>24.7%</w:t>
      </w:r>
      <w:r w:rsidRPr="001B74F4">
        <w:rPr>
          <w:rFonts w:ascii="Times New Roman" w:eastAsia="Times New Roman" w:hAnsi="Times New Roman" w:cs="Times New Roman"/>
          <w:sz w:val="24"/>
          <w:szCs w:val="24"/>
        </w:rPr>
        <w:t xml:space="preserve"> of respondents reported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availability of stretchers, the lack of ratings under </w:t>
      </w:r>
      <w:r w:rsidR="00AD2373" w:rsidRPr="001B74F4">
        <w:rPr>
          <w:rFonts w:ascii="Times New Roman" w:eastAsia="Times New Roman" w:hAnsi="Times New Roman" w:cs="Times New Roman"/>
          <w:i/>
          <w:iCs/>
          <w:sz w:val="24"/>
          <w:szCs w:val="24"/>
        </w:rPr>
        <w:t>'good' (0%) and the presence of high percentages for 'very poor' (25.1%) and 'poor' (18.8%) categories indicate</w:t>
      </w:r>
      <w:r w:rsidRPr="001B74F4">
        <w:rPr>
          <w:rFonts w:ascii="Times New Roman" w:eastAsia="Times New Roman" w:hAnsi="Times New Roman" w:cs="Times New Roman"/>
          <w:sz w:val="24"/>
          <w:szCs w:val="24"/>
        </w:rPr>
        <w:t xml:space="preserve"> limitations in patient mobility and transport within facilities. Stretchers are vital for safely moving patients, especially those with trauma, respiratory distress, or unconsciousness. Inadequate access to stretchers may not only delay care but also increase the risk of further injury during patient handling </w:t>
      </w:r>
      <w:r w:rsidR="00AD2373" w:rsidRPr="001B74F4">
        <w:rPr>
          <w:rFonts w:ascii="Times New Roman" w:eastAsia="Times New Roman" w:hAnsi="Times New Roman" w:cs="Times New Roman"/>
          <w:sz w:val="24"/>
          <w:szCs w:val="24"/>
        </w:rPr>
        <w:fldChar w:fldCharType="begin"/>
      </w:r>
      <w:r w:rsidR="00AD2373" w:rsidRPr="001B74F4">
        <w:rPr>
          <w:rFonts w:ascii="Times New Roman" w:eastAsia="Times New Roman" w:hAnsi="Times New Roman" w:cs="Times New Roman"/>
          <w:sz w:val="24"/>
          <w:szCs w:val="24"/>
        </w:rPr>
        <w:instrText xml:space="preserve"> ADDIN ZOTERO_ITEM CSL_CITATION {"citationID":"Yl3yVZfL","properties":{"formattedCitation":"(23)","plainCitation":"(23)","noteIndex":0},"citationItems":[{"id":369,"uris":["http://zotero.org/users/local/fuyxLwzY/items/TNPXENYG"],"itemData":{"id":369,"type":"report","title":"Top 10 health technology hazards report.","author":[{"family":"","given":"Emergency Care Research Institute (ECRI)"}],"issued":{"date-parts":[["2019"]]}}}],"schema":"https://github.com/citation-style-language/schema/raw/master/csl-citation.json"} </w:instrText>
      </w:r>
      <w:r w:rsidR="00AD2373" w:rsidRPr="001B74F4">
        <w:rPr>
          <w:rFonts w:ascii="Times New Roman" w:eastAsia="Times New Roman" w:hAnsi="Times New Roman" w:cs="Times New Roman"/>
          <w:sz w:val="24"/>
          <w:szCs w:val="24"/>
        </w:rPr>
        <w:fldChar w:fldCharType="separate"/>
      </w:r>
      <w:r w:rsidR="00AD2373" w:rsidRPr="001B74F4">
        <w:rPr>
          <w:rFonts w:ascii="Times New Roman" w:hAnsi="Times New Roman" w:cs="Times New Roman"/>
          <w:sz w:val="24"/>
          <w:szCs w:val="24"/>
        </w:rPr>
        <w:t>(23)</w:t>
      </w:r>
      <w:r w:rsidR="00AD2373" w:rsidRPr="001B74F4">
        <w:rPr>
          <w:rFonts w:ascii="Times New Roman" w:eastAsia="Times New Roman" w:hAnsi="Times New Roman" w:cs="Times New Roman"/>
          <w:sz w:val="24"/>
          <w:szCs w:val="24"/>
        </w:rPr>
        <w:fldChar w:fldCharType="end"/>
      </w:r>
      <w:r w:rsidR="00AD2373" w:rsidRPr="001B74F4">
        <w:rPr>
          <w:rFonts w:ascii="Times New Roman" w:eastAsia="Times New Roman" w:hAnsi="Times New Roman" w:cs="Times New Roman"/>
          <w:sz w:val="24"/>
          <w:szCs w:val="24"/>
        </w:rPr>
        <w:t>.</w:t>
      </w:r>
    </w:p>
    <w:p w14:paraId="779D6405"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Oxygen Supplies</w:t>
      </w:r>
    </w:p>
    <w:p w14:paraId="6C13088E"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Interestingly, oxygen supplies showed relatively better availability, with </w:t>
      </w:r>
      <w:r w:rsidRPr="001B74F4">
        <w:rPr>
          <w:rFonts w:ascii="Times New Roman" w:eastAsia="Times New Roman" w:hAnsi="Times New Roman" w:cs="Times New Roman"/>
          <w:b/>
          <w:bCs/>
          <w:sz w:val="24"/>
          <w:szCs w:val="24"/>
        </w:rPr>
        <w:t>31.4%</w:t>
      </w:r>
      <w:r w:rsidRPr="001B74F4">
        <w:rPr>
          <w:rFonts w:ascii="Times New Roman" w:eastAsia="Times New Roman" w:hAnsi="Times New Roman" w:cs="Times New Roman"/>
          <w:sz w:val="24"/>
          <w:szCs w:val="24"/>
        </w:rPr>
        <w:t xml:space="preserve"> rating them 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and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xml:space="preserve">. This may reflect recent national or donor-supported initiatives to improve oxygen infrastructure, especially in the wake of COVID-19, which exposed critical gaps in respiratory care readiness. However, </w:t>
      </w:r>
      <w:r w:rsidRPr="001B74F4">
        <w:rPr>
          <w:rFonts w:ascii="Times New Roman" w:eastAsia="Times New Roman" w:hAnsi="Times New Roman" w:cs="Times New Roman"/>
          <w:b/>
          <w:bCs/>
          <w:sz w:val="24"/>
          <w:szCs w:val="24"/>
        </w:rPr>
        <w:t>25.1%</w:t>
      </w:r>
      <w:r w:rsidRPr="001B74F4">
        <w:rPr>
          <w:rFonts w:ascii="Times New Roman" w:eastAsia="Times New Roman" w:hAnsi="Times New Roman" w:cs="Times New Roman"/>
          <w:sz w:val="24"/>
          <w:szCs w:val="24"/>
        </w:rPr>
        <w:t xml:space="preserve"> of participants still rated oxygen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suggesting that while some progress has been made, supply chain inconsistencies or equipment maintenance issues remain problematic.</w:t>
      </w:r>
    </w:p>
    <w:p w14:paraId="313C205B"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Suction Devices</w:t>
      </w:r>
    </w:p>
    <w:p w14:paraId="6AB204C5"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Suction devices, essential for clearing airways in patients with obstructed breathing or excessive secretions, were reported by </w:t>
      </w:r>
      <w:r w:rsidRPr="001B74F4">
        <w:rPr>
          <w:rFonts w:ascii="Times New Roman" w:eastAsia="Times New Roman" w:hAnsi="Times New Roman" w:cs="Times New Roman"/>
          <w:b/>
          <w:bCs/>
          <w:sz w:val="24"/>
          <w:szCs w:val="24"/>
        </w:rPr>
        <w:t>56.5%</w:t>
      </w:r>
      <w:r w:rsidRPr="001B74F4">
        <w:rPr>
          <w:rFonts w:ascii="Times New Roman" w:eastAsia="Times New Roman" w:hAnsi="Times New Roman" w:cs="Times New Roman"/>
          <w:sz w:val="24"/>
          <w:szCs w:val="24"/>
        </w:rPr>
        <w:t xml:space="preserve"> of respondents as </w:t>
      </w:r>
      <w:r w:rsidRPr="001B74F4">
        <w:rPr>
          <w:rFonts w:ascii="Times New Roman" w:eastAsia="Times New Roman" w:hAnsi="Times New Roman" w:cs="Times New Roman"/>
          <w:i/>
          <w:iCs/>
          <w:sz w:val="24"/>
          <w:szCs w:val="24"/>
        </w:rPr>
        <w:t>very poorly</w:t>
      </w:r>
      <w:r w:rsidRPr="001B74F4">
        <w:rPr>
          <w:rFonts w:ascii="Times New Roman" w:eastAsia="Times New Roman" w:hAnsi="Times New Roman" w:cs="Times New Roman"/>
          <w:sz w:val="24"/>
          <w:szCs w:val="24"/>
        </w:rPr>
        <w:t xml:space="preserve"> available. This finding is particularly troubling because the inability to maintain a patent airway can lead to rapid deterioration, especially in pediatric emergencies or cases of trauma. The data emphasizes a clear need for prioritizing the procurement and maintenance of suction equipment across rural facilities.</w:t>
      </w:r>
    </w:p>
    <w:p w14:paraId="4A6DDEDF" w14:textId="77777777" w:rsidR="0011660C" w:rsidRPr="001B74F4" w:rsidRDefault="00FF5F6B">
      <w:pPr>
        <w:spacing w:before="100" w:beforeAutospacing="1" w:line="240" w:lineRule="auto"/>
        <w:rPr>
          <w:rFonts w:ascii="Times New Roman" w:eastAsia="Times New Roman" w:hAnsi="Times New Roman" w:cs="Times New Roman"/>
          <w:sz w:val="24"/>
          <w:szCs w:val="24"/>
        </w:rPr>
      </w:pPr>
      <w:bookmarkStart w:id="14" w:name="_Hlk202326332"/>
      <w:r w:rsidRPr="001B74F4">
        <w:rPr>
          <w:rFonts w:ascii="Times New Roman" w:eastAsia="Times New Roman" w:hAnsi="Times New Roman" w:cs="Times New Roman"/>
          <w:sz w:val="24"/>
          <w:szCs w:val="24"/>
        </w:rPr>
        <w:t xml:space="preserve">These findings collectively indicate a systemic weakness in emergency preparedness at the rural primary healthcare level. Despite the role these facilities play as frontline responders, they appear significantly under-resourced, which compromises their ability to manage acute medical events effectively. </w:t>
      </w:r>
      <w:bookmarkEnd w:id="14"/>
      <w:r w:rsidRPr="001B74F4">
        <w:rPr>
          <w:rFonts w:ascii="Times New Roman" w:eastAsia="Times New Roman" w:hAnsi="Times New Roman" w:cs="Times New Roman"/>
          <w:sz w:val="24"/>
          <w:szCs w:val="24"/>
        </w:rPr>
        <w:t xml:space="preserve">Previous literature supports these findings, pointing to structural inequalities in rural health systems, lack of consistent funding, and poor maintenance cultures as contributing factors </w:t>
      </w:r>
      <w:r w:rsidR="00C81A53" w:rsidRPr="001B74F4">
        <w:rPr>
          <w:rFonts w:ascii="Times New Roman" w:eastAsia="Times New Roman" w:hAnsi="Times New Roman" w:cs="Times New Roman"/>
          <w:sz w:val="24"/>
          <w:szCs w:val="24"/>
        </w:rPr>
        <w:fldChar w:fldCharType="begin"/>
      </w:r>
      <w:r w:rsidR="00AD2373" w:rsidRPr="001B74F4">
        <w:rPr>
          <w:rFonts w:ascii="Times New Roman" w:eastAsia="Times New Roman" w:hAnsi="Times New Roman" w:cs="Times New Roman"/>
          <w:sz w:val="24"/>
          <w:szCs w:val="24"/>
        </w:rPr>
        <w:instrText xml:space="preserve"> ADDIN ZOTERO_ITEM CSL_CITATION {"citationID":"zu8XaLCO","properties":{"formattedCitation":"(11,24)","plainCitation":"(11,24)","noteIndex":0},"citationItems":[{"id":324,"uris":["http://zotero.org/users/local/fuyxLwzY/items/EAIUER4R"],"itemData":{"id":324,"type":"article-journal","container-title":"The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Y"},{"family":"Pate","given":"Muhammad"}],"issued":{"date-parts":[["2018",11]]}}},{"id":355,"uris":["http://zotero.org/users/local/fuyxLwzY/items/SZVWV5D9"],"itemData":{"id":355,"type":"article-journal","abstract":"INTRODUCTION: Emergency care is an essential component of health systems, particularly in low- and middle-income countries. We sought to assess the availability of resources to provide emergency care at a second-level hospital in Ghana. By doing so, deficits that could guide development of targeted intervention strategies to improve emergency care could be identified.\nMETHODS: A qualitative and quantitative assessment of capacity for care of emergency patients was performed at the Emergency Centre of the Police Hospital, a second-level hospital in Accra, Ghana. Direct inspection and job-specific survey of clinical, orderly, administrative and ambulance staff was performed. Responses to quantitative questions were described. Qualitative responses were examined by content analysis.\nRESULTS: Assessment revealed marked deficiencies in many essential items and services. However, several successes were identified, such as laboratory capacity. Among the unavailable essential items, some were of low-cost, such as basic airway supplies, chest tubes and several emergency medications. Themes from staff responses when asked how to improve emergency care included: provide periodic training, increase bed numbers in the emergency unit, ensure availability of essential items and make personal protective equipment available for all staff caring for patients.\nCONCLUSION: This study identified opportunities to improve the care of patients with emergency conditions at the Police Hospital in Ghana. Low-cost improvements in training, organization and planning could improve item and service availability, such as: developing a continuing education curriculum for staff in all areas of the emergency centre; holding in-service training on existing protocols for triage and emergency care; adding checklists to guide appropriate triage and safe transfer of patients; and perform a root cause analysis of item non-availability to develop targeted interventions.","container-title":"African Journal of Emergency Medicine: Revue Africaine De La Medecine D'urgence","DOI":"10.1016/j.afjem.2015.06.006","ISSN":"2211-4203","issue":"1","journalAbbreviation":"Afr J Emerg Med","language":"eng","note":"PMID: 30456061\nPMCID: PMC6233235","page":"30-37","source":"PubMed","title":"Availability of resources for emergency care at a second-level hospital in Ghana: A mixed methods assessment","title-short":"Availability of resources for emergency care at a second-level hospital in Ghana","volume":"6","author":[{"family":"Japiong","given":"Kennedy B."},{"family":"Asiamah","given":"Godfried"},{"family":"Owusu-Dabo","given":"Ellis"},{"family":"Donkor","given":"Peter"},{"family":"Stewart","given":"Barclay"},{"family":"Ebel","given":"Beth E."},{"family":"Mock","given":"Charles N."}],"issued":{"date-parts":[["2016",3]]}}}],"schema":"https://github.com/citation-style-language/schema/raw/master/csl-citation.json"} </w:instrText>
      </w:r>
      <w:r w:rsidR="00C81A53" w:rsidRPr="001B74F4">
        <w:rPr>
          <w:rFonts w:ascii="Times New Roman" w:eastAsia="Times New Roman" w:hAnsi="Times New Roman" w:cs="Times New Roman"/>
          <w:sz w:val="24"/>
          <w:szCs w:val="24"/>
        </w:rPr>
        <w:fldChar w:fldCharType="separate"/>
      </w:r>
      <w:r w:rsidR="00AD2373" w:rsidRPr="001B74F4">
        <w:rPr>
          <w:rFonts w:ascii="Times New Roman" w:hAnsi="Times New Roman" w:cs="Times New Roman"/>
          <w:sz w:val="24"/>
          <w:szCs w:val="24"/>
        </w:rPr>
        <w:t>(11,24)</w:t>
      </w:r>
      <w:r w:rsidR="00C81A53" w:rsidRPr="001B74F4">
        <w:rPr>
          <w:rFonts w:ascii="Times New Roman" w:eastAsia="Times New Roman" w:hAnsi="Times New Roman" w:cs="Times New Roman"/>
          <w:sz w:val="24"/>
          <w:szCs w:val="24"/>
        </w:rPr>
        <w:fldChar w:fldCharType="end"/>
      </w:r>
      <w:r w:rsidR="007927AE" w:rsidRPr="001B74F4">
        <w:rPr>
          <w:rFonts w:ascii="Times New Roman" w:eastAsia="Times New Roman" w:hAnsi="Times New Roman" w:cs="Times New Roman"/>
          <w:sz w:val="24"/>
          <w:szCs w:val="24"/>
        </w:rPr>
        <w:t>.</w:t>
      </w:r>
    </w:p>
    <w:p w14:paraId="740BDAAA" w14:textId="77777777" w:rsidR="0011660C" w:rsidRPr="001B74F4" w:rsidRDefault="00FF5F6B">
      <w:pPr>
        <w:spacing w:before="100" w:beforeAutospacing="1" w:line="240" w:lineRule="auto"/>
        <w:rPr>
          <w:rFonts w:ascii="Times New Roman" w:eastAsia="Times New Roman" w:hAnsi="Times New Roman" w:cs="Times New Roman"/>
          <w:sz w:val="24"/>
          <w:szCs w:val="24"/>
        </w:rPr>
      </w:pPr>
      <w:bookmarkStart w:id="15" w:name="_Hlk202326376"/>
      <w:r w:rsidRPr="001B74F4">
        <w:rPr>
          <w:rFonts w:ascii="Times New Roman" w:eastAsia="Times New Roman" w:hAnsi="Times New Roman" w:cs="Times New Roman"/>
          <w:sz w:val="24"/>
          <w:szCs w:val="24"/>
        </w:rPr>
        <w:t>To build resilience in rural emergency care, targeted investment in essential medical equipment is crucial. Moreover, the availability of equipment must be matched with appropriate training and operational guidelines to ensure proper use and maintenance. Policies aimed at strengthening rural healthcare systems must not only focus on staffing and infrastructure but also ensure that emergency care kits, oxygen systems, and basic life-support tools are accessible and functional.</w:t>
      </w:r>
    </w:p>
    <w:bookmarkEnd w:id="15"/>
    <w:p w14:paraId="05D09ACE" w14:textId="77777777" w:rsidR="003001AC" w:rsidRPr="001B74F4" w:rsidRDefault="003001AC">
      <w:pPr>
        <w:spacing w:line="240" w:lineRule="auto"/>
        <w:rPr>
          <w:rFonts w:ascii="Times New Roman" w:eastAsia="Times New Roman" w:hAnsi="Times New Roman" w:cs="Times New Roman"/>
          <w:sz w:val="24"/>
          <w:szCs w:val="24"/>
        </w:rPr>
      </w:pPr>
    </w:p>
    <w:p w14:paraId="2ECF8BCE" w14:textId="77777777" w:rsidR="0011660C" w:rsidRPr="001B74F4" w:rsidRDefault="0011660C">
      <w:pPr>
        <w:spacing w:line="240" w:lineRule="auto"/>
        <w:rPr>
          <w:rFonts w:ascii="Times New Roman" w:eastAsia="Times New Roman" w:hAnsi="Times New Roman" w:cs="Times New Roman"/>
          <w:sz w:val="24"/>
          <w:szCs w:val="24"/>
        </w:rPr>
      </w:pPr>
    </w:p>
    <w:p w14:paraId="6B3335CD" w14:textId="77777777" w:rsidR="0011660C" w:rsidRPr="001B74F4" w:rsidRDefault="0011660C" w:rsidP="000E63FD">
      <w:pPr>
        <w:tabs>
          <w:tab w:val="left" w:pos="720"/>
        </w:tabs>
        <w:spacing w:before="100" w:beforeAutospacing="1" w:line="240" w:lineRule="auto"/>
        <w:ind w:left="720"/>
        <w:rPr>
          <w:rFonts w:ascii="Times New Roman" w:eastAsia="Times New Roman" w:hAnsi="Times New Roman" w:cs="Times New Roman"/>
          <w:sz w:val="24"/>
          <w:szCs w:val="24"/>
        </w:rPr>
      </w:pPr>
    </w:p>
    <w:p w14:paraId="26A3DCC1" w14:textId="77777777" w:rsidR="001272F6" w:rsidRPr="001B74F4" w:rsidRDefault="001272F6">
      <w:pPr>
        <w:spacing w:line="240" w:lineRule="auto"/>
        <w:rPr>
          <w:rFonts w:ascii="Times New Roman" w:hAnsi="Times New Roman" w:cs="Times New Roman"/>
          <w:b/>
          <w:bCs/>
          <w:sz w:val="24"/>
          <w:szCs w:val="24"/>
        </w:rPr>
      </w:pPr>
    </w:p>
    <w:p w14:paraId="7758A583" w14:textId="77777777" w:rsidR="001272F6" w:rsidRPr="001B74F4" w:rsidRDefault="001272F6">
      <w:pPr>
        <w:spacing w:line="240" w:lineRule="auto"/>
        <w:rPr>
          <w:rFonts w:ascii="Times New Roman" w:hAnsi="Times New Roman" w:cs="Times New Roman"/>
          <w:b/>
          <w:bCs/>
          <w:sz w:val="24"/>
          <w:szCs w:val="24"/>
        </w:rPr>
      </w:pPr>
    </w:p>
    <w:p w14:paraId="1ED284C8" w14:textId="77777777" w:rsidR="00871A21" w:rsidRPr="001B74F4" w:rsidRDefault="00871A21">
      <w:pPr>
        <w:spacing w:line="240" w:lineRule="auto"/>
        <w:rPr>
          <w:rFonts w:ascii="Times New Roman" w:hAnsi="Times New Roman" w:cs="Times New Roman"/>
          <w:b/>
          <w:bCs/>
          <w:sz w:val="24"/>
          <w:szCs w:val="24"/>
        </w:rPr>
      </w:pPr>
    </w:p>
    <w:p w14:paraId="0D3CBF9B" w14:textId="77777777" w:rsidR="0011660C" w:rsidRPr="001B74F4" w:rsidRDefault="00E94B72">
      <w:pPr>
        <w:spacing w:line="240" w:lineRule="auto"/>
        <w:rPr>
          <w:rFonts w:ascii="Times New Roman" w:hAnsi="Times New Roman" w:cs="Times New Roman"/>
          <w:sz w:val="24"/>
          <w:szCs w:val="24"/>
        </w:rPr>
      </w:pPr>
      <w:r w:rsidRPr="001B74F4">
        <w:rPr>
          <w:rFonts w:ascii="Times New Roman" w:eastAsia="Times New Roman" w:hAnsi="Times New Roman" w:cs="Times New Roman"/>
          <w:b/>
          <w:bCs/>
          <w:sz w:val="24"/>
          <w:szCs w:val="24"/>
        </w:rPr>
        <w:t xml:space="preserve">4.2.2 </w:t>
      </w:r>
      <w:r w:rsidR="00FF5F6B" w:rsidRPr="001B74F4">
        <w:rPr>
          <w:rFonts w:ascii="Times New Roman" w:hAnsi="Times New Roman" w:cs="Times New Roman"/>
          <w:b/>
          <w:bCs/>
          <w:sz w:val="24"/>
          <w:szCs w:val="24"/>
        </w:rPr>
        <w:t>Availability of Essential Clinical</w:t>
      </w:r>
      <w:r w:rsidR="00871A21" w:rsidRPr="001B74F4">
        <w:rPr>
          <w:rFonts w:ascii="Times New Roman" w:hAnsi="Times New Roman" w:cs="Times New Roman"/>
          <w:b/>
          <w:bCs/>
          <w:sz w:val="24"/>
          <w:szCs w:val="24"/>
        </w:rPr>
        <w:t xml:space="preserve"> </w:t>
      </w:r>
      <w:r w:rsidR="00B623D4" w:rsidRPr="001B74F4">
        <w:rPr>
          <w:rFonts w:ascii="Times New Roman" w:hAnsi="Times New Roman" w:cs="Times New Roman"/>
          <w:b/>
          <w:bCs/>
          <w:sz w:val="24"/>
          <w:szCs w:val="24"/>
        </w:rPr>
        <w:t>Medical</w:t>
      </w:r>
      <w:r w:rsidR="00FF5F6B" w:rsidRPr="001B74F4">
        <w:rPr>
          <w:rFonts w:ascii="Times New Roman" w:hAnsi="Times New Roman" w:cs="Times New Roman"/>
          <w:b/>
          <w:bCs/>
          <w:sz w:val="24"/>
          <w:szCs w:val="24"/>
        </w:rPr>
        <w:t xml:space="preserve"> Supplies in Rural Primary Healthcare Facilities</w:t>
      </w:r>
    </w:p>
    <w:p w14:paraId="6E8F53B4"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availability of emergency clinical supplies is a critical determinant of a healthcare facility’s ability to respond effectively to medical emergencies. In the context of rural primary healthcare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the findings of this study reveal significant disparities and inconsistencies in the availability of key</w:t>
      </w:r>
      <w:r w:rsidR="00871A21" w:rsidRPr="001B74F4">
        <w:rPr>
          <w:rFonts w:ascii="Times New Roman" w:hAnsi="Times New Roman" w:cs="Times New Roman"/>
          <w:sz w:val="24"/>
          <w:szCs w:val="24"/>
        </w:rPr>
        <w:t xml:space="preserve"> medical</w:t>
      </w:r>
      <w:r w:rsidRPr="001B74F4">
        <w:rPr>
          <w:rFonts w:ascii="Times New Roman" w:hAnsi="Times New Roman" w:cs="Times New Roman"/>
          <w:sz w:val="24"/>
          <w:szCs w:val="24"/>
        </w:rPr>
        <w:t xml:space="preserve"> supplies such as IV fluids, IV equipment, oxygen, and blood products. These disparities have direct implications for timely and effective patient care, particularly in emergencies where every minute counts.</w:t>
      </w:r>
    </w:p>
    <w:p w14:paraId="0B8B1BA7"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Intravenous (IV) Fluids</w:t>
      </w:r>
    </w:p>
    <w:p w14:paraId="72B08180"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availability of IV fluids—a cornerstone in emergency resuscitation, dehydration management, and shock treatment—was concerning. Only </w:t>
      </w:r>
      <w:r w:rsidRPr="001B74F4">
        <w:rPr>
          <w:rFonts w:ascii="Times New Roman" w:hAnsi="Times New Roman" w:cs="Times New Roman"/>
          <w:b/>
          <w:bCs/>
          <w:sz w:val="24"/>
          <w:szCs w:val="24"/>
        </w:rPr>
        <w:t>31.4%</w:t>
      </w:r>
      <w:r w:rsidRPr="001B74F4">
        <w:rPr>
          <w:rFonts w:ascii="Times New Roman" w:hAnsi="Times New Roman" w:cs="Times New Roman"/>
          <w:sz w:val="24"/>
          <w:szCs w:val="24"/>
        </w:rPr>
        <w:t xml:space="preserve"> of nurses reported that IV fluids were always available, while a larger proportion (</w:t>
      </w:r>
      <w:r w:rsidRPr="001B74F4">
        <w:rPr>
          <w:rFonts w:ascii="Times New Roman" w:hAnsi="Times New Roman" w:cs="Times New Roman"/>
          <w:b/>
          <w:bCs/>
          <w:sz w:val="24"/>
          <w:szCs w:val="24"/>
        </w:rPr>
        <w:t>37.7%</w:t>
      </w:r>
      <w:r w:rsidRPr="001B74F4">
        <w:rPr>
          <w:rFonts w:ascii="Times New Roman" w:hAnsi="Times New Roman" w:cs="Times New Roman"/>
          <w:sz w:val="24"/>
          <w:szCs w:val="24"/>
        </w:rPr>
        <w:t>) indicated they were never available. This gap is alarming, as IV fluid therapy is often the first-line intervention in many emergency scenarios. The inconsistency in availability undermines the capacity of frontline health workers to stabilize critically ill patients and can lead to adverse outcomes. According to the</w:t>
      </w:r>
      <w:r w:rsidR="00502AA2" w:rsidRPr="001B74F4">
        <w:rPr>
          <w:rFonts w:ascii="Times New Roman" w:hAnsi="Times New Roman" w:cs="Times New Roman"/>
          <w:sz w:val="24"/>
          <w:szCs w:val="24"/>
        </w:rPr>
        <w:fldChar w:fldCharType="begin"/>
      </w:r>
      <w:r w:rsidR="00502AA2" w:rsidRPr="001B74F4">
        <w:rPr>
          <w:rFonts w:ascii="Times New Roman" w:hAnsi="Times New Roman" w:cs="Times New Roman"/>
          <w:sz w:val="24"/>
          <w:szCs w:val="24"/>
        </w:rPr>
        <w:instrText xml:space="preserve"> ADDIN ZOTERO_ITEM CSL_CITATION {"citationID":"53foLlNS","properties":{"formattedCitation":"(25)","plainCitation":"(25)","noteIndex":0},"citationItems":[{"id":364,"uris":["http://zotero.org/users/local/fuyxLwzY/items/KT8XPGIX"],"itemData":{"id":364,"type":"report","title":"Emergency care systems for universal health coverage: Ensuring timely care for the acutely ill and injured. Geneva: WHO.","author":[{"family":"","given":"World Health Organization"}],"issued":{"date-parts":[["2019"]]}}}],"schema":"https://github.com/citation-style-language/schema/raw/master/csl-citation.json"} </w:instrText>
      </w:r>
      <w:r w:rsidR="00502AA2" w:rsidRPr="001B74F4">
        <w:rPr>
          <w:rFonts w:ascii="Times New Roman" w:hAnsi="Times New Roman" w:cs="Times New Roman"/>
          <w:sz w:val="24"/>
          <w:szCs w:val="24"/>
        </w:rPr>
        <w:fldChar w:fldCharType="separate"/>
      </w:r>
      <w:r w:rsidR="00502AA2" w:rsidRPr="001B74F4">
        <w:rPr>
          <w:rFonts w:ascii="Times New Roman" w:hAnsi="Times New Roman" w:cs="Times New Roman"/>
          <w:sz w:val="24"/>
          <w:szCs w:val="24"/>
        </w:rPr>
        <w:t>(25)</w:t>
      </w:r>
      <w:r w:rsidR="00502AA2" w:rsidRPr="001B74F4">
        <w:rPr>
          <w:rFonts w:ascii="Times New Roman" w:hAnsi="Times New Roman" w:cs="Times New Roman"/>
          <w:sz w:val="24"/>
          <w:szCs w:val="24"/>
        </w:rPr>
        <w:fldChar w:fldCharType="end"/>
      </w:r>
      <w:r w:rsidR="00502AA2" w:rsidRPr="001B74F4">
        <w:rPr>
          <w:rFonts w:ascii="Times New Roman" w:hAnsi="Times New Roman" w:cs="Times New Roman"/>
          <w:sz w:val="24"/>
          <w:szCs w:val="24"/>
        </w:rPr>
        <w:t>,</w:t>
      </w:r>
      <w:r w:rsidRPr="001B74F4">
        <w:rPr>
          <w:rFonts w:ascii="Times New Roman" w:hAnsi="Times New Roman" w:cs="Times New Roman"/>
          <w:sz w:val="24"/>
          <w:szCs w:val="24"/>
        </w:rPr>
        <w:t xml:space="preserve"> ensuring uninterrupted access to essential emergency supplies, including IV fluids, is a basic requirement for effective emergency care systems, particularly in rural settings where referral delays are common.</w:t>
      </w:r>
    </w:p>
    <w:p w14:paraId="7864EF4D"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IV Equipment</w:t>
      </w:r>
    </w:p>
    <w:p w14:paraId="533D5B13"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A similar trend of inconsistency was noted with IV equipment, such as cannulas, giving sets, and infusion lines. Only </w:t>
      </w:r>
      <w:r w:rsidRPr="001B74F4">
        <w:rPr>
          <w:rFonts w:ascii="Times New Roman" w:hAnsi="Times New Roman" w:cs="Times New Roman"/>
          <w:b/>
          <w:bCs/>
          <w:sz w:val="24"/>
          <w:szCs w:val="24"/>
        </w:rPr>
        <w:t>25.1%</w:t>
      </w:r>
      <w:r w:rsidRPr="001B74F4">
        <w:rPr>
          <w:rFonts w:ascii="Times New Roman" w:hAnsi="Times New Roman" w:cs="Times New Roman"/>
          <w:sz w:val="24"/>
          <w:szCs w:val="24"/>
        </w:rPr>
        <w:t xml:space="preserve"> of respondents stated that this equipment was always available, while another </w:t>
      </w:r>
      <w:r w:rsidRPr="001B74F4">
        <w:rPr>
          <w:rFonts w:ascii="Times New Roman" w:hAnsi="Times New Roman" w:cs="Times New Roman"/>
          <w:b/>
          <w:bCs/>
          <w:sz w:val="24"/>
          <w:szCs w:val="24"/>
        </w:rPr>
        <w:t>25.1%</w:t>
      </w:r>
      <w:r w:rsidRPr="001B74F4">
        <w:rPr>
          <w:rFonts w:ascii="Times New Roman" w:hAnsi="Times New Roman" w:cs="Times New Roman"/>
          <w:sz w:val="24"/>
          <w:szCs w:val="24"/>
        </w:rPr>
        <w:t xml:space="preserve"> reported it was never available. The rest indicated that it was sometimes (</w:t>
      </w:r>
      <w:r w:rsidRPr="001B74F4">
        <w:rPr>
          <w:rFonts w:ascii="Times New Roman" w:hAnsi="Times New Roman" w:cs="Times New Roman"/>
          <w:b/>
          <w:bCs/>
          <w:sz w:val="24"/>
          <w:szCs w:val="24"/>
        </w:rPr>
        <w:t>18.8%</w:t>
      </w:r>
      <w:r w:rsidRPr="001B74F4">
        <w:rPr>
          <w:rFonts w:ascii="Times New Roman" w:hAnsi="Times New Roman" w:cs="Times New Roman"/>
          <w:sz w:val="24"/>
          <w:szCs w:val="24"/>
        </w:rPr>
        <w:t>) or rarely (</w:t>
      </w:r>
      <w:r w:rsidRPr="001B74F4">
        <w:rPr>
          <w:rFonts w:ascii="Times New Roman" w:hAnsi="Times New Roman" w:cs="Times New Roman"/>
          <w:b/>
          <w:bCs/>
          <w:sz w:val="24"/>
          <w:szCs w:val="24"/>
        </w:rPr>
        <w:t>30.9%</w:t>
      </w:r>
      <w:r w:rsidRPr="001B74F4">
        <w:rPr>
          <w:rFonts w:ascii="Times New Roman" w:hAnsi="Times New Roman" w:cs="Times New Roman"/>
          <w:sz w:val="24"/>
          <w:szCs w:val="24"/>
        </w:rPr>
        <w:t>) available. These findings reflect operational vulnerabilities in supply chain management and inventory control. Inadequate access to IV equipment compromises the delivery of essential therapies, even when fluids are available, and delays critical interventions. Studies by</w:t>
      </w:r>
      <w:r w:rsidR="007927AE" w:rsidRPr="001B74F4">
        <w:rPr>
          <w:rFonts w:ascii="Times New Roman" w:hAnsi="Times New Roman" w:cs="Times New Roman"/>
          <w:sz w:val="24"/>
          <w:szCs w:val="24"/>
        </w:rPr>
        <w:t xml:space="preserve"> </w:t>
      </w:r>
      <w:proofErr w:type="spellStart"/>
      <w:r w:rsidR="007927AE" w:rsidRPr="001B74F4">
        <w:rPr>
          <w:rFonts w:ascii="Times New Roman" w:hAnsi="Times New Roman" w:cs="Times New Roman"/>
          <w:sz w:val="24"/>
          <w:szCs w:val="24"/>
        </w:rPr>
        <w:t>Aderaw</w:t>
      </w:r>
      <w:proofErr w:type="spellEnd"/>
      <w:r w:rsidR="007927AE" w:rsidRPr="001B74F4">
        <w:rPr>
          <w:rFonts w:ascii="Times New Roman" w:hAnsi="Times New Roman" w:cs="Times New Roman"/>
          <w:sz w:val="24"/>
          <w:szCs w:val="24"/>
        </w:rPr>
        <w:t xml:space="preserve"> and </w:t>
      </w:r>
      <w:proofErr w:type="spellStart"/>
      <w:r w:rsidR="007927AE" w:rsidRPr="001B74F4">
        <w:rPr>
          <w:rFonts w:ascii="Times New Roman" w:hAnsi="Times New Roman" w:cs="Times New Roman"/>
          <w:sz w:val="24"/>
          <w:szCs w:val="24"/>
        </w:rPr>
        <w:t>Getinet</w:t>
      </w:r>
      <w:proofErr w:type="spellEnd"/>
      <w:r w:rsidR="00502AA2" w:rsidRPr="001B74F4">
        <w:rPr>
          <w:rFonts w:ascii="Times New Roman" w:hAnsi="Times New Roman" w:cs="Times New Roman"/>
          <w:sz w:val="24"/>
          <w:szCs w:val="24"/>
        </w:rPr>
        <w:t xml:space="preserve"> </w:t>
      </w:r>
      <w:r w:rsidR="007927AE" w:rsidRPr="001B74F4">
        <w:rPr>
          <w:rFonts w:ascii="Times New Roman" w:hAnsi="Times New Roman" w:cs="Times New Roman"/>
          <w:sz w:val="24"/>
          <w:szCs w:val="24"/>
        </w:rPr>
        <w:t>(2023)</w:t>
      </w:r>
      <w:r w:rsidRPr="001B74F4">
        <w:rPr>
          <w:rFonts w:ascii="Times New Roman" w:hAnsi="Times New Roman" w:cs="Times New Roman"/>
          <w:sz w:val="24"/>
          <w:szCs w:val="24"/>
        </w:rPr>
        <w:t xml:space="preserve"> have emphasized that the unavailability of basic medical tools in rural African facilities is a major barrier to achieving universal health coverage and emergency responsiveness</w:t>
      </w:r>
      <w:r w:rsidR="007927AE" w:rsidRPr="001B74F4">
        <w:rPr>
          <w:rFonts w:ascii="Times New Roman" w:hAnsi="Times New Roman" w:cs="Times New Roman"/>
          <w:sz w:val="24"/>
          <w:szCs w:val="24"/>
        </w:rPr>
        <w:fldChar w:fldCharType="begin"/>
      </w:r>
      <w:r w:rsidR="00502AA2" w:rsidRPr="001B74F4">
        <w:rPr>
          <w:rFonts w:ascii="Times New Roman" w:hAnsi="Times New Roman" w:cs="Times New Roman"/>
          <w:sz w:val="24"/>
          <w:szCs w:val="24"/>
        </w:rPr>
        <w:instrText xml:space="preserve"> ADDIN ZOTERO_ITEM CSL_CITATION {"citationID":"KrJnVUxm","properties":{"formattedCitation":"(26)","plainCitation":"(26)","noteIndex":0},"citationItems":[{"id":358,"uris":["http://zotero.org/users/local/fuyxLwzY/items/86HU3Z9Z"],"itemData":{"id":358,"type":"article-journal","container-title":"ClinicoEconomics and Outcomes Research","DOI":"10.2147/CEOR.S413546","ISSN":"1178-6981","journalAbbreviation":"CEOR","language":"en","license":"https://creativecommons.org/licenses/by-nc/3.0/","page":"443-458","source":"DOI.org (Crossref)","title":"Challenges to the Availability and Affordability of Essential Medicines in African Countries: A Scoping Review","title-short":"Challenges to the Availability and Affordability of Essential Medicines in African Countries","volume":"Volume 15","author":[{"family":"Yenet","given":"Aderaw"},{"family":"Nibret","given":"Getinet"},{"family":"Tegegne","given":"Bantayehu Addis"}],"issued":{"date-parts":[["2023",6]]}}}],"schema":"https://github.com/citation-style-language/schema/raw/master/csl-citation.json"} </w:instrText>
      </w:r>
      <w:r w:rsidR="007927AE" w:rsidRPr="001B74F4">
        <w:rPr>
          <w:rFonts w:ascii="Times New Roman" w:hAnsi="Times New Roman" w:cs="Times New Roman"/>
          <w:sz w:val="24"/>
          <w:szCs w:val="24"/>
        </w:rPr>
        <w:fldChar w:fldCharType="separate"/>
      </w:r>
      <w:r w:rsidR="00502AA2" w:rsidRPr="001B74F4">
        <w:rPr>
          <w:rFonts w:ascii="Times New Roman" w:hAnsi="Times New Roman" w:cs="Times New Roman"/>
          <w:sz w:val="24"/>
          <w:szCs w:val="24"/>
        </w:rPr>
        <w:t>(26)</w:t>
      </w:r>
      <w:r w:rsidR="007927AE"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14:paraId="73DBDCB6" w14:textId="77777777" w:rsidR="0011660C" w:rsidRPr="001B74F4" w:rsidRDefault="0011660C">
      <w:pPr>
        <w:spacing w:line="240" w:lineRule="auto"/>
        <w:rPr>
          <w:rFonts w:ascii="Times New Roman" w:hAnsi="Times New Roman" w:cs="Times New Roman"/>
          <w:b/>
          <w:bCs/>
          <w:sz w:val="24"/>
          <w:szCs w:val="24"/>
        </w:rPr>
      </w:pPr>
    </w:p>
    <w:p w14:paraId="54AF3923"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Oxygen Supplies</w:t>
      </w:r>
    </w:p>
    <w:p w14:paraId="612FD9D7"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Oxygen therapy is vital in managing respiratory distress, cardiac arrest, trauma, and neonatal emergencies. The results showed that </w:t>
      </w:r>
      <w:r w:rsidRPr="001B74F4">
        <w:rPr>
          <w:rFonts w:ascii="Times New Roman" w:hAnsi="Times New Roman" w:cs="Times New Roman"/>
          <w:b/>
          <w:bCs/>
          <w:sz w:val="24"/>
          <w:szCs w:val="24"/>
        </w:rPr>
        <w:t>31.4%</w:t>
      </w:r>
      <w:r w:rsidRPr="001B74F4">
        <w:rPr>
          <w:rFonts w:ascii="Times New Roman" w:hAnsi="Times New Roman" w:cs="Times New Roman"/>
          <w:sz w:val="24"/>
          <w:szCs w:val="24"/>
        </w:rPr>
        <w:t xml:space="preserve"> of nurses had consistent access to oxygen supplies, while </w:t>
      </w:r>
      <w:r w:rsidRPr="001B74F4">
        <w:rPr>
          <w:rFonts w:ascii="Times New Roman" w:hAnsi="Times New Roman" w:cs="Times New Roman"/>
          <w:b/>
          <w:bCs/>
          <w:sz w:val="24"/>
          <w:szCs w:val="24"/>
        </w:rPr>
        <w:t>18.8%</w:t>
      </w:r>
      <w:r w:rsidRPr="001B74F4">
        <w:rPr>
          <w:rFonts w:ascii="Times New Roman" w:hAnsi="Times New Roman" w:cs="Times New Roman"/>
          <w:sz w:val="24"/>
          <w:szCs w:val="24"/>
        </w:rPr>
        <w:t xml:space="preserve"> reported no access at all. The remaining participants indicated varying degrees of irregular availability. These findings suggest a partial success in improving oxygen infrastructure, possibly influenced by global health initiatives post-COVID-19. However, the persistent gap in access underlines the need for further investment in oxygen concentrators, cylinder supplies, and maintenance systems. According to the </w:t>
      </w:r>
      <w:r w:rsidRPr="001B74F4">
        <w:rPr>
          <w:rFonts w:ascii="Times New Roman" w:hAnsi="Times New Roman" w:cs="Times New Roman"/>
          <w:i/>
          <w:iCs/>
          <w:sz w:val="24"/>
          <w:szCs w:val="24"/>
        </w:rPr>
        <w:t>Lancet Global Health Commission on High-Quality Health Systems</w:t>
      </w:r>
      <w:r w:rsidRPr="001B74F4">
        <w:rPr>
          <w:rFonts w:ascii="Times New Roman" w:hAnsi="Times New Roman" w:cs="Times New Roman"/>
          <w:sz w:val="24"/>
          <w:szCs w:val="24"/>
        </w:rPr>
        <w:t xml:space="preserve"> </w:t>
      </w:r>
      <w:r w:rsidR="008F68CB" w:rsidRPr="001B74F4">
        <w:rPr>
          <w:rFonts w:ascii="Times New Roman" w:hAnsi="Times New Roman" w:cs="Times New Roman"/>
          <w:sz w:val="24"/>
          <w:szCs w:val="24"/>
        </w:rPr>
        <w:fldChar w:fldCharType="begin"/>
      </w:r>
      <w:r w:rsidR="008F68CB" w:rsidRPr="001B74F4">
        <w:rPr>
          <w:rFonts w:ascii="Times New Roman" w:hAnsi="Times New Roman" w:cs="Times New Roman"/>
          <w:sz w:val="24"/>
          <w:szCs w:val="24"/>
        </w:rPr>
        <w:instrText xml:space="preserve"> ADDIN ZOTERO_ITEM CSL_CITATION {"citationID":"XlmGLohw","properties":{"formattedCitation":"(11)","plainCitation":"(11)","noteIndex":0},"citationItems":[{"id":324,"uris":["http://zotero.org/users/local/fuyxLwzY/items/EAIUER4R"],"itemData":{"id":324,"type":"article-journal","container-title":"The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Y"},{"family":"Pate","given":"Muhammad"}],"issued":{"date-parts":[["2018",11]]}},"locator":"201"}],"schema":"https://github.com/citation-style-language/schema/raw/master/csl-citation.json"} </w:instrText>
      </w:r>
      <w:r w:rsidR="008F68CB" w:rsidRPr="001B74F4">
        <w:rPr>
          <w:rFonts w:ascii="Times New Roman" w:hAnsi="Times New Roman" w:cs="Times New Roman"/>
          <w:sz w:val="24"/>
          <w:szCs w:val="24"/>
        </w:rPr>
        <w:fldChar w:fldCharType="separate"/>
      </w:r>
      <w:r w:rsidR="008F68CB" w:rsidRPr="001B74F4">
        <w:rPr>
          <w:rFonts w:ascii="Times New Roman" w:hAnsi="Times New Roman" w:cs="Times New Roman"/>
          <w:sz w:val="24"/>
          <w:szCs w:val="24"/>
        </w:rPr>
        <w:t>(11)</w:t>
      </w:r>
      <w:r w:rsidR="008F68CB" w:rsidRPr="001B74F4">
        <w:rPr>
          <w:rFonts w:ascii="Times New Roman" w:hAnsi="Times New Roman" w:cs="Times New Roman"/>
          <w:sz w:val="24"/>
          <w:szCs w:val="24"/>
        </w:rPr>
        <w:fldChar w:fldCharType="end"/>
      </w:r>
      <w:r w:rsidR="008F68CB" w:rsidRPr="001B74F4">
        <w:rPr>
          <w:rFonts w:ascii="Times New Roman" w:hAnsi="Times New Roman" w:cs="Times New Roman"/>
          <w:sz w:val="24"/>
          <w:szCs w:val="24"/>
        </w:rPr>
        <w:t xml:space="preserve"> </w:t>
      </w:r>
      <w:r w:rsidRPr="001B74F4">
        <w:rPr>
          <w:rFonts w:ascii="Times New Roman" w:hAnsi="Times New Roman" w:cs="Times New Roman"/>
          <w:sz w:val="24"/>
          <w:szCs w:val="24"/>
        </w:rPr>
        <w:t>consistent oxygen availability is a critical quality metric for any emergency-capable facility.</w:t>
      </w:r>
    </w:p>
    <w:p w14:paraId="03C4FD0D"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lastRenderedPageBreak/>
        <w:t>Blood Products</w:t>
      </w:r>
    </w:p>
    <w:p w14:paraId="372C9D70"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Encouragingly, blood products showed the most favorable availability pattern. A substantial </w:t>
      </w:r>
      <w:r w:rsidRPr="001B74F4">
        <w:rPr>
          <w:rFonts w:ascii="Times New Roman" w:hAnsi="Times New Roman" w:cs="Times New Roman"/>
          <w:b/>
          <w:bCs/>
          <w:sz w:val="24"/>
          <w:szCs w:val="24"/>
        </w:rPr>
        <w:t>65.0%</w:t>
      </w:r>
      <w:r w:rsidRPr="001B74F4">
        <w:rPr>
          <w:rFonts w:ascii="Times New Roman" w:hAnsi="Times New Roman" w:cs="Times New Roman"/>
          <w:sz w:val="24"/>
          <w:szCs w:val="24"/>
        </w:rPr>
        <w:t xml:space="preserve"> of nurses reported that blood products were always available. This is a promising indicator of the prioritization of transfusion services, which are essential for managing obstetric hemorrhage, severe anemia, trauma, and surgical emergencies. This finding may reflect the effectiveness of </w:t>
      </w:r>
      <w:r w:rsidR="00AD5FB2" w:rsidRPr="001B74F4">
        <w:rPr>
          <w:rFonts w:ascii="Times New Roman" w:hAnsi="Times New Roman" w:cs="Times New Roman"/>
          <w:sz w:val="24"/>
          <w:szCs w:val="24"/>
        </w:rPr>
        <w:t>partnerships between Ghana's National Blood Service and local health directorates</w:t>
      </w:r>
      <w:r w:rsidRPr="001B74F4">
        <w:rPr>
          <w:rFonts w:ascii="Times New Roman" w:hAnsi="Times New Roman" w:cs="Times New Roman"/>
          <w:sz w:val="24"/>
          <w:szCs w:val="24"/>
        </w:rPr>
        <w:t xml:space="preserve"> in ensuring stock availability, even in rural areas. Nevertheless, the </w:t>
      </w:r>
      <w:r w:rsidRPr="001B74F4">
        <w:rPr>
          <w:rFonts w:ascii="Times New Roman" w:hAnsi="Times New Roman" w:cs="Times New Roman"/>
          <w:b/>
          <w:bCs/>
          <w:sz w:val="24"/>
          <w:szCs w:val="24"/>
        </w:rPr>
        <w:t>12.6%</w:t>
      </w:r>
      <w:r w:rsidRPr="001B74F4">
        <w:rPr>
          <w:rFonts w:ascii="Times New Roman" w:hAnsi="Times New Roman" w:cs="Times New Roman"/>
          <w:sz w:val="24"/>
          <w:szCs w:val="24"/>
        </w:rPr>
        <w:t xml:space="preserve"> of nurses who stated that blood products were never available still indicate that not all facilities benefit equally from these systems. As shown by </w:t>
      </w:r>
      <w:proofErr w:type="spellStart"/>
      <w:r w:rsidR="00AD5FB2" w:rsidRPr="001B74F4">
        <w:rPr>
          <w:rFonts w:ascii="Times New Roman" w:hAnsi="Times New Roman" w:cs="Times New Roman"/>
          <w:sz w:val="24"/>
          <w:szCs w:val="24"/>
        </w:rPr>
        <w:t>Lowalekar</w:t>
      </w:r>
      <w:proofErr w:type="spellEnd"/>
      <w:r w:rsidR="00AD5FB2" w:rsidRPr="001B74F4">
        <w:rPr>
          <w:rFonts w:ascii="Times New Roman" w:hAnsi="Times New Roman" w:cs="Times New Roman"/>
          <w:sz w:val="24"/>
          <w:szCs w:val="24"/>
        </w:rPr>
        <w:t xml:space="preserve"> and </w:t>
      </w:r>
      <w:r w:rsidR="00D215D5" w:rsidRPr="001B74F4">
        <w:rPr>
          <w:rFonts w:ascii="Times New Roman" w:hAnsi="Times New Roman" w:cs="Times New Roman"/>
          <w:sz w:val="24"/>
          <w:szCs w:val="24"/>
        </w:rPr>
        <w:t>Ravichandran</w:t>
      </w:r>
      <w:r w:rsidR="00D215D5" w:rsidRPr="001B74F4">
        <w:rPr>
          <w:rFonts w:ascii="Times New Roman" w:hAnsi="Times New Roman" w:cs="Times New Roman"/>
          <w:color w:val="FF0000"/>
          <w:sz w:val="24"/>
          <w:szCs w:val="24"/>
        </w:rPr>
        <w:t xml:space="preserve"> </w:t>
      </w:r>
      <w:r w:rsidR="00D215D5" w:rsidRPr="001B74F4">
        <w:rPr>
          <w:rFonts w:ascii="Times New Roman" w:hAnsi="Times New Roman" w:cs="Times New Roman"/>
          <w:sz w:val="24"/>
          <w:szCs w:val="24"/>
        </w:rPr>
        <w:t>(2017)</w:t>
      </w:r>
      <w:r w:rsidRPr="001B74F4">
        <w:rPr>
          <w:rFonts w:ascii="Times New Roman" w:hAnsi="Times New Roman" w:cs="Times New Roman"/>
          <w:color w:val="FF0000"/>
          <w:sz w:val="24"/>
          <w:szCs w:val="24"/>
        </w:rPr>
        <w:t xml:space="preserve"> </w:t>
      </w:r>
      <w:r w:rsidRPr="001B74F4">
        <w:rPr>
          <w:rFonts w:ascii="Times New Roman" w:hAnsi="Times New Roman" w:cs="Times New Roman"/>
          <w:sz w:val="24"/>
          <w:szCs w:val="24"/>
        </w:rPr>
        <w:t>even modest gaps in blood availability can lead to preventable deaths in emergency situations, especially in low-resource settings</w:t>
      </w:r>
      <w:r w:rsidR="00D215D5" w:rsidRPr="001B74F4">
        <w:rPr>
          <w:rFonts w:ascii="Times New Roman" w:hAnsi="Times New Roman" w:cs="Times New Roman"/>
          <w:sz w:val="24"/>
          <w:szCs w:val="24"/>
        </w:rPr>
        <w:fldChar w:fldCharType="begin"/>
      </w:r>
      <w:r w:rsidR="00502AA2" w:rsidRPr="001B74F4">
        <w:rPr>
          <w:rFonts w:ascii="Times New Roman" w:hAnsi="Times New Roman" w:cs="Times New Roman"/>
          <w:sz w:val="24"/>
          <w:szCs w:val="24"/>
        </w:rPr>
        <w:instrText xml:space="preserve"> ADDIN ZOTERO_ITEM CSL_CITATION {"citationID":"cuigxTfH","properties":{"formattedCitation":"(27)","plainCitation":"(27)","noteIndex":0},"citationItems":[{"id":361,"uris":["http://zotero.org/users/local/fuyxLwzY/items/S9G79BMD"],"itemData":{"id":361,"type":"article-journal","abstract":"Abstract\n            This paper analyses the performance of an ordering policy for hospital blood banks (HBBs) that takes into account the information regarding the on‐hand stock along with the remaining life of blood products. The blood items are assumed to start aging as soon as they have been collected. We develop a simulation model to show that the combined age‐and‐stock‐based policy would outperform some of the popular periodic reviews and continuous review policies in controlling total costs by about 5% on an average basis. Our results show that the suggested policy will reduce the total operational cost of managing platelets, which have a very short shelf life, by about 27% at a real‐life HBB. The policy will also lead to about 7% reduction in the total cost of the negative blood groups, which are characterized by extremely erratic demand patterns. The implementation of the ordering policy will help HBBs to reduce their operational costs while ensuring a minimum desirable level of the availability of critical blood products.","container-title":"International Transactions in Operational Research","DOI":"10.1111/itor.12189","ISSN":"0969-6016, 1475-3995","issue":"6","journalAbbreviation":"Int Trans Operational Res","language":"en","page":"1561-1586","source":"DOI.org (Crossref)","title":"A combined age‐and‐stock‐based policy for ordering blood units in hospital blood banks","volume":"24","author":[{"family":"Lowalekar","given":"Harshal"},{"family":"Ravichandran","given":"N."}],"issued":{"date-parts":[["2017",11]]}}}],"schema":"https://github.com/citation-style-language/schema/raw/master/csl-citation.json"} </w:instrText>
      </w:r>
      <w:r w:rsidR="00D215D5" w:rsidRPr="001B74F4">
        <w:rPr>
          <w:rFonts w:ascii="Times New Roman" w:hAnsi="Times New Roman" w:cs="Times New Roman"/>
          <w:sz w:val="24"/>
          <w:szCs w:val="24"/>
        </w:rPr>
        <w:fldChar w:fldCharType="separate"/>
      </w:r>
      <w:r w:rsidR="00502AA2" w:rsidRPr="001B74F4">
        <w:rPr>
          <w:rFonts w:ascii="Times New Roman" w:hAnsi="Times New Roman" w:cs="Times New Roman"/>
          <w:sz w:val="24"/>
          <w:szCs w:val="24"/>
        </w:rPr>
        <w:t>(27)</w:t>
      </w:r>
      <w:r w:rsidR="00D215D5"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14:paraId="45A090A1" w14:textId="77777777" w:rsidR="0011660C" w:rsidRPr="001B74F4" w:rsidRDefault="00FF5F6B">
      <w:pPr>
        <w:spacing w:line="240" w:lineRule="auto"/>
        <w:rPr>
          <w:rFonts w:ascii="Times New Roman" w:hAnsi="Times New Roman" w:cs="Times New Roman"/>
          <w:sz w:val="24"/>
          <w:szCs w:val="24"/>
        </w:rPr>
      </w:pPr>
      <w:bookmarkStart w:id="16" w:name="_Hlk202326586"/>
      <w:r w:rsidRPr="001B74F4">
        <w:rPr>
          <w:rFonts w:ascii="Times New Roman" w:hAnsi="Times New Roman" w:cs="Times New Roman"/>
          <w:sz w:val="24"/>
          <w:szCs w:val="24"/>
        </w:rPr>
        <w:t xml:space="preserve">These findings collectively highlight that while some progress has been made—particularly in the availability of blood products—rural health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still face substantial gaps in the consistent availability of critical emergency supplies. The irregular access to IV fluids and equipment, in particular, suggests a fragile emergency care foundation. This compromises patient stabilization at the primary care level, increasing the risk of deterioration during referrals or transit.</w:t>
      </w:r>
    </w:p>
    <w:bookmarkEnd w:id="16"/>
    <w:p w14:paraId="3BD93A25"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Addressing these challenges requires </w:t>
      </w:r>
      <w:bookmarkStart w:id="17" w:name="_Hlk202326650"/>
      <w:r w:rsidRPr="001B74F4">
        <w:rPr>
          <w:rFonts w:ascii="Times New Roman" w:hAnsi="Times New Roman" w:cs="Times New Roman"/>
          <w:sz w:val="24"/>
          <w:szCs w:val="24"/>
        </w:rPr>
        <w:t xml:space="preserve">a multi-faceted approach involving improved supply chain logistics, strengthened facility-level inventory management, and policy support for equitable resource allocation. The World Health Organization’s </w:t>
      </w:r>
      <w:r w:rsidRPr="001B74F4">
        <w:rPr>
          <w:rFonts w:ascii="Times New Roman" w:hAnsi="Times New Roman" w:cs="Times New Roman"/>
          <w:i/>
          <w:iCs/>
          <w:sz w:val="24"/>
          <w:szCs w:val="24"/>
        </w:rPr>
        <w:t>Emergency Care Systems Framework</w:t>
      </w:r>
      <w:r w:rsidRPr="001B74F4">
        <w:rPr>
          <w:rFonts w:ascii="Times New Roman" w:hAnsi="Times New Roman" w:cs="Times New Roman"/>
          <w:sz w:val="24"/>
          <w:szCs w:val="24"/>
        </w:rPr>
        <w:t xml:space="preserve"> (2019) recommends integrating emergency preparedness into primary care systems, especially in rural and resource-limited contexts, as part of broader health systems strengthening.</w:t>
      </w:r>
    </w:p>
    <w:bookmarkEnd w:id="17"/>
    <w:p w14:paraId="17986620" w14:textId="77777777" w:rsidR="0011660C" w:rsidRPr="001B74F4" w:rsidRDefault="0011660C">
      <w:pPr>
        <w:spacing w:line="240" w:lineRule="auto"/>
        <w:rPr>
          <w:rFonts w:ascii="Times New Roman" w:hAnsi="Times New Roman" w:cs="Times New Roman"/>
          <w:sz w:val="24"/>
          <w:szCs w:val="24"/>
        </w:rPr>
      </w:pPr>
    </w:p>
    <w:p w14:paraId="4C929471" w14:textId="77777777" w:rsidR="00871A21" w:rsidRPr="001B74F4" w:rsidRDefault="00871A21">
      <w:pPr>
        <w:spacing w:line="240" w:lineRule="auto"/>
        <w:rPr>
          <w:rFonts w:ascii="Times New Roman" w:hAnsi="Times New Roman" w:cs="Times New Roman"/>
          <w:sz w:val="24"/>
          <w:szCs w:val="24"/>
        </w:rPr>
      </w:pPr>
    </w:p>
    <w:p w14:paraId="2E55A372" w14:textId="77777777" w:rsidR="00871A21" w:rsidRPr="001B74F4" w:rsidRDefault="00871A21">
      <w:pPr>
        <w:pStyle w:val="NormalWeb"/>
        <w:spacing w:after="160" w:afterAutospacing="0"/>
        <w:rPr>
          <w:rStyle w:val="Strong"/>
        </w:rPr>
      </w:pPr>
    </w:p>
    <w:p w14:paraId="266C1193" w14:textId="77777777" w:rsidR="0011660C" w:rsidRPr="001B74F4" w:rsidRDefault="00FF5F6B">
      <w:pPr>
        <w:pStyle w:val="NormalWeb"/>
        <w:spacing w:after="160" w:afterAutospacing="0"/>
      </w:pPr>
      <w:r w:rsidRPr="001B74F4">
        <w:rPr>
          <w:rStyle w:val="Strong"/>
        </w:rPr>
        <w:t xml:space="preserve"> </w:t>
      </w:r>
      <w:r w:rsidR="00E94B72" w:rsidRPr="001B74F4">
        <w:rPr>
          <w:b/>
          <w:bCs/>
        </w:rPr>
        <w:t xml:space="preserve">4.3.0 </w:t>
      </w:r>
      <w:r w:rsidRPr="001B74F4">
        <w:rPr>
          <w:rStyle w:val="Strong"/>
        </w:rPr>
        <w:t>Strategies to Enhance Emergency Preparedness in Rural Primary Healthcare Facilities</w:t>
      </w:r>
    </w:p>
    <w:p w14:paraId="1AEB00FB" w14:textId="77777777" w:rsidR="0011660C" w:rsidRPr="001B74F4" w:rsidRDefault="00FF5F6B">
      <w:pPr>
        <w:pStyle w:val="NormalWeb"/>
        <w:spacing w:after="160" w:afterAutospacing="0"/>
      </w:pPr>
      <w:r w:rsidRPr="001B74F4">
        <w:t xml:space="preserve">The capacity of rural primary healthcare (PHC) facilities to manage emergency cases in Ahafo </w:t>
      </w:r>
      <w:proofErr w:type="spellStart"/>
      <w:r w:rsidRPr="001B74F4">
        <w:t>Ano</w:t>
      </w:r>
      <w:proofErr w:type="spellEnd"/>
      <w:r w:rsidRPr="001B74F4">
        <w:t xml:space="preserve"> North is influenced by a complex interplay of systemic, infrastructural, and workforce-related factors. Findings from this study offer a rich understanding of current challenges and reveal practical, frontline-informed strategies to strengthen emergency preparedness in these settings. The recommendations and opinions shared by healthcare workers—those most directly involved in care delivery—are particularly insightful for informing future interventions and policy.</w:t>
      </w:r>
    </w:p>
    <w:p w14:paraId="44916916" w14:textId="77777777" w:rsidR="0011660C" w:rsidRPr="001B74F4" w:rsidRDefault="0011660C">
      <w:pPr>
        <w:spacing w:line="240" w:lineRule="auto"/>
        <w:rPr>
          <w:rFonts w:ascii="Times New Roman" w:hAnsi="Times New Roman" w:cs="Times New Roman"/>
          <w:sz w:val="24"/>
          <w:szCs w:val="24"/>
        </w:rPr>
      </w:pPr>
    </w:p>
    <w:p w14:paraId="19794AE9"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1. </w:t>
      </w:r>
      <w:r w:rsidR="00FF5F6B" w:rsidRPr="001B74F4">
        <w:rPr>
          <w:rStyle w:val="Strong"/>
          <w:b/>
          <w:bCs/>
          <w:sz w:val="24"/>
          <w:szCs w:val="24"/>
        </w:rPr>
        <w:t>Provision of Medical Equipment and Supplies</w:t>
      </w:r>
    </w:p>
    <w:p w14:paraId="5D3B7EEC" w14:textId="77777777" w:rsidR="0011660C" w:rsidRPr="001B74F4" w:rsidRDefault="00FF5F6B">
      <w:pPr>
        <w:pStyle w:val="NormalWeb"/>
        <w:spacing w:after="160" w:afterAutospacing="0"/>
      </w:pPr>
      <w:r w:rsidRPr="001B74F4">
        <w:t xml:space="preserve">The most widely recommended strategy was the </w:t>
      </w:r>
      <w:r w:rsidRPr="001B74F4">
        <w:rPr>
          <w:rStyle w:val="Strong"/>
        </w:rPr>
        <w:t>provision of more medical equipment and supplies</w:t>
      </w:r>
      <w:r w:rsidRPr="001B74F4">
        <w:t xml:space="preserve">, cited by </w:t>
      </w:r>
      <w:r w:rsidRPr="001B74F4">
        <w:rPr>
          <w:rStyle w:val="Strong"/>
        </w:rPr>
        <w:t>210 participants</w:t>
      </w:r>
      <w:r w:rsidRPr="001B74F4">
        <w:t xml:space="preserve">. This aligns with earlier findings from the study that </w:t>
      </w:r>
      <w:r w:rsidRPr="001B74F4">
        <w:lastRenderedPageBreak/>
        <w:t>revealed severe deficits in emergency equipment such as Automated External Defibrillators (AEDs), suction machines, IV fluids, and oxygen. Without adequate tools, healthcare workers are unable to provide basic life-saving interventions. The World Health Organization (WHO, 2021) identifies equipment readiness as one of the key pillars of emergency care capacity, particularly in resource-limited settings. Bridging these gaps would require strengthened procurement systems, routine inventory audits, and preventive maintenance protocols</w:t>
      </w:r>
      <w:r w:rsidR="00502AA2" w:rsidRPr="001B74F4">
        <w:fldChar w:fldCharType="begin"/>
      </w:r>
      <w:r w:rsidR="00502AA2" w:rsidRPr="001B74F4">
        <w:instrText xml:space="preserve"> ADDIN ZOTERO_ITEM CSL_CITATION {"citationID":"tNVvGRC0","properties":{"formattedCitation":"(25)","plainCitation":"(25)","noteIndex":0},"citationItems":[{"id":364,"uris":["http://zotero.org/users/local/fuyxLwzY/items/KT8XPGIX"],"itemData":{"id":364,"type":"report","title":"Emergency care systems for universal health coverage: Ensuring timely care for the acutely ill and injured. Geneva: WHO.","author":[{"family":"","given":"World Health Organization"}],"issued":{"date-parts":[["2019"]]}},"locator":"202"}],"schema":"https://github.com/citation-style-language/schema/raw/master/csl-citation.json"} </w:instrText>
      </w:r>
      <w:r w:rsidR="00502AA2" w:rsidRPr="001B74F4">
        <w:fldChar w:fldCharType="separate"/>
      </w:r>
      <w:r w:rsidR="00502AA2" w:rsidRPr="001B74F4">
        <w:t>(25)</w:t>
      </w:r>
      <w:r w:rsidR="00502AA2" w:rsidRPr="001B74F4">
        <w:fldChar w:fldCharType="end"/>
      </w:r>
      <w:r w:rsidRPr="001B74F4">
        <w:t>.</w:t>
      </w:r>
    </w:p>
    <w:p w14:paraId="4E80F901" w14:textId="77777777" w:rsidR="0011660C" w:rsidRPr="001B74F4" w:rsidRDefault="0011660C">
      <w:pPr>
        <w:spacing w:line="240" w:lineRule="auto"/>
        <w:rPr>
          <w:rFonts w:ascii="Times New Roman" w:hAnsi="Times New Roman" w:cs="Times New Roman"/>
          <w:sz w:val="24"/>
          <w:szCs w:val="24"/>
        </w:rPr>
      </w:pPr>
    </w:p>
    <w:p w14:paraId="44DD69F7"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2. </w:t>
      </w:r>
      <w:r w:rsidR="00FF5F6B" w:rsidRPr="001B74F4">
        <w:rPr>
          <w:rStyle w:val="Strong"/>
          <w:b/>
          <w:bCs/>
          <w:sz w:val="24"/>
          <w:szCs w:val="24"/>
        </w:rPr>
        <w:t>Regular Training and Emergency Drills</w:t>
      </w:r>
    </w:p>
    <w:p w14:paraId="7D36F0F5" w14:textId="77777777" w:rsidR="0011660C" w:rsidRPr="001B74F4" w:rsidRDefault="00FF5F6B">
      <w:pPr>
        <w:pStyle w:val="NormalWeb"/>
        <w:spacing w:after="160" w:afterAutospacing="0"/>
      </w:pPr>
      <w:r w:rsidRPr="001B74F4">
        <w:t xml:space="preserve">The need for </w:t>
      </w:r>
      <w:r w:rsidRPr="001B74F4">
        <w:rPr>
          <w:rStyle w:val="Strong"/>
        </w:rPr>
        <w:t>continuous professional development and emergency training</w:t>
      </w:r>
      <w:r w:rsidRPr="001B74F4">
        <w:t xml:space="preserve"> was emphasized by </w:t>
      </w:r>
      <w:r w:rsidRPr="001B74F4">
        <w:rPr>
          <w:rStyle w:val="Strong"/>
        </w:rPr>
        <w:t>210 respondents</w:t>
      </w:r>
      <w:r w:rsidRPr="001B74F4">
        <w:t xml:space="preserve">, with </w:t>
      </w:r>
      <w:r w:rsidRPr="001B74F4">
        <w:rPr>
          <w:rStyle w:val="Strong"/>
        </w:rPr>
        <w:t>168</w:t>
      </w:r>
      <w:r w:rsidRPr="001B74F4">
        <w:t xml:space="preserve"> also advocating for </w:t>
      </w:r>
      <w:r w:rsidRPr="001B74F4">
        <w:rPr>
          <w:rStyle w:val="Strong"/>
        </w:rPr>
        <w:t>regular emergency drills</w:t>
      </w:r>
      <w:r w:rsidRPr="001B74F4">
        <w:t>. These findings highlight a recognition among healthcare workers that knowledge and procedural readiness are as important as infrastructure. Regular training ensures that clinical staff remain confident and competent in applying emergency protocols, triaging patients, and responding to diverse cases such as trauma, obstetric complications, and pediatric crises. As noted by</w:t>
      </w:r>
      <w:r w:rsidR="001B74F4" w:rsidRPr="001B74F4">
        <w:t xml:space="preserve"> </w:t>
      </w:r>
      <w:r w:rsidRPr="001B74F4">
        <w:t xml:space="preserve"> </w:t>
      </w:r>
      <w:r w:rsidR="001B74F4" w:rsidRPr="001B74F4">
        <w:t>Boateng-Osei et al (2023)</w:t>
      </w:r>
      <w:r w:rsidRPr="001B74F4">
        <w:t>, training builds resilience, fosters clinical decision-making in high-pressure environments, and enhances teamwork during emergencies</w:t>
      </w:r>
      <w:r w:rsidR="001B74F4" w:rsidRPr="001B74F4">
        <w:fldChar w:fldCharType="begin"/>
      </w:r>
      <w:r w:rsidR="001B74F4" w:rsidRPr="001B74F4">
        <w:instrText xml:space="preserve"> ADDIN ZOTERO_ITEM CSL_CITATION {"citationID":"DTtGSAgr","properties":{"formattedCitation":"(8)","plainCitation":"(8)","noteIndex":0},"citationItems":[{"id":317,"uris":["http://zotero.org/users/local/fuyxLwzY/items/VVA6BT7R"],"itemData":{"id":317,"type":"article-journal","container-title":"African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Yemotsoo"}],"issued":{"date-parts":[["2023",9]]}},"label":"page"}],"schema":"https://github.com/citation-style-language/schema/raw/master/csl-citation.json"} </w:instrText>
      </w:r>
      <w:r w:rsidR="001B74F4" w:rsidRPr="001B74F4">
        <w:fldChar w:fldCharType="separate"/>
      </w:r>
      <w:r w:rsidR="001B74F4" w:rsidRPr="001B74F4">
        <w:t>(8)</w:t>
      </w:r>
      <w:r w:rsidR="001B74F4" w:rsidRPr="001B74F4">
        <w:fldChar w:fldCharType="end"/>
      </w:r>
      <w:r w:rsidRPr="001B74F4">
        <w:t>.</w:t>
      </w:r>
    </w:p>
    <w:p w14:paraId="3FC6EB1A" w14:textId="77777777" w:rsidR="0011660C" w:rsidRPr="001B74F4" w:rsidRDefault="0011660C">
      <w:pPr>
        <w:spacing w:line="240" w:lineRule="auto"/>
        <w:rPr>
          <w:rFonts w:ascii="Times New Roman" w:hAnsi="Times New Roman" w:cs="Times New Roman"/>
          <w:sz w:val="24"/>
          <w:szCs w:val="24"/>
        </w:rPr>
      </w:pPr>
    </w:p>
    <w:p w14:paraId="4D362746"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3. </w:t>
      </w:r>
      <w:r w:rsidR="00FF5F6B" w:rsidRPr="001B74F4">
        <w:rPr>
          <w:rStyle w:val="Strong"/>
          <w:b/>
          <w:bCs/>
          <w:sz w:val="24"/>
          <w:szCs w:val="24"/>
        </w:rPr>
        <w:t>Improved Referral and Transportation Systems</w:t>
      </w:r>
    </w:p>
    <w:p w14:paraId="318D98AC" w14:textId="77777777" w:rsidR="0011660C" w:rsidRPr="001B74F4" w:rsidRDefault="00FF5F6B">
      <w:pPr>
        <w:pStyle w:val="NormalWeb"/>
        <w:spacing w:after="160" w:afterAutospacing="0"/>
      </w:pPr>
      <w:r w:rsidRPr="001B74F4">
        <w:t xml:space="preserve">The call for </w:t>
      </w:r>
      <w:r w:rsidRPr="001B74F4">
        <w:rPr>
          <w:rStyle w:val="Strong"/>
        </w:rPr>
        <w:t>better referral systems and transportation networks</w:t>
      </w:r>
      <w:r w:rsidRPr="001B74F4">
        <w:t xml:space="preserve"> by </w:t>
      </w:r>
      <w:r w:rsidRPr="001B74F4">
        <w:rPr>
          <w:rStyle w:val="Strong"/>
        </w:rPr>
        <w:t>182 participants</w:t>
      </w:r>
      <w:r w:rsidRPr="001B74F4">
        <w:t xml:space="preserve"> reflects the operational realities of rural care. In </w:t>
      </w:r>
      <w:r w:rsidR="007927AE" w:rsidRPr="001B74F4">
        <w:t>emergencies</w:t>
      </w:r>
      <w:r w:rsidRPr="001B74F4">
        <w:t>, timely referral to higher-level facilities can be the difference between life and death. However, delays are common in rural areas due to poor road infrastructure, lack of ambulances, and weak communication between facilities. As Kruk et al. (2018) assert, an integrated emergency referral system—including mobile communication tools and well-coordinated transport—is essential to achieving equitable emergency care</w:t>
      </w:r>
      <w:r w:rsidR="008F68CB" w:rsidRPr="001B74F4">
        <w:fldChar w:fldCharType="begin"/>
      </w:r>
      <w:r w:rsidR="008F68CB" w:rsidRPr="001B74F4">
        <w:instrText xml:space="preserve"> ADDIN ZOTERO_ITEM CSL_CITATION {"citationID":"lwMF0IEO","properties":{"formattedCitation":"(11)","plainCitation":"(11)","noteIndex":0},"citationItems":[{"id":324,"uris":["http://zotero.org/users/local/fuyxLwzY/items/EAIUER4R"],"itemData":{"id":324,"type":"article-journal","container-title":"The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8F68CB" w:rsidRPr="001B74F4">
        <w:fldChar w:fldCharType="separate"/>
      </w:r>
      <w:r w:rsidR="008F68CB" w:rsidRPr="001B74F4">
        <w:t>(11)</w:t>
      </w:r>
      <w:r w:rsidR="008F68CB" w:rsidRPr="001B74F4">
        <w:fldChar w:fldCharType="end"/>
      </w:r>
      <w:r w:rsidRPr="001B74F4">
        <w:t>.</w:t>
      </w:r>
    </w:p>
    <w:p w14:paraId="2026DC12" w14:textId="77777777" w:rsidR="0011660C" w:rsidRPr="001B74F4" w:rsidRDefault="0011660C">
      <w:pPr>
        <w:spacing w:line="240" w:lineRule="auto"/>
        <w:rPr>
          <w:rFonts w:ascii="Times New Roman" w:hAnsi="Times New Roman" w:cs="Times New Roman"/>
          <w:sz w:val="24"/>
          <w:szCs w:val="24"/>
        </w:rPr>
      </w:pPr>
    </w:p>
    <w:p w14:paraId="0DD5735C"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4. </w:t>
      </w:r>
      <w:r w:rsidR="00FF5F6B" w:rsidRPr="001B74F4">
        <w:rPr>
          <w:rStyle w:val="Strong"/>
          <w:b/>
          <w:bCs/>
          <w:sz w:val="24"/>
          <w:szCs w:val="24"/>
        </w:rPr>
        <w:t>Increased Staffing and Human Resource Support</w:t>
      </w:r>
    </w:p>
    <w:p w14:paraId="50B75B93" w14:textId="77777777" w:rsidR="0011660C" w:rsidRPr="001B74F4" w:rsidRDefault="00FF5F6B">
      <w:pPr>
        <w:pStyle w:val="NormalWeb"/>
        <w:spacing w:after="160" w:afterAutospacing="0"/>
      </w:pPr>
      <w:r w:rsidRPr="001B74F4">
        <w:rPr>
          <w:rStyle w:val="Strong"/>
        </w:rPr>
        <w:t>Staff shortages</w:t>
      </w:r>
      <w:r w:rsidRPr="001B74F4">
        <w:t xml:space="preserve"> emerged both as a barrier (identified by </w:t>
      </w:r>
      <w:r w:rsidRPr="001B74F4">
        <w:rPr>
          <w:rStyle w:val="Strong"/>
        </w:rPr>
        <w:t>196 participants</w:t>
      </w:r>
      <w:r w:rsidRPr="001B74F4">
        <w:t>) and as a recommendation (</w:t>
      </w:r>
      <w:r w:rsidRPr="001B74F4">
        <w:rPr>
          <w:rStyle w:val="Strong"/>
        </w:rPr>
        <w:t>170 responses</w:t>
      </w:r>
      <w:r w:rsidRPr="001B74F4">
        <w:t xml:space="preserve"> calling for increased staffing). In rural Ghana, nurse-to-patient ratios are often stretched, and limited numbers of clinical staff are expected to manage a wide range of emergency scenarios. The WHO (2020) notes that sufficient and well-distributed human resources are critical to achieving Universal Health Coverage (UHC) goals. Strategic deployment, rural incentives, and supportive supervision may help attract and retain more skilled professionals in underserved districts like Ahafo </w:t>
      </w:r>
      <w:proofErr w:type="spellStart"/>
      <w:r w:rsidRPr="001B74F4">
        <w:t>Ano</w:t>
      </w:r>
      <w:proofErr w:type="spellEnd"/>
      <w:r w:rsidRPr="001B74F4">
        <w:t xml:space="preserve"> North.</w:t>
      </w:r>
    </w:p>
    <w:p w14:paraId="2540F75D" w14:textId="77777777" w:rsidR="0011660C" w:rsidRPr="001B74F4" w:rsidRDefault="0011660C">
      <w:pPr>
        <w:spacing w:line="240" w:lineRule="auto"/>
        <w:rPr>
          <w:rFonts w:ascii="Times New Roman" w:hAnsi="Times New Roman" w:cs="Times New Roman"/>
          <w:sz w:val="24"/>
          <w:szCs w:val="24"/>
        </w:rPr>
      </w:pPr>
    </w:p>
    <w:p w14:paraId="485E5FE9" w14:textId="77777777" w:rsidR="00386D2F" w:rsidRDefault="00386D2F">
      <w:pPr>
        <w:pStyle w:val="Heading3"/>
        <w:spacing w:after="160" w:afterAutospacing="0"/>
        <w:rPr>
          <w:sz w:val="24"/>
          <w:szCs w:val="24"/>
        </w:rPr>
      </w:pPr>
    </w:p>
    <w:p w14:paraId="67923F2A" w14:textId="77777777" w:rsidR="00386D2F" w:rsidRDefault="00386D2F">
      <w:pPr>
        <w:pStyle w:val="Heading3"/>
        <w:spacing w:after="160" w:afterAutospacing="0"/>
        <w:rPr>
          <w:sz w:val="24"/>
          <w:szCs w:val="24"/>
        </w:rPr>
      </w:pPr>
    </w:p>
    <w:p w14:paraId="708E2012" w14:textId="77777777" w:rsidR="0011660C" w:rsidRPr="001B74F4" w:rsidRDefault="00E94B72">
      <w:pPr>
        <w:pStyle w:val="Heading3"/>
        <w:spacing w:after="160" w:afterAutospacing="0"/>
        <w:rPr>
          <w:sz w:val="24"/>
          <w:szCs w:val="24"/>
        </w:rPr>
      </w:pPr>
      <w:r w:rsidRPr="001B74F4">
        <w:rPr>
          <w:sz w:val="24"/>
          <w:szCs w:val="24"/>
        </w:rPr>
        <w:lastRenderedPageBreak/>
        <w:t>4.3.</w:t>
      </w:r>
      <w:r w:rsidR="00FF5F6B" w:rsidRPr="001B74F4">
        <w:rPr>
          <w:sz w:val="24"/>
          <w:szCs w:val="24"/>
        </w:rPr>
        <w:t xml:space="preserve">5. </w:t>
      </w:r>
      <w:r w:rsidR="00FF5F6B" w:rsidRPr="001B74F4">
        <w:rPr>
          <w:rStyle w:val="Strong"/>
          <w:b/>
          <w:bCs/>
          <w:sz w:val="24"/>
          <w:szCs w:val="24"/>
        </w:rPr>
        <w:t>Enhanced Communication and Coordination</w:t>
      </w:r>
    </w:p>
    <w:p w14:paraId="17714F5F" w14:textId="77777777" w:rsidR="0011660C" w:rsidRPr="001B74F4" w:rsidRDefault="00FF5F6B">
      <w:pPr>
        <w:pStyle w:val="NormalWeb"/>
        <w:spacing w:after="160" w:afterAutospacing="0"/>
      </w:pPr>
      <w:r w:rsidRPr="001B74F4">
        <w:rPr>
          <w:rStyle w:val="Strong"/>
        </w:rPr>
        <w:t>Improved communication systems</w:t>
      </w:r>
      <w:r w:rsidRPr="001B74F4">
        <w:t xml:space="preserve"> were recommended by </w:t>
      </w:r>
      <w:r w:rsidRPr="001B74F4">
        <w:rPr>
          <w:rStyle w:val="Strong"/>
        </w:rPr>
        <w:t>86 participants</w:t>
      </w:r>
      <w:r w:rsidRPr="001B74F4">
        <w:t xml:space="preserve"> and identified as a barrier by </w:t>
      </w:r>
      <w:r w:rsidRPr="001B74F4">
        <w:rPr>
          <w:rStyle w:val="Strong"/>
        </w:rPr>
        <w:t>72</w:t>
      </w:r>
      <w:r w:rsidRPr="001B74F4">
        <w:t xml:space="preserve"> others. Communication lapses—whether between departments, facilities, or referral hospitals—can cause critical delays in care. Incorporating reliable mobile health (mHealth) solutions, two-way radios, or simple hotline systems could significantly enhance coordination during emergencies. As suggested by recent innovations in rural health delivery (</w:t>
      </w:r>
      <w:r w:rsidR="00502AA2" w:rsidRPr="001B74F4">
        <w:t>Roberts et al., 2016</w:t>
      </w:r>
      <w:r w:rsidRPr="001B74F4">
        <w:t>), digital tools can bridge geographic and logistical divides, especially in low-resource areas</w:t>
      </w:r>
      <w:r w:rsidR="00502AA2" w:rsidRPr="001B74F4">
        <w:fldChar w:fldCharType="begin"/>
      </w:r>
      <w:r w:rsidR="00502AA2" w:rsidRPr="001B74F4">
        <w:instrText xml:space="preserve"> ADDIN ZOTERO_ITEM CSL_CITATION {"citationID":"cUa5ucyL","properties":{"formattedCitation":"(28)","plainCitation":"(28)","noteIndex":0},"citationItems":[{"id":360,"uris":["http://zotero.org/users/local/fuyxLwzY/items/CREGEF45"],"itemData":{"id":360,"type":"article-journal","container-title":"Hematology/Oncology Clinics of North America","DOI":"10.1016/j.hoc.2015.11.011","ISSN":"08898588","issue":"2","journalAbbreviation":"Hematology/Oncology Clinics of North America","language":"en","page":"477-495","source":"DOI.org (Crossref)","title":"Problems and Approaches for Blood Transfusion in the Developing Countries","volume":"30","author":[{"family":"Roberts","given":"David J."},{"family":"Field","given":"Stephen"},{"family":"Delaney","given":"Meghan"},{"family":"Bates","given":"Imelda"}],"issued":{"date-parts":[["2016",4]]}}}],"schema":"https://github.com/citation-style-language/schema/raw/master/csl-citation.json"} </w:instrText>
      </w:r>
      <w:r w:rsidR="00502AA2" w:rsidRPr="001B74F4">
        <w:fldChar w:fldCharType="separate"/>
      </w:r>
      <w:r w:rsidR="00502AA2" w:rsidRPr="001B74F4">
        <w:t>(28)</w:t>
      </w:r>
      <w:r w:rsidR="00502AA2" w:rsidRPr="001B74F4">
        <w:fldChar w:fldCharType="end"/>
      </w:r>
      <w:r w:rsidRPr="001B74F4">
        <w:t>.</w:t>
      </w:r>
    </w:p>
    <w:p w14:paraId="70FEBAAA" w14:textId="77777777" w:rsidR="0011660C" w:rsidRPr="001B74F4" w:rsidRDefault="0011660C">
      <w:pPr>
        <w:spacing w:line="240" w:lineRule="auto"/>
        <w:rPr>
          <w:rFonts w:ascii="Times New Roman" w:hAnsi="Times New Roman" w:cs="Times New Roman"/>
          <w:sz w:val="24"/>
          <w:szCs w:val="24"/>
        </w:rPr>
      </w:pPr>
    </w:p>
    <w:p w14:paraId="774BECB6"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6. </w:t>
      </w:r>
      <w:r w:rsidR="00FF5F6B" w:rsidRPr="001B74F4">
        <w:rPr>
          <w:rStyle w:val="Strong"/>
          <w:b/>
          <w:bCs/>
          <w:sz w:val="24"/>
          <w:szCs w:val="24"/>
        </w:rPr>
        <w:t>Diverse Emergency Case Profiles and Implications</w:t>
      </w:r>
    </w:p>
    <w:p w14:paraId="36C5041E" w14:textId="77777777" w:rsidR="0011660C" w:rsidRPr="001B74F4" w:rsidRDefault="00FF5F6B">
      <w:pPr>
        <w:pStyle w:val="NormalWeb"/>
        <w:spacing w:after="160" w:afterAutospacing="0"/>
      </w:pPr>
      <w:r w:rsidRPr="001B74F4">
        <w:t xml:space="preserve">Participants reported encountering a broad spectrum of emergencies: </w:t>
      </w:r>
      <w:r w:rsidRPr="001B74F4">
        <w:rPr>
          <w:rStyle w:val="Strong"/>
        </w:rPr>
        <w:t>trauma cases</w:t>
      </w:r>
      <w:r w:rsidRPr="001B74F4">
        <w:t xml:space="preserve"> (208), </w:t>
      </w:r>
      <w:r w:rsidRPr="001B74F4">
        <w:rPr>
          <w:rStyle w:val="Strong"/>
        </w:rPr>
        <w:t>obstetric emergencies</w:t>
      </w:r>
      <w:r w:rsidRPr="001B74F4">
        <w:t xml:space="preserve"> (154), </w:t>
      </w:r>
      <w:r w:rsidRPr="001B74F4">
        <w:rPr>
          <w:rStyle w:val="Strong"/>
        </w:rPr>
        <w:t>pediatric cases</w:t>
      </w:r>
      <w:r w:rsidRPr="001B74F4">
        <w:t xml:space="preserve"> (126), and </w:t>
      </w:r>
      <w:r w:rsidRPr="001B74F4">
        <w:rPr>
          <w:rStyle w:val="Strong"/>
        </w:rPr>
        <w:t>cardiac emergencies</w:t>
      </w:r>
      <w:r w:rsidRPr="001B74F4">
        <w:t xml:space="preserve"> (84). This diversity in caseloads illustrates that rural PHC facilities are not limited to treating minor illnesses; rather, they serve as the first line of defense for critical and often life-threatening conditions. </w:t>
      </w:r>
    </w:p>
    <w:p w14:paraId="3F3BD26F" w14:textId="77777777" w:rsidR="0011660C" w:rsidRPr="001B74F4" w:rsidRDefault="0011660C">
      <w:pPr>
        <w:spacing w:line="240" w:lineRule="auto"/>
        <w:rPr>
          <w:rFonts w:ascii="Times New Roman" w:hAnsi="Times New Roman" w:cs="Times New Roman"/>
          <w:sz w:val="24"/>
          <w:szCs w:val="24"/>
        </w:rPr>
      </w:pPr>
    </w:p>
    <w:p w14:paraId="7504B680" w14:textId="77777777" w:rsidR="005F1937" w:rsidRPr="001B74F4" w:rsidRDefault="005F1937">
      <w:pPr>
        <w:spacing w:line="240" w:lineRule="auto"/>
        <w:rPr>
          <w:rFonts w:ascii="Times New Roman" w:hAnsi="Times New Roman" w:cs="Times New Roman"/>
          <w:sz w:val="24"/>
          <w:szCs w:val="24"/>
        </w:rPr>
      </w:pPr>
    </w:p>
    <w:p w14:paraId="50DA45F5" w14:textId="77777777" w:rsidR="005F1937" w:rsidRPr="001B74F4" w:rsidRDefault="005F1937">
      <w:pPr>
        <w:spacing w:line="240" w:lineRule="auto"/>
        <w:rPr>
          <w:rFonts w:ascii="Times New Roman" w:hAnsi="Times New Roman" w:cs="Times New Roman"/>
          <w:sz w:val="24"/>
          <w:szCs w:val="24"/>
        </w:rPr>
      </w:pPr>
    </w:p>
    <w:p w14:paraId="60BAB2C6" w14:textId="77777777" w:rsidR="005F1937" w:rsidRPr="001B74F4" w:rsidRDefault="005F1937">
      <w:pPr>
        <w:spacing w:line="240" w:lineRule="auto"/>
        <w:rPr>
          <w:rFonts w:ascii="Times New Roman" w:hAnsi="Times New Roman" w:cs="Times New Roman"/>
          <w:sz w:val="24"/>
          <w:szCs w:val="24"/>
        </w:rPr>
      </w:pPr>
    </w:p>
    <w:p w14:paraId="75694FE9" w14:textId="77777777" w:rsidR="005F1937" w:rsidRPr="001B74F4" w:rsidRDefault="005F1937">
      <w:pPr>
        <w:spacing w:line="240" w:lineRule="auto"/>
        <w:rPr>
          <w:rFonts w:ascii="Times New Roman" w:hAnsi="Times New Roman" w:cs="Times New Roman"/>
          <w:sz w:val="24"/>
          <w:szCs w:val="24"/>
        </w:rPr>
      </w:pPr>
    </w:p>
    <w:p w14:paraId="642B92C1" w14:textId="77777777" w:rsidR="005F1937" w:rsidRPr="001B74F4" w:rsidRDefault="005F1937">
      <w:pPr>
        <w:spacing w:line="240" w:lineRule="auto"/>
        <w:rPr>
          <w:rFonts w:ascii="Times New Roman" w:hAnsi="Times New Roman" w:cs="Times New Roman"/>
          <w:sz w:val="24"/>
          <w:szCs w:val="24"/>
        </w:rPr>
      </w:pPr>
    </w:p>
    <w:p w14:paraId="76A9F2B7" w14:textId="77777777" w:rsidR="005F1937" w:rsidRPr="001B74F4" w:rsidRDefault="005F1937">
      <w:pPr>
        <w:spacing w:line="240" w:lineRule="auto"/>
        <w:rPr>
          <w:rFonts w:ascii="Times New Roman" w:hAnsi="Times New Roman" w:cs="Times New Roman"/>
          <w:sz w:val="24"/>
          <w:szCs w:val="24"/>
        </w:rPr>
      </w:pPr>
    </w:p>
    <w:p w14:paraId="70D1594D" w14:textId="77777777" w:rsidR="005F1937" w:rsidRPr="001B74F4" w:rsidRDefault="005F1937">
      <w:pPr>
        <w:spacing w:line="240" w:lineRule="auto"/>
        <w:rPr>
          <w:rFonts w:ascii="Times New Roman" w:hAnsi="Times New Roman" w:cs="Times New Roman"/>
          <w:sz w:val="24"/>
          <w:szCs w:val="24"/>
        </w:rPr>
      </w:pPr>
    </w:p>
    <w:p w14:paraId="2A5BE4DF" w14:textId="77777777" w:rsidR="005F1937" w:rsidRPr="001B74F4" w:rsidRDefault="005F1937">
      <w:pPr>
        <w:spacing w:line="240" w:lineRule="auto"/>
        <w:rPr>
          <w:rFonts w:ascii="Times New Roman" w:hAnsi="Times New Roman" w:cs="Times New Roman"/>
          <w:sz w:val="24"/>
          <w:szCs w:val="24"/>
        </w:rPr>
      </w:pPr>
    </w:p>
    <w:p w14:paraId="22680945" w14:textId="77777777" w:rsidR="005F1937" w:rsidRPr="001B74F4" w:rsidRDefault="005F1937">
      <w:pPr>
        <w:spacing w:line="240" w:lineRule="auto"/>
        <w:rPr>
          <w:rFonts w:ascii="Times New Roman" w:hAnsi="Times New Roman" w:cs="Times New Roman"/>
          <w:sz w:val="24"/>
          <w:szCs w:val="24"/>
        </w:rPr>
      </w:pPr>
    </w:p>
    <w:p w14:paraId="0C384FC5" w14:textId="77777777" w:rsidR="005F1937" w:rsidRPr="001B74F4" w:rsidRDefault="005F1937">
      <w:pPr>
        <w:spacing w:line="240" w:lineRule="auto"/>
        <w:rPr>
          <w:rFonts w:ascii="Times New Roman" w:hAnsi="Times New Roman" w:cs="Times New Roman"/>
          <w:sz w:val="24"/>
          <w:szCs w:val="24"/>
        </w:rPr>
      </w:pPr>
    </w:p>
    <w:p w14:paraId="6758F8C7" w14:textId="77777777" w:rsidR="00122FF6" w:rsidRPr="001B74F4" w:rsidRDefault="00122FF6">
      <w:pPr>
        <w:spacing w:line="240" w:lineRule="auto"/>
        <w:rPr>
          <w:rFonts w:ascii="Times New Roman" w:hAnsi="Times New Roman" w:cs="Times New Roman"/>
          <w:sz w:val="24"/>
          <w:szCs w:val="24"/>
        </w:rPr>
      </w:pPr>
    </w:p>
    <w:p w14:paraId="5B4CDDAE" w14:textId="77777777" w:rsidR="00122FF6" w:rsidRPr="001B74F4" w:rsidRDefault="00122FF6">
      <w:pPr>
        <w:spacing w:line="240" w:lineRule="auto"/>
        <w:rPr>
          <w:rFonts w:ascii="Times New Roman" w:hAnsi="Times New Roman" w:cs="Times New Roman"/>
          <w:sz w:val="24"/>
          <w:szCs w:val="24"/>
        </w:rPr>
      </w:pPr>
    </w:p>
    <w:p w14:paraId="2EE151ED" w14:textId="77777777" w:rsidR="00122FF6" w:rsidRPr="001B74F4" w:rsidRDefault="00122FF6">
      <w:pPr>
        <w:spacing w:line="240" w:lineRule="auto"/>
        <w:rPr>
          <w:rFonts w:ascii="Times New Roman" w:hAnsi="Times New Roman" w:cs="Times New Roman"/>
          <w:sz w:val="24"/>
          <w:szCs w:val="24"/>
        </w:rPr>
      </w:pPr>
    </w:p>
    <w:p w14:paraId="1510B24A" w14:textId="77777777" w:rsidR="00122FF6" w:rsidRPr="001B74F4" w:rsidRDefault="00122FF6">
      <w:pPr>
        <w:spacing w:line="240" w:lineRule="auto"/>
        <w:rPr>
          <w:rFonts w:ascii="Times New Roman" w:hAnsi="Times New Roman" w:cs="Times New Roman"/>
          <w:sz w:val="24"/>
          <w:szCs w:val="24"/>
        </w:rPr>
      </w:pPr>
    </w:p>
    <w:p w14:paraId="3C947568" w14:textId="77777777" w:rsidR="00122FF6" w:rsidRPr="001B74F4" w:rsidRDefault="00122FF6">
      <w:pPr>
        <w:spacing w:line="240" w:lineRule="auto"/>
        <w:rPr>
          <w:rFonts w:ascii="Times New Roman" w:hAnsi="Times New Roman" w:cs="Times New Roman"/>
          <w:sz w:val="24"/>
          <w:szCs w:val="24"/>
        </w:rPr>
      </w:pPr>
    </w:p>
    <w:p w14:paraId="2668FD49" w14:textId="77777777" w:rsidR="007E3194" w:rsidRPr="001B74F4" w:rsidRDefault="007E3194">
      <w:pPr>
        <w:pStyle w:val="NormalWeb"/>
        <w:spacing w:after="160" w:afterAutospacing="0"/>
        <w:rPr>
          <w:rFonts w:eastAsiaTheme="minorHAnsi"/>
        </w:rPr>
      </w:pPr>
    </w:p>
    <w:p w14:paraId="24C99F94" w14:textId="77777777" w:rsidR="00E94B72" w:rsidRPr="001B74F4" w:rsidRDefault="00E94B72">
      <w:pPr>
        <w:pStyle w:val="NormalWeb"/>
        <w:spacing w:after="160" w:afterAutospacing="0"/>
        <w:rPr>
          <w:b/>
          <w:bCs/>
        </w:rPr>
      </w:pPr>
    </w:p>
    <w:p w14:paraId="65FBC43C" w14:textId="77777777" w:rsidR="00E94B72" w:rsidRPr="001B74F4" w:rsidRDefault="00E94B72">
      <w:pPr>
        <w:pStyle w:val="NormalWeb"/>
        <w:spacing w:after="160" w:afterAutospacing="0"/>
        <w:rPr>
          <w:b/>
          <w:bCs/>
        </w:rPr>
      </w:pPr>
    </w:p>
    <w:p w14:paraId="06A418FA" w14:textId="77777777" w:rsidR="0011660C" w:rsidRPr="001B74F4" w:rsidRDefault="00E94B72">
      <w:pPr>
        <w:pStyle w:val="NormalWeb"/>
        <w:spacing w:after="160" w:afterAutospacing="0"/>
        <w:rPr>
          <w:b/>
          <w:bCs/>
          <w:u w:val="single"/>
        </w:rPr>
      </w:pPr>
      <w:r w:rsidRPr="001B74F4">
        <w:rPr>
          <w:b/>
          <w:bCs/>
          <w:u w:val="single"/>
        </w:rPr>
        <w:t xml:space="preserve">5.0 </w:t>
      </w:r>
      <w:r w:rsidR="00FF5F6B" w:rsidRPr="001B74F4">
        <w:rPr>
          <w:b/>
          <w:bCs/>
          <w:u w:val="single"/>
        </w:rPr>
        <w:t>CONCLUSION AND RECOMMENDATION</w:t>
      </w:r>
    </w:p>
    <w:p w14:paraId="605EE6DD" w14:textId="77777777" w:rsidR="00E94B72" w:rsidRPr="001B74F4" w:rsidRDefault="00E94B72">
      <w:pPr>
        <w:pStyle w:val="NormalWeb"/>
        <w:spacing w:after="160" w:afterAutospacing="0"/>
        <w:rPr>
          <w:b/>
          <w:bCs/>
        </w:rPr>
      </w:pPr>
      <w:r w:rsidRPr="001B74F4">
        <w:rPr>
          <w:b/>
          <w:bCs/>
        </w:rPr>
        <w:t>5.1 CONCLUSION</w:t>
      </w:r>
    </w:p>
    <w:p w14:paraId="33CBA765"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study sample exhibits a youthful age profile with a relatively normal distribution. </w:t>
      </w:r>
      <w:r w:rsidRPr="001B74F4">
        <w:rPr>
          <w:rFonts w:ascii="Times New Roman" w:eastAsia="Times New Roman" w:hAnsi="Times New Roman" w:cs="Times New Roman"/>
          <w:sz w:val="24"/>
          <w:szCs w:val="24"/>
        </w:rPr>
        <w:t xml:space="preserve">These findings collectively indicate a systemic weakness in emergency preparedness at the rural primary healthcare level. Despite the role these facilities play as frontline responders, they appear significantly under-resourced, which compromises their ability to manage acute medical events effectively. </w:t>
      </w:r>
    </w:p>
    <w:p w14:paraId="26E191E1"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These findings collectively highlight that while some progress has been made—particularly in the availability of blood products—rural health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still face substantial gaps in the consistent availability of critical emergency supplies. The irregular access to IV fluids and equipment, in particular, suggests a fragile emergency care foundation. This compromises patient stabilization at the primary care level, increasing the risk of deterioration during referrals or transit.</w:t>
      </w:r>
    </w:p>
    <w:p w14:paraId="36A62374" w14:textId="77777777" w:rsidR="008D76D2" w:rsidRPr="001B74F4" w:rsidRDefault="008D76D2" w:rsidP="008D76D2">
      <w:pPr>
        <w:spacing w:before="100" w:beforeAutospacing="1" w:line="240" w:lineRule="auto"/>
        <w:rPr>
          <w:rStyle w:val="Strong"/>
          <w:rFonts w:ascii="Times New Roman" w:eastAsia="Times New Roman" w:hAnsi="Times New Roman" w:cs="Times New Roman"/>
          <w:b w:val="0"/>
          <w:bCs w:val="0"/>
          <w:sz w:val="24"/>
          <w:szCs w:val="24"/>
        </w:rPr>
      </w:pPr>
      <w:r w:rsidRPr="001B74F4">
        <w:rPr>
          <w:rFonts w:ascii="Times New Roman" w:eastAsia="Times New Roman" w:hAnsi="Times New Roman" w:cs="Times New Roman"/>
          <w:sz w:val="24"/>
          <w:szCs w:val="24"/>
        </w:rPr>
        <w:t>The survey responses highlight uneven access to emergency supplies across health institutions. While blood products appear to be reliably available in many settings, essential items like IV fluids and IV equipment are lacking or inconsistently stocked in a considerable number of facilities. Oxygen supply, although more evenly spread, still shows gaps in availability. These findings call for urgent attention from healthcare administrators and policymakers to ensure consistent access to life-saving supplies, enabling nurses to provide safe and timely care to patients.</w:t>
      </w:r>
    </w:p>
    <w:p w14:paraId="1EAAF441" w14:textId="77777777" w:rsidR="008D76D2" w:rsidRPr="001B74F4" w:rsidRDefault="00C77EF9" w:rsidP="00C77EF9">
      <w:pPr>
        <w:pStyle w:val="NormalWeb"/>
        <w:spacing w:after="160" w:afterAutospacing="0"/>
        <w:jc w:val="both"/>
      </w:pPr>
      <w:r w:rsidRPr="001B74F4">
        <w:t>The study was clear</w:t>
      </w:r>
      <w:r w:rsidR="008D76D2" w:rsidRPr="001B74F4">
        <w:t xml:space="preserve">, while many healthcare workers frequently encounter emergency cases and express confidence in their ability to manage them, the lack of formal training, limited practical application, and inadequate infrastructure—especially in transportation and referral systems—pose significant threats to effective emergency care delivery. </w:t>
      </w:r>
    </w:p>
    <w:p w14:paraId="1F6936A9" w14:textId="77777777" w:rsidR="002445DA" w:rsidRPr="001B74F4" w:rsidRDefault="008D76D2" w:rsidP="002445DA">
      <w:pPr>
        <w:pStyle w:val="NormalWeb"/>
        <w:spacing w:after="160" w:afterAutospacing="0"/>
        <w:jc w:val="both"/>
      </w:pPr>
      <w:r w:rsidRPr="001B74F4">
        <w:t>The findings suggest that while frontline healthcare providers are frequently involved in managing a diverse range of emergencies, they are often constrained by insufficient training, inadequate equipment, staffing shortages, and poor communication systems. Participants’ recommendations for improving emergency care—such as enhanced training, better referral mechanisms, and increased resources—should inform policy decisions and capacity-building initiatives. Addressing these systemic issues is essential to ensuring timely, efficient, and effective emergency responses, ultimately improving patient outcomes at all levels of care.</w:t>
      </w:r>
    </w:p>
    <w:p w14:paraId="2262AB17" w14:textId="77777777" w:rsidR="00122FF6" w:rsidRPr="001B74F4" w:rsidRDefault="00122FF6" w:rsidP="002445DA">
      <w:pPr>
        <w:pStyle w:val="NormalWeb"/>
        <w:spacing w:after="160" w:afterAutospacing="0"/>
        <w:jc w:val="both"/>
      </w:pPr>
      <w:r w:rsidRPr="001B74F4">
        <w:t xml:space="preserve">The findings demonstrate that </w:t>
      </w:r>
      <w:bookmarkStart w:id="18" w:name="_Hlk202326772"/>
      <w:r w:rsidRPr="001B74F4">
        <w:t xml:space="preserve">enhancing emergency preparedness in rural PHC facilities requires a holistic approach—combining improved infrastructure, continuous staff training, functional referral systems, and adequate human resources. </w:t>
      </w:r>
      <w:bookmarkEnd w:id="18"/>
      <w:r w:rsidRPr="001B74F4">
        <w:t>These priorities are not only echoed by the data but are consistent with international frameworks such as the WHO’s Emergency Care Systems Assessment Tool and the Lancet Global Health Commission on high-quality health systems.</w:t>
      </w:r>
    </w:p>
    <w:p w14:paraId="3E4A65F3" w14:textId="77777777" w:rsidR="00122FF6" w:rsidRPr="001B74F4" w:rsidRDefault="00122FF6" w:rsidP="00122FF6">
      <w:pPr>
        <w:spacing w:line="240" w:lineRule="auto"/>
        <w:rPr>
          <w:rFonts w:ascii="Times New Roman" w:hAnsi="Times New Roman" w:cs="Times New Roman"/>
          <w:sz w:val="24"/>
          <w:szCs w:val="24"/>
        </w:rPr>
      </w:pPr>
    </w:p>
    <w:p w14:paraId="4735F7E3" w14:textId="77777777" w:rsidR="00122FF6" w:rsidRPr="001B74F4" w:rsidRDefault="00122FF6" w:rsidP="008D76D2">
      <w:pPr>
        <w:spacing w:before="100" w:beforeAutospacing="1" w:line="240" w:lineRule="auto"/>
        <w:rPr>
          <w:rFonts w:ascii="Times New Roman" w:eastAsia="Times New Roman" w:hAnsi="Times New Roman" w:cs="Times New Roman"/>
          <w:color w:val="FF0000"/>
          <w:sz w:val="24"/>
          <w:szCs w:val="24"/>
        </w:rPr>
      </w:pPr>
    </w:p>
    <w:p w14:paraId="7C73ACC8" w14:textId="77777777" w:rsidR="008D76D2" w:rsidRPr="001B74F4" w:rsidRDefault="008D76D2" w:rsidP="003001AC">
      <w:pPr>
        <w:spacing w:line="240" w:lineRule="auto"/>
        <w:rPr>
          <w:rFonts w:ascii="Times New Roman" w:hAnsi="Times New Roman" w:cs="Times New Roman"/>
          <w:b/>
          <w:bCs/>
          <w:sz w:val="24"/>
          <w:szCs w:val="24"/>
          <w:u w:val="single"/>
        </w:rPr>
      </w:pPr>
    </w:p>
    <w:p w14:paraId="7CB87561" w14:textId="77777777" w:rsidR="003001AC" w:rsidRPr="001B74F4" w:rsidRDefault="00E94B72" w:rsidP="003001AC">
      <w:pPr>
        <w:spacing w:line="240" w:lineRule="auto"/>
        <w:rPr>
          <w:rFonts w:ascii="Times New Roman" w:hAnsi="Times New Roman" w:cs="Times New Roman"/>
          <w:bCs/>
          <w:sz w:val="24"/>
          <w:szCs w:val="24"/>
          <w:u w:val="single"/>
        </w:rPr>
      </w:pPr>
      <w:r w:rsidRPr="001B74F4">
        <w:rPr>
          <w:rFonts w:ascii="Times New Roman" w:hAnsi="Times New Roman" w:cs="Times New Roman"/>
          <w:b/>
          <w:bCs/>
          <w:sz w:val="24"/>
          <w:szCs w:val="24"/>
        </w:rPr>
        <w:t>5.2</w:t>
      </w:r>
      <w:r w:rsidRPr="001B74F4">
        <w:rPr>
          <w:rFonts w:ascii="Times New Roman" w:hAnsi="Times New Roman" w:cs="Times New Roman"/>
          <w:b/>
          <w:bCs/>
          <w:sz w:val="24"/>
          <w:szCs w:val="24"/>
          <w:u w:val="single"/>
        </w:rPr>
        <w:t xml:space="preserve"> </w:t>
      </w:r>
      <w:r w:rsidR="007E3194" w:rsidRPr="001B74F4">
        <w:rPr>
          <w:rFonts w:ascii="Times New Roman" w:hAnsi="Times New Roman" w:cs="Times New Roman"/>
          <w:b/>
          <w:bCs/>
          <w:sz w:val="24"/>
          <w:szCs w:val="24"/>
          <w:u w:val="single"/>
        </w:rPr>
        <w:t>R</w:t>
      </w:r>
      <w:r w:rsidR="003001AC" w:rsidRPr="001B74F4">
        <w:rPr>
          <w:rFonts w:ascii="Times New Roman" w:hAnsi="Times New Roman" w:cs="Times New Roman"/>
          <w:b/>
          <w:bCs/>
          <w:sz w:val="24"/>
          <w:szCs w:val="24"/>
          <w:u w:val="single"/>
        </w:rPr>
        <w:t>ecommend</w:t>
      </w:r>
      <w:r w:rsidR="007E3194" w:rsidRPr="001B74F4">
        <w:rPr>
          <w:rFonts w:ascii="Times New Roman" w:hAnsi="Times New Roman" w:cs="Times New Roman"/>
          <w:b/>
          <w:bCs/>
          <w:sz w:val="24"/>
          <w:szCs w:val="24"/>
          <w:u w:val="single"/>
        </w:rPr>
        <w:t>ation</w:t>
      </w:r>
      <w:r w:rsidR="003001AC" w:rsidRPr="001B74F4">
        <w:rPr>
          <w:rFonts w:ascii="Times New Roman" w:hAnsi="Times New Roman" w:cs="Times New Roman"/>
          <w:b/>
          <w:bCs/>
          <w:sz w:val="24"/>
          <w:szCs w:val="24"/>
          <w:u w:val="single"/>
        </w:rPr>
        <w:t xml:space="preserve"> to enhance emergency preparedness at rural PHC facilities</w:t>
      </w:r>
    </w:p>
    <w:p w14:paraId="4B7C0CD7" w14:textId="77777777" w:rsidR="0011660C" w:rsidRPr="001B74F4" w:rsidRDefault="0011660C" w:rsidP="00E94B72">
      <w:pPr>
        <w:spacing w:line="240" w:lineRule="auto"/>
        <w:rPr>
          <w:rFonts w:ascii="Times New Roman" w:hAnsi="Times New Roman" w:cs="Times New Roman"/>
          <w:sz w:val="24"/>
          <w:szCs w:val="24"/>
        </w:rPr>
      </w:pPr>
    </w:p>
    <w:p w14:paraId="71055EA8" w14:textId="77777777" w:rsidR="0011660C" w:rsidRPr="001B74F4" w:rsidRDefault="00E94B72" w:rsidP="00E94B72">
      <w:pPr>
        <w:spacing w:line="240" w:lineRule="auto"/>
        <w:rPr>
          <w:rFonts w:ascii="Times New Roman" w:hAnsi="Times New Roman" w:cs="Times New Roman"/>
          <w:b/>
          <w:sz w:val="24"/>
          <w:szCs w:val="24"/>
        </w:rPr>
      </w:pPr>
      <w:r w:rsidRPr="001B74F4">
        <w:rPr>
          <w:rFonts w:ascii="Times New Roman" w:hAnsi="Times New Roman" w:cs="Times New Roman"/>
          <w:b/>
          <w:bCs/>
          <w:sz w:val="24"/>
          <w:szCs w:val="24"/>
        </w:rPr>
        <w:t xml:space="preserve">5.2.1 </w:t>
      </w:r>
      <w:r w:rsidR="00B623D4" w:rsidRPr="001B74F4">
        <w:rPr>
          <w:rFonts w:ascii="Times New Roman" w:hAnsi="Times New Roman" w:cs="Times New Roman"/>
          <w:b/>
          <w:sz w:val="24"/>
          <w:szCs w:val="24"/>
        </w:rPr>
        <w:t>Recommendation</w:t>
      </w:r>
      <w:r w:rsidR="008D76D2" w:rsidRPr="001B74F4">
        <w:rPr>
          <w:rFonts w:ascii="Times New Roman" w:hAnsi="Times New Roman" w:cs="Times New Roman"/>
          <w:b/>
          <w:sz w:val="24"/>
          <w:szCs w:val="24"/>
        </w:rPr>
        <w:t xml:space="preserve"> to the Municipal Health Directorate</w:t>
      </w:r>
    </w:p>
    <w:p w14:paraId="760D48F7" w14:textId="77777777" w:rsidR="00122FF6" w:rsidRPr="001B74F4" w:rsidRDefault="00B623D4" w:rsidP="00122FF6">
      <w:pPr>
        <w:pStyle w:val="NormalWeb"/>
        <w:spacing w:after="160" w:afterAutospacing="0"/>
        <w:jc w:val="both"/>
      </w:pPr>
      <w:r w:rsidRPr="001B74F4">
        <w:rPr>
          <w:b/>
        </w:rPr>
        <w:t>Training</w:t>
      </w:r>
      <w:r w:rsidR="00122FF6" w:rsidRPr="001B74F4">
        <w:rPr>
          <w:b/>
        </w:rPr>
        <w:t xml:space="preserve"> of staff: </w:t>
      </w:r>
      <w:r w:rsidR="00122FF6" w:rsidRPr="001B74F4">
        <w:t>A</w:t>
      </w:r>
      <w:r w:rsidR="00077BBD" w:rsidRPr="001B74F4">
        <w:t>s</w:t>
      </w:r>
      <w:r w:rsidR="00170B15" w:rsidRPr="001B74F4">
        <w:t xml:space="preserve"> the study sample exhibits a youthful age profile with a relatively normal distribution, it underscores the need for ongoing investment in skills development, adequate supervision, and retention strategies to enhance the emergency care capacity of rural healthcare facilities.</w:t>
      </w:r>
      <w:r w:rsidR="00122FF6" w:rsidRPr="001B74F4">
        <w:t xml:space="preserve"> </w:t>
      </w:r>
      <w:r w:rsidR="00077BBD" w:rsidRPr="001B74F4">
        <w:t>These</w:t>
      </w:r>
      <w:r w:rsidR="00122FF6" w:rsidRPr="001B74F4">
        <w:t xml:space="preserve"> </w:t>
      </w:r>
      <w:r w:rsidR="00077BBD" w:rsidRPr="001B74F4">
        <w:t xml:space="preserve">can be addressed through </w:t>
      </w:r>
      <w:r w:rsidR="00122FF6" w:rsidRPr="001B74F4">
        <w:t xml:space="preserve">targeted training, </w:t>
      </w:r>
    </w:p>
    <w:p w14:paraId="76B52855" w14:textId="77777777" w:rsidR="00E768C0" w:rsidRPr="001B74F4" w:rsidRDefault="00B623D4" w:rsidP="00E768C0">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sz w:val="24"/>
          <w:szCs w:val="24"/>
        </w:rPr>
        <w:t>Further Research</w:t>
      </w:r>
      <w:r w:rsidR="00170B15" w:rsidRPr="001B74F4">
        <w:rPr>
          <w:rFonts w:ascii="Times New Roman" w:eastAsia="Times New Roman" w:hAnsi="Times New Roman" w:cs="Times New Roman"/>
          <w:sz w:val="24"/>
          <w:szCs w:val="24"/>
        </w:rPr>
        <w:t>:</w:t>
      </w:r>
      <w:r w:rsidR="00A67399" w:rsidRPr="001B74F4">
        <w:rPr>
          <w:rFonts w:ascii="Times New Roman" w:eastAsia="Times New Roman" w:hAnsi="Times New Roman" w:cs="Times New Roman"/>
          <w:sz w:val="24"/>
          <w:szCs w:val="24"/>
        </w:rPr>
        <w:t xml:space="preserve"> </w:t>
      </w:r>
      <w:r w:rsidR="002445DA" w:rsidRPr="001B74F4">
        <w:rPr>
          <w:rFonts w:ascii="Times New Roman" w:eastAsia="Times New Roman" w:hAnsi="Times New Roman" w:cs="Times New Roman"/>
          <w:sz w:val="24"/>
          <w:szCs w:val="24"/>
        </w:rPr>
        <w:t>To</w:t>
      </w:r>
      <w:r w:rsidR="00077BBD" w:rsidRPr="001B74F4">
        <w:rPr>
          <w:rFonts w:ascii="Times New Roman" w:eastAsia="Times New Roman" w:hAnsi="Times New Roman" w:cs="Times New Roman"/>
          <w:sz w:val="24"/>
          <w:szCs w:val="24"/>
        </w:rPr>
        <w:t xml:space="preserve"> investigate how to</w:t>
      </w:r>
      <w:r w:rsidR="002445DA" w:rsidRPr="001B74F4">
        <w:rPr>
          <w:rFonts w:ascii="Times New Roman" w:eastAsia="Times New Roman" w:hAnsi="Times New Roman" w:cs="Times New Roman"/>
          <w:sz w:val="24"/>
          <w:szCs w:val="24"/>
        </w:rPr>
        <w:t xml:space="preserve"> integrate age demographics with variables such as qualification level, years of service, and emergency-specific training to better understand the true readiness of the rural health </w:t>
      </w:r>
      <w:proofErr w:type="spellStart"/>
      <w:r w:rsidR="002445DA" w:rsidRPr="001B74F4">
        <w:rPr>
          <w:rFonts w:ascii="Times New Roman" w:eastAsia="Times New Roman" w:hAnsi="Times New Roman" w:cs="Times New Roman"/>
          <w:sz w:val="24"/>
          <w:szCs w:val="24"/>
        </w:rPr>
        <w:t>workforce.It</w:t>
      </w:r>
      <w:proofErr w:type="spellEnd"/>
      <w:r w:rsidR="002445DA" w:rsidRPr="001B74F4">
        <w:rPr>
          <w:rFonts w:ascii="Times New Roman" w:eastAsia="Times New Roman" w:hAnsi="Times New Roman" w:cs="Times New Roman"/>
          <w:sz w:val="24"/>
          <w:szCs w:val="24"/>
        </w:rPr>
        <w:t xml:space="preserve"> is</w:t>
      </w:r>
      <w:r w:rsidR="00170B15" w:rsidRPr="001B74F4">
        <w:rPr>
          <w:rFonts w:ascii="Times New Roman" w:eastAsia="Times New Roman" w:hAnsi="Times New Roman" w:cs="Times New Roman"/>
          <w:sz w:val="24"/>
          <w:szCs w:val="24"/>
        </w:rPr>
        <w:t xml:space="preserve"> </w:t>
      </w:r>
      <w:r w:rsidR="00E768C0" w:rsidRPr="001B74F4">
        <w:rPr>
          <w:rFonts w:ascii="Times New Roman" w:eastAsia="Times New Roman" w:hAnsi="Times New Roman" w:cs="Times New Roman"/>
          <w:sz w:val="24"/>
          <w:szCs w:val="24"/>
        </w:rPr>
        <w:t>crucial to consider complementary data on the training, years of experience, and continuous professional development of staff, which, together with age, will offer a fuller picture of emergency response capacity.</w:t>
      </w:r>
    </w:p>
    <w:p w14:paraId="1ED947C8" w14:textId="77777777" w:rsidR="00A67399" w:rsidRPr="001B74F4" w:rsidRDefault="002445DA">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Supportive Work Environment:</w:t>
      </w:r>
      <w:r w:rsidRPr="001B74F4">
        <w:rPr>
          <w:rFonts w:ascii="Times New Roman" w:eastAsia="Times New Roman" w:hAnsi="Times New Roman" w:cs="Times New Roman"/>
          <w:sz w:val="24"/>
          <w:szCs w:val="24"/>
        </w:rPr>
        <w:t xml:space="preserve"> Ensure adequate staffing, functional equipment, and emotional support systems to reduce burnout</w:t>
      </w:r>
      <w:r w:rsidR="00A67399" w:rsidRPr="001B74F4">
        <w:rPr>
          <w:rFonts w:ascii="Times New Roman" w:eastAsia="Times New Roman" w:hAnsi="Times New Roman" w:cs="Times New Roman"/>
          <w:sz w:val="24"/>
          <w:szCs w:val="24"/>
        </w:rPr>
        <w:t>.</w:t>
      </w:r>
    </w:p>
    <w:p w14:paraId="10A383B9" w14:textId="77777777" w:rsidR="002445DA" w:rsidRPr="001B74F4" w:rsidRDefault="00A67399">
      <w:pPr>
        <w:spacing w:before="100" w:beforeAutospacing="1" w:line="240" w:lineRule="auto"/>
        <w:rPr>
          <w:rFonts w:ascii="Times New Roman" w:eastAsia="Times New Roman" w:hAnsi="Times New Roman" w:cs="Times New Roman"/>
          <w:b/>
          <w:sz w:val="24"/>
          <w:szCs w:val="24"/>
        </w:rPr>
      </w:pPr>
      <w:r w:rsidRPr="001B74F4">
        <w:rPr>
          <w:rFonts w:ascii="Times New Roman" w:eastAsia="Times New Roman" w:hAnsi="Times New Roman" w:cs="Times New Roman"/>
          <w:b/>
          <w:bCs/>
          <w:sz w:val="24"/>
          <w:szCs w:val="24"/>
        </w:rPr>
        <w:t>Recognition and Motivation:</w:t>
      </w:r>
      <w:r w:rsidRPr="001B74F4">
        <w:rPr>
          <w:rFonts w:ascii="Times New Roman" w:eastAsia="Times New Roman" w:hAnsi="Times New Roman" w:cs="Times New Roman"/>
          <w:sz w:val="24"/>
          <w:szCs w:val="24"/>
        </w:rPr>
        <w:t xml:space="preserve"> Establish recognition programs to reward dedication and excellence in rural service</w:t>
      </w:r>
      <w:r w:rsidR="002445DA" w:rsidRPr="001B74F4">
        <w:rPr>
          <w:rFonts w:ascii="Times New Roman" w:eastAsia="Times New Roman" w:hAnsi="Times New Roman" w:cs="Times New Roman"/>
          <w:b/>
          <w:sz w:val="24"/>
          <w:szCs w:val="24"/>
        </w:rPr>
        <w:t xml:space="preserve"> </w:t>
      </w:r>
    </w:p>
    <w:p w14:paraId="6C010F4B" w14:textId="77777777" w:rsidR="002445DA" w:rsidRPr="001B74F4" w:rsidRDefault="00077BBD" w:rsidP="002445DA">
      <w:pPr>
        <w:pStyle w:val="NormalWeb"/>
        <w:spacing w:after="160" w:afterAutospacing="0"/>
        <w:jc w:val="both"/>
      </w:pPr>
      <w:r w:rsidRPr="001B74F4">
        <w:rPr>
          <w:b/>
        </w:rPr>
        <w:t>Supervision:</w:t>
      </w:r>
      <w:r w:rsidRPr="001B74F4">
        <w:t xml:space="preserve"> </w:t>
      </w:r>
      <w:r w:rsidR="002445DA" w:rsidRPr="001B74F4">
        <w:t xml:space="preserve">Adequate supervision and retention strategies to enhance the emergency care capacity of rural healthcare facilities  </w:t>
      </w:r>
    </w:p>
    <w:p w14:paraId="7FB4AE32" w14:textId="77777777" w:rsidR="002445DA" w:rsidRPr="001B74F4" w:rsidRDefault="007E3194" w:rsidP="007E3194">
      <w:pPr>
        <w:pStyle w:val="NormalWeb"/>
        <w:spacing w:after="160" w:afterAutospacing="0"/>
        <w:jc w:val="both"/>
        <w:rPr>
          <w:color w:val="FF0000"/>
        </w:rPr>
      </w:pPr>
      <w:r w:rsidRPr="001B74F4">
        <w:rPr>
          <w:b/>
        </w:rPr>
        <w:t>Proper Referral system</w:t>
      </w:r>
      <w:r w:rsidRPr="001B74F4">
        <w:t>: S</w:t>
      </w:r>
      <w:r w:rsidR="002445DA" w:rsidRPr="001B74F4">
        <w:t>trengthened referral systems is essential for improving outcomes in emergency health situations</w:t>
      </w:r>
      <w:r w:rsidR="002445DA" w:rsidRPr="001B74F4">
        <w:rPr>
          <w:color w:val="FF0000"/>
        </w:rPr>
        <w:t>.</w:t>
      </w:r>
    </w:p>
    <w:p w14:paraId="518BC167" w14:textId="77777777" w:rsidR="00122FF6" w:rsidRPr="001B74F4" w:rsidRDefault="00E94B72" w:rsidP="00E94B72">
      <w:pPr>
        <w:spacing w:before="100" w:beforeAutospacing="1" w:line="240" w:lineRule="auto"/>
        <w:rPr>
          <w:rFonts w:ascii="Times New Roman" w:eastAsia="Times New Roman" w:hAnsi="Times New Roman" w:cs="Times New Roman"/>
          <w:b/>
          <w:sz w:val="24"/>
          <w:szCs w:val="24"/>
        </w:rPr>
      </w:pPr>
      <w:r w:rsidRPr="001B74F4">
        <w:rPr>
          <w:rFonts w:ascii="Times New Roman" w:eastAsia="Times New Roman" w:hAnsi="Times New Roman" w:cs="Times New Roman"/>
          <w:b/>
          <w:bCs/>
          <w:sz w:val="24"/>
          <w:szCs w:val="24"/>
        </w:rPr>
        <w:t xml:space="preserve">5.2.2 </w:t>
      </w:r>
      <w:r w:rsidR="00122FF6" w:rsidRPr="001B74F4">
        <w:rPr>
          <w:rFonts w:ascii="Times New Roman" w:eastAsia="Times New Roman" w:hAnsi="Times New Roman" w:cs="Times New Roman"/>
          <w:b/>
          <w:sz w:val="24"/>
          <w:szCs w:val="24"/>
        </w:rPr>
        <w:t>Ghana Health Service</w:t>
      </w:r>
    </w:p>
    <w:p w14:paraId="79877564" w14:textId="77777777" w:rsidR="002445DA" w:rsidRPr="001B74F4" w:rsidRDefault="002445DA" w:rsidP="002445DA">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Career Development:</w:t>
      </w:r>
      <w:r w:rsidRPr="001B74F4">
        <w:rPr>
          <w:rFonts w:ascii="Times New Roman" w:eastAsia="Times New Roman" w:hAnsi="Times New Roman" w:cs="Times New Roman"/>
          <w:sz w:val="24"/>
          <w:szCs w:val="24"/>
        </w:rPr>
        <w:t xml:space="preserve"> Provide continuous pro</w:t>
      </w:r>
      <w:r w:rsidR="00A67399" w:rsidRPr="001B74F4">
        <w:rPr>
          <w:rFonts w:ascii="Times New Roman" w:eastAsia="Times New Roman" w:hAnsi="Times New Roman" w:cs="Times New Roman"/>
          <w:sz w:val="24"/>
          <w:szCs w:val="24"/>
        </w:rPr>
        <w:t>fessional development, increasing quota for</w:t>
      </w:r>
      <w:r w:rsidRPr="001B74F4">
        <w:rPr>
          <w:rFonts w:ascii="Times New Roman" w:eastAsia="Times New Roman" w:hAnsi="Times New Roman" w:cs="Times New Roman"/>
          <w:sz w:val="24"/>
          <w:szCs w:val="24"/>
        </w:rPr>
        <w:t xml:space="preserve"> emergency care training</w:t>
      </w:r>
      <w:r w:rsidR="00B623D4"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and opportunities for specialization.</w:t>
      </w:r>
    </w:p>
    <w:p w14:paraId="5CAF6986" w14:textId="77777777" w:rsidR="00122FF6" w:rsidRPr="001B74F4" w:rsidRDefault="00A67399" w:rsidP="007E3194">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sz w:val="24"/>
          <w:szCs w:val="24"/>
        </w:rPr>
        <w:t>Policy development</w:t>
      </w:r>
      <w:r w:rsidRPr="001B74F4">
        <w:rPr>
          <w:rFonts w:ascii="Times New Roman" w:eastAsia="Times New Roman" w:hAnsi="Times New Roman" w:cs="Times New Roman"/>
          <w:sz w:val="24"/>
          <w:szCs w:val="24"/>
        </w:rPr>
        <w:t xml:space="preserve">: Policies and standardized </w:t>
      </w:r>
      <w:r w:rsidR="000072F1" w:rsidRPr="001B74F4">
        <w:rPr>
          <w:rFonts w:ascii="Times New Roman" w:eastAsia="Times New Roman" w:hAnsi="Times New Roman" w:cs="Times New Roman"/>
          <w:sz w:val="24"/>
          <w:szCs w:val="24"/>
        </w:rPr>
        <w:t>protocols aimed</w:t>
      </w:r>
      <w:r w:rsidRPr="001B74F4">
        <w:rPr>
          <w:rFonts w:ascii="Times New Roman" w:eastAsia="Times New Roman" w:hAnsi="Times New Roman" w:cs="Times New Roman"/>
          <w:sz w:val="24"/>
          <w:szCs w:val="24"/>
        </w:rPr>
        <w:t xml:space="preserve"> at strengthening rural healthcare systems</w:t>
      </w:r>
      <w:r w:rsidR="00077BBD" w:rsidRPr="001B74F4">
        <w:rPr>
          <w:rFonts w:ascii="Times New Roman" w:eastAsia="Times New Roman" w:hAnsi="Times New Roman" w:cs="Times New Roman"/>
          <w:sz w:val="24"/>
          <w:szCs w:val="24"/>
        </w:rPr>
        <w:t>.</w:t>
      </w:r>
    </w:p>
    <w:p w14:paraId="50701E9B" w14:textId="77777777" w:rsidR="00E94B72" w:rsidRPr="001B74F4" w:rsidRDefault="000F564F" w:rsidP="000F564F">
      <w:pPr>
        <w:spacing w:before="100" w:beforeAutospacing="1" w:line="240" w:lineRule="auto"/>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 xml:space="preserve">Availability of equipment: </w:t>
      </w:r>
      <w:r w:rsidRPr="001B74F4">
        <w:rPr>
          <w:rFonts w:ascii="Times New Roman" w:eastAsia="Times New Roman" w:hAnsi="Times New Roman" w:cs="Times New Roman"/>
          <w:bCs/>
          <w:sz w:val="24"/>
          <w:szCs w:val="24"/>
        </w:rPr>
        <w:t xml:space="preserve">The need to ensure fair distribution of </w:t>
      </w:r>
      <w:r w:rsidR="00B623D4" w:rsidRPr="001B74F4">
        <w:rPr>
          <w:rFonts w:ascii="Times New Roman" w:eastAsia="Times New Roman" w:hAnsi="Times New Roman" w:cs="Times New Roman"/>
          <w:bCs/>
          <w:sz w:val="24"/>
          <w:szCs w:val="24"/>
        </w:rPr>
        <w:t>equipment</w:t>
      </w:r>
      <w:r w:rsidRPr="001B74F4">
        <w:rPr>
          <w:rFonts w:ascii="Times New Roman" w:eastAsia="Times New Roman" w:hAnsi="Times New Roman" w:cs="Times New Roman"/>
          <w:bCs/>
          <w:sz w:val="24"/>
          <w:szCs w:val="24"/>
        </w:rPr>
        <w:t xml:space="preserve"> </w:t>
      </w:r>
      <w:r w:rsidR="00B623D4" w:rsidRPr="001B74F4">
        <w:rPr>
          <w:rFonts w:ascii="Times New Roman" w:eastAsia="Times New Roman" w:hAnsi="Times New Roman" w:cs="Times New Roman"/>
          <w:bCs/>
          <w:sz w:val="24"/>
          <w:szCs w:val="24"/>
        </w:rPr>
        <w:t>is</w:t>
      </w:r>
      <w:r w:rsidRPr="001B74F4">
        <w:rPr>
          <w:rFonts w:ascii="Times New Roman" w:eastAsia="Times New Roman" w:hAnsi="Times New Roman" w:cs="Times New Roman"/>
          <w:bCs/>
          <w:sz w:val="24"/>
          <w:szCs w:val="24"/>
        </w:rPr>
        <w:t xml:space="preserve"> </w:t>
      </w:r>
      <w:r w:rsidR="00B623D4" w:rsidRPr="001B74F4">
        <w:rPr>
          <w:rFonts w:ascii="Times New Roman" w:eastAsia="Times New Roman" w:hAnsi="Times New Roman" w:cs="Times New Roman"/>
          <w:bCs/>
          <w:sz w:val="24"/>
          <w:szCs w:val="24"/>
        </w:rPr>
        <w:t>based</w:t>
      </w:r>
      <w:r w:rsidRPr="001B74F4">
        <w:rPr>
          <w:rFonts w:ascii="Times New Roman" w:eastAsia="Times New Roman" w:hAnsi="Times New Roman" w:cs="Times New Roman"/>
          <w:bCs/>
          <w:sz w:val="24"/>
          <w:szCs w:val="24"/>
        </w:rPr>
        <w:t xml:space="preserve"> on </w:t>
      </w:r>
      <w:r w:rsidR="00B623D4" w:rsidRPr="001B74F4">
        <w:rPr>
          <w:rFonts w:ascii="Times New Roman" w:eastAsia="Times New Roman" w:hAnsi="Times New Roman" w:cs="Times New Roman"/>
          <w:bCs/>
          <w:sz w:val="24"/>
          <w:szCs w:val="24"/>
        </w:rPr>
        <w:t xml:space="preserve">the </w:t>
      </w:r>
      <w:proofErr w:type="gramStart"/>
      <w:r w:rsidRPr="001B74F4">
        <w:rPr>
          <w:rFonts w:ascii="Times New Roman" w:eastAsia="Times New Roman" w:hAnsi="Times New Roman" w:cs="Times New Roman"/>
          <w:bCs/>
          <w:sz w:val="24"/>
          <w:szCs w:val="24"/>
        </w:rPr>
        <w:t>needs</w:t>
      </w:r>
      <w:proofErr w:type="gramEnd"/>
      <w:r w:rsidRPr="001B74F4">
        <w:rPr>
          <w:rFonts w:ascii="Times New Roman" w:eastAsia="Times New Roman" w:hAnsi="Times New Roman" w:cs="Times New Roman"/>
          <w:bCs/>
          <w:sz w:val="24"/>
          <w:szCs w:val="24"/>
        </w:rPr>
        <w:t xml:space="preserve"> assessment of the PHC facilities</w:t>
      </w:r>
    </w:p>
    <w:p w14:paraId="785313D8" w14:textId="77777777" w:rsidR="00C77EF9" w:rsidRPr="001B74F4" w:rsidRDefault="00E94B72" w:rsidP="00E94B72">
      <w:pPr>
        <w:spacing w:before="100" w:beforeAutospacing="1" w:line="240" w:lineRule="auto"/>
        <w:rPr>
          <w:rFonts w:ascii="Times New Roman" w:eastAsia="Times New Roman" w:hAnsi="Times New Roman" w:cs="Times New Roman"/>
          <w:b/>
          <w:sz w:val="24"/>
          <w:szCs w:val="24"/>
        </w:rPr>
      </w:pPr>
      <w:r w:rsidRPr="001B74F4">
        <w:rPr>
          <w:rFonts w:ascii="Times New Roman" w:eastAsia="Times New Roman" w:hAnsi="Times New Roman" w:cs="Times New Roman"/>
          <w:b/>
          <w:bCs/>
          <w:sz w:val="24"/>
          <w:szCs w:val="24"/>
        </w:rPr>
        <w:t xml:space="preserve">5.2.3 </w:t>
      </w:r>
      <w:r w:rsidR="00C77EF9" w:rsidRPr="001B74F4">
        <w:rPr>
          <w:rFonts w:ascii="Times New Roman" w:eastAsia="Times New Roman" w:hAnsi="Times New Roman" w:cs="Times New Roman"/>
          <w:b/>
          <w:sz w:val="24"/>
          <w:szCs w:val="24"/>
        </w:rPr>
        <w:t>Ministry of Health</w:t>
      </w:r>
    </w:p>
    <w:p w14:paraId="262D491F" w14:textId="77777777" w:rsidR="000072F1" w:rsidRPr="001B74F4" w:rsidRDefault="00A67399" w:rsidP="000072F1">
      <w:pPr>
        <w:spacing w:before="100" w:beforeAutospacing="1" w:line="240" w:lineRule="auto"/>
        <w:rPr>
          <w:rFonts w:ascii="Times New Roman" w:eastAsia="Times New Roman" w:hAnsi="Times New Roman" w:cs="Times New Roman"/>
          <w:sz w:val="24"/>
          <w:szCs w:val="24"/>
        </w:rPr>
      </w:pPr>
      <w:r w:rsidRPr="001B74F4">
        <w:rPr>
          <w:rFonts w:ascii="Times New Roman" w:hAnsi="Times New Roman" w:cs="Times New Roman"/>
          <w:b/>
          <w:sz w:val="24"/>
          <w:szCs w:val="24"/>
        </w:rPr>
        <w:lastRenderedPageBreak/>
        <w:t>Improved</w:t>
      </w:r>
      <w:r w:rsidR="002445DA" w:rsidRPr="001B74F4">
        <w:rPr>
          <w:rFonts w:ascii="Times New Roman" w:hAnsi="Times New Roman" w:cs="Times New Roman"/>
          <w:b/>
          <w:sz w:val="24"/>
          <w:szCs w:val="24"/>
        </w:rPr>
        <w:t xml:space="preserve"> infrastructure</w:t>
      </w:r>
      <w:r w:rsidRPr="001B74F4">
        <w:rPr>
          <w:rFonts w:ascii="Times New Roman" w:hAnsi="Times New Roman" w:cs="Times New Roman"/>
          <w:sz w:val="24"/>
          <w:szCs w:val="24"/>
        </w:rPr>
        <w:t>: To</w:t>
      </w:r>
      <w:r w:rsidRPr="001B74F4">
        <w:rPr>
          <w:rFonts w:ascii="Times New Roman" w:eastAsia="Times New Roman" w:hAnsi="Times New Roman" w:cs="Times New Roman"/>
          <w:sz w:val="24"/>
          <w:szCs w:val="24"/>
        </w:rPr>
        <w:t xml:space="preserve"> </w:t>
      </w:r>
      <w:r w:rsidRPr="001B74F4">
        <w:rPr>
          <w:rFonts w:ascii="Times New Roman" w:hAnsi="Times New Roman" w:cs="Times New Roman"/>
          <w:sz w:val="24"/>
          <w:szCs w:val="24"/>
        </w:rPr>
        <w:t>ensure that emergency care kits, oxygen systems, and basic life-support tools are</w:t>
      </w:r>
      <w:r w:rsidR="000F564F" w:rsidRPr="001B74F4">
        <w:rPr>
          <w:rFonts w:ascii="Times New Roman" w:hAnsi="Times New Roman" w:cs="Times New Roman"/>
          <w:sz w:val="24"/>
          <w:szCs w:val="24"/>
        </w:rPr>
        <w:t xml:space="preserve"> made available,</w:t>
      </w:r>
      <w:r w:rsidRPr="001B74F4">
        <w:rPr>
          <w:rFonts w:ascii="Times New Roman" w:hAnsi="Times New Roman" w:cs="Times New Roman"/>
          <w:sz w:val="24"/>
          <w:szCs w:val="24"/>
        </w:rPr>
        <w:t xml:space="preserve"> accessible</w:t>
      </w:r>
      <w:r w:rsidR="00B623D4" w:rsidRPr="001B74F4">
        <w:rPr>
          <w:rFonts w:ascii="Times New Roman" w:hAnsi="Times New Roman" w:cs="Times New Roman"/>
          <w:sz w:val="24"/>
          <w:szCs w:val="24"/>
        </w:rPr>
        <w:t>,</w:t>
      </w:r>
      <w:r w:rsidRPr="001B74F4">
        <w:rPr>
          <w:rFonts w:ascii="Times New Roman" w:hAnsi="Times New Roman" w:cs="Times New Roman"/>
          <w:sz w:val="24"/>
          <w:szCs w:val="24"/>
        </w:rPr>
        <w:t xml:space="preserve"> and functional</w:t>
      </w:r>
      <w:r w:rsidR="00FF5F6B" w:rsidRPr="001B74F4">
        <w:rPr>
          <w:rFonts w:ascii="Times New Roman" w:eastAsia="Times New Roman" w:hAnsi="Times New Roman" w:cs="Times New Roman"/>
          <w:sz w:val="24"/>
          <w:szCs w:val="24"/>
        </w:rPr>
        <w:t>.</w:t>
      </w:r>
    </w:p>
    <w:p w14:paraId="325AE349" w14:textId="77777777" w:rsidR="00A67399" w:rsidRPr="001B74F4" w:rsidRDefault="000072F1" w:rsidP="000072F1">
      <w:pPr>
        <w:rPr>
          <w:rFonts w:ascii="Times New Roman" w:eastAsia="Times New Roman" w:hAnsi="Times New Roman" w:cs="Times New Roman"/>
          <w:sz w:val="24"/>
          <w:szCs w:val="24"/>
        </w:rPr>
      </w:pPr>
      <w:r w:rsidRPr="001B74F4">
        <w:rPr>
          <w:rFonts w:ascii="Times New Roman" w:eastAsia="Times New Roman" w:hAnsi="Times New Roman" w:cs="Times New Roman"/>
          <w:b/>
          <w:sz w:val="24"/>
          <w:szCs w:val="24"/>
        </w:rPr>
        <w:t xml:space="preserve">Increased </w:t>
      </w:r>
      <w:r w:rsidR="008F68CB" w:rsidRPr="001B74F4">
        <w:rPr>
          <w:rFonts w:ascii="Times New Roman" w:eastAsia="Times New Roman" w:hAnsi="Times New Roman" w:cs="Times New Roman"/>
          <w:b/>
          <w:sz w:val="24"/>
          <w:szCs w:val="24"/>
        </w:rPr>
        <w:t>resource</w:t>
      </w:r>
      <w:r w:rsidRPr="001B74F4">
        <w:rPr>
          <w:rFonts w:ascii="Times New Roman" w:eastAsia="Times New Roman" w:hAnsi="Times New Roman" w:cs="Times New Roman"/>
          <w:b/>
          <w:sz w:val="24"/>
          <w:szCs w:val="24"/>
        </w:rPr>
        <w:t xml:space="preserve"> allocation:</w:t>
      </w:r>
      <w:r w:rsidRPr="001B74F4">
        <w:rPr>
          <w:rFonts w:ascii="Times New Roman" w:eastAsia="Times New Roman" w:hAnsi="Times New Roman" w:cs="Times New Roman"/>
          <w:sz w:val="24"/>
          <w:szCs w:val="24"/>
        </w:rPr>
        <w:t xml:space="preserve"> </w:t>
      </w:r>
      <w:r w:rsidR="00A67399" w:rsidRPr="001B74F4">
        <w:rPr>
          <w:rFonts w:ascii="Times New Roman" w:eastAsia="Times New Roman" w:hAnsi="Times New Roman" w:cs="Times New Roman"/>
          <w:sz w:val="24"/>
          <w:szCs w:val="24"/>
        </w:rPr>
        <w:t>To build resilience in rural emergency care, targeted investment</w:t>
      </w:r>
      <w:r w:rsidR="000F564F" w:rsidRPr="001B74F4">
        <w:rPr>
          <w:rFonts w:ascii="Times New Roman" w:eastAsia="Times New Roman" w:hAnsi="Times New Roman" w:cs="Times New Roman"/>
          <w:sz w:val="24"/>
          <w:szCs w:val="24"/>
        </w:rPr>
        <w:t xml:space="preserve"> by </w:t>
      </w:r>
      <w:r w:rsidR="00B623D4" w:rsidRPr="001B74F4">
        <w:rPr>
          <w:rFonts w:ascii="Times New Roman" w:eastAsia="Times New Roman" w:hAnsi="Times New Roman" w:cs="Times New Roman"/>
          <w:sz w:val="24"/>
          <w:szCs w:val="24"/>
        </w:rPr>
        <w:t xml:space="preserve">the </w:t>
      </w:r>
      <w:r w:rsidR="000F564F" w:rsidRPr="001B74F4">
        <w:rPr>
          <w:rFonts w:ascii="Times New Roman" w:eastAsia="Times New Roman" w:hAnsi="Times New Roman" w:cs="Times New Roman"/>
          <w:sz w:val="24"/>
          <w:szCs w:val="24"/>
        </w:rPr>
        <w:t xml:space="preserve">central government is important, </w:t>
      </w:r>
      <w:r w:rsidR="00B623D4" w:rsidRPr="001B74F4">
        <w:rPr>
          <w:rFonts w:ascii="Times New Roman" w:eastAsia="Times New Roman" w:hAnsi="Times New Roman" w:cs="Times New Roman"/>
          <w:sz w:val="24"/>
          <w:szCs w:val="24"/>
        </w:rPr>
        <w:t>with</w:t>
      </w:r>
      <w:r w:rsidR="00A67399" w:rsidRPr="001B74F4">
        <w:rPr>
          <w:rFonts w:ascii="Times New Roman" w:eastAsia="Times New Roman" w:hAnsi="Times New Roman" w:cs="Times New Roman"/>
          <w:sz w:val="24"/>
          <w:szCs w:val="24"/>
        </w:rPr>
        <w:t xml:space="preserve"> essential medical equipment </w:t>
      </w:r>
      <w:r w:rsidR="00B623D4" w:rsidRPr="001B74F4">
        <w:rPr>
          <w:rFonts w:ascii="Times New Roman" w:eastAsia="Times New Roman" w:hAnsi="Times New Roman" w:cs="Times New Roman"/>
          <w:sz w:val="24"/>
          <w:szCs w:val="24"/>
        </w:rPr>
        <w:t>being</w:t>
      </w:r>
      <w:r w:rsidR="00A67399" w:rsidRPr="001B74F4">
        <w:rPr>
          <w:rFonts w:ascii="Times New Roman" w:eastAsia="Times New Roman" w:hAnsi="Times New Roman" w:cs="Times New Roman"/>
          <w:sz w:val="24"/>
          <w:szCs w:val="24"/>
        </w:rPr>
        <w:t xml:space="preserve"> crucial</w:t>
      </w:r>
      <w:r w:rsidR="00B623D4"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sz w:val="24"/>
          <w:szCs w:val="24"/>
        </w:rPr>
        <w:t>and</w:t>
      </w:r>
      <w:r w:rsidR="00A67399" w:rsidRPr="001B74F4">
        <w:rPr>
          <w:rFonts w:ascii="Times New Roman" w:eastAsia="Times New Roman" w:hAnsi="Times New Roman" w:cs="Times New Roman"/>
          <w:sz w:val="24"/>
          <w:szCs w:val="24"/>
        </w:rPr>
        <w:t xml:space="preserve"> the need for ongoing investment in skills development</w:t>
      </w:r>
      <w:r w:rsidR="00B623D4" w:rsidRPr="001B74F4">
        <w:rPr>
          <w:rFonts w:ascii="Times New Roman" w:eastAsia="Times New Roman" w:hAnsi="Times New Roman" w:cs="Times New Roman"/>
          <w:sz w:val="24"/>
          <w:szCs w:val="24"/>
        </w:rPr>
        <w:t>.</w:t>
      </w:r>
    </w:p>
    <w:p w14:paraId="63CE23C3" w14:textId="77777777" w:rsidR="000072F1" w:rsidRPr="001B74F4" w:rsidRDefault="000072F1" w:rsidP="000072F1">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Incentive Packages:</w:t>
      </w:r>
      <w:r w:rsidRPr="001B74F4">
        <w:rPr>
          <w:rFonts w:ascii="Times New Roman" w:eastAsia="Times New Roman" w:hAnsi="Times New Roman" w:cs="Times New Roman"/>
          <w:sz w:val="24"/>
          <w:szCs w:val="24"/>
        </w:rPr>
        <w:t xml:space="preserve"> Offer rural hardship allowances, housing support, and performance-based bonuses.</w:t>
      </w:r>
    </w:p>
    <w:p w14:paraId="763ECB2D" w14:textId="77777777" w:rsidR="000F564F" w:rsidRPr="001B74F4" w:rsidRDefault="00FF5F6B">
      <w:pPr>
        <w:spacing w:line="240" w:lineRule="auto"/>
        <w:rPr>
          <w:rFonts w:ascii="Times New Roman" w:eastAsia="Calibri" w:hAnsi="Times New Roman" w:cs="Times New Roman"/>
          <w:sz w:val="24"/>
          <w:szCs w:val="24"/>
        </w:rPr>
      </w:pPr>
      <w:r w:rsidRPr="001B74F4">
        <w:rPr>
          <w:rFonts w:ascii="Times New Roman" w:eastAsia="Calibri" w:hAnsi="Times New Roman" w:cs="Times New Roman"/>
          <w:b/>
          <w:sz w:val="24"/>
          <w:szCs w:val="24"/>
        </w:rPr>
        <w:t>A multi-faceted approach</w:t>
      </w:r>
      <w:r w:rsidR="00B623D4" w:rsidRPr="001B74F4">
        <w:rPr>
          <w:rFonts w:ascii="Times New Roman" w:eastAsia="Calibri" w:hAnsi="Times New Roman" w:cs="Times New Roman"/>
          <w:b/>
          <w:sz w:val="24"/>
          <w:szCs w:val="24"/>
        </w:rPr>
        <w:t>,</w:t>
      </w:r>
      <w:r w:rsidR="000072F1" w:rsidRPr="001B74F4">
        <w:rPr>
          <w:rFonts w:ascii="Times New Roman" w:eastAsia="Calibri" w:hAnsi="Times New Roman" w:cs="Times New Roman"/>
          <w:b/>
          <w:sz w:val="24"/>
          <w:szCs w:val="24"/>
        </w:rPr>
        <w:t xml:space="preserve"> </w:t>
      </w:r>
      <w:r w:rsidR="00B623D4" w:rsidRPr="001B74F4">
        <w:rPr>
          <w:rFonts w:ascii="Times New Roman" w:eastAsia="Calibri" w:hAnsi="Times New Roman" w:cs="Times New Roman"/>
          <w:sz w:val="24"/>
          <w:szCs w:val="24"/>
        </w:rPr>
        <w:t>which</w:t>
      </w:r>
      <w:r w:rsidRPr="001B74F4">
        <w:rPr>
          <w:rFonts w:ascii="Times New Roman" w:eastAsia="Calibri" w:hAnsi="Times New Roman" w:cs="Times New Roman"/>
          <w:sz w:val="24"/>
          <w:szCs w:val="24"/>
        </w:rPr>
        <w:t xml:space="preserve"> invo</w:t>
      </w:r>
      <w:r w:rsidR="000072F1" w:rsidRPr="001B74F4">
        <w:rPr>
          <w:rFonts w:ascii="Times New Roman" w:eastAsia="Calibri" w:hAnsi="Times New Roman" w:cs="Times New Roman"/>
          <w:sz w:val="24"/>
          <w:szCs w:val="24"/>
        </w:rPr>
        <w:t>lves</w:t>
      </w:r>
      <w:r w:rsidRPr="001B74F4">
        <w:rPr>
          <w:rFonts w:ascii="Times New Roman" w:eastAsia="Calibri" w:hAnsi="Times New Roman" w:cs="Times New Roman"/>
          <w:sz w:val="24"/>
          <w:szCs w:val="24"/>
        </w:rPr>
        <w:t xml:space="preserve"> improved supply chain logistics, strengthened facility-level inventory management, and policy support for equitable resource allocation. As the World Health Organization’s </w:t>
      </w:r>
      <w:r w:rsidRPr="001B74F4">
        <w:rPr>
          <w:rFonts w:ascii="Times New Roman" w:eastAsia="Calibri" w:hAnsi="Times New Roman" w:cs="Times New Roman"/>
          <w:i/>
          <w:iCs/>
          <w:sz w:val="24"/>
          <w:szCs w:val="24"/>
        </w:rPr>
        <w:t>Emergency Care Systems Framework</w:t>
      </w:r>
      <w:r w:rsidRPr="001B74F4">
        <w:rPr>
          <w:rFonts w:ascii="Times New Roman" w:eastAsia="Calibri" w:hAnsi="Times New Roman" w:cs="Times New Roman"/>
          <w:sz w:val="24"/>
          <w:szCs w:val="24"/>
        </w:rPr>
        <w:t xml:space="preserve"> (2019) recommends</w:t>
      </w:r>
      <w:r w:rsidR="000072F1" w:rsidRPr="001B74F4">
        <w:rPr>
          <w:rFonts w:ascii="Times New Roman" w:eastAsia="Calibri" w:hAnsi="Times New Roman" w:cs="Times New Roman"/>
          <w:sz w:val="24"/>
          <w:szCs w:val="24"/>
        </w:rPr>
        <w:t>,</w:t>
      </w:r>
      <w:r w:rsidRPr="001B74F4">
        <w:rPr>
          <w:rFonts w:ascii="Times New Roman" w:eastAsia="Calibri" w:hAnsi="Times New Roman" w:cs="Times New Roman"/>
          <w:sz w:val="24"/>
          <w:szCs w:val="24"/>
        </w:rPr>
        <w:t xml:space="preserve"> integrating emergency preparedness into primary care systems, especially in rural and resource-limited contexts, as part of broader health systems strengthening.</w:t>
      </w:r>
    </w:p>
    <w:p w14:paraId="6205674B" w14:textId="77777777" w:rsidR="00A67399" w:rsidRPr="001B74F4" w:rsidRDefault="00A67399">
      <w:pPr>
        <w:spacing w:line="240" w:lineRule="auto"/>
        <w:rPr>
          <w:rFonts w:ascii="Times New Roman" w:eastAsia="Calibri" w:hAnsi="Times New Roman" w:cs="Times New Roman"/>
          <w:sz w:val="24"/>
          <w:szCs w:val="24"/>
        </w:rPr>
      </w:pPr>
      <w:r w:rsidRPr="001B74F4">
        <w:rPr>
          <w:rFonts w:ascii="Times New Roman" w:eastAsia="Calibri" w:hAnsi="Times New Roman" w:cs="Times New Roman"/>
          <w:sz w:val="24"/>
          <w:szCs w:val="24"/>
        </w:rPr>
        <w:t>Moreover, the availability of equipment must be matched with appropriate training and operational guidelines to ensure proper use and maintenance</w:t>
      </w:r>
      <w:r w:rsidR="000072F1" w:rsidRPr="001B74F4">
        <w:rPr>
          <w:rFonts w:ascii="Times New Roman" w:eastAsia="Calibri" w:hAnsi="Times New Roman" w:cs="Times New Roman"/>
          <w:sz w:val="24"/>
          <w:szCs w:val="24"/>
        </w:rPr>
        <w:t>.</w:t>
      </w:r>
    </w:p>
    <w:p w14:paraId="0458A275" w14:textId="77777777" w:rsidR="000072F1" w:rsidRPr="001B74F4" w:rsidRDefault="00E94B72">
      <w:pPr>
        <w:spacing w:line="240" w:lineRule="auto"/>
        <w:rPr>
          <w:rFonts w:ascii="Times New Roman" w:eastAsia="Calibri" w:hAnsi="Times New Roman" w:cs="Times New Roman"/>
          <w:b/>
          <w:sz w:val="24"/>
          <w:szCs w:val="24"/>
        </w:rPr>
      </w:pPr>
      <w:r w:rsidRPr="001B74F4">
        <w:rPr>
          <w:rFonts w:ascii="Times New Roman" w:hAnsi="Times New Roman" w:cs="Times New Roman"/>
          <w:b/>
          <w:bCs/>
          <w:sz w:val="24"/>
          <w:szCs w:val="24"/>
        </w:rPr>
        <w:t xml:space="preserve">5.3 </w:t>
      </w:r>
      <w:r w:rsidR="000072F1" w:rsidRPr="001B74F4">
        <w:rPr>
          <w:rFonts w:ascii="Times New Roman" w:eastAsia="Calibri" w:hAnsi="Times New Roman" w:cs="Times New Roman"/>
          <w:b/>
          <w:sz w:val="24"/>
          <w:szCs w:val="24"/>
        </w:rPr>
        <w:t>Summary:</w:t>
      </w:r>
    </w:p>
    <w:p w14:paraId="575D1FCB"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A </w:t>
      </w:r>
      <w:r w:rsidR="000072F1" w:rsidRPr="001B74F4">
        <w:rPr>
          <w:rFonts w:ascii="Times New Roman" w:hAnsi="Times New Roman" w:cs="Times New Roman"/>
          <w:sz w:val="24"/>
          <w:szCs w:val="24"/>
        </w:rPr>
        <w:t xml:space="preserve">holistic approach is needed to </w:t>
      </w:r>
      <w:r w:rsidR="00B623D4" w:rsidRPr="001B74F4">
        <w:rPr>
          <w:rFonts w:ascii="Times New Roman" w:hAnsi="Times New Roman" w:cs="Times New Roman"/>
          <w:sz w:val="24"/>
          <w:szCs w:val="24"/>
        </w:rPr>
        <w:t>combine</w:t>
      </w:r>
      <w:r w:rsidR="000072F1" w:rsidRPr="001B74F4">
        <w:rPr>
          <w:rFonts w:ascii="Times New Roman" w:hAnsi="Times New Roman" w:cs="Times New Roman"/>
          <w:sz w:val="24"/>
          <w:szCs w:val="24"/>
        </w:rPr>
        <w:t xml:space="preserve"> </w:t>
      </w:r>
      <w:r w:rsidR="00B623D4" w:rsidRPr="001B74F4">
        <w:rPr>
          <w:rFonts w:ascii="Times New Roman" w:hAnsi="Times New Roman" w:cs="Times New Roman"/>
          <w:sz w:val="24"/>
          <w:szCs w:val="24"/>
        </w:rPr>
        <w:t>an</w:t>
      </w:r>
      <w:r w:rsidRPr="001B74F4">
        <w:rPr>
          <w:rFonts w:ascii="Times New Roman" w:hAnsi="Times New Roman" w:cs="Times New Roman"/>
          <w:sz w:val="24"/>
          <w:szCs w:val="24"/>
        </w:rPr>
        <w:t xml:space="preserve"> improved infrastructure </w:t>
      </w:r>
      <w:r w:rsidR="000072F1" w:rsidRPr="001B74F4">
        <w:rPr>
          <w:rFonts w:ascii="Times New Roman" w:hAnsi="Times New Roman" w:cs="Times New Roman"/>
          <w:sz w:val="24"/>
          <w:szCs w:val="24"/>
        </w:rPr>
        <w:t xml:space="preserve">with </w:t>
      </w:r>
      <w:r w:rsidRPr="001B74F4">
        <w:rPr>
          <w:rFonts w:ascii="Times New Roman" w:hAnsi="Times New Roman" w:cs="Times New Roman"/>
          <w:sz w:val="24"/>
          <w:szCs w:val="24"/>
        </w:rPr>
        <w:t xml:space="preserve">continuous staff training, functional referral systems, and adequate human resources. </w:t>
      </w:r>
    </w:p>
    <w:p w14:paraId="2A999EEA" w14:textId="77777777" w:rsidR="0011660C" w:rsidRPr="001B74F4" w:rsidRDefault="00FF5F6B" w:rsidP="000072F1">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hAnsi="Times New Roman" w:cs="Times New Roman"/>
          <w:sz w:val="24"/>
          <w:szCs w:val="24"/>
        </w:rPr>
        <w:t>By translating these recommendations into targeted interventions, policymakers and health administrators can significantly improve emergency care delivery, reduce preventable deaths, and strengthen the overall resilience of rural health systems in Ghana and similar contexts.</w:t>
      </w:r>
    </w:p>
    <w:p w14:paraId="62724DA0" w14:textId="77777777" w:rsidR="0011660C" w:rsidRPr="001B74F4" w:rsidRDefault="0011660C">
      <w:pPr>
        <w:spacing w:line="240" w:lineRule="auto"/>
        <w:rPr>
          <w:rFonts w:ascii="Times New Roman" w:hAnsi="Times New Roman" w:cs="Times New Roman"/>
          <w:sz w:val="24"/>
          <w:szCs w:val="24"/>
        </w:rPr>
      </w:pPr>
    </w:p>
    <w:p w14:paraId="5618CC10" w14:textId="77777777" w:rsidR="008D76D2" w:rsidRPr="001B74F4" w:rsidRDefault="008D76D2">
      <w:pPr>
        <w:spacing w:line="240" w:lineRule="auto"/>
        <w:rPr>
          <w:rFonts w:ascii="Times New Roman" w:hAnsi="Times New Roman" w:cs="Times New Roman"/>
          <w:sz w:val="24"/>
          <w:szCs w:val="24"/>
        </w:rPr>
      </w:pPr>
    </w:p>
    <w:p w14:paraId="105972F5" w14:textId="77777777" w:rsidR="008D76D2" w:rsidRPr="001B74F4" w:rsidRDefault="008D76D2">
      <w:pPr>
        <w:spacing w:line="240" w:lineRule="auto"/>
        <w:rPr>
          <w:rFonts w:ascii="Times New Roman" w:hAnsi="Times New Roman" w:cs="Times New Roman"/>
          <w:sz w:val="24"/>
          <w:szCs w:val="24"/>
        </w:rPr>
      </w:pPr>
    </w:p>
    <w:p w14:paraId="529BDF1E" w14:textId="77777777" w:rsidR="008D76D2" w:rsidRPr="001B74F4" w:rsidRDefault="008D76D2">
      <w:pPr>
        <w:spacing w:line="240" w:lineRule="auto"/>
        <w:rPr>
          <w:rFonts w:ascii="Times New Roman" w:hAnsi="Times New Roman" w:cs="Times New Roman"/>
          <w:sz w:val="24"/>
          <w:szCs w:val="24"/>
        </w:rPr>
      </w:pPr>
    </w:p>
    <w:p w14:paraId="40CB71FE" w14:textId="77777777" w:rsidR="008D76D2" w:rsidRPr="001B74F4" w:rsidRDefault="008D76D2">
      <w:pPr>
        <w:spacing w:line="240" w:lineRule="auto"/>
        <w:rPr>
          <w:rFonts w:ascii="Times New Roman" w:hAnsi="Times New Roman" w:cs="Times New Roman"/>
          <w:sz w:val="24"/>
          <w:szCs w:val="24"/>
        </w:rPr>
      </w:pPr>
    </w:p>
    <w:p w14:paraId="57E0ECEC" w14:textId="77777777" w:rsidR="008D76D2" w:rsidRPr="001B74F4" w:rsidRDefault="008D76D2">
      <w:pPr>
        <w:spacing w:line="240" w:lineRule="auto"/>
        <w:rPr>
          <w:rFonts w:ascii="Times New Roman" w:hAnsi="Times New Roman" w:cs="Times New Roman"/>
          <w:sz w:val="24"/>
          <w:szCs w:val="24"/>
        </w:rPr>
      </w:pPr>
    </w:p>
    <w:p w14:paraId="6AEDF6CB" w14:textId="77777777" w:rsidR="008D76D2" w:rsidRPr="001B74F4" w:rsidRDefault="008D76D2">
      <w:pPr>
        <w:spacing w:line="240" w:lineRule="auto"/>
        <w:rPr>
          <w:rFonts w:ascii="Times New Roman" w:hAnsi="Times New Roman" w:cs="Times New Roman"/>
          <w:sz w:val="24"/>
          <w:szCs w:val="24"/>
        </w:rPr>
      </w:pPr>
    </w:p>
    <w:p w14:paraId="4621BA83" w14:textId="77777777" w:rsidR="007E3194" w:rsidRPr="001B74F4" w:rsidRDefault="007E3194">
      <w:pPr>
        <w:spacing w:line="240" w:lineRule="auto"/>
        <w:rPr>
          <w:rFonts w:ascii="Times New Roman" w:hAnsi="Times New Roman" w:cs="Times New Roman"/>
          <w:sz w:val="24"/>
          <w:szCs w:val="24"/>
        </w:rPr>
      </w:pPr>
    </w:p>
    <w:p w14:paraId="16FD1BAB" w14:textId="77777777" w:rsidR="007E3194" w:rsidRPr="001B74F4" w:rsidRDefault="007E3194">
      <w:pPr>
        <w:spacing w:line="240" w:lineRule="auto"/>
        <w:rPr>
          <w:rFonts w:ascii="Times New Roman" w:hAnsi="Times New Roman" w:cs="Times New Roman"/>
          <w:sz w:val="24"/>
          <w:szCs w:val="24"/>
        </w:rPr>
      </w:pPr>
    </w:p>
    <w:p w14:paraId="071B2E11" w14:textId="77777777" w:rsidR="007E3194" w:rsidRPr="001B74F4" w:rsidRDefault="007E3194">
      <w:pPr>
        <w:spacing w:line="240" w:lineRule="auto"/>
        <w:rPr>
          <w:rFonts w:ascii="Times New Roman" w:hAnsi="Times New Roman" w:cs="Times New Roman"/>
          <w:sz w:val="24"/>
          <w:szCs w:val="24"/>
        </w:rPr>
      </w:pPr>
    </w:p>
    <w:p w14:paraId="38C2E578" w14:textId="77777777" w:rsidR="007E3194" w:rsidRPr="001B74F4" w:rsidRDefault="007E3194">
      <w:pPr>
        <w:spacing w:line="240" w:lineRule="auto"/>
        <w:rPr>
          <w:rFonts w:ascii="Times New Roman" w:hAnsi="Times New Roman" w:cs="Times New Roman"/>
          <w:sz w:val="24"/>
          <w:szCs w:val="24"/>
        </w:rPr>
      </w:pPr>
    </w:p>
    <w:p w14:paraId="27E9F547" w14:textId="77777777" w:rsidR="007E3194" w:rsidRPr="001B74F4" w:rsidRDefault="007E3194">
      <w:pPr>
        <w:spacing w:line="240" w:lineRule="auto"/>
        <w:rPr>
          <w:rFonts w:ascii="Times New Roman" w:hAnsi="Times New Roman" w:cs="Times New Roman"/>
          <w:sz w:val="24"/>
          <w:szCs w:val="24"/>
        </w:rPr>
      </w:pPr>
    </w:p>
    <w:p w14:paraId="55735F9C" w14:textId="77777777" w:rsidR="007E3194" w:rsidRPr="001B74F4" w:rsidRDefault="007E3194">
      <w:pPr>
        <w:spacing w:line="240" w:lineRule="auto"/>
        <w:rPr>
          <w:rFonts w:ascii="Times New Roman" w:hAnsi="Times New Roman" w:cs="Times New Roman"/>
          <w:sz w:val="24"/>
          <w:szCs w:val="24"/>
        </w:rPr>
      </w:pPr>
    </w:p>
    <w:p w14:paraId="4627D410" w14:textId="77777777" w:rsidR="0011660C" w:rsidRPr="001B74F4" w:rsidRDefault="00FF5F6B">
      <w:pPr>
        <w:pStyle w:val="NormalWeb"/>
        <w:spacing w:after="160" w:afterAutospacing="0"/>
        <w:rPr>
          <w:rStyle w:val="Strong"/>
        </w:rPr>
      </w:pPr>
      <w:r w:rsidRPr="001B74F4">
        <w:rPr>
          <w:rStyle w:val="Strong"/>
        </w:rPr>
        <w:lastRenderedPageBreak/>
        <w:t>References</w:t>
      </w:r>
    </w:p>
    <w:p w14:paraId="00FF5557" w14:textId="77777777" w:rsidR="001B74F4" w:rsidRPr="001B74F4" w:rsidRDefault="006B35B9"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 xml:space="preserve">  </w:t>
      </w:r>
      <w:r w:rsidR="00763654" w:rsidRPr="001B74F4">
        <w:rPr>
          <w:rFonts w:ascii="Times New Roman" w:hAnsi="Times New Roman" w:cs="Times New Roman"/>
          <w:sz w:val="24"/>
          <w:szCs w:val="24"/>
        </w:rPr>
        <w:fldChar w:fldCharType="begin"/>
      </w:r>
      <w:r w:rsidR="00D80691" w:rsidRPr="001B74F4">
        <w:rPr>
          <w:rFonts w:ascii="Times New Roman" w:hAnsi="Times New Roman" w:cs="Times New Roman"/>
          <w:sz w:val="24"/>
          <w:szCs w:val="24"/>
        </w:rPr>
        <w:instrText xml:space="preserve"> ADDIN ZOTERO_BIBL {"uncited":[],"omitted":[],"custom":[]} CSL_BIBLIOGRAPHY </w:instrText>
      </w:r>
      <w:r w:rsidR="00763654" w:rsidRPr="001B74F4">
        <w:rPr>
          <w:rFonts w:ascii="Times New Roman" w:hAnsi="Times New Roman" w:cs="Times New Roman"/>
          <w:sz w:val="24"/>
          <w:szCs w:val="24"/>
        </w:rPr>
        <w:fldChar w:fldCharType="separate"/>
      </w:r>
      <w:r w:rsidR="001B74F4" w:rsidRPr="001B74F4">
        <w:rPr>
          <w:rFonts w:ascii="Times New Roman" w:hAnsi="Times New Roman" w:cs="Times New Roman"/>
          <w:sz w:val="24"/>
          <w:szCs w:val="24"/>
        </w:rPr>
        <w:t>1.</w:t>
      </w:r>
      <w:r w:rsidR="001B74F4" w:rsidRPr="001B74F4">
        <w:rPr>
          <w:rFonts w:ascii="Times New Roman" w:hAnsi="Times New Roman" w:cs="Times New Roman"/>
          <w:sz w:val="24"/>
          <w:szCs w:val="24"/>
        </w:rPr>
        <w:tab/>
        <w:t xml:space="preserve">Calvello E, Reynolds T, Hirshon JM, Buckle C, Moresky R, O’Neill J, et al. Emergency care in sub-Saharan Africa: Results of a consensus conference. African Journal of Emergency Medicine. 2013 Mar;3(1):42–8. </w:t>
      </w:r>
    </w:p>
    <w:p w14:paraId="5E7990D1"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w:t>
      </w:r>
      <w:r w:rsidRPr="001B74F4">
        <w:rPr>
          <w:rFonts w:ascii="Times New Roman" w:hAnsi="Times New Roman" w:cs="Times New Roman"/>
          <w:sz w:val="24"/>
          <w:szCs w:val="24"/>
        </w:rPr>
        <w:tab/>
        <w:t xml:space="preserve">M. Molyneux E, Dube Q. Promoting quality emergency care in a resource-constrained setting. Clinical Governance: An Intl J. 2013 Oct 14;18(4):300–14. </w:t>
      </w:r>
    </w:p>
    <w:p w14:paraId="78B59431"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3.</w:t>
      </w:r>
      <w:r w:rsidRPr="001B74F4">
        <w:rPr>
          <w:rFonts w:ascii="Times New Roman" w:hAnsi="Times New Roman" w:cs="Times New Roman"/>
          <w:sz w:val="24"/>
          <w:szCs w:val="24"/>
        </w:rPr>
        <w:tab/>
        <w:t xml:space="preserve">Chang CY, Abujaber S, Reynolds TA, Camargo CA, Obermeyer Z. Burden of emergency conditions and emergency care usage: new estimates from 40 countries. Emerg Med J. 2016 Nov;33(11):794–800. </w:t>
      </w:r>
    </w:p>
    <w:p w14:paraId="6903012D"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4.</w:t>
      </w:r>
      <w:r w:rsidRPr="001B74F4">
        <w:rPr>
          <w:rFonts w:ascii="Times New Roman" w:hAnsi="Times New Roman" w:cs="Times New Roman"/>
          <w:sz w:val="24"/>
          <w:szCs w:val="24"/>
        </w:rPr>
        <w:tab/>
        <w:t xml:space="preserve">Razzak J, Usmani MF, Bhutta ZA. Global, regional and national burden of emergency medical diseases using specific emergency disease indicators: analysis of the 2015 Global Burden of Disease Study. BMJ Glob Health. 2019 Mar;4(2):e000733. </w:t>
      </w:r>
    </w:p>
    <w:p w14:paraId="33511269"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5.</w:t>
      </w:r>
      <w:r w:rsidRPr="001B74F4">
        <w:rPr>
          <w:rFonts w:ascii="Times New Roman" w:hAnsi="Times New Roman" w:cs="Times New Roman"/>
          <w:sz w:val="24"/>
          <w:szCs w:val="24"/>
        </w:rPr>
        <w:tab/>
        <w:t xml:space="preserve">Stewart B, Khanduri P, McCord C, Ohene-Yeboah M, Uranues S, Vega Rivera F, et al. Global disease burden of conditions requiring emergency surgery. Journal of British Surgery. 2014 Jan 1;101(1):e9–22. </w:t>
      </w:r>
    </w:p>
    <w:p w14:paraId="483C11AC"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6.</w:t>
      </w:r>
      <w:r w:rsidRPr="001B74F4">
        <w:rPr>
          <w:rFonts w:ascii="Times New Roman" w:hAnsi="Times New Roman" w:cs="Times New Roman"/>
          <w:sz w:val="24"/>
          <w:szCs w:val="24"/>
        </w:rPr>
        <w:tab/>
        <w:t xml:space="preserve">Wong EG, Gupta S, Deckelbaum DL, Razek T, Kushner AL. Prioritizing injury care: a review of trauma capacity in low and middle-income countries. Journal of Surgical Research. 2015 Jan;193(1):217–22. </w:t>
      </w:r>
    </w:p>
    <w:p w14:paraId="437ED0EC"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7.</w:t>
      </w:r>
      <w:r w:rsidRPr="001B74F4">
        <w:rPr>
          <w:rFonts w:ascii="Times New Roman" w:hAnsi="Times New Roman" w:cs="Times New Roman"/>
          <w:sz w:val="24"/>
          <w:szCs w:val="24"/>
        </w:rPr>
        <w:tab/>
        <w:t xml:space="preserve">Shah MT, Joshipura M, Singleton J, LaBarre P, Desai H, Sharma E, et al. Assessment of the Availability of Technology for Trauma Care in India. World j surg. 2015 Feb;39(2):363–72. </w:t>
      </w:r>
    </w:p>
    <w:p w14:paraId="7321B49D"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8.</w:t>
      </w:r>
      <w:r w:rsidRPr="001B74F4">
        <w:rPr>
          <w:rFonts w:ascii="Times New Roman" w:hAnsi="Times New Roman" w:cs="Times New Roman"/>
          <w:sz w:val="24"/>
          <w:szCs w:val="24"/>
        </w:rPr>
        <w:tab/>
        <w:t xml:space="preserve">Boateng-Osei EA, Osei I, Diji AKA, Pambour BA, Wireko-Gyebi R, Okyere P, et al. Emergency preparedness capacity of a university hospital in Ghana: a cross-sectional study. African Journal of Emergency Medicine. 2023 Sep;13(3):152–6. </w:t>
      </w:r>
    </w:p>
    <w:p w14:paraId="6F1AE4CB"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9.</w:t>
      </w:r>
      <w:r w:rsidRPr="001B74F4">
        <w:rPr>
          <w:rFonts w:ascii="Times New Roman" w:hAnsi="Times New Roman" w:cs="Times New Roman"/>
          <w:sz w:val="24"/>
          <w:szCs w:val="24"/>
        </w:rPr>
        <w:tab/>
        <w:t xml:space="preserve">Osei-Ampofo M, Oduro G, Oteng R, Zakariah A, Jacquet G, Donkor P. The evolution and current state of emergency care in Ghana. African Journal of Emergency Medicine. 2013 Jun;3(2):52–8. </w:t>
      </w:r>
    </w:p>
    <w:p w14:paraId="75C82007"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10.</w:t>
      </w:r>
      <w:r w:rsidRPr="001B74F4">
        <w:rPr>
          <w:rFonts w:ascii="Times New Roman" w:hAnsi="Times New Roman" w:cs="Times New Roman"/>
          <w:sz w:val="24"/>
          <w:szCs w:val="24"/>
        </w:rPr>
        <w:tab/>
        <w:t xml:space="preserve">Higashi H, Barendregt JJ, Kassebaum NJ, Weiser TG, Bickler SW, Vos T. Burden of Injuries Avertable By a Basic Surgical Package in Low‐ and Middle‐Income Regions: A Systematic Analysis From the Global Burden of Disease 2010 Study. World j surg. 2015 Jan;39(1):1–9. </w:t>
      </w:r>
    </w:p>
    <w:p w14:paraId="1981961F"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11.</w:t>
      </w:r>
      <w:r w:rsidRPr="001B74F4">
        <w:rPr>
          <w:rFonts w:ascii="Times New Roman" w:hAnsi="Times New Roman" w:cs="Times New Roman"/>
          <w:sz w:val="24"/>
          <w:szCs w:val="24"/>
        </w:rPr>
        <w:tab/>
        <w:t xml:space="preserve">Kruk ME, Gage AD, Arsenault C, Jordan K, Leslie HH, Roder-DeWan S, et al. High-quality health systems in the Sustainable Development Goals era: time for a revolution. The Lancet Global Health. 2018 Nov;6(11):e1196–252. </w:t>
      </w:r>
    </w:p>
    <w:p w14:paraId="1B68D431"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12.</w:t>
      </w:r>
      <w:r w:rsidRPr="001B74F4">
        <w:rPr>
          <w:rFonts w:ascii="Times New Roman" w:hAnsi="Times New Roman" w:cs="Times New Roman"/>
          <w:sz w:val="24"/>
          <w:szCs w:val="24"/>
        </w:rPr>
        <w:tab/>
        <w:t>Appiah-Denkyira E, Herbst CH, Soucat A, Lemiere C, Saleh K. Toward Interventions in Human Resources for Health in Ghana [Internet]. Washington, DC:  World Bank; 2013 [cited 2025 Jul 5]. Available from: https://hdl.handle.net/10986/13116</w:t>
      </w:r>
    </w:p>
    <w:p w14:paraId="1FA126BB"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lastRenderedPageBreak/>
        <w:t>13.</w:t>
      </w:r>
      <w:r w:rsidRPr="001B74F4">
        <w:rPr>
          <w:rFonts w:ascii="Times New Roman" w:hAnsi="Times New Roman" w:cs="Times New Roman"/>
          <w:sz w:val="24"/>
          <w:szCs w:val="24"/>
        </w:rPr>
        <w:tab/>
        <w:t>World Health Organization. Monitoring the building blocks of health systems: a handbook of indicators and their measurement strategies [Internet]. Geneva: World Health Organization; 2010 [cited 2025 Jul 5]. Available from: https://iris.who.int/handle/10665/258734</w:t>
      </w:r>
    </w:p>
    <w:p w14:paraId="04579FFD"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14.</w:t>
      </w:r>
      <w:r w:rsidRPr="001B74F4">
        <w:rPr>
          <w:rFonts w:ascii="Times New Roman" w:hAnsi="Times New Roman" w:cs="Times New Roman"/>
          <w:sz w:val="24"/>
          <w:szCs w:val="24"/>
        </w:rPr>
        <w:tab/>
        <w:t xml:space="preserve">Ahmat A, Okoroafor SC, Kazanga I, Asamani JA, Millogo JJS, Illou MMA, et al. The health workforce status in the WHO African Region: findings of a cross-sectional study. BMJ Glob Health. 2022 May;7(Suppl 1):e008317. </w:t>
      </w:r>
    </w:p>
    <w:p w14:paraId="30A16E66"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15.</w:t>
      </w:r>
      <w:r w:rsidRPr="001B74F4">
        <w:rPr>
          <w:rFonts w:ascii="Times New Roman" w:hAnsi="Times New Roman" w:cs="Times New Roman"/>
          <w:sz w:val="24"/>
          <w:szCs w:val="24"/>
        </w:rPr>
        <w:tab/>
        <w:t xml:space="preserve">Donabedian A. The Quality of Care: How Can It Be Assessed? JAMA. 1988 Sep 23;260(12):1743. </w:t>
      </w:r>
    </w:p>
    <w:p w14:paraId="3C150F74"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16.</w:t>
      </w:r>
      <w:r w:rsidRPr="001B74F4">
        <w:rPr>
          <w:rFonts w:ascii="Times New Roman" w:hAnsi="Times New Roman" w:cs="Times New Roman"/>
          <w:sz w:val="24"/>
          <w:szCs w:val="24"/>
        </w:rPr>
        <w:tab/>
        <w:t xml:space="preserve">Woyessa AH, Teshome M, Mulatu B, Abadiga M, Hiko N, Kebede B. Disaster Preparedness in Selected Hospitals of Western Ethiopia and Risk Perceptions of Their Authorities. OAEM. 2020 Oct;Volume 12:219–25. </w:t>
      </w:r>
    </w:p>
    <w:p w14:paraId="0EFEAB29"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17.</w:t>
      </w:r>
      <w:r w:rsidRPr="001B74F4">
        <w:rPr>
          <w:rFonts w:ascii="Times New Roman" w:hAnsi="Times New Roman" w:cs="Times New Roman"/>
          <w:sz w:val="24"/>
          <w:szCs w:val="24"/>
        </w:rPr>
        <w:tab/>
        <w:t xml:space="preserve">World Health Organization. Hospital emergency response checklist: An all-hazards tool for hospital administrators and emergency managers. Regional Office for Europe. 2011. </w:t>
      </w:r>
    </w:p>
    <w:p w14:paraId="5AF90B73"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18.</w:t>
      </w:r>
      <w:r w:rsidRPr="001B74F4">
        <w:rPr>
          <w:rFonts w:ascii="Times New Roman" w:hAnsi="Times New Roman" w:cs="Times New Roman"/>
          <w:sz w:val="24"/>
          <w:szCs w:val="24"/>
        </w:rPr>
        <w:tab/>
        <w:t xml:space="preserve">Kim PY, Sawe HR, Wallis LA. The Sendai Framework and emergency care. African Journal of Emergency Medicine. 2016 Mar;6(1):3–4. </w:t>
      </w:r>
    </w:p>
    <w:p w14:paraId="1F392687"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19.</w:t>
      </w:r>
      <w:r w:rsidRPr="001B74F4">
        <w:rPr>
          <w:rFonts w:ascii="Times New Roman" w:hAnsi="Times New Roman" w:cs="Times New Roman"/>
          <w:sz w:val="24"/>
          <w:szCs w:val="24"/>
        </w:rPr>
        <w:tab/>
        <w:t xml:space="preserve">World Health Organization. (2020). State of the world’s nursing 2020: Investing in education, jobs and leadership. Geneva: WHO. 2020. </w:t>
      </w:r>
    </w:p>
    <w:p w14:paraId="6E87C429"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20.</w:t>
      </w:r>
      <w:r w:rsidRPr="001B74F4">
        <w:rPr>
          <w:rFonts w:ascii="Times New Roman" w:hAnsi="Times New Roman" w:cs="Times New Roman"/>
          <w:sz w:val="24"/>
          <w:szCs w:val="24"/>
        </w:rPr>
        <w:tab/>
        <w:t xml:space="preserve">Dussault G, Franceschini MC. Not enough there, too many here: understanding geographical imbalances in the distribution of the health workforce. Hum Resour Health. 2006 Dec;4(1):12. </w:t>
      </w:r>
    </w:p>
    <w:p w14:paraId="697D3ECB"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21.</w:t>
      </w:r>
      <w:r w:rsidRPr="001B74F4">
        <w:rPr>
          <w:rFonts w:ascii="Times New Roman" w:hAnsi="Times New Roman" w:cs="Times New Roman"/>
          <w:sz w:val="24"/>
          <w:szCs w:val="24"/>
        </w:rPr>
        <w:tab/>
        <w:t xml:space="preserve">WHO WHO. Standards for improving quality of maternal and newborn care in health facilities. 2016. </w:t>
      </w:r>
    </w:p>
    <w:p w14:paraId="04DEF327"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22.</w:t>
      </w:r>
      <w:r w:rsidRPr="001B74F4">
        <w:rPr>
          <w:rFonts w:ascii="Times New Roman" w:hAnsi="Times New Roman" w:cs="Times New Roman"/>
          <w:sz w:val="24"/>
          <w:szCs w:val="24"/>
        </w:rPr>
        <w:tab/>
        <w:t xml:space="preserve">American Heart Association. CPR &amp; First Aid Emergency Cardiovascular Care Guidelines. 2020. </w:t>
      </w:r>
    </w:p>
    <w:p w14:paraId="7822C6E0"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23.</w:t>
      </w:r>
      <w:r w:rsidRPr="001B74F4">
        <w:rPr>
          <w:rFonts w:ascii="Times New Roman" w:hAnsi="Times New Roman" w:cs="Times New Roman"/>
          <w:sz w:val="24"/>
          <w:szCs w:val="24"/>
        </w:rPr>
        <w:tab/>
        <w:t xml:space="preserve">Emergency Care Research Institute (ECRI). Top 10 health technology hazards report. 2019. </w:t>
      </w:r>
    </w:p>
    <w:p w14:paraId="693489EA"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24.</w:t>
      </w:r>
      <w:r w:rsidRPr="001B74F4">
        <w:rPr>
          <w:rFonts w:ascii="Times New Roman" w:hAnsi="Times New Roman" w:cs="Times New Roman"/>
          <w:sz w:val="24"/>
          <w:szCs w:val="24"/>
        </w:rPr>
        <w:tab/>
        <w:t xml:space="preserve">Japiong KB, Asiamah G, Owusu-Dabo E, Donkor P, Stewart B, Ebel BE, et al. Availability of resources for emergency care at a second-level hospital in Ghana: A mixed methods assessment. Afr J Emerg Med. 2016 Mar;6(1):30–7. </w:t>
      </w:r>
    </w:p>
    <w:p w14:paraId="1F9BD0AB"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25.</w:t>
      </w:r>
      <w:r w:rsidRPr="001B74F4">
        <w:rPr>
          <w:rFonts w:ascii="Times New Roman" w:hAnsi="Times New Roman" w:cs="Times New Roman"/>
          <w:sz w:val="24"/>
          <w:szCs w:val="24"/>
        </w:rPr>
        <w:tab/>
        <w:t xml:space="preserve">World Health Organization. Emergency care systems for universal health coverage: Ensuring timely care for the acutely ill and injured. Geneva: WHO. 2019. </w:t>
      </w:r>
    </w:p>
    <w:p w14:paraId="37A0F0DC"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26.</w:t>
      </w:r>
      <w:r w:rsidRPr="001B74F4">
        <w:rPr>
          <w:rFonts w:ascii="Times New Roman" w:hAnsi="Times New Roman" w:cs="Times New Roman"/>
          <w:sz w:val="24"/>
          <w:szCs w:val="24"/>
        </w:rPr>
        <w:tab/>
        <w:t xml:space="preserve">Yenet A, Nibret G, Tegegne BA. Challenges to the Availability and Affordability of Essential Medicines in African Countries: A Scoping Review. CEOR. 2023 Jun;Volume 15:443–58. </w:t>
      </w:r>
    </w:p>
    <w:p w14:paraId="3444FF5D"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lastRenderedPageBreak/>
        <w:t>27.</w:t>
      </w:r>
      <w:r w:rsidRPr="001B74F4">
        <w:rPr>
          <w:rFonts w:ascii="Times New Roman" w:hAnsi="Times New Roman" w:cs="Times New Roman"/>
          <w:sz w:val="24"/>
          <w:szCs w:val="24"/>
        </w:rPr>
        <w:tab/>
        <w:t xml:space="preserve">Lowalekar H, Ravichandran N. A combined age‐and‐stock‐based policy for ordering blood units in hospital blood banks. Int Trans Operational Res. 2017 Nov;24(6):1561–86. </w:t>
      </w:r>
    </w:p>
    <w:p w14:paraId="56056BA6"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28.</w:t>
      </w:r>
      <w:r w:rsidRPr="001B74F4">
        <w:rPr>
          <w:rFonts w:ascii="Times New Roman" w:hAnsi="Times New Roman" w:cs="Times New Roman"/>
          <w:sz w:val="24"/>
          <w:szCs w:val="24"/>
        </w:rPr>
        <w:tab/>
        <w:t xml:space="preserve">Roberts DJ, Field S, Delaney M, Bates I. Problems and Approaches for Blood Transfusion in the Developing Countries. Hematology/Oncology Clinics of North America. 2016 Apr;30(2):477–95. </w:t>
      </w:r>
    </w:p>
    <w:p w14:paraId="28FFA97B" w14:textId="77777777" w:rsidR="0011660C" w:rsidRPr="001B74F4" w:rsidRDefault="00763654" w:rsidP="00C8349B">
      <w:pPr>
        <w:pStyle w:val="NormalWeb"/>
        <w:spacing w:after="160" w:afterAutospacing="0"/>
      </w:pPr>
      <w:r w:rsidRPr="001B74F4">
        <w:rPr>
          <w:rFonts w:eastAsiaTheme="minorHAnsi"/>
        </w:rPr>
        <w:fldChar w:fldCharType="end"/>
      </w:r>
    </w:p>
    <w:p w14:paraId="731595EB" w14:textId="77777777" w:rsidR="0011660C" w:rsidRPr="001B74F4" w:rsidRDefault="0011660C">
      <w:pPr>
        <w:spacing w:line="240" w:lineRule="auto"/>
        <w:rPr>
          <w:rFonts w:ascii="Times New Roman" w:hAnsi="Times New Roman" w:cs="Times New Roman"/>
          <w:sz w:val="24"/>
          <w:szCs w:val="24"/>
        </w:rPr>
      </w:pPr>
    </w:p>
    <w:p w14:paraId="1E254817" w14:textId="77777777" w:rsidR="0011660C" w:rsidRPr="001B74F4" w:rsidRDefault="0011660C">
      <w:pPr>
        <w:spacing w:line="240" w:lineRule="auto"/>
        <w:rPr>
          <w:rFonts w:ascii="Times New Roman" w:hAnsi="Times New Roman" w:cs="Times New Roman"/>
          <w:sz w:val="24"/>
          <w:szCs w:val="24"/>
        </w:rPr>
      </w:pPr>
    </w:p>
    <w:sectPr w:rsidR="0011660C" w:rsidRPr="001B74F4">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ndows User" w:date="2025-07-12T00:09:00Z" w:initials="WU">
    <w:p w14:paraId="620EE75A" w14:textId="77777777" w:rsidR="004963C2" w:rsidRDefault="004963C2">
      <w:pPr>
        <w:pStyle w:val="CommentText"/>
      </w:pPr>
      <w:r>
        <w:rPr>
          <w:rStyle w:val="CommentReference"/>
        </w:rPr>
        <w:annotationRef/>
      </w:r>
      <w:r>
        <w:t xml:space="preserve">This statement is not </w:t>
      </w:r>
      <w:r w:rsidR="000D18CD">
        <w:t>explicit or clear</w:t>
      </w:r>
    </w:p>
  </w:comment>
  <w:comment w:id="2" w:author="Windows User" w:date="2025-07-12T00:10:00Z" w:initials="WU">
    <w:p w14:paraId="70CE595C" w14:textId="77777777" w:rsidR="000D18CD" w:rsidRDefault="000D18CD">
      <w:pPr>
        <w:pStyle w:val="CommentText"/>
      </w:pPr>
      <w:r>
        <w:rPr>
          <w:rStyle w:val="CommentReference"/>
        </w:rPr>
        <w:annotationRef/>
      </w:r>
      <w:r w:rsidR="00FC0B47">
        <w:t>Add in</w:t>
      </w:r>
      <w:r w:rsidR="000742BF">
        <w:t>-</w:t>
      </w:r>
      <w:r w:rsidR="00FC0B47">
        <w:t>text</w:t>
      </w:r>
      <w:r>
        <w:t xml:space="preserve"> WHO citation</w:t>
      </w:r>
      <w:r w:rsidR="00FC0B47">
        <w:t xml:space="preserve"> </w:t>
      </w:r>
      <w:r w:rsidR="000742BF">
        <w:t>appropriately</w:t>
      </w:r>
    </w:p>
  </w:comment>
  <w:comment w:id="3" w:author="Windows User" w:date="2025-07-12T00:10:00Z" w:initials="WU">
    <w:p w14:paraId="37470D51" w14:textId="77777777" w:rsidR="000D18CD" w:rsidRPr="000D18CD" w:rsidRDefault="000D18CD">
      <w:pPr>
        <w:pStyle w:val="CommentText"/>
        <w:rPr>
          <w:rFonts w:cstheme="minorHAnsi"/>
        </w:rPr>
      </w:pPr>
      <w:r>
        <w:rPr>
          <w:rStyle w:val="CommentReference"/>
        </w:rPr>
        <w:annotationRef/>
      </w:r>
      <w:r w:rsidRPr="000D18CD">
        <w:rPr>
          <w:rFonts w:cstheme="minorHAnsi"/>
        </w:rPr>
        <w:t xml:space="preserve">Where is the data for </w:t>
      </w:r>
      <w:r w:rsidRPr="000D18CD">
        <w:rPr>
          <w:rFonts w:cstheme="minorHAnsi"/>
          <w:bCs/>
          <w:iCs/>
        </w:rPr>
        <w:t xml:space="preserve">Ahafo </w:t>
      </w:r>
      <w:proofErr w:type="spellStart"/>
      <w:r w:rsidRPr="000D18CD">
        <w:rPr>
          <w:rFonts w:cstheme="minorHAnsi"/>
          <w:bCs/>
          <w:iCs/>
        </w:rPr>
        <w:t>Ano</w:t>
      </w:r>
      <w:proofErr w:type="spellEnd"/>
      <w:r w:rsidRPr="000D18CD">
        <w:rPr>
          <w:rFonts w:cstheme="minorHAnsi"/>
          <w:bCs/>
          <w:iCs/>
        </w:rPr>
        <w:t xml:space="preserve"> North</w:t>
      </w:r>
      <w:r>
        <w:rPr>
          <w:rFonts w:cstheme="minorHAnsi"/>
          <w:bCs/>
          <w:iCs/>
        </w:rPr>
        <w:t xml:space="preserve"> or </w:t>
      </w:r>
      <w:proofErr w:type="gramStart"/>
      <w:r>
        <w:rPr>
          <w:rFonts w:cstheme="minorHAnsi"/>
          <w:bCs/>
          <w:iCs/>
        </w:rPr>
        <w:t>Ghana.</w:t>
      </w:r>
      <w:proofErr w:type="gramEnd"/>
      <w:r w:rsidRPr="000D18CD">
        <w:rPr>
          <w:rFonts w:cstheme="minorHAnsi"/>
          <w:bCs/>
          <w:iCs/>
        </w:rPr>
        <w:t xml:space="preserve"> You need to narrow down to the study site by demonstrating the actual gap</w:t>
      </w:r>
    </w:p>
  </w:comment>
  <w:comment w:id="5" w:author="Windows User" w:date="2025-07-12T00:19:00Z" w:initials="WU">
    <w:p w14:paraId="3BD6AFAC" w14:textId="77777777" w:rsidR="009A004C" w:rsidRDefault="009A004C">
      <w:pPr>
        <w:pStyle w:val="CommentText"/>
      </w:pPr>
      <w:r>
        <w:rPr>
          <w:rStyle w:val="CommentReference"/>
        </w:rPr>
        <w:annotationRef/>
      </w:r>
      <w:r>
        <w:t xml:space="preserve">Make your objectives SMART, </w:t>
      </w:r>
      <w:r w:rsidR="000742BF">
        <w:t xml:space="preserve">add </w:t>
      </w:r>
      <w:r>
        <w:t>location/site</w:t>
      </w:r>
      <w:bookmarkStart w:id="6" w:name="_GoBack"/>
      <w:bookmarkEnd w:id="6"/>
    </w:p>
  </w:comment>
  <w:comment w:id="7" w:author="Windows User" w:date="2025-07-12T00:22:00Z" w:initials="WU">
    <w:p w14:paraId="361E2BC2" w14:textId="77777777" w:rsidR="009A004C" w:rsidRPr="009A004C" w:rsidRDefault="009A004C">
      <w:pPr>
        <w:pStyle w:val="CommentText"/>
      </w:pPr>
      <w:r>
        <w:rPr>
          <w:rStyle w:val="CommentReference"/>
        </w:rPr>
        <w:annotationRef/>
      </w:r>
      <w:r>
        <w:t xml:space="preserve">Change the language from future Tense </w:t>
      </w:r>
      <w:proofErr w:type="spellStart"/>
      <w:r>
        <w:t>e.g</w:t>
      </w:r>
      <w:proofErr w:type="spellEnd"/>
      <w:r>
        <w:t xml:space="preserve">  </w:t>
      </w:r>
      <w:r w:rsidRPr="009A004C">
        <w:rPr>
          <w:rFonts w:ascii="Times New Roman" w:hAnsi="Times New Roman" w:cs="Times New Roman"/>
          <w:i/>
          <w:sz w:val="24"/>
          <w:szCs w:val="24"/>
        </w:rPr>
        <w:t>This study</w:t>
      </w:r>
      <w:r w:rsidRPr="009A004C">
        <w:rPr>
          <w:rFonts w:ascii="Times New Roman" w:hAnsi="Times New Roman" w:cs="Times New Roman"/>
          <w:i/>
          <w:sz w:val="24"/>
          <w:szCs w:val="24"/>
        </w:rPr>
        <w:t xml:space="preserve"> will</w:t>
      </w:r>
      <w:r>
        <w:rPr>
          <w:rFonts w:ascii="Times New Roman" w:hAnsi="Times New Roman" w:cs="Times New Roman"/>
          <w:i/>
          <w:sz w:val="24"/>
          <w:szCs w:val="24"/>
        </w:rPr>
        <w:t xml:space="preserve">, </w:t>
      </w:r>
      <w:r w:rsidRPr="009A004C">
        <w:rPr>
          <w:rFonts w:ascii="Times New Roman" w:hAnsi="Times New Roman" w:cs="Times New Roman"/>
          <w:sz w:val="24"/>
          <w:szCs w:val="24"/>
        </w:rPr>
        <w:t>this is not a proposal, you have already collected data, how significant is this information</w:t>
      </w:r>
    </w:p>
  </w:comment>
  <w:comment w:id="8" w:author="Windows User" w:date="2025-07-12T00:31:00Z" w:initials="WU">
    <w:p w14:paraId="3E8175E3" w14:textId="77777777" w:rsidR="00175ECC" w:rsidRDefault="00175ECC">
      <w:pPr>
        <w:pStyle w:val="CommentText"/>
      </w:pPr>
      <w:r>
        <w:rPr>
          <w:rStyle w:val="CommentReference"/>
        </w:rPr>
        <w:annotationRef/>
      </w:r>
      <w:r>
        <w:t>Start with Theoretical framework then demonstrate how you came up with your conceptual framework and how did you operationalize your framework</w:t>
      </w:r>
    </w:p>
  </w:comment>
  <w:comment w:id="9" w:author="Windows User" w:date="2025-07-12T00:39:00Z" w:initials="WU">
    <w:p w14:paraId="07945917" w14:textId="77777777" w:rsidR="0022314F" w:rsidRDefault="0022314F">
      <w:pPr>
        <w:pStyle w:val="CommentText"/>
      </w:pPr>
      <w:r>
        <w:rPr>
          <w:rStyle w:val="CommentReference"/>
        </w:rPr>
        <w:annotationRef/>
      </w:r>
      <w:r>
        <w:t>How did you arrive at sample size 224, which sampling formula did you use?</w:t>
      </w:r>
    </w:p>
    <w:p w14:paraId="612A6FBD" w14:textId="77777777" w:rsidR="0022314F" w:rsidRDefault="0022314F">
      <w:pPr>
        <w:pStyle w:val="CommentText"/>
      </w:pPr>
      <w:r>
        <w:t>How did you balance your sample between nurses and midwives?</w:t>
      </w:r>
    </w:p>
    <w:p w14:paraId="340DA231" w14:textId="77777777" w:rsidR="0022314F" w:rsidRDefault="0022314F">
      <w:pPr>
        <w:pStyle w:val="CommentText"/>
      </w:pPr>
      <w:r>
        <w:t>Your section on sampling method and size needs to have a logical flow highlight the process step by step</w:t>
      </w:r>
    </w:p>
  </w:comment>
  <w:comment w:id="11" w:author="Windows User" w:date="2025-07-12T00:47:00Z" w:initials="WU">
    <w:p w14:paraId="0A14074C" w14:textId="77777777" w:rsidR="0022314F" w:rsidRPr="00FC0B47" w:rsidRDefault="0022314F">
      <w:pPr>
        <w:pStyle w:val="CommentText"/>
        <w:rPr>
          <w:rFonts w:cstheme="minorHAnsi"/>
        </w:rPr>
      </w:pPr>
      <w:r>
        <w:rPr>
          <w:rStyle w:val="CommentReference"/>
        </w:rPr>
        <w:annotationRef/>
      </w:r>
      <w:r w:rsidRPr="00FC0B47">
        <w:rPr>
          <w:rFonts w:cstheme="minorHAnsi"/>
        </w:rPr>
        <w:t xml:space="preserve">Did you use paper form or Kobo Tool or both, be </w:t>
      </w:r>
      <w:r w:rsidR="0029363F" w:rsidRPr="00FC0B47">
        <w:rPr>
          <w:rFonts w:cstheme="minorHAnsi"/>
        </w:rPr>
        <w:t>specific?</w:t>
      </w:r>
      <w:r w:rsidR="008061B1" w:rsidRPr="00FC0B47">
        <w:rPr>
          <w:rFonts w:cstheme="minorHAnsi"/>
        </w:rPr>
        <w:t xml:space="preserve"> this should be move to </w:t>
      </w:r>
      <w:r w:rsidR="008061B1" w:rsidRPr="00FC0B47">
        <w:rPr>
          <w:rFonts w:cstheme="minorHAnsi"/>
          <w:bCs/>
          <w:color w:val="000000" w:themeColor="text1"/>
          <w:lang w:val="zh-CN"/>
        </w:rPr>
        <w:t>Data Collection</w:t>
      </w:r>
      <w:r w:rsidR="008061B1" w:rsidRPr="00FC0B47">
        <w:rPr>
          <w:rFonts w:cstheme="minorHAnsi"/>
          <w:bCs/>
          <w:color w:val="000000" w:themeColor="text1"/>
        </w:rPr>
        <w:t xml:space="preserve"> tool and procedure</w:t>
      </w:r>
      <w:r w:rsidR="008061B1" w:rsidRPr="00FC0B47">
        <w:rPr>
          <w:rFonts w:cstheme="minorHAnsi"/>
          <w:bCs/>
          <w:color w:val="000000" w:themeColor="text1"/>
        </w:rPr>
        <w:t xml:space="preserve"> section.</w:t>
      </w:r>
    </w:p>
    <w:p w14:paraId="3D68ABC0" w14:textId="77777777" w:rsidR="0022314F" w:rsidRPr="00FC0B47" w:rsidRDefault="0022314F">
      <w:pPr>
        <w:pStyle w:val="CommentText"/>
        <w:rPr>
          <w:rFonts w:cstheme="minorHAnsi"/>
          <w:i/>
        </w:rPr>
      </w:pPr>
      <w:r w:rsidRPr="00FC0B47">
        <w:rPr>
          <w:rFonts w:cstheme="minorHAnsi"/>
        </w:rPr>
        <w:t xml:space="preserve">in your abstract you stated </w:t>
      </w:r>
      <w:r w:rsidR="0029363F" w:rsidRPr="00FC0B47">
        <w:rPr>
          <w:rFonts w:cstheme="minorHAnsi"/>
        </w:rPr>
        <w:t xml:space="preserve">having </w:t>
      </w:r>
      <w:r w:rsidR="0029363F" w:rsidRPr="00FC0B47">
        <w:rPr>
          <w:rFonts w:cstheme="minorHAnsi"/>
          <w:i/>
          <w:color w:val="000000" w:themeColor="text1"/>
        </w:rPr>
        <w:t>analyzed</w:t>
      </w:r>
      <w:r w:rsidR="0029363F" w:rsidRPr="00FC0B47">
        <w:rPr>
          <w:rFonts w:cstheme="minorHAnsi"/>
          <w:i/>
        </w:rPr>
        <w:t xml:space="preserve"> using IBM SPSS Statistics 27 and R 4.3.1.</w:t>
      </w:r>
      <w:r w:rsidR="0029363F" w:rsidRPr="00FC0B47">
        <w:rPr>
          <w:rFonts w:cstheme="minorHAnsi"/>
          <w:i/>
        </w:rPr>
        <w:t xml:space="preserve"> this does not appear in this section.</w:t>
      </w:r>
    </w:p>
    <w:p w14:paraId="7391C6FA" w14:textId="77777777" w:rsidR="0029363F" w:rsidRPr="00FC0B47" w:rsidRDefault="0029363F">
      <w:pPr>
        <w:pStyle w:val="CommentText"/>
        <w:rPr>
          <w:rFonts w:cstheme="minorHAnsi"/>
        </w:rPr>
      </w:pPr>
      <w:r w:rsidRPr="00FC0B47">
        <w:rPr>
          <w:rFonts w:cstheme="minorHAnsi"/>
        </w:rPr>
        <w:t>Show step by step how you analyzed your data, this needs to be very clear for readers</w:t>
      </w:r>
    </w:p>
    <w:p w14:paraId="3A8B6A0B" w14:textId="77777777" w:rsidR="0022314F" w:rsidRDefault="0022314F">
      <w:pPr>
        <w:pStyle w:val="CommentText"/>
      </w:pPr>
    </w:p>
  </w:comment>
  <w:comment w:id="13" w:author="Windows User" w:date="2025-07-12T02:17:00Z" w:initials="WU">
    <w:p w14:paraId="11700057" w14:textId="77777777" w:rsidR="00FC0B47" w:rsidRDefault="00FC0B47">
      <w:pPr>
        <w:pStyle w:val="CommentText"/>
      </w:pPr>
      <w:r>
        <w:rPr>
          <w:rStyle w:val="CommentReference"/>
        </w:rPr>
        <w:annotationRef/>
      </w:r>
      <w:r>
        <w:t>Follow the Journal format in titling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EE75A" w15:done="0"/>
  <w15:commentEx w15:paraId="70CE595C" w15:done="0"/>
  <w15:commentEx w15:paraId="37470D51" w15:done="0"/>
  <w15:commentEx w15:paraId="3BD6AFAC" w15:done="0"/>
  <w15:commentEx w15:paraId="361E2BC2" w15:done="0"/>
  <w15:commentEx w15:paraId="3E8175E3" w15:done="0"/>
  <w15:commentEx w15:paraId="340DA231" w15:done="0"/>
  <w15:commentEx w15:paraId="3A8B6A0B" w15:done="0"/>
  <w15:commentEx w15:paraId="117000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EE75A" w16cid:durableId="2C1C262B"/>
  <w16cid:commentId w16cid:paraId="70CE595C" w16cid:durableId="2C1C265C"/>
  <w16cid:commentId w16cid:paraId="37470D51" w16cid:durableId="2C1C2680"/>
  <w16cid:commentId w16cid:paraId="3BD6AFAC" w16cid:durableId="2C1C28A6"/>
  <w16cid:commentId w16cid:paraId="361E2BC2" w16cid:durableId="2C1C2936"/>
  <w16cid:commentId w16cid:paraId="3E8175E3" w16cid:durableId="2C1C2B6A"/>
  <w16cid:commentId w16cid:paraId="340DA231" w16cid:durableId="2C1C2D54"/>
  <w16cid:commentId w16cid:paraId="3A8B6A0B" w16cid:durableId="2C1C2F3C"/>
  <w16cid:commentId w16cid:paraId="11700057" w16cid:durableId="2C1C44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7F365" w14:textId="77777777" w:rsidR="006540C7" w:rsidRDefault="006540C7">
      <w:pPr>
        <w:spacing w:line="240" w:lineRule="auto"/>
      </w:pPr>
      <w:r>
        <w:separator/>
      </w:r>
    </w:p>
  </w:endnote>
  <w:endnote w:type="continuationSeparator" w:id="0">
    <w:p w14:paraId="5675C0E9" w14:textId="77777777" w:rsidR="006540C7" w:rsidRDefault="00654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2CB5" w14:textId="77777777" w:rsidR="004963C2" w:rsidRDefault="00496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CCB2" w14:textId="77777777" w:rsidR="004963C2" w:rsidRDefault="00496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0513" w14:textId="77777777" w:rsidR="004963C2" w:rsidRDefault="0049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C85A" w14:textId="77777777" w:rsidR="006540C7" w:rsidRDefault="006540C7">
      <w:pPr>
        <w:spacing w:after="0"/>
      </w:pPr>
      <w:r>
        <w:separator/>
      </w:r>
    </w:p>
  </w:footnote>
  <w:footnote w:type="continuationSeparator" w:id="0">
    <w:p w14:paraId="57CD50B2" w14:textId="77777777" w:rsidR="006540C7" w:rsidRDefault="006540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7C65" w14:textId="77777777" w:rsidR="004963C2" w:rsidRDefault="004963C2">
    <w:pPr>
      <w:pStyle w:val="Header"/>
    </w:pPr>
    <w:r>
      <w:rPr>
        <w:noProof/>
      </w:rPr>
      <w:pict w14:anchorId="7E86B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3EB60" w14:textId="77777777" w:rsidR="004963C2" w:rsidRDefault="004963C2">
    <w:pPr>
      <w:pStyle w:val="Header"/>
    </w:pPr>
    <w:r>
      <w:rPr>
        <w:noProof/>
      </w:rPr>
      <w:pict w14:anchorId="10E20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BC53" w14:textId="77777777" w:rsidR="004963C2" w:rsidRDefault="004963C2">
    <w:pPr>
      <w:pStyle w:val="Header"/>
    </w:pPr>
    <w:r>
      <w:rPr>
        <w:noProof/>
      </w:rPr>
      <w:pict w14:anchorId="4A764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907"/>
    <w:multiLevelType w:val="multilevel"/>
    <w:tmpl w:val="07684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7B721E"/>
    <w:multiLevelType w:val="multilevel"/>
    <w:tmpl w:val="303C1B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9A17241"/>
    <w:multiLevelType w:val="multilevel"/>
    <w:tmpl w:val="19A172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2653961"/>
    <w:multiLevelType w:val="multilevel"/>
    <w:tmpl w:val="226539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53639EB"/>
    <w:multiLevelType w:val="multilevel"/>
    <w:tmpl w:val="253639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90C681D"/>
    <w:multiLevelType w:val="multilevel"/>
    <w:tmpl w:val="290C681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C4511CA"/>
    <w:multiLevelType w:val="multilevel"/>
    <w:tmpl w:val="2C4511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03C1B68"/>
    <w:multiLevelType w:val="multilevel"/>
    <w:tmpl w:val="303C1B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0CB67EA"/>
    <w:multiLevelType w:val="multilevel"/>
    <w:tmpl w:val="40CB67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4F1652D6"/>
    <w:multiLevelType w:val="multilevel"/>
    <w:tmpl w:val="4F1652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606A0D6F"/>
    <w:multiLevelType w:val="multilevel"/>
    <w:tmpl w:val="606A0D6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7A0C7C65"/>
    <w:multiLevelType w:val="multilevel"/>
    <w:tmpl w:val="7A0C7C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DCD7FB8"/>
    <w:multiLevelType w:val="multilevel"/>
    <w:tmpl w:val="7DCD7F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9"/>
  </w:num>
  <w:num w:numId="5">
    <w:abstractNumId w:val="0"/>
  </w:num>
  <w:num w:numId="6">
    <w:abstractNumId w:val="10"/>
  </w:num>
  <w:num w:numId="7">
    <w:abstractNumId w:val="11"/>
  </w:num>
  <w:num w:numId="8">
    <w:abstractNumId w:val="4"/>
  </w:num>
  <w:num w:numId="9">
    <w:abstractNumId w:val="2"/>
  </w:num>
  <w:num w:numId="10">
    <w:abstractNumId w:val="8"/>
  </w:num>
  <w:num w:numId="11">
    <w:abstractNumId w:val="12"/>
  </w:num>
  <w:num w:numId="12">
    <w:abstractNumId w:val="5"/>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Windows Live" w15:userId="9f2ef072a2f77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13"/>
    <w:rsid w:val="00005D60"/>
    <w:rsid w:val="000072F1"/>
    <w:rsid w:val="00026DBC"/>
    <w:rsid w:val="00035FB5"/>
    <w:rsid w:val="000742BF"/>
    <w:rsid w:val="00076FB5"/>
    <w:rsid w:val="00077BBD"/>
    <w:rsid w:val="00082458"/>
    <w:rsid w:val="000904D9"/>
    <w:rsid w:val="000C79B5"/>
    <w:rsid w:val="000D18CD"/>
    <w:rsid w:val="000E63FD"/>
    <w:rsid w:val="000E71C0"/>
    <w:rsid w:val="000F3BAB"/>
    <w:rsid w:val="000F564F"/>
    <w:rsid w:val="00102F49"/>
    <w:rsid w:val="00111F31"/>
    <w:rsid w:val="00115D55"/>
    <w:rsid w:val="0011660C"/>
    <w:rsid w:val="00122FF6"/>
    <w:rsid w:val="001272F6"/>
    <w:rsid w:val="00137422"/>
    <w:rsid w:val="001443E3"/>
    <w:rsid w:val="00151EFC"/>
    <w:rsid w:val="00170B15"/>
    <w:rsid w:val="00175ECC"/>
    <w:rsid w:val="001A3D97"/>
    <w:rsid w:val="001B50C3"/>
    <w:rsid w:val="001B53F3"/>
    <w:rsid w:val="001B74F4"/>
    <w:rsid w:val="001B7A2E"/>
    <w:rsid w:val="001E6CAF"/>
    <w:rsid w:val="00217004"/>
    <w:rsid w:val="0022314F"/>
    <w:rsid w:val="002249E3"/>
    <w:rsid w:val="00225047"/>
    <w:rsid w:val="002445DA"/>
    <w:rsid w:val="0025233E"/>
    <w:rsid w:val="0029363F"/>
    <w:rsid w:val="002C6830"/>
    <w:rsid w:val="002E1A80"/>
    <w:rsid w:val="002F3011"/>
    <w:rsid w:val="003001AC"/>
    <w:rsid w:val="00331768"/>
    <w:rsid w:val="00360CD7"/>
    <w:rsid w:val="00371FEF"/>
    <w:rsid w:val="00386D2F"/>
    <w:rsid w:val="00396FC7"/>
    <w:rsid w:val="003A7770"/>
    <w:rsid w:val="003B1FE4"/>
    <w:rsid w:val="003E70B0"/>
    <w:rsid w:val="00465A24"/>
    <w:rsid w:val="004874AF"/>
    <w:rsid w:val="004963C2"/>
    <w:rsid w:val="004A188E"/>
    <w:rsid w:val="004D0FB1"/>
    <w:rsid w:val="00502AA2"/>
    <w:rsid w:val="00504338"/>
    <w:rsid w:val="0051747F"/>
    <w:rsid w:val="0052031A"/>
    <w:rsid w:val="005210BE"/>
    <w:rsid w:val="005341E5"/>
    <w:rsid w:val="005455D5"/>
    <w:rsid w:val="005811A6"/>
    <w:rsid w:val="0058724D"/>
    <w:rsid w:val="005B2AE6"/>
    <w:rsid w:val="005B559F"/>
    <w:rsid w:val="005C04D4"/>
    <w:rsid w:val="005C33DE"/>
    <w:rsid w:val="005F1937"/>
    <w:rsid w:val="005F47A7"/>
    <w:rsid w:val="005F4988"/>
    <w:rsid w:val="00604B1A"/>
    <w:rsid w:val="00610817"/>
    <w:rsid w:val="006230B8"/>
    <w:rsid w:val="006335AA"/>
    <w:rsid w:val="006540C7"/>
    <w:rsid w:val="006B35B9"/>
    <w:rsid w:val="006F7B25"/>
    <w:rsid w:val="00706A1A"/>
    <w:rsid w:val="007074E0"/>
    <w:rsid w:val="007456F8"/>
    <w:rsid w:val="00763654"/>
    <w:rsid w:val="00776C36"/>
    <w:rsid w:val="00790B2C"/>
    <w:rsid w:val="007927AE"/>
    <w:rsid w:val="007A6E0F"/>
    <w:rsid w:val="007D745B"/>
    <w:rsid w:val="007E3194"/>
    <w:rsid w:val="007E79B8"/>
    <w:rsid w:val="008061B1"/>
    <w:rsid w:val="008564F6"/>
    <w:rsid w:val="0086255B"/>
    <w:rsid w:val="00867C90"/>
    <w:rsid w:val="00871A21"/>
    <w:rsid w:val="008D76D2"/>
    <w:rsid w:val="008E47A3"/>
    <w:rsid w:val="008F48B8"/>
    <w:rsid w:val="008F68CB"/>
    <w:rsid w:val="009224FA"/>
    <w:rsid w:val="00947A53"/>
    <w:rsid w:val="009542EB"/>
    <w:rsid w:val="0095668B"/>
    <w:rsid w:val="009609F1"/>
    <w:rsid w:val="00961C8C"/>
    <w:rsid w:val="00964970"/>
    <w:rsid w:val="00973682"/>
    <w:rsid w:val="009765A4"/>
    <w:rsid w:val="009A004C"/>
    <w:rsid w:val="009C3AED"/>
    <w:rsid w:val="009C5EF8"/>
    <w:rsid w:val="009E2C01"/>
    <w:rsid w:val="009E6FF6"/>
    <w:rsid w:val="00A06561"/>
    <w:rsid w:val="00A11FBC"/>
    <w:rsid w:val="00A22099"/>
    <w:rsid w:val="00A54600"/>
    <w:rsid w:val="00A67399"/>
    <w:rsid w:val="00A811AF"/>
    <w:rsid w:val="00A9261F"/>
    <w:rsid w:val="00AD2373"/>
    <w:rsid w:val="00AD5FB2"/>
    <w:rsid w:val="00B03CB5"/>
    <w:rsid w:val="00B24E18"/>
    <w:rsid w:val="00B3537E"/>
    <w:rsid w:val="00B623D4"/>
    <w:rsid w:val="00B64EF5"/>
    <w:rsid w:val="00B82551"/>
    <w:rsid w:val="00BB5CA1"/>
    <w:rsid w:val="00BC457C"/>
    <w:rsid w:val="00BE2989"/>
    <w:rsid w:val="00C063BF"/>
    <w:rsid w:val="00C447B8"/>
    <w:rsid w:val="00C77EF9"/>
    <w:rsid w:val="00C81A53"/>
    <w:rsid w:val="00C8349B"/>
    <w:rsid w:val="00C8735A"/>
    <w:rsid w:val="00CC020A"/>
    <w:rsid w:val="00CD6498"/>
    <w:rsid w:val="00CD6F0B"/>
    <w:rsid w:val="00D215D5"/>
    <w:rsid w:val="00D325FE"/>
    <w:rsid w:val="00D36E59"/>
    <w:rsid w:val="00D7409D"/>
    <w:rsid w:val="00D743FD"/>
    <w:rsid w:val="00D80691"/>
    <w:rsid w:val="00D94422"/>
    <w:rsid w:val="00D95843"/>
    <w:rsid w:val="00DC7837"/>
    <w:rsid w:val="00E22485"/>
    <w:rsid w:val="00E30722"/>
    <w:rsid w:val="00E63691"/>
    <w:rsid w:val="00E64F13"/>
    <w:rsid w:val="00E7528B"/>
    <w:rsid w:val="00E768C0"/>
    <w:rsid w:val="00E820AB"/>
    <w:rsid w:val="00E94B72"/>
    <w:rsid w:val="00E95AF5"/>
    <w:rsid w:val="00EC3014"/>
    <w:rsid w:val="00ED58D8"/>
    <w:rsid w:val="00EF5C6F"/>
    <w:rsid w:val="00F25E08"/>
    <w:rsid w:val="00FA3692"/>
    <w:rsid w:val="00FC0B47"/>
    <w:rsid w:val="00FF1F5F"/>
    <w:rsid w:val="00FF5F6B"/>
    <w:rsid w:val="03CB7B24"/>
    <w:rsid w:val="144E5BFE"/>
    <w:rsid w:val="2D4476D1"/>
    <w:rsid w:val="2F9A5773"/>
    <w:rsid w:val="3640095E"/>
    <w:rsid w:val="4B8949F3"/>
    <w:rsid w:val="6E283C4C"/>
    <w:rsid w:val="713952F0"/>
    <w:rsid w:val="75880B69"/>
    <w:rsid w:val="7E53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F50C5D"/>
  <w15:docId w15:val="{307A6527-3CFB-4800-A47B-C26F4D40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1AC"/>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question-label">
    <w:name w:val="question-label"/>
    <w:basedOn w:val="DefaultParagraphFont"/>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character" w:customStyle="1" w:styleId="reference">
    <w:name w:val="reference"/>
    <w:basedOn w:val="DefaultParagraphFont"/>
    <w:qFormat/>
  </w:style>
  <w:style w:type="character" w:customStyle="1" w:styleId="anchor-text">
    <w:name w:val="anchor-text"/>
    <w:basedOn w:val="DefaultParagraphFont"/>
    <w:qFormat/>
  </w:style>
  <w:style w:type="character" w:customStyle="1" w:styleId="label">
    <w:name w:val="label"/>
    <w:basedOn w:val="DefaultParagraphFont"/>
  </w:style>
  <w:style w:type="character" w:customStyle="1" w:styleId="link">
    <w:name w:val="link"/>
    <w:basedOn w:val="DefaultParagraphFont"/>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Bibliography">
    <w:name w:val="Bibliography"/>
    <w:basedOn w:val="Normal"/>
    <w:next w:val="Normal"/>
    <w:uiPriority w:val="37"/>
    <w:unhideWhenUsed/>
    <w:rsid w:val="00B623D4"/>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076FB5"/>
    <w:rPr>
      <w:color w:val="605E5C"/>
      <w:shd w:val="clear" w:color="auto" w:fill="E1DFDD"/>
    </w:rPr>
  </w:style>
  <w:style w:type="paragraph" w:styleId="Header">
    <w:name w:val="header"/>
    <w:basedOn w:val="Normal"/>
    <w:link w:val="HeaderChar"/>
    <w:uiPriority w:val="99"/>
    <w:unhideWhenUsed/>
    <w:rsid w:val="0097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82"/>
    <w:rPr>
      <w:sz w:val="22"/>
      <w:szCs w:val="22"/>
    </w:rPr>
  </w:style>
  <w:style w:type="paragraph" w:styleId="Footer">
    <w:name w:val="footer"/>
    <w:basedOn w:val="Normal"/>
    <w:link w:val="FooterChar"/>
    <w:uiPriority w:val="99"/>
    <w:unhideWhenUsed/>
    <w:rsid w:val="0097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682"/>
    <w:rPr>
      <w:sz w:val="22"/>
      <w:szCs w:val="22"/>
    </w:rPr>
  </w:style>
  <w:style w:type="character" w:styleId="CommentReference">
    <w:name w:val="annotation reference"/>
    <w:basedOn w:val="DefaultParagraphFont"/>
    <w:uiPriority w:val="99"/>
    <w:semiHidden/>
    <w:unhideWhenUsed/>
    <w:rsid w:val="004963C2"/>
    <w:rPr>
      <w:sz w:val="16"/>
      <w:szCs w:val="16"/>
    </w:rPr>
  </w:style>
  <w:style w:type="paragraph" w:styleId="CommentText">
    <w:name w:val="annotation text"/>
    <w:basedOn w:val="Normal"/>
    <w:link w:val="CommentTextChar"/>
    <w:uiPriority w:val="99"/>
    <w:semiHidden/>
    <w:unhideWhenUsed/>
    <w:rsid w:val="004963C2"/>
    <w:pPr>
      <w:spacing w:line="240" w:lineRule="auto"/>
    </w:pPr>
    <w:rPr>
      <w:sz w:val="20"/>
      <w:szCs w:val="20"/>
    </w:rPr>
  </w:style>
  <w:style w:type="character" w:customStyle="1" w:styleId="CommentTextChar">
    <w:name w:val="Comment Text Char"/>
    <w:basedOn w:val="DefaultParagraphFont"/>
    <w:link w:val="CommentText"/>
    <w:uiPriority w:val="99"/>
    <w:semiHidden/>
    <w:rsid w:val="004963C2"/>
  </w:style>
  <w:style w:type="paragraph" w:styleId="CommentSubject">
    <w:name w:val="annotation subject"/>
    <w:basedOn w:val="CommentText"/>
    <w:next w:val="CommentText"/>
    <w:link w:val="CommentSubjectChar"/>
    <w:uiPriority w:val="99"/>
    <w:semiHidden/>
    <w:unhideWhenUsed/>
    <w:rsid w:val="004963C2"/>
    <w:rPr>
      <w:b/>
      <w:bCs/>
    </w:rPr>
  </w:style>
  <w:style w:type="character" w:customStyle="1" w:styleId="CommentSubjectChar">
    <w:name w:val="Comment Subject Char"/>
    <w:basedOn w:val="CommentTextChar"/>
    <w:link w:val="CommentSubject"/>
    <w:uiPriority w:val="99"/>
    <w:semiHidden/>
    <w:rsid w:val="004963C2"/>
    <w:rPr>
      <w:b/>
      <w:bCs/>
    </w:rPr>
  </w:style>
  <w:style w:type="paragraph" w:styleId="BalloonText">
    <w:name w:val="Balloon Text"/>
    <w:basedOn w:val="Normal"/>
    <w:link w:val="BalloonTextChar"/>
    <w:uiPriority w:val="99"/>
    <w:semiHidden/>
    <w:unhideWhenUsed/>
    <w:rsid w:val="00496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4.xml"/><Relationship Id="rId32" Type="http://schemas.openxmlformats.org/officeDocument/2006/relationships/footer" Target="foot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3.xml"/><Relationship Id="rId28" Type="http://schemas.openxmlformats.org/officeDocument/2006/relationships/header" Target="header2.xml"/><Relationship Id="rId10" Type="http://schemas.microsoft.com/office/2016/09/relationships/commentsIds" Target="commentsIds.xml"/><Relationship Id="rId19" Type="http://schemas.openxmlformats.org/officeDocument/2006/relationships/diagramColors" Target="diagrams/colors2.xml"/><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openxmlformats.org/officeDocument/2006/relationships/chart" Target="charts/chart2.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ORLD\Desktop\asarfo%20agye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ORLD\Desktop\asarfo%20agye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'Factors and Barriers Faced b...'!$E$229</c:f>
              <c:strCache>
                <c:ptCount val="1"/>
                <c:pt idx="0">
                  <c:v>Very poor</c:v>
                </c:pt>
              </c:strCache>
            </c:strRef>
          </c:tx>
          <c:spPr>
            <a:solidFill>
              <a:schemeClr val="accent1"/>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b...'!$F$229:$J$229</c:f>
              <c:numCache>
                <c:formatCode>General</c:formatCode>
                <c:ptCount val="5"/>
                <c:pt idx="0">
                  <c:v>97</c:v>
                </c:pt>
                <c:pt idx="1">
                  <c:v>140</c:v>
                </c:pt>
                <c:pt idx="2">
                  <c:v>56</c:v>
                </c:pt>
                <c:pt idx="3">
                  <c:v>56</c:v>
                </c:pt>
                <c:pt idx="4">
                  <c:v>126</c:v>
                </c:pt>
              </c:numCache>
            </c:numRef>
          </c:val>
          <c:extLst>
            <c:ext xmlns:c16="http://schemas.microsoft.com/office/drawing/2014/chart" uri="{C3380CC4-5D6E-409C-BE32-E72D297353CC}">
              <c16:uniqueId val="{00000000-E7F5-4258-818B-54EBB8F595A7}"/>
            </c:ext>
          </c:extLst>
        </c:ser>
        <c:ser>
          <c:idx val="1"/>
          <c:order val="1"/>
          <c:tx>
            <c:strRef>
              <c:f>'Factors and Barriers Faced b...'!$E$230</c:f>
              <c:strCache>
                <c:ptCount val="1"/>
                <c:pt idx="0">
                  <c:v>Poor</c:v>
                </c:pt>
              </c:strCache>
            </c:strRef>
          </c:tx>
          <c:spPr>
            <a:solidFill>
              <a:schemeClr val="accent2"/>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b...'!$F$230:$J$230</c:f>
              <c:numCache>
                <c:formatCode>General</c:formatCode>
                <c:ptCount val="5"/>
                <c:pt idx="0">
                  <c:v>28</c:v>
                </c:pt>
                <c:pt idx="1">
                  <c:v>0</c:v>
                </c:pt>
                <c:pt idx="2">
                  <c:v>42</c:v>
                </c:pt>
                <c:pt idx="3">
                  <c:v>0</c:v>
                </c:pt>
                <c:pt idx="4">
                  <c:v>0</c:v>
                </c:pt>
              </c:numCache>
            </c:numRef>
          </c:val>
          <c:extLst>
            <c:ext xmlns:c16="http://schemas.microsoft.com/office/drawing/2014/chart" uri="{C3380CC4-5D6E-409C-BE32-E72D297353CC}">
              <c16:uniqueId val="{00000001-E7F5-4258-818B-54EBB8F595A7}"/>
            </c:ext>
          </c:extLst>
        </c:ser>
        <c:ser>
          <c:idx val="2"/>
          <c:order val="2"/>
          <c:tx>
            <c:strRef>
              <c:f>'Factors and Barriers Faced b...'!$E$231</c:f>
              <c:strCache>
                <c:ptCount val="1"/>
                <c:pt idx="0">
                  <c:v>Moderate good</c:v>
                </c:pt>
              </c:strCache>
            </c:strRef>
          </c:tx>
          <c:spPr>
            <a:solidFill>
              <a:schemeClr val="accent3"/>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b...'!$F$231:$J$231</c:f>
              <c:numCache>
                <c:formatCode>General</c:formatCode>
                <c:ptCount val="5"/>
                <c:pt idx="0">
                  <c:v>42</c:v>
                </c:pt>
                <c:pt idx="1">
                  <c:v>27</c:v>
                </c:pt>
                <c:pt idx="2">
                  <c:v>55</c:v>
                </c:pt>
                <c:pt idx="3">
                  <c:v>70</c:v>
                </c:pt>
                <c:pt idx="4">
                  <c:v>28</c:v>
                </c:pt>
              </c:numCache>
            </c:numRef>
          </c:val>
          <c:extLst>
            <c:ext xmlns:c16="http://schemas.microsoft.com/office/drawing/2014/chart" uri="{C3380CC4-5D6E-409C-BE32-E72D297353CC}">
              <c16:uniqueId val="{00000002-E7F5-4258-818B-54EBB8F595A7}"/>
            </c:ext>
          </c:extLst>
        </c:ser>
        <c:ser>
          <c:idx val="3"/>
          <c:order val="3"/>
          <c:tx>
            <c:strRef>
              <c:f>'Factors and Barriers Faced b...'!$E$232</c:f>
              <c:strCache>
                <c:ptCount val="1"/>
                <c:pt idx="0">
                  <c:v>Good </c:v>
                </c:pt>
              </c:strCache>
            </c:strRef>
          </c:tx>
          <c:spPr>
            <a:solidFill>
              <a:schemeClr val="accent4"/>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b...'!$F$232:$J$232</c:f>
              <c:numCache>
                <c:formatCode>General</c:formatCode>
                <c:ptCount val="5"/>
                <c:pt idx="0">
                  <c:v>28</c:v>
                </c:pt>
                <c:pt idx="1">
                  <c:v>14</c:v>
                </c:pt>
                <c:pt idx="2">
                  <c:v>0</c:v>
                </c:pt>
                <c:pt idx="3">
                  <c:v>14</c:v>
                </c:pt>
                <c:pt idx="4">
                  <c:v>42</c:v>
                </c:pt>
              </c:numCache>
            </c:numRef>
          </c:val>
          <c:extLst>
            <c:ext xmlns:c16="http://schemas.microsoft.com/office/drawing/2014/chart" uri="{C3380CC4-5D6E-409C-BE32-E72D297353CC}">
              <c16:uniqueId val="{00000003-E7F5-4258-818B-54EBB8F595A7}"/>
            </c:ext>
          </c:extLst>
        </c:ser>
        <c:ser>
          <c:idx val="4"/>
          <c:order val="4"/>
          <c:tx>
            <c:strRef>
              <c:f>'Factors and Barriers Faced b...'!$E$233</c:f>
              <c:strCache>
                <c:ptCount val="1"/>
                <c:pt idx="0">
                  <c:v>Very good </c:v>
                </c:pt>
              </c:strCache>
            </c:strRef>
          </c:tx>
          <c:spPr>
            <a:solidFill>
              <a:schemeClr val="accent5"/>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b...'!$F$233:$J$233</c:f>
              <c:numCache>
                <c:formatCode>General</c:formatCode>
                <c:ptCount val="5"/>
                <c:pt idx="0">
                  <c:v>28</c:v>
                </c:pt>
                <c:pt idx="1">
                  <c:v>14</c:v>
                </c:pt>
                <c:pt idx="2">
                  <c:v>28</c:v>
                </c:pt>
                <c:pt idx="3">
                  <c:v>70</c:v>
                </c:pt>
                <c:pt idx="4">
                  <c:v>14</c:v>
                </c:pt>
              </c:numCache>
            </c:numRef>
          </c:val>
          <c:extLst>
            <c:ext xmlns:c16="http://schemas.microsoft.com/office/drawing/2014/chart" uri="{C3380CC4-5D6E-409C-BE32-E72D297353CC}">
              <c16:uniqueId val="{00000004-E7F5-4258-818B-54EBB8F595A7}"/>
            </c:ext>
          </c:extLst>
        </c:ser>
        <c:dLbls>
          <c:showLegendKey val="0"/>
          <c:showVal val="0"/>
          <c:showCatName val="0"/>
          <c:showSerName val="0"/>
          <c:showPercent val="0"/>
          <c:showBubbleSize val="0"/>
        </c:dLbls>
        <c:gapWidth val="150"/>
        <c:overlap val="100"/>
        <c:axId val="1922333152"/>
        <c:axId val="1922334240"/>
      </c:barChart>
      <c:catAx>
        <c:axId val="192233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1922334240"/>
        <c:crosses val="autoZero"/>
        <c:auto val="1"/>
        <c:lblAlgn val="ctr"/>
        <c:lblOffset val="100"/>
        <c:noMultiLvlLbl val="0"/>
      </c:catAx>
      <c:valAx>
        <c:axId val="1922334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33152"/>
        <c:crosses val="autoZero"/>
        <c:crossBetween val="between"/>
      </c:valAx>
      <c:spPr>
        <a:noFill/>
        <a:ln>
          <a:noFill/>
        </a:ln>
        <a:effectLst/>
      </c:spPr>
    </c:plotArea>
    <c:legend>
      <c:legendPos val="b"/>
      <c:layout>
        <c:manualLayout>
          <c:xMode val="edge"/>
          <c:yMode val="edge"/>
          <c:x val="8.5610991131062603E-2"/>
          <c:y val="0.91649155748880695"/>
          <c:w val="0.88239732068693699"/>
          <c:h val="8.3508442511193007E-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128a45f-faab-4e23-b4ec-7fb7b55c453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'Factors and Barriers Faced b...'!$K$229</c:f>
              <c:strCache>
                <c:ptCount val="1"/>
                <c:pt idx="0">
                  <c:v>Always available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b...'!$L$229:$O$229</c:f>
              <c:numCache>
                <c:formatCode>General</c:formatCode>
                <c:ptCount val="4"/>
                <c:pt idx="0">
                  <c:v>70</c:v>
                </c:pt>
                <c:pt idx="1">
                  <c:v>56</c:v>
                </c:pt>
                <c:pt idx="2">
                  <c:v>70</c:v>
                </c:pt>
                <c:pt idx="3">
                  <c:v>145</c:v>
                </c:pt>
              </c:numCache>
            </c:numRef>
          </c:val>
          <c:extLst>
            <c:ext xmlns:c16="http://schemas.microsoft.com/office/drawing/2014/chart" uri="{C3380CC4-5D6E-409C-BE32-E72D297353CC}">
              <c16:uniqueId val="{00000000-FB15-416E-9859-2900410E2F58}"/>
            </c:ext>
          </c:extLst>
        </c:ser>
        <c:ser>
          <c:idx val="1"/>
          <c:order val="1"/>
          <c:tx>
            <c:strRef>
              <c:f>'Factors and Barriers Faced b...'!$K$230</c:f>
              <c:strCache>
                <c:ptCount val="1"/>
                <c:pt idx="0">
                  <c:v>Sometimes available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b...'!$L$230:$O$230</c:f>
              <c:numCache>
                <c:formatCode>General</c:formatCode>
                <c:ptCount val="4"/>
                <c:pt idx="0">
                  <c:v>28</c:v>
                </c:pt>
                <c:pt idx="1">
                  <c:v>42</c:v>
                </c:pt>
                <c:pt idx="2">
                  <c:v>56</c:v>
                </c:pt>
                <c:pt idx="3">
                  <c:v>14</c:v>
                </c:pt>
              </c:numCache>
            </c:numRef>
          </c:val>
          <c:extLst>
            <c:ext xmlns:c16="http://schemas.microsoft.com/office/drawing/2014/chart" uri="{C3380CC4-5D6E-409C-BE32-E72D297353CC}">
              <c16:uniqueId val="{00000001-FB15-416E-9859-2900410E2F58}"/>
            </c:ext>
          </c:extLst>
        </c:ser>
        <c:ser>
          <c:idx val="2"/>
          <c:order val="2"/>
          <c:tx>
            <c:strRef>
              <c:f>'Factors and Barriers Faced b...'!$K$231</c:f>
              <c:strCache>
                <c:ptCount val="1"/>
                <c:pt idx="0">
                  <c:v>Rarely available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b...'!$L$231:$O$231</c:f>
              <c:numCache>
                <c:formatCode>General</c:formatCode>
                <c:ptCount val="4"/>
                <c:pt idx="0">
                  <c:v>41</c:v>
                </c:pt>
                <c:pt idx="1">
                  <c:v>69</c:v>
                </c:pt>
                <c:pt idx="2">
                  <c:v>55</c:v>
                </c:pt>
                <c:pt idx="3">
                  <c:v>14</c:v>
                </c:pt>
              </c:numCache>
            </c:numRef>
          </c:val>
          <c:extLst>
            <c:ext xmlns:c16="http://schemas.microsoft.com/office/drawing/2014/chart" uri="{C3380CC4-5D6E-409C-BE32-E72D297353CC}">
              <c16:uniqueId val="{00000002-FB15-416E-9859-2900410E2F58}"/>
            </c:ext>
          </c:extLst>
        </c:ser>
        <c:ser>
          <c:idx val="3"/>
          <c:order val="3"/>
          <c:tx>
            <c:strRef>
              <c:f>'Factors and Barriers Faced b...'!$K$232</c:f>
              <c:strCache>
                <c:ptCount val="1"/>
                <c:pt idx="0">
                  <c:v>Never available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b...'!$L$232:$O$232</c:f>
              <c:numCache>
                <c:formatCode>General</c:formatCode>
                <c:ptCount val="4"/>
                <c:pt idx="0">
                  <c:v>84</c:v>
                </c:pt>
                <c:pt idx="1">
                  <c:v>56</c:v>
                </c:pt>
                <c:pt idx="2">
                  <c:v>42</c:v>
                </c:pt>
                <c:pt idx="3">
                  <c:v>28</c:v>
                </c:pt>
              </c:numCache>
            </c:numRef>
          </c:val>
          <c:extLst>
            <c:ext xmlns:c16="http://schemas.microsoft.com/office/drawing/2014/chart" uri="{C3380CC4-5D6E-409C-BE32-E72D297353CC}">
              <c16:uniqueId val="{00000003-FB15-416E-9859-2900410E2F58}"/>
            </c:ext>
          </c:extLst>
        </c:ser>
        <c:dLbls>
          <c:showLegendKey val="0"/>
          <c:showVal val="1"/>
          <c:showCatName val="0"/>
          <c:showSerName val="0"/>
          <c:showPercent val="0"/>
          <c:showBubbleSize val="0"/>
        </c:dLbls>
        <c:gapWidth val="444"/>
        <c:overlap val="-90"/>
        <c:axId val="1922341312"/>
        <c:axId val="1922335872"/>
      </c:barChart>
      <c:catAx>
        <c:axId val="1922341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922335872"/>
        <c:crosses val="autoZero"/>
        <c:auto val="1"/>
        <c:lblAlgn val="ctr"/>
        <c:lblOffset val="100"/>
        <c:noMultiLvlLbl val="0"/>
      </c:catAx>
      <c:valAx>
        <c:axId val="1922335872"/>
        <c:scaling>
          <c:orientation val="minMax"/>
        </c:scaling>
        <c:delete val="1"/>
        <c:axPos val="l"/>
        <c:numFmt formatCode="General" sourceLinked="1"/>
        <c:majorTickMark val="none"/>
        <c:minorTickMark val="none"/>
        <c:tickLblPos val="nextTo"/>
        <c:crossAx val="1922341312"/>
        <c:crosses val="autoZero"/>
        <c:crossBetween val="between"/>
      </c:valAx>
      <c:spPr>
        <a:noFill/>
        <a:ln>
          <a:noFill/>
        </a:ln>
        <a:effectLst/>
      </c:spPr>
    </c:plotArea>
    <c:legend>
      <c:legendPos val="t"/>
      <c:layout>
        <c:manualLayout>
          <c:xMode val="edge"/>
          <c:yMode val="edge"/>
          <c:x val="0.12769792488180601"/>
          <c:y val="1.0973936899862801E-2"/>
          <c:w val="0.78487955301294798"/>
          <c:h val="7.6589150636005895E-2"/>
        </c:manualLayout>
      </c:layout>
      <c:overlay val="0"/>
      <c:spPr>
        <a:noFill/>
        <a:ln>
          <a:noFill/>
        </a:ln>
        <a:effectLst/>
      </c:spPr>
      <c:txPr>
        <a:bodyPr rot="0" spcFirstLastPara="1" vertOverflow="ellipsis" vert="horz" wrap="square" anchor="ctr" anchorCtr="1"/>
        <a:lstStyle/>
        <a:p>
          <a:pPr>
            <a:defRPr lang="en-US"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6e1e04b0-e3a8-4086-825a-3cd28fe89313}"/>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Types of emergencies managed</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Sheet2!$L$2:$L$6</c:f>
              <c:strCache>
                <c:ptCount val="5"/>
                <c:pt idx="0">
                  <c:v>Trauma accidents</c:v>
                </c:pt>
                <c:pt idx="1">
                  <c:v>Obstetric emergencies (labor complications)</c:v>
                </c:pt>
                <c:pt idx="2">
                  <c:v>Cardiac emergencies </c:v>
                </c:pt>
                <c:pt idx="3">
                  <c:v>Pediatric emergencies </c:v>
                </c:pt>
                <c:pt idx="4">
                  <c:v>Other Please specify</c:v>
                </c:pt>
              </c:strCache>
            </c:strRef>
          </c:cat>
          <c:val>
            <c:numRef>
              <c:f>Sheet2!$M$2:$M$6</c:f>
              <c:numCache>
                <c:formatCode>General</c:formatCode>
                <c:ptCount val="5"/>
                <c:pt idx="0">
                  <c:v>208</c:v>
                </c:pt>
                <c:pt idx="1">
                  <c:v>154</c:v>
                </c:pt>
                <c:pt idx="2">
                  <c:v>84</c:v>
                </c:pt>
                <c:pt idx="3">
                  <c:v>126</c:v>
                </c:pt>
                <c:pt idx="4">
                  <c:v>30</c:v>
                </c:pt>
              </c:numCache>
            </c:numRef>
          </c:val>
          <c:extLst>
            <c:ext xmlns:c16="http://schemas.microsoft.com/office/drawing/2014/chart" uri="{C3380CC4-5D6E-409C-BE32-E72D297353CC}">
              <c16:uniqueId val="{00000000-D0D4-4AA5-AE1D-908BEB881D52}"/>
            </c:ext>
          </c:extLst>
        </c:ser>
        <c:dLbls>
          <c:showLegendKey val="0"/>
          <c:showVal val="0"/>
          <c:showCatName val="0"/>
          <c:showSerName val="0"/>
          <c:showPercent val="0"/>
          <c:showBubbleSize val="0"/>
        </c:dLbls>
        <c:gapWidth val="150"/>
        <c:overlap val="100"/>
        <c:axId val="1922342400"/>
        <c:axId val="1922342944"/>
      </c:barChart>
      <c:catAx>
        <c:axId val="192234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42944"/>
        <c:crosses val="autoZero"/>
        <c:auto val="1"/>
        <c:lblAlgn val="ctr"/>
        <c:lblOffset val="100"/>
        <c:noMultiLvlLbl val="0"/>
      </c:catAx>
      <c:valAx>
        <c:axId val="192234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42400"/>
        <c:crosses val="autoZero"/>
        <c:crossBetween val="between"/>
      </c:valAx>
      <c:spPr>
        <a:noFill/>
        <a:ln>
          <a:noFill/>
        </a:ln>
        <a:effectLst/>
      </c:spPr>
    </c:plotArea>
    <c:plotVisOnly val="1"/>
    <c:dispBlanksAs val="gap"/>
    <c:showDLblsOverMax val="0"/>
    <c:extLst>
      <c:ext uri="{0b15fc19-7d7d-44ad-8c2d-2c3a37ce22c3}">
        <chartProps xmlns="https://web.wps.cn/et/2018/main" chartId="{9ff0e59f-ef6a-4669-8746-5325e682d7f5}"/>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Barriers Faced in Managing Emergencies</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Sheet2!$I$2:$I$8</c:f>
              <c:strCache>
                <c:ptCount val="7"/>
                <c:pt idx="0">
                  <c:v>Lack training</c:v>
                </c:pt>
                <c:pt idx="1">
                  <c:v>Shortage staff</c:v>
                </c:pt>
                <c:pt idx="2">
                  <c:v>Inadequate edical equipment in the hospital </c:v>
                </c:pt>
                <c:pt idx="3">
                  <c:v>Communication issues</c:v>
                </c:pt>
                <c:pt idx="4">
                  <c:v>Delayed access specialist care</c:v>
                </c:pt>
                <c:pt idx="5">
                  <c:v>Lack support management</c:v>
                </c:pt>
                <c:pt idx="6">
                  <c:v>Others</c:v>
                </c:pt>
              </c:strCache>
            </c:strRef>
          </c:cat>
          <c:val>
            <c:numRef>
              <c:f>Sheet2!$J$2:$J$8</c:f>
              <c:numCache>
                <c:formatCode>General</c:formatCode>
                <c:ptCount val="7"/>
                <c:pt idx="0">
                  <c:v>128</c:v>
                </c:pt>
                <c:pt idx="1">
                  <c:v>196</c:v>
                </c:pt>
                <c:pt idx="2">
                  <c:v>182</c:v>
                </c:pt>
                <c:pt idx="3">
                  <c:v>72</c:v>
                </c:pt>
                <c:pt idx="4">
                  <c:v>114</c:v>
                </c:pt>
                <c:pt idx="5">
                  <c:v>72</c:v>
                </c:pt>
                <c:pt idx="6">
                  <c:v>14</c:v>
                </c:pt>
              </c:numCache>
            </c:numRef>
          </c:val>
          <c:extLst>
            <c:ext xmlns:c16="http://schemas.microsoft.com/office/drawing/2014/chart" uri="{C3380CC4-5D6E-409C-BE32-E72D297353CC}">
              <c16:uniqueId val="{00000000-9C1E-45D5-9568-DEADA28A1D50}"/>
            </c:ext>
          </c:extLst>
        </c:ser>
        <c:dLbls>
          <c:showLegendKey val="0"/>
          <c:showVal val="0"/>
          <c:showCatName val="0"/>
          <c:showSerName val="0"/>
          <c:showPercent val="0"/>
          <c:showBubbleSize val="0"/>
        </c:dLbls>
        <c:gapWidth val="150"/>
        <c:overlap val="100"/>
        <c:axId val="1922330976"/>
        <c:axId val="1922332064"/>
      </c:barChart>
      <c:catAx>
        <c:axId val="192233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32064"/>
        <c:crosses val="autoZero"/>
        <c:auto val="1"/>
        <c:lblAlgn val="ctr"/>
        <c:lblOffset val="100"/>
        <c:noMultiLvlLbl val="0"/>
      </c:catAx>
      <c:valAx>
        <c:axId val="192233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30976"/>
        <c:crosses val="autoZero"/>
        <c:crossBetween val="between"/>
      </c:valAx>
      <c:spPr>
        <a:noFill/>
        <a:ln>
          <a:noFill/>
        </a:ln>
        <a:effectLst/>
      </c:spPr>
    </c:plotArea>
    <c:plotVisOnly val="1"/>
    <c:dispBlanksAs val="gap"/>
    <c:showDLblsOverMax val="0"/>
    <c:extLst>
      <c:ext uri="{0b15fc19-7d7d-44ad-8c2d-2c3a37ce22c3}">
        <chartProps xmlns="https://web.wps.cn/et/2018/main" chartId="{9d9234fa-24f0-4c62-830f-ec65dbb14f2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Participants opinion on factors to improve emergency care</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Sheet2!$E$2:$E$6</c:f>
              <c:strCache>
                <c:ptCount val="5"/>
                <c:pt idx="0">
                  <c:v>Additional training education</c:v>
                </c:pt>
                <c:pt idx="1">
                  <c:v>improvement Increased staffing</c:v>
                </c:pt>
                <c:pt idx="2">
                  <c:v>Better access emergency equipment</c:v>
                </c:pt>
                <c:pt idx="3">
                  <c:v>communication systems</c:v>
                </c:pt>
                <c:pt idx="4">
                  <c:v>improvements Regular emergency drills</c:v>
                </c:pt>
              </c:strCache>
            </c:strRef>
          </c:cat>
          <c:val>
            <c:numRef>
              <c:f>Sheet2!$F$2:$F$6</c:f>
              <c:numCache>
                <c:formatCode>General</c:formatCode>
                <c:ptCount val="5"/>
                <c:pt idx="0">
                  <c:v>210</c:v>
                </c:pt>
                <c:pt idx="1">
                  <c:v>210</c:v>
                </c:pt>
                <c:pt idx="2">
                  <c:v>210</c:v>
                </c:pt>
                <c:pt idx="3">
                  <c:v>142</c:v>
                </c:pt>
                <c:pt idx="4">
                  <c:v>168</c:v>
                </c:pt>
              </c:numCache>
            </c:numRef>
          </c:val>
          <c:extLst>
            <c:ext xmlns:c16="http://schemas.microsoft.com/office/drawing/2014/chart" uri="{C3380CC4-5D6E-409C-BE32-E72D297353CC}">
              <c16:uniqueId val="{00000000-1499-4E3B-AF4C-1F59AC908101}"/>
            </c:ext>
          </c:extLst>
        </c:ser>
        <c:dLbls>
          <c:showLegendKey val="0"/>
          <c:showVal val="0"/>
          <c:showCatName val="0"/>
          <c:showSerName val="0"/>
          <c:showPercent val="0"/>
          <c:showBubbleSize val="0"/>
        </c:dLbls>
        <c:gapWidth val="150"/>
        <c:overlap val="100"/>
        <c:axId val="1693953872"/>
        <c:axId val="1693954960"/>
      </c:barChart>
      <c:catAx>
        <c:axId val="169395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54960"/>
        <c:crosses val="autoZero"/>
        <c:auto val="1"/>
        <c:lblAlgn val="ctr"/>
        <c:lblOffset val="100"/>
        <c:noMultiLvlLbl val="0"/>
      </c:catAx>
      <c:valAx>
        <c:axId val="169395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53872"/>
        <c:crosses val="autoZero"/>
        <c:crossBetween val="between"/>
      </c:valAx>
      <c:spPr>
        <a:noFill/>
        <a:ln>
          <a:noFill/>
        </a:ln>
        <a:effectLst/>
      </c:spPr>
    </c:plotArea>
    <c:plotVisOnly val="1"/>
    <c:dispBlanksAs val="gap"/>
    <c:showDLblsOverMax val="0"/>
    <c:extLst>
      <c:ext uri="{0b15fc19-7d7d-44ad-8c2d-2c3a37ce22c3}">
        <chartProps xmlns="https://web.wps.cn/et/2018/main" chartId="{16ae36c2-99a9-40fd-a7f6-dbc229bf917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Recommendations to improve emergency management</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Sheet2!$A$2:$A$6</c:f>
              <c:strCache>
                <c:ptCount val="5"/>
                <c:pt idx="0">
                  <c:v>More medical equipment supplies  </c:v>
                </c:pt>
                <c:pt idx="1">
                  <c:v>Regular training healthcare staff </c:v>
                </c:pt>
                <c:pt idx="2">
                  <c:v>Better referral systems transportation </c:v>
                </c:pt>
                <c:pt idx="3">
                  <c:v>Increased staffing </c:v>
                </c:pt>
                <c:pt idx="4">
                  <c:v>Improved communication systems</c:v>
                </c:pt>
              </c:strCache>
            </c:strRef>
          </c:cat>
          <c:val>
            <c:numRef>
              <c:f>Sheet2!$B$2:$B$6</c:f>
              <c:numCache>
                <c:formatCode>General</c:formatCode>
                <c:ptCount val="5"/>
                <c:pt idx="0">
                  <c:v>210</c:v>
                </c:pt>
                <c:pt idx="1">
                  <c:v>184</c:v>
                </c:pt>
                <c:pt idx="2">
                  <c:v>182</c:v>
                </c:pt>
                <c:pt idx="3">
                  <c:v>170</c:v>
                </c:pt>
                <c:pt idx="4">
                  <c:v>86</c:v>
                </c:pt>
              </c:numCache>
            </c:numRef>
          </c:val>
          <c:extLst>
            <c:ext xmlns:c16="http://schemas.microsoft.com/office/drawing/2014/chart" uri="{C3380CC4-5D6E-409C-BE32-E72D297353CC}">
              <c16:uniqueId val="{00000000-7737-4DA8-8AB0-2136E078F9AE}"/>
            </c:ext>
          </c:extLst>
        </c:ser>
        <c:dLbls>
          <c:showLegendKey val="0"/>
          <c:showVal val="0"/>
          <c:showCatName val="0"/>
          <c:showSerName val="0"/>
          <c:showPercent val="0"/>
          <c:showBubbleSize val="0"/>
        </c:dLbls>
        <c:gapWidth val="150"/>
        <c:overlap val="100"/>
        <c:axId val="1693946800"/>
        <c:axId val="1693955504"/>
      </c:barChart>
      <c:catAx>
        <c:axId val="169394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55504"/>
        <c:crosses val="autoZero"/>
        <c:auto val="1"/>
        <c:lblAlgn val="ctr"/>
        <c:lblOffset val="100"/>
        <c:noMultiLvlLbl val="0"/>
      </c:catAx>
      <c:valAx>
        <c:axId val="169395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46800"/>
        <c:crosses val="autoZero"/>
        <c:crossBetween val="between"/>
      </c:valAx>
      <c:spPr>
        <a:noFill/>
        <a:ln>
          <a:noFill/>
        </a:ln>
        <a:effectLst/>
      </c:spPr>
    </c:plotArea>
    <c:plotVisOnly val="1"/>
    <c:dispBlanksAs val="gap"/>
    <c:showDLblsOverMax val="0"/>
    <c:extLst>
      <c:ext uri="{0b15fc19-7d7d-44ad-8c2d-2c3a37ce22c3}">
        <chartProps xmlns="https://web.wps.cn/et/2018/main" chartId="{c251170d-6b67-48b3-8dd6-78a1875d2ed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4D322BF-34C2-418F-BEC3-1CDB6C122297}" type="doc">
      <dgm:prSet loTypeId="urn:microsoft.com/office/officeart/2005/8/layout/process4" loCatId="list" qsTypeId="urn:microsoft.com/office/officeart/2005/8/quickstyle/simple1#1" qsCatId="simple" csTypeId="urn:microsoft.com/office/officeart/2005/8/colors/accent1_2#1" csCatId="accent1" phldr="1"/>
      <dgm:spPr/>
      <dgm:t>
        <a:bodyPr/>
        <a:lstStyle/>
        <a:p>
          <a:endParaRPr lang="en-US"/>
        </a:p>
      </dgm:t>
    </dgm:pt>
    <dgm:pt modelId="{EDD920DF-63B3-4A56-8493-B57488B2E824}">
      <dgm:prSet phldrT="[Text]"/>
      <dgm:spPr/>
      <dgm:t>
        <a:bodyPr/>
        <a:lstStyle/>
        <a:p>
          <a:r>
            <a:rPr lang="en-US"/>
            <a:t>EMERGENCY CARE iNPUTS</a:t>
          </a:r>
        </a:p>
      </dgm:t>
    </dgm:pt>
    <dgm:pt modelId="{F028A4A4-AFBF-4D40-A96F-42C0B47FD093}" type="parTrans" cxnId="{8D5BD764-E2FE-4DEC-8B56-07170C4408A8}">
      <dgm:prSet/>
      <dgm:spPr/>
      <dgm:t>
        <a:bodyPr/>
        <a:lstStyle/>
        <a:p>
          <a:endParaRPr lang="en-US"/>
        </a:p>
      </dgm:t>
    </dgm:pt>
    <dgm:pt modelId="{B5E42BED-580C-435F-B7CC-B99DCAFC6E87}" type="sibTrans" cxnId="{8D5BD764-E2FE-4DEC-8B56-07170C4408A8}">
      <dgm:prSet/>
      <dgm:spPr/>
      <dgm:t>
        <a:bodyPr/>
        <a:lstStyle/>
        <a:p>
          <a:endParaRPr lang="en-US"/>
        </a:p>
      </dgm:t>
    </dgm:pt>
    <dgm:pt modelId="{42CA4020-50F2-405C-9C10-C6DA23E001D0}">
      <dgm:prSet phldrT="[Text]"/>
      <dgm:spPr/>
      <dgm:t>
        <a:bodyPr/>
        <a:lstStyle/>
        <a:p>
          <a:r>
            <a:rPr lang="en-US"/>
            <a:t>STAFF PREPARADNESS</a:t>
          </a:r>
        </a:p>
      </dgm:t>
    </dgm:pt>
    <dgm:pt modelId="{F60FBA64-D0AF-4680-9CD2-8090327535E7}" type="parTrans" cxnId="{868CEFF8-BDEB-4BBA-B121-6A08FBC376FB}">
      <dgm:prSet/>
      <dgm:spPr/>
      <dgm:t>
        <a:bodyPr/>
        <a:lstStyle/>
        <a:p>
          <a:endParaRPr lang="en-US"/>
        </a:p>
      </dgm:t>
    </dgm:pt>
    <dgm:pt modelId="{B1E4569E-C6AD-4173-9778-EE95587545A2}" type="sibTrans" cxnId="{868CEFF8-BDEB-4BBA-B121-6A08FBC376FB}">
      <dgm:prSet/>
      <dgm:spPr/>
      <dgm:t>
        <a:bodyPr/>
        <a:lstStyle/>
        <a:p>
          <a:endParaRPr lang="en-US"/>
        </a:p>
      </dgm:t>
    </dgm:pt>
    <dgm:pt modelId="{EAD74369-7D08-4A54-B673-1B96358A2E06}">
      <dgm:prSet phldrT="[Text]"/>
      <dgm:spPr/>
      <dgm:t>
        <a:bodyPr/>
        <a:lstStyle/>
        <a:p>
          <a:r>
            <a:rPr lang="en-US"/>
            <a:t>EMERGENCY RESPONSE</a:t>
          </a:r>
        </a:p>
      </dgm:t>
    </dgm:pt>
    <dgm:pt modelId="{18A0DDFD-1191-4D50-B60D-52507611384B}" type="parTrans" cxnId="{4C0A08E9-4236-473F-8F36-0E703C661513}">
      <dgm:prSet/>
      <dgm:spPr/>
      <dgm:t>
        <a:bodyPr/>
        <a:lstStyle/>
        <a:p>
          <a:endParaRPr lang="en-US"/>
        </a:p>
      </dgm:t>
    </dgm:pt>
    <dgm:pt modelId="{9F77CE51-8A21-4F31-AAC8-41383F94AE32}" type="sibTrans" cxnId="{4C0A08E9-4236-473F-8F36-0E703C661513}">
      <dgm:prSet/>
      <dgm:spPr/>
      <dgm:t>
        <a:bodyPr/>
        <a:lstStyle/>
        <a:p>
          <a:endParaRPr lang="en-US"/>
        </a:p>
      </dgm:t>
    </dgm:pt>
    <dgm:pt modelId="{6612B16F-55B2-4E47-8A5F-BAEF9E8E6824}">
      <dgm:prSet phldrT="[Text]"/>
      <dgm:spPr/>
      <dgm:t>
        <a:bodyPr/>
        <a:lstStyle/>
        <a:p>
          <a:r>
            <a:rPr lang="en-US"/>
            <a:t>           Capacity at PHC Level</a:t>
          </a:r>
        </a:p>
      </dgm:t>
    </dgm:pt>
    <dgm:pt modelId="{70A969A9-3916-44C9-9D22-D05731220EF7}" type="parTrans" cxnId="{DE58E5E8-1069-45EF-94B8-A3A29A7D1EAD}">
      <dgm:prSet/>
      <dgm:spPr/>
      <dgm:t>
        <a:bodyPr/>
        <a:lstStyle/>
        <a:p>
          <a:endParaRPr lang="en-US"/>
        </a:p>
      </dgm:t>
    </dgm:pt>
    <dgm:pt modelId="{C891653E-4590-4B99-A7ED-9995334C8133}" type="sibTrans" cxnId="{DE58E5E8-1069-45EF-94B8-A3A29A7D1EAD}">
      <dgm:prSet/>
      <dgm:spPr/>
      <dgm:t>
        <a:bodyPr/>
        <a:lstStyle/>
        <a:p>
          <a:endParaRPr lang="en-US"/>
        </a:p>
      </dgm:t>
    </dgm:pt>
    <dgm:pt modelId="{1CA2A4E7-5D93-446B-9F7A-DFA1EA95E368}">
      <dgm:prSet/>
      <dgm:spPr/>
      <dgm:t>
        <a:bodyPr/>
        <a:lstStyle/>
        <a:p>
          <a:r>
            <a:rPr lang="en-US"/>
            <a:t> (Drugs, Equipment, and HR)   </a:t>
          </a:r>
        </a:p>
      </dgm:t>
    </dgm:pt>
    <dgm:pt modelId="{871C4014-CC07-4175-843F-DFDC65ED76C5}" type="parTrans" cxnId="{D2B8B7A6-6FE4-48BF-A718-7A32AECA68C1}">
      <dgm:prSet/>
      <dgm:spPr/>
      <dgm:t>
        <a:bodyPr/>
        <a:lstStyle/>
        <a:p>
          <a:endParaRPr lang="en-US"/>
        </a:p>
      </dgm:t>
    </dgm:pt>
    <dgm:pt modelId="{AC3722F7-7D8C-46CE-8F95-25DDCDDD94F1}" type="sibTrans" cxnId="{D2B8B7A6-6FE4-48BF-A718-7A32AECA68C1}">
      <dgm:prSet/>
      <dgm:spPr/>
      <dgm:t>
        <a:bodyPr/>
        <a:lstStyle/>
        <a:p>
          <a:endParaRPr lang="en-US"/>
        </a:p>
      </dgm:t>
    </dgm:pt>
    <dgm:pt modelId="{1E94BE56-565E-4445-81E8-C8F5A32416AA}">
      <dgm:prSet/>
      <dgm:spPr/>
      <dgm:t>
        <a:bodyPr/>
        <a:lstStyle/>
        <a:p>
          <a:r>
            <a:rPr lang="en-US"/>
            <a:t> ( Knowledge, Skills, Protocols) </a:t>
          </a:r>
        </a:p>
      </dgm:t>
    </dgm:pt>
    <dgm:pt modelId="{062D375D-7C39-4E44-A7EF-D8E2D8C5533C}" type="parTrans" cxnId="{BB439784-A90D-4FE0-811D-9F0761217F7D}">
      <dgm:prSet/>
      <dgm:spPr/>
      <dgm:t>
        <a:bodyPr/>
        <a:lstStyle/>
        <a:p>
          <a:endParaRPr lang="en-US"/>
        </a:p>
      </dgm:t>
    </dgm:pt>
    <dgm:pt modelId="{2285C172-8212-41A9-8E3D-5C4F5DC8E533}" type="sibTrans" cxnId="{BB439784-A90D-4FE0-811D-9F0761217F7D}">
      <dgm:prSet/>
      <dgm:spPr/>
      <dgm:t>
        <a:bodyPr/>
        <a:lstStyle/>
        <a:p>
          <a:endParaRPr lang="en-US"/>
        </a:p>
      </dgm:t>
    </dgm:pt>
    <dgm:pt modelId="{92824CED-C15E-4A0A-91C5-E7F74188EF18}" type="pres">
      <dgm:prSet presAssocID="{74D322BF-34C2-418F-BEC3-1CDB6C122297}" presName="Name0" presStyleCnt="0">
        <dgm:presLayoutVars>
          <dgm:dir/>
          <dgm:animLvl val="lvl"/>
          <dgm:resizeHandles val="exact"/>
        </dgm:presLayoutVars>
      </dgm:prSet>
      <dgm:spPr/>
    </dgm:pt>
    <dgm:pt modelId="{0675241F-3C6B-4DFA-9658-093C64333729}" type="pres">
      <dgm:prSet presAssocID="{EAD74369-7D08-4A54-B673-1B96358A2E06}" presName="boxAndChildren" presStyleCnt="0"/>
      <dgm:spPr/>
    </dgm:pt>
    <dgm:pt modelId="{E2349818-E0A3-4A3A-B432-93B9FAE0F034}" type="pres">
      <dgm:prSet presAssocID="{EAD74369-7D08-4A54-B673-1B96358A2E06}" presName="parentTextBox" presStyleLbl="node1" presStyleIdx="0" presStyleCnt="3"/>
      <dgm:spPr/>
    </dgm:pt>
    <dgm:pt modelId="{6B81DBB4-F009-4CA1-A5E7-3B1E171B5E83}" type="pres">
      <dgm:prSet presAssocID="{EAD74369-7D08-4A54-B673-1B96358A2E06}" presName="entireBox" presStyleLbl="node1" presStyleIdx="0" presStyleCnt="3"/>
      <dgm:spPr/>
    </dgm:pt>
    <dgm:pt modelId="{6C3813C8-FADC-4AF1-8F90-C5510804B07A}" type="pres">
      <dgm:prSet presAssocID="{EAD74369-7D08-4A54-B673-1B96358A2E06}" presName="descendantBox" presStyleCnt="0"/>
      <dgm:spPr/>
    </dgm:pt>
    <dgm:pt modelId="{C9A376A9-A17E-40B2-80A5-9F0D0F0135B1}" type="pres">
      <dgm:prSet presAssocID="{6612B16F-55B2-4E47-8A5F-BAEF9E8E6824}" presName="childTextBox" presStyleLbl="fgAccFollowNode1" presStyleIdx="0" presStyleCnt="3" custLinFactNeighborX="1568" custLinFactNeighborY="9027">
        <dgm:presLayoutVars>
          <dgm:bulletEnabled val="1"/>
        </dgm:presLayoutVars>
      </dgm:prSet>
      <dgm:spPr/>
    </dgm:pt>
    <dgm:pt modelId="{3FB5F805-5387-4590-BABE-8B669C7CEE24}" type="pres">
      <dgm:prSet presAssocID="{B1E4569E-C6AD-4173-9778-EE95587545A2}" presName="sp" presStyleCnt="0"/>
      <dgm:spPr/>
    </dgm:pt>
    <dgm:pt modelId="{51D6C2AC-C434-40ED-BFC2-CD7777BA92AC}" type="pres">
      <dgm:prSet presAssocID="{42CA4020-50F2-405C-9C10-C6DA23E001D0}" presName="arrowAndChildren" presStyleCnt="0"/>
      <dgm:spPr/>
    </dgm:pt>
    <dgm:pt modelId="{19207CEC-7A5C-4FDD-A972-33D483633FBA}" type="pres">
      <dgm:prSet presAssocID="{42CA4020-50F2-405C-9C10-C6DA23E001D0}" presName="parentTextArrow" presStyleLbl="node1" presStyleIdx="0" presStyleCnt="3"/>
      <dgm:spPr/>
    </dgm:pt>
    <dgm:pt modelId="{BFC86DDA-31D9-47A2-ABCE-B50CC9CED810}" type="pres">
      <dgm:prSet presAssocID="{42CA4020-50F2-405C-9C10-C6DA23E001D0}" presName="arrow" presStyleLbl="node1" presStyleIdx="1" presStyleCnt="3"/>
      <dgm:spPr/>
    </dgm:pt>
    <dgm:pt modelId="{6B208DD4-4B4D-41E1-B3BB-4A65E7C6DC6F}" type="pres">
      <dgm:prSet presAssocID="{42CA4020-50F2-405C-9C10-C6DA23E001D0}" presName="descendantArrow" presStyleCnt="0"/>
      <dgm:spPr/>
    </dgm:pt>
    <dgm:pt modelId="{8AB48CEC-9E26-4B12-BB6D-DB809B570E80}" type="pres">
      <dgm:prSet presAssocID="{1E94BE56-565E-4445-81E8-C8F5A32416AA}" presName="childTextArrow" presStyleLbl="fgAccFollowNode1" presStyleIdx="1" presStyleCnt="3">
        <dgm:presLayoutVars>
          <dgm:bulletEnabled val="1"/>
        </dgm:presLayoutVars>
      </dgm:prSet>
      <dgm:spPr/>
    </dgm:pt>
    <dgm:pt modelId="{179E8403-1E3C-4902-A936-000C2906D710}" type="pres">
      <dgm:prSet presAssocID="{B5E42BED-580C-435F-B7CC-B99DCAFC6E87}" presName="sp" presStyleCnt="0"/>
      <dgm:spPr/>
    </dgm:pt>
    <dgm:pt modelId="{1F373E6E-5C0A-4FFE-982C-0DD605B14468}" type="pres">
      <dgm:prSet presAssocID="{EDD920DF-63B3-4A56-8493-B57488B2E824}" presName="arrowAndChildren" presStyleCnt="0"/>
      <dgm:spPr/>
    </dgm:pt>
    <dgm:pt modelId="{BDAE6BDF-751E-4BFE-903A-9E31FA7AF85E}" type="pres">
      <dgm:prSet presAssocID="{EDD920DF-63B3-4A56-8493-B57488B2E824}" presName="parentTextArrow" presStyleLbl="node1" presStyleIdx="1" presStyleCnt="3"/>
      <dgm:spPr/>
    </dgm:pt>
    <dgm:pt modelId="{3B739471-C9F0-4AD8-BEF3-47558E5A2A40}" type="pres">
      <dgm:prSet presAssocID="{EDD920DF-63B3-4A56-8493-B57488B2E824}" presName="arrow" presStyleLbl="node1" presStyleIdx="2" presStyleCnt="3"/>
      <dgm:spPr/>
    </dgm:pt>
    <dgm:pt modelId="{42029E43-4E4B-4CBA-ADB4-0EE34F79C57E}" type="pres">
      <dgm:prSet presAssocID="{EDD920DF-63B3-4A56-8493-B57488B2E824}" presName="descendantArrow" presStyleCnt="0"/>
      <dgm:spPr/>
    </dgm:pt>
    <dgm:pt modelId="{7D458697-5384-4E5F-BC1E-04A1FFC8DAC3}" type="pres">
      <dgm:prSet presAssocID="{1CA2A4E7-5D93-446B-9F7A-DFA1EA95E368}" presName="childTextArrow" presStyleLbl="fgAccFollowNode1" presStyleIdx="2" presStyleCnt="3" custScaleX="1258419" custScaleY="93589" custLinFactNeighborX="-49305" custLinFactNeighborY="2619">
        <dgm:presLayoutVars>
          <dgm:bulletEnabled val="1"/>
        </dgm:presLayoutVars>
      </dgm:prSet>
      <dgm:spPr/>
    </dgm:pt>
  </dgm:ptLst>
  <dgm:cxnLst>
    <dgm:cxn modelId="{EBBC7A1B-BF75-4571-B085-83704FD72F2C}" type="presOf" srcId="{1E94BE56-565E-4445-81E8-C8F5A32416AA}" destId="{8AB48CEC-9E26-4B12-BB6D-DB809B570E80}" srcOrd="0" destOrd="0" presId="urn:microsoft.com/office/officeart/2005/8/layout/process4"/>
    <dgm:cxn modelId="{DF5B4235-E89A-4A49-A2D6-87B6AB9EFED9}" type="presOf" srcId="{EAD74369-7D08-4A54-B673-1B96358A2E06}" destId="{6B81DBB4-F009-4CA1-A5E7-3B1E171B5E83}" srcOrd="1" destOrd="0" presId="urn:microsoft.com/office/officeart/2005/8/layout/process4"/>
    <dgm:cxn modelId="{9DB09639-A633-418A-9ADC-E9F6968826D0}" type="presOf" srcId="{74D322BF-34C2-418F-BEC3-1CDB6C122297}" destId="{92824CED-C15E-4A0A-91C5-E7F74188EF18}" srcOrd="0" destOrd="0" presId="urn:microsoft.com/office/officeart/2005/8/layout/process4"/>
    <dgm:cxn modelId="{8D5BD764-E2FE-4DEC-8B56-07170C4408A8}" srcId="{74D322BF-34C2-418F-BEC3-1CDB6C122297}" destId="{EDD920DF-63B3-4A56-8493-B57488B2E824}" srcOrd="0" destOrd="0" parTransId="{F028A4A4-AFBF-4D40-A96F-42C0B47FD093}" sibTransId="{B5E42BED-580C-435F-B7CC-B99DCAFC6E87}"/>
    <dgm:cxn modelId="{5B334E6A-0D01-418D-B3A7-2E188424568C}" type="presOf" srcId="{EDD920DF-63B3-4A56-8493-B57488B2E824}" destId="{BDAE6BDF-751E-4BFE-903A-9E31FA7AF85E}" srcOrd="0" destOrd="0" presId="urn:microsoft.com/office/officeart/2005/8/layout/process4"/>
    <dgm:cxn modelId="{2883E353-C6A7-4C99-A7A7-46338DC12607}" type="presOf" srcId="{6612B16F-55B2-4E47-8A5F-BAEF9E8E6824}" destId="{C9A376A9-A17E-40B2-80A5-9F0D0F0135B1}" srcOrd="0" destOrd="0" presId="urn:microsoft.com/office/officeart/2005/8/layout/process4"/>
    <dgm:cxn modelId="{BB439784-A90D-4FE0-811D-9F0761217F7D}" srcId="{42CA4020-50F2-405C-9C10-C6DA23E001D0}" destId="{1E94BE56-565E-4445-81E8-C8F5A32416AA}" srcOrd="0" destOrd="0" parTransId="{062D375D-7C39-4E44-A7EF-D8E2D8C5533C}" sibTransId="{2285C172-8212-41A9-8E3D-5C4F5DC8E533}"/>
    <dgm:cxn modelId="{2499D19A-7870-4E5C-854E-EEA1B12A19DC}" type="presOf" srcId="{42CA4020-50F2-405C-9C10-C6DA23E001D0}" destId="{BFC86DDA-31D9-47A2-ABCE-B50CC9CED810}" srcOrd="1" destOrd="0" presId="urn:microsoft.com/office/officeart/2005/8/layout/process4"/>
    <dgm:cxn modelId="{D2B8B7A6-6FE4-48BF-A718-7A32AECA68C1}" srcId="{EDD920DF-63B3-4A56-8493-B57488B2E824}" destId="{1CA2A4E7-5D93-446B-9F7A-DFA1EA95E368}" srcOrd="0" destOrd="0" parTransId="{871C4014-CC07-4175-843F-DFDC65ED76C5}" sibTransId="{AC3722F7-7D8C-46CE-8F95-25DDCDDD94F1}"/>
    <dgm:cxn modelId="{0F181DCE-AA1B-4CFF-A820-A892E1EF62D6}" type="presOf" srcId="{EAD74369-7D08-4A54-B673-1B96358A2E06}" destId="{E2349818-E0A3-4A3A-B432-93B9FAE0F034}" srcOrd="0" destOrd="0" presId="urn:microsoft.com/office/officeart/2005/8/layout/process4"/>
    <dgm:cxn modelId="{596394D6-CC06-4A22-B521-184E1FC7603C}" type="presOf" srcId="{EDD920DF-63B3-4A56-8493-B57488B2E824}" destId="{3B739471-C9F0-4AD8-BEF3-47558E5A2A40}" srcOrd="1" destOrd="0" presId="urn:microsoft.com/office/officeart/2005/8/layout/process4"/>
    <dgm:cxn modelId="{FB4A2DD8-CC63-4BAB-AFC9-9378E5AE63E8}" type="presOf" srcId="{42CA4020-50F2-405C-9C10-C6DA23E001D0}" destId="{19207CEC-7A5C-4FDD-A972-33D483633FBA}" srcOrd="0" destOrd="0" presId="urn:microsoft.com/office/officeart/2005/8/layout/process4"/>
    <dgm:cxn modelId="{DE58E5E8-1069-45EF-94B8-A3A29A7D1EAD}" srcId="{EAD74369-7D08-4A54-B673-1B96358A2E06}" destId="{6612B16F-55B2-4E47-8A5F-BAEF9E8E6824}" srcOrd="0" destOrd="0" parTransId="{70A969A9-3916-44C9-9D22-D05731220EF7}" sibTransId="{C891653E-4590-4B99-A7ED-9995334C8133}"/>
    <dgm:cxn modelId="{4C0A08E9-4236-473F-8F36-0E703C661513}" srcId="{74D322BF-34C2-418F-BEC3-1CDB6C122297}" destId="{EAD74369-7D08-4A54-B673-1B96358A2E06}" srcOrd="2" destOrd="0" parTransId="{18A0DDFD-1191-4D50-B60D-52507611384B}" sibTransId="{9F77CE51-8A21-4F31-AAC8-41383F94AE32}"/>
    <dgm:cxn modelId="{25B277ED-CC1A-42D3-89D3-6C986701D40D}" type="presOf" srcId="{1CA2A4E7-5D93-446B-9F7A-DFA1EA95E368}" destId="{7D458697-5384-4E5F-BC1E-04A1FFC8DAC3}" srcOrd="0" destOrd="0" presId="urn:microsoft.com/office/officeart/2005/8/layout/process4"/>
    <dgm:cxn modelId="{868CEFF8-BDEB-4BBA-B121-6A08FBC376FB}" srcId="{74D322BF-34C2-418F-BEC3-1CDB6C122297}" destId="{42CA4020-50F2-405C-9C10-C6DA23E001D0}" srcOrd="1" destOrd="0" parTransId="{F60FBA64-D0AF-4680-9CD2-8090327535E7}" sibTransId="{B1E4569E-C6AD-4173-9778-EE95587545A2}"/>
    <dgm:cxn modelId="{B7DB8AEA-614F-45BC-8969-9DA24EA9F27D}" type="presParOf" srcId="{92824CED-C15E-4A0A-91C5-E7F74188EF18}" destId="{0675241F-3C6B-4DFA-9658-093C64333729}" srcOrd="0" destOrd="0" presId="urn:microsoft.com/office/officeart/2005/8/layout/process4"/>
    <dgm:cxn modelId="{BC2FCE85-F99D-4019-8EFF-EBE3DCF3CE35}" type="presParOf" srcId="{0675241F-3C6B-4DFA-9658-093C64333729}" destId="{E2349818-E0A3-4A3A-B432-93B9FAE0F034}" srcOrd="0" destOrd="0" presId="urn:microsoft.com/office/officeart/2005/8/layout/process4"/>
    <dgm:cxn modelId="{0618AB79-9B8F-430E-AEB5-3165F86799A4}" type="presParOf" srcId="{0675241F-3C6B-4DFA-9658-093C64333729}" destId="{6B81DBB4-F009-4CA1-A5E7-3B1E171B5E83}" srcOrd="1" destOrd="0" presId="urn:microsoft.com/office/officeart/2005/8/layout/process4"/>
    <dgm:cxn modelId="{D152336C-7A67-4C6A-BDDF-E3F55F35EDE7}" type="presParOf" srcId="{0675241F-3C6B-4DFA-9658-093C64333729}" destId="{6C3813C8-FADC-4AF1-8F90-C5510804B07A}" srcOrd="2" destOrd="0" presId="urn:microsoft.com/office/officeart/2005/8/layout/process4"/>
    <dgm:cxn modelId="{6D592650-12BB-4F84-884B-360075D4A1E9}" type="presParOf" srcId="{6C3813C8-FADC-4AF1-8F90-C5510804B07A}" destId="{C9A376A9-A17E-40B2-80A5-9F0D0F0135B1}" srcOrd="0" destOrd="0" presId="urn:microsoft.com/office/officeart/2005/8/layout/process4"/>
    <dgm:cxn modelId="{D0C949D4-AFE9-4444-9C3F-B7912B1EC663}" type="presParOf" srcId="{92824CED-C15E-4A0A-91C5-E7F74188EF18}" destId="{3FB5F805-5387-4590-BABE-8B669C7CEE24}" srcOrd="1" destOrd="0" presId="urn:microsoft.com/office/officeart/2005/8/layout/process4"/>
    <dgm:cxn modelId="{1078CC19-23C1-4F4D-B2CC-3268E7C4049B}" type="presParOf" srcId="{92824CED-C15E-4A0A-91C5-E7F74188EF18}" destId="{51D6C2AC-C434-40ED-BFC2-CD7777BA92AC}" srcOrd="2" destOrd="0" presId="urn:microsoft.com/office/officeart/2005/8/layout/process4"/>
    <dgm:cxn modelId="{2E4E2B02-6283-4250-AF85-C0A076A7FBA9}" type="presParOf" srcId="{51D6C2AC-C434-40ED-BFC2-CD7777BA92AC}" destId="{19207CEC-7A5C-4FDD-A972-33D483633FBA}" srcOrd="0" destOrd="0" presId="urn:microsoft.com/office/officeart/2005/8/layout/process4"/>
    <dgm:cxn modelId="{A5573F5C-531C-4D9D-9427-A665F46AAA89}" type="presParOf" srcId="{51D6C2AC-C434-40ED-BFC2-CD7777BA92AC}" destId="{BFC86DDA-31D9-47A2-ABCE-B50CC9CED810}" srcOrd="1" destOrd="0" presId="urn:microsoft.com/office/officeart/2005/8/layout/process4"/>
    <dgm:cxn modelId="{BB694232-416C-46AE-ADBD-08F8EB6FA71E}" type="presParOf" srcId="{51D6C2AC-C434-40ED-BFC2-CD7777BA92AC}" destId="{6B208DD4-4B4D-41E1-B3BB-4A65E7C6DC6F}" srcOrd="2" destOrd="0" presId="urn:microsoft.com/office/officeart/2005/8/layout/process4"/>
    <dgm:cxn modelId="{1B60722F-0C10-41FC-95E1-925D4E73AA90}" type="presParOf" srcId="{6B208DD4-4B4D-41E1-B3BB-4A65E7C6DC6F}" destId="{8AB48CEC-9E26-4B12-BB6D-DB809B570E80}" srcOrd="0" destOrd="0" presId="urn:microsoft.com/office/officeart/2005/8/layout/process4"/>
    <dgm:cxn modelId="{18706E85-24C3-4315-8736-1AFEB261F973}" type="presParOf" srcId="{92824CED-C15E-4A0A-91C5-E7F74188EF18}" destId="{179E8403-1E3C-4902-A936-000C2906D710}" srcOrd="3" destOrd="0" presId="urn:microsoft.com/office/officeart/2005/8/layout/process4"/>
    <dgm:cxn modelId="{88ED0896-27B4-4A36-BBD4-087C9BB30AA3}" type="presParOf" srcId="{92824CED-C15E-4A0A-91C5-E7F74188EF18}" destId="{1F373E6E-5C0A-4FFE-982C-0DD605B14468}" srcOrd="4" destOrd="0" presId="urn:microsoft.com/office/officeart/2005/8/layout/process4"/>
    <dgm:cxn modelId="{72FF9B1F-84E7-4EE5-9672-A16763F692F9}" type="presParOf" srcId="{1F373E6E-5C0A-4FFE-982C-0DD605B14468}" destId="{BDAE6BDF-751E-4BFE-903A-9E31FA7AF85E}" srcOrd="0" destOrd="0" presId="urn:microsoft.com/office/officeart/2005/8/layout/process4"/>
    <dgm:cxn modelId="{30A02045-0D3B-4A16-94E2-F50B648094BA}" type="presParOf" srcId="{1F373E6E-5C0A-4FFE-982C-0DD605B14468}" destId="{3B739471-C9F0-4AD8-BEF3-47558E5A2A40}" srcOrd="1" destOrd="0" presId="urn:microsoft.com/office/officeart/2005/8/layout/process4"/>
    <dgm:cxn modelId="{8F9B74B8-04E4-4631-9C43-AF4758F7D6CE}" type="presParOf" srcId="{1F373E6E-5C0A-4FFE-982C-0DD605B14468}" destId="{42029E43-4E4B-4CBA-ADB4-0EE34F79C57E}" srcOrd="2" destOrd="0" presId="urn:microsoft.com/office/officeart/2005/8/layout/process4"/>
    <dgm:cxn modelId="{DA6DECF4-52BE-4B71-8AB7-07ECFE1924AB}" type="presParOf" srcId="{42029E43-4E4B-4CBA-ADB4-0EE34F79C57E}" destId="{7D458697-5384-4E5F-BC1E-04A1FFC8DAC3}"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4821CF-288C-4904-8DEF-5FAAE1DFD108}" type="doc">
      <dgm:prSet loTypeId="urn:microsoft.com/office/officeart/2005/8/layout/process4" loCatId="list" qsTypeId="urn:microsoft.com/office/officeart/2005/8/quickstyle/simple1#2" qsCatId="simple" csTypeId="urn:microsoft.com/office/officeart/2005/8/colors/accent1_2#2" csCatId="accent1" phldr="1"/>
      <dgm:spPr/>
      <dgm:t>
        <a:bodyPr/>
        <a:lstStyle/>
        <a:p>
          <a:endParaRPr lang="en-US"/>
        </a:p>
      </dgm:t>
    </dgm:pt>
    <dgm:pt modelId="{8C16FE29-9DB8-417C-9757-393B1803ABEB}">
      <dgm:prSet phldrT="[Text]"/>
      <dgm:spPr/>
      <dgm:t>
        <a:bodyPr/>
        <a:lstStyle/>
        <a:p>
          <a:r>
            <a:rPr lang="en-US"/>
            <a:t>IMPROVED OUTCOMS AND RECOMMENDATIONS</a:t>
          </a:r>
        </a:p>
      </dgm:t>
    </dgm:pt>
    <dgm:pt modelId="{4A0D5890-57E8-4E0A-8F8E-ABF3EEF67091}" type="parTrans" cxnId="{6F4FC43A-63B4-44B6-B0EA-95FB8050B9A9}">
      <dgm:prSet/>
      <dgm:spPr/>
      <dgm:t>
        <a:bodyPr/>
        <a:lstStyle/>
        <a:p>
          <a:endParaRPr lang="en-US"/>
        </a:p>
      </dgm:t>
    </dgm:pt>
    <dgm:pt modelId="{FB88F8A4-7CAE-4012-9C36-4277763B509C}" type="sibTrans" cxnId="{6F4FC43A-63B4-44B6-B0EA-95FB8050B9A9}">
      <dgm:prSet/>
      <dgm:spPr/>
      <dgm:t>
        <a:bodyPr/>
        <a:lstStyle/>
        <a:p>
          <a:endParaRPr lang="en-US"/>
        </a:p>
      </dgm:t>
    </dgm:pt>
    <dgm:pt modelId="{36B53C01-147A-4C9E-8D38-D57CB213DA61}">
      <dgm:prSet phldrT="[Text]"/>
      <dgm:spPr/>
      <dgm:t>
        <a:bodyPr/>
        <a:lstStyle/>
        <a:p>
          <a:r>
            <a:rPr lang="en-US"/>
            <a:t>For Strengthening system</a:t>
          </a:r>
        </a:p>
      </dgm:t>
    </dgm:pt>
    <dgm:pt modelId="{B4C948F0-D047-4FA9-9BDF-7F90203FEBDF}" type="parTrans" cxnId="{FCFEF952-4F35-498B-9453-5D20B7B04ABC}">
      <dgm:prSet/>
      <dgm:spPr/>
      <dgm:t>
        <a:bodyPr/>
        <a:lstStyle/>
        <a:p>
          <a:endParaRPr lang="en-US"/>
        </a:p>
      </dgm:t>
    </dgm:pt>
    <dgm:pt modelId="{EEEA7FE4-0EC9-40B8-9794-1D7218F79762}" type="sibTrans" cxnId="{FCFEF952-4F35-498B-9453-5D20B7B04ABC}">
      <dgm:prSet/>
      <dgm:spPr/>
      <dgm:t>
        <a:bodyPr/>
        <a:lstStyle/>
        <a:p>
          <a:endParaRPr lang="en-US"/>
        </a:p>
      </dgm:t>
    </dgm:pt>
    <dgm:pt modelId="{F8820EE3-763A-47AA-A1E7-AFA09934A626}" type="pres">
      <dgm:prSet presAssocID="{654821CF-288C-4904-8DEF-5FAAE1DFD108}" presName="Name0" presStyleCnt="0">
        <dgm:presLayoutVars>
          <dgm:dir/>
          <dgm:animLvl val="lvl"/>
          <dgm:resizeHandles val="exact"/>
        </dgm:presLayoutVars>
      </dgm:prSet>
      <dgm:spPr/>
    </dgm:pt>
    <dgm:pt modelId="{39F8B60E-0F6C-48F7-B0E0-DB5EAFB1424F}" type="pres">
      <dgm:prSet presAssocID="{8C16FE29-9DB8-417C-9757-393B1803ABEB}" presName="boxAndChildren" presStyleCnt="0"/>
      <dgm:spPr/>
    </dgm:pt>
    <dgm:pt modelId="{4C3ACBF5-05C0-4BC7-8DC1-8BE4B9A0184C}" type="pres">
      <dgm:prSet presAssocID="{8C16FE29-9DB8-417C-9757-393B1803ABEB}" presName="parentTextBox" presStyleLbl="node1" presStyleIdx="0" presStyleCnt="1"/>
      <dgm:spPr/>
    </dgm:pt>
    <dgm:pt modelId="{66875DA7-9446-44FE-8482-85489AA878AB}" type="pres">
      <dgm:prSet presAssocID="{8C16FE29-9DB8-417C-9757-393B1803ABEB}" presName="entireBox" presStyleLbl="node1" presStyleIdx="0" presStyleCnt="1" custLinFactNeighborX="-460" custLinFactNeighborY="805"/>
      <dgm:spPr/>
    </dgm:pt>
    <dgm:pt modelId="{BD577D36-D006-4977-84E2-9B58ECE9DBF1}" type="pres">
      <dgm:prSet presAssocID="{8C16FE29-9DB8-417C-9757-393B1803ABEB}" presName="descendantBox" presStyleCnt="0"/>
      <dgm:spPr/>
    </dgm:pt>
    <dgm:pt modelId="{8FF036C6-F8E8-486D-B4D5-355F178D51E9}" type="pres">
      <dgm:prSet presAssocID="{36B53C01-147A-4C9E-8D38-D57CB213DA61}" presName="childTextBox" presStyleLbl="fgAccFollowNode1" presStyleIdx="0" presStyleCnt="1">
        <dgm:presLayoutVars>
          <dgm:bulletEnabled val="1"/>
        </dgm:presLayoutVars>
      </dgm:prSet>
      <dgm:spPr/>
    </dgm:pt>
  </dgm:ptLst>
  <dgm:cxnLst>
    <dgm:cxn modelId="{6F4FC43A-63B4-44B6-B0EA-95FB8050B9A9}" srcId="{654821CF-288C-4904-8DEF-5FAAE1DFD108}" destId="{8C16FE29-9DB8-417C-9757-393B1803ABEB}" srcOrd="0" destOrd="0" parTransId="{4A0D5890-57E8-4E0A-8F8E-ABF3EEF67091}" sibTransId="{FB88F8A4-7CAE-4012-9C36-4277763B509C}"/>
    <dgm:cxn modelId="{F383AC60-EB8B-4223-B9FD-AD75EE7A262A}" type="presOf" srcId="{654821CF-288C-4904-8DEF-5FAAE1DFD108}" destId="{F8820EE3-763A-47AA-A1E7-AFA09934A626}" srcOrd="0" destOrd="0" presId="urn:microsoft.com/office/officeart/2005/8/layout/process4"/>
    <dgm:cxn modelId="{C904E050-0B0E-4B37-B774-011BFDBF78F5}" type="presOf" srcId="{8C16FE29-9DB8-417C-9757-393B1803ABEB}" destId="{66875DA7-9446-44FE-8482-85489AA878AB}" srcOrd="1" destOrd="0" presId="urn:microsoft.com/office/officeart/2005/8/layout/process4"/>
    <dgm:cxn modelId="{FCFEF952-4F35-498B-9453-5D20B7B04ABC}" srcId="{8C16FE29-9DB8-417C-9757-393B1803ABEB}" destId="{36B53C01-147A-4C9E-8D38-D57CB213DA61}" srcOrd="0" destOrd="0" parTransId="{B4C948F0-D047-4FA9-9BDF-7F90203FEBDF}" sibTransId="{EEEA7FE4-0EC9-40B8-9794-1D7218F79762}"/>
    <dgm:cxn modelId="{965F348A-EA72-47E7-BD70-0FE3EE761984}" type="presOf" srcId="{8C16FE29-9DB8-417C-9757-393B1803ABEB}" destId="{4C3ACBF5-05C0-4BC7-8DC1-8BE4B9A0184C}" srcOrd="0" destOrd="0" presId="urn:microsoft.com/office/officeart/2005/8/layout/process4"/>
    <dgm:cxn modelId="{A00990CD-2345-467E-8CE1-AEA46237AF72}" type="presOf" srcId="{36B53C01-147A-4C9E-8D38-D57CB213DA61}" destId="{8FF036C6-F8E8-486D-B4D5-355F178D51E9}" srcOrd="0" destOrd="0" presId="urn:microsoft.com/office/officeart/2005/8/layout/process4"/>
    <dgm:cxn modelId="{C261ADA4-C9E2-477B-8018-5132B4811712}" type="presParOf" srcId="{F8820EE3-763A-47AA-A1E7-AFA09934A626}" destId="{39F8B60E-0F6C-48F7-B0E0-DB5EAFB1424F}" srcOrd="0" destOrd="0" presId="urn:microsoft.com/office/officeart/2005/8/layout/process4"/>
    <dgm:cxn modelId="{A0FFFD96-ACC5-4196-9528-B07324DF7FB1}" type="presParOf" srcId="{39F8B60E-0F6C-48F7-B0E0-DB5EAFB1424F}" destId="{4C3ACBF5-05C0-4BC7-8DC1-8BE4B9A0184C}" srcOrd="0" destOrd="0" presId="urn:microsoft.com/office/officeart/2005/8/layout/process4"/>
    <dgm:cxn modelId="{B95DAFE6-2EBF-4F96-A9F5-13325CA1ADEE}" type="presParOf" srcId="{39F8B60E-0F6C-48F7-B0E0-DB5EAFB1424F}" destId="{66875DA7-9446-44FE-8482-85489AA878AB}" srcOrd="1" destOrd="0" presId="urn:microsoft.com/office/officeart/2005/8/layout/process4"/>
    <dgm:cxn modelId="{D7E2B49D-A912-4594-A816-34328A9CFD47}" type="presParOf" srcId="{39F8B60E-0F6C-48F7-B0E0-DB5EAFB1424F}" destId="{BD577D36-D006-4977-84E2-9B58ECE9DBF1}" srcOrd="2" destOrd="0" presId="urn:microsoft.com/office/officeart/2005/8/layout/process4"/>
    <dgm:cxn modelId="{6A95DE55-7605-4198-B306-EBB173A23004}" type="presParOf" srcId="{BD577D36-D006-4977-84E2-9B58ECE9DBF1}" destId="{8FF036C6-F8E8-486D-B4D5-355F178D51E9}"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1DBB4-F009-4CA1-A5E7-3B1E171B5E83}">
      <dsp:nvSpPr>
        <dsp:cNvPr id="0" name=""/>
        <dsp:cNvSpPr/>
      </dsp:nvSpPr>
      <dsp:spPr>
        <a:xfrm>
          <a:off x="0" y="2136651"/>
          <a:ext cx="6315074" cy="7012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EMERGENCY RESPONSE</a:t>
          </a:r>
        </a:p>
      </dsp:txBody>
      <dsp:txXfrm>
        <a:off x="0" y="2136651"/>
        <a:ext cx="6315074" cy="378700"/>
      </dsp:txXfrm>
    </dsp:sp>
    <dsp:sp modelId="{C9A376A9-A17E-40B2-80A5-9F0D0F0135B1}">
      <dsp:nvSpPr>
        <dsp:cNvPr id="0" name=""/>
        <dsp:cNvSpPr/>
      </dsp:nvSpPr>
      <dsp:spPr>
        <a:xfrm>
          <a:off x="0" y="2515853"/>
          <a:ext cx="6315074" cy="32259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           Capacity at PHC Level</a:t>
          </a:r>
        </a:p>
      </dsp:txBody>
      <dsp:txXfrm>
        <a:off x="0" y="2515853"/>
        <a:ext cx="6315074" cy="322596"/>
      </dsp:txXfrm>
    </dsp:sp>
    <dsp:sp modelId="{BFC86DDA-31D9-47A2-ABCE-B50CC9CED810}">
      <dsp:nvSpPr>
        <dsp:cNvPr id="0" name=""/>
        <dsp:cNvSpPr/>
      </dsp:nvSpPr>
      <dsp:spPr>
        <a:xfrm rot="10800000">
          <a:off x="0" y="1068576"/>
          <a:ext cx="6315074" cy="107859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STAFF PREPARADNESS</a:t>
          </a:r>
        </a:p>
      </dsp:txBody>
      <dsp:txXfrm rot="-10800000">
        <a:off x="0" y="1068576"/>
        <a:ext cx="6315074" cy="378586"/>
      </dsp:txXfrm>
    </dsp:sp>
    <dsp:sp modelId="{8AB48CEC-9E26-4B12-BB6D-DB809B570E80}">
      <dsp:nvSpPr>
        <dsp:cNvPr id="0" name=""/>
        <dsp:cNvSpPr/>
      </dsp:nvSpPr>
      <dsp:spPr>
        <a:xfrm>
          <a:off x="0" y="1447163"/>
          <a:ext cx="6315074" cy="3224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 ( Knowledge, Skills, Protocols) </a:t>
          </a:r>
        </a:p>
      </dsp:txBody>
      <dsp:txXfrm>
        <a:off x="0" y="1447163"/>
        <a:ext cx="6315074" cy="322499"/>
      </dsp:txXfrm>
    </dsp:sp>
    <dsp:sp modelId="{3B739471-C9F0-4AD8-BEF3-47558E5A2A40}">
      <dsp:nvSpPr>
        <dsp:cNvPr id="0" name=""/>
        <dsp:cNvSpPr/>
      </dsp:nvSpPr>
      <dsp:spPr>
        <a:xfrm rot="10800000">
          <a:off x="0" y="501"/>
          <a:ext cx="6315074" cy="107859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EMERGENCY CARE iNPUTS</a:t>
          </a:r>
        </a:p>
      </dsp:txBody>
      <dsp:txXfrm rot="-10800000">
        <a:off x="0" y="501"/>
        <a:ext cx="6315074" cy="378586"/>
      </dsp:txXfrm>
    </dsp:sp>
    <dsp:sp modelId="{7D458697-5384-4E5F-BC1E-04A1FFC8DAC3}">
      <dsp:nvSpPr>
        <dsp:cNvPr id="0" name=""/>
        <dsp:cNvSpPr/>
      </dsp:nvSpPr>
      <dsp:spPr>
        <a:xfrm>
          <a:off x="0" y="397872"/>
          <a:ext cx="6305611" cy="30182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 (Drugs, Equipment, and HR)   </a:t>
          </a:r>
        </a:p>
      </dsp:txBody>
      <dsp:txXfrm>
        <a:off x="0" y="397872"/>
        <a:ext cx="6305611" cy="301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75DA7-9446-44FE-8482-85489AA878AB}">
      <dsp:nvSpPr>
        <dsp:cNvPr id="0" name=""/>
        <dsp:cNvSpPr/>
      </dsp:nvSpPr>
      <dsp:spPr>
        <a:xfrm>
          <a:off x="0" y="0"/>
          <a:ext cx="6324600" cy="7239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IMPROVED OUTCOMS AND RECOMMENDATIONS</a:t>
          </a:r>
        </a:p>
      </dsp:txBody>
      <dsp:txXfrm>
        <a:off x="0" y="0"/>
        <a:ext cx="6324600" cy="390906"/>
      </dsp:txXfrm>
    </dsp:sp>
    <dsp:sp modelId="{8FF036C6-F8E8-486D-B4D5-355F178D51E9}">
      <dsp:nvSpPr>
        <dsp:cNvPr id="0" name=""/>
        <dsp:cNvSpPr/>
      </dsp:nvSpPr>
      <dsp:spPr>
        <a:xfrm>
          <a:off x="0" y="376428"/>
          <a:ext cx="6324600" cy="3329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marL="0" lvl="0" indent="0" algn="ctr" defTabSz="889000">
            <a:lnSpc>
              <a:spcPct val="90000"/>
            </a:lnSpc>
            <a:spcBef>
              <a:spcPct val="0"/>
            </a:spcBef>
            <a:spcAft>
              <a:spcPct val="35000"/>
            </a:spcAft>
            <a:buNone/>
          </a:pPr>
          <a:r>
            <a:rPr lang="en-US" sz="2000" kern="1200"/>
            <a:t>For Strengthening system</a:t>
          </a:r>
        </a:p>
      </dsp:txBody>
      <dsp:txXfrm>
        <a:off x="0" y="376428"/>
        <a:ext cx="6324600" cy="3329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A98C-0519-445F-984A-575B9A23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19445</Words>
  <Characters>110842</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Windows User</cp:lastModifiedBy>
  <cp:revision>3</cp:revision>
  <dcterms:created xsi:type="dcterms:W3CDTF">2025-07-11T21:08:00Z</dcterms:created>
  <dcterms:modified xsi:type="dcterms:W3CDTF">2025-07-11T23:49:00Z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ddf7122d-dfba-4e41-b74e-105609c89678</vt:lpwstr>
  </property>
  <property fmtid="{D5CDD505-2E9C-101B-9397-08002B2CF9AE}" pid="3" name="KSOProductBuildVer">
    <vt:lpwstr>1033-12.2.0.21546</vt:lpwstr>
  </property>
  <property fmtid="{D5CDD505-2E9C-101B-9397-08002B2CF9AE}" pid="4" name="ICV">
    <vt:lpwstr>17C99843A99A4134A1851AA8B9F6491A_13</vt:lpwstr>
  </property>
  <property fmtid="{D5CDD505-2E9C-101B-9397-08002B2CF9AE}" pid="5" name="ZOTERO_PREF_1">
    <vt:lpwstr>&lt;data data-version="3" zotero-version="6.0.36"&gt;&lt;session id="Syyj3bOA"/&gt;&lt;style id="http://www.zotero.org/styles/vancouver" locale="en-US" hasBibliography="1" bibliographyStyleHasBeenSet="1"/&gt;&lt;prefs&gt;&lt;pref name="fieldType" value="Field"/&gt;&lt;/prefs&gt;&lt;/data&gt;</vt:lpwstr>
  </property>
</Properties>
</file>