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DB" w:rsidRPr="003B60DB" w:rsidRDefault="003B60DB" w:rsidP="003B60DB">
      <w:pPr>
        <w:spacing w:before="100" w:beforeAutospacing="1" w:after="100" w:afterAutospacing="1" w:line="240" w:lineRule="auto"/>
        <w:jc w:val="right"/>
        <w:outlineLvl w:val="2"/>
        <w:rPr>
          <w:rFonts w:ascii="Arial" w:eastAsia="Times New Roman" w:hAnsi="Arial" w:cs="Arial"/>
          <w:b/>
          <w:bCs/>
          <w:i/>
          <w:iCs/>
          <w:sz w:val="30"/>
          <w:szCs w:val="30"/>
          <w:u w:val="single"/>
        </w:rPr>
      </w:pPr>
      <w:r w:rsidRPr="003B60DB">
        <w:rPr>
          <w:rFonts w:ascii="Arial" w:eastAsia="Times New Roman" w:hAnsi="Arial" w:cs="Arial"/>
          <w:b/>
          <w:bCs/>
          <w:i/>
          <w:iCs/>
          <w:sz w:val="30"/>
          <w:szCs w:val="30"/>
          <w:u w:val="single"/>
        </w:rPr>
        <w:t>Short Research Article</w:t>
      </w:r>
    </w:p>
    <w:p w:rsidR="003B60DB" w:rsidRDefault="003B60DB" w:rsidP="00A153CC">
      <w:pPr>
        <w:spacing w:before="100" w:beforeAutospacing="1" w:after="100" w:afterAutospacing="1" w:line="240" w:lineRule="auto"/>
        <w:jc w:val="right"/>
        <w:outlineLvl w:val="2"/>
        <w:rPr>
          <w:rFonts w:ascii="Arial" w:eastAsia="Times New Roman" w:hAnsi="Arial" w:cs="Arial"/>
          <w:b/>
          <w:bCs/>
          <w:sz w:val="30"/>
          <w:szCs w:val="30"/>
        </w:rPr>
      </w:pPr>
    </w:p>
    <w:p w:rsidR="00A153CC" w:rsidRPr="006402AB" w:rsidRDefault="00A153CC" w:rsidP="00A153CC">
      <w:pPr>
        <w:spacing w:before="100" w:beforeAutospacing="1" w:after="100" w:afterAutospacing="1" w:line="240" w:lineRule="auto"/>
        <w:jc w:val="right"/>
        <w:outlineLvl w:val="2"/>
        <w:rPr>
          <w:rFonts w:ascii="Arial" w:eastAsia="Times New Roman" w:hAnsi="Arial" w:cs="Arial"/>
          <w:b/>
          <w:bCs/>
          <w:sz w:val="30"/>
          <w:szCs w:val="30"/>
        </w:rPr>
      </w:pPr>
      <w:commentRangeStart w:id="0"/>
      <w:r w:rsidRPr="006402AB">
        <w:rPr>
          <w:rFonts w:ascii="Arial" w:eastAsia="Times New Roman" w:hAnsi="Arial" w:cs="Arial"/>
          <w:b/>
          <w:bCs/>
          <w:sz w:val="30"/>
          <w:szCs w:val="30"/>
        </w:rPr>
        <w:t>Impact of Integrated Nutrient Management on yield in wheat (</w:t>
      </w:r>
      <w:r w:rsidRPr="006402AB">
        <w:rPr>
          <w:rFonts w:ascii="Arial" w:eastAsia="Times New Roman" w:hAnsi="Arial" w:cs="Arial"/>
          <w:b/>
          <w:bCs/>
          <w:i/>
          <w:sz w:val="30"/>
          <w:szCs w:val="30"/>
        </w:rPr>
        <w:t xml:space="preserve">Triticum aestivum </w:t>
      </w:r>
      <w:r w:rsidRPr="006402AB">
        <w:rPr>
          <w:rFonts w:ascii="Arial" w:eastAsia="Times New Roman" w:hAnsi="Arial" w:cs="Arial"/>
          <w:b/>
          <w:bCs/>
          <w:sz w:val="30"/>
          <w:szCs w:val="30"/>
        </w:rPr>
        <w:t>L.) c.v. – PBW – 226 in Agra region</w:t>
      </w:r>
      <w:commentRangeEnd w:id="0"/>
      <w:r w:rsidR="003E463B">
        <w:rPr>
          <w:rStyle w:val="CommentReference"/>
        </w:rPr>
        <w:commentReference w:id="0"/>
      </w:r>
    </w:p>
    <w:p w:rsidR="00325046" w:rsidRDefault="00325046"/>
    <w:p w:rsidR="004710D2" w:rsidRDefault="004710D2">
      <w:bookmarkStart w:id="1" w:name="_GoBack"/>
      <w:bookmarkEnd w:id="1"/>
    </w:p>
    <w:p w:rsidR="00451CBE" w:rsidRDefault="002C17FA" w:rsidP="002C17FA">
      <w:pPr>
        <w:spacing w:before="100" w:beforeAutospacing="1" w:after="100" w:afterAutospacing="1" w:line="240" w:lineRule="auto"/>
        <w:outlineLvl w:val="2"/>
        <w:rPr>
          <w:rFonts w:ascii="Arial" w:eastAsia="Times New Roman" w:hAnsi="Arial" w:cs="Arial"/>
          <w:b/>
          <w:bCs/>
          <w:sz w:val="24"/>
          <w:szCs w:val="28"/>
        </w:rPr>
      </w:pPr>
      <w:r w:rsidRPr="002C17FA">
        <w:rPr>
          <w:rFonts w:ascii="Arial" w:eastAsia="Times New Roman" w:hAnsi="Arial" w:cs="Arial"/>
          <w:b/>
          <w:bCs/>
          <w:sz w:val="24"/>
          <w:szCs w:val="28"/>
        </w:rPr>
        <w:t>Abstract</w:t>
      </w:r>
    </w:p>
    <w:p w:rsidR="0003414B" w:rsidRPr="003B64ED" w:rsidRDefault="0003414B" w:rsidP="0003414B">
      <w:pPr>
        <w:spacing w:line="360" w:lineRule="auto"/>
        <w:jc w:val="both"/>
        <w:rPr>
          <w:rFonts w:ascii="Arial" w:hAnsi="Arial" w:cs="Arial"/>
          <w:color w:val="000000" w:themeColor="text1"/>
          <w:lang w:val="en-IN"/>
        </w:rPr>
      </w:pPr>
      <w:r w:rsidRPr="003B64ED">
        <w:rPr>
          <w:rFonts w:ascii="Arial" w:hAnsi="Arial" w:cs="Arial"/>
          <w:color w:val="000000" w:themeColor="text1"/>
          <w:sz w:val="20"/>
          <w:szCs w:val="20"/>
        </w:rPr>
        <w:t>The present research entitled “Impact of Integrated Nutrient Management on Yield in Wheat (</w:t>
      </w:r>
      <w:r w:rsidRPr="003B64ED">
        <w:rPr>
          <w:rFonts w:ascii="Arial" w:hAnsi="Arial" w:cs="Arial"/>
          <w:i/>
          <w:color w:val="000000" w:themeColor="text1"/>
          <w:sz w:val="20"/>
          <w:szCs w:val="20"/>
        </w:rPr>
        <w:t>Triticum aestivum</w:t>
      </w:r>
      <w:r w:rsidRPr="003B64ED">
        <w:rPr>
          <w:rFonts w:ascii="Arial" w:hAnsi="Arial" w:cs="Arial"/>
          <w:color w:val="000000" w:themeColor="text1"/>
          <w:sz w:val="20"/>
          <w:szCs w:val="20"/>
        </w:rPr>
        <w:t xml:space="preserve"> L.) c.v. - PBW - 226 in Agra Region” was conducted during the </w:t>
      </w:r>
      <w:commentRangeStart w:id="2"/>
      <w:r w:rsidRPr="00E80311">
        <w:rPr>
          <w:rFonts w:ascii="Arial" w:hAnsi="Arial" w:cs="Arial"/>
          <w:color w:val="000000" w:themeColor="text1"/>
          <w:sz w:val="20"/>
          <w:szCs w:val="20"/>
        </w:rPr>
        <w:t>Rabi</w:t>
      </w:r>
      <w:commentRangeEnd w:id="2"/>
      <w:r w:rsidR="003E463B" w:rsidRPr="00E80311">
        <w:rPr>
          <w:rStyle w:val="CommentReference"/>
        </w:rPr>
        <w:commentReference w:id="2"/>
      </w:r>
      <w:r w:rsidRPr="003E463B">
        <w:rPr>
          <w:rFonts w:ascii="Arial" w:hAnsi="Arial" w:cs="Arial"/>
          <w:i/>
          <w:iCs/>
          <w:color w:val="000000" w:themeColor="text1"/>
          <w:sz w:val="20"/>
          <w:szCs w:val="20"/>
        </w:rPr>
        <w:t xml:space="preserve"> </w:t>
      </w:r>
      <w:r w:rsidRPr="003B64ED">
        <w:rPr>
          <w:rFonts w:ascii="Arial" w:hAnsi="Arial" w:cs="Arial"/>
          <w:color w:val="000000" w:themeColor="text1"/>
          <w:sz w:val="20"/>
          <w:szCs w:val="20"/>
        </w:rPr>
        <w:t xml:space="preserve">season of 2024–25 at the Agricultural Research Farm, </w:t>
      </w:r>
      <w:commentRangeStart w:id="3"/>
      <w:r w:rsidRPr="003B64ED">
        <w:rPr>
          <w:rFonts w:ascii="Arial" w:hAnsi="Arial" w:cs="Arial"/>
          <w:color w:val="000000" w:themeColor="text1"/>
          <w:sz w:val="20"/>
          <w:szCs w:val="20"/>
        </w:rPr>
        <w:t xml:space="preserve">R.B. </w:t>
      </w:r>
      <w:commentRangeEnd w:id="3"/>
      <w:r w:rsidR="003E463B">
        <w:rPr>
          <w:rStyle w:val="CommentReference"/>
        </w:rPr>
        <w:commentReference w:id="3"/>
      </w:r>
      <w:r w:rsidRPr="003B64ED">
        <w:rPr>
          <w:rFonts w:ascii="Arial" w:hAnsi="Arial" w:cs="Arial"/>
          <w:color w:val="000000" w:themeColor="text1"/>
          <w:sz w:val="20"/>
          <w:szCs w:val="20"/>
        </w:rPr>
        <w:t xml:space="preserve">(PG) College, Agra, and Uttar Pradesh. The objective of the study was to evaluate the impact of various combinations of inorganic and organic nutrient sources on growth, yield, and yield attributes in wheat. The experiment was laid out in a randomized block design (RBD) comprising ten treatments with three replications. Treatments included different combinations of recommended doses of fertilizers (RDF) with farmyard manure (FYM), vermicompost, and poultry manure. The results </w:t>
      </w:r>
      <w:commentRangeStart w:id="4"/>
      <w:r w:rsidRPr="003B64ED">
        <w:rPr>
          <w:rFonts w:ascii="Arial" w:hAnsi="Arial" w:cs="Arial"/>
          <w:color w:val="000000" w:themeColor="text1"/>
          <w:sz w:val="20"/>
          <w:szCs w:val="20"/>
        </w:rPr>
        <w:t>revealed</w:t>
      </w:r>
      <w:commentRangeEnd w:id="4"/>
      <w:r w:rsidR="00FE7770">
        <w:rPr>
          <w:rStyle w:val="CommentReference"/>
        </w:rPr>
        <w:commentReference w:id="4"/>
      </w:r>
      <w:r w:rsidRPr="003B64ED">
        <w:rPr>
          <w:rFonts w:ascii="Arial" w:hAnsi="Arial" w:cs="Arial"/>
          <w:color w:val="000000" w:themeColor="text1"/>
          <w:sz w:val="20"/>
          <w:szCs w:val="20"/>
        </w:rPr>
        <w:t xml:space="preserve"> that integrated nutrient management (INM) practices significantly influenced growth and yield parameters. Among the treatments, T</w:t>
      </w:r>
      <w:r w:rsidRPr="003B64ED">
        <w:rPr>
          <w:rFonts w:ascii="Cambria Math" w:hAnsi="Cambria Math" w:cs="Cambria Math"/>
          <w:color w:val="000000" w:themeColor="text1"/>
          <w:sz w:val="20"/>
          <w:szCs w:val="20"/>
        </w:rPr>
        <w:t>₁</w:t>
      </w:r>
      <w:r w:rsidRPr="003B64ED">
        <w:rPr>
          <w:rFonts w:ascii="Arial" w:hAnsi="Arial" w:cs="Arial"/>
          <w:color w:val="000000" w:themeColor="text1"/>
          <w:sz w:val="20"/>
          <w:szCs w:val="20"/>
        </w:rPr>
        <w:t xml:space="preserve"> (100% RDF) recorded the highest grain yield (68.610 q/ha), while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(25% RDF + 75% RDN through 1/3 FYM + 1/3 vermicompost + 1/3 poultry manure) achieved the maximum biological yield (101.943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and straw yield (56.220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xml:space="preserve">), along with superior performance in plant height and number of </w:t>
      </w:r>
      <w:commentRangeStart w:id="5"/>
      <w:r w:rsidRPr="003B64ED">
        <w:rPr>
          <w:rFonts w:ascii="Arial" w:hAnsi="Arial" w:cs="Arial"/>
          <w:color w:val="000000" w:themeColor="text1"/>
          <w:sz w:val="20"/>
          <w:szCs w:val="20"/>
        </w:rPr>
        <w:t>tillers</w:t>
      </w:r>
      <w:commentRangeEnd w:id="5"/>
      <w:r w:rsidR="00FE7770">
        <w:rPr>
          <w:rStyle w:val="CommentReference"/>
        </w:rPr>
        <w:commentReference w:id="5"/>
      </w:r>
      <w:r w:rsidRPr="003B64ED">
        <w:rPr>
          <w:rFonts w:ascii="Arial" w:hAnsi="Arial" w:cs="Arial"/>
          <w:color w:val="000000" w:themeColor="text1"/>
          <w:sz w:val="20"/>
          <w:szCs w:val="20"/>
        </w:rPr>
        <w:t>. The highest harvest index (58.150%) was observed in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xml:space="preserve"> (50% RDF + 50% RDN through vermicompost), indicating efficient assimilates partitioning. The study concludes that integrated nutrient management, particularly treatments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and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effectively enhances wheat productivity and sustainability under the agro-climatic conditions of the Agra region.</w:t>
      </w:r>
    </w:p>
    <w:p w:rsidR="00C87671" w:rsidRDefault="00C87671" w:rsidP="00C87671">
      <w:pPr>
        <w:spacing w:before="100" w:beforeAutospacing="1" w:after="100" w:afterAutospacing="1" w:line="240" w:lineRule="auto"/>
        <w:jc w:val="both"/>
        <w:outlineLvl w:val="2"/>
        <w:rPr>
          <w:rFonts w:ascii="Times New Roman" w:eastAsia="Times New Roman" w:hAnsi="Times New Roman" w:cs="Times New Roman"/>
          <w:bCs/>
          <w:sz w:val="24"/>
          <w:szCs w:val="24"/>
        </w:rPr>
      </w:pPr>
      <w:commentRangeStart w:id="6"/>
      <w:r w:rsidRPr="00C87671">
        <w:rPr>
          <w:rFonts w:ascii="Times New Roman" w:eastAsia="Times New Roman" w:hAnsi="Times New Roman" w:cs="Times New Roman"/>
          <w:b/>
          <w:bCs/>
          <w:sz w:val="24"/>
          <w:szCs w:val="24"/>
        </w:rPr>
        <w:t>Keyword:</w:t>
      </w:r>
      <w:r w:rsidRPr="00A9434C">
        <w:rPr>
          <w:rFonts w:ascii="Times New Roman" w:eastAsia="Times New Roman" w:hAnsi="Times New Roman" w:cs="Times New Roman"/>
          <w:bCs/>
          <w:sz w:val="24"/>
          <w:szCs w:val="27"/>
        </w:rPr>
        <w:t>Wheat</w:t>
      </w:r>
      <w:r w:rsidRPr="00A9434C">
        <w:rPr>
          <w:rFonts w:ascii="Times New Roman" w:eastAsia="Times New Roman" w:hAnsi="Times New Roman" w:cs="Times New Roman"/>
          <w:bCs/>
          <w:sz w:val="27"/>
          <w:szCs w:val="27"/>
        </w:rPr>
        <w:t>,</w:t>
      </w:r>
      <w:r w:rsidR="00044E9F">
        <w:rPr>
          <w:rFonts w:ascii="Times New Roman" w:eastAsia="Times New Roman" w:hAnsi="Times New Roman" w:cs="Times New Roman"/>
          <w:bCs/>
          <w:sz w:val="27"/>
          <w:szCs w:val="27"/>
        </w:rPr>
        <w:t xml:space="preserve"> Org</w:t>
      </w:r>
      <w:r w:rsidR="00FF3F3B">
        <w:rPr>
          <w:rFonts w:ascii="Times New Roman" w:eastAsia="Times New Roman" w:hAnsi="Times New Roman" w:cs="Times New Roman"/>
          <w:bCs/>
          <w:sz w:val="27"/>
          <w:szCs w:val="27"/>
        </w:rPr>
        <w:t>anic matter,</w:t>
      </w:r>
      <w:r w:rsidRPr="00A9434C">
        <w:rPr>
          <w:rFonts w:ascii="Times New Roman" w:eastAsia="Times New Roman" w:hAnsi="Times New Roman" w:cs="Times New Roman"/>
          <w:bCs/>
          <w:sz w:val="24"/>
          <w:szCs w:val="24"/>
        </w:rPr>
        <w:t>INM, Growth, Yield</w:t>
      </w:r>
      <w:r w:rsidR="0071556C">
        <w:rPr>
          <w:rFonts w:ascii="Times New Roman" w:eastAsia="Times New Roman" w:hAnsi="Times New Roman" w:cs="Times New Roman"/>
          <w:bCs/>
          <w:sz w:val="24"/>
          <w:szCs w:val="24"/>
        </w:rPr>
        <w:t>.</w:t>
      </w:r>
      <w:commentRangeEnd w:id="6"/>
      <w:r w:rsidR="00FE7770">
        <w:rPr>
          <w:rStyle w:val="CommentReference"/>
        </w:rPr>
        <w:commentReference w:id="6"/>
      </w:r>
    </w:p>
    <w:p w:rsidR="003B64ED" w:rsidRPr="00F660F0" w:rsidRDefault="003B64ED" w:rsidP="003B64ED">
      <w:pPr>
        <w:spacing w:after="0" w:line="240" w:lineRule="auto"/>
        <w:jc w:val="both"/>
        <w:outlineLvl w:val="2"/>
        <w:rPr>
          <w:rFonts w:ascii="Arial" w:eastAsia="Times New Roman" w:hAnsi="Arial" w:cs="Arial"/>
          <w:b/>
          <w:bCs/>
          <w:sz w:val="28"/>
          <w:szCs w:val="28"/>
        </w:rPr>
      </w:pPr>
      <w:r w:rsidRPr="00F660F0">
        <w:rPr>
          <w:rFonts w:ascii="Arial" w:eastAsia="Times New Roman" w:hAnsi="Arial" w:cs="Arial"/>
          <w:b/>
          <w:bCs/>
          <w:sz w:val="24"/>
          <w:szCs w:val="28"/>
        </w:rPr>
        <w:t>Introduction</w:t>
      </w:r>
    </w:p>
    <w:p w:rsidR="002008E3" w:rsidRPr="0001426E" w:rsidRDefault="003B64ED" w:rsidP="0001426E">
      <w:pPr>
        <w:spacing w:after="0" w:line="360" w:lineRule="auto"/>
        <w:ind w:firstLine="720"/>
        <w:jc w:val="both"/>
        <w:rPr>
          <w:rFonts w:ascii="Arial" w:eastAsia="Times New Roman" w:hAnsi="Arial" w:cs="Arial"/>
          <w:sz w:val="20"/>
          <w:szCs w:val="24"/>
        </w:rPr>
      </w:pPr>
      <w:r w:rsidRPr="00F660F0">
        <w:rPr>
          <w:rFonts w:ascii="Arial" w:eastAsia="Times New Roman" w:hAnsi="Arial" w:cs="Arial"/>
          <w:sz w:val="20"/>
          <w:szCs w:val="24"/>
        </w:rPr>
        <w:t>Wheat (</w:t>
      </w:r>
      <w:r w:rsidRPr="00F660F0">
        <w:rPr>
          <w:rFonts w:ascii="Arial" w:eastAsia="Times New Roman" w:hAnsi="Arial" w:cs="Arial"/>
          <w:i/>
          <w:iCs/>
          <w:sz w:val="20"/>
          <w:szCs w:val="24"/>
        </w:rPr>
        <w:t>Triticum aestivum</w:t>
      </w:r>
      <w:r w:rsidRPr="00F660F0">
        <w:rPr>
          <w:rFonts w:ascii="Arial" w:eastAsia="Times New Roman" w:hAnsi="Arial" w:cs="Arial"/>
          <w:sz w:val="20"/>
          <w:szCs w:val="24"/>
        </w:rPr>
        <w:t xml:space="preserve"> L.) is one of the most important cereal crops after rice in the world and serves as a staple food for a large part of the global population, particularly in India. As the second most cultivated crop in the country, wheat plays a vital role in ensuring food security and supporting rural and urban livelihoods. However, in recent years, declining soil fertility, imbalanced fertilizer use, and unsustainable farming practices have posed serious challenges to wheat production and productivity. To address these issues, there is a growing emphasis on adopting sustainable nutrient management strategies that can enhance crop yields while preserving soil health (Tiwari, 2002; Singh &amp; Yadav, 2006).</w:t>
      </w:r>
      <w:r w:rsidR="002008E3" w:rsidRPr="00F660F0">
        <w:rPr>
          <w:rFonts w:ascii="Arial" w:eastAsia="Times New Roman" w:hAnsi="Arial" w:cs="Arial"/>
          <w:sz w:val="20"/>
          <w:szCs w:val="24"/>
        </w:rPr>
        <w:t xml:space="preserve"> Integrated Nutrient Management (INM) is a holistic approach that combines the use of chemical fertilizers with organic manures, green manures, crop residues, and </w:t>
      </w:r>
      <w:r w:rsidR="00EE4172" w:rsidRPr="00F660F0">
        <w:rPr>
          <w:rFonts w:ascii="Arial" w:eastAsia="Times New Roman" w:hAnsi="Arial" w:cs="Arial"/>
          <w:sz w:val="20"/>
          <w:szCs w:val="24"/>
        </w:rPr>
        <w:t>bio fertilizers</w:t>
      </w:r>
      <w:r w:rsidR="002008E3" w:rsidRPr="00F660F0">
        <w:rPr>
          <w:rFonts w:ascii="Arial" w:eastAsia="Times New Roman" w:hAnsi="Arial" w:cs="Arial"/>
          <w:sz w:val="20"/>
          <w:szCs w:val="24"/>
        </w:rPr>
        <w:t xml:space="preserve">. The objective of INM is not only to supply essential nutrients to the crop but also to maintain </w:t>
      </w:r>
      <w:r w:rsidR="002008E3" w:rsidRPr="00F660F0">
        <w:rPr>
          <w:rFonts w:ascii="Arial" w:eastAsia="Times New Roman" w:hAnsi="Arial" w:cs="Arial"/>
          <w:sz w:val="20"/>
          <w:szCs w:val="24"/>
        </w:rPr>
        <w:lastRenderedPageBreak/>
        <w:t>soil biological activity and improve the physical and chemical properties of the soil. Unlike conventional methods that rely heavily on synthetic inputs, INM ensures a balanced nutrient supply, minimizes nutrient losses, and promotes efficient nutrient uptake by the crop (Sharma &amp; Sharma, 2002; Tiwari, 2002).</w:t>
      </w:r>
      <w:commentRangeStart w:id="7"/>
      <w:r w:rsidR="002008E3" w:rsidRPr="00F660F0">
        <w:rPr>
          <w:rFonts w:ascii="Arial" w:eastAsia="Times New Roman" w:hAnsi="Arial" w:cs="Arial"/>
          <w:sz w:val="20"/>
          <w:szCs w:val="24"/>
        </w:rPr>
        <w:t>Several</w:t>
      </w:r>
      <w:commentRangeEnd w:id="7"/>
      <w:r w:rsidR="00C24B68">
        <w:rPr>
          <w:rStyle w:val="CommentReference"/>
        </w:rPr>
        <w:commentReference w:id="7"/>
      </w:r>
      <w:r w:rsidR="002008E3" w:rsidRPr="00F660F0">
        <w:rPr>
          <w:rFonts w:ascii="Arial" w:eastAsia="Times New Roman" w:hAnsi="Arial" w:cs="Arial"/>
          <w:sz w:val="20"/>
          <w:szCs w:val="24"/>
        </w:rPr>
        <w:t xml:space="preserve"> studies have highlighted the benefits of INM in improving wheat growth, yield and overall productivity. Moreover, it contributes to long-term soil fertility and reduces the environmental impact associated with excessive chemical fertilizer use. Despite its proven advantages, the adoption of INM practices among farmer remains limited due to a lack of awareness and region-specific recommendations. Therefore, it becomes essential to generate localized data and validate the effectiveness of INM under different agro-climatic conditions (Singh &amp; Yadav, 2006; Sharma &amp; Sharma, 2002).This study aims to evaluate the effects of different nutrient combinations on the growth, yield, and nutrient uptake of wheat under the agro-climatic conditions of the Agra region, with the goal of recommending sustainable nutrient management practices for enhanced productivity and soil health.</w:t>
      </w:r>
    </w:p>
    <w:p w:rsidR="001B7CCB" w:rsidRPr="001B7CCB" w:rsidRDefault="001B7CCB" w:rsidP="001B7CCB">
      <w:pPr>
        <w:pStyle w:val="Heading3"/>
        <w:jc w:val="both"/>
        <w:rPr>
          <w:b w:val="0"/>
          <w:sz w:val="24"/>
          <w:szCs w:val="24"/>
        </w:rPr>
      </w:pPr>
      <w:r w:rsidRPr="001B7CCB">
        <w:rPr>
          <w:rStyle w:val="Strong"/>
          <w:rFonts w:eastAsiaTheme="majorEastAsia"/>
          <w:b/>
          <w:bCs/>
          <w:sz w:val="24"/>
          <w:szCs w:val="24"/>
        </w:rPr>
        <w:t>Materials and Methods</w:t>
      </w:r>
    </w:p>
    <w:p w:rsidR="001B7CCB" w:rsidRPr="001B7CCB" w:rsidRDefault="001B7CCB" w:rsidP="008234F0">
      <w:pPr>
        <w:pStyle w:val="Heading4"/>
        <w:spacing w:before="0"/>
        <w:jc w:val="both"/>
        <w:rPr>
          <w:rFonts w:ascii="Times New Roman" w:hAnsi="Times New Roman" w:cs="Times New Roman"/>
          <w:b w:val="0"/>
          <w:i w:val="0"/>
          <w:color w:val="auto"/>
          <w:sz w:val="20"/>
          <w:szCs w:val="24"/>
        </w:rPr>
      </w:pPr>
      <w:r w:rsidRPr="001B7CCB">
        <w:rPr>
          <w:rStyle w:val="Strong"/>
          <w:rFonts w:ascii="Times New Roman" w:hAnsi="Times New Roman" w:cs="Times New Roman"/>
          <w:b/>
          <w:bCs/>
          <w:color w:val="auto"/>
          <w:sz w:val="20"/>
          <w:szCs w:val="24"/>
        </w:rPr>
        <w:t>Experimental Site</w:t>
      </w:r>
    </w:p>
    <w:p w:rsidR="001B7CCB" w:rsidRPr="008234F0" w:rsidRDefault="001B7CCB" w:rsidP="00B6140E">
      <w:pPr>
        <w:spacing w:after="0" w:line="360" w:lineRule="auto"/>
        <w:jc w:val="both"/>
        <w:rPr>
          <w:rFonts w:ascii="Arial" w:hAnsi="Arial" w:cs="Arial"/>
          <w:sz w:val="20"/>
          <w:szCs w:val="20"/>
        </w:rPr>
      </w:pPr>
      <w:r w:rsidRPr="008234F0">
        <w:rPr>
          <w:rFonts w:ascii="Arial" w:hAnsi="Arial" w:cs="Arial"/>
          <w:sz w:val="20"/>
          <w:szCs w:val="20"/>
        </w:rPr>
        <w:t xml:space="preserve">The field experiment was conducted during the </w:t>
      </w:r>
      <w:commentRangeStart w:id="8"/>
      <w:r w:rsidRPr="008234F0">
        <w:rPr>
          <w:rFonts w:ascii="Arial" w:hAnsi="Arial" w:cs="Arial"/>
          <w:sz w:val="20"/>
          <w:szCs w:val="20"/>
        </w:rPr>
        <w:t>Rabi</w:t>
      </w:r>
      <w:commentRangeEnd w:id="8"/>
      <w:r w:rsidR="00E80311">
        <w:rPr>
          <w:rStyle w:val="CommentReference"/>
        </w:rPr>
        <w:commentReference w:id="8"/>
      </w:r>
      <w:r w:rsidRPr="008234F0">
        <w:rPr>
          <w:rFonts w:ascii="Arial" w:hAnsi="Arial" w:cs="Arial"/>
          <w:sz w:val="20"/>
          <w:szCs w:val="20"/>
        </w:rPr>
        <w:t xml:space="preserve"> season of 2024–2025 at the Agricultural Research Farm of R.B. (P.G.) College, Agra, and Uttar Pradesh. The site falls under the semi-arid agro-climatic zone of western Uttar Pradesh. The experiment was laid out in a randomized block design (RBD) with ten treatments and three replications using the wheat variety </w:t>
      </w:r>
      <w:r w:rsidRPr="008234F0">
        <w:rPr>
          <w:rStyle w:val="Strong"/>
          <w:rFonts w:ascii="Arial" w:hAnsi="Arial" w:cs="Arial"/>
          <w:b w:val="0"/>
          <w:sz w:val="20"/>
          <w:szCs w:val="20"/>
        </w:rPr>
        <w:t>PBW -226</w:t>
      </w:r>
      <w:r w:rsidRPr="008234F0">
        <w:rPr>
          <w:rFonts w:ascii="Arial" w:hAnsi="Arial" w:cs="Arial"/>
          <w:sz w:val="20"/>
          <w:szCs w:val="20"/>
        </w:rPr>
        <w:t>, following the methodology of Patel and Patel (2011) and Sharma and Yadav (2017).</w:t>
      </w:r>
    </w:p>
    <w:p w:rsidR="008234F0" w:rsidRDefault="008234F0" w:rsidP="008234F0">
      <w:pPr>
        <w:pStyle w:val="Heading4"/>
        <w:spacing w:before="0"/>
        <w:jc w:val="both"/>
        <w:rPr>
          <w:rStyle w:val="Strong"/>
          <w:rFonts w:ascii="Arial" w:hAnsi="Arial" w:cs="Arial"/>
          <w:b/>
          <w:bCs/>
          <w:color w:val="auto"/>
          <w:sz w:val="20"/>
          <w:szCs w:val="20"/>
        </w:rPr>
      </w:pPr>
    </w:p>
    <w:p w:rsidR="001B7CCB" w:rsidRPr="008234F0" w:rsidRDefault="001B7CCB" w:rsidP="008234F0">
      <w:pPr>
        <w:pStyle w:val="Heading4"/>
        <w:spacing w:before="0"/>
        <w:jc w:val="both"/>
        <w:rPr>
          <w:rFonts w:ascii="Arial" w:hAnsi="Arial" w:cs="Arial"/>
          <w:b w:val="0"/>
          <w:i w:val="0"/>
          <w:color w:val="auto"/>
          <w:sz w:val="20"/>
          <w:szCs w:val="20"/>
        </w:rPr>
      </w:pPr>
      <w:r w:rsidRPr="008234F0">
        <w:rPr>
          <w:rStyle w:val="Strong"/>
          <w:rFonts w:ascii="Arial" w:hAnsi="Arial" w:cs="Arial"/>
          <w:b/>
          <w:bCs/>
          <w:color w:val="auto"/>
          <w:sz w:val="20"/>
          <w:szCs w:val="20"/>
        </w:rPr>
        <w:t>Soil, Climate, and Weather Conditions</w:t>
      </w:r>
    </w:p>
    <w:p w:rsidR="003B64ED" w:rsidRPr="008234F0" w:rsidRDefault="001B7CCB" w:rsidP="00B6140E">
      <w:pPr>
        <w:spacing w:after="0" w:line="360" w:lineRule="auto"/>
        <w:jc w:val="both"/>
        <w:outlineLvl w:val="2"/>
        <w:rPr>
          <w:rFonts w:ascii="Arial" w:hAnsi="Arial" w:cs="Arial"/>
          <w:sz w:val="20"/>
          <w:szCs w:val="20"/>
        </w:rPr>
      </w:pPr>
      <w:r w:rsidRPr="008234F0">
        <w:rPr>
          <w:rFonts w:ascii="Arial" w:hAnsi="Arial" w:cs="Arial"/>
          <w:sz w:val="20"/>
          <w:szCs w:val="20"/>
        </w:rPr>
        <w:t xml:space="preserve">The experimental field had alluvial soil with a sandy loam texture, neutral pH, and moderate fertility. Initial soil testing showed low available nitrogen, medium phosphorus, and adequate potassium content. The region has a semi-arid climate with hot summers and cold winters. During the crop period, the average temperature ranged between 8°C and 24°C with occasional winter rainfall. The experimental procedures and field preparation followed standard agronomic protocols as outlined in long-term wheat nutrient management studies (Yadav &amp; Meena, 2014). </w:t>
      </w:r>
    </w:p>
    <w:p w:rsidR="008234F0" w:rsidRDefault="008234F0" w:rsidP="008234F0">
      <w:pPr>
        <w:spacing w:after="0" w:line="240" w:lineRule="auto"/>
        <w:jc w:val="both"/>
        <w:outlineLvl w:val="2"/>
        <w:rPr>
          <w:rStyle w:val="Strong"/>
          <w:rFonts w:ascii="Arial" w:hAnsi="Arial" w:cs="Arial"/>
          <w:i/>
          <w:sz w:val="20"/>
          <w:szCs w:val="20"/>
        </w:rPr>
      </w:pPr>
    </w:p>
    <w:p w:rsidR="008234F0" w:rsidRPr="008234F0" w:rsidRDefault="008234F0" w:rsidP="008234F0">
      <w:pPr>
        <w:spacing w:after="0" w:line="240" w:lineRule="auto"/>
        <w:jc w:val="both"/>
        <w:outlineLvl w:val="2"/>
        <w:rPr>
          <w:rFonts w:ascii="Arial" w:eastAsia="Times New Roman" w:hAnsi="Arial" w:cs="Arial"/>
          <w:bCs/>
          <w:sz w:val="20"/>
          <w:szCs w:val="20"/>
        </w:rPr>
      </w:pPr>
      <w:r w:rsidRPr="008234F0">
        <w:rPr>
          <w:rStyle w:val="Strong"/>
          <w:rFonts w:ascii="Arial" w:hAnsi="Arial" w:cs="Arial"/>
          <w:i/>
          <w:sz w:val="20"/>
          <w:szCs w:val="20"/>
        </w:rPr>
        <w:t>Technical Programme  (Treatment   Details)</w:t>
      </w:r>
    </w:p>
    <w:p w:rsidR="00C87671" w:rsidRDefault="00D6648A" w:rsidP="00B6140E">
      <w:pPr>
        <w:spacing w:after="0" w:line="360" w:lineRule="auto"/>
        <w:jc w:val="both"/>
        <w:outlineLvl w:val="2"/>
        <w:rPr>
          <w:rFonts w:ascii="Arial" w:hAnsi="Arial" w:cs="Arial"/>
          <w:sz w:val="20"/>
          <w:szCs w:val="20"/>
        </w:rPr>
      </w:pPr>
      <w:r w:rsidRPr="009C1168">
        <w:rPr>
          <w:rFonts w:ascii="Arial" w:hAnsi="Arial" w:cs="Arial"/>
          <w:sz w:val="20"/>
          <w:szCs w:val="20"/>
        </w:rPr>
        <w:t xml:space="preserve">The experiment consisted of ten treatments involving combinations of inorganic fertilizers and organic manures, where the </w:t>
      </w:r>
      <w:r w:rsidRPr="009C1168">
        <w:rPr>
          <w:rStyle w:val="Strong"/>
          <w:rFonts w:ascii="Arial" w:hAnsi="Arial" w:cs="Arial"/>
          <w:b w:val="0"/>
          <w:sz w:val="20"/>
          <w:szCs w:val="20"/>
        </w:rPr>
        <w:t>recommended dose of fertilizers (RDF)</w:t>
      </w:r>
      <w:r w:rsidRPr="009C1168">
        <w:rPr>
          <w:rFonts w:ascii="Arial" w:hAnsi="Arial" w:cs="Arial"/>
          <w:sz w:val="20"/>
          <w:szCs w:val="20"/>
        </w:rPr>
        <w:t xml:space="preserve"> was considered as </w:t>
      </w:r>
      <w:r w:rsidRPr="009C1168">
        <w:rPr>
          <w:rStyle w:val="Strong"/>
          <w:rFonts w:ascii="Arial" w:hAnsi="Arial" w:cs="Arial"/>
          <w:b w:val="0"/>
          <w:sz w:val="20"/>
          <w:szCs w:val="20"/>
        </w:rPr>
        <w:t>150 kg N + 60 kg P</w:t>
      </w:r>
      <w:r w:rsidRPr="009C1168">
        <w:rPr>
          <w:rStyle w:val="Strong"/>
          <w:rFonts w:ascii="Cambria Math" w:hAnsi="Cambria Math" w:cs="Cambria Math"/>
          <w:b w:val="0"/>
          <w:sz w:val="20"/>
          <w:szCs w:val="20"/>
        </w:rPr>
        <w:t>₂</w:t>
      </w:r>
      <w:r w:rsidRPr="009C1168">
        <w:rPr>
          <w:rStyle w:val="Strong"/>
          <w:rFonts w:ascii="Arial" w:hAnsi="Arial" w:cs="Arial"/>
          <w:b w:val="0"/>
          <w:sz w:val="20"/>
          <w:szCs w:val="20"/>
        </w:rPr>
        <w:t>O</w:t>
      </w:r>
      <w:r w:rsidRPr="009C1168">
        <w:rPr>
          <w:rStyle w:val="Strong"/>
          <w:rFonts w:ascii="Cambria Math" w:hAnsi="Cambria Math" w:cs="Cambria Math"/>
          <w:b w:val="0"/>
          <w:sz w:val="20"/>
          <w:szCs w:val="20"/>
        </w:rPr>
        <w:t>₅</w:t>
      </w:r>
      <w:r w:rsidRPr="009C1168">
        <w:rPr>
          <w:rStyle w:val="Strong"/>
          <w:rFonts w:ascii="Arial" w:hAnsi="Arial" w:cs="Arial"/>
          <w:b w:val="0"/>
          <w:sz w:val="20"/>
          <w:szCs w:val="20"/>
        </w:rPr>
        <w:t xml:space="preserve"> + 50 kg K</w:t>
      </w:r>
      <w:r w:rsidRPr="009C1168">
        <w:rPr>
          <w:rStyle w:val="Strong"/>
          <w:rFonts w:ascii="Cambria Math" w:hAnsi="Cambria Math" w:cs="Cambria Math"/>
          <w:b w:val="0"/>
          <w:sz w:val="20"/>
          <w:szCs w:val="20"/>
        </w:rPr>
        <w:t>₂</w:t>
      </w:r>
      <w:r w:rsidRPr="009C1168">
        <w:rPr>
          <w:rStyle w:val="Strong"/>
          <w:rFonts w:ascii="Arial" w:hAnsi="Arial" w:cs="Arial"/>
          <w:b w:val="0"/>
          <w:sz w:val="20"/>
          <w:szCs w:val="20"/>
        </w:rPr>
        <w:t>O per hectare</w:t>
      </w:r>
      <w:r w:rsidRPr="009C1168">
        <w:rPr>
          <w:rFonts w:ascii="Arial" w:hAnsi="Arial" w:cs="Arial"/>
          <w:sz w:val="20"/>
          <w:szCs w:val="20"/>
        </w:rPr>
        <w:t>. Nitrogen from organic sources was adjusted based on their nutrient content. The treatment details are as follows:</w:t>
      </w:r>
    </w:p>
    <w:p w:rsidR="00294F9F" w:rsidRDefault="00294F9F" w:rsidP="00B6140E">
      <w:pPr>
        <w:spacing w:after="0" w:line="360" w:lineRule="auto"/>
        <w:jc w:val="both"/>
        <w:outlineLvl w:val="2"/>
        <w:rPr>
          <w:rFonts w:ascii="Arial" w:hAnsi="Arial" w:cs="Arial"/>
          <w:sz w:val="20"/>
          <w:szCs w:val="20"/>
        </w:rPr>
      </w:pPr>
    </w:p>
    <w:p w:rsidR="00294F9F" w:rsidRDefault="00294F9F" w:rsidP="00B6140E">
      <w:pPr>
        <w:spacing w:after="0" w:line="360" w:lineRule="auto"/>
        <w:jc w:val="both"/>
        <w:outlineLvl w:val="2"/>
        <w:rPr>
          <w:rFonts w:ascii="Arial" w:hAnsi="Arial" w:cs="Arial"/>
          <w:sz w:val="20"/>
          <w:szCs w:val="20"/>
        </w:rPr>
      </w:pPr>
      <w:r>
        <w:rPr>
          <w:rFonts w:ascii="Arial" w:hAnsi="Arial" w:cs="Arial"/>
          <w:sz w:val="20"/>
          <w:szCs w:val="20"/>
        </w:rPr>
        <w:t xml:space="preserve">List 1 : </w:t>
      </w:r>
      <w:commentRangeStart w:id="9"/>
      <w:r w:rsidR="00CF732F">
        <w:rPr>
          <w:rFonts w:ascii="Arial" w:hAnsi="Arial" w:cs="Arial"/>
          <w:sz w:val="20"/>
          <w:szCs w:val="20"/>
        </w:rPr>
        <w:t xml:space="preserve">List of </w:t>
      </w:r>
      <w:commentRangeEnd w:id="9"/>
      <w:r w:rsidR="001D6DE2">
        <w:rPr>
          <w:rStyle w:val="CommentReference"/>
        </w:rPr>
        <w:commentReference w:id="9"/>
      </w:r>
      <w:r w:rsidR="00CF732F">
        <w:rPr>
          <w:rFonts w:ascii="Arial" w:hAnsi="Arial" w:cs="Arial"/>
          <w:sz w:val="20"/>
          <w:szCs w:val="20"/>
        </w:rPr>
        <w:t>treatment de</w:t>
      </w:r>
      <w:r w:rsidR="00971766">
        <w:rPr>
          <w:rFonts w:ascii="Arial" w:hAnsi="Arial" w:cs="Arial"/>
          <w:sz w:val="20"/>
          <w:szCs w:val="20"/>
        </w:rPr>
        <w:t>t</w:t>
      </w:r>
      <w:r w:rsidR="00CF732F">
        <w:rPr>
          <w:rFonts w:ascii="Arial" w:hAnsi="Arial" w:cs="Arial"/>
          <w:sz w:val="20"/>
          <w:szCs w:val="20"/>
        </w:rPr>
        <w:t xml:space="preserve">ails </w:t>
      </w:r>
    </w:p>
    <w:p w:rsidR="009C1168" w:rsidRDefault="009C1168" w:rsidP="00D6648A">
      <w:pPr>
        <w:spacing w:after="0" w:line="240" w:lineRule="auto"/>
        <w:jc w:val="both"/>
        <w:outlineLvl w:val="2"/>
        <w:rPr>
          <w:rFonts w:ascii="Arial" w:hAnsi="Arial" w:cs="Arial"/>
          <w:sz w:val="20"/>
          <w:szCs w:val="20"/>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1353"/>
        <w:gridCol w:w="6095"/>
      </w:tblGrid>
      <w:tr w:rsidR="009C1168" w:rsidRPr="00A9434C" w:rsidTr="001B3A62">
        <w:trPr>
          <w:trHeight w:val="313"/>
          <w:jc w:val="center"/>
        </w:trPr>
        <w:tc>
          <w:tcPr>
            <w:tcW w:w="1353" w:type="dxa"/>
            <w:tcBorders>
              <w:bottom w:val="single" w:sz="4" w:space="0" w:color="000000" w:themeColor="text1"/>
            </w:tcBorders>
          </w:tcPr>
          <w:p w:rsidR="009C1168" w:rsidRPr="009C1168" w:rsidRDefault="009C1168" w:rsidP="008E097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bCs/>
                <w:sz w:val="24"/>
                <w:szCs w:val="24"/>
              </w:rPr>
              <w:t>Treatment</w:t>
            </w:r>
          </w:p>
        </w:tc>
        <w:tc>
          <w:tcPr>
            <w:tcW w:w="6095" w:type="dxa"/>
            <w:tcBorders>
              <w:bottom w:val="single" w:sz="4" w:space="0" w:color="000000" w:themeColor="text1"/>
            </w:tcBorders>
          </w:tcPr>
          <w:p w:rsidR="009C1168" w:rsidRPr="009C1168" w:rsidRDefault="009C1168" w:rsidP="00136C3C">
            <w:pPr>
              <w:spacing w:before="100" w:beforeAutospacing="1" w:after="100" w:afterAutospacing="1"/>
              <w:jc w:val="center"/>
              <w:rPr>
                <w:rFonts w:ascii="Times New Roman" w:hAnsi="Times New Roman" w:cs="Times New Roman"/>
                <w:b/>
                <w:sz w:val="24"/>
                <w:szCs w:val="24"/>
              </w:rPr>
            </w:pPr>
            <w:r w:rsidRPr="009C1168">
              <w:rPr>
                <w:rFonts w:ascii="Times New Roman" w:hAnsi="Times New Roman" w:cs="Times New Roman"/>
                <w:b/>
                <w:bCs/>
                <w:sz w:val="24"/>
                <w:szCs w:val="24"/>
              </w:rPr>
              <w:t>Treatment Description</w:t>
            </w:r>
          </w:p>
        </w:tc>
      </w:tr>
      <w:tr w:rsidR="009C1168" w:rsidRPr="00A9434C" w:rsidTr="001B3A62">
        <w:trPr>
          <w:trHeight w:val="275"/>
          <w:jc w:val="center"/>
        </w:trPr>
        <w:tc>
          <w:tcPr>
            <w:tcW w:w="1353" w:type="dxa"/>
            <w:tcBorders>
              <w:top w:val="single" w:sz="4" w:space="0" w:color="000000" w:themeColor="text1"/>
            </w:tcBorders>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₀</w:t>
            </w:r>
          </w:p>
        </w:tc>
        <w:tc>
          <w:tcPr>
            <w:tcW w:w="6095" w:type="dxa"/>
            <w:tcBorders>
              <w:top w:val="single" w:sz="4" w:space="0" w:color="000000" w:themeColor="text1"/>
            </w:tcBorders>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Control (No fertilizer or organic manure)</w:t>
            </w:r>
          </w:p>
        </w:tc>
      </w:tr>
      <w:tr w:rsidR="009C1168" w:rsidRPr="00A9434C" w:rsidTr="001B3A62">
        <w:trPr>
          <w:trHeight w:val="265"/>
          <w:jc w:val="center"/>
        </w:trPr>
        <w:tc>
          <w:tcPr>
            <w:tcW w:w="1353" w:type="dxa"/>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₁</w:t>
            </w:r>
          </w:p>
        </w:tc>
        <w:tc>
          <w:tcPr>
            <w:tcW w:w="6095" w:type="dxa"/>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100% RDF (150 kg N + 60 kg P</w:t>
            </w:r>
            <w:r w:rsidRPr="00A9434C">
              <w:rPr>
                <w:rFonts w:ascii="Cambria Math" w:hAnsi="Cambria Math" w:cs="Times New Roman"/>
                <w:sz w:val="24"/>
                <w:szCs w:val="24"/>
              </w:rPr>
              <w:t>₂</w:t>
            </w:r>
            <w:r w:rsidRPr="00A9434C">
              <w:rPr>
                <w:rFonts w:ascii="Times New Roman" w:hAnsi="Times New Roman" w:cs="Times New Roman"/>
                <w:sz w:val="24"/>
                <w:szCs w:val="24"/>
              </w:rPr>
              <w:t>O</w:t>
            </w:r>
            <w:r w:rsidRPr="00A9434C">
              <w:rPr>
                <w:rFonts w:ascii="Times New Roman" w:hAnsi="Cambria Math" w:cs="Times New Roman"/>
                <w:sz w:val="24"/>
                <w:szCs w:val="24"/>
              </w:rPr>
              <w:t>₅</w:t>
            </w:r>
            <w:r w:rsidRPr="00A9434C">
              <w:rPr>
                <w:rFonts w:ascii="Times New Roman" w:hAnsi="Times New Roman" w:cs="Times New Roman"/>
                <w:sz w:val="24"/>
                <w:szCs w:val="24"/>
              </w:rPr>
              <w:t xml:space="preserve"> + 50 kg K</w:t>
            </w:r>
            <w:r w:rsidRPr="00A9434C">
              <w:rPr>
                <w:rFonts w:ascii="Cambria Math" w:hAnsi="Cambria Math" w:cs="Times New Roman"/>
                <w:sz w:val="24"/>
                <w:szCs w:val="24"/>
              </w:rPr>
              <w:t>₂</w:t>
            </w:r>
            <w:r w:rsidRPr="00A9434C">
              <w:rPr>
                <w:rFonts w:ascii="Times New Roman" w:hAnsi="Times New Roman" w:cs="Times New Roman"/>
                <w:sz w:val="24"/>
                <w:szCs w:val="24"/>
              </w:rPr>
              <w:t xml:space="preserve">O </w:t>
            </w:r>
            <w:commentRangeStart w:id="10"/>
            <w:r w:rsidRPr="00A9434C">
              <w:rPr>
                <w:rFonts w:ascii="Times New Roman" w:hAnsi="Times New Roman" w:cs="Times New Roman"/>
                <w:sz w:val="24"/>
                <w:szCs w:val="24"/>
              </w:rPr>
              <w:t>ha</w:t>
            </w:r>
            <w:r w:rsidRPr="00A9434C">
              <w:rPr>
                <w:rFonts w:ascii="Times New Roman" w:hAnsi="Cambria Math" w:cs="Times New Roman"/>
                <w:sz w:val="24"/>
                <w:szCs w:val="24"/>
              </w:rPr>
              <w:t>⁻</w:t>
            </w:r>
            <w:r w:rsidRPr="00A9434C">
              <w:rPr>
                <w:rFonts w:ascii="Times New Roman" w:hAnsi="Times New Roman" w:cs="Times New Roman"/>
                <w:sz w:val="24"/>
                <w:szCs w:val="24"/>
              </w:rPr>
              <w:t>¹</w:t>
            </w:r>
            <w:commentRangeEnd w:id="10"/>
            <w:r w:rsidR="001D6DE2">
              <w:rPr>
                <w:rStyle w:val="CommentReference"/>
              </w:rPr>
              <w:commentReference w:id="10"/>
            </w:r>
            <w:r w:rsidRPr="00A9434C">
              <w:rPr>
                <w:rFonts w:ascii="Times New Roman" w:hAnsi="Times New Roman" w:cs="Times New Roman"/>
                <w:sz w:val="24"/>
                <w:szCs w:val="24"/>
              </w:rPr>
              <w:t>)</w:t>
            </w:r>
          </w:p>
        </w:tc>
      </w:tr>
      <w:tr w:rsidR="009C1168" w:rsidRPr="00A9434C" w:rsidTr="001B3A62">
        <w:trPr>
          <w:trHeight w:val="255"/>
          <w:jc w:val="center"/>
        </w:trPr>
        <w:tc>
          <w:tcPr>
            <w:tcW w:w="1353" w:type="dxa"/>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₂</w:t>
            </w:r>
          </w:p>
        </w:tc>
        <w:tc>
          <w:tcPr>
            <w:tcW w:w="6095" w:type="dxa"/>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FYM</w:t>
            </w:r>
          </w:p>
        </w:tc>
      </w:tr>
      <w:tr w:rsidR="009C1168" w:rsidRPr="00A9434C" w:rsidTr="001B3A62">
        <w:trPr>
          <w:trHeight w:val="412"/>
          <w:jc w:val="center"/>
        </w:trPr>
        <w:tc>
          <w:tcPr>
            <w:tcW w:w="1353" w:type="dxa"/>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lastRenderedPageBreak/>
              <w:t>T</w:t>
            </w:r>
            <w:r w:rsidRPr="00A9434C">
              <w:rPr>
                <w:rFonts w:ascii="Cambria Math" w:hAnsi="Cambria Math" w:cs="Times New Roman"/>
                <w:sz w:val="24"/>
                <w:szCs w:val="24"/>
              </w:rPr>
              <w:t>₃</w:t>
            </w:r>
          </w:p>
        </w:tc>
        <w:tc>
          <w:tcPr>
            <w:tcW w:w="6095" w:type="dxa"/>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Vermicompost</w:t>
            </w:r>
          </w:p>
        </w:tc>
      </w:tr>
      <w:tr w:rsidR="009C1168" w:rsidRPr="00A9434C" w:rsidTr="001B3A62">
        <w:trPr>
          <w:trHeight w:val="251"/>
          <w:jc w:val="center"/>
        </w:trPr>
        <w:tc>
          <w:tcPr>
            <w:tcW w:w="1353" w:type="dxa"/>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₄</w:t>
            </w:r>
          </w:p>
        </w:tc>
        <w:tc>
          <w:tcPr>
            <w:tcW w:w="6095" w:type="dxa"/>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Poultry Manure</w:t>
            </w:r>
          </w:p>
        </w:tc>
      </w:tr>
      <w:tr w:rsidR="009C1168" w:rsidRPr="00A9434C" w:rsidTr="001B3A62">
        <w:trPr>
          <w:trHeight w:val="525"/>
          <w:jc w:val="center"/>
        </w:trPr>
        <w:tc>
          <w:tcPr>
            <w:tcW w:w="1353" w:type="dxa"/>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₅</w:t>
            </w:r>
          </w:p>
        </w:tc>
        <w:tc>
          <w:tcPr>
            <w:tcW w:w="6095" w:type="dxa"/>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⅓ FYM + ⅓ Vermicompost + ⅓ Poultry Manure</w:t>
            </w:r>
          </w:p>
        </w:tc>
      </w:tr>
      <w:tr w:rsidR="009C1168" w:rsidRPr="00A9434C" w:rsidTr="00994F5F">
        <w:trPr>
          <w:trHeight w:val="249"/>
          <w:jc w:val="center"/>
        </w:trPr>
        <w:tc>
          <w:tcPr>
            <w:tcW w:w="1353" w:type="dxa"/>
            <w:tcBorders>
              <w:top w:val="nil"/>
            </w:tcBorders>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₆</w:t>
            </w:r>
          </w:p>
        </w:tc>
        <w:tc>
          <w:tcPr>
            <w:tcW w:w="6095" w:type="dxa"/>
            <w:tcBorders>
              <w:top w:val="nil"/>
            </w:tcBorders>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FYM</w:t>
            </w:r>
          </w:p>
        </w:tc>
      </w:tr>
      <w:tr w:rsidR="009C1168" w:rsidRPr="00A9434C" w:rsidTr="001B3A62">
        <w:trPr>
          <w:trHeight w:val="253"/>
          <w:jc w:val="center"/>
        </w:trPr>
        <w:tc>
          <w:tcPr>
            <w:tcW w:w="1353" w:type="dxa"/>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₇</w:t>
            </w:r>
          </w:p>
        </w:tc>
        <w:tc>
          <w:tcPr>
            <w:tcW w:w="6095" w:type="dxa"/>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Vermicompost</w:t>
            </w:r>
          </w:p>
        </w:tc>
      </w:tr>
      <w:tr w:rsidR="009C1168" w:rsidRPr="00A9434C" w:rsidTr="001B3A62">
        <w:trPr>
          <w:trHeight w:val="371"/>
          <w:jc w:val="center"/>
        </w:trPr>
        <w:tc>
          <w:tcPr>
            <w:tcW w:w="1353" w:type="dxa"/>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₈</w:t>
            </w:r>
          </w:p>
        </w:tc>
        <w:tc>
          <w:tcPr>
            <w:tcW w:w="6095" w:type="dxa"/>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Poultry Manure</w:t>
            </w:r>
          </w:p>
        </w:tc>
      </w:tr>
      <w:tr w:rsidR="009C1168" w:rsidRPr="00A9434C" w:rsidTr="00CD42E4">
        <w:trPr>
          <w:trHeight w:val="557"/>
          <w:jc w:val="center"/>
        </w:trPr>
        <w:tc>
          <w:tcPr>
            <w:tcW w:w="1353" w:type="dxa"/>
            <w:tcBorders>
              <w:bottom w:val="single" w:sz="4" w:space="0" w:color="000000" w:themeColor="text1"/>
            </w:tcBorders>
          </w:tcPr>
          <w:p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₉</w:t>
            </w:r>
          </w:p>
        </w:tc>
        <w:tc>
          <w:tcPr>
            <w:tcW w:w="6095" w:type="dxa"/>
            <w:tcBorders>
              <w:bottom w:val="single" w:sz="4" w:space="0" w:color="000000" w:themeColor="text1"/>
            </w:tcBorders>
          </w:tcPr>
          <w:p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⅓ FYM + ⅓ Vermicompost + ⅓ Poultry Manure</w:t>
            </w:r>
          </w:p>
        </w:tc>
      </w:tr>
    </w:tbl>
    <w:p w:rsidR="001C367E" w:rsidRDefault="003522D4" w:rsidP="00A60132">
      <w:pPr>
        <w:spacing w:before="100" w:beforeAutospacing="1" w:after="100" w:afterAutospacing="1" w:line="360" w:lineRule="auto"/>
        <w:jc w:val="both"/>
        <w:rPr>
          <w:rFonts w:ascii="Arial" w:hAnsi="Arial" w:cs="Arial"/>
          <w:sz w:val="20"/>
          <w:szCs w:val="24"/>
        </w:rPr>
      </w:pPr>
      <w:r>
        <w:rPr>
          <w:rFonts w:ascii="Arial" w:hAnsi="Arial" w:cs="Arial"/>
          <w:sz w:val="20"/>
          <w:szCs w:val="24"/>
        </w:rPr>
        <w:t>(</w:t>
      </w:r>
      <w:r w:rsidR="001C367E">
        <w:rPr>
          <w:rFonts w:ascii="Arial" w:hAnsi="Arial" w:cs="Arial"/>
          <w:sz w:val="20"/>
          <w:szCs w:val="24"/>
        </w:rPr>
        <w:t xml:space="preserve">Abbreviation:  </w:t>
      </w:r>
      <w:r w:rsidR="00D72257">
        <w:rPr>
          <w:rFonts w:ascii="Arial" w:hAnsi="Arial" w:cs="Arial"/>
          <w:sz w:val="20"/>
          <w:szCs w:val="24"/>
        </w:rPr>
        <w:t xml:space="preserve">INM (Integrated Nutrient Management), </w:t>
      </w:r>
      <w:r>
        <w:rPr>
          <w:rFonts w:ascii="Arial" w:hAnsi="Arial" w:cs="Arial"/>
          <w:sz w:val="20"/>
          <w:szCs w:val="24"/>
        </w:rPr>
        <w:t>RDF (Recommended Dose of Fertilizer), RDN (Recommended Dose of Nutrients)</w:t>
      </w:r>
      <w:r w:rsidR="003B278F">
        <w:rPr>
          <w:rFonts w:ascii="Arial" w:hAnsi="Arial" w:cs="Arial"/>
          <w:sz w:val="20"/>
          <w:szCs w:val="24"/>
        </w:rPr>
        <w:t>, FYM (Farm Yard Manure) C.V (Commercial variety)</w:t>
      </w:r>
    </w:p>
    <w:p w:rsidR="00A60132" w:rsidRPr="00A60132" w:rsidRDefault="00A60132" w:rsidP="00A60132">
      <w:pPr>
        <w:spacing w:before="100" w:beforeAutospacing="1" w:after="100" w:afterAutospacing="1" w:line="360" w:lineRule="auto"/>
        <w:jc w:val="both"/>
        <w:rPr>
          <w:rFonts w:ascii="Arial" w:hAnsi="Arial" w:cs="Arial"/>
          <w:sz w:val="20"/>
          <w:szCs w:val="24"/>
        </w:rPr>
      </w:pPr>
      <w:r w:rsidRPr="00A60132">
        <w:rPr>
          <w:rFonts w:ascii="Arial" w:hAnsi="Arial" w:cs="Arial"/>
          <w:sz w:val="20"/>
          <w:szCs w:val="24"/>
        </w:rPr>
        <w:t xml:space="preserve">Here, </w:t>
      </w:r>
      <w:r w:rsidRPr="00A60132">
        <w:rPr>
          <w:rStyle w:val="Strong"/>
          <w:rFonts w:ascii="Arial" w:hAnsi="Arial" w:cs="Arial"/>
          <w:b w:val="0"/>
          <w:sz w:val="20"/>
          <w:szCs w:val="24"/>
        </w:rPr>
        <w:t>RDF</w:t>
      </w:r>
      <w:r w:rsidRPr="00A60132">
        <w:rPr>
          <w:rFonts w:ascii="Arial" w:hAnsi="Arial" w:cs="Arial"/>
          <w:sz w:val="20"/>
          <w:szCs w:val="24"/>
        </w:rPr>
        <w:t xml:space="preserve"> refers to the Recommended Dose of Fertilizers, and </w:t>
      </w:r>
      <w:r w:rsidRPr="00A60132">
        <w:rPr>
          <w:rStyle w:val="Strong"/>
          <w:rFonts w:ascii="Arial" w:hAnsi="Arial" w:cs="Arial"/>
          <w:b w:val="0"/>
          <w:sz w:val="20"/>
          <w:szCs w:val="24"/>
        </w:rPr>
        <w:t>RDN</w:t>
      </w:r>
      <w:r w:rsidRPr="00A60132">
        <w:rPr>
          <w:rFonts w:ascii="Arial" w:hAnsi="Arial" w:cs="Arial"/>
          <w:sz w:val="20"/>
          <w:szCs w:val="24"/>
        </w:rPr>
        <w:t xml:space="preserve"> denotes the Recommended Dose of Nitrogen supplied through organic sources such as </w:t>
      </w:r>
      <w:commentRangeStart w:id="11"/>
      <w:r w:rsidRPr="00A60132">
        <w:rPr>
          <w:rFonts w:ascii="Arial" w:hAnsi="Arial" w:cs="Arial"/>
          <w:sz w:val="20"/>
          <w:szCs w:val="24"/>
        </w:rPr>
        <w:t>FYM, vermicompost, and poultry manure</w:t>
      </w:r>
      <w:commentRangeEnd w:id="11"/>
      <w:r w:rsidR="001D6DE2">
        <w:rPr>
          <w:rStyle w:val="CommentReference"/>
        </w:rPr>
        <w:commentReference w:id="11"/>
      </w:r>
      <w:r w:rsidRPr="00A60132">
        <w:rPr>
          <w:rFonts w:ascii="Arial" w:hAnsi="Arial" w:cs="Arial"/>
          <w:sz w:val="20"/>
          <w:szCs w:val="24"/>
        </w:rPr>
        <w:t>. The treatments were applied as per standard INM trials conducted in similar agro-climatic conditions (Patel &amp; Patel, 2011; Yadav &amp; Meena, 2014; Sharma &amp; Yadav, 2017).</w:t>
      </w:r>
    </w:p>
    <w:p w:rsidR="00DC000D" w:rsidRPr="00DC000D" w:rsidRDefault="00DC000D" w:rsidP="00DC000D">
      <w:pPr>
        <w:spacing w:before="100" w:beforeAutospacing="1" w:after="100" w:afterAutospacing="1" w:line="240" w:lineRule="auto"/>
        <w:jc w:val="both"/>
        <w:outlineLvl w:val="2"/>
        <w:rPr>
          <w:rFonts w:ascii="Arial" w:eastAsia="Times New Roman" w:hAnsi="Arial" w:cs="Arial"/>
          <w:b/>
          <w:bCs/>
          <w:sz w:val="24"/>
          <w:szCs w:val="28"/>
        </w:rPr>
      </w:pPr>
      <w:r w:rsidRPr="00DC000D">
        <w:rPr>
          <w:rFonts w:ascii="Arial" w:eastAsia="Times New Roman" w:hAnsi="Arial" w:cs="Arial"/>
          <w:b/>
          <w:bCs/>
          <w:sz w:val="24"/>
          <w:szCs w:val="28"/>
        </w:rPr>
        <w:t>Results and discussion</w:t>
      </w:r>
    </w:p>
    <w:p w:rsidR="00A60132" w:rsidRPr="008D5F58" w:rsidRDefault="001F4AAA" w:rsidP="00CA72E6">
      <w:pPr>
        <w:spacing w:before="100" w:beforeAutospacing="1" w:after="100" w:afterAutospacing="1" w:line="360" w:lineRule="auto"/>
        <w:jc w:val="both"/>
        <w:outlineLvl w:val="2"/>
        <w:rPr>
          <w:rFonts w:ascii="Arial" w:eastAsia="Times New Roman" w:hAnsi="Arial" w:cs="Arial"/>
          <w:bCs/>
          <w:sz w:val="18"/>
          <w:szCs w:val="28"/>
        </w:rPr>
      </w:pPr>
      <w:commentRangeStart w:id="12"/>
      <w:r w:rsidRPr="001F4AAA">
        <w:rPr>
          <w:rFonts w:ascii="Arial" w:eastAsia="Times New Roman" w:hAnsi="Arial" w:cs="Arial"/>
          <w:bCs/>
          <w:sz w:val="20"/>
          <w:szCs w:val="28"/>
        </w:rPr>
        <w:t>The present investigation was carried out to assess the impact of integrated nutrient management (INM) on yield in wheat (</w:t>
      </w:r>
      <w:r w:rsidRPr="001F4AAA">
        <w:rPr>
          <w:rFonts w:ascii="Arial" w:eastAsia="Times New Roman" w:hAnsi="Arial" w:cs="Arial"/>
          <w:bCs/>
          <w:i/>
          <w:sz w:val="20"/>
          <w:szCs w:val="28"/>
        </w:rPr>
        <w:t>Triticum aestivum</w:t>
      </w:r>
      <w:r w:rsidRPr="001F4AAA">
        <w:rPr>
          <w:rFonts w:ascii="Arial" w:eastAsia="Times New Roman" w:hAnsi="Arial" w:cs="Arial"/>
          <w:bCs/>
          <w:sz w:val="20"/>
          <w:szCs w:val="28"/>
        </w:rPr>
        <w:t xml:space="preserve"> L.) c.v. PBW-226. The experiment, conducted during the Rabi season of 2024–25 at the Agricultural Research Farm of R.B. (PG) College, Agra, included ten treatments comprising various combinations of recommended dose of fertilizers (RDF) and organic nutrient sources such as farmyard manure (FYM), vermicompost, and poultry manure</w:t>
      </w:r>
      <w:commentRangeEnd w:id="12"/>
      <w:r w:rsidR="0058474F">
        <w:rPr>
          <w:rStyle w:val="CommentReference"/>
        </w:rPr>
        <w:commentReference w:id="12"/>
      </w:r>
      <w:r w:rsidRPr="001F4AAA">
        <w:rPr>
          <w:rFonts w:ascii="Arial" w:eastAsia="Times New Roman" w:hAnsi="Arial" w:cs="Arial"/>
          <w:bCs/>
          <w:sz w:val="20"/>
          <w:szCs w:val="28"/>
        </w:rPr>
        <w:t>.</w:t>
      </w:r>
      <w:commentRangeStart w:id="13"/>
      <w:r w:rsidRPr="001F4AAA">
        <w:rPr>
          <w:rFonts w:ascii="Arial" w:eastAsia="Times New Roman" w:hAnsi="Arial" w:cs="Arial"/>
          <w:bCs/>
          <w:sz w:val="20"/>
          <w:szCs w:val="28"/>
        </w:rPr>
        <w:t>Initial</w:t>
      </w:r>
      <w:commentRangeEnd w:id="13"/>
      <w:r w:rsidR="0058474F">
        <w:rPr>
          <w:rStyle w:val="CommentReference"/>
        </w:rPr>
        <w:commentReference w:id="13"/>
      </w:r>
      <w:r w:rsidRPr="001F4AAA">
        <w:rPr>
          <w:rFonts w:ascii="Arial" w:eastAsia="Times New Roman" w:hAnsi="Arial" w:cs="Arial"/>
          <w:bCs/>
          <w:sz w:val="20"/>
          <w:szCs w:val="28"/>
        </w:rPr>
        <w:t xml:space="preserve"> plant population (</w:t>
      </w:r>
      <w:commentRangeStart w:id="14"/>
      <w:r w:rsidRPr="001F4AAA">
        <w:rPr>
          <w:rFonts w:ascii="Arial" w:eastAsia="Times New Roman" w:hAnsi="Arial" w:cs="Arial"/>
          <w:bCs/>
          <w:sz w:val="20"/>
          <w:szCs w:val="28"/>
        </w:rPr>
        <w:t>m</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²</w:t>
      </w:r>
      <w:commentRangeEnd w:id="14"/>
      <w:r w:rsidR="005C1065">
        <w:rPr>
          <w:rStyle w:val="CommentReference"/>
        </w:rPr>
        <w:commentReference w:id="14"/>
      </w:r>
      <w:r w:rsidRPr="001F4AAA">
        <w:rPr>
          <w:rFonts w:ascii="Arial" w:eastAsia="Times New Roman" w:hAnsi="Arial" w:cs="Arial"/>
          <w:bCs/>
          <w:sz w:val="20"/>
          <w:szCs w:val="28"/>
        </w:rPr>
        <w:t>) recorded at 20 days after sowing (DAS) did not show significant differences among the treatments, indicating uniform crop establishment across the experimental plots. However, plant height was significantly influenced by the nutrient management practices. Maximum plant height was recorded in treatment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(50% RDF + 50% RDN through FYM, vermicompost, and poultry manure) and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xml:space="preserve"> (25% RDF + 75% RDN through the same organic combination), reflecting the positive impact of combined organic and inorganic nutrient sources on vegetative </w:t>
      </w:r>
      <w:r w:rsidR="00EE4172" w:rsidRPr="001F4AAA">
        <w:rPr>
          <w:rFonts w:ascii="Arial" w:eastAsia="Times New Roman" w:hAnsi="Arial" w:cs="Arial"/>
          <w:bCs/>
          <w:sz w:val="20"/>
          <w:szCs w:val="28"/>
        </w:rPr>
        <w:t>growth.</w:t>
      </w:r>
      <w:r w:rsidR="00EE4172">
        <w:rPr>
          <w:rFonts w:ascii="Arial" w:eastAsia="Times New Roman" w:hAnsi="Arial" w:cs="Arial"/>
          <w:bCs/>
          <w:sz w:val="20"/>
          <w:szCs w:val="28"/>
        </w:rPr>
        <w:t xml:space="preserve"> The similar result was reported by Lodhi </w:t>
      </w:r>
      <w:r w:rsidR="00EE4172" w:rsidRPr="00EE4172">
        <w:rPr>
          <w:rFonts w:ascii="Arial" w:eastAsia="Times New Roman" w:hAnsi="Arial" w:cs="Arial"/>
          <w:bCs/>
          <w:i/>
          <w:sz w:val="20"/>
          <w:szCs w:val="28"/>
        </w:rPr>
        <w:t>et al.,</w:t>
      </w:r>
      <w:r w:rsidR="00EE4172">
        <w:rPr>
          <w:rFonts w:ascii="Arial" w:eastAsia="Times New Roman" w:hAnsi="Arial" w:cs="Arial"/>
          <w:bCs/>
          <w:sz w:val="20"/>
          <w:szCs w:val="28"/>
        </w:rPr>
        <w:t xml:space="preserve"> (2024).</w:t>
      </w:r>
      <w:r w:rsidRPr="001F4AAA">
        <w:rPr>
          <w:rFonts w:ascii="Arial" w:eastAsia="Times New Roman" w:hAnsi="Arial" w:cs="Arial"/>
          <w:bCs/>
          <w:sz w:val="20"/>
          <w:szCs w:val="28"/>
        </w:rPr>
        <w:t>The number of tillers per square meter was significantly higher under T</w:t>
      </w:r>
      <w:r w:rsidRPr="001F4AAA">
        <w:rPr>
          <w:rFonts w:ascii="Cambria Math" w:eastAsia="Times New Roman" w:hAnsi="Cambria Math" w:cs="Cambria Math"/>
          <w:bCs/>
          <w:sz w:val="20"/>
          <w:szCs w:val="28"/>
        </w:rPr>
        <w:t>₂</w:t>
      </w:r>
      <w:r w:rsidRPr="001F4AAA">
        <w:rPr>
          <w:rFonts w:ascii="Arial" w:eastAsia="Times New Roman" w:hAnsi="Arial" w:cs="Arial"/>
          <w:bCs/>
          <w:sz w:val="20"/>
          <w:szCs w:val="28"/>
        </w:rPr>
        <w:t xml:space="preserve"> (100% RDN through FYM), with 361.33 tillers, indicating that FYM promoted early and vigorous vegetative development.</w:t>
      </w:r>
      <w:r w:rsidR="00EE4172">
        <w:rPr>
          <w:rFonts w:ascii="Arial" w:eastAsia="Times New Roman" w:hAnsi="Arial" w:cs="Arial"/>
          <w:bCs/>
          <w:sz w:val="20"/>
          <w:szCs w:val="28"/>
        </w:rPr>
        <w:t xml:space="preserve"> The similar result was reported by Kumar and Kumar (2025).</w:t>
      </w:r>
      <w:r w:rsidRPr="001F4AAA">
        <w:rPr>
          <w:rFonts w:ascii="Arial" w:eastAsia="Times New Roman" w:hAnsi="Arial" w:cs="Arial"/>
          <w:bCs/>
          <w:sz w:val="20"/>
          <w:szCs w:val="28"/>
        </w:rPr>
        <w:t>Days to 50% flowering were earliest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(68.67 DAS), suggesting that integrated nutrient application enhanced physiological development and reproductive transition. Similarly, the crop attained maturity earlier under treatments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xml:space="preserve"> and T</w:t>
      </w:r>
      <w:r w:rsidRPr="001F4AAA">
        <w:rPr>
          <w:rFonts w:ascii="Cambria Math" w:eastAsia="Times New Roman" w:hAnsi="Cambria Math" w:cs="Cambria Math"/>
          <w:bCs/>
          <w:sz w:val="20"/>
          <w:szCs w:val="28"/>
        </w:rPr>
        <w:t>₈</w:t>
      </w:r>
      <w:r w:rsidRPr="001F4AAA">
        <w:rPr>
          <w:rFonts w:ascii="Arial" w:eastAsia="Times New Roman" w:hAnsi="Arial" w:cs="Arial"/>
          <w:bCs/>
          <w:sz w:val="20"/>
          <w:szCs w:val="28"/>
        </w:rPr>
        <w:t xml:space="preserve"> (116.33 DAS), which included vermicompost and poultry manure, respectively. This indicates that organic manures might have contributed </w:t>
      </w:r>
      <w:commentRangeStart w:id="15"/>
      <w:r w:rsidRPr="001F4AAA">
        <w:rPr>
          <w:rFonts w:ascii="Arial" w:eastAsia="Times New Roman" w:hAnsi="Arial" w:cs="Arial"/>
          <w:bCs/>
          <w:sz w:val="20"/>
          <w:szCs w:val="28"/>
        </w:rPr>
        <w:t>tofaster</w:t>
      </w:r>
      <w:commentRangeEnd w:id="15"/>
      <w:r w:rsidR="005C1065">
        <w:rPr>
          <w:rStyle w:val="CommentReference"/>
        </w:rPr>
        <w:commentReference w:id="15"/>
      </w:r>
      <w:r w:rsidRPr="001F4AAA">
        <w:rPr>
          <w:rFonts w:ascii="Arial" w:eastAsia="Times New Roman" w:hAnsi="Arial" w:cs="Arial"/>
          <w:bCs/>
          <w:sz w:val="20"/>
          <w:szCs w:val="28"/>
        </w:rPr>
        <w:t xml:space="preserve"> crop development due to improved soil health and nutrient availability.</w:t>
      </w:r>
      <w:r w:rsidR="00EE4172">
        <w:rPr>
          <w:rFonts w:ascii="Arial" w:eastAsia="Times New Roman" w:hAnsi="Arial" w:cs="Arial"/>
          <w:bCs/>
          <w:sz w:val="20"/>
          <w:szCs w:val="28"/>
        </w:rPr>
        <w:t xml:space="preserve">The similar result was reported by Singh </w:t>
      </w:r>
      <w:r w:rsidR="00EE4172" w:rsidRPr="00EE4172">
        <w:rPr>
          <w:rFonts w:ascii="Arial" w:eastAsia="Times New Roman" w:hAnsi="Arial" w:cs="Arial"/>
          <w:bCs/>
          <w:i/>
          <w:sz w:val="20"/>
          <w:szCs w:val="28"/>
        </w:rPr>
        <w:t>et al.,</w:t>
      </w:r>
      <w:r w:rsidR="00EE4172">
        <w:rPr>
          <w:rFonts w:ascii="Arial" w:eastAsia="Times New Roman" w:hAnsi="Arial" w:cs="Arial"/>
          <w:bCs/>
          <w:sz w:val="20"/>
          <w:szCs w:val="28"/>
        </w:rPr>
        <w:t xml:space="preserve"> (2024).</w:t>
      </w:r>
      <w:r w:rsidRPr="001F4AAA">
        <w:rPr>
          <w:rFonts w:ascii="Arial" w:eastAsia="Times New Roman" w:hAnsi="Arial" w:cs="Arial"/>
          <w:bCs/>
          <w:sz w:val="20"/>
          <w:szCs w:val="28"/>
        </w:rPr>
        <w:t>The yield-attributing characters were positively affected by the application of INM treatments. Spike length was maximum in T</w:t>
      </w:r>
      <w:r w:rsidRPr="001F4AAA">
        <w:rPr>
          <w:rFonts w:ascii="Cambria Math" w:eastAsia="Times New Roman" w:hAnsi="Cambria Math" w:cs="Cambria Math"/>
          <w:bCs/>
          <w:sz w:val="20"/>
          <w:szCs w:val="28"/>
        </w:rPr>
        <w:t>₈</w:t>
      </w:r>
      <w:r w:rsidRPr="001F4AAA">
        <w:rPr>
          <w:rFonts w:ascii="Arial" w:eastAsia="Times New Roman" w:hAnsi="Arial" w:cs="Arial"/>
          <w:bCs/>
          <w:sz w:val="20"/>
          <w:szCs w:val="28"/>
        </w:rPr>
        <w:t xml:space="preserve"> (23.00 cm), indicating the beneficial role of poultry manure in spike development. The number of spikelets per spike </w:t>
      </w:r>
      <w:commentRangeStart w:id="16"/>
      <w:r w:rsidRPr="001F4AAA">
        <w:rPr>
          <w:rFonts w:ascii="Arial" w:eastAsia="Times New Roman" w:hAnsi="Arial" w:cs="Arial"/>
          <w:bCs/>
          <w:sz w:val="20"/>
          <w:szCs w:val="28"/>
        </w:rPr>
        <w:t>was</w:t>
      </w:r>
      <w:commentRangeEnd w:id="16"/>
      <w:r w:rsidR="005C1065">
        <w:rPr>
          <w:rStyle w:val="CommentReference"/>
        </w:rPr>
        <w:commentReference w:id="16"/>
      </w:r>
      <w:r w:rsidRPr="001F4AAA">
        <w:rPr>
          <w:rFonts w:ascii="Arial" w:eastAsia="Times New Roman" w:hAnsi="Arial" w:cs="Arial"/>
          <w:bCs/>
          <w:sz w:val="20"/>
          <w:szCs w:val="28"/>
        </w:rPr>
        <w:t xml:space="preserve"> highest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(24.07), followed by T</w:t>
      </w:r>
      <w:r w:rsidRPr="001F4AAA">
        <w:rPr>
          <w:rFonts w:ascii="Cambria Math" w:eastAsia="Times New Roman" w:hAnsi="Cambria Math" w:cs="Cambria Math"/>
          <w:bCs/>
          <w:sz w:val="20"/>
          <w:szCs w:val="28"/>
        </w:rPr>
        <w:t>₃</w:t>
      </w:r>
      <w:r w:rsidRPr="001F4AAA">
        <w:rPr>
          <w:rFonts w:ascii="Arial" w:eastAsia="Times New Roman" w:hAnsi="Arial" w:cs="Arial"/>
          <w:bCs/>
          <w:sz w:val="20"/>
          <w:szCs w:val="28"/>
        </w:rPr>
        <w:t xml:space="preserve">, showing </w:t>
      </w:r>
      <w:r w:rsidRPr="001F4AAA">
        <w:rPr>
          <w:rFonts w:ascii="Arial" w:eastAsia="Times New Roman" w:hAnsi="Arial" w:cs="Arial"/>
          <w:bCs/>
          <w:sz w:val="20"/>
          <w:szCs w:val="28"/>
        </w:rPr>
        <w:lastRenderedPageBreak/>
        <w:t xml:space="preserve">the advantage of balanced nutrient supply from organic-inorganic combinations. The maximum number of grains per spike </w:t>
      </w:r>
      <w:commentRangeStart w:id="17"/>
      <w:r w:rsidRPr="001F4AAA">
        <w:rPr>
          <w:rFonts w:ascii="Arial" w:eastAsia="Times New Roman" w:hAnsi="Arial" w:cs="Arial"/>
          <w:bCs/>
          <w:sz w:val="20"/>
          <w:szCs w:val="28"/>
        </w:rPr>
        <w:t>was</w:t>
      </w:r>
      <w:commentRangeEnd w:id="17"/>
      <w:r w:rsidR="00632812">
        <w:rPr>
          <w:rStyle w:val="CommentReference"/>
        </w:rPr>
        <w:commentReference w:id="17"/>
      </w:r>
      <w:r w:rsidRPr="001F4AAA">
        <w:rPr>
          <w:rFonts w:ascii="Arial" w:eastAsia="Times New Roman" w:hAnsi="Arial" w:cs="Arial"/>
          <w:bCs/>
          <w:sz w:val="20"/>
          <w:szCs w:val="28"/>
        </w:rPr>
        <w:t xml:space="preserve"> recorded in T</w:t>
      </w:r>
      <w:r w:rsidRPr="001F4AAA">
        <w:rPr>
          <w:rFonts w:ascii="Cambria Math" w:eastAsia="Times New Roman" w:hAnsi="Cambria Math" w:cs="Cambria Math"/>
          <w:bCs/>
          <w:sz w:val="20"/>
          <w:szCs w:val="28"/>
        </w:rPr>
        <w:t>₂</w:t>
      </w:r>
      <w:r w:rsidRPr="001F4AAA">
        <w:rPr>
          <w:rFonts w:ascii="Arial" w:eastAsia="Times New Roman" w:hAnsi="Arial" w:cs="Arial"/>
          <w:bCs/>
          <w:sz w:val="20"/>
          <w:szCs w:val="28"/>
        </w:rPr>
        <w:t xml:space="preserve"> (54.87), which can be attributed to the slow and continuous nutrient release pattern of FYM. T</w:t>
      </w:r>
      <w:r w:rsidRPr="001F4AAA">
        <w:rPr>
          <w:rFonts w:ascii="Cambria Math" w:eastAsia="Times New Roman" w:hAnsi="Cambria Math" w:cs="Cambria Math"/>
          <w:bCs/>
          <w:sz w:val="20"/>
          <w:szCs w:val="28"/>
        </w:rPr>
        <w:t>₃</w:t>
      </w:r>
      <w:r w:rsidRPr="001F4AAA">
        <w:rPr>
          <w:rFonts w:ascii="Arial" w:eastAsia="Times New Roman" w:hAnsi="Arial" w:cs="Arial"/>
          <w:bCs/>
          <w:sz w:val="20"/>
          <w:szCs w:val="28"/>
        </w:rPr>
        <w:t xml:space="preserve"> (100% RDN through vermicompost) produced the highest grain weight per spike (4.30 g), indicating better assimilate translocation under vermicompost-based nutrition.</w:t>
      </w:r>
      <w:r w:rsidR="008D5F58">
        <w:rPr>
          <w:rFonts w:ascii="Arial" w:eastAsia="Times New Roman" w:hAnsi="Arial" w:cs="Arial"/>
          <w:bCs/>
          <w:sz w:val="20"/>
          <w:szCs w:val="28"/>
        </w:rPr>
        <w:t xml:space="preserve"> The similar result found by Verma </w:t>
      </w:r>
      <w:r w:rsidR="008D5F58" w:rsidRPr="008D5F58">
        <w:rPr>
          <w:rFonts w:ascii="Arial" w:eastAsia="Times New Roman" w:hAnsi="Arial" w:cs="Arial"/>
          <w:bCs/>
          <w:i/>
          <w:sz w:val="20"/>
          <w:szCs w:val="28"/>
        </w:rPr>
        <w:t>et al.,</w:t>
      </w:r>
      <w:r w:rsidR="00485657">
        <w:rPr>
          <w:rFonts w:ascii="Arial" w:eastAsia="Times New Roman" w:hAnsi="Arial" w:cs="Arial"/>
          <w:bCs/>
          <w:sz w:val="20"/>
          <w:szCs w:val="28"/>
        </w:rPr>
        <w:t xml:space="preserve"> (2022</w:t>
      </w:r>
      <w:r w:rsidR="008D5F58">
        <w:rPr>
          <w:rFonts w:ascii="Arial" w:eastAsia="Times New Roman" w:hAnsi="Arial" w:cs="Arial"/>
          <w:bCs/>
          <w:sz w:val="20"/>
          <w:szCs w:val="28"/>
        </w:rPr>
        <w:t>).</w:t>
      </w:r>
      <w:r w:rsidRPr="001F4AAA">
        <w:rPr>
          <w:rFonts w:ascii="Arial" w:eastAsia="Times New Roman" w:hAnsi="Arial" w:cs="Arial"/>
          <w:bCs/>
          <w:sz w:val="20"/>
          <w:szCs w:val="28"/>
        </w:rPr>
        <w:t xml:space="preserve"> Test weight varied slightly among treatments, with the highest value in T</w:t>
      </w:r>
      <w:r w:rsidRPr="001F4AAA">
        <w:rPr>
          <w:rFonts w:ascii="Cambria Math" w:eastAsia="Times New Roman" w:hAnsi="Cambria Math" w:cs="Cambria Math"/>
          <w:bCs/>
          <w:sz w:val="20"/>
          <w:szCs w:val="28"/>
        </w:rPr>
        <w:t>₄</w:t>
      </w:r>
      <w:r w:rsidRPr="001F4AAA">
        <w:rPr>
          <w:rFonts w:ascii="Arial" w:eastAsia="Times New Roman" w:hAnsi="Arial" w:cs="Arial"/>
          <w:bCs/>
          <w:sz w:val="20"/>
          <w:szCs w:val="28"/>
        </w:rPr>
        <w:t xml:space="preserve"> (46.33 g) and the lowest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(43.67 g), but the differences were statistically non-significant, implying minimal effect of nutrient sources on seed weight.</w:t>
      </w:r>
      <w:commentRangeStart w:id="18"/>
      <w:r w:rsidRPr="001F4AAA">
        <w:rPr>
          <w:rFonts w:ascii="Arial" w:eastAsia="Times New Roman" w:hAnsi="Arial" w:cs="Arial"/>
          <w:bCs/>
          <w:sz w:val="20"/>
          <w:szCs w:val="28"/>
        </w:rPr>
        <w:t>Significant</w:t>
      </w:r>
      <w:commentRangeEnd w:id="18"/>
      <w:r w:rsidR="00632812">
        <w:rPr>
          <w:rStyle w:val="CommentReference"/>
        </w:rPr>
        <w:commentReference w:id="18"/>
      </w:r>
      <w:r w:rsidRPr="001F4AAA">
        <w:rPr>
          <w:rFonts w:ascii="Arial" w:eastAsia="Times New Roman" w:hAnsi="Arial" w:cs="Arial"/>
          <w:bCs/>
          <w:sz w:val="20"/>
          <w:szCs w:val="28"/>
        </w:rPr>
        <w:t xml:space="preserve"> differences were observed in the yield </w:t>
      </w:r>
      <w:commentRangeStart w:id="19"/>
      <w:r w:rsidRPr="001F4AAA">
        <w:rPr>
          <w:rFonts w:ascii="Arial" w:eastAsia="Times New Roman" w:hAnsi="Arial" w:cs="Arial"/>
          <w:bCs/>
          <w:sz w:val="20"/>
          <w:szCs w:val="28"/>
        </w:rPr>
        <w:t>components</w:t>
      </w:r>
      <w:commentRangeEnd w:id="19"/>
      <w:r w:rsidR="00632812">
        <w:rPr>
          <w:rStyle w:val="CommentReference"/>
        </w:rPr>
        <w:commentReference w:id="19"/>
      </w:r>
      <w:r w:rsidRPr="001F4AAA">
        <w:rPr>
          <w:rFonts w:ascii="Arial" w:eastAsia="Times New Roman" w:hAnsi="Arial" w:cs="Arial"/>
          <w:bCs/>
          <w:sz w:val="20"/>
          <w:szCs w:val="28"/>
        </w:rPr>
        <w:t>.</w:t>
      </w:r>
      <w:r w:rsidR="008D5F58" w:rsidRPr="008D5F58">
        <w:rPr>
          <w:rFonts w:ascii="Arial" w:eastAsia="Times New Roman" w:hAnsi="Arial" w:cs="Arial"/>
          <w:bCs/>
          <w:sz w:val="20"/>
          <w:szCs w:val="28"/>
        </w:rPr>
        <w:t xml:space="preserve">. Similar findings were reported by Khan </w:t>
      </w:r>
      <w:commentRangeStart w:id="20"/>
      <w:r w:rsidR="008D5F58" w:rsidRPr="008D5F58">
        <w:rPr>
          <w:rFonts w:ascii="Arial" w:eastAsia="Times New Roman" w:hAnsi="Arial" w:cs="Arial"/>
          <w:bCs/>
          <w:sz w:val="20"/>
          <w:szCs w:val="28"/>
        </w:rPr>
        <w:t>et al</w:t>
      </w:r>
      <w:commentRangeEnd w:id="20"/>
      <w:r w:rsidR="00632812">
        <w:rPr>
          <w:rStyle w:val="CommentReference"/>
        </w:rPr>
        <w:commentReference w:id="20"/>
      </w:r>
      <w:r w:rsidR="008D5F58" w:rsidRPr="008D5F58">
        <w:rPr>
          <w:rFonts w:ascii="Arial" w:eastAsia="Times New Roman" w:hAnsi="Arial" w:cs="Arial"/>
          <w:bCs/>
          <w:sz w:val="20"/>
          <w:szCs w:val="28"/>
        </w:rPr>
        <w:t>., (</w:t>
      </w:r>
      <w:commentRangeStart w:id="21"/>
      <w:r w:rsidR="008D5F58" w:rsidRPr="008D5F58">
        <w:rPr>
          <w:rFonts w:ascii="Arial" w:eastAsia="Times New Roman" w:hAnsi="Arial" w:cs="Arial"/>
          <w:bCs/>
          <w:sz w:val="20"/>
          <w:szCs w:val="28"/>
        </w:rPr>
        <w:t>2018</w:t>
      </w:r>
      <w:commentRangeEnd w:id="21"/>
      <w:r w:rsidR="00632812">
        <w:rPr>
          <w:rStyle w:val="CommentReference"/>
        </w:rPr>
        <w:commentReference w:id="21"/>
      </w:r>
      <w:r w:rsidR="008D5F58" w:rsidRPr="008D5F58">
        <w:rPr>
          <w:rFonts w:ascii="Arial" w:eastAsia="Times New Roman" w:hAnsi="Arial" w:cs="Arial"/>
          <w:bCs/>
          <w:sz w:val="20"/>
          <w:szCs w:val="28"/>
        </w:rPr>
        <w:t>)</w:t>
      </w:r>
      <w:r w:rsidR="008D5F58">
        <w:rPr>
          <w:rFonts w:ascii="Arial" w:eastAsia="Times New Roman" w:hAnsi="Arial" w:cs="Arial"/>
          <w:bCs/>
          <w:sz w:val="20"/>
          <w:szCs w:val="28"/>
        </w:rPr>
        <w:t>.</w:t>
      </w:r>
      <w:r w:rsidRPr="001F4AAA">
        <w:rPr>
          <w:rFonts w:ascii="Arial" w:eastAsia="Times New Roman" w:hAnsi="Arial" w:cs="Arial"/>
          <w:bCs/>
          <w:sz w:val="20"/>
          <w:szCs w:val="28"/>
        </w:rPr>
        <w:t xml:space="preserve"> The highest biological yield (56.22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was recorded in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followed by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and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which reflects the overall improvement in crop productivity due to integrated nutrient use. Similarly,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xml:space="preserve"> also registered the highest grain yield (45.72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and straw yield (101.94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establishing its superiority among all treatments in terms of yield performance.</w:t>
      </w:r>
      <w:r w:rsidR="00485657" w:rsidRPr="00485657">
        <w:rPr>
          <w:rFonts w:ascii="Arial" w:eastAsia="Times New Roman" w:hAnsi="Arial" w:cs="Arial"/>
          <w:bCs/>
          <w:sz w:val="20"/>
          <w:szCs w:val="28"/>
        </w:rPr>
        <w:t>These observations are consistent with the findings of Chittimothu (2022)</w:t>
      </w:r>
      <w:r w:rsidR="00485657">
        <w:rPr>
          <w:rFonts w:ascii="Arial" w:eastAsia="Times New Roman" w:hAnsi="Arial" w:cs="Arial"/>
          <w:bCs/>
          <w:sz w:val="20"/>
          <w:szCs w:val="28"/>
        </w:rPr>
        <w:t>.</w:t>
      </w:r>
      <w:r w:rsidRPr="001F4AAA">
        <w:rPr>
          <w:rFonts w:ascii="Arial" w:eastAsia="Times New Roman" w:hAnsi="Arial" w:cs="Arial"/>
          <w:bCs/>
          <w:sz w:val="20"/>
          <w:szCs w:val="28"/>
        </w:rPr>
        <w:t>The harvest index was maximum in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xml:space="preserve"> (58.15%), which signifies higher efficiency of the plant in translocation photosynthesis toward grain formation, especially under vermicompost-based nutrition.</w:t>
      </w:r>
      <w:r w:rsidR="008D5F58" w:rsidRPr="008D5F58">
        <w:rPr>
          <w:rFonts w:ascii="Arial" w:hAnsi="Arial" w:cs="Arial"/>
          <w:sz w:val="20"/>
        </w:rPr>
        <w:t xml:space="preserve">These findings are consistent with those reported by Tabassum </w:t>
      </w:r>
      <w:r w:rsidR="008D5F58" w:rsidRPr="008D5F58">
        <w:rPr>
          <w:rFonts w:ascii="Arial" w:hAnsi="Arial" w:cs="Arial"/>
          <w:i/>
          <w:sz w:val="20"/>
        </w:rPr>
        <w:t>et al.,</w:t>
      </w:r>
      <w:r w:rsidR="008D5F58" w:rsidRPr="008D5F58">
        <w:rPr>
          <w:rFonts w:ascii="Arial" w:hAnsi="Arial" w:cs="Arial"/>
          <w:sz w:val="20"/>
        </w:rPr>
        <w:t xml:space="preserve"> (2024)</w:t>
      </w:r>
    </w:p>
    <w:p w:rsidR="00C56873" w:rsidRDefault="00C56873" w:rsidP="00CA72E6">
      <w:pPr>
        <w:spacing w:before="100" w:beforeAutospacing="1" w:after="100" w:afterAutospacing="1" w:line="360" w:lineRule="auto"/>
        <w:jc w:val="both"/>
        <w:outlineLvl w:val="2"/>
        <w:rPr>
          <w:rFonts w:ascii="Arial" w:hAnsi="Arial" w:cs="Arial"/>
          <w:sz w:val="20"/>
        </w:rPr>
      </w:pPr>
      <w:r w:rsidRPr="00DB1FD8">
        <w:rPr>
          <w:rFonts w:ascii="Arial" w:hAnsi="Arial" w:cs="Arial"/>
          <w:b/>
          <w:sz w:val="20"/>
        </w:rPr>
        <w:t>Table 1:</w:t>
      </w:r>
      <w:r w:rsidRPr="00C56873">
        <w:rPr>
          <w:rFonts w:ascii="Arial" w:hAnsi="Arial" w:cs="Arial"/>
          <w:sz w:val="20"/>
        </w:rPr>
        <w:t xml:space="preserve"> Effect of integrated nutrient management on growth </w:t>
      </w:r>
      <w:commentRangeStart w:id="22"/>
      <w:r w:rsidRPr="00C56873">
        <w:rPr>
          <w:rFonts w:ascii="Arial" w:hAnsi="Arial" w:cs="Arial"/>
          <w:sz w:val="20"/>
        </w:rPr>
        <w:t>attributes</w:t>
      </w:r>
      <w:commentRangeEnd w:id="22"/>
      <w:r w:rsidR="0059117B">
        <w:rPr>
          <w:rStyle w:val="CommentReference"/>
        </w:rPr>
        <w:commentReference w:id="22"/>
      </w:r>
      <w:r w:rsidRPr="00C56873">
        <w:rPr>
          <w:rFonts w:ascii="Arial" w:hAnsi="Arial" w:cs="Arial"/>
          <w:sz w:val="20"/>
        </w:rPr>
        <w:t xml:space="preserve"> parameters of wheat</w:t>
      </w:r>
      <w:r>
        <w:rPr>
          <w:rFonts w:ascii="Arial" w:hAnsi="Arial"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7"/>
        <w:gridCol w:w="1476"/>
        <w:gridCol w:w="752"/>
        <w:gridCol w:w="752"/>
        <w:gridCol w:w="849"/>
        <w:gridCol w:w="859"/>
        <w:gridCol w:w="999"/>
        <w:gridCol w:w="908"/>
        <w:gridCol w:w="1310"/>
      </w:tblGrid>
      <w:tr w:rsidR="00644DDC" w:rsidRPr="00644DDC" w:rsidTr="00DB1FD8">
        <w:trPr>
          <w:trHeight w:val="297"/>
        </w:trPr>
        <w:tc>
          <w:tcPr>
            <w:tcW w:w="792" w:type="pct"/>
            <w:vMerge w:val="restart"/>
            <w:tcBorders>
              <w:top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Treatments  Details</w:t>
            </w:r>
          </w:p>
        </w:tc>
        <w:tc>
          <w:tcPr>
            <w:tcW w:w="687" w:type="pct"/>
            <w:vMerge w:val="restart"/>
            <w:tcBorders>
              <w:top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b/>
                <w:sz w:val="20"/>
                <w:szCs w:val="20"/>
              </w:rPr>
            </w:pPr>
            <w:commentRangeStart w:id="23"/>
            <w:r w:rsidRPr="00644DDC">
              <w:rPr>
                <w:rFonts w:ascii="Arial" w:hAnsi="Arial" w:cs="Arial"/>
                <w:b/>
                <w:sz w:val="20"/>
                <w:szCs w:val="20"/>
              </w:rPr>
              <w:t>Initial plant polpulation</w:t>
            </w:r>
            <w:commentRangeEnd w:id="23"/>
            <w:r w:rsidR="00593BE8">
              <w:rPr>
                <w:rStyle w:val="CommentReference"/>
              </w:rPr>
              <w:commentReference w:id="23"/>
            </w:r>
          </w:p>
        </w:tc>
        <w:tc>
          <w:tcPr>
            <w:tcW w:w="1884" w:type="pct"/>
            <w:gridSpan w:val="4"/>
            <w:tcBorders>
              <w:top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Plant height (cm)</w:t>
            </w:r>
          </w:p>
        </w:tc>
        <w:tc>
          <w:tcPr>
            <w:tcW w:w="516" w:type="pct"/>
            <w:vMerge w:val="restart"/>
            <w:tcBorders>
              <w:top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b/>
                <w:sz w:val="20"/>
                <w:szCs w:val="20"/>
                <w:vertAlign w:val="superscript"/>
              </w:rPr>
            </w:pPr>
            <w:r w:rsidRPr="00644DDC">
              <w:rPr>
                <w:rFonts w:ascii="Arial" w:hAnsi="Arial" w:cs="Arial"/>
                <w:b/>
                <w:sz w:val="20"/>
                <w:szCs w:val="20"/>
              </w:rPr>
              <w:t>Number of tillers(m</w:t>
            </w:r>
            <w:r w:rsidRPr="00644DDC">
              <w:rPr>
                <w:rFonts w:ascii="Arial" w:hAnsi="Arial" w:cs="Arial"/>
                <w:b/>
                <w:sz w:val="20"/>
                <w:szCs w:val="20"/>
                <w:vertAlign w:val="superscript"/>
              </w:rPr>
              <w:t>2)</w:t>
            </w:r>
          </w:p>
        </w:tc>
        <w:tc>
          <w:tcPr>
            <w:tcW w:w="535" w:type="pct"/>
            <w:vMerge w:val="restart"/>
            <w:tcBorders>
              <w:top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 xml:space="preserve">Days </w:t>
            </w:r>
            <w:commentRangeStart w:id="24"/>
            <w:r w:rsidRPr="00644DDC">
              <w:rPr>
                <w:rFonts w:ascii="Arial" w:hAnsi="Arial" w:cs="Arial"/>
                <w:b/>
                <w:sz w:val="20"/>
                <w:szCs w:val="20"/>
              </w:rPr>
              <w:t>of</w:t>
            </w:r>
            <w:commentRangeEnd w:id="24"/>
            <w:r w:rsidR="00593BE8">
              <w:rPr>
                <w:rStyle w:val="CommentReference"/>
              </w:rPr>
              <w:commentReference w:id="24"/>
            </w:r>
            <w:r w:rsidRPr="00644DDC">
              <w:rPr>
                <w:rFonts w:ascii="Arial" w:hAnsi="Arial" w:cs="Arial"/>
                <w:b/>
                <w:sz w:val="20"/>
                <w:szCs w:val="20"/>
              </w:rPr>
              <w:t xml:space="preserve"> maturity</w:t>
            </w:r>
          </w:p>
        </w:tc>
        <w:tc>
          <w:tcPr>
            <w:tcW w:w="586" w:type="pct"/>
            <w:vMerge w:val="restart"/>
            <w:tcBorders>
              <w:top w:val="single" w:sz="4" w:space="0" w:color="000000" w:themeColor="text1"/>
            </w:tcBorders>
          </w:tcPr>
          <w:p w:rsidR="000966F7" w:rsidRPr="00644DDC" w:rsidRDefault="000966F7" w:rsidP="000966F7">
            <w:pPr>
              <w:spacing w:before="100" w:beforeAutospacing="1" w:after="100" w:afterAutospacing="1"/>
              <w:jc w:val="center"/>
              <w:rPr>
                <w:rFonts w:ascii="Arial" w:hAnsi="Arial" w:cs="Arial"/>
                <w:b/>
                <w:sz w:val="20"/>
                <w:szCs w:val="20"/>
              </w:rPr>
            </w:pPr>
            <w:commentRangeStart w:id="25"/>
            <w:r w:rsidRPr="00644DDC">
              <w:rPr>
                <w:rFonts w:ascii="Arial" w:hAnsi="Arial" w:cs="Arial"/>
                <w:b/>
                <w:sz w:val="20"/>
                <w:szCs w:val="20"/>
              </w:rPr>
              <w:t>50% flowering</w:t>
            </w:r>
            <w:commentRangeEnd w:id="25"/>
            <w:r w:rsidR="00593BE8">
              <w:rPr>
                <w:rStyle w:val="CommentReference"/>
              </w:rPr>
              <w:commentReference w:id="25"/>
            </w:r>
          </w:p>
        </w:tc>
      </w:tr>
      <w:tr w:rsidR="00644DDC" w:rsidRPr="00644DDC" w:rsidTr="00DB1FD8">
        <w:trPr>
          <w:trHeight w:val="502"/>
        </w:trPr>
        <w:tc>
          <w:tcPr>
            <w:tcW w:w="792" w:type="pct"/>
            <w:vMerge/>
            <w:tcBorders>
              <w:bottom w:val="single" w:sz="4" w:space="0" w:color="000000" w:themeColor="text1"/>
            </w:tcBorders>
          </w:tcPr>
          <w:p w:rsidR="000966F7" w:rsidRPr="00644DDC" w:rsidRDefault="000966F7" w:rsidP="00136C3C">
            <w:pPr>
              <w:spacing w:before="100" w:beforeAutospacing="1" w:after="100" w:afterAutospacing="1"/>
              <w:jc w:val="both"/>
              <w:rPr>
                <w:rFonts w:ascii="Arial" w:hAnsi="Arial" w:cs="Arial"/>
                <w:sz w:val="20"/>
                <w:szCs w:val="20"/>
              </w:rPr>
            </w:pPr>
          </w:p>
        </w:tc>
        <w:tc>
          <w:tcPr>
            <w:tcW w:w="687" w:type="pct"/>
            <w:vMerge/>
            <w:tcBorders>
              <w:bottom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sz w:val="20"/>
                <w:szCs w:val="20"/>
              </w:rPr>
            </w:pPr>
          </w:p>
        </w:tc>
        <w:tc>
          <w:tcPr>
            <w:tcW w:w="440" w:type="pct"/>
            <w:tcBorders>
              <w:bottom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30 DAS</w:t>
            </w:r>
          </w:p>
        </w:tc>
        <w:tc>
          <w:tcPr>
            <w:tcW w:w="440" w:type="pct"/>
            <w:tcBorders>
              <w:bottom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60 DAS</w:t>
            </w:r>
          </w:p>
        </w:tc>
        <w:tc>
          <w:tcPr>
            <w:tcW w:w="499" w:type="pct"/>
            <w:tcBorders>
              <w:bottom w:val="single" w:sz="4" w:space="0" w:color="000000" w:themeColor="text1"/>
            </w:tcBorders>
          </w:tcPr>
          <w:p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90 DAS</w:t>
            </w:r>
          </w:p>
        </w:tc>
        <w:tc>
          <w:tcPr>
            <w:tcW w:w="505" w:type="pct"/>
            <w:tcBorders>
              <w:bottom w:val="single" w:sz="4" w:space="0" w:color="000000" w:themeColor="text1"/>
            </w:tcBorders>
          </w:tcPr>
          <w:p w:rsidR="000966F7" w:rsidRPr="00644DDC" w:rsidRDefault="000966F7" w:rsidP="000966F7">
            <w:pPr>
              <w:spacing w:before="100" w:beforeAutospacing="1" w:after="100" w:afterAutospacing="1"/>
              <w:jc w:val="center"/>
              <w:rPr>
                <w:rFonts w:ascii="Arial" w:hAnsi="Arial" w:cs="Arial"/>
                <w:b/>
                <w:sz w:val="20"/>
                <w:szCs w:val="20"/>
              </w:rPr>
            </w:pPr>
            <w:r w:rsidRPr="00644DDC">
              <w:rPr>
                <w:rFonts w:ascii="Arial" w:hAnsi="Arial" w:cs="Arial"/>
                <w:b/>
                <w:sz w:val="20"/>
                <w:szCs w:val="20"/>
              </w:rPr>
              <w:t>Harvest stage</w:t>
            </w:r>
          </w:p>
        </w:tc>
        <w:tc>
          <w:tcPr>
            <w:tcW w:w="516" w:type="pct"/>
            <w:vMerge/>
            <w:tcBorders>
              <w:bottom w:val="single" w:sz="4" w:space="0" w:color="000000" w:themeColor="text1"/>
            </w:tcBorders>
          </w:tcPr>
          <w:p w:rsidR="000966F7" w:rsidRPr="00644DDC" w:rsidRDefault="000966F7" w:rsidP="00136C3C">
            <w:pPr>
              <w:spacing w:before="100" w:beforeAutospacing="1" w:after="100" w:afterAutospacing="1"/>
              <w:jc w:val="both"/>
              <w:rPr>
                <w:rFonts w:ascii="Arial" w:hAnsi="Arial" w:cs="Arial"/>
                <w:sz w:val="20"/>
                <w:szCs w:val="20"/>
              </w:rPr>
            </w:pPr>
          </w:p>
        </w:tc>
        <w:tc>
          <w:tcPr>
            <w:tcW w:w="535" w:type="pct"/>
            <w:vMerge/>
            <w:tcBorders>
              <w:bottom w:val="single" w:sz="4" w:space="0" w:color="000000" w:themeColor="text1"/>
            </w:tcBorders>
          </w:tcPr>
          <w:p w:rsidR="000966F7" w:rsidRPr="00644DDC" w:rsidRDefault="000966F7" w:rsidP="00136C3C">
            <w:pPr>
              <w:spacing w:before="100" w:beforeAutospacing="1" w:after="100" w:afterAutospacing="1"/>
              <w:jc w:val="both"/>
              <w:rPr>
                <w:rFonts w:ascii="Arial" w:hAnsi="Arial" w:cs="Arial"/>
                <w:sz w:val="20"/>
                <w:szCs w:val="20"/>
              </w:rPr>
            </w:pPr>
          </w:p>
        </w:tc>
        <w:tc>
          <w:tcPr>
            <w:tcW w:w="586" w:type="pct"/>
            <w:vMerge/>
            <w:tcBorders>
              <w:bottom w:val="single" w:sz="4" w:space="0" w:color="000000" w:themeColor="text1"/>
            </w:tcBorders>
          </w:tcPr>
          <w:p w:rsidR="000966F7" w:rsidRPr="00644DDC" w:rsidRDefault="000966F7" w:rsidP="00136C3C">
            <w:pPr>
              <w:spacing w:before="100" w:beforeAutospacing="1" w:after="100" w:afterAutospacing="1"/>
              <w:jc w:val="both"/>
              <w:rPr>
                <w:rFonts w:ascii="Arial" w:hAnsi="Arial" w:cs="Arial"/>
                <w:sz w:val="20"/>
                <w:szCs w:val="20"/>
              </w:rPr>
            </w:pPr>
          </w:p>
        </w:tc>
      </w:tr>
      <w:tr w:rsidR="00644DDC" w:rsidRPr="00644DDC" w:rsidTr="00DB1FD8">
        <w:trPr>
          <w:trHeight w:val="122"/>
        </w:trPr>
        <w:tc>
          <w:tcPr>
            <w:tcW w:w="792" w:type="pct"/>
            <w:tcBorders>
              <w:top w:val="single" w:sz="4" w:space="0" w:color="000000" w:themeColor="text1"/>
            </w:tcBorders>
          </w:tcPr>
          <w:p w:rsidR="00644DDC" w:rsidRPr="00644DDC" w:rsidRDefault="00644DDC" w:rsidP="00136C3C">
            <w:pPr>
              <w:spacing w:before="100" w:beforeAutospacing="1" w:after="100" w:afterAutospacing="1"/>
              <w:jc w:val="center"/>
              <w:rPr>
                <w:rFonts w:ascii="Arial" w:hAnsi="Arial" w:cs="Arial"/>
                <w:sz w:val="20"/>
                <w:szCs w:val="20"/>
              </w:rPr>
            </w:pPr>
          </w:p>
        </w:tc>
        <w:tc>
          <w:tcPr>
            <w:tcW w:w="687" w:type="pct"/>
            <w:tcBorders>
              <w:top w:val="single" w:sz="4" w:space="0" w:color="000000" w:themeColor="text1"/>
            </w:tcBorders>
          </w:tcPr>
          <w:p w:rsidR="00644DDC" w:rsidRPr="00644DDC" w:rsidRDefault="00644DDC" w:rsidP="00136C3C">
            <w:pPr>
              <w:spacing w:before="100" w:beforeAutospacing="1" w:after="100" w:afterAutospacing="1"/>
              <w:jc w:val="center"/>
              <w:rPr>
                <w:rFonts w:ascii="Arial" w:hAnsi="Arial" w:cs="Arial"/>
                <w:sz w:val="20"/>
                <w:szCs w:val="20"/>
              </w:rPr>
            </w:pPr>
          </w:p>
        </w:tc>
        <w:tc>
          <w:tcPr>
            <w:tcW w:w="440" w:type="pct"/>
            <w:tcBorders>
              <w:top w:val="single" w:sz="4" w:space="0" w:color="000000" w:themeColor="text1"/>
            </w:tcBorders>
          </w:tcPr>
          <w:p w:rsidR="00644DDC" w:rsidRPr="00644DDC" w:rsidRDefault="00644DDC" w:rsidP="00136C3C">
            <w:pPr>
              <w:spacing w:before="100" w:beforeAutospacing="1" w:after="100" w:afterAutospacing="1"/>
              <w:jc w:val="center"/>
              <w:rPr>
                <w:rFonts w:ascii="Arial" w:hAnsi="Arial" w:cs="Arial"/>
                <w:b/>
                <w:sz w:val="20"/>
                <w:szCs w:val="20"/>
              </w:rPr>
            </w:pPr>
          </w:p>
        </w:tc>
        <w:tc>
          <w:tcPr>
            <w:tcW w:w="440" w:type="pct"/>
            <w:tcBorders>
              <w:top w:val="single" w:sz="4" w:space="0" w:color="000000" w:themeColor="text1"/>
            </w:tcBorders>
          </w:tcPr>
          <w:p w:rsidR="00644DDC" w:rsidRPr="00644DDC" w:rsidRDefault="00644DDC" w:rsidP="00136C3C">
            <w:pPr>
              <w:spacing w:before="100" w:beforeAutospacing="1" w:after="100" w:afterAutospacing="1"/>
              <w:jc w:val="center"/>
              <w:rPr>
                <w:rFonts w:ascii="Arial" w:hAnsi="Arial" w:cs="Arial"/>
                <w:b/>
                <w:sz w:val="20"/>
                <w:szCs w:val="20"/>
              </w:rPr>
            </w:pPr>
          </w:p>
        </w:tc>
        <w:tc>
          <w:tcPr>
            <w:tcW w:w="499" w:type="pct"/>
            <w:tcBorders>
              <w:top w:val="single" w:sz="4" w:space="0" w:color="000000" w:themeColor="text1"/>
            </w:tcBorders>
          </w:tcPr>
          <w:p w:rsidR="00644DDC" w:rsidRPr="00644DDC" w:rsidRDefault="00644DDC" w:rsidP="00136C3C">
            <w:pPr>
              <w:spacing w:before="100" w:beforeAutospacing="1" w:after="100" w:afterAutospacing="1"/>
              <w:jc w:val="center"/>
              <w:rPr>
                <w:rFonts w:ascii="Arial" w:hAnsi="Arial" w:cs="Arial"/>
                <w:b/>
                <w:sz w:val="20"/>
                <w:szCs w:val="20"/>
              </w:rPr>
            </w:pPr>
          </w:p>
        </w:tc>
        <w:tc>
          <w:tcPr>
            <w:tcW w:w="505" w:type="pct"/>
            <w:tcBorders>
              <w:top w:val="single" w:sz="4" w:space="0" w:color="000000" w:themeColor="text1"/>
            </w:tcBorders>
          </w:tcPr>
          <w:p w:rsidR="00644DDC" w:rsidRPr="00644DDC" w:rsidRDefault="00644DDC" w:rsidP="00136C3C">
            <w:pPr>
              <w:spacing w:before="100" w:beforeAutospacing="1" w:after="100" w:afterAutospacing="1"/>
              <w:jc w:val="center"/>
              <w:rPr>
                <w:rFonts w:ascii="Arial" w:hAnsi="Arial" w:cs="Arial"/>
                <w:b/>
                <w:sz w:val="20"/>
                <w:szCs w:val="20"/>
              </w:rPr>
            </w:pPr>
          </w:p>
        </w:tc>
        <w:tc>
          <w:tcPr>
            <w:tcW w:w="516" w:type="pct"/>
            <w:tcBorders>
              <w:top w:val="single" w:sz="4" w:space="0" w:color="000000" w:themeColor="text1"/>
            </w:tcBorders>
          </w:tcPr>
          <w:p w:rsidR="00644DDC" w:rsidRPr="00644DDC" w:rsidRDefault="00644DDC" w:rsidP="00136C3C">
            <w:pPr>
              <w:spacing w:before="100" w:beforeAutospacing="1" w:after="100" w:afterAutospacing="1"/>
              <w:jc w:val="both"/>
              <w:rPr>
                <w:rFonts w:ascii="Arial" w:hAnsi="Arial" w:cs="Arial"/>
                <w:sz w:val="20"/>
                <w:szCs w:val="20"/>
              </w:rPr>
            </w:pPr>
          </w:p>
        </w:tc>
        <w:tc>
          <w:tcPr>
            <w:tcW w:w="535" w:type="pct"/>
            <w:tcBorders>
              <w:top w:val="single" w:sz="4" w:space="0" w:color="000000" w:themeColor="text1"/>
            </w:tcBorders>
          </w:tcPr>
          <w:p w:rsidR="00644DDC" w:rsidRPr="00644DDC" w:rsidRDefault="00644DDC" w:rsidP="00136C3C">
            <w:pPr>
              <w:spacing w:before="100" w:beforeAutospacing="1" w:after="100" w:afterAutospacing="1"/>
              <w:jc w:val="both"/>
              <w:rPr>
                <w:rFonts w:ascii="Arial" w:hAnsi="Arial" w:cs="Arial"/>
                <w:sz w:val="20"/>
                <w:szCs w:val="20"/>
              </w:rPr>
            </w:pPr>
          </w:p>
        </w:tc>
        <w:tc>
          <w:tcPr>
            <w:tcW w:w="586" w:type="pct"/>
            <w:tcBorders>
              <w:top w:val="single" w:sz="4" w:space="0" w:color="000000" w:themeColor="text1"/>
            </w:tcBorders>
          </w:tcPr>
          <w:p w:rsidR="00644DDC" w:rsidRPr="00644DDC" w:rsidRDefault="00644DDC" w:rsidP="00136C3C">
            <w:pPr>
              <w:spacing w:before="100" w:beforeAutospacing="1" w:after="100" w:afterAutospacing="1"/>
              <w:jc w:val="both"/>
              <w:rPr>
                <w:rFonts w:ascii="Arial" w:hAnsi="Arial" w:cs="Arial"/>
                <w:sz w:val="20"/>
                <w:szCs w:val="20"/>
              </w:rPr>
            </w:pPr>
          </w:p>
        </w:tc>
      </w:tr>
      <w:tr w:rsidR="00644DDC" w:rsidRPr="00644DDC" w:rsidTr="00DB1FD8">
        <w:trPr>
          <w:trHeight w:val="538"/>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₀</w:t>
            </w:r>
            <w:r w:rsidRPr="00644DDC">
              <w:rPr>
                <w:rFonts w:ascii="Arial" w:hAnsi="Arial" w:cs="Arial"/>
                <w:sz w:val="20"/>
                <w:szCs w:val="20"/>
              </w:rPr>
              <w:t xml:space="preserve"> - Control</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28.000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20.067</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71.600</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90.933</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92.200</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163.000</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73.333</w:t>
            </w:r>
          </w:p>
        </w:tc>
      </w:tr>
      <w:tr w:rsidR="00644DDC" w:rsidRPr="00644DDC" w:rsidTr="00DB1FD8">
        <w:trPr>
          <w:trHeight w:val="801"/>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₁</w:t>
            </w:r>
            <w:r w:rsidRPr="00644DDC">
              <w:rPr>
                <w:rFonts w:ascii="Arial" w:hAnsi="Arial" w:cs="Arial"/>
                <w:sz w:val="20"/>
                <w:szCs w:val="20"/>
              </w:rPr>
              <w:t xml:space="preserve"> - 100% RDF (150 kg N + 60 kg P</w:t>
            </w:r>
            <w:r w:rsidRPr="00644DDC">
              <w:rPr>
                <w:rFonts w:ascii="Cambria Math" w:hAnsi="Cambria Math" w:cs="Cambria Math"/>
                <w:sz w:val="20"/>
                <w:szCs w:val="20"/>
              </w:rPr>
              <w:t>₂</w:t>
            </w:r>
            <w:r w:rsidRPr="00644DDC">
              <w:rPr>
                <w:rFonts w:ascii="Arial" w:hAnsi="Arial" w:cs="Arial"/>
                <w:sz w:val="20"/>
                <w:szCs w:val="20"/>
              </w:rPr>
              <w:t>O</w:t>
            </w:r>
            <w:r w:rsidRPr="00644DDC">
              <w:rPr>
                <w:rFonts w:ascii="Cambria Math" w:hAnsi="Cambria Math" w:cs="Cambria Math"/>
                <w:sz w:val="20"/>
                <w:szCs w:val="20"/>
              </w:rPr>
              <w:t>₅</w:t>
            </w:r>
            <w:r w:rsidRPr="00644DDC">
              <w:rPr>
                <w:rFonts w:ascii="Arial" w:hAnsi="Arial" w:cs="Arial"/>
                <w:sz w:val="20"/>
                <w:szCs w:val="20"/>
              </w:rPr>
              <w:t xml:space="preserve"> + 50 kg K</w:t>
            </w:r>
            <w:r w:rsidRPr="00644DDC">
              <w:rPr>
                <w:rFonts w:ascii="Cambria Math" w:hAnsi="Cambria Math" w:cs="Cambria Math"/>
                <w:sz w:val="20"/>
                <w:szCs w:val="20"/>
              </w:rPr>
              <w:t>₂</w:t>
            </w:r>
            <w:r w:rsidRPr="00644DDC">
              <w:rPr>
                <w:rFonts w:ascii="Arial" w:hAnsi="Arial" w:cs="Arial"/>
                <w:sz w:val="20"/>
                <w:szCs w:val="20"/>
              </w:rPr>
              <w:t>O ha</w:t>
            </w:r>
            <w:r w:rsidRPr="00644DDC">
              <w:rPr>
                <w:rFonts w:ascii="Cambria Math" w:hAnsi="Cambria Math" w:cs="Cambria Math"/>
                <w:sz w:val="20"/>
                <w:szCs w:val="20"/>
              </w:rPr>
              <w:t>⁻</w:t>
            </w:r>
            <w:r w:rsidRPr="00644DDC">
              <w:rPr>
                <w:rFonts w:ascii="Arial" w:hAnsi="Arial" w:cs="Arial"/>
                <w:sz w:val="20"/>
                <w:szCs w:val="20"/>
              </w:rPr>
              <w:t>¹)</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34.333</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20.400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70.233</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98.067</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97.533</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279.000</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73.000</w:t>
            </w:r>
          </w:p>
        </w:tc>
      </w:tr>
      <w:tr w:rsidR="00644DDC" w:rsidRPr="00644DDC" w:rsidTr="00DB1FD8">
        <w:trPr>
          <w:trHeight w:val="526"/>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₂</w:t>
            </w:r>
            <w:r w:rsidRPr="00644DDC">
              <w:rPr>
                <w:rFonts w:ascii="Arial" w:hAnsi="Arial" w:cs="Arial"/>
                <w:sz w:val="20"/>
                <w:szCs w:val="20"/>
              </w:rPr>
              <w:t xml:space="preserve"> - 25% RDF + 75% RDN through FYM</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33.333</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22.000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62.933</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100.067</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99.800</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361.333</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71.000</w:t>
            </w:r>
          </w:p>
        </w:tc>
      </w:tr>
      <w:tr w:rsidR="00644DDC" w:rsidRPr="00644DDC" w:rsidTr="00DB1FD8">
        <w:trPr>
          <w:trHeight w:val="503"/>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₃</w:t>
            </w:r>
            <w:r w:rsidRPr="00644DDC">
              <w:rPr>
                <w:rFonts w:ascii="Arial" w:hAnsi="Arial" w:cs="Arial"/>
                <w:sz w:val="20"/>
                <w:szCs w:val="20"/>
              </w:rPr>
              <w:t xml:space="preserve"> - 25% RDF + 75% RDN through Vermicompost</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39.000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23.467</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66.200</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99.967</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99.133</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263.667</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117.667</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70.667</w:t>
            </w:r>
          </w:p>
        </w:tc>
      </w:tr>
      <w:tr w:rsidR="00644DDC" w:rsidRPr="00644DDC" w:rsidTr="00DB1FD8">
        <w:trPr>
          <w:trHeight w:val="538"/>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₄</w:t>
            </w:r>
            <w:r w:rsidRPr="00644DDC">
              <w:rPr>
                <w:rFonts w:ascii="Arial" w:hAnsi="Arial" w:cs="Arial"/>
                <w:sz w:val="20"/>
                <w:szCs w:val="20"/>
              </w:rPr>
              <w:t xml:space="preserve"> - 25% RDF + 75% RDN through Poultry Manure</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39.000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20.200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67.633</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95.133</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97.000</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277.667</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118.000</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73.333</w:t>
            </w:r>
          </w:p>
        </w:tc>
      </w:tr>
      <w:tr w:rsidR="00644DDC" w:rsidRPr="00644DDC" w:rsidTr="00DB1FD8">
        <w:trPr>
          <w:trHeight w:val="1076"/>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lastRenderedPageBreak/>
              <w:t>T</w:t>
            </w:r>
            <w:r w:rsidRPr="00644DDC">
              <w:rPr>
                <w:rFonts w:ascii="Cambria Math" w:hAnsi="Cambria Math" w:cs="Cambria Math"/>
                <w:sz w:val="20"/>
                <w:szCs w:val="20"/>
              </w:rPr>
              <w:t>₅</w:t>
            </w:r>
            <w:r w:rsidRPr="00644DDC">
              <w:rPr>
                <w:rFonts w:ascii="Arial" w:hAnsi="Arial" w:cs="Arial"/>
                <w:sz w:val="20"/>
                <w:szCs w:val="20"/>
              </w:rPr>
              <w:t xml:space="preserve"> - 25% RDF + 75% RDN through ⅓ FYM + ⅓ Vermicompost + ⅓ Poultry Manure</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34.667</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23.933</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65.833</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100.733</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101.433</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282.333</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70.667</w:t>
            </w:r>
          </w:p>
        </w:tc>
      </w:tr>
      <w:tr w:rsidR="00644DDC" w:rsidRPr="00644DDC" w:rsidTr="00DB1FD8">
        <w:trPr>
          <w:trHeight w:val="526"/>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₆</w:t>
            </w:r>
            <w:r w:rsidRPr="00644DDC">
              <w:rPr>
                <w:rFonts w:ascii="Arial" w:hAnsi="Arial" w:cs="Arial"/>
                <w:sz w:val="20"/>
                <w:szCs w:val="20"/>
              </w:rPr>
              <w:t xml:space="preserve"> - 50% RDF + 50% RDN through FYM</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40.667</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22.200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67.733</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93.467</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99.933</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285.000</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69.333</w:t>
            </w:r>
          </w:p>
        </w:tc>
      </w:tr>
      <w:tr w:rsidR="00644DDC" w:rsidRPr="00644DDC" w:rsidTr="00DB1FD8">
        <w:trPr>
          <w:trHeight w:val="538"/>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₇</w:t>
            </w:r>
            <w:r w:rsidRPr="00644DDC">
              <w:rPr>
                <w:rFonts w:ascii="Arial" w:hAnsi="Arial" w:cs="Arial"/>
                <w:sz w:val="20"/>
                <w:szCs w:val="20"/>
              </w:rPr>
              <w:t xml:space="preserve"> - 50% RDF + 50% RDN through Vermicompost</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37.000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22.200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60.667</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97.267</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99.400</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267.333</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116.333</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70.000</w:t>
            </w:r>
          </w:p>
        </w:tc>
      </w:tr>
      <w:tr w:rsidR="00644DDC" w:rsidRPr="00644DDC" w:rsidTr="00DB1FD8">
        <w:trPr>
          <w:trHeight w:val="538"/>
        </w:trPr>
        <w:tc>
          <w:tcPr>
            <w:tcW w:w="792" w:type="pct"/>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₈</w:t>
            </w:r>
            <w:r w:rsidRPr="00644DDC">
              <w:rPr>
                <w:rFonts w:ascii="Arial" w:hAnsi="Arial" w:cs="Arial"/>
                <w:sz w:val="20"/>
                <w:szCs w:val="20"/>
              </w:rPr>
              <w:t xml:space="preserve"> - 50% RDF + 50% RDN through Poultry Manure</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40.000</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22.767</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68.133</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95.067</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99.533</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300.667</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116.333</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69.333</w:t>
            </w:r>
          </w:p>
        </w:tc>
      </w:tr>
      <w:tr w:rsidR="00644DDC" w:rsidRPr="00644DDC" w:rsidTr="00DB1FD8">
        <w:trPr>
          <w:trHeight w:val="1076"/>
        </w:trPr>
        <w:tc>
          <w:tcPr>
            <w:tcW w:w="792" w:type="pct"/>
            <w:tcBorders>
              <w:bottom w:val="single" w:sz="4" w:space="0" w:color="000000" w:themeColor="text1"/>
            </w:tcBorders>
            <w:vAlign w:val="center"/>
          </w:tcPr>
          <w:p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₉</w:t>
            </w:r>
            <w:r w:rsidRPr="00644DDC">
              <w:rPr>
                <w:rFonts w:ascii="Arial" w:hAnsi="Arial" w:cs="Arial"/>
                <w:sz w:val="20"/>
                <w:szCs w:val="20"/>
              </w:rPr>
              <w:t xml:space="preserve"> - 50% RDF + 50% RDN through ⅓ FYM + ⅓ Vermicompost + ⅓ Poultry Manure</w:t>
            </w:r>
          </w:p>
        </w:tc>
        <w:tc>
          <w:tcPr>
            <w:tcW w:w="687"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36.000</w:t>
            </w:r>
          </w:p>
        </w:tc>
        <w:tc>
          <w:tcPr>
            <w:tcW w:w="440"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22.667</w:t>
            </w:r>
          </w:p>
        </w:tc>
        <w:tc>
          <w:tcPr>
            <w:tcW w:w="440"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69.867</w:t>
            </w:r>
          </w:p>
        </w:tc>
        <w:tc>
          <w:tcPr>
            <w:tcW w:w="499"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101.400</w:t>
            </w:r>
          </w:p>
        </w:tc>
        <w:tc>
          <w:tcPr>
            <w:tcW w:w="505"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103.733</w:t>
            </w:r>
          </w:p>
        </w:tc>
        <w:tc>
          <w:tcPr>
            <w:tcW w:w="516"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331.333</w:t>
            </w:r>
          </w:p>
        </w:tc>
        <w:tc>
          <w:tcPr>
            <w:tcW w:w="535"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68.667</w:t>
            </w:r>
          </w:p>
        </w:tc>
      </w:tr>
      <w:tr w:rsidR="00644DDC" w:rsidRPr="00644DDC" w:rsidTr="00DB1FD8">
        <w:trPr>
          <w:trHeight w:val="526"/>
        </w:trPr>
        <w:tc>
          <w:tcPr>
            <w:tcW w:w="792" w:type="pct"/>
            <w:tcBorders>
              <w:top w:val="single" w:sz="4" w:space="0" w:color="000000" w:themeColor="text1"/>
            </w:tcBorders>
            <w:vAlign w:val="bottom"/>
          </w:tcPr>
          <w:p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C.D.</w:t>
            </w:r>
          </w:p>
        </w:tc>
        <w:tc>
          <w:tcPr>
            <w:tcW w:w="687" w:type="pct"/>
            <w:tcBorders>
              <w:top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6.339</w:t>
            </w:r>
          </w:p>
        </w:tc>
        <w:tc>
          <w:tcPr>
            <w:tcW w:w="440" w:type="pct"/>
            <w:tcBorders>
              <w:top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2.175</w:t>
            </w:r>
          </w:p>
        </w:tc>
        <w:tc>
          <w:tcPr>
            <w:tcW w:w="440" w:type="pct"/>
            <w:tcBorders>
              <w:top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2.971</w:t>
            </w:r>
          </w:p>
        </w:tc>
        <w:tc>
          <w:tcPr>
            <w:tcW w:w="499" w:type="pct"/>
            <w:tcBorders>
              <w:top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3.655</w:t>
            </w:r>
          </w:p>
        </w:tc>
        <w:tc>
          <w:tcPr>
            <w:tcW w:w="505" w:type="pct"/>
            <w:tcBorders>
              <w:top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3.047</w:t>
            </w:r>
          </w:p>
        </w:tc>
        <w:tc>
          <w:tcPr>
            <w:tcW w:w="516" w:type="pct"/>
            <w:tcBorders>
              <w:top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38.210</w:t>
            </w:r>
          </w:p>
        </w:tc>
        <w:tc>
          <w:tcPr>
            <w:tcW w:w="535" w:type="pct"/>
            <w:tcBorders>
              <w:top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0.868</w:t>
            </w:r>
          </w:p>
        </w:tc>
        <w:tc>
          <w:tcPr>
            <w:tcW w:w="586" w:type="pct"/>
            <w:tcBorders>
              <w:top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2.013</w:t>
            </w:r>
          </w:p>
        </w:tc>
      </w:tr>
      <w:tr w:rsidR="00644DDC" w:rsidRPr="00644DDC" w:rsidTr="00DB1FD8">
        <w:trPr>
          <w:trHeight w:val="538"/>
        </w:trPr>
        <w:tc>
          <w:tcPr>
            <w:tcW w:w="792" w:type="pct"/>
            <w:vAlign w:val="bottom"/>
          </w:tcPr>
          <w:p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SE(m)</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2.117</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0.726</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0.992</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1.221</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1.018</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12.761</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0.290</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0.672</w:t>
            </w:r>
          </w:p>
        </w:tc>
      </w:tr>
      <w:tr w:rsidR="00644DDC" w:rsidRPr="00644DDC" w:rsidTr="00DB1FD8">
        <w:trPr>
          <w:trHeight w:val="538"/>
        </w:trPr>
        <w:tc>
          <w:tcPr>
            <w:tcW w:w="792" w:type="pct"/>
            <w:vAlign w:val="bottom"/>
          </w:tcPr>
          <w:p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SE(d)</w:t>
            </w:r>
          </w:p>
        </w:tc>
        <w:tc>
          <w:tcPr>
            <w:tcW w:w="687"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2.994</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1.027</w:t>
            </w:r>
          </w:p>
        </w:tc>
        <w:tc>
          <w:tcPr>
            <w:tcW w:w="440"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1.403</w:t>
            </w:r>
          </w:p>
        </w:tc>
        <w:tc>
          <w:tcPr>
            <w:tcW w:w="499"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1.727</w:t>
            </w:r>
          </w:p>
        </w:tc>
        <w:tc>
          <w:tcPr>
            <w:tcW w:w="50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1.439</w:t>
            </w:r>
          </w:p>
        </w:tc>
        <w:tc>
          <w:tcPr>
            <w:tcW w:w="51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18.047</w:t>
            </w:r>
          </w:p>
        </w:tc>
        <w:tc>
          <w:tcPr>
            <w:tcW w:w="535"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0.410</w:t>
            </w:r>
          </w:p>
        </w:tc>
        <w:tc>
          <w:tcPr>
            <w:tcW w:w="586" w:type="pct"/>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0.951</w:t>
            </w:r>
          </w:p>
        </w:tc>
      </w:tr>
      <w:tr w:rsidR="00644DDC" w:rsidRPr="00644DDC" w:rsidTr="00DB1FD8">
        <w:trPr>
          <w:trHeight w:val="538"/>
        </w:trPr>
        <w:tc>
          <w:tcPr>
            <w:tcW w:w="792" w:type="pct"/>
            <w:tcBorders>
              <w:bottom w:val="single" w:sz="4" w:space="0" w:color="000000" w:themeColor="text1"/>
            </w:tcBorders>
            <w:vAlign w:val="bottom"/>
          </w:tcPr>
          <w:p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C.V.</w:t>
            </w:r>
          </w:p>
        </w:tc>
        <w:tc>
          <w:tcPr>
            <w:tcW w:w="687"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10.130</w:t>
            </w:r>
          </w:p>
        </w:tc>
        <w:tc>
          <w:tcPr>
            <w:tcW w:w="440"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5.722</w:t>
            </w:r>
          </w:p>
        </w:tc>
        <w:tc>
          <w:tcPr>
            <w:tcW w:w="440"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2.562</w:t>
            </w:r>
          </w:p>
        </w:tc>
        <w:tc>
          <w:tcPr>
            <w:tcW w:w="499"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2.175</w:t>
            </w:r>
          </w:p>
        </w:tc>
        <w:tc>
          <w:tcPr>
            <w:tcW w:w="505"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1.781</w:t>
            </w:r>
          </w:p>
        </w:tc>
        <w:tc>
          <w:tcPr>
            <w:tcW w:w="516"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7.862</w:t>
            </w:r>
          </w:p>
        </w:tc>
        <w:tc>
          <w:tcPr>
            <w:tcW w:w="535"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0.429</w:t>
            </w:r>
          </w:p>
        </w:tc>
        <w:tc>
          <w:tcPr>
            <w:tcW w:w="586" w:type="pct"/>
            <w:tcBorders>
              <w:bottom w:val="single" w:sz="4" w:space="0" w:color="000000" w:themeColor="text1"/>
            </w:tcBorders>
            <w:vAlign w:val="center"/>
          </w:tcPr>
          <w:p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1.641</w:t>
            </w:r>
          </w:p>
        </w:tc>
      </w:tr>
    </w:tbl>
    <w:p w:rsidR="00C56873" w:rsidRDefault="00DB1FD8" w:rsidP="00CA72E6">
      <w:pPr>
        <w:spacing w:before="100" w:beforeAutospacing="1" w:after="100" w:afterAutospacing="1" w:line="360" w:lineRule="auto"/>
        <w:jc w:val="both"/>
        <w:outlineLvl w:val="2"/>
        <w:rPr>
          <w:rFonts w:ascii="Arial" w:hAnsi="Arial" w:cs="Arial"/>
          <w:sz w:val="20"/>
        </w:rPr>
      </w:pPr>
      <w:r w:rsidRPr="00DB1FD8">
        <w:rPr>
          <w:rFonts w:ascii="Arial" w:hAnsi="Arial" w:cs="Arial"/>
          <w:b/>
          <w:sz w:val="20"/>
        </w:rPr>
        <w:t>Table 2:</w:t>
      </w:r>
      <w:r w:rsidRPr="00DB1FD8">
        <w:rPr>
          <w:rFonts w:ascii="Arial" w:hAnsi="Arial" w:cs="Arial"/>
          <w:sz w:val="20"/>
        </w:rPr>
        <w:t xml:space="preserve"> Effect of integrated nutrient management on yield attributes and yield parameters of wheat</w:t>
      </w:r>
      <w:r w:rsidR="003774B7">
        <w:rPr>
          <w:rFonts w:ascii="Arial" w:hAnsi="Arial"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1"/>
        <w:gridCol w:w="828"/>
        <w:gridCol w:w="901"/>
        <w:gridCol w:w="828"/>
        <w:gridCol w:w="723"/>
        <w:gridCol w:w="828"/>
        <w:gridCol w:w="939"/>
        <w:gridCol w:w="828"/>
        <w:gridCol w:w="828"/>
        <w:gridCol w:w="828"/>
      </w:tblGrid>
      <w:tr w:rsidR="00E51D0E" w:rsidRPr="00E51D0E" w:rsidTr="00D81A30">
        <w:trPr>
          <w:trHeight w:val="489"/>
        </w:trPr>
        <w:tc>
          <w:tcPr>
            <w:tcW w:w="926" w:type="pct"/>
            <w:tcBorders>
              <w:top w:val="single" w:sz="4" w:space="0" w:color="000000" w:themeColor="text1"/>
              <w:bottom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sz w:val="20"/>
                <w:szCs w:val="20"/>
              </w:rPr>
            </w:pPr>
            <w:r w:rsidRPr="00E51D0E">
              <w:rPr>
                <w:rFonts w:ascii="Arial" w:hAnsi="Arial" w:cs="Arial"/>
                <w:b/>
                <w:sz w:val="20"/>
                <w:szCs w:val="20"/>
              </w:rPr>
              <w:t>Treatments</w:t>
            </w:r>
          </w:p>
        </w:tc>
        <w:tc>
          <w:tcPr>
            <w:tcW w:w="448" w:type="pct"/>
            <w:tcBorders>
              <w:top w:val="single" w:sz="4" w:space="0" w:color="000000" w:themeColor="text1"/>
              <w:bottom w:val="single" w:sz="4" w:space="0" w:color="000000" w:themeColor="text1"/>
            </w:tcBorders>
          </w:tcPr>
          <w:p w:rsidR="00E51D0E" w:rsidRPr="00E51D0E" w:rsidRDefault="00E51D0E" w:rsidP="00136C3C">
            <w:pPr>
              <w:spacing w:before="100" w:beforeAutospacing="1" w:after="100" w:afterAutospacing="1"/>
              <w:jc w:val="center"/>
              <w:rPr>
                <w:rFonts w:ascii="Arial" w:hAnsi="Arial" w:cs="Arial"/>
                <w:b/>
                <w:sz w:val="16"/>
                <w:szCs w:val="20"/>
              </w:rPr>
            </w:pPr>
            <w:commentRangeStart w:id="26"/>
            <w:r w:rsidRPr="00E51D0E">
              <w:rPr>
                <w:rFonts w:ascii="Arial" w:hAnsi="Arial" w:cs="Arial"/>
                <w:b/>
                <w:sz w:val="16"/>
                <w:szCs w:val="20"/>
              </w:rPr>
              <w:t>Spike length</w:t>
            </w:r>
          </w:p>
        </w:tc>
        <w:tc>
          <w:tcPr>
            <w:tcW w:w="487" w:type="pct"/>
            <w:tcBorders>
              <w:top w:val="single" w:sz="4" w:space="0" w:color="000000" w:themeColor="text1"/>
              <w:bottom w:val="single" w:sz="4" w:space="0" w:color="000000" w:themeColor="text1"/>
            </w:tcBorders>
          </w:tcPr>
          <w:p w:rsidR="00E51D0E" w:rsidRPr="00E51D0E" w:rsidRDefault="00E51D0E" w:rsidP="00136C3C">
            <w:pPr>
              <w:spacing w:before="100" w:beforeAutospacing="1" w:after="100" w:afterAutospacing="1"/>
              <w:jc w:val="center"/>
              <w:rPr>
                <w:rFonts w:ascii="Arial" w:hAnsi="Arial" w:cs="Arial"/>
                <w:b/>
                <w:sz w:val="16"/>
                <w:szCs w:val="20"/>
              </w:rPr>
            </w:pPr>
            <w:r w:rsidRPr="00E51D0E">
              <w:rPr>
                <w:rFonts w:ascii="Arial" w:hAnsi="Arial" w:cs="Arial"/>
                <w:b/>
                <w:sz w:val="16"/>
                <w:szCs w:val="20"/>
              </w:rPr>
              <w:t>Number of spikelets</w:t>
            </w:r>
          </w:p>
        </w:tc>
        <w:tc>
          <w:tcPr>
            <w:tcW w:w="448" w:type="pct"/>
            <w:tcBorders>
              <w:top w:val="single" w:sz="4" w:space="0" w:color="000000" w:themeColor="text1"/>
              <w:bottom w:val="single" w:sz="4" w:space="0" w:color="000000" w:themeColor="text1"/>
            </w:tcBorders>
          </w:tcPr>
          <w:p w:rsidR="00E51D0E" w:rsidRPr="00E51D0E" w:rsidRDefault="00E51D0E" w:rsidP="00136C3C">
            <w:pPr>
              <w:spacing w:before="100" w:beforeAutospacing="1" w:after="100" w:afterAutospacing="1"/>
              <w:jc w:val="center"/>
              <w:rPr>
                <w:rFonts w:ascii="Arial" w:hAnsi="Arial" w:cs="Arial"/>
                <w:b/>
                <w:sz w:val="16"/>
                <w:szCs w:val="20"/>
                <w:vertAlign w:val="superscript"/>
              </w:rPr>
            </w:pPr>
            <w:r w:rsidRPr="00E51D0E">
              <w:rPr>
                <w:rFonts w:ascii="Arial" w:hAnsi="Arial" w:cs="Arial"/>
                <w:b/>
                <w:sz w:val="16"/>
                <w:szCs w:val="20"/>
              </w:rPr>
              <w:t>Number of grain</w:t>
            </w:r>
          </w:p>
        </w:tc>
        <w:tc>
          <w:tcPr>
            <w:tcW w:w="391" w:type="pct"/>
            <w:tcBorders>
              <w:top w:val="single" w:sz="4" w:space="0" w:color="000000" w:themeColor="text1"/>
              <w:bottom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Grain weight</w:t>
            </w:r>
          </w:p>
        </w:tc>
        <w:tc>
          <w:tcPr>
            <w:tcW w:w="448" w:type="pct"/>
            <w:tcBorders>
              <w:top w:val="single" w:sz="4" w:space="0" w:color="000000" w:themeColor="text1"/>
              <w:bottom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Test weight </w:t>
            </w:r>
          </w:p>
        </w:tc>
        <w:tc>
          <w:tcPr>
            <w:tcW w:w="508" w:type="pct"/>
            <w:tcBorders>
              <w:top w:val="single" w:sz="4" w:space="0" w:color="000000" w:themeColor="text1"/>
              <w:bottom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Bio mass</w:t>
            </w:r>
          </w:p>
        </w:tc>
        <w:tc>
          <w:tcPr>
            <w:tcW w:w="448" w:type="pct"/>
            <w:tcBorders>
              <w:top w:val="single" w:sz="4" w:space="0" w:color="000000" w:themeColor="text1"/>
              <w:bottom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Grain yield</w:t>
            </w:r>
          </w:p>
        </w:tc>
        <w:tc>
          <w:tcPr>
            <w:tcW w:w="448" w:type="pct"/>
            <w:tcBorders>
              <w:top w:val="single" w:sz="4" w:space="0" w:color="000000" w:themeColor="text1"/>
              <w:bottom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Straw yield</w:t>
            </w:r>
          </w:p>
        </w:tc>
        <w:tc>
          <w:tcPr>
            <w:tcW w:w="448" w:type="pct"/>
            <w:tcBorders>
              <w:top w:val="single" w:sz="4" w:space="0" w:color="000000" w:themeColor="text1"/>
              <w:bottom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Harvest index  </w:t>
            </w:r>
            <w:commentRangeEnd w:id="26"/>
            <w:r w:rsidR="00106B27">
              <w:rPr>
                <w:rStyle w:val="CommentReference"/>
              </w:rPr>
              <w:commentReference w:id="26"/>
            </w:r>
          </w:p>
        </w:tc>
      </w:tr>
      <w:tr w:rsidR="00E51D0E" w:rsidRPr="00E51D0E" w:rsidTr="00D81A30">
        <w:trPr>
          <w:trHeight w:val="299"/>
        </w:trPr>
        <w:tc>
          <w:tcPr>
            <w:tcW w:w="926" w:type="pct"/>
            <w:vMerge w:val="restart"/>
            <w:tcBorders>
              <w:top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20"/>
                <w:szCs w:val="20"/>
              </w:rPr>
            </w:pPr>
          </w:p>
        </w:tc>
        <w:tc>
          <w:tcPr>
            <w:tcW w:w="448" w:type="pct"/>
            <w:tcBorders>
              <w:top w:val="single" w:sz="4" w:space="0" w:color="000000" w:themeColor="text1"/>
            </w:tcBorders>
          </w:tcPr>
          <w:p w:rsidR="00E51D0E" w:rsidRPr="00E51D0E" w:rsidRDefault="00E51D0E" w:rsidP="00136C3C">
            <w:pPr>
              <w:spacing w:before="100" w:beforeAutospacing="1" w:after="100" w:afterAutospacing="1"/>
              <w:jc w:val="center"/>
              <w:rPr>
                <w:rFonts w:ascii="Arial" w:hAnsi="Arial" w:cs="Arial"/>
                <w:b/>
                <w:sz w:val="16"/>
                <w:szCs w:val="20"/>
              </w:rPr>
            </w:pPr>
          </w:p>
        </w:tc>
        <w:tc>
          <w:tcPr>
            <w:tcW w:w="487" w:type="pct"/>
            <w:vMerge w:val="restart"/>
            <w:tcBorders>
              <w:top w:val="single" w:sz="4" w:space="0" w:color="000000" w:themeColor="text1"/>
            </w:tcBorders>
          </w:tcPr>
          <w:p w:rsidR="00E51D0E" w:rsidRPr="00E51D0E" w:rsidRDefault="00E51D0E" w:rsidP="00136C3C">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rsidR="00E51D0E" w:rsidRPr="00E51D0E" w:rsidRDefault="00E51D0E" w:rsidP="00136C3C">
            <w:pPr>
              <w:spacing w:before="100" w:beforeAutospacing="1" w:after="100" w:afterAutospacing="1"/>
              <w:jc w:val="center"/>
              <w:rPr>
                <w:rFonts w:ascii="Arial" w:hAnsi="Arial" w:cs="Arial"/>
                <w:b/>
                <w:sz w:val="16"/>
                <w:szCs w:val="20"/>
              </w:rPr>
            </w:pPr>
          </w:p>
        </w:tc>
        <w:tc>
          <w:tcPr>
            <w:tcW w:w="391" w:type="pct"/>
            <w:vMerge w:val="restart"/>
            <w:tcBorders>
              <w:top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p>
        </w:tc>
        <w:tc>
          <w:tcPr>
            <w:tcW w:w="508" w:type="pct"/>
            <w:vMerge w:val="restart"/>
            <w:tcBorders>
              <w:top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rsidR="00E51D0E" w:rsidRPr="00E51D0E" w:rsidRDefault="00E51D0E" w:rsidP="00E51D0E">
            <w:pPr>
              <w:spacing w:before="100" w:beforeAutospacing="1" w:after="100" w:afterAutospacing="1"/>
              <w:jc w:val="center"/>
              <w:rPr>
                <w:rFonts w:ascii="Arial" w:hAnsi="Arial" w:cs="Arial"/>
                <w:b/>
                <w:sz w:val="16"/>
                <w:szCs w:val="20"/>
              </w:rPr>
            </w:pPr>
          </w:p>
        </w:tc>
      </w:tr>
      <w:tr w:rsidR="00E51D0E" w:rsidRPr="00E51D0E" w:rsidTr="00D81A30">
        <w:trPr>
          <w:trHeight w:val="64"/>
        </w:trPr>
        <w:tc>
          <w:tcPr>
            <w:tcW w:w="926" w:type="pct"/>
            <w:vMerge/>
          </w:tcPr>
          <w:p w:rsidR="00E51D0E" w:rsidRPr="00E51D0E" w:rsidRDefault="00E51D0E" w:rsidP="00136C3C">
            <w:pPr>
              <w:spacing w:before="100" w:beforeAutospacing="1" w:after="100" w:afterAutospacing="1"/>
              <w:jc w:val="both"/>
              <w:rPr>
                <w:rFonts w:ascii="Arial" w:hAnsi="Arial" w:cs="Arial"/>
                <w:sz w:val="20"/>
                <w:szCs w:val="20"/>
              </w:rPr>
            </w:pPr>
          </w:p>
        </w:tc>
        <w:tc>
          <w:tcPr>
            <w:tcW w:w="448" w:type="pct"/>
          </w:tcPr>
          <w:p w:rsidR="00E51D0E" w:rsidRPr="00E51D0E" w:rsidRDefault="00E51D0E" w:rsidP="00136C3C">
            <w:pPr>
              <w:spacing w:before="100" w:beforeAutospacing="1" w:after="100" w:afterAutospacing="1"/>
              <w:rPr>
                <w:rFonts w:ascii="Arial" w:hAnsi="Arial" w:cs="Arial"/>
                <w:sz w:val="20"/>
                <w:szCs w:val="20"/>
              </w:rPr>
            </w:pPr>
          </w:p>
        </w:tc>
        <w:tc>
          <w:tcPr>
            <w:tcW w:w="487" w:type="pct"/>
            <w:vMerge/>
          </w:tcPr>
          <w:p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rsidR="00E51D0E" w:rsidRPr="00E51D0E" w:rsidRDefault="00E51D0E" w:rsidP="00136C3C">
            <w:pPr>
              <w:spacing w:before="100" w:beforeAutospacing="1" w:after="100" w:afterAutospacing="1"/>
              <w:jc w:val="both"/>
              <w:rPr>
                <w:rFonts w:ascii="Arial" w:hAnsi="Arial" w:cs="Arial"/>
                <w:sz w:val="20"/>
                <w:szCs w:val="20"/>
              </w:rPr>
            </w:pPr>
          </w:p>
        </w:tc>
        <w:tc>
          <w:tcPr>
            <w:tcW w:w="391" w:type="pct"/>
            <w:vMerge/>
          </w:tcPr>
          <w:p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rsidR="00E51D0E" w:rsidRPr="00E51D0E" w:rsidRDefault="00E51D0E" w:rsidP="00136C3C">
            <w:pPr>
              <w:spacing w:before="100" w:beforeAutospacing="1" w:after="100" w:afterAutospacing="1"/>
              <w:jc w:val="both"/>
              <w:rPr>
                <w:rFonts w:ascii="Arial" w:hAnsi="Arial" w:cs="Arial"/>
                <w:sz w:val="20"/>
                <w:szCs w:val="20"/>
              </w:rPr>
            </w:pPr>
          </w:p>
        </w:tc>
        <w:tc>
          <w:tcPr>
            <w:tcW w:w="508" w:type="pct"/>
            <w:vMerge/>
          </w:tcPr>
          <w:p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rsidR="00E51D0E" w:rsidRPr="00E51D0E" w:rsidRDefault="00E51D0E" w:rsidP="00136C3C">
            <w:pPr>
              <w:spacing w:before="100" w:beforeAutospacing="1" w:after="100" w:afterAutospacing="1"/>
              <w:jc w:val="both"/>
              <w:rPr>
                <w:rFonts w:ascii="Arial" w:hAnsi="Arial" w:cs="Arial"/>
                <w:sz w:val="20"/>
                <w:szCs w:val="20"/>
              </w:rPr>
            </w:pP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₀</w:t>
            </w:r>
            <w:r w:rsidRPr="00E51D0E">
              <w:rPr>
                <w:rFonts w:ascii="Arial" w:hAnsi="Arial" w:cs="Arial"/>
                <w:sz w:val="20"/>
                <w:szCs w:val="20"/>
              </w:rPr>
              <w:t xml:space="preserve"> - Control</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9.600</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23.267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46.133</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44.667</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36.253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18.947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20.943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50.313</w:t>
            </w: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₁</w:t>
            </w:r>
            <w:r w:rsidRPr="00E51D0E">
              <w:rPr>
                <w:rFonts w:ascii="Arial" w:hAnsi="Arial" w:cs="Arial"/>
                <w:sz w:val="20"/>
                <w:szCs w:val="20"/>
              </w:rPr>
              <w:t xml:space="preserve"> - 100% RDF (150 kg N + 60 kg P</w:t>
            </w:r>
            <w:r w:rsidRPr="00E51D0E">
              <w:rPr>
                <w:rFonts w:ascii="Cambria Math" w:hAnsi="Cambria Math" w:cs="Cambria Math"/>
                <w:sz w:val="20"/>
                <w:szCs w:val="20"/>
              </w:rPr>
              <w:t>₂</w:t>
            </w:r>
            <w:r w:rsidRPr="00E51D0E">
              <w:rPr>
                <w:rFonts w:ascii="Arial" w:hAnsi="Arial" w:cs="Arial"/>
                <w:sz w:val="20"/>
                <w:szCs w:val="20"/>
              </w:rPr>
              <w:t>O</w:t>
            </w:r>
            <w:r w:rsidRPr="00E51D0E">
              <w:rPr>
                <w:rFonts w:ascii="Cambria Math" w:hAnsi="Cambria Math" w:cs="Cambria Math"/>
                <w:sz w:val="20"/>
                <w:szCs w:val="20"/>
              </w:rPr>
              <w:t>₅</w:t>
            </w:r>
            <w:r w:rsidRPr="00E51D0E">
              <w:rPr>
                <w:rFonts w:ascii="Arial" w:hAnsi="Arial" w:cs="Arial"/>
                <w:sz w:val="20"/>
                <w:szCs w:val="20"/>
              </w:rPr>
              <w:t xml:space="preserve"> + 50 kg K</w:t>
            </w:r>
            <w:r w:rsidRPr="00E51D0E">
              <w:rPr>
                <w:rFonts w:ascii="Cambria Math" w:hAnsi="Cambria Math" w:cs="Cambria Math"/>
                <w:sz w:val="20"/>
                <w:szCs w:val="20"/>
              </w:rPr>
              <w:t>₂</w:t>
            </w:r>
            <w:r w:rsidRPr="00E51D0E">
              <w:rPr>
                <w:rFonts w:ascii="Arial" w:hAnsi="Arial" w:cs="Arial"/>
                <w:sz w:val="20"/>
                <w:szCs w:val="20"/>
              </w:rPr>
              <w:t>O ha</w:t>
            </w:r>
            <w:r w:rsidRPr="00E51D0E">
              <w:rPr>
                <w:rFonts w:ascii="Cambria Math" w:hAnsi="Cambria Math" w:cs="Cambria Math"/>
                <w:sz w:val="20"/>
                <w:szCs w:val="20"/>
              </w:rPr>
              <w:t>⁻</w:t>
            </w:r>
            <w:r w:rsidRPr="00E51D0E">
              <w:rPr>
                <w:rFonts w:ascii="Arial" w:hAnsi="Arial" w:cs="Arial"/>
                <w:sz w:val="20"/>
                <w:szCs w:val="20"/>
              </w:rPr>
              <w:t>¹)</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7.300</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10.333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50.933</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3.467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45.667</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68.610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26.947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35.000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50.307</w:t>
            </w: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₂</w:t>
            </w:r>
            <w:r w:rsidRPr="00E51D0E">
              <w:rPr>
                <w:rFonts w:ascii="Arial" w:hAnsi="Arial" w:cs="Arial"/>
                <w:sz w:val="20"/>
                <w:szCs w:val="20"/>
              </w:rPr>
              <w:t xml:space="preserve"> - 25% RDF + 75% RDN </w:t>
            </w:r>
            <w:r w:rsidRPr="00E51D0E">
              <w:rPr>
                <w:rFonts w:ascii="Arial" w:hAnsi="Arial" w:cs="Arial"/>
                <w:sz w:val="20"/>
                <w:szCs w:val="20"/>
              </w:rPr>
              <w:lastRenderedPageBreak/>
              <w:t>through FYM</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lastRenderedPageBreak/>
              <w:t>19.533</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8.267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54.867</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3.933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45.333</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60.780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37.890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38.223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49.880</w:t>
            </w: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lastRenderedPageBreak/>
              <w:t>T</w:t>
            </w:r>
            <w:r w:rsidRPr="00E51D0E">
              <w:rPr>
                <w:rFonts w:ascii="Cambria Math" w:hAnsi="Cambria Math" w:cs="Cambria Math"/>
                <w:sz w:val="20"/>
                <w:szCs w:val="20"/>
              </w:rPr>
              <w:t>₃</w:t>
            </w:r>
            <w:r w:rsidRPr="00E51D0E">
              <w:rPr>
                <w:rFonts w:ascii="Arial" w:hAnsi="Arial" w:cs="Arial"/>
                <w:sz w:val="20"/>
                <w:szCs w:val="20"/>
              </w:rPr>
              <w:t xml:space="preserve"> - 25% RDF + 75% RDN through Vermicompost</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9.733</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23.733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43.133</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44.000</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75.000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42.110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42.890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46.347</w:t>
            </w: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₄</w:t>
            </w:r>
            <w:r w:rsidRPr="00E51D0E">
              <w:rPr>
                <w:rFonts w:ascii="Arial" w:hAnsi="Arial" w:cs="Arial"/>
                <w:sz w:val="20"/>
                <w:szCs w:val="20"/>
              </w:rPr>
              <w:t xml:space="preserve"> - 25% RDF + 75% RDN through Poultry Manure</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9.133</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10.633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51.467</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3.600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46.333</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98.887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43.890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51.663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48.990</w:t>
            </w: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₅</w:t>
            </w:r>
            <w:r w:rsidRPr="00E51D0E">
              <w:rPr>
                <w:rFonts w:ascii="Arial" w:hAnsi="Arial" w:cs="Arial"/>
                <w:sz w:val="20"/>
                <w:szCs w:val="20"/>
              </w:rPr>
              <w:t xml:space="preserve"> - 25% RDF + 75% RDN through ⅓ FYM + ⅓ Vermicompost + ⅓ Poultry Manure</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22.933</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8.267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54.367</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3.500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44.667</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101.943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45.720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56.220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45.217</w:t>
            </w: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₆</w:t>
            </w:r>
            <w:r w:rsidRPr="00E51D0E">
              <w:rPr>
                <w:rFonts w:ascii="Arial" w:hAnsi="Arial" w:cs="Arial"/>
                <w:sz w:val="20"/>
                <w:szCs w:val="20"/>
              </w:rPr>
              <w:t xml:space="preserve"> - 50% RDF + 50% RDN through FYM</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9.233</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22.267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45.533</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4.067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45.333</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63.887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34.113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29.777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56.917</w:t>
            </w: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₇</w:t>
            </w:r>
            <w:r w:rsidRPr="00E51D0E">
              <w:rPr>
                <w:rFonts w:ascii="Arial" w:hAnsi="Arial" w:cs="Arial"/>
                <w:sz w:val="20"/>
                <w:szCs w:val="20"/>
              </w:rPr>
              <w:t xml:space="preserve"> - 50% RDF + 50% RDN through Vermicompost</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10.067</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10.400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44.933</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3.933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45.000</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104.720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48.943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32.447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58.150</w:t>
            </w:r>
          </w:p>
        </w:tc>
      </w:tr>
      <w:tr w:rsidR="00E51D0E" w:rsidRPr="00E51D0E" w:rsidTr="00D81A30">
        <w:trPr>
          <w:trHeight w:val="20"/>
        </w:trPr>
        <w:tc>
          <w:tcPr>
            <w:tcW w:w="926" w:type="pct"/>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₈</w:t>
            </w:r>
            <w:r w:rsidRPr="00E51D0E">
              <w:rPr>
                <w:rFonts w:ascii="Arial" w:hAnsi="Arial" w:cs="Arial"/>
                <w:sz w:val="20"/>
                <w:szCs w:val="20"/>
              </w:rPr>
              <w:t xml:space="preserve"> - 50% RDF + 50% RDN through Poultry Manure</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23.000</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9.733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51.733</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3.800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44.000</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105.277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39.110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42.500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51.823</w:t>
            </w:r>
          </w:p>
        </w:tc>
      </w:tr>
      <w:tr w:rsidR="00E51D0E" w:rsidRPr="00E51D0E" w:rsidTr="00D81A30">
        <w:trPr>
          <w:trHeight w:val="1317"/>
        </w:trPr>
        <w:tc>
          <w:tcPr>
            <w:tcW w:w="926" w:type="pct"/>
            <w:tcBorders>
              <w:bottom w:val="single" w:sz="4" w:space="0" w:color="000000" w:themeColor="text1"/>
            </w:tcBorders>
            <w:vAlign w:val="center"/>
          </w:tcPr>
          <w:p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₉</w:t>
            </w:r>
            <w:r w:rsidRPr="00E51D0E">
              <w:rPr>
                <w:rFonts w:ascii="Arial" w:hAnsi="Arial" w:cs="Arial"/>
                <w:sz w:val="20"/>
                <w:szCs w:val="20"/>
              </w:rPr>
              <w:t xml:space="preserve"> - 50% RDF + 50% RDN through ⅓ FYM + ⅓ Vermicompost + ⅓ Poultry</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10.133</w:t>
            </w:r>
          </w:p>
        </w:tc>
        <w:tc>
          <w:tcPr>
            <w:tcW w:w="487"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24.067</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52.600</w:t>
            </w:r>
          </w:p>
        </w:tc>
        <w:tc>
          <w:tcPr>
            <w:tcW w:w="391"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4.000</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43.667</w:t>
            </w:r>
          </w:p>
        </w:tc>
        <w:tc>
          <w:tcPr>
            <w:tcW w:w="50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92.443</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44.887</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46.220</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49.037</w:t>
            </w:r>
          </w:p>
        </w:tc>
      </w:tr>
      <w:tr w:rsidR="00D81A30" w:rsidRPr="00E51D0E" w:rsidTr="00D81A30">
        <w:trPr>
          <w:trHeight w:val="282"/>
        </w:trPr>
        <w:tc>
          <w:tcPr>
            <w:tcW w:w="926" w:type="pct"/>
            <w:tcBorders>
              <w:top w:val="single" w:sz="4" w:space="0" w:color="000000" w:themeColor="text1"/>
            </w:tcBorders>
            <w:vAlign w:val="center"/>
          </w:tcPr>
          <w:p w:rsidR="00D81A30" w:rsidRPr="00E51D0E" w:rsidRDefault="00D81A30" w:rsidP="00136C3C">
            <w:pPr>
              <w:jc w:val="both"/>
              <w:rPr>
                <w:rFonts w:ascii="Arial" w:hAnsi="Arial" w:cs="Arial"/>
                <w:sz w:val="20"/>
                <w:szCs w:val="20"/>
              </w:rPr>
            </w:pPr>
            <w:r w:rsidRPr="00E51D0E">
              <w:rPr>
                <w:rFonts w:ascii="Arial" w:hAnsi="Arial" w:cs="Arial"/>
                <w:sz w:val="20"/>
                <w:szCs w:val="20"/>
              </w:rPr>
              <w:t xml:space="preserve"> Manure</w:t>
            </w:r>
          </w:p>
        </w:tc>
        <w:tc>
          <w:tcPr>
            <w:tcW w:w="448"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c>
          <w:tcPr>
            <w:tcW w:w="487"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c>
          <w:tcPr>
            <w:tcW w:w="391"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c>
          <w:tcPr>
            <w:tcW w:w="508"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rsidR="00D81A30" w:rsidRPr="00E51D0E" w:rsidRDefault="00D81A30" w:rsidP="00E51D0E">
            <w:pPr>
              <w:jc w:val="center"/>
              <w:rPr>
                <w:rFonts w:ascii="Arial" w:hAnsi="Arial" w:cs="Arial"/>
                <w:color w:val="000000"/>
                <w:sz w:val="20"/>
                <w:szCs w:val="20"/>
              </w:rPr>
            </w:pPr>
          </w:p>
        </w:tc>
      </w:tr>
      <w:tr w:rsidR="00E51D0E" w:rsidRPr="00E51D0E" w:rsidTr="00D81A30">
        <w:tc>
          <w:tcPr>
            <w:tcW w:w="926" w:type="pct"/>
            <w:vAlign w:val="bottom"/>
          </w:tcPr>
          <w:p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C.D.</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1.087</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1.882</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2.138</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0.324</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N/A</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25.725</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11.367</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15.603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6.830</w:t>
            </w:r>
          </w:p>
        </w:tc>
      </w:tr>
      <w:tr w:rsidR="00E51D0E" w:rsidRPr="00E51D0E" w:rsidTr="00D81A30">
        <w:tc>
          <w:tcPr>
            <w:tcW w:w="926" w:type="pct"/>
            <w:vAlign w:val="bottom"/>
          </w:tcPr>
          <w:p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SE(m)</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0.363</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0.629</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0.714</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0.108</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1.084</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8.592</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3.796</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5.211</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2.281</w:t>
            </w:r>
          </w:p>
        </w:tc>
      </w:tr>
      <w:tr w:rsidR="00E51D0E" w:rsidRPr="00E51D0E" w:rsidTr="00D81A30">
        <w:tc>
          <w:tcPr>
            <w:tcW w:w="926" w:type="pct"/>
            <w:vAlign w:val="bottom"/>
          </w:tcPr>
          <w:p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SE(d)</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0.513</w:t>
            </w:r>
          </w:p>
        </w:tc>
        <w:tc>
          <w:tcPr>
            <w:tcW w:w="487"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0.889</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1.010</w:t>
            </w:r>
          </w:p>
        </w:tc>
        <w:tc>
          <w:tcPr>
            <w:tcW w:w="391"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0.153</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1.532</w:t>
            </w:r>
          </w:p>
        </w:tc>
        <w:tc>
          <w:tcPr>
            <w:tcW w:w="50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12.151</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5.369</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7.370</w:t>
            </w:r>
          </w:p>
        </w:tc>
        <w:tc>
          <w:tcPr>
            <w:tcW w:w="448" w:type="pct"/>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3.226</w:t>
            </w:r>
          </w:p>
        </w:tc>
      </w:tr>
      <w:tr w:rsidR="00E51D0E" w:rsidRPr="00E51D0E" w:rsidTr="00D81A30">
        <w:tc>
          <w:tcPr>
            <w:tcW w:w="926" w:type="pct"/>
            <w:tcBorders>
              <w:bottom w:val="single" w:sz="4" w:space="0" w:color="000000" w:themeColor="text1"/>
            </w:tcBorders>
            <w:vAlign w:val="bottom"/>
          </w:tcPr>
          <w:p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C.V.</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4.811</w:t>
            </w:r>
          </w:p>
        </w:tc>
        <w:tc>
          <w:tcPr>
            <w:tcW w:w="487"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7.211</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2.495</w:t>
            </w:r>
          </w:p>
        </w:tc>
        <w:tc>
          <w:tcPr>
            <w:tcW w:w="391"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4.895</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4.183</w:t>
            </w:r>
          </w:p>
        </w:tc>
        <w:tc>
          <w:tcPr>
            <w:tcW w:w="50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18.422</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17.188</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22.800</w:t>
            </w:r>
          </w:p>
        </w:tc>
        <w:tc>
          <w:tcPr>
            <w:tcW w:w="448" w:type="pct"/>
            <w:tcBorders>
              <w:bottom w:val="single" w:sz="4" w:space="0" w:color="000000" w:themeColor="text1"/>
            </w:tcBorders>
            <w:vAlign w:val="center"/>
          </w:tcPr>
          <w:p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7.793</w:t>
            </w:r>
          </w:p>
        </w:tc>
      </w:tr>
    </w:tbl>
    <w:p w:rsidR="00AB7E99" w:rsidRDefault="00AB7E99" w:rsidP="00AB7E99">
      <w:pPr>
        <w:spacing w:after="0" w:line="240" w:lineRule="auto"/>
        <w:jc w:val="both"/>
        <w:outlineLvl w:val="2"/>
        <w:rPr>
          <w:rFonts w:ascii="Arial" w:eastAsia="Times New Roman" w:hAnsi="Arial" w:cs="Arial"/>
          <w:b/>
          <w:bCs/>
          <w:sz w:val="20"/>
          <w:szCs w:val="28"/>
        </w:rPr>
      </w:pPr>
    </w:p>
    <w:p w:rsidR="00AB7E99" w:rsidRPr="00AB7E99" w:rsidRDefault="00AB7E99" w:rsidP="00AB7E99">
      <w:pPr>
        <w:spacing w:after="0" w:line="240" w:lineRule="auto"/>
        <w:jc w:val="both"/>
        <w:outlineLvl w:val="2"/>
        <w:rPr>
          <w:rFonts w:ascii="Arial" w:eastAsia="Times New Roman" w:hAnsi="Arial" w:cs="Arial"/>
          <w:b/>
          <w:bCs/>
          <w:sz w:val="20"/>
          <w:szCs w:val="28"/>
        </w:rPr>
      </w:pPr>
      <w:r w:rsidRPr="00AB7E99">
        <w:rPr>
          <w:rFonts w:ascii="Arial" w:eastAsia="Times New Roman" w:hAnsi="Arial" w:cs="Arial"/>
          <w:b/>
          <w:bCs/>
          <w:sz w:val="20"/>
          <w:szCs w:val="28"/>
        </w:rPr>
        <w:t>Conclusion</w:t>
      </w:r>
    </w:p>
    <w:p w:rsidR="00AB7E99" w:rsidRDefault="00AB7E99" w:rsidP="00AB7E99">
      <w:pPr>
        <w:spacing w:after="0" w:line="360" w:lineRule="auto"/>
        <w:jc w:val="both"/>
        <w:outlineLvl w:val="2"/>
        <w:rPr>
          <w:rFonts w:ascii="Arial" w:hAnsi="Arial" w:cs="Arial"/>
          <w:sz w:val="20"/>
          <w:szCs w:val="24"/>
        </w:rPr>
      </w:pPr>
      <w:commentRangeStart w:id="27"/>
      <w:r w:rsidRPr="00AB7E99">
        <w:rPr>
          <w:rFonts w:ascii="Arial" w:hAnsi="Arial" w:cs="Arial"/>
          <w:sz w:val="20"/>
          <w:szCs w:val="24"/>
        </w:rPr>
        <w:t>From the findings of the present investigation, it can be concluded that integrated nutrient management (INM) practices had a significant and positive impact on the growth parameters, yield attributes, and overall productivity of wheat (</w:t>
      </w:r>
      <w:r w:rsidRPr="00AB7E99">
        <w:rPr>
          <w:rFonts w:ascii="Arial" w:hAnsi="Arial" w:cs="Arial"/>
          <w:i/>
          <w:sz w:val="20"/>
          <w:szCs w:val="24"/>
        </w:rPr>
        <w:t>Triticum aestivum</w:t>
      </w:r>
      <w:r w:rsidRPr="00AB7E99">
        <w:rPr>
          <w:rFonts w:ascii="Arial" w:hAnsi="Arial" w:cs="Arial"/>
          <w:sz w:val="20"/>
          <w:szCs w:val="24"/>
        </w:rPr>
        <w:t xml:space="preserve"> L.) under the agro-climatic conditions of Agra. Among the treatments, T</w:t>
      </w:r>
      <w:r w:rsidRPr="00AB7E99">
        <w:rPr>
          <w:rFonts w:ascii="Cambria Math" w:hAnsi="Cambria Math" w:cs="Cambria Math"/>
          <w:sz w:val="20"/>
          <w:szCs w:val="24"/>
        </w:rPr>
        <w:t>₅</w:t>
      </w:r>
      <w:r w:rsidRPr="00AB7E99">
        <w:rPr>
          <w:rFonts w:ascii="Arial" w:hAnsi="Arial" w:cs="Arial"/>
          <w:sz w:val="20"/>
          <w:szCs w:val="24"/>
        </w:rPr>
        <w:t xml:space="preserve"> (25% RDF + 75% RDN through equal parts of FYM, vermicompost, and poultry manure) proved most effective in enhancing grain yield, straw yield, biological yield, and important growth indicators such as plant height, number of tillers.</w:t>
      </w:r>
      <w:commentRangeEnd w:id="27"/>
      <w:r w:rsidR="00F60957">
        <w:rPr>
          <w:rStyle w:val="CommentReference"/>
        </w:rPr>
        <w:commentReference w:id="27"/>
      </w:r>
    </w:p>
    <w:p w:rsidR="00597F91" w:rsidRPr="00597F91" w:rsidRDefault="00597F91" w:rsidP="00597F91">
      <w:pPr>
        <w:pStyle w:val="Heading3"/>
        <w:jc w:val="both"/>
        <w:rPr>
          <w:rFonts w:ascii="Arial" w:hAnsi="Arial" w:cs="Arial"/>
          <w:b w:val="0"/>
          <w:sz w:val="20"/>
          <w:szCs w:val="20"/>
        </w:rPr>
      </w:pPr>
      <w:r w:rsidRPr="00597F91">
        <w:rPr>
          <w:rStyle w:val="Strong"/>
          <w:rFonts w:ascii="Arial" w:eastAsiaTheme="majorEastAsia" w:hAnsi="Arial" w:cs="Arial"/>
          <w:b/>
          <w:bCs/>
          <w:sz w:val="20"/>
          <w:szCs w:val="20"/>
        </w:rPr>
        <w:t>References</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Chittimothu, S. B. (2022).</w:t>
      </w:r>
      <w:r w:rsidRPr="00485657">
        <w:rPr>
          <w:rFonts w:ascii="Arial" w:hAnsi="Arial" w:cs="Arial"/>
          <w:sz w:val="20"/>
          <w:szCs w:val="20"/>
        </w:rPr>
        <w:t xml:space="preserve"> Effect of integrated nutrients management on growth and yield of wheat. </w:t>
      </w:r>
      <w:r w:rsidRPr="00485657">
        <w:rPr>
          <w:rFonts w:ascii="Arial" w:hAnsi="Arial" w:cs="Arial"/>
          <w:i/>
          <w:sz w:val="20"/>
          <w:szCs w:val="20"/>
        </w:rPr>
        <w:t>International Journal of Advance Research, Ideas and Innovations in Technology</w:t>
      </w:r>
      <w:r w:rsidRPr="00485657">
        <w:rPr>
          <w:rFonts w:ascii="Arial" w:hAnsi="Arial" w:cs="Arial"/>
          <w:sz w:val="20"/>
          <w:szCs w:val="20"/>
        </w:rPr>
        <w:t>, 8(5), 202–204.</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Khan, M. A. R., Manohar, B., Sagar, A., Prajapati, M. K., Yadav, A., &amp; Yadav, V. P. (2025)</w:t>
      </w:r>
      <w:r w:rsidRPr="00485657">
        <w:rPr>
          <w:rFonts w:ascii="Arial" w:hAnsi="Arial" w:cs="Arial"/>
          <w:sz w:val="20"/>
          <w:szCs w:val="20"/>
        </w:rPr>
        <w:t>. Impact of integrated nutrient management on growth and yield of wheat (</w:t>
      </w:r>
      <w:r w:rsidRPr="00485657">
        <w:rPr>
          <w:rFonts w:ascii="Arial" w:hAnsi="Arial" w:cs="Arial"/>
          <w:i/>
          <w:sz w:val="20"/>
          <w:szCs w:val="20"/>
        </w:rPr>
        <w:t>Triticum aestivum</w:t>
      </w:r>
      <w:r w:rsidRPr="00485657">
        <w:rPr>
          <w:rFonts w:ascii="Arial" w:hAnsi="Arial" w:cs="Arial"/>
          <w:sz w:val="20"/>
          <w:szCs w:val="20"/>
        </w:rPr>
        <w:t xml:space="preserve"> L.) </w:t>
      </w:r>
      <w:r w:rsidRPr="00485657">
        <w:rPr>
          <w:rFonts w:ascii="Arial" w:hAnsi="Arial" w:cs="Arial"/>
          <w:sz w:val="20"/>
          <w:szCs w:val="20"/>
        </w:rPr>
        <w:lastRenderedPageBreak/>
        <w:t xml:space="preserve">under the agro-climatic conditions of southern Uttar Pradesh. </w:t>
      </w:r>
      <w:r w:rsidRPr="00485657">
        <w:rPr>
          <w:rFonts w:ascii="Arial" w:hAnsi="Arial" w:cs="Arial"/>
          <w:i/>
          <w:sz w:val="20"/>
          <w:szCs w:val="20"/>
        </w:rPr>
        <w:t>International Journal of Research in Agronomy</w:t>
      </w:r>
      <w:r w:rsidRPr="00485657">
        <w:rPr>
          <w:rFonts w:ascii="Arial" w:hAnsi="Arial" w:cs="Arial"/>
          <w:sz w:val="20"/>
          <w:szCs w:val="20"/>
        </w:rPr>
        <w:t>, 8(5, Part J), 755–758.</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Kumar, A., &amp; Kumar, M. (2025).</w:t>
      </w:r>
      <w:r w:rsidRPr="00485657">
        <w:rPr>
          <w:rFonts w:ascii="Arial" w:hAnsi="Arial" w:cs="Arial"/>
          <w:sz w:val="20"/>
          <w:szCs w:val="20"/>
        </w:rPr>
        <w:t xml:space="preserve"> Effects of integrated nutrient management on wheat growth and yield under late-sown conditions. </w:t>
      </w:r>
      <w:r w:rsidRPr="00485657">
        <w:rPr>
          <w:rFonts w:ascii="Arial" w:hAnsi="Arial" w:cs="Arial"/>
          <w:i/>
          <w:sz w:val="20"/>
          <w:szCs w:val="20"/>
        </w:rPr>
        <w:t>International Journal of Research in Agronomy</w:t>
      </w:r>
      <w:r w:rsidRPr="00485657">
        <w:rPr>
          <w:rFonts w:ascii="Arial" w:hAnsi="Arial" w:cs="Arial"/>
          <w:sz w:val="20"/>
          <w:szCs w:val="20"/>
        </w:rPr>
        <w:t>, 8(5), 375–382.</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Lodhi, S., Singh, R., Yadav, A., Maurya, D. K., Pal, R. K., &amp; Kumar, S. (2024)</w:t>
      </w:r>
      <w:r w:rsidRPr="00485657">
        <w:rPr>
          <w:rFonts w:ascii="Arial" w:hAnsi="Arial" w:cs="Arial"/>
          <w:i/>
          <w:sz w:val="20"/>
          <w:szCs w:val="20"/>
        </w:rPr>
        <w:t xml:space="preserve">. </w:t>
      </w:r>
      <w:r w:rsidRPr="00485657">
        <w:rPr>
          <w:rFonts w:ascii="Arial" w:hAnsi="Arial" w:cs="Arial"/>
          <w:sz w:val="20"/>
          <w:szCs w:val="20"/>
        </w:rPr>
        <w:t>Effect of integrated nutrient management on growth, yield attributes and soil quality of wheat (</w:t>
      </w:r>
      <w:r w:rsidRPr="00485657">
        <w:rPr>
          <w:rFonts w:ascii="Arial" w:hAnsi="Arial" w:cs="Arial"/>
          <w:i/>
          <w:sz w:val="20"/>
          <w:szCs w:val="20"/>
        </w:rPr>
        <w:t>Triticum aestivum</w:t>
      </w:r>
      <w:r w:rsidRPr="00485657">
        <w:rPr>
          <w:rFonts w:ascii="Arial" w:hAnsi="Arial" w:cs="Arial"/>
          <w:sz w:val="20"/>
          <w:szCs w:val="20"/>
        </w:rPr>
        <w:t xml:space="preserve"> L.). </w:t>
      </w:r>
      <w:r w:rsidRPr="00485657">
        <w:rPr>
          <w:rFonts w:ascii="Arial" w:hAnsi="Arial" w:cs="Arial"/>
          <w:i/>
          <w:sz w:val="20"/>
          <w:szCs w:val="20"/>
        </w:rPr>
        <w:t>International Journal of Research in Agronomy</w:t>
      </w:r>
      <w:r w:rsidRPr="00485657">
        <w:rPr>
          <w:rFonts w:ascii="Arial" w:hAnsi="Arial" w:cs="Arial"/>
          <w:sz w:val="20"/>
          <w:szCs w:val="20"/>
        </w:rPr>
        <w:t>, 7(6), 436–442.</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Patel, A. I., &amp; Patel, M. R. (2011)</w:t>
      </w:r>
      <w:r w:rsidRPr="00485657">
        <w:rPr>
          <w:rStyle w:val="Strong"/>
          <w:rFonts w:ascii="Arial" w:hAnsi="Arial" w:cs="Arial"/>
          <w:b w:val="0"/>
          <w:sz w:val="20"/>
          <w:szCs w:val="20"/>
        </w:rPr>
        <w:t>.</w:t>
      </w:r>
      <w:r w:rsidRPr="00485657">
        <w:rPr>
          <w:rFonts w:ascii="Arial" w:hAnsi="Arial" w:cs="Arial"/>
          <w:sz w:val="20"/>
          <w:szCs w:val="20"/>
        </w:rPr>
        <w:t xml:space="preserve"> Effect of integrated nutrient management on growth and yield of wheat (</w:t>
      </w:r>
      <w:r w:rsidRPr="00485657">
        <w:rPr>
          <w:rStyle w:val="Emphasis"/>
          <w:rFonts w:ascii="Arial" w:hAnsi="Arial" w:cs="Arial"/>
          <w:sz w:val="20"/>
          <w:szCs w:val="20"/>
        </w:rPr>
        <w:t>Triticum aestivum</w:t>
      </w:r>
      <w:r w:rsidRPr="00485657">
        <w:rPr>
          <w:rFonts w:ascii="Arial" w:hAnsi="Arial" w:cs="Arial"/>
          <w:sz w:val="20"/>
          <w:szCs w:val="20"/>
        </w:rPr>
        <w:t xml:space="preserve"> L.). </w:t>
      </w:r>
      <w:r w:rsidRPr="00485657">
        <w:rPr>
          <w:rStyle w:val="Emphasis"/>
          <w:rFonts w:ascii="Arial" w:hAnsi="Arial" w:cs="Arial"/>
          <w:sz w:val="20"/>
          <w:szCs w:val="20"/>
        </w:rPr>
        <w:t>An Asian Journal of Soil Science</w:t>
      </w:r>
      <w:r w:rsidRPr="00485657">
        <w:rPr>
          <w:rFonts w:ascii="Arial" w:hAnsi="Arial" w:cs="Arial"/>
          <w:sz w:val="20"/>
          <w:szCs w:val="20"/>
        </w:rPr>
        <w:t>, 6(2), 231–234.</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eastAsia="Times New Roman" w:hAnsi="Arial" w:cs="Arial"/>
          <w:b/>
          <w:sz w:val="20"/>
          <w:szCs w:val="20"/>
        </w:rPr>
        <w:t>Sharma, A. R., &amp; Sharma, R. A. (2002)</w:t>
      </w:r>
      <w:r w:rsidRPr="00485657">
        <w:rPr>
          <w:rFonts w:ascii="Arial" w:eastAsia="Times New Roman" w:hAnsi="Arial" w:cs="Arial"/>
          <w:sz w:val="20"/>
          <w:szCs w:val="20"/>
        </w:rPr>
        <w:t xml:space="preserve">. Integrated nutrient management for sustainable crop production. </w:t>
      </w:r>
      <w:r w:rsidRPr="00485657">
        <w:rPr>
          <w:rFonts w:ascii="Arial" w:eastAsia="Times New Roman" w:hAnsi="Arial" w:cs="Arial"/>
          <w:i/>
          <w:iCs/>
          <w:sz w:val="20"/>
          <w:szCs w:val="20"/>
        </w:rPr>
        <w:t>Agricultural Reviews</w:t>
      </w:r>
      <w:r w:rsidRPr="00485657">
        <w:rPr>
          <w:rFonts w:ascii="Arial" w:eastAsia="Times New Roman" w:hAnsi="Arial" w:cs="Arial"/>
          <w:sz w:val="20"/>
          <w:szCs w:val="20"/>
        </w:rPr>
        <w:t>, 23(3), 161–174.</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Sharma, R. A., &amp; Yadav, B. D. (2017)</w:t>
      </w:r>
      <w:r w:rsidRPr="00485657">
        <w:rPr>
          <w:rStyle w:val="Strong"/>
          <w:rFonts w:ascii="Arial" w:hAnsi="Arial" w:cs="Arial"/>
          <w:b w:val="0"/>
          <w:sz w:val="20"/>
          <w:szCs w:val="20"/>
        </w:rPr>
        <w:t>.</w:t>
      </w:r>
      <w:r w:rsidRPr="00485657">
        <w:rPr>
          <w:rFonts w:ascii="Arial" w:hAnsi="Arial" w:cs="Arial"/>
          <w:sz w:val="20"/>
          <w:szCs w:val="20"/>
        </w:rPr>
        <w:t xml:space="preserve"> Effect of integrated nutrient management on yield, nutrient uptake, and economics of wheat under irrigated conditions. </w:t>
      </w:r>
      <w:r w:rsidRPr="00485657">
        <w:rPr>
          <w:rStyle w:val="Emphasis"/>
          <w:rFonts w:ascii="Arial" w:hAnsi="Arial" w:cs="Arial"/>
          <w:sz w:val="20"/>
          <w:szCs w:val="20"/>
        </w:rPr>
        <w:t>Journal of Pharmacognosy and Phytochemistry</w:t>
      </w:r>
      <w:r w:rsidRPr="00485657">
        <w:rPr>
          <w:rFonts w:ascii="Arial" w:hAnsi="Arial" w:cs="Arial"/>
          <w:sz w:val="20"/>
          <w:szCs w:val="20"/>
        </w:rPr>
        <w:t>, 6(6), 1354–1357.</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eastAsia="Times New Roman" w:hAnsi="Arial" w:cs="Arial"/>
          <w:b/>
          <w:sz w:val="20"/>
          <w:szCs w:val="20"/>
        </w:rPr>
        <w:t>Singh, G., &amp; Yadav, D. S. (2006)</w:t>
      </w:r>
      <w:r w:rsidRPr="00485657">
        <w:rPr>
          <w:rFonts w:ascii="Arial" w:eastAsia="Times New Roman" w:hAnsi="Arial" w:cs="Arial"/>
          <w:sz w:val="20"/>
          <w:szCs w:val="20"/>
        </w:rPr>
        <w:t xml:space="preserve">. Integrated nutrient management in wheat-based cropping system. </w:t>
      </w:r>
      <w:r w:rsidRPr="00485657">
        <w:rPr>
          <w:rFonts w:ascii="Arial" w:eastAsia="Times New Roman" w:hAnsi="Arial" w:cs="Arial"/>
          <w:i/>
          <w:iCs/>
          <w:sz w:val="20"/>
          <w:szCs w:val="20"/>
        </w:rPr>
        <w:t>Indian Journal of Agronomy</w:t>
      </w:r>
      <w:r w:rsidRPr="00485657">
        <w:rPr>
          <w:rFonts w:ascii="Arial" w:eastAsia="Times New Roman" w:hAnsi="Arial" w:cs="Arial"/>
          <w:sz w:val="20"/>
          <w:szCs w:val="20"/>
        </w:rPr>
        <w:t>, 51(3), 166–170.</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commentRangeStart w:id="28"/>
      <w:r w:rsidRPr="00485657">
        <w:rPr>
          <w:rFonts w:ascii="Arial" w:hAnsi="Arial" w:cs="Arial"/>
          <w:b/>
          <w:sz w:val="20"/>
          <w:szCs w:val="20"/>
        </w:rPr>
        <w:t>Singh, S. B., Vivek, Verma, S. K., Kumar, A., &amp; Verma, V. P. (2024)</w:t>
      </w:r>
      <w:r w:rsidRPr="00485657">
        <w:rPr>
          <w:rFonts w:ascii="Arial" w:hAnsi="Arial" w:cs="Arial"/>
          <w:i/>
          <w:sz w:val="20"/>
          <w:szCs w:val="20"/>
        </w:rPr>
        <w:t>.</w:t>
      </w:r>
      <w:r w:rsidRPr="00485657">
        <w:rPr>
          <w:rFonts w:ascii="Arial" w:hAnsi="Arial" w:cs="Arial"/>
          <w:sz w:val="20"/>
          <w:szCs w:val="20"/>
        </w:rPr>
        <w:t xml:space="preserve"> A review: Integrated nutrient management (INM) practices on growth &amp; yield attributes of wheat (</w:t>
      </w:r>
      <w:r w:rsidRPr="00485657">
        <w:rPr>
          <w:rFonts w:ascii="Arial" w:hAnsi="Arial" w:cs="Arial"/>
          <w:i/>
          <w:sz w:val="20"/>
          <w:szCs w:val="20"/>
        </w:rPr>
        <w:t>Triticum aestivum</w:t>
      </w:r>
      <w:r w:rsidRPr="00485657">
        <w:rPr>
          <w:rFonts w:ascii="Arial" w:hAnsi="Arial" w:cs="Arial"/>
          <w:sz w:val="20"/>
          <w:szCs w:val="20"/>
        </w:rPr>
        <w:t xml:space="preserve"> L.).</w:t>
      </w:r>
      <w:r w:rsidRPr="00485657">
        <w:rPr>
          <w:rFonts w:ascii="Arial" w:hAnsi="Arial" w:cs="Arial"/>
          <w:i/>
          <w:sz w:val="20"/>
          <w:szCs w:val="20"/>
        </w:rPr>
        <w:t xml:space="preserve"> International Journal of Environmental &amp; Agriculture Research,</w:t>
      </w:r>
      <w:r w:rsidRPr="00485657">
        <w:rPr>
          <w:rFonts w:ascii="Arial" w:hAnsi="Arial" w:cs="Arial"/>
          <w:sz w:val="20"/>
          <w:szCs w:val="20"/>
        </w:rPr>
        <w:t xml:space="preserve"> 10(8), 64–70.</w:t>
      </w:r>
      <w:commentRangeEnd w:id="28"/>
      <w:r w:rsidR="00F60957">
        <w:rPr>
          <w:rStyle w:val="CommentReference"/>
        </w:rPr>
        <w:commentReference w:id="28"/>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Tabassum, R., Sarita, Javaid, I., Kumar, B., Sharma, N., Sikarwar, S., &amp; Harishankar. (2024).</w:t>
      </w:r>
      <w:r w:rsidRPr="00485657">
        <w:rPr>
          <w:rFonts w:ascii="Arial" w:hAnsi="Arial" w:cs="Arial"/>
          <w:sz w:val="20"/>
          <w:szCs w:val="20"/>
        </w:rPr>
        <w:t xml:space="preserve"> Effect of integrated nutrient management practices on nutrient content &amp; nutrient uptake and productivity of wheat crop. </w:t>
      </w:r>
      <w:r w:rsidRPr="00485657">
        <w:rPr>
          <w:rFonts w:ascii="Arial" w:hAnsi="Arial" w:cs="Arial"/>
          <w:i/>
          <w:sz w:val="20"/>
          <w:szCs w:val="20"/>
        </w:rPr>
        <w:t>International Journal of Research in Agronomy</w:t>
      </w:r>
      <w:r w:rsidRPr="00485657">
        <w:rPr>
          <w:rFonts w:ascii="Arial" w:hAnsi="Arial" w:cs="Arial"/>
          <w:sz w:val="20"/>
          <w:szCs w:val="20"/>
        </w:rPr>
        <w:t>, SP-7(10), 22–28.</w:t>
      </w:r>
    </w:p>
    <w:p w:rsidR="00485657" w:rsidRPr="00DD5F33"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DD5F33">
        <w:rPr>
          <w:rFonts w:ascii="Arial" w:eastAsia="Times New Roman" w:hAnsi="Arial" w:cs="Arial"/>
          <w:b/>
          <w:sz w:val="20"/>
          <w:szCs w:val="20"/>
        </w:rPr>
        <w:t>Tiwari, K. N. (2002)</w:t>
      </w:r>
      <w:r w:rsidRPr="00DD5F33">
        <w:rPr>
          <w:rFonts w:ascii="Arial" w:eastAsia="Times New Roman" w:hAnsi="Arial" w:cs="Arial"/>
          <w:sz w:val="20"/>
          <w:szCs w:val="20"/>
        </w:rPr>
        <w:t xml:space="preserve">. Integrated nutrient management for sustainable agriculture. </w:t>
      </w:r>
      <w:r w:rsidRPr="00DD5F33">
        <w:rPr>
          <w:rFonts w:ascii="Arial" w:eastAsia="Times New Roman" w:hAnsi="Arial" w:cs="Arial"/>
          <w:i/>
          <w:iCs/>
          <w:sz w:val="20"/>
          <w:szCs w:val="20"/>
        </w:rPr>
        <w:t>Journal of Indian Society of Soil Science</w:t>
      </w:r>
      <w:r w:rsidRPr="00DD5F33">
        <w:rPr>
          <w:rFonts w:ascii="Arial" w:eastAsia="Times New Roman" w:hAnsi="Arial" w:cs="Arial"/>
          <w:sz w:val="20"/>
          <w:szCs w:val="20"/>
        </w:rPr>
        <w:t>, 50(4), 373–385.</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Verma, H., Pathak, R. K., Kumar, A., Sachan, R., Pandey, H. P., Tiwari, A., &amp; Yadav, A. S. (2022)</w:t>
      </w:r>
      <w:r w:rsidRPr="00485657">
        <w:rPr>
          <w:rFonts w:ascii="Arial" w:hAnsi="Arial" w:cs="Arial"/>
          <w:sz w:val="20"/>
          <w:szCs w:val="20"/>
        </w:rPr>
        <w:t>. Effect of Inorganic Fertilizers, Organic Manure, and Bioinoculant on Production and Economics of Wheat (</w:t>
      </w:r>
      <w:r w:rsidRPr="00485657">
        <w:rPr>
          <w:rFonts w:ascii="Arial" w:hAnsi="Arial" w:cs="Arial"/>
          <w:i/>
          <w:sz w:val="20"/>
          <w:szCs w:val="20"/>
        </w:rPr>
        <w:t>Triticum aestivum</w:t>
      </w:r>
      <w:r w:rsidRPr="00485657">
        <w:rPr>
          <w:rFonts w:ascii="Arial" w:hAnsi="Arial" w:cs="Arial"/>
          <w:sz w:val="20"/>
          <w:szCs w:val="20"/>
        </w:rPr>
        <w:t xml:space="preserve"> L.). </w:t>
      </w:r>
      <w:r w:rsidRPr="00485657">
        <w:rPr>
          <w:rFonts w:ascii="Arial" w:hAnsi="Arial" w:cs="Arial"/>
          <w:i/>
          <w:sz w:val="20"/>
          <w:szCs w:val="20"/>
        </w:rPr>
        <w:t>International Journal of Environment and Climate Change,</w:t>
      </w:r>
      <w:r w:rsidRPr="00485657">
        <w:rPr>
          <w:rFonts w:ascii="Arial" w:hAnsi="Arial" w:cs="Arial"/>
          <w:sz w:val="20"/>
          <w:szCs w:val="20"/>
        </w:rPr>
        <w:t xml:space="preserve"> 12(11), 3716-3724.</w:t>
      </w:r>
    </w:p>
    <w:p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Yadav, R. L., &amp; Meena, M. C. (2014)</w:t>
      </w:r>
      <w:r w:rsidRPr="00485657">
        <w:rPr>
          <w:rStyle w:val="Strong"/>
          <w:rFonts w:ascii="Arial" w:hAnsi="Arial" w:cs="Arial"/>
          <w:b w:val="0"/>
          <w:sz w:val="20"/>
          <w:szCs w:val="20"/>
        </w:rPr>
        <w:t>.</w:t>
      </w:r>
      <w:r w:rsidRPr="00485657">
        <w:rPr>
          <w:rFonts w:ascii="Arial" w:hAnsi="Arial" w:cs="Arial"/>
          <w:sz w:val="20"/>
          <w:szCs w:val="20"/>
        </w:rPr>
        <w:t xml:space="preserve"> Effect of organic and inorganic sources of nutrients on wheat productivity and soil fertility under long-term experiment. </w:t>
      </w:r>
      <w:r w:rsidRPr="00485657">
        <w:rPr>
          <w:rStyle w:val="Emphasis"/>
          <w:rFonts w:ascii="Arial" w:hAnsi="Arial" w:cs="Arial"/>
          <w:sz w:val="20"/>
          <w:szCs w:val="20"/>
        </w:rPr>
        <w:t>Annals of Plant and Soil Research</w:t>
      </w:r>
      <w:r w:rsidRPr="00485657">
        <w:rPr>
          <w:rFonts w:ascii="Arial" w:hAnsi="Arial" w:cs="Arial"/>
          <w:sz w:val="20"/>
          <w:szCs w:val="20"/>
        </w:rPr>
        <w:t>, 16(2), 145–148.</w:t>
      </w:r>
    </w:p>
    <w:p w:rsidR="00597F91" w:rsidRPr="00AB7E99" w:rsidRDefault="00597F91" w:rsidP="00DB4693">
      <w:pPr>
        <w:spacing w:after="0" w:line="360" w:lineRule="auto"/>
        <w:jc w:val="both"/>
        <w:outlineLvl w:val="2"/>
        <w:rPr>
          <w:rFonts w:ascii="Arial" w:eastAsia="Times New Roman" w:hAnsi="Arial" w:cs="Arial"/>
          <w:bCs/>
          <w:sz w:val="10"/>
          <w:szCs w:val="28"/>
        </w:rPr>
      </w:pPr>
    </w:p>
    <w:sectPr w:rsidR="00597F91" w:rsidRPr="00AB7E99" w:rsidSect="000556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7-26T18:19:00Z" w:initials="H">
    <w:p w:rsidR="003E463B" w:rsidRDefault="003E463B">
      <w:pPr>
        <w:pStyle w:val="CommentText"/>
      </w:pPr>
      <w:r>
        <w:rPr>
          <w:rStyle w:val="CommentReference"/>
        </w:rPr>
        <w:annotationRef/>
      </w:r>
      <w:r>
        <w:t xml:space="preserve">The Title may be </w:t>
      </w:r>
      <w:r w:rsidRPr="003E463B">
        <w:t>Impact of Integrated Nutrient Management on yield in wheat (</w:t>
      </w:r>
      <w:r w:rsidRPr="003E463B">
        <w:rPr>
          <w:i/>
          <w:iCs/>
        </w:rPr>
        <w:t>Triticum aestivum</w:t>
      </w:r>
      <w:r>
        <w:t xml:space="preserve"> L.)</w:t>
      </w:r>
      <w:r w:rsidRPr="003E463B">
        <w:t xml:space="preserve"> in Agra region</w:t>
      </w:r>
    </w:p>
  </w:comment>
  <w:comment w:id="2" w:author="HP" w:date="2025-07-26T18:13:00Z" w:initials="H">
    <w:p w:rsidR="003E463B" w:rsidRDefault="003E463B">
      <w:pPr>
        <w:pStyle w:val="CommentText"/>
      </w:pPr>
      <w:r>
        <w:rPr>
          <w:rStyle w:val="CommentReference"/>
        </w:rPr>
        <w:annotationRef/>
      </w:r>
      <w:r>
        <w:t>Italics</w:t>
      </w:r>
    </w:p>
  </w:comment>
  <w:comment w:id="3" w:author="HP" w:date="2025-07-26T18:17:00Z" w:initials="H">
    <w:p w:rsidR="003E463B" w:rsidRDefault="003E463B">
      <w:pPr>
        <w:pStyle w:val="CommentText"/>
      </w:pPr>
      <w:r>
        <w:rPr>
          <w:rStyle w:val="CommentReference"/>
        </w:rPr>
        <w:annotationRef/>
      </w:r>
      <w:r>
        <w:t>Write full form</w:t>
      </w:r>
    </w:p>
  </w:comment>
  <w:comment w:id="4" w:author="HP" w:date="2025-07-26T18:21:00Z" w:initials="H">
    <w:p w:rsidR="00FE7770" w:rsidRDefault="00FE7770">
      <w:pPr>
        <w:pStyle w:val="CommentText"/>
      </w:pPr>
      <w:r>
        <w:rPr>
          <w:rStyle w:val="CommentReference"/>
        </w:rPr>
        <w:annotationRef/>
      </w:r>
      <w:r>
        <w:t>Reveal that</w:t>
      </w:r>
    </w:p>
  </w:comment>
  <w:comment w:id="5" w:author="HP" w:date="2025-07-26T18:21:00Z" w:initials="H">
    <w:p w:rsidR="00FE7770" w:rsidRDefault="00FE7770">
      <w:pPr>
        <w:pStyle w:val="CommentText"/>
      </w:pPr>
      <w:r>
        <w:rPr>
          <w:rStyle w:val="CommentReference"/>
        </w:rPr>
        <w:annotationRef/>
      </w:r>
      <w:r>
        <w:t>Tillers per plant</w:t>
      </w:r>
    </w:p>
  </w:comment>
  <w:comment w:id="6" w:author="HP" w:date="2025-07-26T18:24:00Z" w:initials="H">
    <w:p w:rsidR="00FE7770" w:rsidRDefault="00FE7770">
      <w:pPr>
        <w:pStyle w:val="CommentText"/>
      </w:pPr>
      <w:r>
        <w:rPr>
          <w:rStyle w:val="CommentReference"/>
        </w:rPr>
        <w:annotationRef/>
      </w:r>
      <w:r>
        <w:t>Write as per format of the Journal</w:t>
      </w:r>
    </w:p>
  </w:comment>
  <w:comment w:id="7" w:author="HP" w:date="2025-07-26T18:31:00Z" w:initials="H">
    <w:p w:rsidR="00C24B68" w:rsidRDefault="00C24B68">
      <w:pPr>
        <w:pStyle w:val="CommentText"/>
      </w:pPr>
      <w:r>
        <w:rPr>
          <w:rStyle w:val="CommentReference"/>
        </w:rPr>
        <w:annotationRef/>
      </w:r>
      <w:r>
        <w:t>Give space</w:t>
      </w:r>
    </w:p>
  </w:comment>
  <w:comment w:id="8" w:author="HP" w:date="2025-07-26T18:34:00Z" w:initials="H">
    <w:p w:rsidR="00E80311" w:rsidRDefault="00E80311">
      <w:pPr>
        <w:pStyle w:val="CommentText"/>
      </w:pPr>
      <w:r>
        <w:rPr>
          <w:rStyle w:val="CommentReference"/>
        </w:rPr>
        <w:annotationRef/>
      </w:r>
      <w:r>
        <w:t>Italics</w:t>
      </w:r>
    </w:p>
  </w:comment>
  <w:comment w:id="9" w:author="HP" w:date="2025-07-26T18:42:00Z" w:initials="H">
    <w:p w:rsidR="001D6DE2" w:rsidRDefault="001D6DE2">
      <w:pPr>
        <w:pStyle w:val="CommentText"/>
      </w:pPr>
      <w:r>
        <w:rPr>
          <w:rStyle w:val="CommentReference"/>
        </w:rPr>
        <w:annotationRef/>
      </w:r>
      <w:r>
        <w:t>Strike out</w:t>
      </w:r>
    </w:p>
  </w:comment>
  <w:comment w:id="10" w:author="HP" w:date="2025-07-26T18:43:00Z" w:initials="H">
    <w:p w:rsidR="001D6DE2" w:rsidRDefault="001D6DE2">
      <w:pPr>
        <w:pStyle w:val="CommentText"/>
      </w:pPr>
      <w:r>
        <w:rPr>
          <w:rStyle w:val="CommentReference"/>
        </w:rPr>
        <w:annotationRef/>
      </w:r>
      <w:r>
        <w:t>Write as per format of Journal in whole document</w:t>
      </w:r>
    </w:p>
  </w:comment>
  <w:comment w:id="11" w:author="HP" w:date="2025-07-26T18:47:00Z" w:initials="H">
    <w:p w:rsidR="001D6DE2" w:rsidRDefault="001D6DE2">
      <w:pPr>
        <w:pStyle w:val="CommentText"/>
      </w:pPr>
      <w:r>
        <w:rPr>
          <w:rStyle w:val="CommentReference"/>
        </w:rPr>
        <w:annotationRef/>
      </w:r>
      <w:r>
        <w:t>Nutrient composition of organic sources may be given.</w:t>
      </w:r>
    </w:p>
  </w:comment>
  <w:comment w:id="12" w:author="HP" w:date="2025-07-26T18:51:00Z" w:initials="H">
    <w:p w:rsidR="0058474F" w:rsidRDefault="0058474F">
      <w:pPr>
        <w:pStyle w:val="CommentText"/>
      </w:pPr>
      <w:r>
        <w:rPr>
          <w:rStyle w:val="CommentReference"/>
        </w:rPr>
        <w:annotationRef/>
      </w:r>
      <w:r>
        <w:t>Perusal of the data in Tale 1 revel that</w:t>
      </w:r>
    </w:p>
  </w:comment>
  <w:comment w:id="13" w:author="HP" w:date="2025-07-26T18:48:00Z" w:initials="H">
    <w:p w:rsidR="0058474F" w:rsidRDefault="0058474F">
      <w:pPr>
        <w:pStyle w:val="CommentText"/>
      </w:pPr>
      <w:r>
        <w:rPr>
          <w:rStyle w:val="CommentReference"/>
        </w:rPr>
        <w:annotationRef/>
      </w:r>
      <w:r>
        <w:t>Give space</w:t>
      </w:r>
    </w:p>
  </w:comment>
  <w:comment w:id="14" w:author="HP" w:date="2025-07-26T18:51:00Z" w:initials="H">
    <w:p w:rsidR="005C1065" w:rsidRDefault="005C1065">
      <w:pPr>
        <w:pStyle w:val="CommentText"/>
      </w:pPr>
      <w:r>
        <w:rPr>
          <w:rStyle w:val="CommentReference"/>
        </w:rPr>
        <w:annotationRef/>
      </w:r>
      <w:r>
        <w:t>Write as per format of Journal in whole document</w:t>
      </w:r>
    </w:p>
  </w:comment>
  <w:comment w:id="15" w:author="HP" w:date="2025-07-26T18:56:00Z" w:initials="H">
    <w:p w:rsidR="005C1065" w:rsidRDefault="005C1065">
      <w:pPr>
        <w:pStyle w:val="CommentText"/>
      </w:pPr>
      <w:r>
        <w:rPr>
          <w:rStyle w:val="CommentReference"/>
        </w:rPr>
        <w:annotationRef/>
      </w:r>
      <w:r>
        <w:t>Give space</w:t>
      </w:r>
    </w:p>
  </w:comment>
  <w:comment w:id="16" w:author="HP" w:date="2025-07-26T18:56:00Z" w:initials="H">
    <w:p w:rsidR="005C1065" w:rsidRDefault="005C1065">
      <w:pPr>
        <w:pStyle w:val="CommentText"/>
      </w:pPr>
      <w:r>
        <w:rPr>
          <w:rStyle w:val="CommentReference"/>
        </w:rPr>
        <w:annotationRef/>
      </w:r>
      <w:r>
        <w:t>were</w:t>
      </w:r>
    </w:p>
  </w:comment>
  <w:comment w:id="17" w:author="HP" w:date="2025-07-26T18:57:00Z" w:initials="H">
    <w:p w:rsidR="00632812" w:rsidRDefault="00632812">
      <w:pPr>
        <w:pStyle w:val="CommentText"/>
      </w:pPr>
      <w:r>
        <w:rPr>
          <w:rStyle w:val="CommentReference"/>
        </w:rPr>
        <w:annotationRef/>
      </w:r>
      <w:r>
        <w:t>were</w:t>
      </w:r>
    </w:p>
  </w:comment>
  <w:comment w:id="18" w:author="HP" w:date="2025-07-26T19:00:00Z" w:initials="H">
    <w:p w:rsidR="00632812" w:rsidRDefault="00632812">
      <w:pPr>
        <w:pStyle w:val="CommentText"/>
      </w:pPr>
      <w:r>
        <w:rPr>
          <w:rStyle w:val="CommentReference"/>
        </w:rPr>
        <w:annotationRef/>
      </w:r>
      <w:r>
        <w:t>Give space</w:t>
      </w:r>
    </w:p>
  </w:comment>
  <w:comment w:id="19" w:author="HP" w:date="2025-07-26T19:00:00Z" w:initials="H">
    <w:p w:rsidR="00632812" w:rsidRDefault="00632812">
      <w:pPr>
        <w:pStyle w:val="CommentText"/>
      </w:pPr>
      <w:r>
        <w:rPr>
          <w:rStyle w:val="CommentReference"/>
        </w:rPr>
        <w:annotationRef/>
      </w:r>
      <w:r>
        <w:t>Strike out</w:t>
      </w:r>
    </w:p>
  </w:comment>
  <w:comment w:id="20" w:author="HP" w:date="2025-07-26T19:01:00Z" w:initials="H">
    <w:p w:rsidR="00632812" w:rsidRDefault="00632812">
      <w:pPr>
        <w:pStyle w:val="CommentText"/>
      </w:pPr>
      <w:r>
        <w:rPr>
          <w:rStyle w:val="CommentReference"/>
        </w:rPr>
        <w:annotationRef/>
      </w:r>
      <w:r>
        <w:t>Italics</w:t>
      </w:r>
    </w:p>
  </w:comment>
  <w:comment w:id="21" w:author="HP" w:date="2025-07-26T19:02:00Z" w:initials="H">
    <w:p w:rsidR="00632812" w:rsidRDefault="00632812">
      <w:pPr>
        <w:pStyle w:val="CommentText"/>
      </w:pPr>
      <w:r>
        <w:rPr>
          <w:rStyle w:val="CommentReference"/>
        </w:rPr>
        <w:annotationRef/>
      </w:r>
      <w:r>
        <w:t>Please check the year in text and References</w:t>
      </w:r>
    </w:p>
  </w:comment>
  <w:comment w:id="22" w:author="HP" w:date="2025-07-26T19:23:00Z" w:initials="H">
    <w:p w:rsidR="0059117B" w:rsidRDefault="0059117B">
      <w:pPr>
        <w:pStyle w:val="CommentText"/>
      </w:pPr>
      <w:r>
        <w:rPr>
          <w:rStyle w:val="CommentReference"/>
        </w:rPr>
        <w:annotationRef/>
      </w:r>
      <w:r>
        <w:t>Strike out</w:t>
      </w:r>
    </w:p>
  </w:comment>
  <w:comment w:id="23" w:author="HP" w:date="2025-07-26T19:21:00Z" w:initials="H">
    <w:p w:rsidR="00593BE8" w:rsidRDefault="00593BE8">
      <w:pPr>
        <w:pStyle w:val="CommentText"/>
      </w:pPr>
      <w:r>
        <w:rPr>
          <w:rStyle w:val="CommentReference"/>
        </w:rPr>
        <w:annotationRef/>
      </w:r>
      <w:r>
        <w:t>Give units</w:t>
      </w:r>
    </w:p>
  </w:comment>
  <w:comment w:id="24" w:author="HP" w:date="2025-07-26T19:22:00Z" w:initials="H">
    <w:p w:rsidR="00593BE8" w:rsidRDefault="00593BE8">
      <w:pPr>
        <w:pStyle w:val="CommentText"/>
      </w:pPr>
      <w:r>
        <w:rPr>
          <w:rStyle w:val="CommentReference"/>
        </w:rPr>
        <w:annotationRef/>
      </w:r>
      <w:r>
        <w:t>to</w:t>
      </w:r>
    </w:p>
  </w:comment>
  <w:comment w:id="25" w:author="HP" w:date="2025-07-26T19:22:00Z" w:initials="H">
    <w:p w:rsidR="00593BE8" w:rsidRDefault="00593BE8">
      <w:pPr>
        <w:pStyle w:val="CommentText"/>
      </w:pPr>
      <w:r>
        <w:rPr>
          <w:rStyle w:val="CommentReference"/>
        </w:rPr>
        <w:annotationRef/>
      </w:r>
      <w:r>
        <w:t xml:space="preserve">Days to </w:t>
      </w:r>
      <w:r w:rsidRPr="00593BE8">
        <w:t>50% flowering</w:t>
      </w:r>
    </w:p>
  </w:comment>
  <w:comment w:id="26" w:author="HP" w:date="2025-07-26T19:25:00Z" w:initials="H">
    <w:p w:rsidR="00106B27" w:rsidRDefault="00106B27">
      <w:pPr>
        <w:pStyle w:val="CommentText"/>
      </w:pPr>
      <w:r>
        <w:rPr>
          <w:rStyle w:val="CommentReference"/>
        </w:rPr>
        <w:annotationRef/>
      </w:r>
      <w:r>
        <w:t>Give units in gm or quintals as per paramerters</w:t>
      </w:r>
    </w:p>
  </w:comment>
  <w:comment w:id="27" w:author="HP" w:date="2025-07-26T19:29:00Z" w:initials="H">
    <w:p w:rsidR="00F60957" w:rsidRDefault="00F60957">
      <w:pPr>
        <w:pStyle w:val="CommentText"/>
      </w:pPr>
      <w:r>
        <w:rPr>
          <w:rStyle w:val="CommentReference"/>
        </w:rPr>
        <w:annotationRef/>
      </w:r>
      <w:r>
        <w:t>Revise it and give recommendation of the study.</w:t>
      </w:r>
    </w:p>
  </w:comment>
  <w:comment w:id="28" w:author="HP" w:date="2025-07-26T19:29:00Z" w:initials="H">
    <w:p w:rsidR="00F60957" w:rsidRDefault="00F60957">
      <w:pPr>
        <w:pStyle w:val="CommentText"/>
      </w:pPr>
      <w:r>
        <w:rPr>
          <w:rStyle w:val="CommentReference"/>
        </w:rPr>
        <w:annotationRef/>
      </w:r>
      <w:r>
        <w:t>Not cited in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42F" w:rsidRDefault="0065442F" w:rsidP="004710D2">
      <w:pPr>
        <w:spacing w:after="0" w:line="240" w:lineRule="auto"/>
      </w:pPr>
      <w:r>
        <w:separator/>
      </w:r>
    </w:p>
  </w:endnote>
  <w:endnote w:type="continuationSeparator" w:id="1">
    <w:p w:rsidR="0065442F" w:rsidRDefault="0065442F" w:rsidP="00471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D2" w:rsidRDefault="004710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D2" w:rsidRDefault="004710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D2" w:rsidRDefault="00471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42F" w:rsidRDefault="0065442F" w:rsidP="004710D2">
      <w:pPr>
        <w:spacing w:after="0" w:line="240" w:lineRule="auto"/>
      </w:pPr>
      <w:r>
        <w:separator/>
      </w:r>
    </w:p>
  </w:footnote>
  <w:footnote w:type="continuationSeparator" w:id="1">
    <w:p w:rsidR="0065442F" w:rsidRDefault="0065442F" w:rsidP="004710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D2" w:rsidRDefault="00D543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D2" w:rsidRDefault="00D543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D2" w:rsidRDefault="00D543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B247C"/>
    <w:multiLevelType w:val="hybridMultilevel"/>
    <w:tmpl w:val="EA8C9E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Dc3MjMxNjcwNDMzsLRQ0lEKTi0uzszPAykwrAUArylz7iwAAAA="/>
  </w:docVars>
  <w:rsids>
    <w:rsidRoot w:val="00C509B3"/>
    <w:rsid w:val="0001426E"/>
    <w:rsid w:val="00027123"/>
    <w:rsid w:val="0003414B"/>
    <w:rsid w:val="00044E9F"/>
    <w:rsid w:val="00055610"/>
    <w:rsid w:val="000966F7"/>
    <w:rsid w:val="000E6AA4"/>
    <w:rsid w:val="00106B27"/>
    <w:rsid w:val="001B3A62"/>
    <w:rsid w:val="001B7CCB"/>
    <w:rsid w:val="001C367E"/>
    <w:rsid w:val="001C5551"/>
    <w:rsid w:val="001D6DE2"/>
    <w:rsid w:val="001F4AAA"/>
    <w:rsid w:val="002008E3"/>
    <w:rsid w:val="00294F9F"/>
    <w:rsid w:val="002C17FA"/>
    <w:rsid w:val="00325046"/>
    <w:rsid w:val="003522D4"/>
    <w:rsid w:val="003774B7"/>
    <w:rsid w:val="003B278F"/>
    <w:rsid w:val="003B60DB"/>
    <w:rsid w:val="003B64ED"/>
    <w:rsid w:val="003E463B"/>
    <w:rsid w:val="00451CBE"/>
    <w:rsid w:val="004710D2"/>
    <w:rsid w:val="004809C5"/>
    <w:rsid w:val="004840B3"/>
    <w:rsid w:val="00485657"/>
    <w:rsid w:val="004E191B"/>
    <w:rsid w:val="004F1042"/>
    <w:rsid w:val="005448DA"/>
    <w:rsid w:val="0058474F"/>
    <w:rsid w:val="0059016C"/>
    <w:rsid w:val="0059117B"/>
    <w:rsid w:val="00593BE8"/>
    <w:rsid w:val="00597F91"/>
    <w:rsid w:val="005C1065"/>
    <w:rsid w:val="005C3831"/>
    <w:rsid w:val="005E2578"/>
    <w:rsid w:val="006102E0"/>
    <w:rsid w:val="00623F88"/>
    <w:rsid w:val="00632812"/>
    <w:rsid w:val="006402AB"/>
    <w:rsid w:val="00644DDC"/>
    <w:rsid w:val="0065442F"/>
    <w:rsid w:val="0071556C"/>
    <w:rsid w:val="007417CF"/>
    <w:rsid w:val="008234F0"/>
    <w:rsid w:val="00896B9F"/>
    <w:rsid w:val="008D5F58"/>
    <w:rsid w:val="008E0977"/>
    <w:rsid w:val="009116F4"/>
    <w:rsid w:val="00915796"/>
    <w:rsid w:val="00971766"/>
    <w:rsid w:val="00990C94"/>
    <w:rsid w:val="00994F5F"/>
    <w:rsid w:val="009C1168"/>
    <w:rsid w:val="00A153CC"/>
    <w:rsid w:val="00A1780D"/>
    <w:rsid w:val="00A60132"/>
    <w:rsid w:val="00AB7E99"/>
    <w:rsid w:val="00AC0FAC"/>
    <w:rsid w:val="00B072DD"/>
    <w:rsid w:val="00B40499"/>
    <w:rsid w:val="00B6140E"/>
    <w:rsid w:val="00BB405D"/>
    <w:rsid w:val="00BD786E"/>
    <w:rsid w:val="00C24B68"/>
    <w:rsid w:val="00C509B3"/>
    <w:rsid w:val="00C56873"/>
    <w:rsid w:val="00C57B8F"/>
    <w:rsid w:val="00C87671"/>
    <w:rsid w:val="00C978BD"/>
    <w:rsid w:val="00CA72E6"/>
    <w:rsid w:val="00CD42E4"/>
    <w:rsid w:val="00CF732F"/>
    <w:rsid w:val="00D54348"/>
    <w:rsid w:val="00D6648A"/>
    <w:rsid w:val="00D72257"/>
    <w:rsid w:val="00D81A30"/>
    <w:rsid w:val="00D943F9"/>
    <w:rsid w:val="00DB1FD8"/>
    <w:rsid w:val="00DB4693"/>
    <w:rsid w:val="00DC000D"/>
    <w:rsid w:val="00DD5F33"/>
    <w:rsid w:val="00E51D0E"/>
    <w:rsid w:val="00E63F13"/>
    <w:rsid w:val="00E80311"/>
    <w:rsid w:val="00EE4172"/>
    <w:rsid w:val="00F60957"/>
    <w:rsid w:val="00F660F0"/>
    <w:rsid w:val="00F77627"/>
    <w:rsid w:val="00FD7A0B"/>
    <w:rsid w:val="00FE7770"/>
    <w:rsid w:val="00FF3F3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CC"/>
    <w:rPr>
      <w:lang w:val="en-US"/>
    </w:rPr>
  </w:style>
  <w:style w:type="paragraph" w:styleId="Heading3">
    <w:name w:val="heading 3"/>
    <w:basedOn w:val="Normal"/>
    <w:link w:val="Heading3Char"/>
    <w:uiPriority w:val="9"/>
    <w:qFormat/>
    <w:rsid w:val="001B7C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B7C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CC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B7CCB"/>
    <w:rPr>
      <w:rFonts w:asciiTheme="majorHAnsi" w:eastAsiaTheme="majorEastAsia" w:hAnsiTheme="majorHAnsi" w:cstheme="majorBidi"/>
      <w:b/>
      <w:bCs/>
      <w:i/>
      <w:iCs/>
      <w:color w:val="4F81BD" w:themeColor="accent1"/>
      <w:lang w:val="en-US"/>
    </w:rPr>
  </w:style>
  <w:style w:type="character" w:styleId="Strong">
    <w:name w:val="Strong"/>
    <w:basedOn w:val="DefaultParagraphFont"/>
    <w:uiPriority w:val="22"/>
    <w:qFormat/>
    <w:rsid w:val="001B7CCB"/>
    <w:rPr>
      <w:b/>
      <w:bCs/>
    </w:rPr>
  </w:style>
  <w:style w:type="table" w:styleId="TableGrid">
    <w:name w:val="Table Grid"/>
    <w:basedOn w:val="TableNormal"/>
    <w:uiPriority w:val="59"/>
    <w:rsid w:val="009C116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97F91"/>
    <w:rPr>
      <w:i/>
      <w:iCs/>
    </w:rPr>
  </w:style>
  <w:style w:type="paragraph" w:styleId="ListParagraph">
    <w:name w:val="List Paragraph"/>
    <w:basedOn w:val="Normal"/>
    <w:uiPriority w:val="34"/>
    <w:qFormat/>
    <w:rsid w:val="00597F91"/>
    <w:pPr>
      <w:ind w:left="720"/>
      <w:contextualSpacing/>
    </w:pPr>
  </w:style>
  <w:style w:type="character" w:styleId="Hyperlink">
    <w:name w:val="Hyperlink"/>
    <w:basedOn w:val="DefaultParagraphFont"/>
    <w:uiPriority w:val="99"/>
    <w:unhideWhenUsed/>
    <w:rsid w:val="00027123"/>
    <w:rPr>
      <w:color w:val="0000FF" w:themeColor="hyperlink"/>
      <w:u w:val="single"/>
    </w:rPr>
  </w:style>
  <w:style w:type="character" w:customStyle="1" w:styleId="UnresolvedMention">
    <w:name w:val="Unresolved Mention"/>
    <w:basedOn w:val="DefaultParagraphFont"/>
    <w:uiPriority w:val="99"/>
    <w:semiHidden/>
    <w:unhideWhenUsed/>
    <w:rsid w:val="00294F9F"/>
    <w:rPr>
      <w:color w:val="605E5C"/>
      <w:shd w:val="clear" w:color="auto" w:fill="E1DFDD"/>
    </w:rPr>
  </w:style>
  <w:style w:type="paragraph" w:styleId="Header">
    <w:name w:val="header"/>
    <w:basedOn w:val="Normal"/>
    <w:link w:val="HeaderChar"/>
    <w:uiPriority w:val="99"/>
    <w:unhideWhenUsed/>
    <w:rsid w:val="0047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D2"/>
    <w:rPr>
      <w:lang w:val="en-US"/>
    </w:rPr>
  </w:style>
  <w:style w:type="paragraph" w:styleId="Footer">
    <w:name w:val="footer"/>
    <w:basedOn w:val="Normal"/>
    <w:link w:val="FooterChar"/>
    <w:uiPriority w:val="99"/>
    <w:unhideWhenUsed/>
    <w:rsid w:val="0047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D2"/>
    <w:rPr>
      <w:lang w:val="en-US"/>
    </w:rPr>
  </w:style>
  <w:style w:type="character" w:styleId="CommentReference">
    <w:name w:val="annotation reference"/>
    <w:basedOn w:val="DefaultParagraphFont"/>
    <w:uiPriority w:val="99"/>
    <w:semiHidden/>
    <w:unhideWhenUsed/>
    <w:rsid w:val="003E463B"/>
    <w:rPr>
      <w:sz w:val="16"/>
      <w:szCs w:val="16"/>
    </w:rPr>
  </w:style>
  <w:style w:type="paragraph" w:styleId="CommentText">
    <w:name w:val="annotation text"/>
    <w:basedOn w:val="Normal"/>
    <w:link w:val="CommentTextChar"/>
    <w:uiPriority w:val="99"/>
    <w:semiHidden/>
    <w:unhideWhenUsed/>
    <w:rsid w:val="003E463B"/>
    <w:pPr>
      <w:spacing w:line="240" w:lineRule="auto"/>
    </w:pPr>
    <w:rPr>
      <w:sz w:val="20"/>
      <w:szCs w:val="20"/>
    </w:rPr>
  </w:style>
  <w:style w:type="character" w:customStyle="1" w:styleId="CommentTextChar">
    <w:name w:val="Comment Text Char"/>
    <w:basedOn w:val="DefaultParagraphFont"/>
    <w:link w:val="CommentText"/>
    <w:uiPriority w:val="99"/>
    <w:semiHidden/>
    <w:rsid w:val="003E463B"/>
    <w:rPr>
      <w:sz w:val="20"/>
      <w:szCs w:val="20"/>
      <w:lang w:val="en-US"/>
    </w:rPr>
  </w:style>
  <w:style w:type="paragraph" w:styleId="CommentSubject">
    <w:name w:val="annotation subject"/>
    <w:basedOn w:val="CommentText"/>
    <w:next w:val="CommentText"/>
    <w:link w:val="CommentSubjectChar"/>
    <w:uiPriority w:val="99"/>
    <w:semiHidden/>
    <w:unhideWhenUsed/>
    <w:rsid w:val="003E463B"/>
    <w:rPr>
      <w:b/>
      <w:bCs/>
    </w:rPr>
  </w:style>
  <w:style w:type="character" w:customStyle="1" w:styleId="CommentSubjectChar">
    <w:name w:val="Comment Subject Char"/>
    <w:basedOn w:val="CommentTextChar"/>
    <w:link w:val="CommentSubject"/>
    <w:uiPriority w:val="99"/>
    <w:semiHidden/>
    <w:rsid w:val="003E463B"/>
    <w:rPr>
      <w:b/>
      <w:bCs/>
    </w:rPr>
  </w:style>
  <w:style w:type="paragraph" w:styleId="BalloonText">
    <w:name w:val="Balloon Text"/>
    <w:basedOn w:val="Normal"/>
    <w:link w:val="BalloonTextChar"/>
    <w:uiPriority w:val="99"/>
    <w:semiHidden/>
    <w:unhideWhenUsed/>
    <w:rsid w:val="003E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63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31488298">
      <w:bodyDiv w:val="1"/>
      <w:marLeft w:val="0"/>
      <w:marRight w:val="0"/>
      <w:marTop w:val="0"/>
      <w:marBottom w:val="0"/>
      <w:divBdr>
        <w:top w:val="none" w:sz="0" w:space="0" w:color="auto"/>
        <w:left w:val="none" w:sz="0" w:space="0" w:color="auto"/>
        <w:bottom w:val="none" w:sz="0" w:space="0" w:color="auto"/>
        <w:right w:val="none" w:sz="0" w:space="0" w:color="auto"/>
      </w:divBdr>
    </w:div>
    <w:div w:id="12624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31</cp:revision>
  <dcterms:created xsi:type="dcterms:W3CDTF">2025-07-21T17:20:00Z</dcterms:created>
  <dcterms:modified xsi:type="dcterms:W3CDTF">2025-07-26T13:59:00Z</dcterms:modified>
</cp:coreProperties>
</file>