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8E69E" w14:textId="20D442A3" w:rsidR="00605C46" w:rsidRPr="00605C46" w:rsidRDefault="00605C46" w:rsidP="00605C46">
      <w:pPr>
        <w:pStyle w:val="Author"/>
        <w:spacing w:line="240" w:lineRule="auto"/>
        <w:jc w:val="left"/>
        <w:rPr>
          <w:rFonts w:ascii="Arial" w:hAnsi="Arial" w:cs="Arial"/>
          <w:bCs/>
          <w:iCs/>
          <w:kern w:val="28"/>
          <w:sz w:val="28"/>
          <w:szCs w:val="16"/>
          <w:u w:val="single"/>
        </w:rPr>
      </w:pPr>
      <w:r w:rsidRPr="00605C46">
        <w:rPr>
          <w:rFonts w:ascii="Arial" w:hAnsi="Arial" w:cs="Arial"/>
          <w:bCs/>
          <w:iCs/>
          <w:kern w:val="28"/>
          <w:sz w:val="28"/>
          <w:szCs w:val="16"/>
          <w:u w:val="single"/>
        </w:rPr>
        <w:t>Original Research Article</w:t>
      </w:r>
    </w:p>
    <w:p w14:paraId="7C8C62E4" w14:textId="2ACEA767" w:rsidR="00163BC4" w:rsidRPr="00163BC4" w:rsidRDefault="00BC5827" w:rsidP="00441B6F">
      <w:pPr>
        <w:pStyle w:val="Author"/>
        <w:spacing w:line="240" w:lineRule="auto"/>
        <w:rPr>
          <w:rFonts w:ascii="Arial" w:hAnsi="Arial" w:cs="Arial"/>
          <w:bCs/>
          <w:iCs/>
          <w:kern w:val="28"/>
          <w:sz w:val="36"/>
        </w:rPr>
      </w:pPr>
      <w:r w:rsidRPr="00BC5827">
        <w:rPr>
          <w:rFonts w:ascii="Arial" w:hAnsi="Arial" w:cs="Arial"/>
          <w:bCs/>
          <w:iCs/>
          <w:kern w:val="28"/>
          <w:sz w:val="36"/>
        </w:rPr>
        <w:t>Synthesis and Antimicrobial Profiling of a Pyrazole-Based Schiff Base Incorporating 2,4-Dihydroxybenzaldehyde</w:t>
      </w:r>
    </w:p>
    <w:p w14:paraId="30BAC5DB" w14:textId="77777777" w:rsidR="00A258C3" w:rsidRPr="00790ADA" w:rsidRDefault="00A258C3" w:rsidP="00441B6F">
      <w:pPr>
        <w:pStyle w:val="Author"/>
        <w:spacing w:line="240" w:lineRule="auto"/>
        <w:jc w:val="both"/>
        <w:rPr>
          <w:rFonts w:ascii="Arial" w:hAnsi="Arial" w:cs="Arial"/>
          <w:sz w:val="36"/>
        </w:rPr>
      </w:pPr>
    </w:p>
    <w:p w14:paraId="45FF8D8A" w14:textId="42FE3950" w:rsidR="00790ADA" w:rsidRDefault="00790ADA" w:rsidP="00441B6F">
      <w:pPr>
        <w:pStyle w:val="Affiliation"/>
        <w:spacing w:after="0" w:line="240" w:lineRule="auto"/>
        <w:jc w:val="both"/>
        <w:rPr>
          <w:rFonts w:ascii="Arial" w:hAnsi="Arial" w:cs="Arial"/>
        </w:rPr>
      </w:pPr>
    </w:p>
    <w:p w14:paraId="2DE99BF0" w14:textId="77777777" w:rsidR="0003765B" w:rsidRDefault="0003765B" w:rsidP="00441B6F">
      <w:pPr>
        <w:pStyle w:val="Affiliation"/>
        <w:spacing w:after="0" w:line="240" w:lineRule="auto"/>
        <w:jc w:val="both"/>
        <w:rPr>
          <w:rFonts w:ascii="Arial" w:hAnsi="Arial" w:cs="Arial"/>
        </w:rPr>
      </w:pPr>
    </w:p>
    <w:p w14:paraId="77E5BD86" w14:textId="77777777" w:rsidR="002C57D2" w:rsidRPr="00FB3A86" w:rsidRDefault="002C57D2" w:rsidP="00441B6F">
      <w:pPr>
        <w:pStyle w:val="Affiliation"/>
        <w:spacing w:after="0" w:line="240" w:lineRule="auto"/>
        <w:jc w:val="both"/>
        <w:rPr>
          <w:rFonts w:ascii="Arial" w:hAnsi="Arial" w:cs="Arial"/>
        </w:rPr>
      </w:pPr>
    </w:p>
    <w:p w14:paraId="43A4A814" w14:textId="79F12CAA" w:rsidR="00B01FCD" w:rsidRPr="00FB3A86" w:rsidRDefault="002E2AAE" w:rsidP="00441B6F">
      <w:pPr>
        <w:pStyle w:val="Copyright"/>
        <w:spacing w:after="0" w:line="240" w:lineRule="auto"/>
        <w:jc w:val="both"/>
        <w:rPr>
          <w:rFonts w:ascii="Arial" w:hAnsi="Arial" w:cs="Arial"/>
        </w:rPr>
        <w:sectPr w:rsidR="00B01FCD" w:rsidRPr="00FB3A86" w:rsidSect="0003765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A5FEC73" wp14:editId="4BC25985">
                <wp:extent cx="5303520" cy="635"/>
                <wp:effectExtent l="13335" t="17780" r="17145" b="10795"/>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A81E0F" id="_x0000_t32" coordsize="21600,21600" o:spt="32" o:oned="t" path="m,l21600,21600e" filled="f">
                <v:path arrowok="t" fillok="f" o:connecttype="none"/>
                <o:lock v:ext="edit" shapetype="t"/>
              </v:shapetype>
              <v:shape id="AutoShape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29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6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jFR29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1ED0DE69" w14:textId="428E7086"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4DF11F2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469AEC9" w14:textId="77777777" w:rsidTr="001E44FE">
        <w:tc>
          <w:tcPr>
            <w:tcW w:w="9576" w:type="dxa"/>
            <w:shd w:val="clear" w:color="auto" w:fill="F2F2F2"/>
          </w:tcPr>
          <w:p w14:paraId="17A51D81" w14:textId="612469EA" w:rsidR="00505F06" w:rsidRPr="00BA1B01" w:rsidRDefault="007C784E" w:rsidP="00972128">
            <w:pPr>
              <w:pStyle w:val="Body"/>
              <w:spacing w:after="0"/>
              <w:jc w:val="left"/>
              <w:rPr>
                <w:rFonts w:ascii="Arial" w:eastAsia="Calibri" w:hAnsi="Arial" w:cs="Arial"/>
                <w:szCs w:val="22"/>
              </w:rPr>
            </w:pPr>
            <w:r w:rsidRPr="007C784E">
              <w:rPr>
                <w:rFonts w:ascii="Arial" w:eastAsia="Calibri" w:hAnsi="Arial" w:cs="Arial"/>
                <w:szCs w:val="22"/>
              </w:rPr>
              <w:t>In this study, a Schiff base (DHB-Pz) was synthesized via a condensation reaction between 5-amino-3-methyl-1-phenylpyrazole and 2,4-</w:t>
            </w:r>
            <w:commentRangeStart w:id="0"/>
            <w:r w:rsidRPr="007C784E">
              <w:rPr>
                <w:rFonts w:ascii="Arial" w:eastAsia="Calibri" w:hAnsi="Arial" w:cs="Arial"/>
                <w:szCs w:val="22"/>
              </w:rPr>
              <w:t>dihydroxybenzaldehyde</w:t>
            </w:r>
            <w:commentRangeEnd w:id="0"/>
            <w:r w:rsidR="006E1235">
              <w:rPr>
                <w:rStyle w:val="a9"/>
                <w:rFonts w:ascii="Times New Roman" w:hAnsi="Times New Roman"/>
                <w:lang w:val="nb-NO" w:eastAsia="nb-NO"/>
              </w:rPr>
              <w:commentReference w:id="0"/>
            </w:r>
            <w:r w:rsidRPr="007C784E">
              <w:rPr>
                <w:rFonts w:ascii="Arial" w:eastAsia="Calibri" w:hAnsi="Arial" w:cs="Arial"/>
                <w:szCs w:val="22"/>
              </w:rPr>
              <w:t>. The compound was characterized using elemental analysis, FTIR, UV-Vis spectroscopy, and conductivity measurements. The FTIR spectrum confirmed the formation of the azomethine linkage (C=N) through a distinct stretching band, while UV-Vis absorption at 412 nm indicated extended conjugation. The Schiff base was screened for antimicrobial activity against a panel of Gram-positive (Bacillus subtilis, Serratia sp.) and Gram-negative (Klebsiella sp., Proteus sp.) bacteria, as well as fungi (Candida albicans and Aspergillus niger) using the agar well diffusion method. Minimum inhibitory concentrations (MICs) were determined using serial dilution techniques. The compound exhibited broad-spectrum antimicrobial activity with MIC values as low as 0.312 mg/mL for Aspergillus niger, and comparable potency to reference drugs (Gentamycin and Nystatin). The promising activity may be attributed to the presence of hydroxyl groups, the pyrazole moiety, and the conjugated system, which enhance membrane interaction and disruption. These findings underscore the potential of DHB-Pz as a scaffold for future antimicrobial agent development</w:t>
            </w:r>
          </w:p>
        </w:tc>
      </w:tr>
    </w:tbl>
    <w:p w14:paraId="55633574" w14:textId="77777777" w:rsidR="00636EB2" w:rsidRDefault="00636EB2" w:rsidP="00441B6F">
      <w:pPr>
        <w:pStyle w:val="Body"/>
        <w:spacing w:after="0"/>
        <w:rPr>
          <w:rFonts w:ascii="Arial" w:hAnsi="Arial" w:cs="Arial"/>
          <w:i/>
        </w:rPr>
      </w:pPr>
    </w:p>
    <w:p w14:paraId="5A067436" w14:textId="59EBB4B6" w:rsidR="00A24E7E" w:rsidRDefault="00A24E7E" w:rsidP="00441B6F">
      <w:pPr>
        <w:pStyle w:val="Body"/>
        <w:spacing w:after="0"/>
        <w:rPr>
          <w:rFonts w:ascii="Arial" w:hAnsi="Arial" w:cs="Arial"/>
          <w:i/>
        </w:rPr>
      </w:pPr>
      <w:r>
        <w:rPr>
          <w:rFonts w:ascii="Arial" w:hAnsi="Arial" w:cs="Arial"/>
          <w:i/>
        </w:rPr>
        <w:t xml:space="preserve">Keywords: </w:t>
      </w:r>
      <w:r w:rsidR="00972128" w:rsidRPr="00972128">
        <w:rPr>
          <w:rFonts w:ascii="Arial" w:hAnsi="Arial" w:cs="Arial"/>
          <w:i/>
        </w:rPr>
        <w:t xml:space="preserve">Schiff base, Pyrazole derivatives, antimicrobial activities, minimum inhibitory concentration (MIC), 2,4-Dihydroxybenzaldehyde </w:t>
      </w:r>
    </w:p>
    <w:p w14:paraId="44A529FD" w14:textId="77777777" w:rsidR="00790ADA" w:rsidRDefault="00790ADA" w:rsidP="00441B6F">
      <w:pPr>
        <w:pStyle w:val="Body"/>
        <w:spacing w:after="0"/>
        <w:rPr>
          <w:rFonts w:ascii="Arial" w:hAnsi="Arial" w:cs="Arial"/>
          <w:i/>
        </w:rPr>
      </w:pPr>
    </w:p>
    <w:p w14:paraId="1003697A" w14:textId="77777777" w:rsidR="0024282C" w:rsidRDefault="0024282C" w:rsidP="00441B6F">
      <w:pPr>
        <w:pStyle w:val="Body"/>
        <w:spacing w:after="0"/>
        <w:rPr>
          <w:rFonts w:ascii="Arial" w:hAnsi="Arial" w:cs="Arial"/>
          <w:i/>
          <w:sz w:val="18"/>
        </w:rPr>
      </w:pPr>
    </w:p>
    <w:p w14:paraId="6DF21A6D" w14:textId="77777777" w:rsidR="00505F06" w:rsidRPr="00A24E7E" w:rsidRDefault="00505F06" w:rsidP="00441B6F">
      <w:pPr>
        <w:pStyle w:val="Body"/>
        <w:spacing w:after="0"/>
        <w:rPr>
          <w:rFonts w:ascii="Arial" w:hAnsi="Arial" w:cs="Arial"/>
          <w:i/>
        </w:rPr>
      </w:pPr>
    </w:p>
    <w:p w14:paraId="7BECAEC5" w14:textId="4D3C7087" w:rsidR="007F7B32" w:rsidRDefault="00902823" w:rsidP="00B2631A">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41F9C06A" w14:textId="77777777" w:rsidR="00790ADA" w:rsidRPr="00FB3A86" w:rsidRDefault="00790ADA" w:rsidP="00441B6F">
      <w:pPr>
        <w:pStyle w:val="AbstHead"/>
        <w:spacing w:after="0"/>
        <w:jc w:val="both"/>
        <w:rPr>
          <w:rFonts w:ascii="Arial" w:hAnsi="Arial" w:cs="Arial"/>
        </w:rPr>
      </w:pPr>
    </w:p>
    <w:p w14:paraId="12E03AFF" w14:textId="4EB5B155" w:rsidR="00BE45EE" w:rsidRPr="00BE45EE" w:rsidRDefault="00BE45EE" w:rsidP="00BE45EE">
      <w:pPr>
        <w:pStyle w:val="Body"/>
        <w:rPr>
          <w:rFonts w:ascii="Arial" w:hAnsi="Arial" w:cs="Arial"/>
        </w:rPr>
      </w:pPr>
      <w:r w:rsidRPr="00BE45EE">
        <w:rPr>
          <w:rFonts w:ascii="Arial" w:hAnsi="Arial" w:cs="Arial"/>
        </w:rPr>
        <w:t xml:space="preserve">The alarming rise in antimicrobial resistance has become a major threat to global health, necessitating the discovery of novel bioactive compounds with potent antimicrobial properties. Schiff bases, formed via condensation of primary amines and aldehydes or ketones, have been extensively studied for their biological activities, including antibacterial, antifungal, and anticancer effects (Singh, et al., 2006; Rollas and Küçükgüzel, 2007). The imine (–C=N–) functional group is central to the biological activity of Schiff bases, where it facilitates coordination with biological macromolecules and promotes interactions with microbial enzymes and cell membranes. Schiff bases are well-documented for their antimicrobial properties, primarily due to their capacity to form stable chelates with metal ions and disrupt essential cellular processes in pathogens (Patel and Pandeya, 2011; Chohan and Supuran, 2001). Structural variations among Schiff bases, including the incorporation of heterocyclic rings and aromatic moieties, have been shown to significantly influence antibacterial and antifungal activity (Joseyphus and Sivasankaran, 2008; Jarrahpour et al., 2007). For example, Schiff bases derived from pyrazolone backbones have demonstrated not only antimicrobial </w:t>
      </w:r>
      <w:r w:rsidRPr="00BE45EE">
        <w:rPr>
          <w:rFonts w:ascii="Arial" w:hAnsi="Arial" w:cs="Arial"/>
        </w:rPr>
        <w:lastRenderedPageBreak/>
        <w:t>efficacy but also notable cytotoxic and antioxidant profiles (Aly et al., 2010; Sashidhara et al., 2008).</w:t>
      </w:r>
    </w:p>
    <w:p w14:paraId="3F4408B3" w14:textId="77777777" w:rsidR="00BE45EE" w:rsidRPr="00BE45EE" w:rsidRDefault="00BE45EE" w:rsidP="00BE45EE">
      <w:pPr>
        <w:pStyle w:val="Body"/>
        <w:rPr>
          <w:rFonts w:ascii="Arial" w:hAnsi="Arial" w:cs="Arial"/>
        </w:rPr>
      </w:pPr>
      <w:r w:rsidRPr="00BE45EE">
        <w:rPr>
          <w:rFonts w:ascii="Arial" w:hAnsi="Arial" w:cs="Arial"/>
        </w:rPr>
        <w:t xml:space="preserve">Beyond microbial inhibition, Schiff bases have also found application in herbicidal and oxidative stress-related studies due to their diverse electronic characteristics (Samadhiya and Halve, 2001; Neochoritis et al., 2011). Functional group modifications—such as the inclusion of long alkyl chains or isoniazid derivatives—can enhance membrane permeability, bioavailability, and overall antimicrobial efficacy (Shaker et al., 2011; Yong et al., 2016). More advanced Schiff base frameworks, especially those incorporating chiral or extended aromatic systems, have been explored for their anti-inflammatory and anticancer potential, reinforcing the relevance of this class of compounds in multidisciplinary drug design (Zhang et al., 2009; Zhou et al., 2010). </w:t>
      </w:r>
    </w:p>
    <w:p w14:paraId="300EA07B" w14:textId="77777777" w:rsidR="00BE45EE" w:rsidRPr="00BE45EE" w:rsidRDefault="00BE45EE" w:rsidP="00BE45EE">
      <w:pPr>
        <w:pStyle w:val="Body"/>
        <w:rPr>
          <w:rFonts w:ascii="Arial" w:hAnsi="Arial" w:cs="Arial"/>
        </w:rPr>
      </w:pPr>
      <w:r w:rsidRPr="00BE45EE">
        <w:rPr>
          <w:rFonts w:ascii="Arial" w:hAnsi="Arial" w:cs="Arial"/>
        </w:rPr>
        <w:t>Among the various structural motifs explored, pyrazole-based Schiff bases stand out due to their electron-rich aromatic framework, π-conjugation, and capacity for hydrogen bonding, all of which enhance their interaction with biological targets such as enzymes and nucleic acids (Bharti et al., 2012). These heterocyclic scaffolds are widely recognized in pharmaceutical research for their diverse pharmacological profiles, including anti-inflammatory, anticancer, and antimicrobial properties (Kumar and Chopra, 2020; Kaur and Pathania, 2021). When conjugated with phenolic aldehydes, the resulting Schiff bases often display improved lipophilicity and bioavailability. Hydroxyl-substituted aromatic aldehydes, in particular, contribute significantly to antimicrobial potency by promoting hydrogen bonding and modulating lipophilicity, which facilitates cellular uptake (Nassar et al., 2020).</w:t>
      </w:r>
    </w:p>
    <w:p w14:paraId="0173723C" w14:textId="77777777" w:rsidR="00BE45EE" w:rsidRPr="00BE45EE" w:rsidRDefault="00BE45EE" w:rsidP="00BE45EE">
      <w:pPr>
        <w:pStyle w:val="Body"/>
        <w:rPr>
          <w:rFonts w:ascii="Arial" w:hAnsi="Arial" w:cs="Arial"/>
        </w:rPr>
      </w:pPr>
      <w:r w:rsidRPr="00BE45EE">
        <w:rPr>
          <w:rFonts w:ascii="Arial" w:hAnsi="Arial" w:cs="Arial"/>
        </w:rPr>
        <w:t>The combination of hydroxyl groups and pyrazole functionalities in a Schiff base is known to enhance antimicrobial performance through mechanisms such as metal chelation, membrane disruption, and enzyme inhibition (Mohamed and Omar, 2005). For instance, Bharti et al. (2012) synthesized a series of molybdenum(0) pyrazolone-based Schiff base complexes and reported that the biological activity was strongly influenced by the presence of hydroxyl and aromatic moieties, which enhanced microbial enzyme interaction. Similarly, Nassar et al. (2020) reported Schiff bases derived from hydroxybenzaldehydes and pyrazole analogues exhibit significant antibacterial and antifungal activity, underscoring the role of these substituents in enhancing bioactivity.</w:t>
      </w:r>
    </w:p>
    <w:p w14:paraId="74E0A4E8" w14:textId="23735C52" w:rsidR="00B01FCD" w:rsidRDefault="00BE45EE" w:rsidP="00BE45EE">
      <w:pPr>
        <w:pStyle w:val="Body"/>
        <w:spacing w:after="0"/>
        <w:rPr>
          <w:rFonts w:ascii="Arial" w:hAnsi="Arial" w:cs="Arial"/>
        </w:rPr>
      </w:pPr>
      <w:r w:rsidRPr="00BE45EE">
        <w:rPr>
          <w:rFonts w:ascii="Arial" w:hAnsi="Arial" w:cs="Arial"/>
        </w:rPr>
        <w:t>Despite the wide array of Schiff base derivatives documented in literature, the direct investigation of antimicrobial activity from a Schiff base combining 5-amino-3-methyl-1-phenylpyrazole with 2,4-dihydroxybenzaldehyde remains limited. This study, therefore, aims to synthesize and characterize such a Schiff base—designated DHB-Pz—and evaluate its antimicrobial efficacy against selected Gram-positive and Gram-negative bacterial strains, as well as fungal species. The work contributes a new structural variant of bioactive Schiff base to the expanding field of antimicrobial drug discovery.</w:t>
      </w:r>
      <w:r>
        <w:rPr>
          <w:rFonts w:ascii="Arial" w:hAnsi="Arial" w:cs="Arial"/>
        </w:rPr>
        <w:t xml:space="preserve"> </w:t>
      </w:r>
    </w:p>
    <w:p w14:paraId="6923569C" w14:textId="77777777" w:rsidR="00790ADA" w:rsidRPr="00FB3A86" w:rsidRDefault="00790ADA" w:rsidP="00441B6F">
      <w:pPr>
        <w:pStyle w:val="Body"/>
        <w:spacing w:after="0"/>
        <w:rPr>
          <w:rFonts w:ascii="Arial" w:hAnsi="Arial" w:cs="Arial"/>
        </w:rPr>
      </w:pPr>
    </w:p>
    <w:p w14:paraId="0BBE821B" w14:textId="63D247AF" w:rsidR="007F7B32" w:rsidRDefault="00902823" w:rsidP="00B2631A">
      <w:pPr>
        <w:pStyle w:val="AbstHead"/>
        <w:spacing w:after="0"/>
        <w:rPr>
          <w:rFonts w:ascii="Arial" w:hAnsi="Arial" w:cs="Arial"/>
        </w:rPr>
      </w:pPr>
      <w:r>
        <w:rPr>
          <w:rFonts w:ascii="Arial" w:hAnsi="Arial" w:cs="Arial"/>
        </w:rPr>
        <w:t>2. material and method</w:t>
      </w:r>
      <w:r w:rsidR="00000F8F">
        <w:rPr>
          <w:rFonts w:ascii="Arial" w:hAnsi="Arial" w:cs="Arial"/>
        </w:rPr>
        <w:t>s</w:t>
      </w:r>
    </w:p>
    <w:p w14:paraId="2691FAB6" w14:textId="77777777" w:rsidR="00790ADA" w:rsidRPr="00FB3A86" w:rsidRDefault="00790ADA" w:rsidP="00441B6F">
      <w:pPr>
        <w:pStyle w:val="AbstHead"/>
        <w:spacing w:after="0"/>
        <w:jc w:val="both"/>
        <w:rPr>
          <w:rFonts w:ascii="Arial" w:hAnsi="Arial" w:cs="Arial"/>
        </w:rPr>
      </w:pPr>
    </w:p>
    <w:p w14:paraId="2DB2CE3D" w14:textId="4CBE0435" w:rsidR="00B060ED" w:rsidRPr="00D207F8" w:rsidRDefault="00B060ED" w:rsidP="00B2631A">
      <w:pPr>
        <w:pStyle w:val="Body"/>
        <w:jc w:val="left"/>
        <w:rPr>
          <w:rFonts w:ascii="Arial" w:eastAsia="Calibri" w:hAnsi="Arial" w:cs="Arial"/>
          <w:b/>
          <w:bCs/>
          <w:sz w:val="22"/>
          <w:szCs w:val="22"/>
        </w:rPr>
      </w:pPr>
      <w:r w:rsidRPr="00D207F8">
        <w:rPr>
          <w:rFonts w:ascii="Arial" w:eastAsia="Calibri" w:hAnsi="Arial" w:cs="Arial"/>
          <w:b/>
          <w:bCs/>
          <w:sz w:val="22"/>
          <w:szCs w:val="22"/>
        </w:rPr>
        <w:t>2.1 Materials and Reagents</w:t>
      </w:r>
    </w:p>
    <w:p w14:paraId="3F9EC8FC" w14:textId="77777777" w:rsidR="00B060ED" w:rsidRPr="00B060ED" w:rsidRDefault="00B060ED" w:rsidP="00B060ED">
      <w:pPr>
        <w:pStyle w:val="Body"/>
        <w:rPr>
          <w:rFonts w:ascii="Arial" w:eastAsia="Calibri" w:hAnsi="Arial" w:cs="Arial"/>
          <w:szCs w:val="22"/>
        </w:rPr>
      </w:pPr>
      <w:r w:rsidRPr="00B060ED">
        <w:rPr>
          <w:rFonts w:ascii="Arial" w:eastAsia="Calibri" w:hAnsi="Arial" w:cs="Arial"/>
          <w:szCs w:val="22"/>
        </w:rPr>
        <w:t xml:space="preserve">All chemicals used in this study were of analytical grade and used without further purification. 2,4-Dihydroxybenzaldehyde and 5-amino-3-methyl-1-phenylpyrazole were purchased from Sigma-Aldrich. Solvents such as ethanol, methanol, acetone, and dimethyl sulfoxide (DMSO) were obtained from Merck. Gentamycin and nystatin were used as standard control drugs for antibacterial and antifungal studies, respectively. The FTIR spectra were recorded using a PerkinElmer Spectrum Two FTIR Spectrometer using the KBr pellet method. UV-Visible spectra were obtained on a Shimadzu UV-1800 spectrophotometer using methanol as the </w:t>
      </w:r>
      <w:r w:rsidRPr="00B060ED">
        <w:rPr>
          <w:rFonts w:ascii="Arial" w:eastAsia="Calibri" w:hAnsi="Arial" w:cs="Arial"/>
          <w:szCs w:val="22"/>
        </w:rPr>
        <w:lastRenderedPageBreak/>
        <w:t>solvent. Elemental analysis (C, H, N) was performed using a PerkinElmer 2400 Series II CHNS/O analyzer. Conductivity measurement carried out using DDS-307 conductivity meter.</w:t>
      </w:r>
    </w:p>
    <w:p w14:paraId="659E32F2" w14:textId="77777777" w:rsidR="00B060ED" w:rsidRPr="00D207F8" w:rsidRDefault="00B060ED" w:rsidP="00B2631A">
      <w:pPr>
        <w:pStyle w:val="Body"/>
        <w:jc w:val="left"/>
        <w:rPr>
          <w:rFonts w:ascii="Arial" w:eastAsia="Calibri" w:hAnsi="Arial" w:cs="Arial"/>
          <w:b/>
          <w:bCs/>
          <w:sz w:val="22"/>
          <w:szCs w:val="22"/>
        </w:rPr>
      </w:pPr>
      <w:r w:rsidRPr="00D207F8">
        <w:rPr>
          <w:rFonts w:ascii="Arial" w:eastAsia="Calibri" w:hAnsi="Arial" w:cs="Arial"/>
          <w:b/>
          <w:bCs/>
          <w:sz w:val="22"/>
          <w:szCs w:val="22"/>
        </w:rPr>
        <w:t>2.2 Synthesis of Dihydroxybenzaldehyde–Pyrazole Schiff Base (DHB-Pz)</w:t>
      </w:r>
    </w:p>
    <w:p w14:paraId="29EFB775" w14:textId="5155B2C0" w:rsidR="00B060ED" w:rsidRPr="00B060ED" w:rsidRDefault="00B060ED" w:rsidP="00B060ED">
      <w:pPr>
        <w:pStyle w:val="Body"/>
        <w:rPr>
          <w:rFonts w:ascii="Arial" w:eastAsia="Calibri" w:hAnsi="Arial" w:cs="Arial"/>
          <w:szCs w:val="22"/>
        </w:rPr>
      </w:pPr>
      <w:r w:rsidRPr="00B060ED">
        <w:rPr>
          <w:rFonts w:ascii="Arial" w:eastAsia="Calibri" w:hAnsi="Arial" w:cs="Arial"/>
          <w:szCs w:val="22"/>
        </w:rPr>
        <w:t xml:space="preserve">The Schiff base, DHB-Pz was synthesized via a condensation reaction. Equimolar amounts (10 mmol) of 2,4-dihydroxybenzaldehyde and 5-amino-3-methyl-1-phenylpyrazole were dissolved in ethanol (30 mL) and refluxed for 4 hours with continuous </w:t>
      </w:r>
      <w:commentRangeStart w:id="1"/>
      <w:commentRangeStart w:id="2"/>
      <w:r w:rsidRPr="00B060ED">
        <w:rPr>
          <w:rFonts w:ascii="Arial" w:eastAsia="Calibri" w:hAnsi="Arial" w:cs="Arial"/>
          <w:szCs w:val="22"/>
        </w:rPr>
        <w:t>stirring</w:t>
      </w:r>
      <w:commentRangeEnd w:id="1"/>
      <w:r w:rsidR="00CF5009">
        <w:rPr>
          <w:rStyle w:val="a9"/>
          <w:rFonts w:ascii="Times New Roman" w:hAnsi="Times New Roman"/>
          <w:lang w:val="nb-NO" w:eastAsia="nb-NO"/>
        </w:rPr>
        <w:commentReference w:id="1"/>
      </w:r>
      <w:commentRangeEnd w:id="2"/>
      <w:r w:rsidR="002E2AAE">
        <w:rPr>
          <w:rStyle w:val="a9"/>
          <w:rFonts w:ascii="Times New Roman" w:hAnsi="Times New Roman"/>
          <w:lang w:val="nb-NO" w:eastAsia="nb-NO"/>
        </w:rPr>
        <w:commentReference w:id="2"/>
      </w:r>
      <w:r w:rsidRPr="00B060ED">
        <w:rPr>
          <w:rFonts w:ascii="Arial" w:eastAsia="Calibri" w:hAnsi="Arial" w:cs="Arial"/>
          <w:szCs w:val="22"/>
        </w:rPr>
        <w:t>. The resulting yellow precipitate was filtered, washed with cold ethanol/acetone solution and dried in a desiccator. The crude product was recrystallized from ethanol to obtain a pure Schiff base compound.Yield: 61.4%; mp: 183.3 °C; Anal (calc.): C  69.32 (69.61), H  5.11 (5.15), N  14.12 (14.33).</w:t>
      </w:r>
    </w:p>
    <w:p w14:paraId="6C5DCDC2" w14:textId="77777777" w:rsidR="00B060ED" w:rsidRPr="00D207F8" w:rsidRDefault="00B060ED" w:rsidP="00B2631A">
      <w:pPr>
        <w:pStyle w:val="Body"/>
        <w:jc w:val="left"/>
        <w:rPr>
          <w:rFonts w:ascii="Arial" w:eastAsia="Calibri" w:hAnsi="Arial" w:cs="Arial"/>
          <w:b/>
          <w:bCs/>
          <w:sz w:val="22"/>
          <w:szCs w:val="22"/>
        </w:rPr>
      </w:pPr>
      <w:r w:rsidRPr="00D207F8">
        <w:rPr>
          <w:rFonts w:ascii="Arial" w:eastAsia="Calibri" w:hAnsi="Arial" w:cs="Arial"/>
          <w:b/>
          <w:bCs/>
          <w:sz w:val="22"/>
          <w:szCs w:val="22"/>
        </w:rPr>
        <w:t>2.3 Antimicrobial Activity</w:t>
      </w:r>
    </w:p>
    <w:p w14:paraId="65AB710A" w14:textId="77777777" w:rsidR="00B060ED" w:rsidRPr="00D207F8" w:rsidRDefault="00B060ED" w:rsidP="00B2631A">
      <w:pPr>
        <w:pStyle w:val="Body"/>
        <w:jc w:val="left"/>
        <w:rPr>
          <w:rFonts w:ascii="Arial" w:eastAsia="Calibri" w:hAnsi="Arial" w:cs="Arial"/>
          <w:b/>
          <w:bCs/>
          <w:szCs w:val="22"/>
          <w:u w:val="single"/>
        </w:rPr>
      </w:pPr>
      <w:r w:rsidRPr="00D207F8">
        <w:rPr>
          <w:rFonts w:ascii="Arial" w:eastAsia="Calibri" w:hAnsi="Arial" w:cs="Arial"/>
          <w:b/>
          <w:bCs/>
          <w:szCs w:val="22"/>
          <w:u w:val="single"/>
        </w:rPr>
        <w:t>2.3.1 Microbial Strains</w:t>
      </w:r>
    </w:p>
    <w:p w14:paraId="7D1C81E4" w14:textId="77777777" w:rsidR="00B060ED" w:rsidRPr="00B060ED" w:rsidRDefault="00B060ED" w:rsidP="00B060ED">
      <w:pPr>
        <w:pStyle w:val="Body"/>
        <w:rPr>
          <w:rFonts w:ascii="Arial" w:eastAsia="Calibri" w:hAnsi="Arial" w:cs="Arial"/>
          <w:szCs w:val="22"/>
        </w:rPr>
      </w:pPr>
      <w:r w:rsidRPr="00B060ED">
        <w:rPr>
          <w:rFonts w:ascii="Arial" w:eastAsia="Calibri" w:hAnsi="Arial" w:cs="Arial"/>
          <w:szCs w:val="22"/>
        </w:rPr>
        <w:t>Th</w:t>
      </w:r>
      <w:bookmarkStart w:id="3" w:name="_GoBack"/>
      <w:bookmarkEnd w:id="3"/>
      <w:r w:rsidRPr="00B060ED">
        <w:rPr>
          <w:rFonts w:ascii="Arial" w:eastAsia="Calibri" w:hAnsi="Arial" w:cs="Arial"/>
          <w:szCs w:val="22"/>
        </w:rPr>
        <w:t xml:space="preserve">e antimicrobial activity of the synthesized DHB-Pz was tested against Gram-positive bacteria: </w:t>
      </w:r>
      <w:r w:rsidRPr="002864B2">
        <w:rPr>
          <w:rFonts w:ascii="Arial" w:eastAsia="Calibri" w:hAnsi="Arial" w:cs="Arial"/>
          <w:i/>
          <w:iCs/>
          <w:szCs w:val="22"/>
        </w:rPr>
        <w:t>Bacillus subtilis</w:t>
      </w:r>
      <w:r w:rsidRPr="00B060ED">
        <w:rPr>
          <w:rFonts w:ascii="Arial" w:eastAsia="Calibri" w:hAnsi="Arial" w:cs="Arial"/>
          <w:szCs w:val="22"/>
        </w:rPr>
        <w:t xml:space="preserve">, </w:t>
      </w:r>
      <w:r w:rsidRPr="002864B2">
        <w:rPr>
          <w:rFonts w:ascii="Arial" w:eastAsia="Calibri" w:hAnsi="Arial" w:cs="Arial"/>
          <w:i/>
          <w:iCs/>
          <w:szCs w:val="22"/>
        </w:rPr>
        <w:t>Serratia sp</w:t>
      </w:r>
      <w:r w:rsidRPr="00B060ED">
        <w:rPr>
          <w:rFonts w:ascii="Arial" w:eastAsia="Calibri" w:hAnsi="Arial" w:cs="Arial"/>
          <w:szCs w:val="22"/>
        </w:rPr>
        <w:t xml:space="preserve">.; Gram-negative bacteria: </w:t>
      </w:r>
      <w:r w:rsidRPr="002864B2">
        <w:rPr>
          <w:rFonts w:ascii="Arial" w:eastAsia="Calibri" w:hAnsi="Arial" w:cs="Arial"/>
          <w:i/>
          <w:iCs/>
          <w:szCs w:val="22"/>
        </w:rPr>
        <w:t>Klebsiella sp</w:t>
      </w:r>
      <w:r w:rsidRPr="00B060ED">
        <w:rPr>
          <w:rFonts w:ascii="Arial" w:eastAsia="Calibri" w:hAnsi="Arial" w:cs="Arial"/>
          <w:szCs w:val="22"/>
        </w:rPr>
        <w:t xml:space="preserve">., </w:t>
      </w:r>
      <w:r w:rsidRPr="002864B2">
        <w:rPr>
          <w:rFonts w:ascii="Arial" w:eastAsia="Calibri" w:hAnsi="Arial" w:cs="Arial"/>
          <w:i/>
          <w:iCs/>
          <w:szCs w:val="22"/>
        </w:rPr>
        <w:t>Proteus sp</w:t>
      </w:r>
      <w:r w:rsidRPr="00B060ED">
        <w:rPr>
          <w:rFonts w:ascii="Arial" w:eastAsia="Calibri" w:hAnsi="Arial" w:cs="Arial"/>
          <w:szCs w:val="22"/>
        </w:rPr>
        <w:t xml:space="preserve">.; Fungi: </w:t>
      </w:r>
      <w:r w:rsidRPr="002864B2">
        <w:rPr>
          <w:rFonts w:ascii="Arial" w:eastAsia="Calibri" w:hAnsi="Arial" w:cs="Arial"/>
          <w:i/>
          <w:iCs/>
          <w:szCs w:val="22"/>
        </w:rPr>
        <w:t>Aspergillus niger</w:t>
      </w:r>
      <w:r w:rsidRPr="00B060ED">
        <w:rPr>
          <w:rFonts w:ascii="Arial" w:eastAsia="Calibri" w:hAnsi="Arial" w:cs="Arial"/>
          <w:szCs w:val="22"/>
        </w:rPr>
        <w:t xml:space="preserve"> (mold), </w:t>
      </w:r>
      <w:r w:rsidRPr="002864B2">
        <w:rPr>
          <w:rFonts w:ascii="Arial" w:eastAsia="Calibri" w:hAnsi="Arial" w:cs="Arial"/>
          <w:i/>
          <w:iCs/>
          <w:szCs w:val="22"/>
        </w:rPr>
        <w:t>Candida albicans</w:t>
      </w:r>
      <w:r w:rsidRPr="00B060ED">
        <w:rPr>
          <w:rFonts w:ascii="Arial" w:eastAsia="Calibri" w:hAnsi="Arial" w:cs="Arial"/>
          <w:szCs w:val="22"/>
        </w:rPr>
        <w:t xml:space="preserve"> (yeast). All microbial strains were obtained from Microbiology Laboratories of University of Uyo, Nigeria. </w:t>
      </w:r>
    </w:p>
    <w:p w14:paraId="49B0124C" w14:textId="77777777" w:rsidR="00B060ED" w:rsidRPr="00D207F8" w:rsidRDefault="00B060ED" w:rsidP="00B2631A">
      <w:pPr>
        <w:pStyle w:val="Body"/>
        <w:jc w:val="left"/>
        <w:rPr>
          <w:rFonts w:ascii="Arial" w:eastAsia="Calibri" w:hAnsi="Arial" w:cs="Arial"/>
          <w:b/>
          <w:bCs/>
          <w:szCs w:val="22"/>
          <w:u w:val="single"/>
        </w:rPr>
      </w:pPr>
      <w:r w:rsidRPr="00D207F8">
        <w:rPr>
          <w:rFonts w:ascii="Arial" w:eastAsia="Calibri" w:hAnsi="Arial" w:cs="Arial"/>
          <w:b/>
          <w:bCs/>
          <w:szCs w:val="22"/>
          <w:u w:val="single"/>
        </w:rPr>
        <w:t xml:space="preserve">2.3.2 Antimicrobial screening </w:t>
      </w:r>
    </w:p>
    <w:p w14:paraId="02BABADD" w14:textId="77777777" w:rsidR="00B060ED" w:rsidRPr="00B060ED" w:rsidRDefault="00B060ED" w:rsidP="00B060ED">
      <w:pPr>
        <w:pStyle w:val="Body"/>
        <w:rPr>
          <w:rFonts w:ascii="Arial" w:eastAsia="Calibri" w:hAnsi="Arial" w:cs="Arial"/>
          <w:szCs w:val="22"/>
        </w:rPr>
      </w:pPr>
      <w:r w:rsidRPr="00B060ED">
        <w:rPr>
          <w:rFonts w:ascii="Arial" w:eastAsia="Calibri" w:hAnsi="Arial" w:cs="Arial"/>
          <w:szCs w:val="22"/>
        </w:rPr>
        <w:t>The antimicrobial activity of the Schiff base was tested using the agar well diffusion method. A stock solution of 20 mg/mL was prepared in DMSO and serially diluted to obtain concentrations of 10, 5, 2.5, and 1.25 mg/mL (Bashir and Siraj, 2021; Shettima et al., 2024).  Sterile Mueller-Hinton agar (for bacteria) and Sabouraud Dextrose Agar (for fungi) were used. Wells of 6 mm diameter were bored into the agar and filled with 100 µL of each test solution. Plates were incubated at 37°C for 24 hours (bacteria) and 48 hours at 28°C (fungi). The zones of inhibition (ZI) were measured in millimeters. Gentamycin (20 mg/mL) and Nystatin (20 mg/mL) served as positive controls for bacteria and fungi, respectively. DMSO was used as the negative control.</w:t>
      </w:r>
    </w:p>
    <w:p w14:paraId="509F6E2D" w14:textId="77777777" w:rsidR="00B060ED" w:rsidRPr="00D207F8" w:rsidRDefault="00B060ED" w:rsidP="00B2631A">
      <w:pPr>
        <w:pStyle w:val="Body"/>
        <w:jc w:val="left"/>
        <w:rPr>
          <w:rFonts w:ascii="Arial" w:eastAsia="Calibri" w:hAnsi="Arial" w:cs="Arial"/>
          <w:b/>
          <w:bCs/>
          <w:szCs w:val="22"/>
          <w:u w:val="single"/>
        </w:rPr>
      </w:pPr>
      <w:r w:rsidRPr="00D207F8">
        <w:rPr>
          <w:rFonts w:ascii="Arial" w:eastAsia="Calibri" w:hAnsi="Arial" w:cs="Arial"/>
          <w:b/>
          <w:bCs/>
          <w:szCs w:val="22"/>
          <w:u w:val="single"/>
        </w:rPr>
        <w:t>2.3.3 Determination of Minimum Inhibitory Concentration (MIC)</w:t>
      </w:r>
    </w:p>
    <w:p w14:paraId="5B052940" w14:textId="0F528F8B" w:rsidR="00B060ED" w:rsidRDefault="00B060ED" w:rsidP="00B060ED">
      <w:pPr>
        <w:pStyle w:val="Body"/>
        <w:spacing w:after="0"/>
        <w:rPr>
          <w:rFonts w:ascii="Arial" w:eastAsia="Calibri" w:hAnsi="Arial" w:cs="Arial"/>
          <w:szCs w:val="22"/>
        </w:rPr>
      </w:pPr>
      <w:r w:rsidRPr="00B060ED">
        <w:rPr>
          <w:rFonts w:ascii="Arial" w:eastAsia="Calibri" w:hAnsi="Arial" w:cs="Arial"/>
          <w:szCs w:val="22"/>
        </w:rPr>
        <w:t>The MIC was determined using the agar incorporation method combined with streak inoculation. The lowest concentration at which the compound showed activity was further serially diluted in DMSO to yield concentrations of 2.5, 1.25, 0.625, and 0.312 mg/mL. One milliliter (1 mL) of each diluted solution was added to 19 mL of sterile molten agar maintained at 45°C, mixed thoroughly, poured into sterile Petri dishes, and left to set. The plates were then allowed to solidify completely at room temperature under aseptic conditions. Sensitive test organisms were inoculated using the streaking method. Plates were incubated at 37°C for 24 hours for bacteria and 28°C for 48 hours for fungi. and monitored for visible growth. The MIC was recorded as the lowest concentration of the Schiff base that inhibited microbial growth.</w:t>
      </w:r>
      <w:r w:rsidR="0066510A">
        <w:rPr>
          <w:rFonts w:ascii="Arial" w:eastAsia="Calibri" w:hAnsi="Arial" w:cs="Arial"/>
          <w:szCs w:val="22"/>
        </w:rPr>
        <w:t xml:space="preserve"> </w:t>
      </w:r>
    </w:p>
    <w:p w14:paraId="2CFD5934" w14:textId="77777777" w:rsidR="00003EBE" w:rsidRDefault="00003EBE" w:rsidP="00B060ED">
      <w:pPr>
        <w:pStyle w:val="Body"/>
        <w:spacing w:after="0"/>
        <w:rPr>
          <w:rFonts w:ascii="Arial" w:eastAsia="Calibri" w:hAnsi="Arial" w:cs="Arial"/>
          <w:szCs w:val="22"/>
        </w:rPr>
      </w:pPr>
    </w:p>
    <w:p w14:paraId="028E069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A051CF" w14:textId="77777777" w:rsidR="00790ADA" w:rsidRPr="00FB3A86" w:rsidRDefault="00790ADA" w:rsidP="00441B6F">
      <w:pPr>
        <w:pStyle w:val="Head1"/>
        <w:spacing w:after="0"/>
        <w:jc w:val="both"/>
        <w:rPr>
          <w:rFonts w:ascii="Arial" w:hAnsi="Arial" w:cs="Arial"/>
        </w:rPr>
      </w:pPr>
    </w:p>
    <w:p w14:paraId="0790A489" w14:textId="6FD928E0" w:rsidR="00B2631A" w:rsidRPr="00B2631A" w:rsidRDefault="00B2631A" w:rsidP="002864B2">
      <w:pPr>
        <w:pStyle w:val="Body"/>
        <w:jc w:val="left"/>
        <w:rPr>
          <w:rFonts w:ascii="Arial" w:hAnsi="Arial" w:cs="Arial"/>
          <w:b/>
          <w:bCs/>
          <w:sz w:val="22"/>
          <w:szCs w:val="22"/>
        </w:rPr>
      </w:pPr>
      <w:r w:rsidRPr="00B2631A">
        <w:rPr>
          <w:rFonts w:ascii="Arial" w:hAnsi="Arial" w:cs="Arial"/>
          <w:b/>
          <w:bCs/>
          <w:sz w:val="22"/>
          <w:szCs w:val="22"/>
        </w:rPr>
        <w:t>3.1 Synthesis and Physical properties</w:t>
      </w:r>
    </w:p>
    <w:p w14:paraId="5304D89C" w14:textId="4FE8A65A" w:rsidR="00B2631A" w:rsidRPr="00B2631A" w:rsidRDefault="00B2631A" w:rsidP="00B2631A">
      <w:pPr>
        <w:pStyle w:val="Body"/>
        <w:rPr>
          <w:rFonts w:ascii="Arial" w:hAnsi="Arial" w:cs="Arial"/>
        </w:rPr>
      </w:pPr>
      <w:r w:rsidRPr="00B2631A">
        <w:rPr>
          <w:rFonts w:ascii="Arial" w:hAnsi="Arial" w:cs="Arial"/>
        </w:rPr>
        <w:lastRenderedPageBreak/>
        <w:t>The Schiff base DHB-Pz (3) was obtained as a yellow crystalline solid via the condensation reaction of 2,4-dihydroxybenzaldehyde (1) with 5-amino-3-methyl-1-phenylpyrazole (2) in ethanol (Scheme 1). The product was formed in high yield and exhibited moderate solubility in methanol and DMSO, sparing solubility in ethanol and acetone, and was insoluble in water. The observed solubility trend is consistent with the moderate polarity of DHB-Pz, attributed to the presence of both hydrophobic (aromatic rings) and hydrophilic (hydroxyl and azomethine groups) moieties. Conductivity measurement of the compound in DMSO showed a value of 6.87 µS/cm, indicating its non-electrolytic nature and confirming that it does not undergo significant ionization in solution.</w:t>
      </w:r>
      <w:r w:rsidR="00DF7B3D">
        <w:rPr>
          <w:rFonts w:ascii="Arial" w:hAnsi="Arial" w:cs="Arial"/>
        </w:rPr>
        <w:t xml:space="preserve"> </w:t>
      </w:r>
      <w:r w:rsidRPr="00B2631A">
        <w:rPr>
          <w:rFonts w:ascii="Arial" w:hAnsi="Arial" w:cs="Arial"/>
        </w:rPr>
        <w:t>This property supports the existence of the compound as a neutral molecular species.</w:t>
      </w:r>
    </w:p>
    <w:p w14:paraId="7BF6C564" w14:textId="13B4642D" w:rsidR="00B2631A" w:rsidRPr="00B2631A" w:rsidRDefault="004432B0" w:rsidP="00B2631A">
      <w:pPr>
        <w:pStyle w:val="Body"/>
        <w:rPr>
          <w:rFonts w:ascii="Arial" w:hAnsi="Arial" w:cs="Arial"/>
        </w:rPr>
      </w:pPr>
      <w:r>
        <w:rPr>
          <w:rFonts w:ascii="Arial" w:hAnsi="Arial" w:cs="Arial"/>
          <w:b/>
          <w:bCs/>
        </w:rPr>
        <w:t>Pic</w:t>
      </w:r>
      <w:r w:rsidR="00B2631A" w:rsidRPr="00DF7B3D">
        <w:rPr>
          <w:rFonts w:ascii="Arial" w:hAnsi="Arial" w:cs="Arial"/>
          <w:b/>
          <w:bCs/>
        </w:rPr>
        <w:t xml:space="preserve"> 1</w:t>
      </w:r>
      <w:r w:rsidR="002259B1">
        <w:rPr>
          <w:rFonts w:ascii="Arial" w:hAnsi="Arial" w:cs="Arial"/>
        </w:rPr>
        <w:t>.</w:t>
      </w:r>
      <w:r w:rsidR="00B2631A" w:rsidRPr="00B2631A">
        <w:rPr>
          <w:rFonts w:ascii="Arial" w:hAnsi="Arial" w:cs="Arial"/>
        </w:rPr>
        <w:t xml:space="preserve"> </w:t>
      </w:r>
      <w:r w:rsidR="00B2631A" w:rsidRPr="002259B1">
        <w:rPr>
          <w:rFonts w:ascii="Arial" w:hAnsi="Arial" w:cs="Arial"/>
          <w:b/>
          <w:bCs/>
        </w:rPr>
        <w:t>Preparation of the DHB-Pz Schiff base</w:t>
      </w:r>
      <w:r w:rsidR="00B2631A" w:rsidRPr="00B2631A">
        <w:rPr>
          <w:rFonts w:ascii="Arial" w:hAnsi="Arial" w:cs="Arial"/>
        </w:rPr>
        <w:t xml:space="preserve">, </w:t>
      </w:r>
    </w:p>
    <w:p w14:paraId="44FF7CAC" w14:textId="0695EBFC" w:rsidR="00B2631A" w:rsidRPr="00B2631A" w:rsidRDefault="00B2631A" w:rsidP="00B2631A">
      <w:pPr>
        <w:pStyle w:val="Body"/>
        <w:rPr>
          <w:rFonts w:ascii="Arial" w:hAnsi="Arial" w:cs="Arial"/>
        </w:rPr>
      </w:pPr>
      <w:r w:rsidRPr="00B2631A">
        <w:rPr>
          <w:rFonts w:ascii="Arial" w:hAnsi="Arial" w:cs="Arial"/>
        </w:rPr>
        <w:t xml:space="preserve">  </w:t>
      </w:r>
      <w:r>
        <w:object w:dxaOrig="10637" w:dyaOrig="3907" w14:anchorId="4FACF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pt;height:114.75pt" o:ole="">
            <v:imagedata r:id="rId16" o:title=""/>
          </v:shape>
          <o:OLEObject Type="Embed" ProgID="ChemDraw.Document.6.0" ShapeID="_x0000_i1026" DrawAspect="Content" ObjectID="_1814980326" r:id="rId17"/>
        </w:object>
      </w:r>
    </w:p>
    <w:p w14:paraId="185EA954" w14:textId="77777777" w:rsidR="00B2631A" w:rsidRPr="00DF7B3D" w:rsidRDefault="00B2631A" w:rsidP="004F2FEC">
      <w:pPr>
        <w:pStyle w:val="Body"/>
        <w:jc w:val="left"/>
        <w:rPr>
          <w:rFonts w:ascii="Arial" w:hAnsi="Arial" w:cs="Arial"/>
          <w:b/>
          <w:bCs/>
          <w:sz w:val="22"/>
          <w:szCs w:val="22"/>
        </w:rPr>
      </w:pPr>
      <w:r w:rsidRPr="00DF7B3D">
        <w:rPr>
          <w:rFonts w:ascii="Arial" w:hAnsi="Arial" w:cs="Arial"/>
          <w:b/>
          <w:bCs/>
          <w:sz w:val="22"/>
          <w:szCs w:val="22"/>
        </w:rPr>
        <w:t>3.2 Elemental Analysis</w:t>
      </w:r>
    </w:p>
    <w:p w14:paraId="0292C300" w14:textId="77777777" w:rsidR="00B2631A" w:rsidRPr="00B2631A" w:rsidRDefault="00B2631A" w:rsidP="00B2631A">
      <w:pPr>
        <w:pStyle w:val="Body"/>
        <w:rPr>
          <w:rFonts w:ascii="Arial" w:hAnsi="Arial" w:cs="Arial"/>
        </w:rPr>
      </w:pPr>
      <w:r w:rsidRPr="00B2631A">
        <w:rPr>
          <w:rFonts w:ascii="Arial" w:hAnsi="Arial" w:cs="Arial"/>
        </w:rPr>
        <w:t>Elemental analysis data revealed close agreement between the calculated and experimental percentages: C (69.61% calc., 67.32% found), H (5.15% calc., 5.11% found), and N (14.33% calc., 14.12% found). These values are consistent with the proposed molecular formula, C</w:t>
      </w:r>
      <w:r w:rsidRPr="00B2631A">
        <w:rPr>
          <w:rFonts w:ascii="Cambria Math" w:hAnsi="Cambria Math" w:cs="Cambria Math"/>
        </w:rPr>
        <w:t>₁₇</w:t>
      </w:r>
      <w:r w:rsidRPr="00B2631A">
        <w:rPr>
          <w:rFonts w:ascii="Arial" w:hAnsi="Arial" w:cs="Arial"/>
        </w:rPr>
        <w:t>H</w:t>
      </w:r>
      <w:r w:rsidRPr="00B2631A">
        <w:rPr>
          <w:rFonts w:ascii="Cambria Math" w:hAnsi="Cambria Math" w:cs="Cambria Math"/>
        </w:rPr>
        <w:t>₁₅</w:t>
      </w:r>
      <w:r w:rsidRPr="00B2631A">
        <w:rPr>
          <w:rFonts w:ascii="Arial" w:hAnsi="Arial" w:cs="Arial"/>
        </w:rPr>
        <w:t>N</w:t>
      </w:r>
      <w:r w:rsidRPr="00B2631A">
        <w:rPr>
          <w:rFonts w:ascii="Cambria Math" w:hAnsi="Cambria Math" w:cs="Cambria Math"/>
        </w:rPr>
        <w:t>₃</w:t>
      </w:r>
      <w:r w:rsidRPr="00B2631A">
        <w:rPr>
          <w:rFonts w:ascii="Arial" w:hAnsi="Arial" w:cs="Arial"/>
        </w:rPr>
        <w:t>O</w:t>
      </w:r>
      <w:r w:rsidRPr="00B2631A">
        <w:rPr>
          <w:rFonts w:ascii="Cambria Math" w:hAnsi="Cambria Math" w:cs="Cambria Math"/>
        </w:rPr>
        <w:t>₂</w:t>
      </w:r>
      <w:r w:rsidRPr="00B2631A">
        <w:rPr>
          <w:rFonts w:ascii="Arial" w:hAnsi="Arial" w:cs="Arial"/>
        </w:rPr>
        <w:t>, confirming the purity and composition of the synthesized Schiff base.</w:t>
      </w:r>
    </w:p>
    <w:p w14:paraId="534F956A" w14:textId="77777777" w:rsidR="00B2631A" w:rsidRPr="00DF7B3D" w:rsidRDefault="00B2631A" w:rsidP="004F2FEC">
      <w:pPr>
        <w:pStyle w:val="Body"/>
        <w:jc w:val="left"/>
        <w:rPr>
          <w:rFonts w:ascii="Arial" w:hAnsi="Arial" w:cs="Arial"/>
          <w:b/>
          <w:bCs/>
          <w:sz w:val="22"/>
          <w:szCs w:val="22"/>
        </w:rPr>
      </w:pPr>
      <w:r w:rsidRPr="00DF7B3D">
        <w:rPr>
          <w:rFonts w:ascii="Arial" w:hAnsi="Arial" w:cs="Arial"/>
          <w:b/>
          <w:bCs/>
          <w:sz w:val="22"/>
          <w:szCs w:val="22"/>
        </w:rPr>
        <w:t>3.3 FTIR Spectroscopy</w:t>
      </w:r>
    </w:p>
    <w:p w14:paraId="2F23E91D" w14:textId="77777777" w:rsidR="00B2631A" w:rsidRPr="00B2631A" w:rsidRDefault="00B2631A" w:rsidP="00B2631A">
      <w:pPr>
        <w:pStyle w:val="Body"/>
        <w:rPr>
          <w:rFonts w:ascii="Arial" w:hAnsi="Arial" w:cs="Arial"/>
        </w:rPr>
      </w:pPr>
      <w:r w:rsidRPr="00B2631A">
        <w:rPr>
          <w:rFonts w:ascii="Arial" w:hAnsi="Arial" w:cs="Arial"/>
        </w:rPr>
        <w:t>The FTIR spectrum of DHB-Pz exhibited a characteristic sharp band at 1559 cm</w:t>
      </w:r>
      <w:r w:rsidRPr="00B2631A">
        <w:rPr>
          <w:rFonts w:ascii="Cambria Math" w:hAnsi="Cambria Math" w:cs="Cambria Math"/>
        </w:rPr>
        <w:t>⁻</w:t>
      </w:r>
      <w:r w:rsidRPr="00B2631A">
        <w:rPr>
          <w:rFonts w:ascii="Arial" w:hAnsi="Arial" w:cs="Arial"/>
        </w:rPr>
        <w:t>¹, attributed to the C=</w:t>
      </w:r>
      <w:commentRangeStart w:id="4"/>
      <w:r w:rsidRPr="00B2631A">
        <w:rPr>
          <w:rFonts w:ascii="Arial" w:hAnsi="Arial" w:cs="Arial"/>
        </w:rPr>
        <w:t>N</w:t>
      </w:r>
      <w:commentRangeEnd w:id="4"/>
      <w:r w:rsidR="006E1235">
        <w:rPr>
          <w:rStyle w:val="a9"/>
          <w:rFonts w:ascii="Times New Roman" w:hAnsi="Times New Roman"/>
          <w:lang w:val="nb-NO" w:eastAsia="nb-NO"/>
        </w:rPr>
        <w:commentReference w:id="4"/>
      </w:r>
      <w:r w:rsidRPr="00B2631A">
        <w:rPr>
          <w:rFonts w:ascii="Arial" w:hAnsi="Arial" w:cs="Arial"/>
        </w:rPr>
        <w:t xml:space="preserve"> stretching vibration of the azomethine linkage, confirming successful Schiff base formation. Additional absorption bands at 2877 and 2832 cm</w:t>
      </w:r>
      <w:r w:rsidRPr="00B2631A">
        <w:rPr>
          <w:rFonts w:ascii="Cambria Math" w:hAnsi="Cambria Math" w:cs="Cambria Math"/>
        </w:rPr>
        <w:t>⁻</w:t>
      </w:r>
      <w:r w:rsidRPr="00B2631A">
        <w:rPr>
          <w:rFonts w:ascii="Arial" w:hAnsi="Arial" w:cs="Arial"/>
        </w:rPr>
        <w:t>¹ correspond to aliphatic C–H stretching, especially from the methyl group on the pyrazole ring. Notably, the broad hydroxyl stretching band expected near 3350 - 3500 cm</w:t>
      </w:r>
      <w:r w:rsidRPr="00B2631A">
        <w:rPr>
          <w:rFonts w:ascii="Cambria Math" w:hAnsi="Cambria Math" w:cs="Cambria Math"/>
        </w:rPr>
        <w:t>⁻</w:t>
      </w:r>
      <w:r w:rsidRPr="00B2631A">
        <w:rPr>
          <w:rFonts w:ascii="Arial" w:hAnsi="Arial" w:cs="Arial"/>
        </w:rPr>
        <w:t>¹ was diminished, and a weaker broad absorption was observed around 3652 cm</w:t>
      </w:r>
      <w:r w:rsidRPr="00B2631A">
        <w:rPr>
          <w:rFonts w:ascii="Cambria Math" w:hAnsi="Cambria Math" w:cs="Cambria Math"/>
        </w:rPr>
        <w:t>⁻</w:t>
      </w:r>
      <w:r w:rsidRPr="00B2631A">
        <w:rPr>
          <w:rFonts w:ascii="Arial" w:hAnsi="Arial" w:cs="Arial"/>
        </w:rPr>
        <w:t>¹. This reduction is likely due to intramolecular hydrogen bonding between the hydroxyl and imine nitrogen atoms. The disappearance of the N–H stretching vibration of the primary amine expected around 3300–3400 cm</w:t>
      </w:r>
      <w:r w:rsidRPr="00B2631A">
        <w:rPr>
          <w:rFonts w:ascii="Cambria Math" w:hAnsi="Cambria Math" w:cs="Cambria Math"/>
        </w:rPr>
        <w:t>⁻</w:t>
      </w:r>
      <w:r w:rsidRPr="00B2631A">
        <w:rPr>
          <w:rFonts w:ascii="Arial" w:hAnsi="Arial" w:cs="Arial"/>
        </w:rPr>
        <w:t xml:space="preserve">¹ and that of C=O stretching vibration of the aldehyde (around </w:t>
      </w:r>
      <w:commentRangeStart w:id="5"/>
      <w:r w:rsidRPr="00B2631A">
        <w:rPr>
          <w:rFonts w:ascii="Arial" w:hAnsi="Arial" w:cs="Arial"/>
        </w:rPr>
        <w:t>1680</w:t>
      </w:r>
      <w:commentRangeEnd w:id="5"/>
      <w:r w:rsidR="006E1235">
        <w:rPr>
          <w:rStyle w:val="a9"/>
          <w:rFonts w:ascii="Times New Roman" w:hAnsi="Times New Roman"/>
          <w:lang w:val="nb-NO" w:eastAsia="nb-NO"/>
        </w:rPr>
        <w:commentReference w:id="5"/>
      </w:r>
      <w:r w:rsidRPr="00B2631A">
        <w:rPr>
          <w:rFonts w:ascii="Arial" w:hAnsi="Arial" w:cs="Arial"/>
        </w:rPr>
        <w:t>–1720 cm</w:t>
      </w:r>
      <w:r w:rsidRPr="00B2631A">
        <w:rPr>
          <w:rFonts w:ascii="Cambria Math" w:hAnsi="Cambria Math" w:cs="Cambria Math"/>
        </w:rPr>
        <w:t>⁻</w:t>
      </w:r>
      <w:r w:rsidRPr="00B2631A">
        <w:rPr>
          <w:rFonts w:ascii="Arial" w:hAnsi="Arial" w:cs="Arial"/>
        </w:rPr>
        <w:t>¹) further supports the formation of the Schiff base.</w:t>
      </w:r>
    </w:p>
    <w:p w14:paraId="0FB2D3B5" w14:textId="77777777" w:rsidR="00B2631A" w:rsidRPr="00DF7B3D" w:rsidRDefault="00B2631A" w:rsidP="004F2FEC">
      <w:pPr>
        <w:pStyle w:val="Body"/>
        <w:jc w:val="left"/>
        <w:rPr>
          <w:rFonts w:ascii="Arial" w:hAnsi="Arial" w:cs="Arial"/>
          <w:b/>
          <w:bCs/>
          <w:sz w:val="22"/>
          <w:szCs w:val="22"/>
        </w:rPr>
      </w:pPr>
      <w:r w:rsidRPr="00DF7B3D">
        <w:rPr>
          <w:rFonts w:ascii="Arial" w:hAnsi="Arial" w:cs="Arial"/>
          <w:b/>
          <w:bCs/>
          <w:sz w:val="22"/>
          <w:szCs w:val="22"/>
        </w:rPr>
        <w:t>3.4 UV-Visible Spectroscopy</w:t>
      </w:r>
    </w:p>
    <w:p w14:paraId="5A7075E2" w14:textId="77777777" w:rsidR="00B2631A" w:rsidRPr="00B2631A" w:rsidRDefault="00B2631A" w:rsidP="00B2631A">
      <w:pPr>
        <w:pStyle w:val="Body"/>
        <w:rPr>
          <w:rFonts w:ascii="Arial" w:hAnsi="Arial" w:cs="Arial"/>
        </w:rPr>
      </w:pPr>
      <w:r w:rsidRPr="00B2631A">
        <w:rPr>
          <w:rFonts w:ascii="Arial" w:hAnsi="Arial" w:cs="Arial"/>
        </w:rPr>
        <w:t xml:space="preserve">The UV-Vis spectrum of DHB-Pz in methanol exhibited absorption bands at 209 nm and 211 nm, which are characteristic of π→π* transitions. These transitions are typical of aromatic systems and are attributed to the π-electron systems of the benzene rings and the pyrazole moiety (Silverstein et al., 2005). The proximity of the two bands suggests overlapping absorptions from the conjugated aromatic fragments present in the Schiff base. A more intense band at 412 nm was observed and assigned to n→π* transitions, likely involving lone pair electrons on the imine nitrogen and possibly the pyrazole nitrogen. The imine nitrogen is </w:t>
      </w:r>
      <w:r w:rsidRPr="00B2631A">
        <w:rPr>
          <w:rFonts w:ascii="Arial" w:hAnsi="Arial" w:cs="Arial"/>
        </w:rPr>
        <w:lastRenderedPageBreak/>
        <w:t>strongly conjugated with the benzene ring system (from 2,4-dihydroxybenzaldehyde), and its lone pair is involved in extended delocalization (Mounika et al., 2010). The pyrazole nitrogen(s) may be partly conjugated with the ring or more localized. The pyrazole nitrogen likely plays a secondary, supportive role by enhancing conjugation and lowering the energy gap, helping the n→π* transition shift even further into the visible region. This bathochromic shift supports the Schiff base’s chromophoric nature and is consistent with the observed yellow color of the compound.</w:t>
      </w:r>
    </w:p>
    <w:p w14:paraId="2767429C" w14:textId="77777777" w:rsidR="00B2631A" w:rsidRPr="00DF7B3D" w:rsidRDefault="00B2631A" w:rsidP="004F2FEC">
      <w:pPr>
        <w:pStyle w:val="Body"/>
        <w:jc w:val="left"/>
        <w:rPr>
          <w:rFonts w:ascii="Arial" w:hAnsi="Arial" w:cs="Arial"/>
          <w:b/>
          <w:bCs/>
          <w:sz w:val="22"/>
          <w:szCs w:val="22"/>
        </w:rPr>
      </w:pPr>
      <w:r w:rsidRPr="00DF7B3D">
        <w:rPr>
          <w:rFonts w:ascii="Arial" w:hAnsi="Arial" w:cs="Arial"/>
          <w:b/>
          <w:bCs/>
          <w:sz w:val="22"/>
          <w:szCs w:val="22"/>
        </w:rPr>
        <w:t>3.5 Antimicrobial Activity</w:t>
      </w:r>
    </w:p>
    <w:p w14:paraId="3F73168A" w14:textId="10BE5999" w:rsidR="00B2631A" w:rsidRPr="00B2631A" w:rsidRDefault="00B2631A" w:rsidP="00B2631A">
      <w:pPr>
        <w:pStyle w:val="Body"/>
        <w:rPr>
          <w:rFonts w:ascii="Arial" w:hAnsi="Arial" w:cs="Arial"/>
        </w:rPr>
      </w:pPr>
      <w:r w:rsidRPr="00B2631A">
        <w:rPr>
          <w:rFonts w:ascii="Arial" w:hAnsi="Arial" w:cs="Arial"/>
        </w:rPr>
        <w:t xml:space="preserve">The Schiff base DHB-Pz displayed notable antimicrobial activity against both Gram-positive and Gram-negative bacteria (Fig. 1), as well as fungi (Fig 2). Among bacteria, the largest zone of inhibition was recorded for </w:t>
      </w:r>
      <w:r w:rsidRPr="004F2FEC">
        <w:rPr>
          <w:rFonts w:ascii="Arial" w:hAnsi="Arial" w:cs="Arial"/>
          <w:i/>
          <w:iCs/>
        </w:rPr>
        <w:t>Proteus sp</w:t>
      </w:r>
      <w:r w:rsidRPr="00B2631A">
        <w:rPr>
          <w:rFonts w:ascii="Arial" w:hAnsi="Arial" w:cs="Arial"/>
        </w:rPr>
        <w:t xml:space="preserve">. (35 mm at 20 mg/mL), followed by </w:t>
      </w:r>
      <w:r w:rsidRPr="004F2FEC">
        <w:rPr>
          <w:rFonts w:ascii="Arial" w:hAnsi="Arial" w:cs="Arial"/>
          <w:i/>
          <w:iCs/>
        </w:rPr>
        <w:t>Klebsiella sp</w:t>
      </w:r>
      <w:r w:rsidRPr="00B2631A">
        <w:rPr>
          <w:rFonts w:ascii="Arial" w:hAnsi="Arial" w:cs="Arial"/>
        </w:rPr>
        <w:t xml:space="preserve">. (30 mm), </w:t>
      </w:r>
      <w:r w:rsidRPr="004F2FEC">
        <w:rPr>
          <w:rFonts w:ascii="Arial" w:hAnsi="Arial" w:cs="Arial"/>
          <w:i/>
          <w:iCs/>
        </w:rPr>
        <w:t>Bacillus subtilis</w:t>
      </w:r>
      <w:r w:rsidRPr="00B2631A">
        <w:rPr>
          <w:rFonts w:ascii="Arial" w:hAnsi="Arial" w:cs="Arial"/>
        </w:rPr>
        <w:t xml:space="preserve"> (30 mm at 5 mg/mL), and </w:t>
      </w:r>
      <w:r w:rsidRPr="004F2FEC">
        <w:rPr>
          <w:rFonts w:ascii="Arial" w:hAnsi="Arial" w:cs="Arial"/>
          <w:i/>
          <w:iCs/>
        </w:rPr>
        <w:t>Serratia sp</w:t>
      </w:r>
      <w:r w:rsidRPr="00B2631A">
        <w:rPr>
          <w:rFonts w:ascii="Arial" w:hAnsi="Arial" w:cs="Arial"/>
        </w:rPr>
        <w:t xml:space="preserve">. (20 mm). Fungal inhibition was also promising, with </w:t>
      </w:r>
      <w:r w:rsidRPr="004F2FEC">
        <w:rPr>
          <w:rFonts w:ascii="Arial" w:hAnsi="Arial" w:cs="Arial"/>
          <w:i/>
          <w:iCs/>
        </w:rPr>
        <w:t>Candida albicans</w:t>
      </w:r>
      <w:r w:rsidRPr="00B2631A">
        <w:rPr>
          <w:rFonts w:ascii="Arial" w:hAnsi="Arial" w:cs="Arial"/>
        </w:rPr>
        <w:t xml:space="preserve"> showing a zone of 25 mm and </w:t>
      </w:r>
      <w:r w:rsidRPr="004F2FEC">
        <w:rPr>
          <w:rFonts w:ascii="Arial" w:hAnsi="Arial" w:cs="Arial"/>
          <w:i/>
          <w:iCs/>
        </w:rPr>
        <w:t>Aspergillus niger</w:t>
      </w:r>
      <w:r w:rsidRPr="00B2631A">
        <w:rPr>
          <w:rFonts w:ascii="Arial" w:hAnsi="Arial" w:cs="Arial"/>
        </w:rPr>
        <w:t xml:space="preserve"> showing 20 mm at 20 mg/mL. The activity was concentration-dependent. When compared to reference drugs</w:t>
      </w:r>
      <w:r w:rsidR="00DF7B3D">
        <w:rPr>
          <w:rFonts w:ascii="Arial" w:hAnsi="Arial" w:cs="Arial"/>
        </w:rPr>
        <w:t xml:space="preserve"> - </w:t>
      </w:r>
      <w:r w:rsidRPr="00B2631A">
        <w:rPr>
          <w:rFonts w:ascii="Arial" w:hAnsi="Arial" w:cs="Arial"/>
        </w:rPr>
        <w:t>Gentamycin (bacteria) and Nystatin (fungi)</w:t>
      </w:r>
      <w:r w:rsidR="00DF7B3D">
        <w:rPr>
          <w:rFonts w:ascii="Arial" w:hAnsi="Arial" w:cs="Arial"/>
        </w:rPr>
        <w:t xml:space="preserve"> - </w:t>
      </w:r>
      <w:r w:rsidRPr="00B2631A">
        <w:rPr>
          <w:rFonts w:ascii="Arial" w:hAnsi="Arial" w:cs="Arial"/>
        </w:rPr>
        <w:t xml:space="preserve">DHB-Pz showed comparable zones of inhibition, especially in the case of </w:t>
      </w:r>
      <w:r w:rsidRPr="004F2FEC">
        <w:rPr>
          <w:rFonts w:ascii="Arial" w:hAnsi="Arial" w:cs="Arial"/>
          <w:i/>
          <w:iCs/>
        </w:rPr>
        <w:t>Candida albicans</w:t>
      </w:r>
      <w:r w:rsidRPr="00B2631A">
        <w:rPr>
          <w:rFonts w:ascii="Arial" w:hAnsi="Arial" w:cs="Arial"/>
        </w:rPr>
        <w:t>, where the Schiff base (25 mm) outperformed Nystatin (19 mm). The observed activity may be attributed to the compound’s ability to permeate and disrupt microbial membranes, enhanced by its planar structure and presence of hydroxyl and pyrazole moieties. While the presence of the hydroxyl groups and the conjugated pyrazole ring may facilitate interactions with the bacterial cell membrane, enhancing permeability and leading to leakage of essential cellular components, the planar structure may facilitate easier interaction with the lipid bilayer, a crucial factor in membrane disruption (Aragón-Muriel et al., 2021).</w:t>
      </w:r>
    </w:p>
    <w:p w14:paraId="3D348AFE" w14:textId="2DA5F2A6" w:rsidR="00B2631A" w:rsidRPr="00B2631A" w:rsidRDefault="002864B2" w:rsidP="00B2631A">
      <w:pPr>
        <w:pStyle w:val="Body"/>
        <w:rPr>
          <w:rFonts w:ascii="Arial" w:hAnsi="Arial" w:cs="Arial"/>
        </w:rPr>
      </w:pPr>
      <w:r>
        <w:rPr>
          <w:rFonts w:ascii="Times New Roman" w:hAnsi="Times New Roman"/>
          <w:i/>
          <w:iCs/>
          <w:noProof/>
          <w:color w:val="000000"/>
          <w:sz w:val="24"/>
          <w:szCs w:val="24"/>
        </w:rPr>
        <w:drawing>
          <wp:inline distT="0" distB="0" distL="0" distR="0" wp14:anchorId="525A905D" wp14:editId="15D3CADC">
            <wp:extent cx="5212080" cy="2632227"/>
            <wp:effectExtent l="0" t="0" r="0" b="0"/>
            <wp:docPr id="1591733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t="23706"/>
                    <a:stretch/>
                  </pic:blipFill>
                  <pic:spPr bwMode="auto">
                    <a:xfrm>
                      <a:off x="0" y="0"/>
                      <a:ext cx="5212080" cy="2632227"/>
                    </a:xfrm>
                    <a:prstGeom prst="rect">
                      <a:avLst/>
                    </a:prstGeom>
                    <a:noFill/>
                    <a:ln>
                      <a:noFill/>
                    </a:ln>
                    <a:extLst>
                      <a:ext uri="{53640926-AAD7-44D8-BBD7-CCE9431645EC}">
                        <a14:shadowObscured xmlns:a14="http://schemas.microsoft.com/office/drawing/2010/main"/>
                      </a:ext>
                    </a:extLst>
                  </pic:spPr>
                </pic:pic>
              </a:graphicData>
            </a:graphic>
          </wp:inline>
        </w:drawing>
      </w:r>
    </w:p>
    <w:p w14:paraId="592F490D" w14:textId="65CCE565" w:rsidR="00B2631A" w:rsidRPr="002259B1" w:rsidRDefault="00B2631A" w:rsidP="00B2631A">
      <w:pPr>
        <w:pStyle w:val="Body"/>
        <w:rPr>
          <w:rFonts w:ascii="Arial" w:hAnsi="Arial" w:cs="Arial"/>
          <w:b/>
          <w:bCs/>
        </w:rPr>
      </w:pPr>
      <w:r w:rsidRPr="002259B1">
        <w:rPr>
          <w:rFonts w:ascii="Arial" w:hAnsi="Arial" w:cs="Arial"/>
          <w:b/>
          <w:bCs/>
        </w:rPr>
        <w:t xml:space="preserve"> Fig. 1</w:t>
      </w:r>
      <w:r w:rsidR="004F2FEC" w:rsidRPr="002259B1">
        <w:rPr>
          <w:rFonts w:ascii="Arial" w:hAnsi="Arial" w:cs="Arial"/>
          <w:b/>
          <w:bCs/>
        </w:rPr>
        <w:t>.</w:t>
      </w:r>
      <w:r w:rsidRPr="002259B1">
        <w:rPr>
          <w:rFonts w:ascii="Arial" w:hAnsi="Arial" w:cs="Arial"/>
          <w:b/>
          <w:bCs/>
        </w:rPr>
        <w:t xml:space="preserve"> Antimicrobial activity of DHB-Pz against selected bacterial strains</w:t>
      </w:r>
    </w:p>
    <w:p w14:paraId="06125F0D" w14:textId="2F894A02" w:rsidR="00B2631A" w:rsidRPr="00B2631A" w:rsidRDefault="00B2631A" w:rsidP="00B2631A">
      <w:pPr>
        <w:pStyle w:val="Body"/>
        <w:rPr>
          <w:rFonts w:ascii="Arial" w:hAnsi="Arial" w:cs="Arial"/>
        </w:rPr>
      </w:pPr>
      <w:r w:rsidRPr="00B2631A">
        <w:rPr>
          <w:rFonts w:ascii="Arial" w:hAnsi="Arial" w:cs="Arial"/>
        </w:rPr>
        <w:lastRenderedPageBreak/>
        <w:t xml:space="preserve">  </w:t>
      </w:r>
      <w:r w:rsidR="002864B2">
        <w:rPr>
          <w:noProof/>
        </w:rPr>
        <w:drawing>
          <wp:inline distT="0" distB="0" distL="0" distR="0" wp14:anchorId="40E9074B" wp14:editId="46C9968C">
            <wp:extent cx="4394068" cy="3164186"/>
            <wp:effectExtent l="0" t="0" r="0" b="0"/>
            <wp:docPr id="1198508883" name="Chart 1">
              <a:extLst xmlns:a="http://schemas.openxmlformats.org/drawingml/2006/main">
                <a:ext uri="{FF2B5EF4-FFF2-40B4-BE49-F238E27FC236}">
                  <a16:creationId xmlns:a16="http://schemas.microsoft.com/office/drawing/2014/main" id="{61FD437C-15AF-D35B-1DD2-736111E609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D53BB6" w14:textId="09622905" w:rsidR="00B2631A" w:rsidRPr="002259B1" w:rsidRDefault="00B2631A" w:rsidP="00B2631A">
      <w:pPr>
        <w:pStyle w:val="Body"/>
        <w:rPr>
          <w:rFonts w:ascii="Arial" w:hAnsi="Arial" w:cs="Arial"/>
          <w:b/>
          <w:bCs/>
        </w:rPr>
      </w:pPr>
      <w:r w:rsidRPr="002259B1">
        <w:rPr>
          <w:rFonts w:ascii="Arial" w:hAnsi="Arial" w:cs="Arial"/>
          <w:b/>
          <w:bCs/>
        </w:rPr>
        <w:t>Fig. 2</w:t>
      </w:r>
      <w:r w:rsidR="004F2FEC" w:rsidRPr="002259B1">
        <w:rPr>
          <w:rFonts w:ascii="Arial" w:hAnsi="Arial" w:cs="Arial"/>
          <w:b/>
          <w:bCs/>
        </w:rPr>
        <w:t>.</w:t>
      </w:r>
      <w:r w:rsidRPr="002259B1">
        <w:rPr>
          <w:rFonts w:ascii="Arial" w:hAnsi="Arial" w:cs="Arial"/>
          <w:b/>
          <w:bCs/>
        </w:rPr>
        <w:t xml:space="preserve"> Antimicrobial activity of DHB-Pz against selected fungal strains</w:t>
      </w:r>
    </w:p>
    <w:p w14:paraId="0F99B7EA" w14:textId="77777777" w:rsidR="00B2631A" w:rsidRPr="002864B2" w:rsidRDefault="00B2631A" w:rsidP="004F2FEC">
      <w:pPr>
        <w:pStyle w:val="Body"/>
        <w:jc w:val="left"/>
        <w:rPr>
          <w:rFonts w:ascii="Arial" w:hAnsi="Arial" w:cs="Arial"/>
          <w:b/>
          <w:bCs/>
          <w:sz w:val="22"/>
          <w:szCs w:val="22"/>
        </w:rPr>
      </w:pPr>
      <w:r w:rsidRPr="002864B2">
        <w:rPr>
          <w:rFonts w:ascii="Arial" w:hAnsi="Arial" w:cs="Arial"/>
          <w:b/>
          <w:bCs/>
          <w:sz w:val="22"/>
          <w:szCs w:val="22"/>
        </w:rPr>
        <w:t>3.6 Minimum inhibitory concentration (MIC)</w:t>
      </w:r>
    </w:p>
    <w:p w14:paraId="57FE427A" w14:textId="660F9060" w:rsidR="00B2631A" w:rsidRPr="00B2631A" w:rsidRDefault="00B2631A" w:rsidP="00B2631A">
      <w:pPr>
        <w:pStyle w:val="Body"/>
        <w:rPr>
          <w:rFonts w:ascii="Arial" w:hAnsi="Arial" w:cs="Arial"/>
        </w:rPr>
      </w:pPr>
      <w:r w:rsidRPr="00B2631A">
        <w:rPr>
          <w:rFonts w:ascii="Arial" w:hAnsi="Arial" w:cs="Arial"/>
        </w:rPr>
        <w:t xml:space="preserve">MIC is a critical parameter that determines the lowest concentration of an antimicrobial agent required to completely inhibit the visible growth of a microorganism. MIC determination (Fig. 3) revealed that </w:t>
      </w:r>
      <w:r w:rsidRPr="002259B1">
        <w:rPr>
          <w:rFonts w:ascii="Arial" w:hAnsi="Arial" w:cs="Arial"/>
          <w:i/>
          <w:iCs/>
        </w:rPr>
        <w:t>Aspergillus niger</w:t>
      </w:r>
      <w:r w:rsidRPr="00B2631A">
        <w:rPr>
          <w:rFonts w:ascii="Arial" w:hAnsi="Arial" w:cs="Arial"/>
        </w:rPr>
        <w:t xml:space="preserve"> had the lowest MIC value of 0.312 mg/mL, followed by </w:t>
      </w:r>
      <w:r w:rsidRPr="002259B1">
        <w:rPr>
          <w:rFonts w:ascii="Arial" w:hAnsi="Arial" w:cs="Arial"/>
          <w:i/>
          <w:iCs/>
        </w:rPr>
        <w:t>Serratia sp</w:t>
      </w:r>
      <w:r w:rsidRPr="00B2631A">
        <w:rPr>
          <w:rFonts w:ascii="Arial" w:hAnsi="Arial" w:cs="Arial"/>
        </w:rPr>
        <w:t xml:space="preserve">., </w:t>
      </w:r>
      <w:r w:rsidRPr="002259B1">
        <w:rPr>
          <w:rFonts w:ascii="Arial" w:hAnsi="Arial" w:cs="Arial"/>
          <w:i/>
          <w:iCs/>
        </w:rPr>
        <w:t>Klebsiella sp</w:t>
      </w:r>
      <w:r w:rsidRPr="00B2631A">
        <w:rPr>
          <w:rFonts w:ascii="Arial" w:hAnsi="Arial" w:cs="Arial"/>
        </w:rPr>
        <w:t xml:space="preserve">., </w:t>
      </w:r>
      <w:r w:rsidRPr="002259B1">
        <w:rPr>
          <w:rFonts w:ascii="Arial" w:hAnsi="Arial" w:cs="Arial"/>
          <w:i/>
          <w:iCs/>
        </w:rPr>
        <w:t>Proteus sp</w:t>
      </w:r>
      <w:r w:rsidRPr="00B2631A">
        <w:rPr>
          <w:rFonts w:ascii="Arial" w:hAnsi="Arial" w:cs="Arial"/>
        </w:rPr>
        <w:t xml:space="preserve">., and </w:t>
      </w:r>
      <w:r w:rsidRPr="002259B1">
        <w:rPr>
          <w:rFonts w:ascii="Arial" w:hAnsi="Arial" w:cs="Arial"/>
          <w:i/>
          <w:iCs/>
        </w:rPr>
        <w:t>Candida albicans</w:t>
      </w:r>
      <w:r w:rsidRPr="00B2631A">
        <w:rPr>
          <w:rFonts w:ascii="Arial" w:hAnsi="Arial" w:cs="Arial"/>
        </w:rPr>
        <w:t xml:space="preserve"> (all at 0.625 mg/mL). </w:t>
      </w:r>
      <w:r w:rsidRPr="002259B1">
        <w:rPr>
          <w:rFonts w:ascii="Arial" w:hAnsi="Arial" w:cs="Arial"/>
          <w:i/>
          <w:iCs/>
        </w:rPr>
        <w:t>Bacillus subtilis</w:t>
      </w:r>
      <w:r w:rsidRPr="00B2631A">
        <w:rPr>
          <w:rFonts w:ascii="Arial" w:hAnsi="Arial" w:cs="Arial"/>
        </w:rPr>
        <w:t xml:space="preserve"> showed a higher MIC value of 5 mg/mL. These findings highlight that the Schiff base was more effective against Gram-negative bacteria and fungi than against Gram-positive species. When compared to literature reports of some antimicrobial agents (Parvekar et al., 2020; Qaralleh et al., 2020), the MIC values observed here are within a comparable range, validating the compound’s potency and therapeutic relevance. These results suggest that DHB-Pz can serve as a promising scaffold for further development of antimicrobial agents.     </w:t>
      </w:r>
    </w:p>
    <w:p w14:paraId="50491B1C" w14:textId="5EAFC332" w:rsidR="00B2631A" w:rsidRPr="00B2631A" w:rsidRDefault="00B2631A" w:rsidP="00B2631A">
      <w:pPr>
        <w:pStyle w:val="Body"/>
        <w:rPr>
          <w:rFonts w:ascii="Arial" w:hAnsi="Arial" w:cs="Arial"/>
        </w:rPr>
      </w:pPr>
      <w:r w:rsidRPr="00B2631A">
        <w:rPr>
          <w:rFonts w:ascii="Arial" w:hAnsi="Arial" w:cs="Arial"/>
        </w:rPr>
        <w:lastRenderedPageBreak/>
        <w:t xml:space="preserve">   </w:t>
      </w:r>
      <w:r w:rsidR="002259B1">
        <w:rPr>
          <w:noProof/>
        </w:rPr>
        <w:drawing>
          <wp:inline distT="0" distB="0" distL="0" distR="0" wp14:anchorId="17E0396C" wp14:editId="10079910">
            <wp:extent cx="4943475" cy="3292476"/>
            <wp:effectExtent l="0" t="0" r="0" b="0"/>
            <wp:docPr id="923203445" name="Chart 1">
              <a:extLst xmlns:a="http://schemas.openxmlformats.org/drawingml/2006/main">
                <a:ext uri="{FF2B5EF4-FFF2-40B4-BE49-F238E27FC236}">
                  <a16:creationId xmlns:a16="http://schemas.microsoft.com/office/drawing/2014/main" id="{DEB6033B-84BB-C6C3-D7A8-4E1400F591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B2631A">
        <w:rPr>
          <w:rFonts w:ascii="Arial" w:hAnsi="Arial" w:cs="Arial"/>
        </w:rPr>
        <w:t xml:space="preserve">       </w:t>
      </w:r>
    </w:p>
    <w:p w14:paraId="5D8BEEA2" w14:textId="5D4AB7F1" w:rsidR="00B2631A" w:rsidRPr="002259B1" w:rsidRDefault="00B2631A" w:rsidP="00B2631A">
      <w:pPr>
        <w:pStyle w:val="Body"/>
        <w:spacing w:after="0"/>
        <w:rPr>
          <w:rFonts w:ascii="Arial" w:hAnsi="Arial" w:cs="Arial"/>
          <w:b/>
          <w:bCs/>
        </w:rPr>
      </w:pPr>
      <w:r w:rsidRPr="002259B1">
        <w:rPr>
          <w:rFonts w:ascii="Arial" w:hAnsi="Arial" w:cs="Arial"/>
          <w:b/>
          <w:bCs/>
        </w:rPr>
        <w:t>Fig. 3</w:t>
      </w:r>
      <w:r w:rsidR="002259B1" w:rsidRPr="002259B1">
        <w:rPr>
          <w:rFonts w:ascii="Arial" w:hAnsi="Arial" w:cs="Arial"/>
          <w:b/>
          <w:bCs/>
        </w:rPr>
        <w:t>.</w:t>
      </w:r>
      <w:r w:rsidRPr="002259B1">
        <w:rPr>
          <w:rFonts w:ascii="Arial" w:hAnsi="Arial" w:cs="Arial"/>
          <w:b/>
          <w:bCs/>
        </w:rPr>
        <w:t xml:space="preserve"> Minimum inhibitory concentration of DHB-Pz on test microorganisms</w:t>
      </w:r>
    </w:p>
    <w:p w14:paraId="5AE4B0A0" w14:textId="77777777" w:rsidR="002259B1" w:rsidRDefault="002259B1" w:rsidP="00B2631A">
      <w:pPr>
        <w:pStyle w:val="Body"/>
        <w:spacing w:after="0"/>
        <w:rPr>
          <w:rFonts w:ascii="Arial" w:hAnsi="Arial" w:cs="Arial"/>
        </w:rPr>
      </w:pPr>
    </w:p>
    <w:p w14:paraId="212B7E5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C99CF68" w14:textId="77777777" w:rsidR="00790ADA" w:rsidRPr="00FB3A86" w:rsidRDefault="00790ADA" w:rsidP="00441B6F">
      <w:pPr>
        <w:pStyle w:val="ConcHead"/>
        <w:spacing w:after="0"/>
        <w:jc w:val="both"/>
        <w:rPr>
          <w:rFonts w:ascii="Arial" w:hAnsi="Arial" w:cs="Arial"/>
        </w:rPr>
      </w:pPr>
    </w:p>
    <w:p w14:paraId="55F43060" w14:textId="49509EBC" w:rsidR="00A16B0C" w:rsidRPr="00A16B0C" w:rsidRDefault="00A16B0C" w:rsidP="00A16B0C">
      <w:pPr>
        <w:pStyle w:val="Body"/>
        <w:rPr>
          <w:rFonts w:ascii="Arial" w:hAnsi="Arial" w:cs="Arial"/>
        </w:rPr>
      </w:pPr>
      <w:r w:rsidRPr="00A16B0C">
        <w:rPr>
          <w:rFonts w:ascii="Arial" w:hAnsi="Arial" w:cs="Arial"/>
        </w:rPr>
        <w:t>A Schiff base (DHB-Pz) was successfully synthesized via condensation of 5-amino-3-methyl-1-phenylpyrazole with 2,4-dihydroxybenzaldehyde. The compound was characterized using elemental analysis, FTIR, UV-Vis spectroscopy, and conductivity measurements, all of which supported the proposed structure. The Schiff base exhibited good solubility in polar organic solvents and was found to be non-electrolyte in nature.</w:t>
      </w:r>
    </w:p>
    <w:p w14:paraId="13F0AE11" w14:textId="77777777" w:rsidR="00A16B0C" w:rsidRPr="00A16B0C" w:rsidRDefault="00A16B0C" w:rsidP="00A16B0C">
      <w:pPr>
        <w:pStyle w:val="Body"/>
        <w:rPr>
          <w:rFonts w:ascii="Arial" w:hAnsi="Arial" w:cs="Arial"/>
        </w:rPr>
      </w:pPr>
      <w:r w:rsidRPr="00A16B0C">
        <w:rPr>
          <w:rFonts w:ascii="Arial" w:hAnsi="Arial" w:cs="Arial"/>
        </w:rPr>
        <w:t xml:space="preserve">Biological screening revealed broad-spectrum antimicrobial activity against both bacterial and fungal strains. Notably, the DHB-Pz demonstrated considerable inhibitory effects against </w:t>
      </w:r>
      <w:r w:rsidRPr="00A16B0C">
        <w:rPr>
          <w:rFonts w:ascii="Arial" w:hAnsi="Arial" w:cs="Arial"/>
          <w:i/>
          <w:iCs/>
        </w:rPr>
        <w:t>Proteus sp</w:t>
      </w:r>
      <w:r w:rsidRPr="00A16B0C">
        <w:rPr>
          <w:rFonts w:ascii="Arial" w:hAnsi="Arial" w:cs="Arial"/>
        </w:rPr>
        <w:t xml:space="preserve">., </w:t>
      </w:r>
      <w:r w:rsidRPr="00A16B0C">
        <w:rPr>
          <w:rFonts w:ascii="Arial" w:hAnsi="Arial" w:cs="Arial"/>
          <w:i/>
          <w:iCs/>
        </w:rPr>
        <w:t>Klebsiella sp</w:t>
      </w:r>
      <w:r w:rsidRPr="00A16B0C">
        <w:rPr>
          <w:rFonts w:ascii="Arial" w:hAnsi="Arial" w:cs="Arial"/>
        </w:rPr>
        <w:t xml:space="preserve">., and </w:t>
      </w:r>
      <w:r w:rsidRPr="00A16B0C">
        <w:rPr>
          <w:rFonts w:ascii="Arial" w:hAnsi="Arial" w:cs="Arial"/>
          <w:i/>
          <w:iCs/>
        </w:rPr>
        <w:t>Candida albicans</w:t>
      </w:r>
      <w:r w:rsidRPr="00A16B0C">
        <w:rPr>
          <w:rFonts w:ascii="Arial" w:hAnsi="Arial" w:cs="Arial"/>
        </w:rPr>
        <w:t>, with MIC values ranging from 0.312 to 5 mg/mL. DHB-Pz's activity was comparable to standard antibiotics, reinforcing its therapeutic potential.</w:t>
      </w:r>
    </w:p>
    <w:p w14:paraId="583C3C6D" w14:textId="6F660E53" w:rsidR="00A16B0C" w:rsidRDefault="00A16B0C" w:rsidP="00A16B0C">
      <w:pPr>
        <w:pStyle w:val="Body"/>
        <w:spacing w:after="0"/>
        <w:rPr>
          <w:rFonts w:ascii="Arial" w:hAnsi="Arial" w:cs="Arial"/>
        </w:rPr>
      </w:pPr>
      <w:r w:rsidRPr="00A16B0C">
        <w:rPr>
          <w:rFonts w:ascii="Arial" w:hAnsi="Arial" w:cs="Arial"/>
        </w:rPr>
        <w:t>The promising antimicrobial performance of DHB-Pz may be attributed to its conjugated planar structure, phenolic hydroxyl groups, and pyrazole moiety, which may enhance membrane interactions. These findings indicate that DHB-Pz is a viable candidate for further development as an antimicrobial agent</w:t>
      </w:r>
      <w:r>
        <w:rPr>
          <w:rFonts w:ascii="Arial" w:hAnsi="Arial" w:cs="Arial"/>
        </w:rPr>
        <w:t>.</w:t>
      </w:r>
    </w:p>
    <w:p w14:paraId="589D6158" w14:textId="77777777" w:rsidR="00A16B0C" w:rsidRDefault="00A16B0C" w:rsidP="00A16B0C">
      <w:pPr>
        <w:pStyle w:val="Body"/>
        <w:spacing w:after="0"/>
        <w:rPr>
          <w:rFonts w:ascii="Arial" w:hAnsi="Arial" w:cs="Arial"/>
        </w:rPr>
      </w:pPr>
    </w:p>
    <w:p w14:paraId="7A7B801B" w14:textId="77777777" w:rsidR="00A16B0C" w:rsidRDefault="00A16B0C" w:rsidP="00441B6F">
      <w:pPr>
        <w:pStyle w:val="Body"/>
        <w:spacing w:after="0"/>
        <w:rPr>
          <w:rFonts w:ascii="Arial" w:hAnsi="Arial" w:cs="Arial"/>
        </w:rPr>
      </w:pPr>
    </w:p>
    <w:p w14:paraId="1BEB67E1" w14:textId="77777777" w:rsidR="00703D5D" w:rsidRDefault="00703D5D" w:rsidP="00441B6F">
      <w:pPr>
        <w:pStyle w:val="ReferHead"/>
        <w:spacing w:after="0"/>
        <w:jc w:val="both"/>
        <w:rPr>
          <w:rFonts w:ascii="Arial" w:hAnsi="Arial" w:cs="Arial"/>
          <w:b w:val="0"/>
          <w:caps w:val="0"/>
          <w:sz w:val="20"/>
          <w:u w:val="single"/>
        </w:rPr>
      </w:pPr>
    </w:p>
    <w:p w14:paraId="5C5C9C23" w14:textId="77777777" w:rsidR="00703D5D" w:rsidRPr="00703D5D" w:rsidRDefault="00703D5D" w:rsidP="00703D5D">
      <w:pPr>
        <w:spacing w:after="200" w:line="276" w:lineRule="auto"/>
        <w:jc w:val="both"/>
        <w:outlineLvl w:val="0"/>
        <w:rPr>
          <w:rFonts w:ascii="Arial" w:eastAsiaTheme="minorEastAsia" w:hAnsi="Arial" w:cs="Arial"/>
          <w:sz w:val="22"/>
          <w:szCs w:val="22"/>
          <w:lang w:val="en-GB" w:eastAsia="en-GB"/>
        </w:rPr>
      </w:pPr>
      <w:r w:rsidRPr="00703D5D">
        <w:rPr>
          <w:rFonts w:ascii="Arial" w:eastAsiaTheme="minorEastAsia" w:hAnsi="Arial" w:cs="Arial"/>
          <w:b/>
          <w:bCs/>
          <w:sz w:val="22"/>
          <w:szCs w:val="22"/>
          <w:lang w:val="en-GB" w:eastAsia="en-GB"/>
        </w:rPr>
        <w:t>COMPETING INTERESTS DISCLAIMER:</w:t>
      </w:r>
    </w:p>
    <w:p w14:paraId="67DEDA6E" w14:textId="77777777" w:rsidR="00703D5D" w:rsidRPr="00703D5D" w:rsidRDefault="00703D5D" w:rsidP="00703D5D">
      <w:pPr>
        <w:spacing w:after="200" w:line="276" w:lineRule="auto"/>
        <w:rPr>
          <w:rFonts w:asciiTheme="minorHAnsi" w:eastAsiaTheme="minorEastAsia" w:hAnsiTheme="minorHAnsi" w:cstheme="minorBidi"/>
          <w:sz w:val="22"/>
          <w:szCs w:val="22"/>
          <w:lang w:val="en-GB" w:eastAsia="en-GB"/>
        </w:rPr>
      </w:pPr>
      <w:r w:rsidRPr="00703D5D">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03FA0F92" w14:textId="77777777" w:rsidR="00703D5D" w:rsidRDefault="00703D5D" w:rsidP="00441B6F">
      <w:pPr>
        <w:pStyle w:val="ReferHead"/>
        <w:spacing w:after="0"/>
        <w:jc w:val="both"/>
        <w:rPr>
          <w:rFonts w:ascii="Arial" w:hAnsi="Arial" w:cs="Arial"/>
          <w:b w:val="0"/>
          <w:caps w:val="0"/>
          <w:sz w:val="20"/>
          <w:u w:val="single"/>
        </w:rPr>
      </w:pPr>
    </w:p>
    <w:p w14:paraId="3E11C1A5" w14:textId="77777777" w:rsidR="0066398A" w:rsidRDefault="0066398A" w:rsidP="00441B6F">
      <w:pPr>
        <w:pStyle w:val="ReferHead"/>
        <w:spacing w:after="0"/>
        <w:jc w:val="both"/>
        <w:rPr>
          <w:rFonts w:ascii="Arial" w:hAnsi="Arial" w:cs="Arial"/>
          <w:b w:val="0"/>
          <w:caps w:val="0"/>
          <w:sz w:val="20"/>
        </w:rPr>
      </w:pPr>
    </w:p>
    <w:p w14:paraId="3D97B2BE" w14:textId="77777777" w:rsidR="00860000" w:rsidRDefault="00860000" w:rsidP="00441B6F">
      <w:pPr>
        <w:pStyle w:val="ReferHead"/>
        <w:spacing w:after="0"/>
        <w:jc w:val="both"/>
        <w:rPr>
          <w:rFonts w:ascii="Arial" w:hAnsi="Arial" w:cs="Arial"/>
        </w:rPr>
      </w:pPr>
    </w:p>
    <w:p w14:paraId="7FB0F19F" w14:textId="77777777" w:rsidR="00B01FCD" w:rsidRDefault="00B01FCD" w:rsidP="00441B6F">
      <w:pPr>
        <w:pStyle w:val="ReferHead"/>
        <w:spacing w:after="0"/>
        <w:jc w:val="both"/>
        <w:rPr>
          <w:rFonts w:ascii="Arial" w:hAnsi="Arial" w:cs="Arial"/>
        </w:rPr>
      </w:pPr>
      <w:commentRangeStart w:id="6"/>
      <w:r w:rsidRPr="00FB3A86">
        <w:rPr>
          <w:rFonts w:ascii="Arial" w:hAnsi="Arial" w:cs="Arial"/>
        </w:rPr>
        <w:t>References</w:t>
      </w:r>
      <w:commentRangeEnd w:id="6"/>
      <w:r w:rsidR="006E1235">
        <w:rPr>
          <w:rStyle w:val="a9"/>
          <w:rFonts w:ascii="Times New Roman" w:hAnsi="Times New Roman"/>
          <w:b w:val="0"/>
          <w:caps w:val="0"/>
          <w:lang w:val="nb-NO" w:eastAsia="nb-NO"/>
        </w:rPr>
        <w:commentReference w:id="6"/>
      </w:r>
    </w:p>
    <w:p w14:paraId="4A69C29A" w14:textId="30498D9E" w:rsidR="0066398A" w:rsidRDefault="0066398A" w:rsidP="00441B6F">
      <w:pPr>
        <w:pStyle w:val="Body"/>
        <w:spacing w:after="0"/>
      </w:pPr>
    </w:p>
    <w:p w14:paraId="18B47F4B" w14:textId="77777777" w:rsidR="0066398A" w:rsidRPr="00A70615" w:rsidRDefault="0066398A" w:rsidP="00A814F0">
      <w:pPr>
        <w:tabs>
          <w:tab w:val="left" w:pos="947"/>
        </w:tabs>
        <w:ind w:left="547" w:hanging="547"/>
        <w:jc w:val="both"/>
        <w:rPr>
          <w:rFonts w:ascii="Arial" w:hAnsi="Arial" w:cs="Arial"/>
        </w:rPr>
      </w:pPr>
      <w:r w:rsidRPr="00D8537B">
        <w:rPr>
          <w:rFonts w:ascii="Arial" w:hAnsi="Arial" w:cs="Arial"/>
        </w:rPr>
        <w:t xml:space="preserve">Aly, M. M., Mohamed, Y. A., El-Bayouki, K. A. M., Basyouni, W. M. &amp; Abbas, S. Y. (2010). </w:t>
      </w:r>
      <w:r w:rsidRPr="00A70615">
        <w:rPr>
          <w:rFonts w:ascii="Arial" w:hAnsi="Arial" w:cs="Arial"/>
        </w:rPr>
        <w:t xml:space="preserve"> </w:t>
      </w:r>
      <w:r w:rsidRPr="00D8537B">
        <w:rPr>
          <w:rFonts w:ascii="Arial" w:hAnsi="Arial" w:cs="Arial"/>
        </w:rPr>
        <w:t xml:space="preserve">Synthesis of some new 4(3 H)-quinazolinone-2-carboxaldehyde thiosemicarbazones and their metal complexes and a study on their anticonvulsant analgesic, cytotoxic and antimicrobial activities. </w:t>
      </w:r>
      <w:r w:rsidRPr="00D8537B">
        <w:rPr>
          <w:rFonts w:ascii="Arial" w:hAnsi="Arial" w:cs="Arial"/>
          <w:i/>
          <w:iCs/>
        </w:rPr>
        <w:t>European Journal of Medicinal Chemistry</w:t>
      </w:r>
      <w:r w:rsidRPr="00D8537B">
        <w:rPr>
          <w:rFonts w:ascii="Arial" w:hAnsi="Arial" w:cs="Arial"/>
        </w:rPr>
        <w:t>, 45(10), 3365–3373.</w:t>
      </w:r>
    </w:p>
    <w:p w14:paraId="6B52B99F" w14:textId="77777777" w:rsidR="0066398A" w:rsidRPr="00A70615" w:rsidRDefault="0066398A" w:rsidP="00A814F0">
      <w:pPr>
        <w:tabs>
          <w:tab w:val="left" w:pos="0"/>
          <w:tab w:val="left" w:pos="947"/>
        </w:tabs>
        <w:ind w:left="547" w:hanging="547"/>
        <w:jc w:val="both"/>
        <w:rPr>
          <w:rFonts w:ascii="Arial" w:hAnsi="Arial" w:cs="Arial"/>
        </w:rPr>
      </w:pPr>
      <w:r w:rsidRPr="007C2883">
        <w:rPr>
          <w:rFonts w:ascii="Arial" w:hAnsi="Arial" w:cs="Arial"/>
        </w:rPr>
        <w:t xml:space="preserve">Aragón-Muriel, A., Liscano, Y., Morales-Morales, D., Polo-Cerón, D. &amp; Oñate-Garzón, J. (2021). A study of the interaction of a new benzimidazole Schiff base with synthetic and simulated membrane models of bacterial and mammalian membranes. </w:t>
      </w:r>
      <w:r w:rsidRPr="007C2883">
        <w:rPr>
          <w:rFonts w:ascii="Arial" w:hAnsi="Arial" w:cs="Arial"/>
          <w:i/>
          <w:iCs/>
        </w:rPr>
        <w:t>Membranes (Basel)</w:t>
      </w:r>
      <w:r w:rsidRPr="007C2883">
        <w:rPr>
          <w:rFonts w:ascii="Arial" w:hAnsi="Arial" w:cs="Arial"/>
        </w:rPr>
        <w:t>, 11(6), 449.</w:t>
      </w:r>
    </w:p>
    <w:p w14:paraId="696B4C93" w14:textId="543E0BAC" w:rsidR="0066398A" w:rsidRPr="00A70615" w:rsidRDefault="0066398A" w:rsidP="00A814F0">
      <w:pPr>
        <w:tabs>
          <w:tab w:val="left" w:pos="0"/>
          <w:tab w:val="left" w:pos="947"/>
        </w:tabs>
        <w:ind w:left="547" w:hanging="547"/>
        <w:jc w:val="both"/>
        <w:rPr>
          <w:rFonts w:ascii="Arial" w:hAnsi="Arial" w:cs="Arial"/>
        </w:rPr>
      </w:pPr>
      <w:r w:rsidRPr="0033222A">
        <w:rPr>
          <w:rFonts w:ascii="Arial" w:hAnsi="Arial" w:cs="Arial"/>
        </w:rPr>
        <w:t xml:space="preserve">Bashir, A. &amp; Siraj, I. T. (2021). Synthesis, characterization and antimicrobial studies of Schiff base derived from the reaction of 2-thiophenecarboxaldehyde and ethylenediamine and its metal (II) complexes. </w:t>
      </w:r>
      <w:r w:rsidRPr="0033222A">
        <w:rPr>
          <w:rFonts w:ascii="Arial" w:hAnsi="Arial" w:cs="Arial"/>
          <w:i/>
          <w:iCs/>
        </w:rPr>
        <w:t>ChemSearch Journal</w:t>
      </w:r>
      <w:r w:rsidRPr="0033222A">
        <w:rPr>
          <w:rFonts w:ascii="Arial" w:hAnsi="Arial" w:cs="Arial"/>
        </w:rPr>
        <w:t>, 12(1), 143–148.</w:t>
      </w:r>
    </w:p>
    <w:p w14:paraId="546593A5"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Bharti, S. K., Sharma, A., Kumar, A. &amp; Singh, S. K. (2018). Synthesis, characterization and antimicrobial activities of Mo(0) carbonyl complexes with Schiff base ligands derived from pyrazolone. </w:t>
      </w:r>
      <w:r w:rsidRPr="0033222A">
        <w:rPr>
          <w:rFonts w:ascii="Arial" w:hAnsi="Arial" w:cs="Arial"/>
          <w:i/>
          <w:iCs/>
        </w:rPr>
        <w:t>RSC Advances</w:t>
      </w:r>
      <w:r w:rsidRPr="0033222A">
        <w:rPr>
          <w:rFonts w:ascii="Arial" w:hAnsi="Arial" w:cs="Arial"/>
        </w:rPr>
        <w:t>, 8(58), 33852–33863.</w:t>
      </w:r>
    </w:p>
    <w:p w14:paraId="57DDFE87" w14:textId="77777777" w:rsidR="0066398A" w:rsidRPr="00A70615" w:rsidRDefault="0066398A" w:rsidP="00A814F0">
      <w:pPr>
        <w:tabs>
          <w:tab w:val="left" w:pos="947"/>
        </w:tabs>
        <w:ind w:left="547" w:hanging="547"/>
        <w:jc w:val="both"/>
        <w:rPr>
          <w:rFonts w:ascii="Arial" w:hAnsi="Arial" w:cs="Arial"/>
        </w:rPr>
      </w:pPr>
      <w:r w:rsidRPr="00D8537B">
        <w:rPr>
          <w:rFonts w:ascii="Arial" w:hAnsi="Arial" w:cs="Arial"/>
        </w:rPr>
        <w:t xml:space="preserve">Chohan, Z. H., &amp; Supuran, C. T. (2001). In-vitro antibacterial, antifungal and cytotoxic activity of cobalt(II), copper(II), nickel(II) and zinc(II) complexes with Schiff bases derived from amino acids and aromatic aldehydes. </w:t>
      </w:r>
      <w:r w:rsidRPr="00D8537B">
        <w:rPr>
          <w:rFonts w:ascii="Arial" w:hAnsi="Arial" w:cs="Arial"/>
          <w:i/>
          <w:iCs/>
        </w:rPr>
        <w:t>Metal-Based Drugs</w:t>
      </w:r>
      <w:r w:rsidRPr="00D8537B">
        <w:rPr>
          <w:rFonts w:ascii="Arial" w:hAnsi="Arial" w:cs="Arial"/>
        </w:rPr>
        <w:t>, 8(2), 137–143.</w:t>
      </w:r>
    </w:p>
    <w:p w14:paraId="7A7A55DC" w14:textId="77777777" w:rsidR="0066398A" w:rsidRPr="00A70615" w:rsidRDefault="0066398A" w:rsidP="00A814F0">
      <w:pPr>
        <w:tabs>
          <w:tab w:val="left" w:pos="947"/>
        </w:tabs>
        <w:ind w:left="547" w:hanging="547"/>
        <w:jc w:val="both"/>
        <w:rPr>
          <w:rFonts w:ascii="Arial" w:hAnsi="Arial" w:cs="Arial"/>
        </w:rPr>
      </w:pPr>
      <w:r w:rsidRPr="00D8537B">
        <w:rPr>
          <w:rFonts w:ascii="Arial" w:hAnsi="Arial" w:cs="Arial"/>
        </w:rPr>
        <w:t xml:space="preserve">Jarrahpour, A., Khalili, D., De Clercq, E., Salami, C. &amp; Brunel, J. M. (2007). Synthesis, antibacterial, antifungal and antiviral activity evaluation of some new bis-Schiff bases of isatin and their derivatives. </w:t>
      </w:r>
      <w:r w:rsidRPr="00D8537B">
        <w:rPr>
          <w:rFonts w:ascii="Arial" w:hAnsi="Arial" w:cs="Arial"/>
          <w:i/>
          <w:iCs/>
        </w:rPr>
        <w:t>Molecules</w:t>
      </w:r>
      <w:r w:rsidRPr="00D8537B">
        <w:rPr>
          <w:rFonts w:ascii="Arial" w:hAnsi="Arial" w:cs="Arial"/>
        </w:rPr>
        <w:t>, 12(8), 1720–1730.</w:t>
      </w:r>
    </w:p>
    <w:p w14:paraId="423CCA70" w14:textId="77777777" w:rsidR="0066398A" w:rsidRPr="00A70615" w:rsidRDefault="0066398A" w:rsidP="00A814F0">
      <w:pPr>
        <w:tabs>
          <w:tab w:val="left" w:pos="947"/>
        </w:tabs>
        <w:ind w:left="547" w:hanging="547"/>
        <w:jc w:val="both"/>
        <w:rPr>
          <w:rFonts w:ascii="Arial" w:hAnsi="Arial" w:cs="Arial"/>
        </w:rPr>
      </w:pPr>
      <w:r w:rsidRPr="00D8537B">
        <w:rPr>
          <w:rFonts w:ascii="Arial" w:hAnsi="Arial" w:cs="Arial"/>
        </w:rPr>
        <w:t xml:space="preserve">Joseyphus, R. S. &amp; Sivasankaran, N. M. (2008). Antibacterial and antifungal studies on some Schiff base complexes of zinc(II). </w:t>
      </w:r>
      <w:r w:rsidRPr="00D8537B">
        <w:rPr>
          <w:rFonts w:ascii="Arial" w:hAnsi="Arial" w:cs="Arial"/>
          <w:i/>
          <w:iCs/>
        </w:rPr>
        <w:t>Mycobiology</w:t>
      </w:r>
      <w:r w:rsidRPr="00D8537B">
        <w:rPr>
          <w:rFonts w:ascii="Arial" w:hAnsi="Arial" w:cs="Arial"/>
        </w:rPr>
        <w:t>, 36(2), 93–98.</w:t>
      </w:r>
    </w:p>
    <w:p w14:paraId="312F0BB9"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Kaur, R. &amp; Pathania, A. S. (2021). Recent advances in pharmacological applications of pyrazole and pyrazoline derivatives. </w:t>
      </w:r>
      <w:r w:rsidRPr="0033222A">
        <w:rPr>
          <w:rFonts w:ascii="Arial" w:hAnsi="Arial" w:cs="Arial"/>
          <w:i/>
          <w:iCs/>
        </w:rPr>
        <w:t>Bioorganic Chemistry</w:t>
      </w:r>
      <w:r w:rsidRPr="0033222A">
        <w:rPr>
          <w:rFonts w:ascii="Arial" w:hAnsi="Arial" w:cs="Arial"/>
        </w:rPr>
        <w:t>, 116, 105313.</w:t>
      </w:r>
    </w:p>
    <w:p w14:paraId="74E1744C"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Kumar, K. &amp; Chopra, S. (2020). Pyrazole: A privileged scaffold for antimicrobial drug discovery. </w:t>
      </w:r>
      <w:r w:rsidRPr="0033222A">
        <w:rPr>
          <w:rFonts w:ascii="Arial" w:hAnsi="Arial" w:cs="Arial"/>
          <w:i/>
          <w:iCs/>
        </w:rPr>
        <w:t>European Journal of Medicinal Chemistry</w:t>
      </w:r>
      <w:r w:rsidRPr="0033222A">
        <w:rPr>
          <w:rFonts w:ascii="Arial" w:hAnsi="Arial" w:cs="Arial"/>
        </w:rPr>
        <w:t>, 207, 112742</w:t>
      </w:r>
      <w:r w:rsidRPr="00A70615">
        <w:rPr>
          <w:rFonts w:ascii="Arial" w:hAnsi="Arial" w:cs="Arial"/>
        </w:rPr>
        <w:t>.</w:t>
      </w:r>
    </w:p>
    <w:p w14:paraId="08377B61"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Mohamed, G. G. &amp; Omar, M. M. (2005). Synthesis and biological activity of Schiff base and its metal complexes derived from salicylaldehyde and 2-aminobenzoic acid. </w:t>
      </w:r>
      <w:r w:rsidRPr="0033222A">
        <w:rPr>
          <w:rFonts w:ascii="Arial" w:hAnsi="Arial" w:cs="Arial"/>
          <w:i/>
          <w:iCs/>
        </w:rPr>
        <w:t>Spectrochimica Acta Part A: Molecular and Biomolecular Spectroscopy</w:t>
      </w:r>
      <w:r w:rsidRPr="0033222A">
        <w:rPr>
          <w:rFonts w:ascii="Arial" w:hAnsi="Arial" w:cs="Arial"/>
        </w:rPr>
        <w:t>, 62(4–5), 1140–1150.</w:t>
      </w:r>
    </w:p>
    <w:p w14:paraId="5384DDC7" w14:textId="77777777" w:rsidR="0066398A" w:rsidRPr="007C2883" w:rsidRDefault="0066398A" w:rsidP="00A814F0">
      <w:pPr>
        <w:tabs>
          <w:tab w:val="left" w:pos="947"/>
        </w:tabs>
        <w:ind w:left="547" w:hanging="547"/>
        <w:jc w:val="both"/>
        <w:rPr>
          <w:rFonts w:ascii="Arial" w:hAnsi="Arial" w:cs="Arial"/>
        </w:rPr>
      </w:pPr>
      <w:r w:rsidRPr="007C2883">
        <w:rPr>
          <w:rFonts w:ascii="Arial" w:hAnsi="Arial" w:cs="Arial"/>
        </w:rPr>
        <w:t xml:space="preserve">Mounika, K., Pragathi, A. &amp; Gyanakumari, C. (2010). Synthesis, characterization and biological activity of a Schiff base derived from 3-ethoxy salicylaldehyde and 2-amino benzoic acid and its transition metal complexes. </w:t>
      </w:r>
      <w:r w:rsidRPr="007C2883">
        <w:rPr>
          <w:rFonts w:ascii="Arial" w:hAnsi="Arial" w:cs="Arial"/>
          <w:i/>
          <w:iCs/>
        </w:rPr>
        <w:t>Journal of Scientific Research</w:t>
      </w:r>
      <w:r w:rsidRPr="007C2883">
        <w:rPr>
          <w:rFonts w:ascii="Arial" w:hAnsi="Arial" w:cs="Arial"/>
        </w:rPr>
        <w:t>, 2(3), 513–524.</w:t>
      </w:r>
    </w:p>
    <w:p w14:paraId="2B3CF535" w14:textId="77777777" w:rsidR="0066398A" w:rsidRPr="0033222A" w:rsidRDefault="0066398A" w:rsidP="00A814F0">
      <w:pPr>
        <w:tabs>
          <w:tab w:val="left" w:pos="947"/>
        </w:tabs>
        <w:ind w:left="547" w:hanging="547"/>
        <w:jc w:val="both"/>
        <w:rPr>
          <w:rFonts w:ascii="Arial" w:hAnsi="Arial" w:cs="Arial"/>
        </w:rPr>
      </w:pPr>
      <w:r w:rsidRPr="0033222A">
        <w:rPr>
          <w:rFonts w:ascii="Arial" w:hAnsi="Arial" w:cs="Arial"/>
        </w:rPr>
        <w:t xml:space="preserve">Nassar, M. M., Abed El-Aziz, M. M. &amp; Eid, A. A. (2020). Synthesis and study of bio-efficacy of Schiff base ligands decorated by pyrazolone moieties. </w:t>
      </w:r>
      <w:r w:rsidRPr="0033222A">
        <w:rPr>
          <w:rFonts w:ascii="Arial" w:hAnsi="Arial" w:cs="Arial"/>
          <w:i/>
          <w:iCs/>
        </w:rPr>
        <w:t>Oriental Journal of Chemistry</w:t>
      </w:r>
      <w:r w:rsidRPr="0033222A">
        <w:rPr>
          <w:rFonts w:ascii="Arial" w:hAnsi="Arial" w:cs="Arial"/>
        </w:rPr>
        <w:t>, 36(2), 354–362.</w:t>
      </w:r>
    </w:p>
    <w:p w14:paraId="5C97CAE5"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Neochoritis, C. G., Tzitzikas, T. Z., Tsoleridis, C. A., Stephanatou, J. S., Kontogiorgis, C. A., Hadjipavlou-Litina, D. J., &amp; Papadopoulou, T. C. (2011). One-pot microwave assisted synthesis under green chemistry conditions, antioxidant screening and cytotoxicity assessments of benzimidazole Schiff bases and pyrimido[1,2-a]benzimidazol-3(4 H)-ones. </w:t>
      </w:r>
      <w:r w:rsidRPr="0033222A">
        <w:rPr>
          <w:rFonts w:ascii="Arial" w:hAnsi="Arial" w:cs="Arial"/>
          <w:i/>
          <w:iCs/>
        </w:rPr>
        <w:t>European Journal of Medicinal Chemistry</w:t>
      </w:r>
      <w:r w:rsidRPr="0033222A">
        <w:rPr>
          <w:rFonts w:ascii="Arial" w:hAnsi="Arial" w:cs="Arial"/>
        </w:rPr>
        <w:t>, 46(1), 297–306.</w:t>
      </w:r>
    </w:p>
    <w:p w14:paraId="464F8876" w14:textId="77777777" w:rsidR="0066398A" w:rsidRPr="007C2883" w:rsidRDefault="0066398A" w:rsidP="00A814F0">
      <w:pPr>
        <w:tabs>
          <w:tab w:val="left" w:pos="947"/>
        </w:tabs>
        <w:ind w:left="547" w:hanging="547"/>
        <w:jc w:val="both"/>
        <w:rPr>
          <w:rFonts w:ascii="Arial" w:hAnsi="Arial" w:cs="Arial"/>
        </w:rPr>
      </w:pPr>
      <w:r w:rsidRPr="007C2883">
        <w:rPr>
          <w:rFonts w:ascii="Arial" w:hAnsi="Arial" w:cs="Arial"/>
        </w:rPr>
        <w:t xml:space="preserve">Parvekar, P., Palaskar, J., Metgud, S., Maria, R. &amp; Dutta, S. (2020). The minimum inhibitory concentration (MIC) and minimum bactericidal concentration (MBC) of silver nanoparticles against </w:t>
      </w:r>
      <w:r w:rsidRPr="007C2883">
        <w:rPr>
          <w:rFonts w:ascii="Arial" w:hAnsi="Arial" w:cs="Arial"/>
          <w:i/>
          <w:iCs/>
        </w:rPr>
        <w:t>Staphylococcus aureus</w:t>
      </w:r>
      <w:r w:rsidRPr="007C2883">
        <w:rPr>
          <w:rFonts w:ascii="Arial" w:hAnsi="Arial" w:cs="Arial"/>
        </w:rPr>
        <w:t xml:space="preserve">. </w:t>
      </w:r>
      <w:r w:rsidRPr="007C2883">
        <w:rPr>
          <w:rFonts w:ascii="Arial" w:hAnsi="Arial" w:cs="Arial"/>
          <w:i/>
          <w:iCs/>
        </w:rPr>
        <w:t>Biomaterial Investigations in Dentistry</w:t>
      </w:r>
      <w:r w:rsidRPr="007C2883">
        <w:rPr>
          <w:rFonts w:ascii="Arial" w:hAnsi="Arial" w:cs="Arial"/>
        </w:rPr>
        <w:t>, 7(1), 105–109.</w:t>
      </w:r>
    </w:p>
    <w:p w14:paraId="5F99F4D3" w14:textId="77777777" w:rsidR="0066398A" w:rsidRPr="00A70615" w:rsidRDefault="0066398A" w:rsidP="00A814F0">
      <w:pPr>
        <w:tabs>
          <w:tab w:val="left" w:pos="947"/>
        </w:tabs>
        <w:ind w:left="547" w:hanging="547"/>
        <w:jc w:val="both"/>
        <w:rPr>
          <w:rFonts w:ascii="Arial" w:hAnsi="Arial" w:cs="Arial"/>
        </w:rPr>
      </w:pPr>
      <w:r w:rsidRPr="00D8537B">
        <w:rPr>
          <w:rFonts w:ascii="Arial" w:hAnsi="Arial" w:cs="Arial"/>
        </w:rPr>
        <w:lastRenderedPageBreak/>
        <w:t xml:space="preserve">Patel, R. N. &amp; Pandeya, K. B. (2011). Antimicrobial activity of Schiff bases of 4-aminoantipyrine and their metal complexes. </w:t>
      </w:r>
      <w:r w:rsidRPr="00D8537B">
        <w:rPr>
          <w:rFonts w:ascii="Arial" w:hAnsi="Arial" w:cs="Arial"/>
          <w:i/>
          <w:iCs/>
        </w:rPr>
        <w:t>Journal of the Serbian Chemical Society</w:t>
      </w:r>
      <w:r w:rsidRPr="00D8537B">
        <w:rPr>
          <w:rFonts w:ascii="Arial" w:hAnsi="Arial" w:cs="Arial"/>
        </w:rPr>
        <w:t>, 76(3), 289–296.</w:t>
      </w:r>
    </w:p>
    <w:p w14:paraId="30522064" w14:textId="77777777" w:rsidR="0066398A" w:rsidRPr="007C2883" w:rsidRDefault="0066398A" w:rsidP="00A814F0">
      <w:pPr>
        <w:tabs>
          <w:tab w:val="left" w:pos="947"/>
        </w:tabs>
        <w:ind w:left="547" w:hanging="547"/>
        <w:jc w:val="both"/>
        <w:rPr>
          <w:rFonts w:ascii="Arial" w:hAnsi="Arial" w:cs="Arial"/>
        </w:rPr>
      </w:pPr>
      <w:r w:rsidRPr="007C2883">
        <w:rPr>
          <w:rFonts w:ascii="Arial" w:hAnsi="Arial" w:cs="Arial"/>
        </w:rPr>
        <w:t xml:space="preserve">Qaralleh, H., Al-Limoun, M. O., Khlaifat, A., Khleifat, K. M., Al-Tawarah, N., Alsharafa, K. Y., &amp; et al. (2020). Antibacterial and antibiofilm activities of a traditional herbal formula against respiratory infection causing bacteria. </w:t>
      </w:r>
      <w:r w:rsidRPr="007C2883">
        <w:rPr>
          <w:rFonts w:ascii="Arial" w:hAnsi="Arial" w:cs="Arial"/>
          <w:i/>
          <w:iCs/>
        </w:rPr>
        <w:t>Tropical Journal of Natural Product Research</w:t>
      </w:r>
      <w:r w:rsidRPr="007C2883">
        <w:rPr>
          <w:rFonts w:ascii="Arial" w:hAnsi="Arial" w:cs="Arial"/>
        </w:rPr>
        <w:t>, 4(9), 527–534.</w:t>
      </w:r>
    </w:p>
    <w:p w14:paraId="59B158B8" w14:textId="77777777" w:rsidR="0066398A" w:rsidRPr="00A70615" w:rsidRDefault="0066398A" w:rsidP="00A814F0">
      <w:pPr>
        <w:tabs>
          <w:tab w:val="left" w:pos="947"/>
        </w:tabs>
        <w:ind w:left="547" w:hanging="547"/>
        <w:jc w:val="both"/>
        <w:rPr>
          <w:rFonts w:ascii="Arial" w:hAnsi="Arial" w:cs="Arial"/>
        </w:rPr>
      </w:pPr>
      <w:r w:rsidRPr="00D8537B">
        <w:rPr>
          <w:rFonts w:ascii="Arial" w:hAnsi="Arial" w:cs="Arial"/>
        </w:rPr>
        <w:t xml:space="preserve">Rollas, S. &amp; Küçükgüzel, Ş. G. (2007). Biological activities of hydrazone derivatives. </w:t>
      </w:r>
      <w:r w:rsidRPr="00D8537B">
        <w:rPr>
          <w:rFonts w:ascii="Arial" w:hAnsi="Arial" w:cs="Arial"/>
          <w:i/>
          <w:iCs/>
        </w:rPr>
        <w:t>Molecules</w:t>
      </w:r>
      <w:r w:rsidRPr="00D8537B">
        <w:rPr>
          <w:rFonts w:ascii="Arial" w:hAnsi="Arial" w:cs="Arial"/>
        </w:rPr>
        <w:t>, 12(8), 1910–1939.</w:t>
      </w:r>
    </w:p>
    <w:p w14:paraId="03A5741F"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Samadhiya, S. &amp; Halve, A. (2001). Synthetic utility of Schiff bases as potential herbicidal agents. </w:t>
      </w:r>
      <w:r w:rsidRPr="0033222A">
        <w:rPr>
          <w:rFonts w:ascii="Arial" w:hAnsi="Arial" w:cs="Arial"/>
          <w:i/>
          <w:iCs/>
        </w:rPr>
        <w:t>Oriental Journal of Chemistry</w:t>
      </w:r>
      <w:r w:rsidRPr="0033222A">
        <w:rPr>
          <w:rFonts w:ascii="Arial" w:hAnsi="Arial" w:cs="Arial"/>
        </w:rPr>
        <w:t>, 17(1), 119–122.</w:t>
      </w:r>
    </w:p>
    <w:p w14:paraId="7D64849A"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Sashidhara, K. V., Rosaiah, J. N., Bhatia, G. &amp; Saxena, J. K. (2008). Novel keto-enamine Schiff bases from 7-hydroxy-4-methyl-2-oxo-2 H-benzo[h]chromene-8,10-dicarbaldehyde as potential antidyslipidemic and antioxidant agents. </w:t>
      </w:r>
      <w:r w:rsidRPr="0033222A">
        <w:rPr>
          <w:rFonts w:ascii="Arial" w:hAnsi="Arial" w:cs="Arial"/>
          <w:i/>
          <w:iCs/>
        </w:rPr>
        <w:t>European Journal of Medicinal Chemistry</w:t>
      </w:r>
      <w:r w:rsidRPr="0033222A">
        <w:rPr>
          <w:rFonts w:ascii="Arial" w:hAnsi="Arial" w:cs="Arial"/>
        </w:rPr>
        <w:t>, 43(11), 2592–2596.</w:t>
      </w:r>
    </w:p>
    <w:p w14:paraId="144002C1"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Shaker, N. O., El-Salam, F. H. A., El-Sadek, B. M., Kandeel, E. M. &amp; Baker, S. A. (2011). Anionic Schiff base amphiphiles: Synthesis, surface, biocidal and antitumor activities. </w:t>
      </w:r>
      <w:r w:rsidRPr="0033222A">
        <w:rPr>
          <w:rFonts w:ascii="Arial" w:hAnsi="Arial" w:cs="Arial"/>
          <w:i/>
          <w:iCs/>
        </w:rPr>
        <w:t>Journal of American Science</w:t>
      </w:r>
      <w:r w:rsidRPr="0033222A">
        <w:rPr>
          <w:rFonts w:ascii="Arial" w:hAnsi="Arial" w:cs="Arial"/>
        </w:rPr>
        <w:t>, 7(5), 427–436.</w:t>
      </w:r>
    </w:p>
    <w:p w14:paraId="76B674DC"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Shettima, U. A., Ibrahim, M. &amp; Idongesit, E. E. (2024). Synthesis, characterization and antimicrobial studies of Schiff base ligand derived from salicylaldehyde and 2,4-dinitrophenylhydrazine and its metal complexes. </w:t>
      </w:r>
      <w:r w:rsidRPr="0033222A">
        <w:rPr>
          <w:rFonts w:ascii="Arial" w:hAnsi="Arial" w:cs="Arial"/>
          <w:i/>
          <w:iCs/>
        </w:rPr>
        <w:t>Nigerian Research Journal of Chemical Sciences</w:t>
      </w:r>
      <w:r w:rsidRPr="0033222A">
        <w:rPr>
          <w:rFonts w:ascii="Arial" w:hAnsi="Arial" w:cs="Arial"/>
        </w:rPr>
        <w:t>, 12(1), 219–234.</w:t>
      </w:r>
    </w:p>
    <w:p w14:paraId="50AE1874" w14:textId="77777777" w:rsidR="0066398A" w:rsidRPr="00D8537B" w:rsidRDefault="0066398A" w:rsidP="00A814F0">
      <w:pPr>
        <w:tabs>
          <w:tab w:val="left" w:pos="947"/>
        </w:tabs>
        <w:ind w:left="547" w:hanging="547"/>
        <w:jc w:val="both"/>
        <w:rPr>
          <w:rFonts w:ascii="Arial" w:hAnsi="Arial" w:cs="Arial"/>
        </w:rPr>
      </w:pPr>
      <w:r w:rsidRPr="00A70615">
        <w:rPr>
          <w:rFonts w:ascii="Arial" w:hAnsi="Arial" w:cs="Arial"/>
        </w:rPr>
        <w:t>Silverstein, R. M., Webster, F. X. &amp; Kiemle, D. J. (2005). Spectrometric identification of organic compounds (7th ed.). New York: Wiley.</w:t>
      </w:r>
    </w:p>
    <w:p w14:paraId="41ECEFC9" w14:textId="77777777" w:rsidR="0066398A" w:rsidRPr="00A70615" w:rsidRDefault="0066398A" w:rsidP="00A814F0">
      <w:pPr>
        <w:tabs>
          <w:tab w:val="left" w:pos="947"/>
        </w:tabs>
        <w:ind w:left="547" w:hanging="547"/>
        <w:jc w:val="both"/>
        <w:rPr>
          <w:rFonts w:ascii="Arial" w:hAnsi="Arial" w:cs="Arial"/>
        </w:rPr>
      </w:pPr>
      <w:r w:rsidRPr="00A70615">
        <w:rPr>
          <w:rFonts w:ascii="Arial" w:hAnsi="Arial" w:cs="Arial"/>
        </w:rPr>
        <w:t xml:space="preserve">Singh, K., Barwa, M. S. &amp; Tyagi, P. (2006). Synthesis, characterization and biological studies of Co(II), Ni(II), Cu(II) and Zn(II) complexes with bidentate Schiff bases derived from 2-aminobenzothiazole. </w:t>
      </w:r>
      <w:r w:rsidRPr="00A70615">
        <w:rPr>
          <w:rFonts w:ascii="Arial" w:hAnsi="Arial" w:cs="Arial"/>
          <w:i/>
          <w:iCs/>
        </w:rPr>
        <w:t>European Journal of Medicinal Chemistry</w:t>
      </w:r>
      <w:r w:rsidRPr="00A70615">
        <w:rPr>
          <w:rFonts w:ascii="Arial" w:hAnsi="Arial" w:cs="Arial"/>
        </w:rPr>
        <w:t>, 41(1), 147–153.</w:t>
      </w:r>
    </w:p>
    <w:p w14:paraId="39B7BD19"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Yong, J. N., Mainsah, E. N., Ntum, S. E., &amp; Ndifon, P. T. (2016). Synthesis, characterization and antibacterial studies of some isoniazid-derived Schiff bases. </w:t>
      </w:r>
      <w:r w:rsidRPr="0033222A">
        <w:rPr>
          <w:rFonts w:ascii="Arial" w:hAnsi="Arial" w:cs="Arial"/>
          <w:i/>
          <w:iCs/>
        </w:rPr>
        <w:t>International Research Journal of Pure and Applied Chemistry</w:t>
      </w:r>
      <w:r w:rsidRPr="0033222A">
        <w:rPr>
          <w:rFonts w:ascii="Arial" w:hAnsi="Arial" w:cs="Arial"/>
        </w:rPr>
        <w:t>, 12(1), 1–8.</w:t>
      </w:r>
    </w:p>
    <w:p w14:paraId="58DE4212"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Zhang, L., Jiang, H., Cao, X., Zhao, H., Wang, F., Cui, Y. &amp; Jiang, B. (2009). Chiral gossypol derivatives: Evaluation of their anticancer activity and molecular modeling. </w:t>
      </w:r>
      <w:r w:rsidRPr="0033222A">
        <w:rPr>
          <w:rFonts w:ascii="Arial" w:hAnsi="Arial" w:cs="Arial"/>
          <w:i/>
          <w:iCs/>
        </w:rPr>
        <w:t>European Journal of Medicinal Chemistry</w:t>
      </w:r>
      <w:r w:rsidRPr="0033222A">
        <w:rPr>
          <w:rFonts w:ascii="Arial" w:hAnsi="Arial" w:cs="Arial"/>
        </w:rPr>
        <w:t>, 44(10), 3961–3972.</w:t>
      </w:r>
    </w:p>
    <w:p w14:paraId="61998C25" w14:textId="77777777" w:rsidR="0066398A" w:rsidRPr="0033222A" w:rsidRDefault="0066398A" w:rsidP="00A814F0">
      <w:pPr>
        <w:tabs>
          <w:tab w:val="left" w:pos="947"/>
        </w:tabs>
        <w:ind w:left="547" w:hanging="547"/>
        <w:jc w:val="both"/>
        <w:rPr>
          <w:rFonts w:ascii="Arial" w:hAnsi="Arial" w:cs="Arial"/>
        </w:rPr>
      </w:pPr>
      <w:r w:rsidRPr="0033222A">
        <w:rPr>
          <w:rFonts w:ascii="Arial" w:hAnsi="Arial" w:cs="Arial"/>
        </w:rPr>
        <w:t xml:space="preserve">Zhou, Y., Zhao, M., Wu, Y., Li, C., Wu, J., Zheng, M., Peng, L. &amp; Peng, S. (2010). A class of novel Schiff’s bases: Synthesis, therapeutic action for chronic pain, anti-inflammation and 3D QSAR analysis. </w:t>
      </w:r>
      <w:r w:rsidRPr="0033222A">
        <w:rPr>
          <w:rFonts w:ascii="Arial" w:hAnsi="Arial" w:cs="Arial"/>
          <w:i/>
          <w:iCs/>
        </w:rPr>
        <w:t>Bioorganic &amp; Medicinal Chemistry</w:t>
      </w:r>
      <w:r w:rsidRPr="0033222A">
        <w:rPr>
          <w:rFonts w:ascii="Arial" w:hAnsi="Arial" w:cs="Arial"/>
        </w:rPr>
        <w:t>, 18(7), 2165–2172.</w:t>
      </w:r>
    </w:p>
    <w:sectPr w:rsidR="0066398A" w:rsidRPr="0033222A" w:rsidSect="0003765B">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ntel" w:date="2025-07-25T20:21:00Z" w:initials="i">
    <w:p w14:paraId="6C9F414B" w14:textId="480BF9BD" w:rsidR="006E1235" w:rsidRDefault="006E1235">
      <w:pPr>
        <w:pStyle w:val="aa"/>
      </w:pPr>
      <w:r>
        <w:rPr>
          <w:rStyle w:val="a9"/>
        </w:rPr>
        <w:annotationRef/>
      </w:r>
      <w:r>
        <w:t>Why dont use any metals to form complexes</w:t>
      </w:r>
    </w:p>
  </w:comment>
  <w:comment w:id="1" w:author="intel" w:date="2025-07-25T20:10:00Z" w:initials="i">
    <w:p w14:paraId="082E70CB" w14:textId="65EB029B" w:rsidR="00CF5009" w:rsidRDefault="00CF5009">
      <w:pPr>
        <w:pStyle w:val="aa"/>
      </w:pPr>
      <w:r>
        <w:rPr>
          <w:rStyle w:val="a9"/>
        </w:rPr>
        <w:annotationRef/>
      </w:r>
      <w:r>
        <w:t>Are you sure dont use any catalyst?</w:t>
      </w:r>
    </w:p>
  </w:comment>
  <w:comment w:id="2" w:author="intel" w:date="2025-07-25T20:24:00Z" w:initials="i">
    <w:p w14:paraId="32F06D01" w14:textId="38B90E5C" w:rsidR="002E2AAE" w:rsidRDefault="002E2AAE">
      <w:pPr>
        <w:pStyle w:val="aa"/>
      </w:pPr>
      <w:r>
        <w:rPr>
          <w:rStyle w:val="a9"/>
        </w:rPr>
        <w:annotationRef/>
      </w:r>
      <w:r>
        <w:t>How did you know the reaction was complete?</w:t>
      </w:r>
    </w:p>
  </w:comment>
  <w:comment w:id="4" w:author="intel" w:date="2025-07-25T20:15:00Z" w:initials="i">
    <w:p w14:paraId="1CAC8312" w14:textId="43569BAE" w:rsidR="006E1235" w:rsidRDefault="006E1235">
      <w:pPr>
        <w:pStyle w:val="aa"/>
      </w:pPr>
      <w:r>
        <w:rPr>
          <w:rStyle w:val="a9"/>
        </w:rPr>
        <w:annotationRef/>
      </w:r>
      <w:r>
        <w:t xml:space="preserve">This fuctional group called azomethine or imine group ?in new refernce called imine group </w:t>
      </w:r>
    </w:p>
  </w:comment>
  <w:comment w:id="5" w:author="intel" w:date="2025-07-25T20:13:00Z" w:initials="i">
    <w:p w14:paraId="2D2E3EF2" w14:textId="7689B9DE" w:rsidR="006E1235" w:rsidRDefault="006E1235">
      <w:pPr>
        <w:pStyle w:val="aa"/>
      </w:pPr>
      <w:r>
        <w:rPr>
          <w:rStyle w:val="a9"/>
        </w:rPr>
        <w:annotationRef/>
      </w:r>
      <w:r>
        <w:t>1680 band are you sure about this band? Where reference ????</w:t>
      </w:r>
    </w:p>
  </w:comment>
  <w:comment w:id="6" w:author="intel" w:date="2025-07-25T20:22:00Z" w:initials="i">
    <w:p w14:paraId="0E78906B" w14:textId="51292800" w:rsidR="006E1235" w:rsidRPr="006E1235" w:rsidRDefault="006E1235" w:rsidP="006E1235">
      <w:pPr>
        <w:pStyle w:val="aa"/>
      </w:pPr>
      <w:r>
        <w:rPr>
          <w:rStyle w:val="a9"/>
        </w:rPr>
        <w:annotationRef/>
      </w:r>
      <w:r>
        <w:t xml:space="preserve">Your </w:t>
      </w:r>
      <w:r w:rsidRPr="006E1235">
        <w:t>references</w:t>
      </w:r>
      <w:r>
        <w:t xml:space="preserve"> very old </w:t>
      </w:r>
      <w:r w:rsidR="002E2AAE">
        <w:t>can you change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9F414B" w15:done="0"/>
  <w15:commentEx w15:paraId="082E70CB" w15:done="0"/>
  <w15:commentEx w15:paraId="32F06D01" w15:done="0"/>
  <w15:commentEx w15:paraId="1CAC8312" w15:done="0"/>
  <w15:commentEx w15:paraId="2D2E3EF2" w15:done="0"/>
  <w15:commentEx w15:paraId="0E78906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95DC0" w14:textId="77777777" w:rsidR="003F38CF" w:rsidRDefault="003F38CF" w:rsidP="00C37E61">
      <w:r>
        <w:separator/>
      </w:r>
    </w:p>
  </w:endnote>
  <w:endnote w:type="continuationSeparator" w:id="0">
    <w:p w14:paraId="0A53DC28" w14:textId="77777777" w:rsidR="003F38CF" w:rsidRDefault="003F38C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0000000000000000000"/>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CB98" w14:textId="77777777" w:rsidR="0003765B" w:rsidRDefault="0003765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E8348" w14:textId="77777777" w:rsidR="0003765B" w:rsidRDefault="0003765B">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0854" w14:textId="5C350918" w:rsidR="00754C9A" w:rsidRPr="008D364F" w:rsidRDefault="00754C9A" w:rsidP="008D364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F3EAB" w14:textId="77777777" w:rsidR="003F38CF" w:rsidRDefault="003F38CF" w:rsidP="00C37E61">
      <w:r>
        <w:separator/>
      </w:r>
    </w:p>
  </w:footnote>
  <w:footnote w:type="continuationSeparator" w:id="0">
    <w:p w14:paraId="7F18C50C" w14:textId="77777777" w:rsidR="003F38CF" w:rsidRDefault="003F38CF"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14122" w14:textId="72A9CA0C" w:rsidR="0003765B" w:rsidRDefault="003F38CF">
    <w:pPr>
      <w:pStyle w:val="a5"/>
    </w:pPr>
    <w:r>
      <w:rPr>
        <w:noProof/>
      </w:rPr>
      <w:pict w14:anchorId="6D871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981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0BF9" w14:textId="2EEAAC20" w:rsidR="0003765B" w:rsidRDefault="003F38CF">
    <w:pPr>
      <w:pStyle w:val="a5"/>
    </w:pPr>
    <w:r>
      <w:rPr>
        <w:noProof/>
      </w:rPr>
      <w:pict w14:anchorId="6F872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981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91AB" w14:textId="76729ADE" w:rsidR="00296529" w:rsidRPr="00296529" w:rsidRDefault="003F38CF" w:rsidP="00296529">
    <w:pPr>
      <w:ind w:left="2160"/>
      <w:jc w:val="center"/>
      <w:rPr>
        <w:rFonts w:ascii="Times New Roman" w:eastAsia="Calibri" w:hAnsi="Times New Roman"/>
        <w:i/>
        <w:sz w:val="18"/>
        <w:szCs w:val="22"/>
      </w:rPr>
    </w:pPr>
    <w:r>
      <w:rPr>
        <w:noProof/>
      </w:rPr>
      <w:pict w14:anchorId="298BE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981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8725F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C91E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AC618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F25FBA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3391A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66992B" w14:textId="77777777" w:rsidR="00296529" w:rsidRDefault="00754C9A">
    <w:pPr>
      <w:pStyle w:val="a5"/>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3EBE"/>
    <w:rsid w:val="00011073"/>
    <w:rsid w:val="00030174"/>
    <w:rsid w:val="0003765B"/>
    <w:rsid w:val="0004579C"/>
    <w:rsid w:val="00081F94"/>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59B1"/>
    <w:rsid w:val="00231920"/>
    <w:rsid w:val="0023195C"/>
    <w:rsid w:val="0024282C"/>
    <w:rsid w:val="002460DC"/>
    <w:rsid w:val="00250985"/>
    <w:rsid w:val="002556F6"/>
    <w:rsid w:val="00283105"/>
    <w:rsid w:val="00284C4C"/>
    <w:rsid w:val="002864B2"/>
    <w:rsid w:val="00287E68"/>
    <w:rsid w:val="00296529"/>
    <w:rsid w:val="002B27FB"/>
    <w:rsid w:val="002B685A"/>
    <w:rsid w:val="002C57D2"/>
    <w:rsid w:val="002D3287"/>
    <w:rsid w:val="002E0D56"/>
    <w:rsid w:val="002E2AAE"/>
    <w:rsid w:val="00315186"/>
    <w:rsid w:val="0033343E"/>
    <w:rsid w:val="003512C2"/>
    <w:rsid w:val="00371FB6"/>
    <w:rsid w:val="003763C1"/>
    <w:rsid w:val="00376BBE"/>
    <w:rsid w:val="0039224F"/>
    <w:rsid w:val="003A43A4"/>
    <w:rsid w:val="003A7E18"/>
    <w:rsid w:val="003C4C86"/>
    <w:rsid w:val="003C6258"/>
    <w:rsid w:val="003E2904"/>
    <w:rsid w:val="003F38CF"/>
    <w:rsid w:val="003F7546"/>
    <w:rsid w:val="00401927"/>
    <w:rsid w:val="0041027F"/>
    <w:rsid w:val="00412475"/>
    <w:rsid w:val="00420E7E"/>
    <w:rsid w:val="00423789"/>
    <w:rsid w:val="00440F43"/>
    <w:rsid w:val="00441B6F"/>
    <w:rsid w:val="004432B0"/>
    <w:rsid w:val="00446221"/>
    <w:rsid w:val="00450E62"/>
    <w:rsid w:val="004539DB"/>
    <w:rsid w:val="00471A80"/>
    <w:rsid w:val="004A1E07"/>
    <w:rsid w:val="004D305E"/>
    <w:rsid w:val="004D4277"/>
    <w:rsid w:val="004F2FEC"/>
    <w:rsid w:val="00502516"/>
    <w:rsid w:val="00505F06"/>
    <w:rsid w:val="00506828"/>
    <w:rsid w:val="0053056E"/>
    <w:rsid w:val="00554FDA"/>
    <w:rsid w:val="005B1A3A"/>
    <w:rsid w:val="005C784C"/>
    <w:rsid w:val="005D17F6"/>
    <w:rsid w:val="005E5539"/>
    <w:rsid w:val="00602BF5"/>
    <w:rsid w:val="00605C46"/>
    <w:rsid w:val="00617FDD"/>
    <w:rsid w:val="006238B8"/>
    <w:rsid w:val="00633614"/>
    <w:rsid w:val="00633F68"/>
    <w:rsid w:val="00636EB2"/>
    <w:rsid w:val="006375B8"/>
    <w:rsid w:val="0066398A"/>
    <w:rsid w:val="0066510A"/>
    <w:rsid w:val="00673F9F"/>
    <w:rsid w:val="00686953"/>
    <w:rsid w:val="00687DEA"/>
    <w:rsid w:val="00687E67"/>
    <w:rsid w:val="006967F7"/>
    <w:rsid w:val="006A250C"/>
    <w:rsid w:val="006B21D3"/>
    <w:rsid w:val="006B57D0"/>
    <w:rsid w:val="006D30FF"/>
    <w:rsid w:val="006D6940"/>
    <w:rsid w:val="006E1235"/>
    <w:rsid w:val="006F11EC"/>
    <w:rsid w:val="0070082C"/>
    <w:rsid w:val="00703D5D"/>
    <w:rsid w:val="007369E6"/>
    <w:rsid w:val="00746E59"/>
    <w:rsid w:val="00754C9A"/>
    <w:rsid w:val="0075599A"/>
    <w:rsid w:val="00761D52"/>
    <w:rsid w:val="00774610"/>
    <w:rsid w:val="0077749E"/>
    <w:rsid w:val="00790ADA"/>
    <w:rsid w:val="007C784E"/>
    <w:rsid w:val="007D2288"/>
    <w:rsid w:val="007E088F"/>
    <w:rsid w:val="007F7A5F"/>
    <w:rsid w:val="007F7B32"/>
    <w:rsid w:val="00804BC2"/>
    <w:rsid w:val="0081431A"/>
    <w:rsid w:val="0083216F"/>
    <w:rsid w:val="00860000"/>
    <w:rsid w:val="00863BD3"/>
    <w:rsid w:val="008641ED"/>
    <w:rsid w:val="00866D66"/>
    <w:rsid w:val="008671C6"/>
    <w:rsid w:val="00875803"/>
    <w:rsid w:val="008B459E"/>
    <w:rsid w:val="008D364F"/>
    <w:rsid w:val="008D3E84"/>
    <w:rsid w:val="008E13AE"/>
    <w:rsid w:val="008E1506"/>
    <w:rsid w:val="008E710C"/>
    <w:rsid w:val="008F69D6"/>
    <w:rsid w:val="00902823"/>
    <w:rsid w:val="00915CA6"/>
    <w:rsid w:val="00927834"/>
    <w:rsid w:val="0093584A"/>
    <w:rsid w:val="009500A6"/>
    <w:rsid w:val="00957C18"/>
    <w:rsid w:val="009659BA"/>
    <w:rsid w:val="00972128"/>
    <w:rsid w:val="00983040"/>
    <w:rsid w:val="009846B5"/>
    <w:rsid w:val="009B3FB9"/>
    <w:rsid w:val="009C2465"/>
    <w:rsid w:val="009D35A0"/>
    <w:rsid w:val="009D7EB7"/>
    <w:rsid w:val="009E048A"/>
    <w:rsid w:val="009E08E9"/>
    <w:rsid w:val="009E3DB9"/>
    <w:rsid w:val="009E6E35"/>
    <w:rsid w:val="009F0EDA"/>
    <w:rsid w:val="00A033A3"/>
    <w:rsid w:val="00A03B96"/>
    <w:rsid w:val="00A05B19"/>
    <w:rsid w:val="00A1134E"/>
    <w:rsid w:val="00A16B0C"/>
    <w:rsid w:val="00A24E7E"/>
    <w:rsid w:val="00A25394"/>
    <w:rsid w:val="00A258C3"/>
    <w:rsid w:val="00A347C0"/>
    <w:rsid w:val="00A51431"/>
    <w:rsid w:val="00A539AD"/>
    <w:rsid w:val="00A70615"/>
    <w:rsid w:val="00A814F0"/>
    <w:rsid w:val="00A86E2E"/>
    <w:rsid w:val="00A94063"/>
    <w:rsid w:val="00AA3ECE"/>
    <w:rsid w:val="00AA6219"/>
    <w:rsid w:val="00AA74E0"/>
    <w:rsid w:val="00AB703F"/>
    <w:rsid w:val="00AC6BB8"/>
    <w:rsid w:val="00AE008F"/>
    <w:rsid w:val="00B01FCD"/>
    <w:rsid w:val="00B060ED"/>
    <w:rsid w:val="00B1776C"/>
    <w:rsid w:val="00B2631A"/>
    <w:rsid w:val="00B4021A"/>
    <w:rsid w:val="00B52583"/>
    <w:rsid w:val="00B52896"/>
    <w:rsid w:val="00B77162"/>
    <w:rsid w:val="00B95236"/>
    <w:rsid w:val="00B96BD9"/>
    <w:rsid w:val="00BA1B01"/>
    <w:rsid w:val="00BA2641"/>
    <w:rsid w:val="00BA2DB0"/>
    <w:rsid w:val="00BB37AA"/>
    <w:rsid w:val="00BC53A0"/>
    <w:rsid w:val="00BC5827"/>
    <w:rsid w:val="00BE45EE"/>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5009"/>
    <w:rsid w:val="00D173F1"/>
    <w:rsid w:val="00D207F8"/>
    <w:rsid w:val="00D74CB0"/>
    <w:rsid w:val="00D8295D"/>
    <w:rsid w:val="00DA294B"/>
    <w:rsid w:val="00DC2A65"/>
    <w:rsid w:val="00DE15F0"/>
    <w:rsid w:val="00DE5663"/>
    <w:rsid w:val="00DE6D02"/>
    <w:rsid w:val="00DE78AA"/>
    <w:rsid w:val="00DF7B3D"/>
    <w:rsid w:val="00E053D0"/>
    <w:rsid w:val="00E15994"/>
    <w:rsid w:val="00E3114E"/>
    <w:rsid w:val="00E31A70"/>
    <w:rsid w:val="00E35B02"/>
    <w:rsid w:val="00E551FE"/>
    <w:rsid w:val="00E66496"/>
    <w:rsid w:val="00E66B35"/>
    <w:rsid w:val="00E66E10"/>
    <w:rsid w:val="00E769F6"/>
    <w:rsid w:val="00E8407C"/>
    <w:rsid w:val="00E84F3C"/>
    <w:rsid w:val="00EA012C"/>
    <w:rsid w:val="00EC1732"/>
    <w:rsid w:val="00EC6A55"/>
    <w:rsid w:val="00ED0288"/>
    <w:rsid w:val="00EE52CB"/>
    <w:rsid w:val="00EF581D"/>
    <w:rsid w:val="00EF7FD8"/>
    <w:rsid w:val="00F06F59"/>
    <w:rsid w:val="00F17988"/>
    <w:rsid w:val="00F469F0"/>
    <w:rsid w:val="00F53273"/>
    <w:rsid w:val="00F6061D"/>
    <w:rsid w:val="00F755E4"/>
    <w:rsid w:val="00F77D02"/>
    <w:rsid w:val="00FB3A86"/>
    <w:rsid w:val="00FC4A6F"/>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2A627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
    <w:name w:val="Unresolved Mention"/>
    <w:basedOn w:val="a0"/>
    <w:uiPriority w:val="99"/>
    <w:semiHidden/>
    <w:unhideWhenUsed/>
    <w:rsid w:val="00287E68"/>
    <w:rPr>
      <w:color w:val="605E5C"/>
      <w:shd w:val="clear" w:color="auto" w:fill="E1DFDD"/>
    </w:rPr>
  </w:style>
  <w:style w:type="paragraph" w:styleId="ae">
    <w:name w:val="List Paragraph"/>
    <w:basedOn w:val="a"/>
    <w:uiPriority w:val="34"/>
    <w:qFormat/>
    <w:rsid w:val="00703D5D"/>
    <w:pPr>
      <w:ind w:left="720"/>
      <w:contextualSpacing/>
    </w:pPr>
  </w:style>
  <w:style w:type="paragraph" w:styleId="af">
    <w:name w:val="annotation subject"/>
    <w:basedOn w:val="aa"/>
    <w:next w:val="aa"/>
    <w:link w:val="Char1"/>
    <w:semiHidden/>
    <w:unhideWhenUsed/>
    <w:rsid w:val="00CF5009"/>
    <w:rPr>
      <w:rFonts w:ascii="Helvetica" w:hAnsi="Helvetica"/>
      <w:b/>
      <w:bCs/>
      <w:lang w:val="en-US" w:eastAsia="en-US"/>
    </w:rPr>
  </w:style>
  <w:style w:type="character" w:customStyle="1" w:styleId="Char1">
    <w:name w:val="موضوع تعليق Char"/>
    <w:basedOn w:val="Char"/>
    <w:link w:val="af"/>
    <w:semiHidden/>
    <w:rsid w:val="00CF500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WORKSTATION\Music\M.Bateri%20leav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ORKSTATION\Music\M.Bateri%20leav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71429108674954"/>
          <c:y val="0.20580244796133157"/>
          <c:w val="0.75878320186140202"/>
          <c:h val="0.61417824541843768"/>
        </c:manualLayout>
      </c:layout>
      <c:barChart>
        <c:barDir val="col"/>
        <c:grouping val="clustered"/>
        <c:varyColors val="0"/>
        <c:ser>
          <c:idx val="0"/>
          <c:order val="0"/>
          <c:tx>
            <c:strRef>
              <c:f>'[M.Bateri leaves.xlsx]Sheet4'!$E$11</c:f>
              <c:strCache>
                <c:ptCount val="1"/>
                <c:pt idx="0">
                  <c:v>Candida albican</c:v>
                </c:pt>
              </c:strCache>
            </c:strRef>
          </c:tx>
          <c:spPr>
            <a:pattFill prst="pct75">
              <a:fgClr>
                <a:schemeClr val="tx1"/>
              </a:fgClr>
              <a:bgClr>
                <a:schemeClr val="bg1"/>
              </a:bgClr>
            </a:pattFill>
            <a:ln>
              <a:noFill/>
            </a:ln>
            <a:effectLst/>
          </c:spPr>
          <c:invertIfNegative val="0"/>
          <c:cat>
            <c:numRef>
              <c:f>'[M.Bateri leaves.xlsx]Sheet4'!$D$12:$D$16</c:f>
              <c:numCache>
                <c:formatCode>General</c:formatCode>
                <c:ptCount val="5"/>
                <c:pt idx="0">
                  <c:v>20</c:v>
                </c:pt>
                <c:pt idx="1">
                  <c:v>10</c:v>
                </c:pt>
                <c:pt idx="2">
                  <c:v>5</c:v>
                </c:pt>
                <c:pt idx="3">
                  <c:v>2.5</c:v>
                </c:pt>
                <c:pt idx="4">
                  <c:v>1.25</c:v>
                </c:pt>
              </c:numCache>
            </c:numRef>
          </c:cat>
          <c:val>
            <c:numRef>
              <c:f>'[M.Bateri leaves.xlsx]Sheet4'!$E$12:$E$16</c:f>
              <c:numCache>
                <c:formatCode>General</c:formatCode>
                <c:ptCount val="5"/>
                <c:pt idx="0">
                  <c:v>25</c:v>
                </c:pt>
                <c:pt idx="1">
                  <c:v>20</c:v>
                </c:pt>
                <c:pt idx="2">
                  <c:v>15</c:v>
                </c:pt>
                <c:pt idx="3">
                  <c:v>15</c:v>
                </c:pt>
              </c:numCache>
            </c:numRef>
          </c:val>
          <c:extLst>
            <c:ext xmlns:c16="http://schemas.microsoft.com/office/drawing/2014/chart" uri="{C3380CC4-5D6E-409C-BE32-E72D297353CC}">
              <c16:uniqueId val="{00000000-374D-44A8-B2D2-B7E5C12568C4}"/>
            </c:ext>
          </c:extLst>
        </c:ser>
        <c:ser>
          <c:idx val="1"/>
          <c:order val="1"/>
          <c:tx>
            <c:strRef>
              <c:f>'[M.Bateri leaves.xlsx]Sheet4'!$F$11</c:f>
              <c:strCache>
                <c:ptCount val="1"/>
                <c:pt idx="0">
                  <c:v>Aspergillus niger</c:v>
                </c:pt>
              </c:strCache>
            </c:strRef>
          </c:tx>
          <c:spPr>
            <a:pattFill prst="solidDmnd">
              <a:fgClr>
                <a:schemeClr val="tx1"/>
              </a:fgClr>
              <a:bgClr>
                <a:schemeClr val="bg1"/>
              </a:bgClr>
            </a:pattFill>
            <a:ln>
              <a:noFill/>
            </a:ln>
            <a:effectLst/>
          </c:spPr>
          <c:invertIfNegative val="0"/>
          <c:cat>
            <c:numRef>
              <c:f>'[M.Bateri leaves.xlsx]Sheet4'!$D$12:$D$16</c:f>
              <c:numCache>
                <c:formatCode>General</c:formatCode>
                <c:ptCount val="5"/>
                <c:pt idx="0">
                  <c:v>20</c:v>
                </c:pt>
                <c:pt idx="1">
                  <c:v>10</c:v>
                </c:pt>
                <c:pt idx="2">
                  <c:v>5</c:v>
                </c:pt>
                <c:pt idx="3">
                  <c:v>2.5</c:v>
                </c:pt>
                <c:pt idx="4">
                  <c:v>1.25</c:v>
                </c:pt>
              </c:numCache>
            </c:numRef>
          </c:cat>
          <c:val>
            <c:numRef>
              <c:f>'[M.Bateri leaves.xlsx]Sheet4'!$F$12:$F$16</c:f>
              <c:numCache>
                <c:formatCode>General</c:formatCode>
                <c:ptCount val="5"/>
                <c:pt idx="0">
                  <c:v>20</c:v>
                </c:pt>
                <c:pt idx="1">
                  <c:v>14</c:v>
                </c:pt>
                <c:pt idx="2">
                  <c:v>10</c:v>
                </c:pt>
              </c:numCache>
            </c:numRef>
          </c:val>
          <c:extLst>
            <c:ext xmlns:c16="http://schemas.microsoft.com/office/drawing/2014/chart" uri="{C3380CC4-5D6E-409C-BE32-E72D297353CC}">
              <c16:uniqueId val="{00000001-374D-44A8-B2D2-B7E5C12568C4}"/>
            </c:ext>
          </c:extLst>
        </c:ser>
        <c:ser>
          <c:idx val="2"/>
          <c:order val="2"/>
          <c:tx>
            <c:v>Control (Nystatin)</c:v>
          </c:tx>
          <c:spPr>
            <a:pattFill prst="dkHorz">
              <a:fgClr>
                <a:schemeClr val="tx1"/>
              </a:fgClr>
              <a:bgClr>
                <a:schemeClr val="bg1"/>
              </a:bgClr>
            </a:pattFill>
            <a:ln>
              <a:noFill/>
            </a:ln>
            <a:effectLst/>
          </c:spPr>
          <c:invertIfNegative val="0"/>
          <c:cat>
            <c:numRef>
              <c:f>'[M.Bateri leaves.xlsx]Sheet4'!$D$12:$D$16</c:f>
              <c:numCache>
                <c:formatCode>General</c:formatCode>
                <c:ptCount val="5"/>
                <c:pt idx="0">
                  <c:v>20</c:v>
                </c:pt>
                <c:pt idx="1">
                  <c:v>10</c:v>
                </c:pt>
                <c:pt idx="2">
                  <c:v>5</c:v>
                </c:pt>
                <c:pt idx="3">
                  <c:v>2.5</c:v>
                </c:pt>
                <c:pt idx="4">
                  <c:v>1.25</c:v>
                </c:pt>
              </c:numCache>
            </c:numRef>
          </c:cat>
          <c:val>
            <c:numRef>
              <c:f>'[M.Bateri leaves.xlsx]Sheet4'!$G$12:$G$16</c:f>
              <c:numCache>
                <c:formatCode>General</c:formatCode>
                <c:ptCount val="5"/>
                <c:pt idx="0">
                  <c:v>24.5</c:v>
                </c:pt>
              </c:numCache>
            </c:numRef>
          </c:val>
          <c:extLst>
            <c:ext xmlns:c16="http://schemas.microsoft.com/office/drawing/2014/chart" uri="{C3380CC4-5D6E-409C-BE32-E72D297353CC}">
              <c16:uniqueId val="{00000002-374D-44A8-B2D2-B7E5C12568C4}"/>
            </c:ext>
          </c:extLst>
        </c:ser>
        <c:dLbls>
          <c:showLegendKey val="0"/>
          <c:showVal val="0"/>
          <c:showCatName val="0"/>
          <c:showSerName val="0"/>
          <c:showPercent val="0"/>
          <c:showBubbleSize val="0"/>
        </c:dLbls>
        <c:gapWidth val="219"/>
        <c:overlap val="-27"/>
        <c:axId val="762031056"/>
        <c:axId val="762034296"/>
      </c:barChart>
      <c:catAx>
        <c:axId val="762031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Helvetica" panose="020B0604020202020204" pitchFamily="34" charset="0"/>
                    <a:cs typeface="Helvetica" panose="020B0604020202020204" pitchFamily="34" charset="0"/>
                  </a:rPr>
                  <a:t>Concentration (mg/mL)</a:t>
                </a:r>
              </a:p>
            </c:rich>
          </c:tx>
          <c:layout>
            <c:manualLayout>
              <c:xMode val="edge"/>
              <c:yMode val="edge"/>
              <c:x val="0.38116178578794724"/>
              <c:y val="0.909178175736882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34296"/>
        <c:crosses val="autoZero"/>
        <c:auto val="1"/>
        <c:lblAlgn val="ctr"/>
        <c:lblOffset val="100"/>
        <c:noMultiLvlLbl val="0"/>
      </c:catAx>
      <c:valAx>
        <c:axId val="7620342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Helvetica" panose="020B0604020202020204" pitchFamily="34" charset="0"/>
                    <a:cs typeface="Helvetica" panose="020B0604020202020204" pitchFamily="34" charset="0"/>
                  </a:rPr>
                  <a:t>Zone of Inhibition (mm)</a:t>
                </a:r>
              </a:p>
            </c:rich>
          </c:tx>
          <c:layout>
            <c:manualLayout>
              <c:xMode val="edge"/>
              <c:yMode val="edge"/>
              <c:x val="3.320896172855442E-2"/>
              <c:y val="0.289389880720355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31056"/>
        <c:crosses val="autoZero"/>
        <c:crossBetween val="between"/>
      </c:valAx>
      <c:spPr>
        <a:noFill/>
        <a:ln>
          <a:noFill/>
        </a:ln>
        <a:effectLst/>
      </c:spPr>
    </c:plotArea>
    <c:legend>
      <c:legendPos val="tr"/>
      <c:legendEntry>
        <c:idx val="0"/>
        <c:txPr>
          <a:bodyPr rot="0" spcFirstLastPara="1" vertOverflow="ellipsis" vert="horz" wrap="square" anchor="ctr" anchorCtr="1"/>
          <a:lstStyle/>
          <a:p>
            <a:pPr>
              <a:defRPr sz="1100" b="0" i="1"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Entry>
      <c:legendEntry>
        <c:idx val="1"/>
        <c:txPr>
          <a:bodyPr rot="0" spcFirstLastPara="1" vertOverflow="ellipsis" vert="horz" wrap="square" anchor="ctr" anchorCtr="1"/>
          <a:lstStyle/>
          <a:p>
            <a:pPr>
              <a:defRPr sz="1100" b="0" i="1"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Entry>
      <c:layout>
        <c:manualLayout>
          <c:xMode val="edge"/>
          <c:yMode val="edge"/>
          <c:x val="0.74214826304467096"/>
          <c:y val="0.22611385238828283"/>
          <c:w val="0.25536417427903285"/>
          <c:h val="0.2772276257519195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7520418329211"/>
          <c:y val="4.7774158523344191E-2"/>
          <c:w val="0.82886532247052946"/>
          <c:h val="0.62295093419056058"/>
        </c:manualLayout>
      </c:layout>
      <c:barChart>
        <c:barDir val="col"/>
        <c:grouping val="clustered"/>
        <c:varyColors val="0"/>
        <c:ser>
          <c:idx val="0"/>
          <c:order val="0"/>
          <c:spPr>
            <a:pattFill prst="sphere">
              <a:fgClr>
                <a:schemeClr val="tx1"/>
              </a:fgClr>
              <a:bgClr>
                <a:schemeClr val="bg1"/>
              </a:bgClr>
            </a:pattFill>
            <a:ln>
              <a:noFill/>
            </a:ln>
            <a:effectLst/>
          </c:spPr>
          <c:invertIfNegative val="0"/>
          <c:cat>
            <c:strRef>
              <c:f>Sheet3!$E$32:$E$37</c:f>
              <c:strCache>
                <c:ptCount val="6"/>
                <c:pt idx="0">
                  <c:v>Bacillus substilis</c:v>
                </c:pt>
                <c:pt idx="1">
                  <c:v>Serratia sp</c:v>
                </c:pt>
                <c:pt idx="2">
                  <c:v>Klebsilla sp</c:v>
                </c:pt>
                <c:pt idx="3">
                  <c:v>Proteus sp</c:v>
                </c:pt>
                <c:pt idx="4">
                  <c:v>Candida albican </c:v>
                </c:pt>
                <c:pt idx="5">
                  <c:v>Aspergillus niger</c:v>
                </c:pt>
              </c:strCache>
            </c:strRef>
          </c:cat>
          <c:val>
            <c:numRef>
              <c:f>Sheet3!$F$32:$F$37</c:f>
              <c:numCache>
                <c:formatCode>General</c:formatCode>
                <c:ptCount val="6"/>
                <c:pt idx="0">
                  <c:v>5</c:v>
                </c:pt>
                <c:pt idx="1">
                  <c:v>0.625</c:v>
                </c:pt>
                <c:pt idx="2">
                  <c:v>0.625</c:v>
                </c:pt>
                <c:pt idx="3">
                  <c:v>0.625</c:v>
                </c:pt>
                <c:pt idx="4">
                  <c:v>0.625</c:v>
                </c:pt>
                <c:pt idx="5">
                  <c:v>0.312</c:v>
                </c:pt>
              </c:numCache>
            </c:numRef>
          </c:val>
          <c:extLst>
            <c:ext xmlns:c16="http://schemas.microsoft.com/office/drawing/2014/chart" uri="{C3380CC4-5D6E-409C-BE32-E72D297353CC}">
              <c16:uniqueId val="{00000000-A63E-4695-9B8A-29F59B51CE5E}"/>
            </c:ext>
          </c:extLst>
        </c:ser>
        <c:dLbls>
          <c:showLegendKey val="0"/>
          <c:showVal val="0"/>
          <c:showCatName val="0"/>
          <c:showSerName val="0"/>
          <c:showPercent val="0"/>
          <c:showBubbleSize val="0"/>
        </c:dLbls>
        <c:gapWidth val="219"/>
        <c:overlap val="-27"/>
        <c:axId val="693543904"/>
        <c:axId val="693548584"/>
      </c:barChart>
      <c:catAx>
        <c:axId val="693543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lumMod val="65000"/>
                        <a:lumOff val="35000"/>
                      </a:sysClr>
                    </a:solidFill>
                    <a:latin typeface="Helvetica" panose="020B0604020202020204" pitchFamily="34" charset="0"/>
                    <a:cs typeface="Helvetica" panose="020B0604020202020204" pitchFamily="34" charset="0"/>
                  </a:rPr>
                  <a:t>Microorganism</a:t>
                </a:r>
                <a:r>
                  <a:rPr lang="en-US" sz="1100" b="0" i="0" u="none" strike="noStrike" kern="1200" baseline="0">
                    <a:solidFill>
                      <a:sysClr val="windowText" lastClr="000000">
                        <a:lumMod val="65000"/>
                        <a:lumOff val="35000"/>
                      </a:sysClr>
                    </a:solidFill>
                    <a:latin typeface="Helvetica" panose="020B0604020202020204" pitchFamily="34" charset="0"/>
                    <a:cs typeface="Helvetica" panose="020B0604020202020204" pitchFamily="34" charset="0"/>
                  </a:rPr>
                  <a: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accent1"/>
            </a:solidFill>
            <a:round/>
          </a:ln>
          <a:effectLst/>
        </c:spPr>
        <c:txPr>
          <a:bodyPr rot="-264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548584"/>
        <c:crosses val="autoZero"/>
        <c:auto val="1"/>
        <c:lblAlgn val="ctr"/>
        <c:lblOffset val="100"/>
        <c:noMultiLvlLbl val="0"/>
      </c:catAx>
      <c:valAx>
        <c:axId val="693548584"/>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b="0" i="0" u="none" strike="noStrike" kern="1200" baseline="0">
                    <a:solidFill>
                      <a:sysClr val="windowText" lastClr="000000">
                        <a:lumMod val="65000"/>
                        <a:lumOff val="35000"/>
                      </a:sysClr>
                    </a:solidFill>
                    <a:latin typeface="Helvetica" panose="020B0604020202020204" pitchFamily="34" charset="0"/>
                    <a:cs typeface="Helvetica" panose="020B0604020202020204" pitchFamily="34" charset="0"/>
                  </a:rPr>
                  <a:t>MIC (mg/mL)</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000">
                  <a:latin typeface="Haettenschweiler" panose="020B0706040902060204" pitchFamily="34" charset="0"/>
                </a:endParaRPr>
              </a:p>
            </c:rich>
          </c:tx>
          <c:layout>
            <c:manualLayout>
              <c:xMode val="edge"/>
              <c:yMode val="edge"/>
              <c:x val="4.1104688503532431E-2"/>
              <c:y val="0.32028589260218693"/>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54390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B7B5-551B-4205-B549-735622A2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9</Pages>
  <Words>3427</Words>
  <Characters>19540</Characters>
  <Application>Microsoft Office Word</Application>
  <DocSecurity>0</DocSecurity>
  <Lines>162</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22922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intel</cp:lastModifiedBy>
  <cp:revision>2</cp:revision>
  <cp:lastPrinted>1999-07-06T11:00:00Z</cp:lastPrinted>
  <dcterms:created xsi:type="dcterms:W3CDTF">2025-07-25T17:26:00Z</dcterms:created>
  <dcterms:modified xsi:type="dcterms:W3CDTF">2025-07-25T17:26:00Z</dcterms:modified>
</cp:coreProperties>
</file>