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EAF5CE" w14:textId="1EE75A2D" w:rsidR="00E043B5" w:rsidRPr="00E043B5" w:rsidRDefault="00E043B5">
      <w:pPr>
        <w:spacing w:line="480" w:lineRule="auto"/>
        <w:jc w:val="both"/>
        <w:rPr>
          <w:rFonts w:ascii="Times New Roman" w:eastAsia="Times New Roman" w:hAnsi="Times New Roman" w:cs="Times New Roman"/>
          <w:b/>
          <w:u w:val="single"/>
        </w:rPr>
      </w:pPr>
      <w:r w:rsidRPr="00E043B5">
        <w:rPr>
          <w:rFonts w:ascii="Times New Roman" w:eastAsia="Times New Roman" w:hAnsi="Times New Roman" w:cs="Times New Roman"/>
          <w:b/>
          <w:u w:val="single"/>
        </w:rPr>
        <w:t>Review Article</w:t>
      </w:r>
    </w:p>
    <w:p w14:paraId="32B60C67" w14:textId="38C40B1C"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Tobacco use and its impact on periodontal disease progression: an integrative review</w:t>
      </w:r>
    </w:p>
    <w:p w14:paraId="0D06A63C" w14:textId="77777777" w:rsidR="00183E89" w:rsidRDefault="00183E89">
      <w:pPr>
        <w:spacing w:line="480" w:lineRule="auto"/>
        <w:jc w:val="both"/>
        <w:rPr>
          <w:rFonts w:ascii="Times New Roman" w:eastAsia="Times New Roman" w:hAnsi="Times New Roman" w:cs="Times New Roman"/>
          <w:b/>
        </w:rPr>
      </w:pPr>
    </w:p>
    <w:p w14:paraId="62DB162D"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09EEA2C7"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Aims: </w:t>
      </w:r>
      <w:r>
        <w:rPr>
          <w:rFonts w:ascii="Times New Roman" w:eastAsia="Times New Roman" w:hAnsi="Times New Roman" w:cs="Times New Roman"/>
        </w:rPr>
        <w:t xml:space="preserve">To conduct an integrative literature review investigating the association between tobacco use and pulpal and periapical alterations. </w:t>
      </w:r>
      <w:r>
        <w:rPr>
          <w:rFonts w:ascii="Times New Roman" w:eastAsia="Times New Roman" w:hAnsi="Times New Roman" w:cs="Times New Roman"/>
          <w:b/>
        </w:rPr>
        <w:t xml:space="preserve">Methodology: </w:t>
      </w:r>
      <w:r>
        <w:rPr>
          <w:rFonts w:ascii="Times New Roman" w:eastAsia="Times New Roman" w:hAnsi="Times New Roman" w:cs="Times New Roman"/>
        </w:rPr>
        <w:t>A literature search was performed in PubMed and Google Scholar for studies published between 2018 and 2024. Twenty-one studies met the inclusion criteria and were analyzed using an integrative review approach and thematic analysis. Four main themes were identified: (1) increased susceptibility to inflammatory oral diseases; (2) impaired healing and treatment outcomes; (3) contradictory findings on smoking and periapical lesions; and (4) methodological heterogeneity across studies.</w:t>
      </w:r>
      <w:r>
        <w:rPr>
          <w:rFonts w:ascii="Times New Roman" w:eastAsia="Times New Roman" w:hAnsi="Times New Roman" w:cs="Times New Roman"/>
          <w:b/>
        </w:rPr>
        <w:t xml:space="preserve"> Results:</w:t>
      </w:r>
      <w:r>
        <w:rPr>
          <w:rFonts w:ascii="Times New Roman" w:eastAsia="Times New Roman" w:hAnsi="Times New Roman" w:cs="Times New Roman"/>
        </w:rPr>
        <w:t xml:space="preserve"> The majority of studies (80%) reported that smokers are more likely to develop periapical lesions, experience delayed healing, and have poorer clinical outcomes in endodontic and periodontal treatments. Tobacco use was associated with elevated inflammatory responses, larger lesion size, impaired tissue repair, and higher peri-implantitis risk. Animal models demonstrated exacerbated inflammation with nicotine exposure, particularly when combined with alcohol. Some studies (20%) reported no significant association, highlighting variability due to differences in study design, population, and treatment protocols. </w:t>
      </w:r>
      <w:r>
        <w:rPr>
          <w:rFonts w:ascii="Times New Roman" w:eastAsia="Times New Roman" w:hAnsi="Times New Roman" w:cs="Times New Roman"/>
          <w:b/>
        </w:rPr>
        <w:t>Conclusion:</w:t>
      </w:r>
      <w:r>
        <w:rPr>
          <w:rFonts w:ascii="Times New Roman" w:eastAsia="Times New Roman" w:hAnsi="Times New Roman" w:cs="Times New Roman"/>
        </w:rPr>
        <w:t xml:space="preserve"> Smoking is a critical risk factor for pulpal and periapical pathologies, negatively affecting tissue repair and treatment success. Integrating smoking cessation strategies into oral health programs is essential to mitigate both local and systemic effects of tobacco use and improve clinical outcomes.</w:t>
      </w:r>
    </w:p>
    <w:p w14:paraId="22E76B62" w14:textId="77777777" w:rsidR="00183E89" w:rsidRDefault="00183E89">
      <w:pPr>
        <w:spacing w:line="480" w:lineRule="auto"/>
        <w:jc w:val="both"/>
        <w:rPr>
          <w:rFonts w:ascii="Times New Roman" w:eastAsia="Times New Roman" w:hAnsi="Times New Roman" w:cs="Times New Roman"/>
          <w:b/>
        </w:rPr>
      </w:pPr>
    </w:p>
    <w:p w14:paraId="230F6632"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t>KEYWORDS</w:t>
      </w:r>
    </w:p>
    <w:p w14:paraId="20D04C9B"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rPr>
        <w:t>Tobacco, smoking, pulpal health, periapical lesions, oral health</w:t>
      </w:r>
    </w:p>
    <w:p w14:paraId="721791E0" w14:textId="77777777" w:rsidR="00183E89" w:rsidRDefault="005C32BA">
      <w:pPr>
        <w:spacing w:line="480" w:lineRule="auto"/>
        <w:jc w:val="both"/>
        <w:rPr>
          <w:rFonts w:ascii="Times New Roman" w:eastAsia="Times New Roman" w:hAnsi="Times New Roman" w:cs="Times New Roman"/>
          <w:b/>
        </w:rPr>
      </w:pPr>
      <w:r>
        <w:br w:type="page"/>
      </w:r>
    </w:p>
    <w:p w14:paraId="0D4427BA"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INTRODUCTION</w:t>
      </w:r>
    </w:p>
    <w:p w14:paraId="0AB4CD09" w14:textId="77777777" w:rsidR="00183E89" w:rsidRDefault="00183E89">
      <w:pPr>
        <w:spacing w:line="480" w:lineRule="auto"/>
        <w:jc w:val="both"/>
        <w:rPr>
          <w:rFonts w:ascii="Times New Roman" w:eastAsia="Times New Roman" w:hAnsi="Times New Roman" w:cs="Times New Roman"/>
          <w:b/>
        </w:rPr>
      </w:pPr>
    </w:p>
    <w:p w14:paraId="552A8A2A"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Tobacco use remains a major public health concern worldwide, contributing to a wide range of systemic and oral diseases (Ríos-Osorio, 2022; </w:t>
      </w:r>
      <w:proofErr w:type="spellStart"/>
      <w:r>
        <w:rPr>
          <w:rFonts w:ascii="Times New Roman" w:eastAsia="Times New Roman" w:hAnsi="Times New Roman" w:cs="Times New Roman"/>
        </w:rPr>
        <w:t>Kirchmaier</w:t>
      </w:r>
      <w:proofErr w:type="spellEnd"/>
      <w:r>
        <w:rPr>
          <w:rFonts w:ascii="Times New Roman" w:eastAsia="Times New Roman" w:hAnsi="Times New Roman" w:cs="Times New Roman"/>
        </w:rPr>
        <w:t xml:space="preserve"> et al., 2023). Its impact on the oral cavity is well-documented, particularly in relation to periodontal disease, impaired wound healing, and reduced effectiveness of dental treatments (Newman; Carranza, 2020; </w:t>
      </w:r>
      <w:proofErr w:type="spellStart"/>
      <w:r>
        <w:rPr>
          <w:rFonts w:ascii="Times New Roman" w:eastAsia="Times New Roman" w:hAnsi="Times New Roman" w:cs="Times New Roman"/>
        </w:rPr>
        <w:t>Sopińska</w:t>
      </w:r>
      <w:proofErr w:type="spellEnd"/>
      <w:r>
        <w:rPr>
          <w:rFonts w:ascii="Times New Roman" w:eastAsia="Times New Roman" w:hAnsi="Times New Roman" w:cs="Times New Roman"/>
        </w:rPr>
        <w:t xml:space="preserve"> et al., 2020). Despite extensive research on periodontal conditions, the specific influence of tobacco on pulpal and periapical tissues has received comparatively less attention, highlighting a critical gap in the literature (Kfouri et al., 2018).</w:t>
      </w:r>
    </w:p>
    <w:p w14:paraId="5C035A6D"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Pulpal and periapical tissues are highly sensitive to environmental and behavioral factors, including tobacco exposure. Nicotine and other chemical compounds present in tobacco smoke induce vasoconstriction, impair tissue repair, and exacerbate inflammatory responses, increasing the risk of pulpal necrosis and periapical lesion development (Bernardes; Ferres; Júnior, 2003; Balto, 2019; Ríos-Osorio, 2022).</w:t>
      </w:r>
    </w:p>
    <w:p w14:paraId="07B0FA64"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Previous studies suggest that smokers exhibit a higher prevalence and severity of periapical lesions compared to non-smokers. Tobacco use may reduce the success of endodontic treatments and contribute to </w:t>
      </w:r>
      <w:proofErr w:type="spellStart"/>
      <w:r>
        <w:rPr>
          <w:rFonts w:ascii="Times New Roman" w:eastAsia="Times New Roman" w:hAnsi="Times New Roman" w:cs="Times New Roman"/>
        </w:rPr>
        <w:t>peri</w:t>
      </w:r>
      <w:proofErr w:type="spellEnd"/>
      <w:r>
        <w:rPr>
          <w:rFonts w:ascii="Times New Roman" w:eastAsia="Times New Roman" w:hAnsi="Times New Roman" w:cs="Times New Roman"/>
        </w:rPr>
        <w:t>-implant complications (</w:t>
      </w:r>
      <w:proofErr w:type="spellStart"/>
      <w:r>
        <w:rPr>
          <w:rFonts w:ascii="Times New Roman" w:eastAsia="Times New Roman" w:hAnsi="Times New Roman" w:cs="Times New Roman"/>
        </w:rPr>
        <w:t>Kirkevang</w:t>
      </w:r>
      <w:proofErr w:type="spellEnd"/>
      <w:r>
        <w:rPr>
          <w:rFonts w:ascii="Times New Roman" w:eastAsia="Times New Roman" w:hAnsi="Times New Roman" w:cs="Times New Roman"/>
        </w:rPr>
        <w:t xml:space="preserve">; Wenzel, 2003; </w:t>
      </w:r>
      <w:proofErr w:type="spellStart"/>
      <w:r>
        <w:rPr>
          <w:rFonts w:ascii="Times New Roman" w:eastAsia="Times New Roman" w:hAnsi="Times New Roman" w:cs="Times New Roman"/>
        </w:rPr>
        <w:t>Sopińska</w:t>
      </w:r>
      <w:proofErr w:type="spellEnd"/>
      <w:r>
        <w:rPr>
          <w:rFonts w:ascii="Times New Roman" w:eastAsia="Times New Roman" w:hAnsi="Times New Roman" w:cs="Times New Roman"/>
        </w:rPr>
        <w:t xml:space="preserve"> et al., 2020). However, inconsistencies exist in reported outcomes due to variations in study design, sample characteristics, diagnostic criteria, and treatment protocols, underscoring the need for reviews that synthesize evidence and clarify the impact of tobacco use on pulpal and periapical health (Kfouri et al., 2018).</w:t>
      </w:r>
    </w:p>
    <w:p w14:paraId="2B828C4C"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Integrating smoking cessation strategies into dental care programs is considered a key measure to mitigate tobacco-related oral health risks, improve treatment outcomes, and reduce the prevalence of periapical lesions among smokers (Bernardes; Ferres; Júnior, 2003; López-López, 2012). Therefore, this study aims to investigate the association between tobacco use and periapical alterations, contributing to the development of more effective preventive and therapeutic interventions in public oral health.</w:t>
      </w:r>
    </w:p>
    <w:p w14:paraId="4A4CFB67" w14:textId="77777777" w:rsidR="00183E89" w:rsidRDefault="005C32BA">
      <w:pPr>
        <w:spacing w:line="480" w:lineRule="auto"/>
        <w:jc w:val="both"/>
        <w:rPr>
          <w:rFonts w:ascii="Times New Roman" w:eastAsia="Times New Roman" w:hAnsi="Times New Roman" w:cs="Times New Roman"/>
          <w:b/>
        </w:rPr>
      </w:pPr>
      <w:r>
        <w:br w:type="page"/>
      </w:r>
    </w:p>
    <w:p w14:paraId="06557650"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METHODS</w:t>
      </w:r>
    </w:p>
    <w:p w14:paraId="17A89103" w14:textId="77777777" w:rsidR="00183E89" w:rsidRDefault="00183E89">
      <w:pPr>
        <w:spacing w:line="480" w:lineRule="auto"/>
        <w:jc w:val="both"/>
        <w:rPr>
          <w:rFonts w:ascii="Times New Roman" w:eastAsia="Times New Roman" w:hAnsi="Times New Roman" w:cs="Times New Roman"/>
          <w:b/>
        </w:rPr>
      </w:pPr>
    </w:p>
    <w:p w14:paraId="38CFF18A"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Study design</w:t>
      </w:r>
    </w:p>
    <w:p w14:paraId="1C71FF9F"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An integrative literature review was conducted to identify, evaluate, and synthesize evidence regarding the relationship between tobacco use and pulpal and periapical alterations. The review protocol followed the methodological framework proposed by Ganong (1987) for integrative reviews and incorporated a thematic analysis approach based on Braun and Clarke’s (2006) six-phase framework, ensuring a comprehensive and interpretive synthesis of findings.</w:t>
      </w:r>
    </w:p>
    <w:p w14:paraId="5C682AFC" w14:textId="77777777" w:rsidR="00183E89" w:rsidRDefault="00183E89">
      <w:pPr>
        <w:spacing w:line="480" w:lineRule="auto"/>
        <w:jc w:val="both"/>
        <w:rPr>
          <w:rFonts w:ascii="Times New Roman" w:eastAsia="Times New Roman" w:hAnsi="Times New Roman" w:cs="Times New Roman"/>
        </w:rPr>
      </w:pPr>
    </w:p>
    <w:p w14:paraId="2345F68A"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Research guiding question</w:t>
      </w:r>
    </w:p>
    <w:p w14:paraId="4E0FE2AD"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rPr>
        <w:tab/>
        <w:t>The guiding question was formulated using the PCC framework (Population, Concept, and Context). In this review, the Population (P) refers to smokers; the Concept (C) covers pulpal and periapical alterations; and the Context (C) encompasses both national and international scientific literature. The research question was: “What does the literature report about the relationship between tobacco use and pulpal and periapical alterations?”</w:t>
      </w:r>
    </w:p>
    <w:p w14:paraId="5277D8D2" w14:textId="77777777" w:rsidR="00183E89" w:rsidRDefault="00183E89">
      <w:pPr>
        <w:spacing w:line="480" w:lineRule="auto"/>
        <w:jc w:val="both"/>
        <w:rPr>
          <w:rFonts w:ascii="Times New Roman" w:eastAsia="Times New Roman" w:hAnsi="Times New Roman" w:cs="Times New Roman"/>
        </w:rPr>
      </w:pPr>
    </w:p>
    <w:p w14:paraId="5AC5BF30"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Search strategy</w:t>
      </w:r>
    </w:p>
    <w:p w14:paraId="6F44788A" w14:textId="77777777" w:rsidR="00183E89" w:rsidRDefault="005C32BA">
      <w:pPr>
        <w:spacing w:line="480" w:lineRule="auto"/>
        <w:ind w:firstLine="720"/>
        <w:jc w:val="both"/>
        <w:rPr>
          <w:rFonts w:ascii="Times New Roman" w:eastAsia="Times New Roman" w:hAnsi="Times New Roman" w:cs="Times New Roman"/>
        </w:rPr>
      </w:pPr>
      <w:commentRangeStart w:id="0"/>
      <w:r>
        <w:rPr>
          <w:rFonts w:ascii="Times New Roman" w:eastAsia="Times New Roman" w:hAnsi="Times New Roman" w:cs="Times New Roman"/>
        </w:rPr>
        <w:t>The literature search was conducted between March 2024 and August 2024 in the PubMed and Google Scholar databases. Publications from 2018 to 2024 were considered, in both Portuguese and English, according to the guiding question. The following keywords were used: “smoking” and “periodontal diseases”, combined with the Boolean operator AND to optimize retrieval of relevant literature.</w:t>
      </w:r>
      <w:commentRangeEnd w:id="0"/>
      <w:r w:rsidR="009A4E6D">
        <w:rPr>
          <w:rStyle w:val="CommentReference"/>
        </w:rPr>
        <w:commentReference w:id="0"/>
      </w:r>
    </w:p>
    <w:p w14:paraId="30D139C0" w14:textId="77777777" w:rsidR="00183E89" w:rsidRDefault="00183E89">
      <w:pPr>
        <w:spacing w:line="480" w:lineRule="auto"/>
        <w:jc w:val="both"/>
        <w:rPr>
          <w:rFonts w:ascii="Times New Roman" w:eastAsia="Times New Roman" w:hAnsi="Times New Roman" w:cs="Times New Roman"/>
        </w:rPr>
      </w:pPr>
    </w:p>
    <w:p w14:paraId="65A138B7"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Eligibility criteria</w:t>
      </w:r>
    </w:p>
    <w:p w14:paraId="7509A6A2"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Inclusion criteria comprised studies that explicitly addressed the relationship between tobacco use and pulpal or periapical alterations, regardless of study design (original research, narrative reviews, case reports, theses, or dissertations). Exclusion criteria were as follows: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studies on tobacco use without specific reference to </w:t>
      </w:r>
      <w:proofErr w:type="spellStart"/>
      <w:r>
        <w:rPr>
          <w:rFonts w:ascii="Times New Roman" w:eastAsia="Times New Roman" w:hAnsi="Times New Roman" w:cs="Times New Roman"/>
        </w:rPr>
        <w:t>periapical</w:t>
      </w:r>
      <w:proofErr w:type="spellEnd"/>
      <w:r>
        <w:rPr>
          <w:rFonts w:ascii="Times New Roman" w:eastAsia="Times New Roman" w:hAnsi="Times New Roman" w:cs="Times New Roman"/>
        </w:rPr>
        <w:t xml:space="preserve"> alterations; (ii) publications </w:t>
      </w:r>
      <w:r>
        <w:rPr>
          <w:rFonts w:ascii="Times New Roman" w:eastAsia="Times New Roman" w:hAnsi="Times New Roman" w:cs="Times New Roman"/>
        </w:rPr>
        <w:lastRenderedPageBreak/>
        <w:t>providing only general epidemiological data without direct association to the topic; (iii) studies focusing exclusively on tobacco cessation therapy; (iv) duplicated or redundant publications; (v) studies deemed irrelevant after title and abstract screening.</w:t>
      </w:r>
    </w:p>
    <w:p w14:paraId="0E4A931C" w14:textId="77777777" w:rsidR="00183E89" w:rsidRDefault="00183E89">
      <w:pPr>
        <w:spacing w:line="480" w:lineRule="auto"/>
        <w:ind w:firstLine="720"/>
        <w:jc w:val="both"/>
        <w:rPr>
          <w:rFonts w:ascii="Times New Roman" w:eastAsia="Times New Roman" w:hAnsi="Times New Roman" w:cs="Times New Roman"/>
        </w:rPr>
      </w:pPr>
    </w:p>
    <w:p w14:paraId="5DFA4F32"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Study selection</w:t>
      </w:r>
    </w:p>
    <w:p w14:paraId="66BD0994"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search identified 48 publications. After title and abstract screening, 27 studies were excluded for not meeting the inclusion criteria. A total of 21 studies remained for full-text analysis. The study selection process followed the stages of the integrative review proposed by Ganong (1987) (</w:t>
      </w:r>
      <w:r>
        <w:rPr>
          <w:rFonts w:ascii="Times New Roman" w:eastAsia="Times New Roman" w:hAnsi="Times New Roman" w:cs="Times New Roman"/>
          <w:b/>
        </w:rPr>
        <w:t>Figure 1</w:t>
      </w:r>
      <w:r>
        <w:rPr>
          <w:rFonts w:ascii="Times New Roman" w:eastAsia="Times New Roman" w:hAnsi="Times New Roman" w:cs="Times New Roman"/>
        </w:rPr>
        <w:t>).</w:t>
      </w:r>
    </w:p>
    <w:p w14:paraId="7D25597D" w14:textId="77777777" w:rsidR="00183E89" w:rsidRDefault="00183E89">
      <w:pPr>
        <w:spacing w:line="480" w:lineRule="auto"/>
        <w:jc w:val="both"/>
        <w:rPr>
          <w:rFonts w:ascii="Times New Roman" w:eastAsia="Times New Roman" w:hAnsi="Times New Roman" w:cs="Times New Roman"/>
        </w:rPr>
      </w:pPr>
    </w:p>
    <w:p w14:paraId="1CE711BD"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Data extraction and analysis</w:t>
      </w:r>
    </w:p>
    <w:p w14:paraId="67A046EA"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Data extraction was performed by one researcher and cross-checked by another to ensure accuracy. Key characteristics of each study were compiled into a summary table, including author(s), year of publication, study design, research type, objectives, and thematic focus. The dataset was analyzed inductively following Braun and Clarke’s (2006) six-phase thematic analysis procedure. This six-step analytical procedure comprised: (1) data familiarization, (2) initial coding, (3) theme identification, (4) theme review, (5) theme definition and naming, and (6) report production. This method facilitated the emergence of four major thematic categories grounded in the selected sources of evidence.</w:t>
      </w:r>
    </w:p>
    <w:p w14:paraId="0ACD7540" w14:textId="77777777" w:rsidR="00183E89" w:rsidRDefault="00183E89">
      <w:pPr>
        <w:spacing w:line="480" w:lineRule="auto"/>
        <w:ind w:firstLine="720"/>
        <w:jc w:val="both"/>
        <w:rPr>
          <w:rFonts w:ascii="Times New Roman" w:eastAsia="Times New Roman" w:hAnsi="Times New Roman" w:cs="Times New Roman"/>
        </w:rPr>
      </w:pPr>
    </w:p>
    <w:p w14:paraId="0717BD7E"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b/>
          <w:i/>
        </w:rPr>
        <w:t>Collaborative review and manuscript preparation</w:t>
      </w:r>
    </w:p>
    <w:p w14:paraId="34CD48D1"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rPr>
        <w:tab/>
        <w:t>After data extraction and thematic analysis, the authors discussed the findings to reach consensus on themes and conclusions. The manuscript was prepared and revised jointly to ensure accuracy and clarity.</w:t>
      </w:r>
      <w:r>
        <w:br w:type="page"/>
      </w:r>
    </w:p>
    <w:p w14:paraId="426F3CB0"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RESULTS</w:t>
      </w:r>
    </w:p>
    <w:p w14:paraId="4077FFB5" w14:textId="77777777" w:rsidR="00183E89" w:rsidRDefault="00183E89">
      <w:pPr>
        <w:spacing w:line="480" w:lineRule="auto"/>
        <w:jc w:val="both"/>
        <w:rPr>
          <w:rFonts w:ascii="Times New Roman" w:eastAsia="Times New Roman" w:hAnsi="Times New Roman" w:cs="Times New Roman"/>
        </w:rPr>
      </w:pPr>
    </w:p>
    <w:p w14:paraId="56999F70"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Among the 48 publications initially identified to address the first guiding research question, 27 articles were excluded because they did not provide relevant information—such as the relationship between tobacco use and periapical alterations, epidemiological data on the problem, or because they focused exclusively on tobacco cessation therapy. The remaining 21 articles met the inclusion criteria, which required an explicit examination of the association between tobacco use and periapical alterations. These studies were analyzed following the stages of the integrative review proposed by Ganong (1987) and the thematic analysis framework by Braun and Clarke (2006).</w:t>
      </w:r>
    </w:p>
    <w:p w14:paraId="5E867FFA" w14:textId="77777777" w:rsidR="00183E89" w:rsidRDefault="00183E89">
      <w:pPr>
        <w:spacing w:line="480" w:lineRule="auto"/>
        <w:ind w:firstLine="720"/>
        <w:jc w:val="both"/>
        <w:rPr>
          <w:rFonts w:ascii="Times New Roman" w:eastAsia="Times New Roman" w:hAnsi="Times New Roman" w:cs="Times New Roman"/>
        </w:rPr>
      </w:pPr>
    </w:p>
    <w:p w14:paraId="68E87010"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Overview of included studies</w:t>
      </w:r>
    </w:p>
    <w:p w14:paraId="381FF246"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A total of 21 studies addressing the relationship between smoking and periapical lesions were included (Table 1). Among these, 11 employed quantitative methodologies, while 9 used qualitative approaches, indicating methodological diversity. The majority of studies (80%) reported a direct association between smoking and either the prevalence or aggravation of periodontal and periapical diseases, whereas 3 studies (20%) found no such association. The years with the highest number of publications were 2020 and 2022, together accounting for 9 articles (60%). Geographically, the studies were conducted in the United States (8), Brazil (3), Spain (3), Portugal (2), Iraq (2), Italy (1), Poland (1), and Saudi Arabia (1) (</w:t>
      </w:r>
      <w:r>
        <w:rPr>
          <w:rFonts w:ascii="Times New Roman" w:eastAsia="Times New Roman" w:hAnsi="Times New Roman" w:cs="Times New Roman"/>
          <w:b/>
        </w:rPr>
        <w:t>Figure 2</w:t>
      </w:r>
      <w:r>
        <w:rPr>
          <w:rFonts w:ascii="Times New Roman" w:eastAsia="Times New Roman" w:hAnsi="Times New Roman" w:cs="Times New Roman"/>
        </w:rPr>
        <w:t>).</w:t>
      </w:r>
    </w:p>
    <w:p w14:paraId="3C9E46D0" w14:textId="77777777" w:rsidR="00183E89" w:rsidRDefault="00183E89">
      <w:pPr>
        <w:spacing w:line="480" w:lineRule="auto"/>
        <w:jc w:val="both"/>
        <w:rPr>
          <w:rFonts w:ascii="Times New Roman" w:eastAsia="Times New Roman" w:hAnsi="Times New Roman" w:cs="Times New Roman"/>
        </w:rPr>
      </w:pPr>
    </w:p>
    <w:p w14:paraId="1F0F7C2C"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Integrated findings</w:t>
      </w:r>
    </w:p>
    <w:p w14:paraId="301B58F6"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Eight studies (Di Murro et al., 2019; </w:t>
      </w:r>
      <w:proofErr w:type="spellStart"/>
      <w:r>
        <w:rPr>
          <w:rFonts w:ascii="Times New Roman" w:eastAsia="Times New Roman" w:hAnsi="Times New Roman" w:cs="Times New Roman"/>
        </w:rPr>
        <w:t>Aminoshariae</w:t>
      </w:r>
      <w:proofErr w:type="spellEnd"/>
      <w:r>
        <w:rPr>
          <w:rFonts w:ascii="Times New Roman" w:eastAsia="Times New Roman" w:hAnsi="Times New Roman" w:cs="Times New Roman"/>
        </w:rPr>
        <w:t xml:space="preserve"> et al., 2020; Cheng, 2020; Fan et al., 2020; Pinto et al., 2020; Pinto et al., 2020; </w:t>
      </w:r>
      <w:proofErr w:type="spellStart"/>
      <w:r>
        <w:rPr>
          <w:rFonts w:ascii="Times New Roman" w:eastAsia="Times New Roman" w:hAnsi="Times New Roman" w:cs="Times New Roman"/>
        </w:rPr>
        <w:t>Sopinska</w:t>
      </w:r>
      <w:proofErr w:type="spellEnd"/>
      <w:r>
        <w:rPr>
          <w:rFonts w:ascii="Times New Roman" w:eastAsia="Times New Roman" w:hAnsi="Times New Roman" w:cs="Times New Roman"/>
        </w:rPr>
        <w:t xml:space="preserve"> et al., 2020; Tapia Avendaño, 2021). identified higher susceptibility of smokers to inflammatory oral diseases. Seven studies (Mahmood, 2019; </w:t>
      </w: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2020; Ladegaard et al., 2021; Ribeiro et al., 2021; Segura-Egea et al., 2023;  Majid, 2023; Pinto et al., 2024) documented greater difficulty in treating smokers. Four </w:t>
      </w:r>
      <w:r>
        <w:rPr>
          <w:rFonts w:ascii="Times New Roman" w:eastAsia="Times New Roman" w:hAnsi="Times New Roman" w:cs="Times New Roman"/>
        </w:rPr>
        <w:lastRenderedPageBreak/>
        <w:t xml:space="preserve">studies found no direct link between smoking and periapical lesions (Balto et al., 2019; Ozdemir et al., 2019; </w:t>
      </w:r>
      <w:proofErr w:type="spellStart"/>
      <w:r>
        <w:rPr>
          <w:rFonts w:ascii="Times New Roman" w:eastAsia="Times New Roman" w:hAnsi="Times New Roman" w:cs="Times New Roman"/>
        </w:rPr>
        <w:t>Brignardello</w:t>
      </w:r>
      <w:proofErr w:type="spellEnd"/>
      <w:r>
        <w:rPr>
          <w:rFonts w:ascii="Times New Roman" w:eastAsia="Times New Roman" w:hAnsi="Times New Roman" w:cs="Times New Roman"/>
        </w:rPr>
        <w:t>-Petersen et al., 2020; González Donoso et al., 2022).</w:t>
      </w:r>
    </w:p>
    <w:p w14:paraId="243098F4" w14:textId="77777777" w:rsidR="00183E89" w:rsidRDefault="00183E89">
      <w:pPr>
        <w:spacing w:line="480" w:lineRule="auto"/>
        <w:ind w:firstLine="720"/>
        <w:jc w:val="both"/>
        <w:rPr>
          <w:rFonts w:ascii="Times New Roman" w:eastAsia="Times New Roman" w:hAnsi="Times New Roman" w:cs="Times New Roman"/>
        </w:rPr>
      </w:pPr>
    </w:p>
    <w:p w14:paraId="77689C55"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i/>
        </w:rPr>
        <w:t>Evidence synthesis</w:t>
      </w:r>
    </w:p>
    <w:p w14:paraId="034264F7"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Among the 21 studies, </w:t>
      </w:r>
      <w:proofErr w:type="spellStart"/>
      <w:r>
        <w:rPr>
          <w:rFonts w:ascii="Times New Roman" w:eastAsia="Times New Roman" w:hAnsi="Times New Roman" w:cs="Times New Roman"/>
        </w:rPr>
        <w:t>Aminoshariae</w:t>
      </w:r>
      <w:proofErr w:type="spellEnd"/>
      <w:r>
        <w:rPr>
          <w:rFonts w:ascii="Times New Roman" w:eastAsia="Times New Roman" w:hAnsi="Times New Roman" w:cs="Times New Roman"/>
        </w:rPr>
        <w:t xml:space="preserve"> et al. (2020) reported that smokers have a 67% higher likelihood of presenting periapical lesions. </w:t>
      </w:r>
      <w:proofErr w:type="spellStart"/>
      <w:r>
        <w:rPr>
          <w:rFonts w:ascii="Times New Roman" w:eastAsia="Times New Roman" w:hAnsi="Times New Roman" w:cs="Times New Roman"/>
        </w:rPr>
        <w:t>Sopinska</w:t>
      </w:r>
      <w:proofErr w:type="spellEnd"/>
      <w:r>
        <w:rPr>
          <w:rFonts w:ascii="Times New Roman" w:eastAsia="Times New Roman" w:hAnsi="Times New Roman" w:cs="Times New Roman"/>
        </w:rPr>
        <w:t xml:space="preserve"> et al. (2020) observed periapical lesions in 7.2% of smokers versus 5.2% of non-smokers, while Cheng (2020) found periapical periodontitis in 82% of smokers compared to 63% in non-smokers. Pinto et al. (2020), using animal models, demonstrated that nicotine increases inflammatory responses and lesion size, with more severe effects when combined with alcohol. Their meta-analysis confirmed that smokers have twice the risk of developing periapical periodontitis and/or requiring endodontic treatment.</w:t>
      </w:r>
    </w:p>
    <w:p w14:paraId="2528036A" w14:textId="77777777" w:rsidR="00183E89" w:rsidRDefault="005C32BA">
      <w:pPr>
        <w:spacing w:line="48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(2022), Cavalcante (2022), and Segura-Egea et al. (2023) reported that smoking impairs connective tissue repair and healing of periapical lesions. Segura-Egea et al. (2022) linked smoking to lower root canal success rates and higher postoperative </w:t>
      </w:r>
      <w:proofErr w:type="spellStart"/>
      <w:r>
        <w:rPr>
          <w:rFonts w:ascii="Times New Roman" w:eastAsia="Times New Roman" w:hAnsi="Times New Roman" w:cs="Times New Roman"/>
        </w:rPr>
        <w:t>periradicular</w:t>
      </w:r>
      <w:proofErr w:type="spellEnd"/>
      <w:r>
        <w:rPr>
          <w:rFonts w:ascii="Times New Roman" w:eastAsia="Times New Roman" w:hAnsi="Times New Roman" w:cs="Times New Roman"/>
        </w:rPr>
        <w:t xml:space="preserve"> lesions. Ladegaard et al. (2021) observed delayed inflammatory recovery, while Ribeiro et al. (2021) reported faster periodontal disease progression and poorer treatment outcomes. Cavalcante (2022) and Di Murro et al. (2019) noted increased peri-implantitis risk and impaired tissue healing.</w:t>
      </w:r>
    </w:p>
    <w:p w14:paraId="0B17CF62"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Fan et al. (2020) observed poorer prognosis for endo-periodontal lesions in smokers (39% good vs. 61% poor) compared to non-smokers (78% good vs. 22% poor). Mamani-Tintaya (2018) found higher prevalence of furcation lesions among smokers and former smokers. Pinto et al. (2024) documented greater periapical bone destruction and systemic pro-inflammatory mediator production in rats chronically exposed to nicotine and alcohol. </w:t>
      </w: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(2022) noted treatment delays in 37% of smokers versus 14% of non-smokers. Majid et al. (2023) reported slower healing of periapical lesions, while Mahmood et al. (2019) found worse prognoses proportional to tobacco consumption. Tapia Avendaño et al. (2021) emphasized smoking’s role in promoting oral and systemic diseases.</w:t>
      </w:r>
    </w:p>
    <w:p w14:paraId="2B7B8CDD"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Fan et al. (2020) and </w:t>
      </w:r>
      <w:proofErr w:type="spellStart"/>
      <w:r>
        <w:rPr>
          <w:rFonts w:ascii="Times New Roman" w:eastAsia="Times New Roman" w:hAnsi="Times New Roman" w:cs="Times New Roman"/>
        </w:rPr>
        <w:t>Sopinska</w:t>
      </w:r>
      <w:proofErr w:type="spellEnd"/>
      <w:r>
        <w:rPr>
          <w:rFonts w:ascii="Times New Roman" w:eastAsia="Times New Roman" w:hAnsi="Times New Roman" w:cs="Times New Roman"/>
        </w:rPr>
        <w:t xml:space="preserve"> et al. (2020) reported increased pulp tissue susceptibility in smokers. Conversely, Ozdemir et al. (2019), </w:t>
      </w:r>
      <w:proofErr w:type="spellStart"/>
      <w:r>
        <w:rPr>
          <w:rFonts w:ascii="Times New Roman" w:eastAsia="Times New Roman" w:hAnsi="Times New Roman" w:cs="Times New Roman"/>
        </w:rPr>
        <w:t>Brignardello</w:t>
      </w:r>
      <w:proofErr w:type="spellEnd"/>
      <w:r>
        <w:rPr>
          <w:rFonts w:ascii="Times New Roman" w:eastAsia="Times New Roman" w:hAnsi="Times New Roman" w:cs="Times New Roman"/>
        </w:rPr>
        <w:t xml:space="preserve">-Petersen et al. (2020), González </w:t>
      </w:r>
      <w:r>
        <w:rPr>
          <w:rFonts w:ascii="Times New Roman" w:eastAsia="Times New Roman" w:hAnsi="Times New Roman" w:cs="Times New Roman"/>
        </w:rPr>
        <w:lastRenderedPageBreak/>
        <w:t>Donoso et al. (2022), and Balto et al. (2019) found no significant differences in treatment outcomes or lesion prevalence between smokers and non-smokers.</w:t>
      </w:r>
    </w:p>
    <w:p w14:paraId="3DD7BED8" w14:textId="77777777" w:rsidR="00183E89" w:rsidRDefault="00183E89">
      <w:pPr>
        <w:spacing w:line="480" w:lineRule="auto"/>
        <w:jc w:val="both"/>
        <w:rPr>
          <w:rFonts w:ascii="Times New Roman" w:eastAsia="Times New Roman" w:hAnsi="Times New Roman" w:cs="Times New Roman"/>
        </w:rPr>
      </w:pPr>
    </w:p>
    <w:p w14:paraId="18C14607"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Thematic analysis</w:t>
      </w:r>
    </w:p>
    <w:p w14:paraId="49A8410D"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Four thematic groups emerged following Braun and Clarke’s framework: (1) Increased susceptibility to inflammatory oral diseases; (2) Impaired healing and treatment outcomes; (3) Contradictory findings on smoking and periapical lesions; (4) Variation in findings and methodological heterogeneity.</w:t>
      </w:r>
    </w:p>
    <w:p w14:paraId="56D466A3" w14:textId="77777777" w:rsidR="00183E89" w:rsidRDefault="00183E89">
      <w:pPr>
        <w:spacing w:line="480" w:lineRule="auto"/>
        <w:ind w:firstLine="720"/>
        <w:jc w:val="both"/>
        <w:rPr>
          <w:rFonts w:ascii="Times New Roman" w:eastAsia="Times New Roman" w:hAnsi="Times New Roman" w:cs="Times New Roman"/>
        </w:rPr>
      </w:pPr>
    </w:p>
    <w:p w14:paraId="2D727008"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Increased susceptibility to inflammatory oral diseases</w:t>
      </w:r>
    </w:p>
    <w:p w14:paraId="1A409D34"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Eight studies consistently identified higher susceptibility of smokers to inflammatory oral conditions, including periapical lesions, highlighting elevated inflammatory responses, increased lesion size, and higher prevalence compared to non-smokers (Di Murro et al., 2019; </w:t>
      </w:r>
      <w:proofErr w:type="spellStart"/>
      <w:r>
        <w:rPr>
          <w:rFonts w:ascii="Times New Roman" w:eastAsia="Times New Roman" w:hAnsi="Times New Roman" w:cs="Times New Roman"/>
        </w:rPr>
        <w:t>Aminoshariae</w:t>
      </w:r>
      <w:proofErr w:type="spellEnd"/>
      <w:r>
        <w:rPr>
          <w:rFonts w:ascii="Times New Roman" w:eastAsia="Times New Roman" w:hAnsi="Times New Roman" w:cs="Times New Roman"/>
        </w:rPr>
        <w:t xml:space="preserve"> et al., 2020; Cheng, 2020; Fan et al., 2020; Pinto et al., 2020; Pinto et al., 2020; </w:t>
      </w:r>
      <w:proofErr w:type="spellStart"/>
      <w:r>
        <w:rPr>
          <w:rFonts w:ascii="Times New Roman" w:eastAsia="Times New Roman" w:hAnsi="Times New Roman" w:cs="Times New Roman"/>
        </w:rPr>
        <w:t>Sopinska</w:t>
      </w:r>
      <w:proofErr w:type="spellEnd"/>
      <w:r>
        <w:rPr>
          <w:rFonts w:ascii="Times New Roman" w:eastAsia="Times New Roman" w:hAnsi="Times New Roman" w:cs="Times New Roman"/>
        </w:rPr>
        <w:t xml:space="preserve"> et al., 2020; Tapia Avendaño, 2021). Animal models further demonstrated that nicotine, especially when combined with alcohol, exacerbates inflammation and tissue damage (Pinto et al., 2020).</w:t>
      </w:r>
    </w:p>
    <w:p w14:paraId="3BDB9381" w14:textId="77777777" w:rsidR="00183E89" w:rsidRDefault="00183E89">
      <w:pPr>
        <w:spacing w:line="480" w:lineRule="auto"/>
        <w:ind w:firstLine="720"/>
        <w:jc w:val="both"/>
        <w:rPr>
          <w:rFonts w:ascii="Times New Roman" w:eastAsia="Times New Roman" w:hAnsi="Times New Roman" w:cs="Times New Roman"/>
        </w:rPr>
      </w:pPr>
    </w:p>
    <w:p w14:paraId="71B69DDE"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b/>
          <w:i/>
        </w:rPr>
        <w:t>Impaired healing and treatment outcomes</w:t>
      </w:r>
    </w:p>
    <w:p w14:paraId="05D33DF8"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Seven studies documented that smoking impairs tissue repair and negatively affects clinical outcomes in </w:t>
      </w:r>
      <w:proofErr w:type="spellStart"/>
      <w:r>
        <w:rPr>
          <w:rFonts w:ascii="Times New Roman" w:eastAsia="Times New Roman" w:hAnsi="Times New Roman" w:cs="Times New Roman"/>
        </w:rPr>
        <w:t>periapical</w:t>
      </w:r>
      <w:proofErr w:type="spellEnd"/>
      <w:r>
        <w:rPr>
          <w:rFonts w:ascii="Times New Roman" w:eastAsia="Times New Roman" w:hAnsi="Times New Roman" w:cs="Times New Roman"/>
        </w:rPr>
        <w:t xml:space="preserve"> and periodontal treatments (Mahmood, 2019; </w:t>
      </w: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2020; Ladegaard et al., 2021; Ribeiro et al., 2021; Majid, 2023; Segura-Egea et al., 2023; Pinto et al., 2024). Delayed inflammatory recovery, reduced success rates in root canal therapies, and slower healing of periapical lesions were common. Smoking was also associated with increased risk of peri-implantitis and treatment delays, highlighting the detrimental influence of tobacco on regenerative processes and clinical prognosis.</w:t>
      </w:r>
    </w:p>
    <w:p w14:paraId="13FD115D" w14:textId="77777777" w:rsidR="00183E89" w:rsidRDefault="00183E89">
      <w:pPr>
        <w:spacing w:line="480" w:lineRule="auto"/>
        <w:jc w:val="both"/>
        <w:rPr>
          <w:rFonts w:ascii="Times New Roman" w:eastAsia="Times New Roman" w:hAnsi="Times New Roman" w:cs="Times New Roman"/>
        </w:rPr>
      </w:pPr>
    </w:p>
    <w:p w14:paraId="6E8FCE16"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Contradictory findings on the association between smoking and periapical lesions</w:t>
      </w:r>
    </w:p>
    <w:p w14:paraId="1DE20FC4"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 minority of studies found no significant association between tobacco use and periapical lesion prevalence or treatment outcomes (Balto et al., 2019; Ozdemir et al., 2019; </w:t>
      </w:r>
      <w:proofErr w:type="spellStart"/>
      <w:r>
        <w:rPr>
          <w:rFonts w:ascii="Times New Roman" w:eastAsia="Times New Roman" w:hAnsi="Times New Roman" w:cs="Times New Roman"/>
        </w:rPr>
        <w:t>Brignardello</w:t>
      </w:r>
      <w:proofErr w:type="spellEnd"/>
      <w:r>
        <w:rPr>
          <w:rFonts w:ascii="Times New Roman" w:eastAsia="Times New Roman" w:hAnsi="Times New Roman" w:cs="Times New Roman"/>
        </w:rPr>
        <w:t>-Petersen et al., 2020; González Donoso et al., 2022), reflecting variability in study designs, populations, and protocols.</w:t>
      </w:r>
    </w:p>
    <w:p w14:paraId="048389BB" w14:textId="77777777" w:rsidR="00183E89" w:rsidRDefault="00183E89">
      <w:pPr>
        <w:spacing w:line="480" w:lineRule="auto"/>
        <w:jc w:val="both"/>
        <w:rPr>
          <w:rFonts w:ascii="Times New Roman" w:eastAsia="Times New Roman" w:hAnsi="Times New Roman" w:cs="Times New Roman"/>
        </w:rPr>
      </w:pPr>
    </w:p>
    <w:p w14:paraId="45476EE6"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Smoking as a promoter of systemic and local oral diseases</w:t>
      </w:r>
    </w:p>
    <w:p w14:paraId="60764E96"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Smoking was further highlighted as a promoter of systemic and oral diseases, including furcation lesions and generalized bone destruction, reinforcing the need to integrate smoking cessation into comprehensive oral health strategies (Mamani-Tintaya, 2018; Tapia Avendaño et al., 2021; Pinto et al., 2024). This evidence supports the inclusion of smoking cessation measures within broader oral health management programs.</w:t>
      </w:r>
    </w:p>
    <w:p w14:paraId="35B1B2F3" w14:textId="77777777" w:rsidR="00183E89" w:rsidRDefault="00183E89">
      <w:pPr>
        <w:spacing w:line="480" w:lineRule="auto"/>
        <w:jc w:val="both"/>
        <w:rPr>
          <w:rFonts w:ascii="Times New Roman" w:eastAsia="Times New Roman" w:hAnsi="Times New Roman" w:cs="Times New Roman"/>
        </w:rPr>
      </w:pPr>
    </w:p>
    <w:p w14:paraId="7D2AE1AD" w14:textId="77777777" w:rsidR="00183E89" w:rsidRDefault="005C32BA">
      <w:pPr>
        <w:spacing w:line="480" w:lineRule="auto"/>
        <w:jc w:val="both"/>
        <w:rPr>
          <w:rFonts w:ascii="Times New Roman" w:eastAsia="Times New Roman" w:hAnsi="Times New Roman" w:cs="Times New Roman"/>
          <w:b/>
        </w:rPr>
      </w:pPr>
      <w:r>
        <w:br w:type="page"/>
      </w:r>
    </w:p>
    <w:p w14:paraId="71209C09"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DISCUSSION</w:t>
      </w:r>
    </w:p>
    <w:p w14:paraId="0B0EFE95" w14:textId="77777777" w:rsidR="00183E89" w:rsidRDefault="00183E89">
      <w:pPr>
        <w:spacing w:line="480" w:lineRule="auto"/>
        <w:ind w:firstLine="720"/>
        <w:jc w:val="both"/>
        <w:rPr>
          <w:rFonts w:ascii="Times New Roman" w:eastAsia="Times New Roman" w:hAnsi="Times New Roman" w:cs="Times New Roman"/>
        </w:rPr>
      </w:pPr>
    </w:p>
    <w:p w14:paraId="5949509A"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studies consistently indicate that smoking contributes to elevated inflammatory responses, increased lesion size, and greater prevalence of periapical pathologies, with animal models showing that nicotine, especially when combined with alcohol, exacerbates inflammation and tissue damage (Pinto et al., 2020), highlighting smoking as a critical risk factor for the initiation and progression of oral inflammatory diseases.</w:t>
      </w:r>
    </w:p>
    <w:p w14:paraId="6CA5FFCE"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Smoking also increases systemic inflammatory burden and complex oral pathologies, such as furcation lesions and generalized bone destruction (Mamani-Tintaya, 2018; Tapia Avendaño et al., 2021; Pinto et al., 2024), underscoring the importance of integrating smoking cessation into oral health strategies. While most studies confirmed adverse impacts, some found no significant association ( Balto et al., 2019; Ozdemir et al., 2019; </w:t>
      </w:r>
      <w:proofErr w:type="spellStart"/>
      <w:r>
        <w:rPr>
          <w:rFonts w:ascii="Times New Roman" w:eastAsia="Times New Roman" w:hAnsi="Times New Roman" w:cs="Times New Roman"/>
        </w:rPr>
        <w:t>Brignardello</w:t>
      </w:r>
      <w:proofErr w:type="spellEnd"/>
      <w:r>
        <w:rPr>
          <w:rFonts w:ascii="Times New Roman" w:eastAsia="Times New Roman" w:hAnsi="Times New Roman" w:cs="Times New Roman"/>
        </w:rPr>
        <w:t>-Petersen et al., 2020; González Donoso et al., 2022), reflecting differences in study design, population, and treatment protocols.</w:t>
      </w:r>
    </w:p>
    <w:p w14:paraId="37537633"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Smoking impairs tissue repair and negatively affects clinical outcomes, including delayed healing, lower root canal success rates, increased postoperative lesions, higher peri-implantitis risk, and treatment delays (Di Murro et al., 2019; Fan et al., 2020; Ladegaard et al., 2021; Ribeiro et al., 2021; </w:t>
      </w: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2022; Cavalcante, 2022; Segura-Egea et al., 2023; Majid et al., 2023).</w:t>
      </w:r>
    </w:p>
    <w:p w14:paraId="17EA5FD1"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This review has some limitations. Methodological heterogeneity among the 21 included studies, encompassing differences in design, population, and treatment protocols, may have contributed to variability, but this is expected in integrative reviews, which synthesize diverse evidence (Ganong, 1987; Braun; Clarke, 2006). Geographical diversity, although limited in some countries, provides insights into trends influenced by regional factors and highlights cross-territory patterns in smoking-related oral inflammatory outcomes.</w:t>
      </w:r>
    </w:p>
    <w:p w14:paraId="156A8DE0"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To minimize potential regional biases and indexing limitations, a deliberate strategy was adopted in selecting databases. Only two sources were included: PubMed and Google Scholar, the latter of which aggregates multiple databases and helps reduce duplicates, thereby enhancing coverage without compromising the relevance of the findings.</w:t>
      </w:r>
    </w:p>
    <w:p w14:paraId="33D17FA6"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In summary, the main limitations include methodological heterogeneity, temporal restrictions, geographical variability with low representation per country, and differences in study type. Despite these factors, the integrative approach allows identification of consistent trends across diverse populations and study designs, providing a robust synthesis of current evidence on smoking’s impact on pulpal and periapical health.</w:t>
      </w:r>
    </w:p>
    <w:p w14:paraId="071AE2C4" w14:textId="77777777" w:rsidR="00183E89" w:rsidRDefault="00183E89">
      <w:pPr>
        <w:spacing w:line="480" w:lineRule="auto"/>
        <w:ind w:firstLine="720"/>
        <w:jc w:val="both"/>
        <w:rPr>
          <w:rFonts w:ascii="Times New Roman" w:eastAsia="Times New Roman" w:hAnsi="Times New Roman" w:cs="Times New Roman"/>
        </w:rPr>
      </w:pPr>
    </w:p>
    <w:p w14:paraId="2D7A3C6A" w14:textId="77777777" w:rsidR="00183E89" w:rsidRDefault="00183E89">
      <w:pPr>
        <w:spacing w:line="480" w:lineRule="auto"/>
        <w:ind w:firstLine="720"/>
        <w:jc w:val="both"/>
        <w:rPr>
          <w:rFonts w:ascii="Times New Roman" w:eastAsia="Times New Roman" w:hAnsi="Times New Roman" w:cs="Times New Roman"/>
        </w:rPr>
      </w:pPr>
    </w:p>
    <w:p w14:paraId="456C85B9" w14:textId="77777777" w:rsidR="00183E89" w:rsidRDefault="005C32BA">
      <w:pPr>
        <w:spacing w:line="480" w:lineRule="auto"/>
        <w:jc w:val="both"/>
        <w:rPr>
          <w:rFonts w:ascii="Times New Roman" w:eastAsia="Times New Roman" w:hAnsi="Times New Roman" w:cs="Times New Roman"/>
          <w:b/>
        </w:rPr>
      </w:pPr>
      <w:r>
        <w:br w:type="page"/>
      </w:r>
    </w:p>
    <w:p w14:paraId="6F52F487"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CONCLUSION</w:t>
      </w:r>
    </w:p>
    <w:p w14:paraId="5C7BD594" w14:textId="77777777" w:rsidR="00183E89" w:rsidRDefault="00183E89">
      <w:pPr>
        <w:spacing w:line="480" w:lineRule="auto"/>
        <w:ind w:firstLine="720"/>
        <w:jc w:val="both"/>
        <w:rPr>
          <w:rFonts w:ascii="Times New Roman" w:eastAsia="Times New Roman" w:hAnsi="Times New Roman" w:cs="Times New Roman"/>
        </w:rPr>
      </w:pPr>
    </w:p>
    <w:p w14:paraId="15BD7665"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This review provides a comprehensive synthesis of current evidence, highlighting smoking as a critical risk factor for pulpal and periapical pathologies. Tobacco use exacerbates inflammatory responses, impairs tissue repair, and reduces treatment success rates. Most studies consistently show that smokers are more likely to develop periapical lesions, experience delayed healing, and present poorer clinical outcomes compared to non-smokers. These findings emphasize the importance of integrating smoking cessation strategies into comprehensive oral health programs to mitigate both local and systemic effects of tobacco use.</w:t>
      </w:r>
    </w:p>
    <w:p w14:paraId="733F83BC" w14:textId="77777777" w:rsidR="004F7A76" w:rsidRDefault="004F7A76">
      <w:pPr>
        <w:spacing w:line="480" w:lineRule="auto"/>
        <w:ind w:firstLine="720"/>
        <w:jc w:val="both"/>
        <w:rPr>
          <w:rFonts w:ascii="Times New Roman" w:eastAsia="Times New Roman" w:hAnsi="Times New Roman" w:cs="Times New Roman"/>
        </w:rPr>
      </w:pPr>
    </w:p>
    <w:p w14:paraId="7509C9B5" w14:textId="77777777" w:rsidR="004F7A76" w:rsidRDefault="004F7A76" w:rsidP="004F7A76">
      <w:pPr>
        <w:spacing w:line="480" w:lineRule="auto"/>
        <w:jc w:val="both"/>
        <w:rPr>
          <w:rFonts w:ascii="Times New Roman" w:eastAsia="Times New Roman" w:hAnsi="Times New Roman" w:cs="Times New Roman"/>
          <w:b/>
        </w:rPr>
      </w:pPr>
      <w:r>
        <w:rPr>
          <w:rFonts w:ascii="Times New Roman" w:eastAsia="Times New Roman" w:hAnsi="Times New Roman" w:cs="Times New Roman"/>
          <w:b/>
        </w:rPr>
        <w:t>DECLARATIONS</w:t>
      </w:r>
    </w:p>
    <w:p w14:paraId="138C1872" w14:textId="77777777" w:rsidR="004F7A76" w:rsidRDefault="004F7A76" w:rsidP="004F7A76">
      <w:pPr>
        <w:spacing w:line="480" w:lineRule="auto"/>
        <w:jc w:val="both"/>
        <w:rPr>
          <w:rFonts w:ascii="Times New Roman" w:eastAsia="Times New Roman" w:hAnsi="Times New Roman" w:cs="Times New Roman"/>
          <w:b/>
        </w:rPr>
      </w:pPr>
    </w:p>
    <w:p w14:paraId="00929247" w14:textId="77777777" w:rsidR="004F7A76" w:rsidRDefault="004F7A76" w:rsidP="004F7A76">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Ethics approval and consent to participate</w:t>
      </w:r>
    </w:p>
    <w:p w14:paraId="12025E80" w14:textId="77777777" w:rsidR="004F7A76" w:rsidRDefault="004F7A76" w:rsidP="004F7A76">
      <w:pPr>
        <w:spacing w:line="480" w:lineRule="auto"/>
        <w:jc w:val="both"/>
        <w:rPr>
          <w:rFonts w:ascii="Times New Roman" w:eastAsia="Times New Roman" w:hAnsi="Times New Roman" w:cs="Times New Roman"/>
        </w:rPr>
      </w:pPr>
      <w:r>
        <w:rPr>
          <w:rFonts w:ascii="Times New Roman" w:eastAsia="Times New Roman" w:hAnsi="Times New Roman" w:cs="Times New Roman"/>
        </w:rPr>
        <w:t>Not applicable.</w:t>
      </w:r>
    </w:p>
    <w:p w14:paraId="7FF00A85" w14:textId="77777777" w:rsidR="004F7A76" w:rsidRDefault="004F7A76" w:rsidP="004F7A76">
      <w:pPr>
        <w:spacing w:line="480" w:lineRule="auto"/>
        <w:jc w:val="both"/>
        <w:rPr>
          <w:rFonts w:ascii="Times New Roman" w:eastAsia="Times New Roman" w:hAnsi="Times New Roman" w:cs="Times New Roman"/>
          <w:b/>
        </w:rPr>
      </w:pPr>
    </w:p>
    <w:p w14:paraId="36D09A99" w14:textId="77777777" w:rsidR="004F7A76" w:rsidRDefault="004F7A76" w:rsidP="004F7A76">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Consent for publication</w:t>
      </w:r>
    </w:p>
    <w:p w14:paraId="7BC7AEA1" w14:textId="77777777" w:rsidR="004F7A76" w:rsidRDefault="004F7A76" w:rsidP="004F7A76">
      <w:pPr>
        <w:spacing w:line="480" w:lineRule="auto"/>
        <w:jc w:val="both"/>
        <w:rPr>
          <w:rFonts w:ascii="Times New Roman" w:eastAsia="Times New Roman" w:hAnsi="Times New Roman" w:cs="Times New Roman"/>
        </w:rPr>
      </w:pPr>
      <w:r>
        <w:rPr>
          <w:rFonts w:ascii="Times New Roman" w:eastAsia="Times New Roman" w:hAnsi="Times New Roman" w:cs="Times New Roman"/>
        </w:rPr>
        <w:t>Not applicable.</w:t>
      </w:r>
    </w:p>
    <w:p w14:paraId="36834888" w14:textId="77777777" w:rsidR="004F7A76" w:rsidRDefault="004F7A76" w:rsidP="004F7A76">
      <w:pPr>
        <w:spacing w:line="480" w:lineRule="auto"/>
        <w:jc w:val="both"/>
        <w:rPr>
          <w:rFonts w:ascii="Times New Roman" w:eastAsia="Times New Roman" w:hAnsi="Times New Roman" w:cs="Times New Roman"/>
        </w:rPr>
      </w:pPr>
    </w:p>
    <w:p w14:paraId="65824E90" w14:textId="77777777" w:rsidR="004F7A76" w:rsidRDefault="004F7A76" w:rsidP="004F7A76">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Availability of data and materials</w:t>
      </w:r>
    </w:p>
    <w:p w14:paraId="530CDD40" w14:textId="77777777" w:rsidR="004F7A76" w:rsidRDefault="004F7A76" w:rsidP="004F7A76">
      <w:pPr>
        <w:spacing w:line="480" w:lineRule="auto"/>
        <w:jc w:val="both"/>
        <w:rPr>
          <w:rFonts w:ascii="Times New Roman" w:eastAsia="Times New Roman" w:hAnsi="Times New Roman" w:cs="Times New Roman"/>
        </w:rPr>
      </w:pPr>
      <w:r>
        <w:rPr>
          <w:rFonts w:ascii="Times New Roman" w:eastAsia="Times New Roman" w:hAnsi="Times New Roman" w:cs="Times New Roman"/>
        </w:rPr>
        <w:t>Data sharing is not applicable to this article as no datasets were generated or analysed during the current study.</w:t>
      </w:r>
    </w:p>
    <w:p w14:paraId="2F90D284" w14:textId="77777777" w:rsidR="004F7A76" w:rsidRDefault="004F7A76" w:rsidP="004F7A76">
      <w:pPr>
        <w:spacing w:line="480" w:lineRule="auto"/>
        <w:jc w:val="both"/>
        <w:rPr>
          <w:rFonts w:ascii="Times New Roman" w:eastAsia="Times New Roman" w:hAnsi="Times New Roman" w:cs="Times New Roman"/>
        </w:rPr>
      </w:pPr>
    </w:p>
    <w:p w14:paraId="28F9291E" w14:textId="77777777" w:rsidR="004F7A76" w:rsidRDefault="004F7A76" w:rsidP="004F7A76">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Ethics declaration</w:t>
      </w:r>
    </w:p>
    <w:p w14:paraId="79AB272E" w14:textId="77777777" w:rsidR="004F7A76" w:rsidRDefault="004F7A76" w:rsidP="004F7A76">
      <w:pPr>
        <w:spacing w:line="480" w:lineRule="auto"/>
        <w:jc w:val="both"/>
        <w:rPr>
          <w:rFonts w:ascii="Times New Roman" w:eastAsia="Times New Roman" w:hAnsi="Times New Roman" w:cs="Times New Roman"/>
        </w:rPr>
      </w:pPr>
      <w:r>
        <w:rPr>
          <w:rFonts w:ascii="Times New Roman" w:eastAsia="Times New Roman" w:hAnsi="Times New Roman" w:cs="Times New Roman"/>
        </w:rPr>
        <w:t>Not applicable.</w:t>
      </w:r>
    </w:p>
    <w:p w14:paraId="360B1443" w14:textId="77777777" w:rsidR="004F7A76" w:rsidRDefault="004F7A76" w:rsidP="004F7A76">
      <w:pPr>
        <w:spacing w:line="480" w:lineRule="auto"/>
        <w:jc w:val="both"/>
        <w:rPr>
          <w:rFonts w:ascii="Times New Roman" w:eastAsia="Times New Roman" w:hAnsi="Times New Roman" w:cs="Times New Roman"/>
        </w:rPr>
      </w:pPr>
    </w:p>
    <w:p w14:paraId="5FBBFB48" w14:textId="77777777" w:rsidR="004F7A76" w:rsidRPr="004F7A76" w:rsidRDefault="004F7A76" w:rsidP="004F7A76">
      <w:pPr>
        <w:spacing w:after="200"/>
        <w:jc w:val="both"/>
        <w:outlineLvl w:val="0"/>
        <w:rPr>
          <w:rFonts w:eastAsia="Times New Roman"/>
          <w:lang w:val="en-GB" w:eastAsia="en-GB"/>
        </w:rPr>
      </w:pPr>
      <w:r w:rsidRPr="004F7A76">
        <w:rPr>
          <w:rFonts w:eastAsia="Times New Roman"/>
          <w:b/>
          <w:bCs/>
          <w:lang w:val="en-GB" w:eastAsia="en-GB"/>
        </w:rPr>
        <w:t>COMPETING INTERESTS DISCLAIMER:</w:t>
      </w:r>
    </w:p>
    <w:p w14:paraId="49A3EE58" w14:textId="77777777" w:rsidR="004F7A76" w:rsidRPr="004F7A76" w:rsidRDefault="004F7A76" w:rsidP="004F7A76">
      <w:pPr>
        <w:spacing w:after="200"/>
        <w:rPr>
          <w:rFonts w:ascii="Calibri" w:eastAsia="Times New Roman" w:hAnsi="Calibri" w:cs="Times New Roman"/>
          <w:lang w:val="en-GB" w:eastAsia="en-GB"/>
        </w:rPr>
      </w:pPr>
      <w:r w:rsidRPr="004F7A76">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2073BC30" w14:textId="77777777" w:rsidR="00183E89" w:rsidRDefault="005C32BA">
      <w:pPr>
        <w:spacing w:line="480" w:lineRule="auto"/>
        <w:jc w:val="both"/>
        <w:rPr>
          <w:rFonts w:ascii="Times New Roman" w:eastAsia="Times New Roman" w:hAnsi="Times New Roman" w:cs="Times New Roman"/>
          <w:b/>
        </w:rPr>
      </w:pPr>
      <w:r>
        <w:br w:type="page"/>
      </w:r>
    </w:p>
    <w:p w14:paraId="13073975"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REFERENCES</w:t>
      </w:r>
    </w:p>
    <w:p w14:paraId="173403F0" w14:textId="77777777" w:rsidR="00183E89" w:rsidRDefault="00183E89">
      <w:pPr>
        <w:spacing w:line="480" w:lineRule="auto"/>
        <w:jc w:val="both"/>
        <w:rPr>
          <w:rFonts w:ascii="Times New Roman" w:eastAsia="Times New Roman" w:hAnsi="Times New Roman" w:cs="Times New Roman"/>
          <w:b/>
        </w:rPr>
      </w:pPr>
    </w:p>
    <w:p w14:paraId="4FAEA954"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 AMINOSHARIAE, A.; KULILD, J.; GUTMANN, J. The association between smoking and periapical periodontitis: a systematic review. Clinical Oral Investigations, vol. 24, no. 2, p. 533-545,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10.1007/s00784-019-03094-6.</w:t>
      </w:r>
    </w:p>
    <w:p w14:paraId="7AA2C89D"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 BALTO, H. A.; ALABDULAALY, L.; BAHAMMAM, S.; et al. Comparative analysis of prevalence of apical periodontitis in smokers and nonsmokers using cone-beam computed tomography. Saudi Dental Journal, vol. 31, no. 1, p. 52-57, 2019.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10.1016/j.sdentj.2018.09.006</w:t>
      </w:r>
    </w:p>
    <w:p w14:paraId="51F72BB7"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3. BERNARDES, V.; FERRES, M.; JÚNIOR, W. Smoking and periodontal diseases. FOL – School of Dentistry of Lins/UNIMEP, v. 23, n. 1, p. 37-45, 2013.</w:t>
      </w:r>
    </w:p>
    <w:p w14:paraId="1254EEEA"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4. BRAUN, V.; CLARKE, V. Using thematic analysis in psychology. Qualitative Research in Psychology, v. 3, n. 2, p. 77-101, 2006.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10.1191/1478088706qp063oa.10.1191/1478088706qp063oa.</w:t>
      </w:r>
    </w:p>
    <w:p w14:paraId="5F5E3BE8"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5. BRIGNARDELLO-PETERSEN, R. Smokers may have a higher prevalence of apical periodontitis and root canal treatment than nonsmokers, but this is not evidence that smoking is a risk factor for these outcomes. Journal of the American Dental Association, v. 151, n. 11, e113,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10.1016/j.adaj.2020.07.009.</w:t>
      </w:r>
    </w:p>
    <w:p w14:paraId="3D2D1643"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6. CAVALCANTE, M. L. S. P. The influence of conventional and electronic cigarettes on oral rehabilitation with dental implants. 2022. Dissertation (Integrated Master's in Dentistry) — University of Porto, Porto, 2022. Available at: https://sigarra.up.pt/faup/pt/pub_geral.show_file?pi_doc_id=359618.</w:t>
      </w:r>
    </w:p>
    <w:p w14:paraId="05BBE029"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7. CHENG, L. L. Smoking may increase the risk of periapical periodontitis. Journal of Evidence-Based Dental Practice, v. 20, no. 4, p. 101500,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10.1016/j.jebdp.2020.101500.</w:t>
      </w:r>
    </w:p>
    <w:p w14:paraId="139333E1"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8. DI MURRO, B.; PAPI, P.; LETIZIA, C.; POMPA, G. The prevalence of peri-implant diseases in patients with metabolic syndrome: a case-control study on an Italian population </w:t>
      </w:r>
      <w:r w:rsidRPr="001B5BEF">
        <w:rPr>
          <w:rFonts w:ascii="Times New Roman" w:eastAsia="Times New Roman" w:hAnsi="Times New Roman" w:cs="Times New Roman"/>
        </w:rPr>
        <w:lastRenderedPageBreak/>
        <w:t xml:space="preserve">sample. Minerva </w:t>
      </w:r>
      <w:proofErr w:type="spellStart"/>
      <w:r w:rsidRPr="001B5BEF">
        <w:rPr>
          <w:rFonts w:ascii="Times New Roman" w:eastAsia="Times New Roman" w:hAnsi="Times New Roman" w:cs="Times New Roman"/>
        </w:rPr>
        <w:t>Stomatologica</w:t>
      </w:r>
      <w:proofErr w:type="spellEnd"/>
      <w:r w:rsidRPr="001B5BEF">
        <w:rPr>
          <w:rFonts w:ascii="Times New Roman" w:eastAsia="Times New Roman" w:hAnsi="Times New Roman" w:cs="Times New Roman"/>
        </w:rPr>
        <w:t xml:space="preserve">, vol. 68, no. 4, p. 143-149, 2019.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10.23736/S0026-4970.19.04243-2.</w:t>
      </w:r>
    </w:p>
    <w:p w14:paraId="1139EDF2"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9. FAN, X.; XU, X.; YU, S.; et al. Prognostic factors of grade 2–3 </w:t>
      </w:r>
      <w:proofErr w:type="spellStart"/>
      <w:r w:rsidRPr="001B5BEF">
        <w:rPr>
          <w:rFonts w:ascii="Times New Roman" w:eastAsia="Times New Roman" w:hAnsi="Times New Roman" w:cs="Times New Roman"/>
        </w:rPr>
        <w:t>endo</w:t>
      </w:r>
      <w:proofErr w:type="spellEnd"/>
      <w:r w:rsidRPr="001B5BEF">
        <w:rPr>
          <w:rFonts w:ascii="Times New Roman" w:eastAsia="Times New Roman" w:hAnsi="Times New Roman" w:cs="Times New Roman"/>
        </w:rPr>
        <w:t xml:space="preserve">-periodontal lesions treated </w:t>
      </w:r>
      <w:proofErr w:type="spellStart"/>
      <w:r w:rsidRPr="001B5BEF">
        <w:rPr>
          <w:rFonts w:ascii="Times New Roman" w:eastAsia="Times New Roman" w:hAnsi="Times New Roman" w:cs="Times New Roman"/>
        </w:rPr>
        <w:t>nonsurgically</w:t>
      </w:r>
      <w:proofErr w:type="spellEnd"/>
      <w:r w:rsidRPr="001B5BEF">
        <w:rPr>
          <w:rFonts w:ascii="Times New Roman" w:eastAsia="Times New Roman" w:hAnsi="Times New Roman" w:cs="Times New Roman"/>
        </w:rPr>
        <w:t xml:space="preserve"> in patients with periodontitis: a retrospective case-control study. BioMed Research International, 2020, Article ID 1592910,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10.1155/2020/1592910.</w:t>
      </w:r>
    </w:p>
    <w:p w14:paraId="766A2105"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10. GANONG, L. H. Integrative reviews of nursing research. Research in Nursing &amp; Health, vol. 10, no. 1, p. 1-11, 1987.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10.1002/nur.4770100103.</w:t>
      </w:r>
    </w:p>
    <w:p w14:paraId="6081C14A"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11. GONZÁLEZ DONOSO, A. Association between smoking habit, serum cotinine and the size of periapical lesions in patients with apical periodontitis. 2002. Dissertation (Master's) — Universidad de Chile, Santiago de Chile, 2002.</w:t>
      </w:r>
    </w:p>
    <w:p w14:paraId="6CE1131D"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12. IDEO, F.; NIAZI, S.; MEZZENA, S.; MANNOCCI, F.; COTTI, E. Prevalence of apical periodontitis in patients with autoimmune diseases under immunomodulators: a retrospective cohort study. Journal of Endodontics, v. 48, n. 6, p. 722-729, 2022.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10.1016/j.joen.2022.02.008.</w:t>
      </w:r>
    </w:p>
    <w:p w14:paraId="11A73A92"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13. KFOURI, S. A.; NETO, J. E.; KOIFMAN, S.; et al. Fraction of head and neck cancer attributable to tobacco and alcohol in cities of three Brazilian regions. Brazilian Journal of Epidemiology, v. 21, e180005, 2018.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10.1590/1980-549720180005.</w:t>
      </w:r>
    </w:p>
    <w:p w14:paraId="577EB067"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14. KIRCHMAIER, M.; MARTINS, S. R.; OLIVEIRA, A. F.; ROCHA, L. C. Tobacco control in primary care. DOMO Magazine, v. 3, p. 1-9, 2023.</w:t>
      </w:r>
    </w:p>
    <w:p w14:paraId="3242568E"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15. KIRKEVANG, L. L.; WENZEL, A. Risk indicators for apical periodontitis. Community Dentistry and Oral Epidemiology, vol. 31, no. 1, p. 59-67, 2003.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10.1034/j.1600-0528.2003.00032.x.</w:t>
      </w:r>
    </w:p>
    <w:p w14:paraId="6128692B" w14:textId="77777777" w:rsid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16. LADEGAARD GRØNKJÆR, L.; HOLMSTRUP, P.; JEPSEN, P.; VILSTRUP, H. The impact of oral diseases in cirrhosis on complications and mortality. JGH Open, vol. 5, no. 2, p. 294-300, 2021.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10.1002/jgh3.12489.</w:t>
      </w:r>
    </w:p>
    <w:p w14:paraId="79E89315"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lastRenderedPageBreak/>
        <w:t xml:space="preserve">17. LÓPEZ-LÓPEZ, J.; JANÉ-SALAS, E.; MARTÍN-GONZÁLEZ, J.; et al. Tobacco smoking and radiographic periapical status: a retrospective case-control study. Journal of Endodontics, vol. 38, no. 5, p. 584-588, 2012.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10.1016/j.joen.2012.02.011.</w:t>
      </w:r>
    </w:p>
    <w:p w14:paraId="6A5F839D"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18. MAHMOOD, A. A.; ABDULAZEEZ, A. R.; HUSSEIN, H. M. The effect of smoking habit on apical status of adequate endodontically treated teeth with and without periodontal involvement. Clinical, Cosmetic and Investigational Dentistry, vol. 11, p. 419-428, 2019.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10.2147/CCIDE.S236747.</w:t>
      </w:r>
    </w:p>
    <w:p w14:paraId="6D4908F5"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19. MAJID, O. W. Dose–response association of smoking with delayed healing of apical periodontitis after endodontic treatment. Evidence-Based Dentistry, v. 24, n. 4, p. 174-175, 2023.</w:t>
      </w:r>
    </w:p>
    <w:p w14:paraId="25E98090"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20. MAMANI TINTAYA, E. Prevalence of furcation injuries in smoking and post-smoking patients in a private practice, Arequipa. 2018. 2018. Undergraduate Thesis (Undergraduate Degree in Dentistry) — Universidad Católica de Santa María, Arequipa, 2018. Available at: https://renati.sunedu.gob.pe/handle/renati/2077947.</w:t>
      </w:r>
    </w:p>
    <w:p w14:paraId="09F5DAF9"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21. NEWMAN, A. A.; CARRANZA, F. Clinical periodontics. 13. ed. [</w:t>
      </w:r>
      <w:proofErr w:type="spellStart"/>
      <w:r w:rsidRPr="001B5BEF">
        <w:rPr>
          <w:rFonts w:ascii="Times New Roman" w:eastAsia="Times New Roman" w:hAnsi="Times New Roman" w:cs="Times New Roman"/>
        </w:rPr>
        <w:t>S.l</w:t>
      </w:r>
      <w:proofErr w:type="spellEnd"/>
      <w:r w:rsidRPr="001B5BEF">
        <w:rPr>
          <w:rFonts w:ascii="Times New Roman" w:eastAsia="Times New Roman" w:hAnsi="Times New Roman" w:cs="Times New Roman"/>
        </w:rPr>
        <w:t>.]: Editora GEM, 2020.</w:t>
      </w:r>
    </w:p>
    <w:p w14:paraId="37DE40F3"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22. ÖZDEMIR, M. B.; KARATAŞ, E.; ALBAYRAK, M.; BAYIR, Y. Effect of intracanal medications on matrix metalloproteinase-9 and vasoactive intestinal peptide secretion in periapical lesions of re-treated canals: a randomized controlled clinical study. Clinical Oral Investigations, vol. 23, no. 2, p. 921-928, 2019.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10.1007/s00784-018-2517-8.</w:t>
      </w:r>
    </w:p>
    <w:p w14:paraId="646E707C"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23. PINTO, K. P.; FERREIRA, C. M. A.; GUIMARÃES, A. F. C.; et al. Effects of alcohol and nicotine consumption on the development of apical periodontitis in rats: a correlative micro-computed tomographic, histological and immunohistochemical study. International Endodontic Journal, vol. 53, no. 9, p. 1238-1252,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10.1111/iej.13344.</w:t>
      </w:r>
    </w:p>
    <w:p w14:paraId="7BDE2673"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24. PINTO, K. P.; FERREIRA, C. M.; MAIA, L. C.; et al. Does tobacco smoking predispose to apical periodontitis and endodontic treatment need? A systematic review and meta-analysis. International Endodontic Journal, vol. 53, no. 8, p. 1068-1083,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10.1111/iej.13316.</w:t>
      </w:r>
    </w:p>
    <w:p w14:paraId="14760F14"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lastRenderedPageBreak/>
        <w:t xml:space="preserve">25. PINTO, K. P.; FIDALGO, T. K. D. S.; DE LIMA, C. O.; et al. Chronic alcohol and nicotine consumption as a catalyst for systemic inflammatory storm and bone destruction in apical periodontitis. International Endodontic Journal, v. 57, n. 2, p. 178-194, 2024.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10.1111/iej.13994.</w:t>
      </w:r>
    </w:p>
    <w:p w14:paraId="102D2B24"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26. RIBEIRO, M. A. Á.; SANTOS, F. A. L.; FAUSTINO, J.; GONÇALVES, L. A. C.; ROCHA, V. F. B. Treatment of periodontal disease and the influence of tobacco in its various forms of use. </w:t>
      </w:r>
      <w:proofErr w:type="spellStart"/>
      <w:r w:rsidRPr="001B5BEF">
        <w:rPr>
          <w:rFonts w:ascii="Times New Roman" w:eastAsia="Times New Roman" w:hAnsi="Times New Roman" w:cs="Times New Roman"/>
        </w:rPr>
        <w:t>Revista</w:t>
      </w:r>
      <w:proofErr w:type="spellEnd"/>
      <w:r w:rsidRPr="001B5BEF">
        <w:rPr>
          <w:rFonts w:ascii="Times New Roman" w:eastAsia="Times New Roman" w:hAnsi="Times New Roman" w:cs="Times New Roman"/>
        </w:rPr>
        <w:t xml:space="preserve"> do CROMG, v. 20, n. 2, p. 34-39, 2021.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10.61217/rcromg.v20i2.207.</w:t>
      </w:r>
    </w:p>
    <w:p w14:paraId="2FDCB263"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27. RÍOS-OSORIO, N.; MUÑOZ-ALVEAR, H. D.; JIMÉNEZ-CASTELLANOS, F. A.; et al. Association between cigarette smoking and the prevalence of post-endodontic periapical pathology: a systematic review and meta-analysis. Restorative Dentistry &amp; Endodontics, v. 47, no. 3, e27, 2022.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10.5395/rde.2022.47.e27.</w:t>
      </w:r>
    </w:p>
    <w:p w14:paraId="40B43D2E"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28. SEGURA-EGEA, J. J.; CABANILLAS-BALSERA, D.; MARTÍN-GONZÁLEZ, J.; CINTRA, L. T. A. Impact of systemic health on treatment outcomes in endodontics. International Endodontic Journal, vol. 56, Suppl. 2, p. 219-235, 2023.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10.1111/iej.13789.</w:t>
      </w:r>
    </w:p>
    <w:p w14:paraId="5D9BF6E9"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29. SOPIŃSKA, K.; BOŁTACZ-RZEPKOWSKA, E. The influence of tobacco smoking on dental periapical condition in a sample of an adult population of the </w:t>
      </w:r>
      <w:proofErr w:type="spellStart"/>
      <w:r w:rsidRPr="001B5BEF">
        <w:rPr>
          <w:rFonts w:ascii="Times New Roman" w:eastAsia="Times New Roman" w:hAnsi="Times New Roman" w:cs="Times New Roman"/>
        </w:rPr>
        <w:t>Łódź</w:t>
      </w:r>
      <w:proofErr w:type="spellEnd"/>
      <w:r w:rsidRPr="001B5BEF">
        <w:rPr>
          <w:rFonts w:ascii="Times New Roman" w:eastAsia="Times New Roman" w:hAnsi="Times New Roman" w:cs="Times New Roman"/>
        </w:rPr>
        <w:t xml:space="preserve"> region, Poland. International Journal of Occupational Medicine and Environmental Health, vol. 33, no. 1, p. 45-57,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10.13075/ijomeh.1896.01460</w:t>
      </w:r>
    </w:p>
    <w:p w14:paraId="77F10700" w14:textId="435C2362" w:rsidR="00183E89" w:rsidRDefault="001B5BEF" w:rsidP="001B5BEF">
      <w:pPr>
        <w:numPr>
          <w:ilvl w:val="0"/>
          <w:numId w:val="2"/>
        </w:numPr>
        <w:spacing w:line="480" w:lineRule="auto"/>
        <w:jc w:val="both"/>
        <w:rPr>
          <w:rFonts w:ascii="Times New Roman" w:eastAsia="Times New Roman" w:hAnsi="Times New Roman" w:cs="Times New Roman"/>
        </w:rPr>
        <w:sectPr w:rsidR="00183E89">
          <w:headerReference w:type="even" r:id="rId9"/>
          <w:headerReference w:type="default" r:id="rId10"/>
          <w:footerReference w:type="even" r:id="rId11"/>
          <w:footerReference w:type="default" r:id="rId12"/>
          <w:headerReference w:type="first" r:id="rId13"/>
          <w:footerReference w:type="first" r:id="rId14"/>
          <w:pgSz w:w="11906" w:h="16838"/>
          <w:pgMar w:top="1411" w:right="1699" w:bottom="1411" w:left="1699" w:header="720" w:footer="720" w:gutter="0"/>
          <w:pgNumType w:start="1"/>
          <w:cols w:space="720"/>
        </w:sectPr>
      </w:pPr>
      <w:r w:rsidRPr="001B5BEF">
        <w:rPr>
          <w:rFonts w:ascii="Times New Roman" w:eastAsia="Times New Roman" w:hAnsi="Times New Roman" w:cs="Times New Roman"/>
        </w:rPr>
        <w:t>30. TAPIA AVENDAÑO, E. Y. Smoking as a risk factor for oral diseases. 2021. Thesis (</w:t>
      </w:r>
      <w:proofErr w:type="spellStart"/>
      <w:r w:rsidRPr="001B5BEF">
        <w:rPr>
          <w:rFonts w:ascii="Times New Roman" w:eastAsia="Times New Roman" w:hAnsi="Times New Roman" w:cs="Times New Roman"/>
        </w:rPr>
        <w:t>Licenciatura</w:t>
      </w:r>
      <w:proofErr w:type="spellEnd"/>
      <w:r w:rsidRPr="001B5BEF">
        <w:rPr>
          <w:rFonts w:ascii="Times New Roman" w:eastAsia="Times New Roman" w:hAnsi="Times New Roman" w:cs="Times New Roman"/>
        </w:rPr>
        <w:t xml:space="preserve"> en </w:t>
      </w:r>
      <w:proofErr w:type="spellStart"/>
      <w:r w:rsidRPr="001B5BEF">
        <w:rPr>
          <w:rFonts w:ascii="Times New Roman" w:eastAsia="Times New Roman" w:hAnsi="Times New Roman" w:cs="Times New Roman"/>
        </w:rPr>
        <w:t>Odontología</w:t>
      </w:r>
      <w:proofErr w:type="spellEnd"/>
      <w:r w:rsidRPr="001B5BEF">
        <w:rPr>
          <w:rFonts w:ascii="Times New Roman" w:eastAsia="Times New Roman" w:hAnsi="Times New Roman" w:cs="Times New Roman"/>
        </w:rPr>
        <w:t>) — Universidad de Guayaquil, Guayaquil, 2021. Available at: http://repositorio.ug.edu.ec/handle/redug/52171.</w:t>
      </w:r>
    </w:p>
    <w:p w14:paraId="74A68AC0"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TABLES</w:t>
      </w:r>
    </w:p>
    <w:p w14:paraId="3425DC6A" w14:textId="77777777" w:rsidR="00183E89" w:rsidRDefault="00183E89">
      <w:pPr>
        <w:spacing w:line="480" w:lineRule="auto"/>
        <w:jc w:val="both"/>
        <w:rPr>
          <w:rFonts w:ascii="Times New Roman" w:eastAsia="Times New Roman" w:hAnsi="Times New Roman" w:cs="Times New Roman"/>
        </w:rPr>
      </w:pPr>
    </w:p>
    <w:p w14:paraId="2B85A14E" w14:textId="77777777" w:rsidR="00183E89" w:rsidRDefault="005C32BA">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Table 1. </w:t>
      </w:r>
      <w:r>
        <w:rPr>
          <w:rFonts w:ascii="Times New Roman" w:eastAsia="Times New Roman" w:hAnsi="Times New Roman" w:cs="Times New Roman"/>
        </w:rPr>
        <w:t>Included studies addressing tobacco use and its impact on periodontal disease progression</w:t>
      </w:r>
    </w:p>
    <w:tbl>
      <w:tblPr>
        <w:tblStyle w:val="a"/>
        <w:tblW w:w="134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6"/>
        <w:gridCol w:w="2235"/>
        <w:gridCol w:w="1290"/>
        <w:gridCol w:w="1275"/>
        <w:gridCol w:w="3187"/>
        <w:gridCol w:w="3187"/>
      </w:tblGrid>
      <w:tr w:rsidR="00183E89" w14:paraId="0898F4F0" w14:textId="77777777">
        <w:trPr>
          <w:cantSplit/>
        </w:trPr>
        <w:tc>
          <w:tcPr>
            <w:tcW w:w="2235" w:type="dxa"/>
            <w:tcBorders>
              <w:top w:val="single" w:sz="6" w:space="0" w:color="284E3F"/>
              <w:left w:val="single" w:sz="6" w:space="0" w:color="284E3F"/>
              <w:bottom w:val="single" w:sz="6" w:space="0" w:color="284E3F"/>
              <w:right w:val="single" w:sz="6" w:space="0" w:color="356854"/>
            </w:tcBorders>
            <w:shd w:val="clear" w:color="auto" w:fill="000000"/>
            <w:tcMar>
              <w:top w:w="0" w:type="dxa"/>
              <w:left w:w="0" w:type="dxa"/>
              <w:bottom w:w="0" w:type="dxa"/>
              <w:right w:w="0" w:type="dxa"/>
            </w:tcMar>
            <w:vAlign w:val="center"/>
          </w:tcPr>
          <w:p w14:paraId="4089FC29"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Author and Year</w:t>
            </w:r>
          </w:p>
        </w:tc>
        <w:tc>
          <w:tcPr>
            <w:tcW w:w="2235" w:type="dxa"/>
            <w:tcBorders>
              <w:top w:val="single" w:sz="6" w:space="0" w:color="284E3F"/>
              <w:left w:val="single" w:sz="6" w:space="0" w:color="CCCCCC"/>
              <w:bottom w:val="single" w:sz="6" w:space="0" w:color="284E3F"/>
              <w:right w:val="single" w:sz="6" w:space="0" w:color="356854"/>
            </w:tcBorders>
            <w:shd w:val="clear" w:color="auto" w:fill="000000"/>
            <w:tcMar>
              <w:top w:w="0" w:type="dxa"/>
              <w:left w:w="0" w:type="dxa"/>
              <w:bottom w:w="0" w:type="dxa"/>
              <w:right w:w="0" w:type="dxa"/>
            </w:tcMar>
            <w:vAlign w:val="center"/>
          </w:tcPr>
          <w:p w14:paraId="089B8E09"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Title</w:t>
            </w:r>
          </w:p>
        </w:tc>
        <w:tc>
          <w:tcPr>
            <w:tcW w:w="1290" w:type="dxa"/>
            <w:tcBorders>
              <w:top w:val="single" w:sz="6" w:space="0" w:color="284E3F"/>
              <w:left w:val="single" w:sz="6" w:space="0" w:color="CCCCCC"/>
              <w:bottom w:val="single" w:sz="6" w:space="0" w:color="284E3F"/>
              <w:right w:val="single" w:sz="6" w:space="0" w:color="356854"/>
            </w:tcBorders>
            <w:shd w:val="clear" w:color="auto" w:fill="000000"/>
            <w:tcMar>
              <w:top w:w="0" w:type="dxa"/>
              <w:left w:w="0" w:type="dxa"/>
              <w:bottom w:w="0" w:type="dxa"/>
              <w:right w:w="0" w:type="dxa"/>
            </w:tcMar>
            <w:vAlign w:val="center"/>
          </w:tcPr>
          <w:p w14:paraId="52A49A47"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Type</w:t>
            </w:r>
          </w:p>
        </w:tc>
        <w:tc>
          <w:tcPr>
            <w:tcW w:w="1275" w:type="dxa"/>
            <w:tcBorders>
              <w:top w:val="single" w:sz="6" w:space="0" w:color="284E3F"/>
              <w:left w:val="single" w:sz="6" w:space="0" w:color="CCCCCC"/>
              <w:bottom w:val="single" w:sz="6" w:space="0" w:color="284E3F"/>
              <w:right w:val="single" w:sz="6" w:space="0" w:color="356854"/>
            </w:tcBorders>
            <w:shd w:val="clear" w:color="auto" w:fill="000000"/>
            <w:tcMar>
              <w:top w:w="0" w:type="dxa"/>
              <w:left w:w="0" w:type="dxa"/>
              <w:bottom w:w="0" w:type="dxa"/>
              <w:right w:w="0" w:type="dxa"/>
            </w:tcMar>
            <w:vAlign w:val="center"/>
          </w:tcPr>
          <w:p w14:paraId="0FBF79AD"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Study Nature</w:t>
            </w:r>
          </w:p>
        </w:tc>
        <w:tc>
          <w:tcPr>
            <w:tcW w:w="3187" w:type="dxa"/>
            <w:tcBorders>
              <w:top w:val="single" w:sz="6" w:space="0" w:color="284E3F"/>
              <w:left w:val="single" w:sz="6" w:space="0" w:color="CCCCCC"/>
              <w:bottom w:val="single" w:sz="6" w:space="0" w:color="284E3F"/>
              <w:right w:val="single" w:sz="6" w:space="0" w:color="356854"/>
            </w:tcBorders>
            <w:shd w:val="clear" w:color="auto" w:fill="000000"/>
            <w:tcMar>
              <w:top w:w="0" w:type="dxa"/>
              <w:left w:w="0" w:type="dxa"/>
              <w:bottom w:w="0" w:type="dxa"/>
              <w:right w:w="0" w:type="dxa"/>
            </w:tcMar>
            <w:vAlign w:val="center"/>
          </w:tcPr>
          <w:p w14:paraId="3FAB9A32"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Objective</w:t>
            </w:r>
          </w:p>
        </w:tc>
        <w:tc>
          <w:tcPr>
            <w:tcW w:w="3187" w:type="dxa"/>
            <w:tcBorders>
              <w:top w:val="single" w:sz="6" w:space="0" w:color="284E3F"/>
              <w:left w:val="single" w:sz="6" w:space="0" w:color="CCCCCC"/>
              <w:bottom w:val="single" w:sz="6" w:space="0" w:color="284E3F"/>
              <w:right w:val="single" w:sz="6" w:space="0" w:color="284E3F"/>
            </w:tcBorders>
            <w:shd w:val="clear" w:color="auto" w:fill="000000"/>
            <w:tcMar>
              <w:top w:w="0" w:type="dxa"/>
              <w:left w:w="0" w:type="dxa"/>
              <w:bottom w:w="0" w:type="dxa"/>
              <w:right w:w="0" w:type="dxa"/>
            </w:tcMar>
            <w:vAlign w:val="center"/>
          </w:tcPr>
          <w:p w14:paraId="35473A6B"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Theme Addressed</w:t>
            </w:r>
          </w:p>
        </w:tc>
      </w:tr>
      <w:tr w:rsidR="00183E89" w14:paraId="277BC14F"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6EF95B6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Mamani Tintaya (2018)</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F344B71"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Prevalencia</w:t>
            </w:r>
            <w:proofErr w:type="spellEnd"/>
            <w:r>
              <w:rPr>
                <w:rFonts w:ascii="Times New Roman" w:eastAsia="Times New Roman" w:hAnsi="Times New Roman" w:cs="Times New Roman"/>
                <w:color w:val="434343"/>
                <w:sz w:val="20"/>
                <w:szCs w:val="20"/>
              </w:rPr>
              <w:t xml:space="preserve"> de </w:t>
            </w:r>
            <w:proofErr w:type="spellStart"/>
            <w:r>
              <w:rPr>
                <w:rFonts w:ascii="Times New Roman" w:eastAsia="Times New Roman" w:hAnsi="Times New Roman" w:cs="Times New Roman"/>
                <w:color w:val="434343"/>
                <w:sz w:val="20"/>
                <w:szCs w:val="20"/>
              </w:rPr>
              <w:t>Lesiones</w:t>
            </w:r>
            <w:proofErr w:type="spellEnd"/>
            <w:r>
              <w:rPr>
                <w:rFonts w:ascii="Times New Roman" w:eastAsia="Times New Roman" w:hAnsi="Times New Roman" w:cs="Times New Roman"/>
                <w:color w:val="434343"/>
                <w:sz w:val="20"/>
                <w:szCs w:val="20"/>
              </w:rPr>
              <w:t xml:space="preserve"> de </w:t>
            </w:r>
            <w:proofErr w:type="spellStart"/>
            <w:r>
              <w:rPr>
                <w:rFonts w:ascii="Times New Roman" w:eastAsia="Times New Roman" w:hAnsi="Times New Roman" w:cs="Times New Roman"/>
                <w:color w:val="434343"/>
                <w:sz w:val="20"/>
                <w:szCs w:val="20"/>
              </w:rPr>
              <w:t>Furcación</w:t>
            </w:r>
            <w:proofErr w:type="spellEnd"/>
            <w:r>
              <w:rPr>
                <w:rFonts w:ascii="Times New Roman" w:eastAsia="Times New Roman" w:hAnsi="Times New Roman" w:cs="Times New Roman"/>
                <w:color w:val="434343"/>
                <w:sz w:val="20"/>
                <w:szCs w:val="20"/>
              </w:rPr>
              <w:t xml:space="preserve"> en </w:t>
            </w:r>
            <w:proofErr w:type="spellStart"/>
            <w:r>
              <w:rPr>
                <w:rFonts w:ascii="Times New Roman" w:eastAsia="Times New Roman" w:hAnsi="Times New Roman" w:cs="Times New Roman"/>
                <w:color w:val="434343"/>
                <w:sz w:val="20"/>
                <w:szCs w:val="20"/>
              </w:rPr>
              <w:t>Pacientes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Fumadores</w:t>
            </w:r>
            <w:proofErr w:type="spellEnd"/>
            <w:r>
              <w:rPr>
                <w:rFonts w:ascii="Times New Roman" w:eastAsia="Times New Roman" w:hAnsi="Times New Roman" w:cs="Times New Roman"/>
                <w:color w:val="434343"/>
                <w:sz w:val="20"/>
                <w:szCs w:val="20"/>
              </w:rPr>
              <w:t xml:space="preserve"> y Post </w:t>
            </w:r>
            <w:proofErr w:type="spellStart"/>
            <w:r>
              <w:rPr>
                <w:rFonts w:ascii="Times New Roman" w:eastAsia="Times New Roman" w:hAnsi="Times New Roman" w:cs="Times New Roman"/>
                <w:color w:val="434343"/>
                <w:sz w:val="20"/>
                <w:szCs w:val="20"/>
              </w:rPr>
              <w:t>Fumadores</w:t>
            </w:r>
            <w:proofErr w:type="spellEnd"/>
            <w:r>
              <w:rPr>
                <w:rFonts w:ascii="Times New Roman" w:eastAsia="Times New Roman" w:hAnsi="Times New Roman" w:cs="Times New Roman"/>
                <w:color w:val="434343"/>
                <w:sz w:val="20"/>
                <w:szCs w:val="20"/>
              </w:rPr>
              <w:t xml:space="preserve"> de la </w:t>
            </w:r>
            <w:proofErr w:type="spellStart"/>
            <w:r>
              <w:rPr>
                <w:rFonts w:ascii="Times New Roman" w:eastAsia="Times New Roman" w:hAnsi="Times New Roman" w:cs="Times New Roman"/>
                <w:color w:val="434343"/>
                <w:sz w:val="20"/>
                <w:szCs w:val="20"/>
              </w:rPr>
              <w:t>Consulta</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Privada</w:t>
            </w:r>
            <w:proofErr w:type="spellEnd"/>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443F23C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454BD77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995D21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Determined the prevalence of furcation lesions in smokers and ex-smokers.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53A9785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Influence of smoking on pulpal tissue physiology, metabolism, and changes</w:t>
            </w:r>
          </w:p>
        </w:tc>
      </w:tr>
      <w:tr w:rsidR="00183E89" w14:paraId="0AAD768A"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51B3C3A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Balto et al. (2019)</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86589D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Comparative analysis of prevalence of apical periodontitis in smokers and non-smokers using cone-beam computed tomography</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A6736A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14A8B49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2725758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Compared prevalence and size of periapical lesions in smokers and non-smokers using cone-beam computed tomography (CBCT).</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631A800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Prevalence and extent of periapical lesions</w:t>
            </w:r>
          </w:p>
        </w:tc>
      </w:tr>
      <w:tr w:rsidR="00183E89" w14:paraId="5FD59A97"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3BA94D3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Di Murro et al. (2019)</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9053DC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The prevalence of peri-implant diseases in patients with metabolic syndrome: a case-control study on an Italian population sample</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920F27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0025E8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5F21E3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Examined the correlation of peri-implantitis with smoking.</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347DF96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3C500951"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2098793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Mahmood et al. (2019)</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46EC4B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The Effect of Smoking Habit on Apical Status of Adequate Endodontically Treated Teeth with and Without Periodontal Involvement</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787E625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2390BCF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2AD28B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Identified the effects of smoking on apical status in properly treated teeth with or without periapical lesions.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47FFD30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Effects of chronic tobacco use on apical periodontitis prognosis</w:t>
            </w:r>
          </w:p>
        </w:tc>
      </w:tr>
      <w:tr w:rsidR="00183E89" w14:paraId="4D41B2AD"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65823B5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lastRenderedPageBreak/>
              <w:t>Ozdemir et al. (2019)</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02C884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Effect of intracanal medicaments on matrix metalloproteinase-9 and vasoactive intestinal peptide secretion in periapical lesions of re-treated canals: a randomized controlled clinical study</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774BA5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341CD44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1085E4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Evaluated the effect of calcium hydroxide and chlorhexidine gel in smoking patients.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4915329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No relationship between tobacco and periodontal disease</w:t>
            </w:r>
          </w:p>
        </w:tc>
      </w:tr>
      <w:tr w:rsidR="00183E89" w14:paraId="1313BED5"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6C70740E"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Aminoshariae</w:t>
            </w:r>
            <w:proofErr w:type="spellEnd"/>
            <w:r>
              <w:rPr>
                <w:rFonts w:ascii="Times New Roman" w:eastAsia="Times New Roman" w:hAnsi="Times New Roman" w:cs="Times New Roman"/>
                <w:color w:val="434343"/>
                <w:sz w:val="20"/>
                <w:szCs w:val="20"/>
              </w:rPr>
              <w:t xml:space="preserve"> (2020)</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1213BC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The association between smoking and periapical periodontitis: a systematic review</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2FF943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1E5E80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C0363E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Examined in adult patients whether the absence or presence of smoking influenced the presence of periapical periodontitis (PP).</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591B9AF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46D171EF"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778CBC74"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Brignardello</w:t>
            </w:r>
            <w:proofErr w:type="spellEnd"/>
            <w:r>
              <w:rPr>
                <w:rFonts w:ascii="Times New Roman" w:eastAsia="Times New Roman" w:hAnsi="Times New Roman" w:cs="Times New Roman"/>
                <w:color w:val="434343"/>
                <w:sz w:val="20"/>
                <w:szCs w:val="20"/>
              </w:rPr>
              <w:t>-Petersen et al. (2020)</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D26AE7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Smokers may have a higher prevalence of apical periodontitis and root canal treatment than nonsmokers, but this is not evidence that smoking is a risk factor for these outcomes</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0000F77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0221BB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78D4D7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Evaluated the relationship between smoking and periapical changes.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02E2833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No relationship between tobacco and periodontal disease</w:t>
            </w:r>
          </w:p>
        </w:tc>
      </w:tr>
      <w:tr w:rsidR="00183E89" w14:paraId="701682AB"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6C0CAF3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Cheng (2020)</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DAA0C0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Smoking May Increase the Risk of Periapical Periodontitis</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F9CFE0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4C9377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660C40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Assessed the influence of smoking on the prevalence of periapical periodontitis.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394D933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21FD79C5"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2A9FCF7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Fan et al. (2020)</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FE6A6B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Prognostic Factors of Grade 2-3 Endo-Periodontal Lesions Treated </w:t>
            </w:r>
            <w:proofErr w:type="spellStart"/>
            <w:r>
              <w:rPr>
                <w:rFonts w:ascii="Times New Roman" w:eastAsia="Times New Roman" w:hAnsi="Times New Roman" w:cs="Times New Roman"/>
                <w:color w:val="434343"/>
                <w:sz w:val="20"/>
                <w:szCs w:val="20"/>
              </w:rPr>
              <w:t>Nonsurgically</w:t>
            </w:r>
            <w:proofErr w:type="spellEnd"/>
            <w:r>
              <w:rPr>
                <w:rFonts w:ascii="Times New Roman" w:eastAsia="Times New Roman" w:hAnsi="Times New Roman" w:cs="Times New Roman"/>
                <w:color w:val="434343"/>
                <w:sz w:val="20"/>
                <w:szCs w:val="20"/>
              </w:rPr>
              <w:t xml:space="preserve"> in Patients with Periodontitis: A Retrospective Case-Control Study</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E9704A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299BD9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3F0B955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Studied the prognosis of endo-periodontal lesions in tobacco users.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3A6DD12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01611FCB"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143541A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lastRenderedPageBreak/>
              <w:t>Pinto et al. (2020)</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A254BC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Effects of alcohol and nicotine consumption on the development of apical periodontitis in rats: a correlative micro-computed tomographic, histological and immunohistochemical study</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3D931D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E5ACEF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CC1BD5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Assessed the effects of alcohol and nicotine, separately or combined, on the development of induced apical periodontitis in rats.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4F8A22A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Association between alcohol and nicotine consumption and apical periodontitis development</w:t>
            </w:r>
          </w:p>
        </w:tc>
      </w:tr>
      <w:tr w:rsidR="00183E89" w14:paraId="4550FF82"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060D532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Pinto et al. (2020)</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83C306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Does tobacco smoking predispose to apical periodontitis and endodontic treatment need? A systematic review and meta-analysis</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818A81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4F5C42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137252A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Studied scientific evidence supporting the association between smoking and higher prevalence of apical periodontitis and root canal treatments.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23D88AC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Prevalence of apical periodontitis and root canal treatment in smokers</w:t>
            </w:r>
          </w:p>
        </w:tc>
      </w:tr>
      <w:tr w:rsidR="00183E89" w14:paraId="3587B885"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4F670ACC"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Sopinska</w:t>
            </w:r>
            <w:proofErr w:type="spellEnd"/>
            <w:r>
              <w:rPr>
                <w:rFonts w:ascii="Times New Roman" w:eastAsia="Times New Roman" w:hAnsi="Times New Roman" w:cs="Times New Roman"/>
                <w:color w:val="434343"/>
                <w:sz w:val="20"/>
                <w:szCs w:val="20"/>
              </w:rPr>
              <w:t xml:space="preserve"> et al. (2020)</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3F16158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The influence of tobacco smoking on dental periapical condition in a sample of an adult population of the </w:t>
            </w:r>
            <w:proofErr w:type="spellStart"/>
            <w:r>
              <w:rPr>
                <w:rFonts w:ascii="Times New Roman" w:eastAsia="Times New Roman" w:hAnsi="Times New Roman" w:cs="Times New Roman"/>
                <w:color w:val="434343"/>
                <w:sz w:val="20"/>
                <w:szCs w:val="20"/>
              </w:rPr>
              <w:t>Łódź</w:t>
            </w:r>
            <w:proofErr w:type="spellEnd"/>
            <w:r>
              <w:rPr>
                <w:rFonts w:ascii="Times New Roman" w:eastAsia="Times New Roman" w:hAnsi="Times New Roman" w:cs="Times New Roman"/>
                <w:color w:val="434343"/>
                <w:sz w:val="20"/>
                <w:szCs w:val="20"/>
              </w:rPr>
              <w:t xml:space="preserve"> region, Poland</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D4447E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F86AEA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CE5FDD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Analyzed the frequency of periapical changes in smokers and non-smokers.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1E476F5B"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75217543"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32BEA49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Ladegaard et al. (2021)</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6BC889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The impact of oral diseases in cirrhosis on complications and mortality</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9D03BD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494185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2076CA2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Examined the association between smoking and oral inflammation.</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0835058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Increased treatment difficulty</w:t>
            </w:r>
          </w:p>
        </w:tc>
      </w:tr>
      <w:tr w:rsidR="00183E89" w14:paraId="2606CA6E"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1F9C832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Tapia Avendaño (2021)</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26033B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El </w:t>
            </w:r>
            <w:proofErr w:type="spellStart"/>
            <w:r>
              <w:rPr>
                <w:rFonts w:ascii="Times New Roman" w:eastAsia="Times New Roman" w:hAnsi="Times New Roman" w:cs="Times New Roman"/>
                <w:color w:val="434343"/>
                <w:sz w:val="20"/>
                <w:szCs w:val="20"/>
              </w:rPr>
              <w:t>tabaquismo</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como</w:t>
            </w:r>
            <w:proofErr w:type="spellEnd"/>
            <w:r>
              <w:rPr>
                <w:rFonts w:ascii="Times New Roman" w:eastAsia="Times New Roman" w:hAnsi="Times New Roman" w:cs="Times New Roman"/>
                <w:color w:val="434343"/>
                <w:sz w:val="20"/>
                <w:szCs w:val="20"/>
              </w:rPr>
              <w:t xml:space="preserve"> factor de </w:t>
            </w:r>
            <w:proofErr w:type="spellStart"/>
            <w:r>
              <w:rPr>
                <w:rFonts w:ascii="Times New Roman" w:eastAsia="Times New Roman" w:hAnsi="Times New Roman" w:cs="Times New Roman"/>
                <w:color w:val="434343"/>
                <w:sz w:val="20"/>
                <w:szCs w:val="20"/>
              </w:rPr>
              <w:t>riesgo</w:t>
            </w:r>
            <w:proofErr w:type="spellEnd"/>
            <w:r>
              <w:rPr>
                <w:rFonts w:ascii="Times New Roman" w:eastAsia="Times New Roman" w:hAnsi="Times New Roman" w:cs="Times New Roman"/>
                <w:color w:val="434343"/>
                <w:sz w:val="20"/>
                <w:szCs w:val="20"/>
              </w:rPr>
              <w:t xml:space="preserve"> de </w:t>
            </w:r>
            <w:proofErr w:type="spellStart"/>
            <w:r>
              <w:rPr>
                <w:rFonts w:ascii="Times New Roman" w:eastAsia="Times New Roman" w:hAnsi="Times New Roman" w:cs="Times New Roman"/>
                <w:color w:val="434343"/>
                <w:sz w:val="20"/>
                <w:szCs w:val="20"/>
              </w:rPr>
              <w:t>enfermedades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bucales</w:t>
            </w:r>
            <w:proofErr w:type="spellEnd"/>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FAD482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A3243"/>
                <w:sz w:val="20"/>
                <w:szCs w:val="20"/>
              </w:rPr>
              <w:t>Dissertation</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5B4E07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7153F0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Evaluated smoking as a risk factor for periapical changes.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1520CA8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076DD535"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6D909D9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Ribeiro et al. (2021)</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FF9F26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O </w:t>
            </w:r>
            <w:proofErr w:type="spellStart"/>
            <w:r>
              <w:rPr>
                <w:rFonts w:ascii="Times New Roman" w:eastAsia="Times New Roman" w:hAnsi="Times New Roman" w:cs="Times New Roman"/>
                <w:color w:val="434343"/>
                <w:sz w:val="20"/>
                <w:szCs w:val="20"/>
              </w:rPr>
              <w:t>tratamento</w:t>
            </w:r>
            <w:proofErr w:type="spellEnd"/>
            <w:r>
              <w:rPr>
                <w:rFonts w:ascii="Times New Roman" w:eastAsia="Times New Roman" w:hAnsi="Times New Roman" w:cs="Times New Roman"/>
                <w:color w:val="434343"/>
                <w:sz w:val="20"/>
                <w:szCs w:val="20"/>
              </w:rPr>
              <w:t xml:space="preserve"> da </w:t>
            </w:r>
            <w:proofErr w:type="spellStart"/>
            <w:r>
              <w:rPr>
                <w:rFonts w:ascii="Times New Roman" w:eastAsia="Times New Roman" w:hAnsi="Times New Roman" w:cs="Times New Roman"/>
                <w:color w:val="434343"/>
                <w:sz w:val="20"/>
                <w:szCs w:val="20"/>
              </w:rPr>
              <w:t>doença</w:t>
            </w:r>
            <w:proofErr w:type="spellEnd"/>
            <w:r>
              <w:rPr>
                <w:rFonts w:ascii="Times New Roman" w:eastAsia="Times New Roman" w:hAnsi="Times New Roman" w:cs="Times New Roman"/>
                <w:color w:val="434343"/>
                <w:sz w:val="20"/>
                <w:szCs w:val="20"/>
              </w:rPr>
              <w:t xml:space="preserve"> periodontal e a </w:t>
            </w:r>
            <w:proofErr w:type="spellStart"/>
            <w:r>
              <w:rPr>
                <w:rFonts w:ascii="Times New Roman" w:eastAsia="Times New Roman" w:hAnsi="Times New Roman" w:cs="Times New Roman"/>
                <w:color w:val="434343"/>
                <w:sz w:val="20"/>
                <w:szCs w:val="20"/>
              </w:rPr>
              <w:t>influência</w:t>
            </w:r>
            <w:proofErr w:type="spellEnd"/>
            <w:r>
              <w:rPr>
                <w:rFonts w:ascii="Times New Roman" w:eastAsia="Times New Roman" w:hAnsi="Times New Roman" w:cs="Times New Roman"/>
                <w:color w:val="434343"/>
                <w:sz w:val="20"/>
                <w:szCs w:val="20"/>
              </w:rPr>
              <w:t xml:space="preserve"> do </w:t>
            </w:r>
            <w:proofErr w:type="spellStart"/>
            <w:r>
              <w:rPr>
                <w:rFonts w:ascii="Times New Roman" w:eastAsia="Times New Roman" w:hAnsi="Times New Roman" w:cs="Times New Roman"/>
                <w:color w:val="434343"/>
                <w:sz w:val="20"/>
                <w:szCs w:val="20"/>
              </w:rPr>
              <w:t>tabaco</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nas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suas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diversas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formas</w:t>
            </w:r>
            <w:proofErr w:type="spellEnd"/>
            <w:r>
              <w:rPr>
                <w:rFonts w:ascii="Times New Roman" w:eastAsia="Times New Roman" w:hAnsi="Times New Roman" w:cs="Times New Roman"/>
                <w:color w:val="434343"/>
                <w:sz w:val="20"/>
                <w:szCs w:val="20"/>
              </w:rPr>
              <w:t xml:space="preserve"> de </w:t>
            </w:r>
            <w:proofErr w:type="spellStart"/>
            <w:r>
              <w:rPr>
                <w:rFonts w:ascii="Times New Roman" w:eastAsia="Times New Roman" w:hAnsi="Times New Roman" w:cs="Times New Roman"/>
                <w:color w:val="434343"/>
                <w:sz w:val="20"/>
                <w:szCs w:val="20"/>
              </w:rPr>
              <w:t>utilização</w:t>
            </w:r>
            <w:proofErr w:type="spellEnd"/>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2D5701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213A53A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5A764E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Reported the influence of tobacco on healing potential of periapical changes.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11D7308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Increased treatment difficulty</w:t>
            </w:r>
          </w:p>
        </w:tc>
      </w:tr>
      <w:tr w:rsidR="00183E89" w14:paraId="24D85968"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1B99192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lastRenderedPageBreak/>
              <w:t>Cavalcante (2022)</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B66271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A </w:t>
            </w:r>
            <w:proofErr w:type="spellStart"/>
            <w:r>
              <w:rPr>
                <w:rFonts w:ascii="Times New Roman" w:eastAsia="Times New Roman" w:hAnsi="Times New Roman" w:cs="Times New Roman"/>
                <w:color w:val="434343"/>
                <w:sz w:val="20"/>
                <w:szCs w:val="20"/>
              </w:rPr>
              <w:t>influência</w:t>
            </w:r>
            <w:proofErr w:type="spellEnd"/>
            <w:r>
              <w:rPr>
                <w:rFonts w:ascii="Times New Roman" w:eastAsia="Times New Roman" w:hAnsi="Times New Roman" w:cs="Times New Roman"/>
                <w:color w:val="434343"/>
                <w:sz w:val="20"/>
                <w:szCs w:val="20"/>
              </w:rPr>
              <w:t xml:space="preserve"> dos </w:t>
            </w:r>
            <w:proofErr w:type="spellStart"/>
            <w:r>
              <w:rPr>
                <w:rFonts w:ascii="Times New Roman" w:eastAsia="Times New Roman" w:hAnsi="Times New Roman" w:cs="Times New Roman"/>
                <w:color w:val="434343"/>
                <w:sz w:val="20"/>
                <w:szCs w:val="20"/>
              </w:rPr>
              <w:t>cigarros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convencionais</w:t>
            </w:r>
            <w:proofErr w:type="spellEnd"/>
            <w:r>
              <w:rPr>
                <w:rFonts w:ascii="Times New Roman" w:eastAsia="Times New Roman" w:hAnsi="Times New Roman" w:cs="Times New Roman"/>
                <w:color w:val="434343"/>
                <w:sz w:val="20"/>
                <w:szCs w:val="20"/>
              </w:rPr>
              <w:t xml:space="preserve"> e </w:t>
            </w:r>
            <w:proofErr w:type="spellStart"/>
            <w:r>
              <w:rPr>
                <w:rFonts w:ascii="Times New Roman" w:eastAsia="Times New Roman" w:hAnsi="Times New Roman" w:cs="Times New Roman"/>
                <w:color w:val="434343"/>
                <w:sz w:val="20"/>
                <w:szCs w:val="20"/>
              </w:rPr>
              <w:t>eletrônicos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na</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reabilitação</w:t>
            </w:r>
            <w:proofErr w:type="spellEnd"/>
            <w:r>
              <w:rPr>
                <w:rFonts w:ascii="Times New Roman" w:eastAsia="Times New Roman" w:hAnsi="Times New Roman" w:cs="Times New Roman"/>
                <w:color w:val="434343"/>
                <w:sz w:val="20"/>
                <w:szCs w:val="20"/>
              </w:rPr>
              <w:t xml:space="preserve"> oral com </w:t>
            </w:r>
            <w:proofErr w:type="spellStart"/>
            <w:r>
              <w:rPr>
                <w:rFonts w:ascii="Times New Roman" w:eastAsia="Times New Roman" w:hAnsi="Times New Roman" w:cs="Times New Roman"/>
                <w:color w:val="434343"/>
                <w:sz w:val="20"/>
                <w:szCs w:val="20"/>
              </w:rPr>
              <w:t>implantes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dentários</w:t>
            </w:r>
            <w:proofErr w:type="spellEnd"/>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8F73D6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A3243"/>
                <w:sz w:val="20"/>
                <w:szCs w:val="20"/>
              </w:rPr>
              <w:t>Dissertation</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3FFA94C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0B2A1E0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Compared the negative impact of smoking on peri-implantitis recovery.</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69CE27C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Interference in connective tissue repair mechanisms</w:t>
            </w:r>
          </w:p>
        </w:tc>
      </w:tr>
      <w:tr w:rsidR="00183E89" w14:paraId="4C5DDC3A"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1AEA9E09"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Ideo</w:t>
            </w:r>
            <w:proofErr w:type="spellEnd"/>
            <w:r>
              <w:rPr>
                <w:rFonts w:ascii="Times New Roman" w:eastAsia="Times New Roman" w:hAnsi="Times New Roman" w:cs="Times New Roman"/>
                <w:color w:val="434343"/>
                <w:sz w:val="20"/>
                <w:szCs w:val="20"/>
              </w:rPr>
              <w:t xml:space="preserve"> et al. (2022)</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5BD7C0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Prevalence of Apical Periodontitis in Patients with Autoimmune Diseases under Immunomodulators: A Retrospective Cohort Study</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414C4B0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26E6F24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4E98A7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Investigated the difficulty in treating periapical periodontitis in smokers (test group) and non-smokers (control group).</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0E72276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Increased treatment difficulty</w:t>
            </w:r>
          </w:p>
        </w:tc>
      </w:tr>
      <w:tr w:rsidR="00183E89" w14:paraId="0B5287D9"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47D6800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González Donoso et al. (2022)</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0AFB4A8B"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Asociación</w:t>
            </w:r>
            <w:proofErr w:type="spellEnd"/>
            <w:r>
              <w:rPr>
                <w:rFonts w:ascii="Times New Roman" w:eastAsia="Times New Roman" w:hAnsi="Times New Roman" w:cs="Times New Roman"/>
                <w:color w:val="434343"/>
                <w:sz w:val="20"/>
                <w:szCs w:val="20"/>
              </w:rPr>
              <w:t xml:space="preserve"> entre el </w:t>
            </w:r>
            <w:proofErr w:type="spellStart"/>
            <w:r>
              <w:rPr>
                <w:rFonts w:ascii="Times New Roman" w:eastAsia="Times New Roman" w:hAnsi="Times New Roman" w:cs="Times New Roman"/>
                <w:color w:val="434343"/>
                <w:sz w:val="20"/>
                <w:szCs w:val="20"/>
              </w:rPr>
              <w:t>hábito</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tabáquico</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cotinina</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sérica</w:t>
            </w:r>
            <w:proofErr w:type="spellEnd"/>
            <w:r>
              <w:rPr>
                <w:rFonts w:ascii="Times New Roman" w:eastAsia="Times New Roman" w:hAnsi="Times New Roman" w:cs="Times New Roman"/>
                <w:color w:val="434343"/>
                <w:sz w:val="20"/>
                <w:szCs w:val="20"/>
              </w:rPr>
              <w:t xml:space="preserve"> y el </w:t>
            </w:r>
            <w:proofErr w:type="spellStart"/>
            <w:r>
              <w:rPr>
                <w:rFonts w:ascii="Times New Roman" w:eastAsia="Times New Roman" w:hAnsi="Times New Roman" w:cs="Times New Roman"/>
                <w:color w:val="434343"/>
                <w:sz w:val="20"/>
                <w:szCs w:val="20"/>
              </w:rPr>
              <w:t>tamaño</w:t>
            </w:r>
            <w:proofErr w:type="spellEnd"/>
            <w:r>
              <w:rPr>
                <w:rFonts w:ascii="Times New Roman" w:eastAsia="Times New Roman" w:hAnsi="Times New Roman" w:cs="Times New Roman"/>
                <w:color w:val="434343"/>
                <w:sz w:val="20"/>
                <w:szCs w:val="20"/>
              </w:rPr>
              <w:t xml:space="preserve"> de </w:t>
            </w:r>
            <w:proofErr w:type="spellStart"/>
            <w:r>
              <w:rPr>
                <w:rFonts w:ascii="Times New Roman" w:eastAsia="Times New Roman" w:hAnsi="Times New Roman" w:cs="Times New Roman"/>
                <w:color w:val="434343"/>
                <w:sz w:val="20"/>
                <w:szCs w:val="20"/>
              </w:rPr>
              <w:t>las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lesiones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periapicales</w:t>
            </w:r>
            <w:proofErr w:type="spellEnd"/>
            <w:r>
              <w:rPr>
                <w:rFonts w:ascii="Times New Roman" w:eastAsia="Times New Roman" w:hAnsi="Times New Roman" w:cs="Times New Roman"/>
                <w:color w:val="434343"/>
                <w:sz w:val="20"/>
                <w:szCs w:val="20"/>
              </w:rPr>
              <w:t xml:space="preserve"> en </w:t>
            </w:r>
            <w:proofErr w:type="spellStart"/>
            <w:r>
              <w:rPr>
                <w:rFonts w:ascii="Times New Roman" w:eastAsia="Times New Roman" w:hAnsi="Times New Roman" w:cs="Times New Roman"/>
                <w:color w:val="434343"/>
                <w:sz w:val="20"/>
                <w:szCs w:val="20"/>
              </w:rPr>
              <w:t>pacientes</w:t>
            </w:r>
            <w:proofErr w:type="spellEnd"/>
            <w:r>
              <w:rPr>
                <w:rFonts w:ascii="Times New Roman" w:eastAsia="Times New Roman" w:hAnsi="Times New Roman" w:cs="Times New Roman"/>
                <w:color w:val="434343"/>
                <w:sz w:val="20"/>
                <w:szCs w:val="20"/>
              </w:rPr>
              <w:t xml:space="preserve"> con periodontitis apical</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567657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AACCEE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289C4F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Investigated the progression of apical periodontitis in smokers and non-smokers.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5A55094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No relationship between tobacco and periodontal disease</w:t>
            </w:r>
          </w:p>
        </w:tc>
      </w:tr>
      <w:tr w:rsidR="00183E89" w14:paraId="057FD7AD"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78323E2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Segura-Egea et al. (2023)</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A86A84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Impact of systemic health on treatment outcomes in endodontics</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AF32E8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E4C860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8BE68A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Analyzed the possible influence of systemic factors, such as smoking, on endodontic treatment outcomes.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5BC090C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Increased treatment difficulty</w:t>
            </w:r>
          </w:p>
        </w:tc>
      </w:tr>
      <w:tr w:rsidR="00183E89" w14:paraId="199282E4"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1481BB1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Majid (2023)</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FF3913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Dose-response association of smoking with delayed healing of apical periodontitis after endodontic treatment</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E16AA5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692CB9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89A1C5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Examined and compared healing rates of apical periodontitis (AP) after endodontic treatment between smokers and non-smokers, and assessed how smoking intensity and duration affect AP healing up to 1-year follow-up.</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2B3E8C2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Influence of smoking on apical periodontitis healing after root canal treatment</w:t>
            </w:r>
          </w:p>
        </w:tc>
      </w:tr>
      <w:tr w:rsidR="00183E89" w14:paraId="05925AB6" w14:textId="77777777">
        <w:trPr>
          <w:cantSplit/>
        </w:trPr>
        <w:tc>
          <w:tcPr>
            <w:tcW w:w="2235" w:type="dxa"/>
            <w:tcBorders>
              <w:top w:val="single" w:sz="6" w:space="0" w:color="CCCCCC"/>
              <w:left w:val="single" w:sz="6" w:space="0" w:color="284E3F"/>
              <w:bottom w:val="single" w:sz="6" w:space="0" w:color="284E3F"/>
              <w:right w:val="single" w:sz="6" w:space="0" w:color="FFFFFF"/>
            </w:tcBorders>
            <w:tcMar>
              <w:top w:w="0" w:type="dxa"/>
              <w:left w:w="0" w:type="dxa"/>
              <w:bottom w:w="0" w:type="dxa"/>
              <w:right w:w="0" w:type="dxa"/>
            </w:tcMar>
            <w:vAlign w:val="center"/>
          </w:tcPr>
          <w:p w14:paraId="24B4217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Pinto et al. (2024)</w:t>
            </w:r>
          </w:p>
        </w:tc>
        <w:tc>
          <w:tcPr>
            <w:tcW w:w="2235" w:type="dxa"/>
            <w:tcBorders>
              <w:top w:val="single" w:sz="6" w:space="0" w:color="CCCCCC"/>
              <w:left w:val="single" w:sz="6" w:space="0" w:color="CCCCCC"/>
              <w:bottom w:val="single" w:sz="6" w:space="0" w:color="284E3F"/>
              <w:right w:val="single" w:sz="6" w:space="0" w:color="FFFFFF"/>
            </w:tcBorders>
            <w:tcMar>
              <w:top w:w="0" w:type="dxa"/>
              <w:left w:w="0" w:type="dxa"/>
              <w:bottom w:w="0" w:type="dxa"/>
              <w:right w:w="0" w:type="dxa"/>
            </w:tcMar>
            <w:vAlign w:val="center"/>
          </w:tcPr>
          <w:p w14:paraId="2D73EA3B"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Chronic alcohol and nicotine consumption as catalyst for systemic inflammatory storm and bone destruction in apical periodontitis</w:t>
            </w:r>
          </w:p>
        </w:tc>
        <w:tc>
          <w:tcPr>
            <w:tcW w:w="1290" w:type="dxa"/>
            <w:tcBorders>
              <w:top w:val="single" w:sz="6" w:space="0" w:color="CCCCCC"/>
              <w:left w:val="single" w:sz="6" w:space="0" w:color="CCCCCC"/>
              <w:bottom w:val="single" w:sz="6" w:space="0" w:color="284E3F"/>
              <w:right w:val="single" w:sz="6" w:space="0" w:color="FFFFFF"/>
            </w:tcBorders>
            <w:tcMar>
              <w:top w:w="0" w:type="dxa"/>
              <w:left w:w="0" w:type="dxa"/>
              <w:bottom w:w="0" w:type="dxa"/>
              <w:right w:w="0" w:type="dxa"/>
            </w:tcMar>
            <w:vAlign w:val="center"/>
          </w:tcPr>
          <w:p w14:paraId="52EDAEC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284E3F"/>
              <w:right w:val="single" w:sz="6" w:space="0" w:color="FFFFFF"/>
            </w:tcBorders>
            <w:tcMar>
              <w:top w:w="0" w:type="dxa"/>
              <w:left w:w="0" w:type="dxa"/>
              <w:bottom w:w="0" w:type="dxa"/>
              <w:right w:w="0" w:type="dxa"/>
            </w:tcMar>
            <w:vAlign w:val="center"/>
          </w:tcPr>
          <w:p w14:paraId="0356DDD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284E3F"/>
              <w:right w:val="single" w:sz="6" w:space="0" w:color="FFFFFF"/>
            </w:tcBorders>
            <w:tcMar>
              <w:top w:w="0" w:type="dxa"/>
              <w:left w:w="0" w:type="dxa"/>
              <w:bottom w:w="0" w:type="dxa"/>
              <w:right w:w="0" w:type="dxa"/>
            </w:tcMar>
            <w:vAlign w:val="center"/>
          </w:tcPr>
          <w:p w14:paraId="368A2B6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Examined alveolar bone pattern and serum levels of pro-inflammatory cytokines, biochemical markers, and metabolites in rats subjected to chronic alcohol and nicotine consumption and induced apical periodontitis.</w:t>
            </w:r>
          </w:p>
        </w:tc>
        <w:tc>
          <w:tcPr>
            <w:tcW w:w="3187" w:type="dxa"/>
            <w:tcBorders>
              <w:top w:val="single" w:sz="6" w:space="0" w:color="CCCCCC"/>
              <w:left w:val="single" w:sz="6" w:space="0" w:color="CCCCCC"/>
              <w:bottom w:val="single" w:sz="6" w:space="0" w:color="284E3F"/>
              <w:right w:val="single" w:sz="6" w:space="0" w:color="284E3F"/>
            </w:tcBorders>
            <w:tcMar>
              <w:top w:w="0" w:type="dxa"/>
              <w:left w:w="0" w:type="dxa"/>
              <w:bottom w:w="0" w:type="dxa"/>
              <w:right w:w="0" w:type="dxa"/>
            </w:tcMar>
            <w:vAlign w:val="center"/>
          </w:tcPr>
          <w:p w14:paraId="6DAF9FC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periapical bone density loss and increased pro-inflammatory cytokines</w:t>
            </w:r>
          </w:p>
        </w:tc>
      </w:tr>
    </w:tbl>
    <w:p w14:paraId="5AAEA67F" w14:textId="77777777" w:rsidR="00183E89" w:rsidRDefault="005C32BA">
      <w:pPr>
        <w:spacing w:line="240" w:lineRule="auto"/>
        <w:jc w:val="both"/>
        <w:rPr>
          <w:rFonts w:ascii="Times New Roman" w:eastAsia="Times New Roman" w:hAnsi="Times New Roman" w:cs="Times New Roman"/>
        </w:rPr>
        <w:sectPr w:rsidR="00183E89">
          <w:pgSz w:w="16838" w:h="11906" w:orient="landscape"/>
          <w:pgMar w:top="1411" w:right="1699" w:bottom="1411" w:left="1699" w:header="720" w:footer="720" w:gutter="0"/>
          <w:cols w:space="720"/>
        </w:sectPr>
      </w:pPr>
      <w:r>
        <w:rPr>
          <w:rFonts w:ascii="Times New Roman" w:eastAsia="Times New Roman" w:hAnsi="Times New Roman" w:cs="Times New Roman"/>
        </w:rPr>
        <w:t xml:space="preserve"> </w:t>
      </w:r>
    </w:p>
    <w:p w14:paraId="793640AE"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FIGURES</w:t>
      </w:r>
    </w:p>
    <w:p w14:paraId="315C5EA7" w14:textId="77777777" w:rsidR="00183E89" w:rsidRDefault="00183E89">
      <w:pPr>
        <w:spacing w:line="480" w:lineRule="auto"/>
        <w:jc w:val="both"/>
        <w:rPr>
          <w:rFonts w:ascii="Times New Roman" w:eastAsia="Times New Roman" w:hAnsi="Times New Roman" w:cs="Times New Roman"/>
          <w:b/>
        </w:rPr>
      </w:pPr>
    </w:p>
    <w:p w14:paraId="3FA807DB"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xml:space="preserve"> Flowchart of study selection process</w:t>
      </w:r>
    </w:p>
    <w:p w14:paraId="2C423892"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14:anchorId="46D4FCB0" wp14:editId="73EEB48A">
            <wp:extent cx="5402016" cy="5130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402016" cy="5130800"/>
                    </a:xfrm>
                    <a:prstGeom prst="rect">
                      <a:avLst/>
                    </a:prstGeom>
                    <a:ln/>
                  </pic:spPr>
                </pic:pic>
              </a:graphicData>
            </a:graphic>
          </wp:inline>
        </w:drawing>
      </w:r>
    </w:p>
    <w:p w14:paraId="038114FB" w14:textId="77777777" w:rsidR="00183E89" w:rsidRDefault="00183E89">
      <w:pPr>
        <w:spacing w:line="480" w:lineRule="auto"/>
        <w:jc w:val="both"/>
        <w:rPr>
          <w:rFonts w:ascii="Times New Roman" w:eastAsia="Times New Roman" w:hAnsi="Times New Roman" w:cs="Times New Roman"/>
        </w:rPr>
      </w:pPr>
    </w:p>
    <w:p w14:paraId="0A0E8FCB" w14:textId="77777777" w:rsidR="00183E89" w:rsidRDefault="005C32BA">
      <w:pPr>
        <w:spacing w:line="240" w:lineRule="auto"/>
        <w:jc w:val="both"/>
        <w:rPr>
          <w:rFonts w:ascii="Times New Roman" w:eastAsia="Times New Roman" w:hAnsi="Times New Roman" w:cs="Times New Roman"/>
          <w:b/>
        </w:rPr>
      </w:pPr>
      <w:r>
        <w:br w:type="page"/>
      </w:r>
    </w:p>
    <w:p w14:paraId="6BAF1178" w14:textId="4774977E" w:rsidR="00183E89" w:rsidRDefault="005C32BA">
      <w:pPr>
        <w:spacing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Figure 2. </w:t>
      </w:r>
      <w:commentRangeStart w:id="1"/>
      <w:r>
        <w:rPr>
          <w:rFonts w:ascii="Times New Roman" w:eastAsia="Times New Roman" w:hAnsi="Times New Roman" w:cs="Times New Roman"/>
        </w:rPr>
        <w:t>Geo</w:t>
      </w:r>
      <w:r w:rsidR="00495AAA" w:rsidRPr="00495AAA">
        <w:t xml:space="preserve"> </w:t>
      </w:r>
      <w:proofErr w:type="spellStart"/>
      <w:r w:rsidR="00495AAA" w:rsidRPr="00495AAA">
        <w:rPr>
          <w:rFonts w:ascii="Times New Roman" w:eastAsia="Times New Roman" w:hAnsi="Times New Roman" w:cs="Times New Roman"/>
        </w:rPr>
        <w:t>pic</w:t>
      </w:r>
      <w:r>
        <w:rPr>
          <w:rFonts w:ascii="Times New Roman" w:eastAsia="Times New Roman" w:hAnsi="Times New Roman" w:cs="Times New Roman"/>
        </w:rPr>
        <w:t>ic</w:t>
      </w:r>
      <w:proofErr w:type="spellEnd"/>
      <w:r>
        <w:rPr>
          <w:rFonts w:ascii="Times New Roman" w:eastAsia="Times New Roman" w:hAnsi="Times New Roman" w:cs="Times New Roman"/>
        </w:rPr>
        <w:t xml:space="preserve"> </w:t>
      </w:r>
      <w:commentRangeEnd w:id="1"/>
      <w:r w:rsidR="003A7435">
        <w:rPr>
          <w:rStyle w:val="CommentReference"/>
        </w:rPr>
        <w:commentReference w:id="1"/>
      </w:r>
      <w:r>
        <w:rPr>
          <w:rFonts w:ascii="Times New Roman" w:eastAsia="Times New Roman" w:hAnsi="Times New Roman" w:cs="Times New Roman"/>
        </w:rPr>
        <w:t>distribution of the included studies</w:t>
      </w:r>
    </w:p>
    <w:p w14:paraId="363E27AC" w14:textId="77777777" w:rsidR="00183E89" w:rsidRDefault="00183E89">
      <w:pPr>
        <w:spacing w:line="240" w:lineRule="auto"/>
        <w:jc w:val="both"/>
        <w:rPr>
          <w:rFonts w:ascii="Times New Roman" w:eastAsia="Times New Roman" w:hAnsi="Times New Roman" w:cs="Times New Roman"/>
        </w:rPr>
      </w:pPr>
    </w:p>
    <w:p w14:paraId="0984CDBA" w14:textId="77777777" w:rsidR="00183E89" w:rsidRDefault="005C32BA">
      <w:pPr>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14:anchorId="279112B6" wp14:editId="03879E45">
            <wp:extent cx="5402016" cy="3314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t="341" b="341"/>
                    <a:stretch>
                      <a:fillRect/>
                    </a:stretch>
                  </pic:blipFill>
                  <pic:spPr>
                    <a:xfrm>
                      <a:off x="0" y="0"/>
                      <a:ext cx="5402016" cy="3314700"/>
                    </a:xfrm>
                    <a:prstGeom prst="rect">
                      <a:avLst/>
                    </a:prstGeom>
                    <a:ln/>
                  </pic:spPr>
                </pic:pic>
              </a:graphicData>
            </a:graphic>
          </wp:inline>
        </w:drawing>
      </w:r>
      <w:bookmarkStart w:id="2" w:name="_GoBack"/>
      <w:bookmarkEnd w:id="2"/>
    </w:p>
    <w:sectPr w:rsidR="00183E89">
      <w:pgSz w:w="11906" w:h="16838"/>
      <w:pgMar w:top="1411" w:right="1699" w:bottom="1411" w:left="1699"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25-08-19T21:04:00Z" w:initials="Office">
    <w:p w14:paraId="73941E24" w14:textId="2D8737AF" w:rsidR="009A4E6D" w:rsidRDefault="009A4E6D">
      <w:pPr>
        <w:pStyle w:val="CommentText"/>
      </w:pPr>
      <w:r>
        <w:rPr>
          <w:rStyle w:val="CommentReference"/>
        </w:rPr>
        <w:annotationRef/>
      </w:r>
      <w:r w:rsidR="0047326A">
        <w:t>How many articles were you able to get?</w:t>
      </w:r>
    </w:p>
  </w:comment>
  <w:comment w:id="1" w:author="Microsoft Office User" w:date="2025-08-19T21:32:00Z" w:initials="Office">
    <w:p w14:paraId="5963B77D" w14:textId="7CD6B020" w:rsidR="003A7435" w:rsidRDefault="003A7435">
      <w:pPr>
        <w:pStyle w:val="CommentText"/>
      </w:pPr>
      <w:r>
        <w:rPr>
          <w:rStyle w:val="CommentReference"/>
        </w:rPr>
        <w:annotationRef/>
      </w:r>
      <w:r>
        <w:t>Geographic</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41E24" w15:done="0"/>
  <w15:commentEx w15:paraId="5963B77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329BC" w14:textId="77777777" w:rsidR="00C6795D" w:rsidRDefault="00C6795D">
      <w:pPr>
        <w:spacing w:line="240" w:lineRule="auto"/>
      </w:pPr>
      <w:r>
        <w:separator/>
      </w:r>
    </w:p>
  </w:endnote>
  <w:endnote w:type="continuationSeparator" w:id="0">
    <w:p w14:paraId="5BFF26BD" w14:textId="77777777" w:rsidR="00C6795D" w:rsidRDefault="00C67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98BF70" w14:textId="77777777" w:rsidR="008F33A4" w:rsidRDefault="008F33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714565" w14:textId="77777777" w:rsidR="00183E89" w:rsidRDefault="00183E8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C58D4E5" w14:textId="77777777" w:rsidR="008F33A4" w:rsidRDefault="008F33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5B2B0" w14:textId="77777777" w:rsidR="00C6795D" w:rsidRDefault="00C6795D">
      <w:pPr>
        <w:spacing w:line="240" w:lineRule="auto"/>
      </w:pPr>
      <w:r>
        <w:separator/>
      </w:r>
    </w:p>
  </w:footnote>
  <w:footnote w:type="continuationSeparator" w:id="0">
    <w:p w14:paraId="540118E5" w14:textId="77777777" w:rsidR="00C6795D" w:rsidRDefault="00C6795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402D29" w14:textId="26F0156A" w:rsidR="008F33A4" w:rsidRDefault="00C6795D">
    <w:pPr>
      <w:pStyle w:val="Header"/>
    </w:pPr>
    <w:r>
      <w:rPr>
        <w:noProof/>
      </w:rPr>
      <w:pict w14:anchorId="4019557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87391" o:spid="_x0000_s2050" type="#_x0000_t136" style="position:absolute;margin-left:0;margin-top:0;width:539.7pt;height:59.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2F9547" w14:textId="5F1D1CB3" w:rsidR="00183E89" w:rsidRDefault="00C6795D">
    <w:r>
      <w:rPr>
        <w:noProof/>
      </w:rPr>
      <w:pict w14:anchorId="37E4C9C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87392" o:spid="_x0000_s2051" type="#_x0000_t136" style="position:absolute;margin-left:0;margin-top:0;width:539.7pt;height:59.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4F4450" w14:textId="41FB91E2" w:rsidR="008F33A4" w:rsidRDefault="00C6795D">
    <w:pPr>
      <w:pStyle w:val="Header"/>
    </w:pPr>
    <w:r>
      <w:rPr>
        <w:noProof/>
      </w:rPr>
      <w:pict w14:anchorId="149562C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87390" o:spid="_x0000_s2049" type="#_x0000_t136" style="position:absolute;margin-left:0;margin-top:0;width:539.7pt;height:59.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FD4B36"/>
    <w:multiLevelType w:val="multilevel"/>
    <w:tmpl w:val="3FF8836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18C77D5"/>
    <w:multiLevelType w:val="multilevel"/>
    <w:tmpl w:val="F86AA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89"/>
    <w:rsid w:val="0004101B"/>
    <w:rsid w:val="00135C0A"/>
    <w:rsid w:val="00183E89"/>
    <w:rsid w:val="001B5BEF"/>
    <w:rsid w:val="00223FE1"/>
    <w:rsid w:val="003A7435"/>
    <w:rsid w:val="0047326A"/>
    <w:rsid w:val="00495AAA"/>
    <w:rsid w:val="004F7A76"/>
    <w:rsid w:val="005C32BA"/>
    <w:rsid w:val="006F4E3D"/>
    <w:rsid w:val="008F33A4"/>
    <w:rsid w:val="00904568"/>
    <w:rsid w:val="00926F79"/>
    <w:rsid w:val="009A4E6D"/>
    <w:rsid w:val="00B33009"/>
    <w:rsid w:val="00C6795D"/>
    <w:rsid w:val="00C74BF9"/>
    <w:rsid w:val="00D7062E"/>
    <w:rsid w:val="00E0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89055"/>
  <w15:docId w15:val="{B02CC708-89FA-41CB-B6B4-027709F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customStyle="1" w:styleId="Corpo">
    <w:name w:val="Corpo"/>
    <w:rsid w:val="00904568"/>
    <w:pPr>
      <w:pBdr>
        <w:top w:val="nil"/>
        <w:left w:val="nil"/>
        <w:bottom w:val="nil"/>
        <w:right w:val="nil"/>
        <w:between w:val="nil"/>
        <w:bar w:val="nil"/>
      </w:pBdr>
      <w:spacing w:after="200"/>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character" w:customStyle="1" w:styleId="Nenhum">
    <w:name w:val="Nenhum"/>
    <w:rsid w:val="00904568"/>
  </w:style>
  <w:style w:type="character" w:customStyle="1" w:styleId="Hyperlink0">
    <w:name w:val="Hyperlink.0"/>
    <w:basedOn w:val="Nenhum"/>
    <w:rsid w:val="00904568"/>
    <w:rPr>
      <w:outline w:val="0"/>
      <w:color w:val="1155CC"/>
      <w:u w:val="single" w:color="1155CC"/>
    </w:rPr>
  </w:style>
  <w:style w:type="character" w:customStyle="1" w:styleId="Hyperlink1">
    <w:name w:val="Hyperlink.1"/>
    <w:basedOn w:val="Hyperlink"/>
    <w:rsid w:val="00904568"/>
    <w:rPr>
      <w:outline w:val="0"/>
      <w:color w:val="0000FF"/>
      <w:u w:val="single" w:color="0000FF"/>
    </w:rPr>
  </w:style>
  <w:style w:type="character" w:styleId="Hyperlink">
    <w:name w:val="Hyperlink"/>
    <w:basedOn w:val="DefaultParagraphFont"/>
    <w:uiPriority w:val="99"/>
    <w:unhideWhenUsed/>
    <w:rsid w:val="00904568"/>
    <w:rPr>
      <w:color w:val="0000FF" w:themeColor="hyperlink"/>
      <w:u w:val="single"/>
    </w:rPr>
  </w:style>
  <w:style w:type="character" w:customStyle="1" w:styleId="UnresolvedMention">
    <w:name w:val="Unresolved Mention"/>
    <w:basedOn w:val="DefaultParagraphFont"/>
    <w:uiPriority w:val="99"/>
    <w:semiHidden/>
    <w:unhideWhenUsed/>
    <w:rsid w:val="006F4E3D"/>
    <w:rPr>
      <w:color w:val="605E5C"/>
      <w:shd w:val="clear" w:color="auto" w:fill="E1DFDD"/>
    </w:rPr>
  </w:style>
  <w:style w:type="paragraph" w:styleId="Header">
    <w:name w:val="header"/>
    <w:basedOn w:val="Normal"/>
    <w:link w:val="HeaderChar"/>
    <w:uiPriority w:val="99"/>
    <w:unhideWhenUsed/>
    <w:rsid w:val="008F33A4"/>
    <w:pPr>
      <w:tabs>
        <w:tab w:val="center" w:pos="4680"/>
        <w:tab w:val="right" w:pos="9360"/>
      </w:tabs>
      <w:spacing w:line="240" w:lineRule="auto"/>
    </w:pPr>
  </w:style>
  <w:style w:type="character" w:customStyle="1" w:styleId="HeaderChar">
    <w:name w:val="Header Char"/>
    <w:basedOn w:val="DefaultParagraphFont"/>
    <w:link w:val="Header"/>
    <w:uiPriority w:val="99"/>
    <w:rsid w:val="008F33A4"/>
  </w:style>
  <w:style w:type="paragraph" w:styleId="Footer">
    <w:name w:val="footer"/>
    <w:basedOn w:val="Normal"/>
    <w:link w:val="FooterChar"/>
    <w:uiPriority w:val="99"/>
    <w:unhideWhenUsed/>
    <w:rsid w:val="008F33A4"/>
    <w:pPr>
      <w:tabs>
        <w:tab w:val="center" w:pos="4680"/>
        <w:tab w:val="right" w:pos="9360"/>
      </w:tabs>
      <w:spacing w:line="240" w:lineRule="auto"/>
    </w:pPr>
  </w:style>
  <w:style w:type="character" w:customStyle="1" w:styleId="FooterChar">
    <w:name w:val="Footer Char"/>
    <w:basedOn w:val="DefaultParagraphFont"/>
    <w:link w:val="Footer"/>
    <w:uiPriority w:val="99"/>
    <w:rsid w:val="008F33A4"/>
  </w:style>
  <w:style w:type="character" w:styleId="CommentReference">
    <w:name w:val="annotation reference"/>
    <w:basedOn w:val="DefaultParagraphFont"/>
    <w:uiPriority w:val="99"/>
    <w:semiHidden/>
    <w:unhideWhenUsed/>
    <w:rsid w:val="009A4E6D"/>
    <w:rPr>
      <w:sz w:val="18"/>
      <w:szCs w:val="18"/>
    </w:rPr>
  </w:style>
  <w:style w:type="paragraph" w:styleId="CommentText">
    <w:name w:val="annotation text"/>
    <w:basedOn w:val="Normal"/>
    <w:link w:val="CommentTextChar"/>
    <w:uiPriority w:val="99"/>
    <w:semiHidden/>
    <w:unhideWhenUsed/>
    <w:rsid w:val="009A4E6D"/>
    <w:pPr>
      <w:spacing w:line="240" w:lineRule="auto"/>
    </w:pPr>
    <w:rPr>
      <w:sz w:val="24"/>
      <w:szCs w:val="24"/>
    </w:rPr>
  </w:style>
  <w:style w:type="character" w:customStyle="1" w:styleId="CommentTextChar">
    <w:name w:val="Comment Text Char"/>
    <w:basedOn w:val="DefaultParagraphFont"/>
    <w:link w:val="CommentText"/>
    <w:uiPriority w:val="99"/>
    <w:semiHidden/>
    <w:rsid w:val="009A4E6D"/>
    <w:rPr>
      <w:sz w:val="24"/>
      <w:szCs w:val="24"/>
    </w:rPr>
  </w:style>
  <w:style w:type="paragraph" w:styleId="CommentSubject">
    <w:name w:val="annotation subject"/>
    <w:basedOn w:val="CommentText"/>
    <w:next w:val="CommentText"/>
    <w:link w:val="CommentSubjectChar"/>
    <w:uiPriority w:val="99"/>
    <w:semiHidden/>
    <w:unhideWhenUsed/>
    <w:rsid w:val="009A4E6D"/>
    <w:rPr>
      <w:b/>
      <w:bCs/>
      <w:sz w:val="20"/>
      <w:szCs w:val="20"/>
    </w:rPr>
  </w:style>
  <w:style w:type="character" w:customStyle="1" w:styleId="CommentSubjectChar">
    <w:name w:val="Comment Subject Char"/>
    <w:basedOn w:val="CommentTextChar"/>
    <w:link w:val="CommentSubject"/>
    <w:uiPriority w:val="99"/>
    <w:semiHidden/>
    <w:rsid w:val="009A4E6D"/>
    <w:rPr>
      <w:b/>
      <w:bCs/>
      <w:sz w:val="20"/>
      <w:szCs w:val="20"/>
    </w:rPr>
  </w:style>
  <w:style w:type="paragraph" w:styleId="BalloonText">
    <w:name w:val="Balloon Text"/>
    <w:basedOn w:val="Normal"/>
    <w:link w:val="BalloonTextChar"/>
    <w:uiPriority w:val="99"/>
    <w:semiHidden/>
    <w:unhideWhenUsed/>
    <w:rsid w:val="009A4E6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4E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22</Pages>
  <Words>4814</Words>
  <Characters>27445</Characters>
  <Application>Microsoft Macintosh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19</cp:revision>
  <dcterms:created xsi:type="dcterms:W3CDTF">2025-08-16T06:22:00Z</dcterms:created>
  <dcterms:modified xsi:type="dcterms:W3CDTF">2025-08-19T20:32:00Z</dcterms:modified>
</cp:coreProperties>
</file>