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CE94" w14:textId="3FAB610C" w:rsidR="002E047D" w:rsidRPr="002E047D" w:rsidRDefault="002E047D" w:rsidP="00474AA1">
      <w:pPr>
        <w:pStyle w:val="Author"/>
        <w:spacing w:line="240" w:lineRule="auto"/>
        <w:rPr>
          <w:rFonts w:ascii="Arial" w:hAnsi="Arial" w:cs="Arial"/>
          <w:bCs/>
          <w:iCs/>
          <w:kern w:val="28"/>
          <w:sz w:val="28"/>
          <w:szCs w:val="16"/>
          <w:u w:val="single"/>
        </w:rPr>
      </w:pPr>
      <w:r w:rsidRPr="002E047D">
        <w:rPr>
          <w:rFonts w:ascii="Arial" w:hAnsi="Arial" w:cs="Arial"/>
          <w:bCs/>
          <w:iCs/>
          <w:kern w:val="28"/>
          <w:sz w:val="28"/>
          <w:szCs w:val="16"/>
          <w:u w:val="single"/>
        </w:rPr>
        <w:t>Original Research Article</w:t>
      </w:r>
    </w:p>
    <w:p w14:paraId="27BFF8BB" w14:textId="50A3CCE8" w:rsidR="00A258C3" w:rsidRPr="00474AA1" w:rsidRDefault="00474AA1" w:rsidP="00474AA1">
      <w:pPr>
        <w:pStyle w:val="Author"/>
        <w:spacing w:line="240" w:lineRule="auto"/>
        <w:rPr>
          <w:rFonts w:ascii="Arial" w:hAnsi="Arial" w:cs="Arial"/>
          <w:bCs/>
          <w:iCs/>
          <w:kern w:val="28"/>
          <w:sz w:val="36"/>
        </w:rPr>
      </w:pPr>
      <w:r>
        <w:rPr>
          <w:rFonts w:ascii="Arial" w:hAnsi="Arial" w:cs="Arial"/>
          <w:bCs/>
          <w:iCs/>
          <w:kern w:val="28"/>
          <w:sz w:val="36"/>
        </w:rPr>
        <w:t xml:space="preserve">Analyzing </w:t>
      </w:r>
      <w:commentRangeStart w:id="0"/>
      <w:proofErr w:type="gramStart"/>
      <w:r>
        <w:rPr>
          <w:rFonts w:ascii="Arial" w:hAnsi="Arial" w:cs="Arial"/>
          <w:bCs/>
          <w:iCs/>
          <w:kern w:val="28"/>
          <w:sz w:val="36"/>
        </w:rPr>
        <w:t>The</w:t>
      </w:r>
      <w:commentRangeEnd w:id="0"/>
      <w:proofErr w:type="gramEnd"/>
      <w:r w:rsidR="00604718">
        <w:rPr>
          <w:rStyle w:val="CommentReference"/>
          <w:rFonts w:ascii="Times New Roman" w:hAnsi="Times New Roman"/>
          <w:b w:val="0"/>
          <w:lang w:val="nb-NO" w:eastAsia="nb-NO"/>
        </w:rPr>
        <w:commentReference w:id="0"/>
      </w:r>
      <w:r>
        <w:rPr>
          <w:rFonts w:ascii="Arial" w:hAnsi="Arial" w:cs="Arial"/>
          <w:bCs/>
          <w:iCs/>
          <w:kern w:val="28"/>
          <w:sz w:val="36"/>
        </w:rPr>
        <w:t xml:space="preserve"> Regional Economic Underpinnings of </w:t>
      </w:r>
      <w:commentRangeStart w:id="1"/>
      <w:r>
        <w:rPr>
          <w:rFonts w:ascii="Arial" w:hAnsi="Arial" w:cs="Arial"/>
          <w:bCs/>
          <w:iCs/>
          <w:kern w:val="28"/>
          <w:sz w:val="36"/>
        </w:rPr>
        <w:t xml:space="preserve">FDI </w:t>
      </w:r>
      <w:commentRangeEnd w:id="1"/>
      <w:r w:rsidR="00D247F8">
        <w:rPr>
          <w:rStyle w:val="CommentReference"/>
          <w:rFonts w:ascii="Times New Roman" w:hAnsi="Times New Roman"/>
          <w:b w:val="0"/>
          <w:lang w:val="nb-NO" w:eastAsia="nb-NO"/>
        </w:rPr>
        <w:commentReference w:id="1"/>
      </w:r>
      <w:r>
        <w:rPr>
          <w:rFonts w:ascii="Arial" w:hAnsi="Arial" w:cs="Arial"/>
          <w:bCs/>
          <w:iCs/>
          <w:kern w:val="28"/>
          <w:sz w:val="36"/>
        </w:rPr>
        <w:t>Sustainability in East Kalimantan Post-</w:t>
      </w:r>
      <w:commentRangeStart w:id="2"/>
      <w:r>
        <w:rPr>
          <w:rFonts w:ascii="Arial" w:hAnsi="Arial" w:cs="Arial"/>
          <w:bCs/>
          <w:iCs/>
          <w:kern w:val="28"/>
          <w:sz w:val="36"/>
        </w:rPr>
        <w:t xml:space="preserve">IKN </w:t>
      </w:r>
      <w:commentRangeEnd w:id="2"/>
      <w:r w:rsidR="00D247F8">
        <w:rPr>
          <w:rStyle w:val="CommentReference"/>
          <w:rFonts w:ascii="Times New Roman" w:hAnsi="Times New Roman"/>
          <w:b w:val="0"/>
          <w:lang w:val="nb-NO" w:eastAsia="nb-NO"/>
        </w:rPr>
        <w:commentReference w:id="2"/>
      </w:r>
      <w:r>
        <w:rPr>
          <w:rFonts w:ascii="Arial" w:hAnsi="Arial" w:cs="Arial"/>
          <w:bCs/>
          <w:iCs/>
          <w:kern w:val="28"/>
          <w:sz w:val="36"/>
        </w:rPr>
        <w:t>Relocation</w:t>
      </w:r>
    </w:p>
    <w:p w14:paraId="4ACBEEB9" w14:textId="77777777" w:rsidR="0097291B" w:rsidRDefault="0097291B" w:rsidP="00441B6F">
      <w:pPr>
        <w:pStyle w:val="Author"/>
        <w:spacing w:line="240" w:lineRule="auto"/>
        <w:rPr>
          <w:rFonts w:ascii="Arial" w:hAnsi="Arial" w:cs="Arial"/>
          <w:sz w:val="20"/>
          <w:szCs w:val="16"/>
        </w:rPr>
      </w:pPr>
    </w:p>
    <w:p w14:paraId="5ACAD383" w14:textId="77777777" w:rsidR="0097291B" w:rsidRDefault="0097291B" w:rsidP="00441B6F">
      <w:pPr>
        <w:pStyle w:val="Author"/>
        <w:spacing w:line="240" w:lineRule="auto"/>
        <w:rPr>
          <w:rFonts w:ascii="Arial" w:hAnsi="Arial" w:cs="Arial"/>
          <w:sz w:val="20"/>
          <w:szCs w:val="16"/>
        </w:rPr>
      </w:pPr>
    </w:p>
    <w:p w14:paraId="26085003" w14:textId="5F4C297A" w:rsidR="006E754B" w:rsidRPr="00127C07" w:rsidRDefault="00077D13" w:rsidP="00077D13">
      <w:pPr>
        <w:pStyle w:val="Affiliation"/>
        <w:spacing w:after="0" w:line="240" w:lineRule="auto"/>
        <w:rPr>
          <w:rFonts w:ascii="Arial" w:hAnsi="Arial" w:cs="Arial"/>
          <w:i/>
        </w:rPr>
      </w:pPr>
      <w:r>
        <w:rPr>
          <w:rFonts w:ascii="Arial" w:hAnsi="Arial" w:cs="Arial"/>
          <w:i/>
        </w:rPr>
        <w:t xml:space="preserve"> </w:t>
      </w:r>
      <w:r w:rsidR="006E754B">
        <w:rPr>
          <w:rFonts w:ascii="Arial" w:hAnsi="Arial" w:cs="Arial"/>
          <w:i/>
        </w:rPr>
        <w:t xml:space="preserve"> </w:t>
      </w:r>
    </w:p>
    <w:p w14:paraId="5C89C030" w14:textId="77777777" w:rsidR="00790ADA" w:rsidRPr="00127C07" w:rsidRDefault="00790ADA" w:rsidP="00441B6F">
      <w:pPr>
        <w:pStyle w:val="Affiliation"/>
        <w:spacing w:after="0" w:line="240" w:lineRule="auto"/>
        <w:jc w:val="both"/>
        <w:rPr>
          <w:rFonts w:ascii="Arial" w:hAnsi="Arial" w:cs="Arial"/>
        </w:rPr>
      </w:pPr>
      <w:bookmarkStart w:id="3" w:name="_GoBack"/>
      <w:bookmarkEnd w:id="3"/>
    </w:p>
    <w:p w14:paraId="2B9ED23F" w14:textId="77777777" w:rsidR="002C57D2" w:rsidRPr="00127C07" w:rsidRDefault="002C57D2" w:rsidP="00441B6F">
      <w:pPr>
        <w:pStyle w:val="Affiliation"/>
        <w:spacing w:after="0" w:line="240" w:lineRule="auto"/>
        <w:jc w:val="both"/>
        <w:rPr>
          <w:rFonts w:ascii="Arial" w:hAnsi="Arial" w:cs="Arial"/>
        </w:rPr>
      </w:pPr>
    </w:p>
    <w:p w14:paraId="06F48871" w14:textId="7BA5EE08" w:rsidR="00B01FCD" w:rsidRPr="00127C07" w:rsidRDefault="00300E5C" w:rsidP="00441B6F">
      <w:pPr>
        <w:pStyle w:val="Copyright"/>
        <w:spacing w:after="0" w:line="240" w:lineRule="auto"/>
        <w:jc w:val="both"/>
        <w:rPr>
          <w:rFonts w:ascii="Arial" w:hAnsi="Arial" w:cs="Arial"/>
        </w:rPr>
        <w:sectPr w:rsidR="00B01FCD" w:rsidRPr="00127C07" w:rsidSect="001A6D49">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sidRPr="00127C07">
        <w:rPr>
          <w:rFonts w:ascii="Arial" w:hAnsi="Arial" w:cs="Arial"/>
          <w:noProof/>
        </w:rPr>
        <mc:AlternateContent>
          <mc:Choice Requires="wps">
            <w:drawing>
              <wp:inline distT="0" distB="0" distL="0" distR="0" wp14:anchorId="6D90FEFE" wp14:editId="67A68E17">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1AC09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127C07">
        <w:rPr>
          <w:rFonts w:ascii="Arial" w:hAnsi="Arial" w:cs="Arial"/>
        </w:rPr>
        <w:t>.</w:t>
      </w:r>
    </w:p>
    <w:p w14:paraId="6E230A73" w14:textId="06610EF6" w:rsidR="00B01FCD" w:rsidRPr="00127C07" w:rsidRDefault="00B01FCD" w:rsidP="00441B6F">
      <w:pPr>
        <w:pStyle w:val="AbstHead"/>
        <w:spacing w:after="0"/>
        <w:jc w:val="both"/>
        <w:rPr>
          <w:rFonts w:ascii="Arial" w:hAnsi="Arial" w:cs="Arial"/>
        </w:rPr>
      </w:pPr>
      <w:r w:rsidRPr="00127C07">
        <w:rPr>
          <w:rFonts w:ascii="Arial" w:hAnsi="Arial" w:cs="Arial"/>
        </w:rPr>
        <w:lastRenderedPageBreak/>
        <w:t>ABSTRACT</w:t>
      </w:r>
      <w:r w:rsidR="0066510A" w:rsidRPr="00127C07">
        <w:rPr>
          <w:rFonts w:ascii="Arial" w:hAnsi="Arial" w:cs="Arial"/>
        </w:rPr>
        <w:t xml:space="preserve"> </w:t>
      </w:r>
    </w:p>
    <w:p w14:paraId="5154CED8" w14:textId="77777777" w:rsidR="00790ADA" w:rsidRPr="00127C0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27C07" w14:paraId="5A45A07F" w14:textId="77777777" w:rsidTr="001E44FE">
        <w:tc>
          <w:tcPr>
            <w:tcW w:w="9576" w:type="dxa"/>
            <w:shd w:val="clear" w:color="auto" w:fill="F2F2F2"/>
          </w:tcPr>
          <w:p w14:paraId="25AC33A2" w14:textId="2F739013" w:rsidR="00505F06" w:rsidRPr="00127C07" w:rsidRDefault="00D815A4" w:rsidP="00441B6F">
            <w:pPr>
              <w:pStyle w:val="Body"/>
              <w:spacing w:after="0"/>
              <w:rPr>
                <w:rFonts w:ascii="Arial" w:eastAsia="Calibri" w:hAnsi="Arial" w:cs="Arial"/>
                <w:szCs w:val="22"/>
              </w:rPr>
            </w:pPr>
            <w:commentRangeStart w:id="4"/>
            <w:r w:rsidRPr="00D815A4">
              <w:rPr>
                <w:rFonts w:ascii="Arial" w:eastAsia="Calibri" w:hAnsi="Arial" w:cs="Arial"/>
                <w:szCs w:val="22"/>
              </w:rPr>
              <w:t>Following</w:t>
            </w:r>
            <w:commentRangeEnd w:id="4"/>
            <w:r w:rsidR="00D247F8">
              <w:rPr>
                <w:rStyle w:val="CommentReference"/>
                <w:rFonts w:ascii="Times New Roman" w:hAnsi="Times New Roman"/>
                <w:lang w:val="nb-NO" w:eastAsia="nb-NO"/>
              </w:rPr>
              <w:commentReference w:id="4"/>
            </w:r>
            <w:r w:rsidRPr="00D815A4">
              <w:rPr>
                <w:rFonts w:ascii="Arial" w:eastAsia="Calibri" w:hAnsi="Arial" w:cs="Arial"/>
                <w:szCs w:val="22"/>
              </w:rPr>
              <w:t xml:space="preserve"> the start of the development of Ibu Kota Nusantara (IKN), this study empirically examines the impact of regional economic indicators on the realization of FDI in East Kalimantan</w:t>
            </w:r>
            <w:r w:rsidR="00F71574" w:rsidRPr="00F71574">
              <w:rPr>
                <w:rFonts w:ascii="Arial" w:eastAsia="Calibri" w:hAnsi="Arial" w:cs="Arial"/>
                <w:szCs w:val="22"/>
              </w:rPr>
              <w:t xml:space="preserve">. </w:t>
            </w:r>
            <w:commentRangeStart w:id="5"/>
            <w:r w:rsidRPr="00D815A4">
              <w:rPr>
                <w:rFonts w:ascii="Arial" w:eastAsia="Calibri" w:hAnsi="Arial" w:cs="Arial"/>
                <w:szCs w:val="22"/>
              </w:rPr>
              <w:t>Using</w:t>
            </w:r>
            <w:commentRangeEnd w:id="5"/>
            <w:r w:rsidR="00D247F8">
              <w:rPr>
                <w:rStyle w:val="CommentReference"/>
                <w:rFonts w:ascii="Times New Roman" w:hAnsi="Times New Roman"/>
                <w:lang w:val="nb-NO" w:eastAsia="nb-NO"/>
              </w:rPr>
              <w:commentReference w:id="5"/>
            </w:r>
            <w:r w:rsidRPr="00D815A4">
              <w:rPr>
                <w:rFonts w:ascii="Arial" w:eastAsia="Calibri" w:hAnsi="Arial" w:cs="Arial"/>
                <w:szCs w:val="22"/>
              </w:rPr>
              <w:t xml:space="preserve"> panel data from </w:t>
            </w:r>
            <w:r>
              <w:rPr>
                <w:rFonts w:ascii="Arial" w:eastAsia="Calibri" w:hAnsi="Arial" w:cs="Arial"/>
                <w:szCs w:val="22"/>
              </w:rPr>
              <w:t>7</w:t>
            </w:r>
            <w:r w:rsidRPr="00D815A4">
              <w:rPr>
                <w:rFonts w:ascii="Arial" w:eastAsia="Calibri" w:hAnsi="Arial" w:cs="Arial"/>
                <w:szCs w:val="22"/>
              </w:rPr>
              <w:t xml:space="preserve"> East Kalimantan districts and cities during 2019–2024, this study employs a quantitative methodology</w:t>
            </w:r>
            <w:r w:rsidR="00F71574" w:rsidRPr="00F71574">
              <w:rPr>
                <w:rFonts w:ascii="Arial" w:eastAsia="Calibri" w:hAnsi="Arial" w:cs="Arial"/>
                <w:szCs w:val="22"/>
              </w:rPr>
              <w:t xml:space="preserve">. The independent variables tested include </w:t>
            </w:r>
            <w:r w:rsidR="007417D2" w:rsidRPr="007417D2">
              <w:rPr>
                <w:rFonts w:ascii="Arial" w:eastAsia="Calibri" w:hAnsi="Arial" w:cs="Arial"/>
                <w:szCs w:val="22"/>
              </w:rPr>
              <w:t>Oil Palm Land Area (OPLA</w:t>
            </w:r>
            <w:r w:rsidR="007417D2">
              <w:rPr>
                <w:rFonts w:ascii="Arial" w:eastAsia="Calibri" w:hAnsi="Arial" w:cs="Arial"/>
                <w:szCs w:val="22"/>
              </w:rPr>
              <w:t>),</w:t>
            </w:r>
            <w:r w:rsidR="007417D2">
              <w:t xml:space="preserve"> </w:t>
            </w:r>
            <w:r w:rsidR="007417D2" w:rsidRPr="007417D2">
              <w:rPr>
                <w:rFonts w:ascii="Arial" w:eastAsia="Calibri" w:hAnsi="Arial" w:cs="Arial"/>
                <w:szCs w:val="22"/>
              </w:rPr>
              <w:t>Implicit Index of Gross Regional Domestic Product (IIGRDP)</w:t>
            </w:r>
            <w:r w:rsidR="00F71574" w:rsidRPr="00F71574">
              <w:rPr>
                <w:rFonts w:ascii="Arial" w:eastAsia="Calibri" w:hAnsi="Arial" w:cs="Arial"/>
                <w:szCs w:val="22"/>
              </w:rPr>
              <w:t xml:space="preserve">, </w:t>
            </w:r>
            <w:r w:rsidR="007417D2" w:rsidRPr="007417D2">
              <w:rPr>
                <w:rFonts w:ascii="Arial" w:eastAsia="Calibri" w:hAnsi="Arial" w:cs="Arial"/>
                <w:szCs w:val="22"/>
              </w:rPr>
              <w:t>Domestic Direct Investment (DDI)</w:t>
            </w:r>
            <w:r w:rsidR="00F71574" w:rsidRPr="00F71574">
              <w:rPr>
                <w:rFonts w:ascii="Arial" w:eastAsia="Calibri" w:hAnsi="Arial" w:cs="Arial"/>
                <w:szCs w:val="22"/>
              </w:rPr>
              <w:t xml:space="preserve">, and </w:t>
            </w:r>
            <w:r w:rsidR="007417D2" w:rsidRPr="007417D2">
              <w:rPr>
                <w:rFonts w:ascii="Arial" w:eastAsia="Calibri" w:hAnsi="Arial" w:cs="Arial"/>
                <w:szCs w:val="22"/>
              </w:rPr>
              <w:t>Palm Oil Production (POP)</w:t>
            </w:r>
            <w:r w:rsidR="00F71574" w:rsidRPr="00F71574">
              <w:rPr>
                <w:rFonts w:ascii="Arial" w:eastAsia="Calibri" w:hAnsi="Arial" w:cs="Arial"/>
                <w:szCs w:val="22"/>
              </w:rPr>
              <w:t xml:space="preserve">. </w:t>
            </w:r>
            <w:r w:rsidR="005F66D6" w:rsidRPr="005F66D6">
              <w:rPr>
                <w:rFonts w:ascii="Arial" w:eastAsia="Calibri" w:hAnsi="Arial" w:cs="Arial"/>
                <w:szCs w:val="22"/>
              </w:rPr>
              <w:t xml:space="preserve">The </w:t>
            </w:r>
            <w:proofErr w:type="spellStart"/>
            <w:r w:rsidR="005F66D6" w:rsidRPr="005F66D6">
              <w:rPr>
                <w:rFonts w:ascii="Arial" w:eastAsia="Calibri" w:hAnsi="Arial" w:cs="Arial"/>
                <w:i/>
                <w:iCs/>
                <w:szCs w:val="22"/>
              </w:rPr>
              <w:t>Badan</w:t>
            </w:r>
            <w:proofErr w:type="spellEnd"/>
            <w:r w:rsidR="005F66D6" w:rsidRPr="005F66D6">
              <w:rPr>
                <w:rFonts w:ascii="Arial" w:eastAsia="Calibri" w:hAnsi="Arial" w:cs="Arial"/>
                <w:i/>
                <w:iCs/>
                <w:szCs w:val="22"/>
              </w:rPr>
              <w:t xml:space="preserve"> </w:t>
            </w:r>
            <w:proofErr w:type="spellStart"/>
            <w:r w:rsidR="005F66D6" w:rsidRPr="005F66D6">
              <w:rPr>
                <w:rFonts w:ascii="Arial" w:eastAsia="Calibri" w:hAnsi="Arial" w:cs="Arial"/>
                <w:i/>
                <w:iCs/>
                <w:szCs w:val="22"/>
              </w:rPr>
              <w:t>Pusat</w:t>
            </w:r>
            <w:proofErr w:type="spellEnd"/>
            <w:r w:rsidR="005F66D6" w:rsidRPr="005F66D6">
              <w:rPr>
                <w:rFonts w:ascii="Arial" w:eastAsia="Calibri" w:hAnsi="Arial" w:cs="Arial"/>
                <w:i/>
                <w:iCs/>
                <w:szCs w:val="22"/>
              </w:rPr>
              <w:t xml:space="preserve"> </w:t>
            </w:r>
            <w:proofErr w:type="spellStart"/>
            <w:r w:rsidR="005F66D6" w:rsidRPr="005F66D6">
              <w:rPr>
                <w:rFonts w:ascii="Arial" w:eastAsia="Calibri" w:hAnsi="Arial" w:cs="Arial"/>
                <w:i/>
                <w:iCs/>
                <w:szCs w:val="22"/>
              </w:rPr>
              <w:t>Statistik</w:t>
            </w:r>
            <w:proofErr w:type="spellEnd"/>
            <w:r w:rsidR="005F66D6" w:rsidRPr="005F66D6">
              <w:rPr>
                <w:rFonts w:ascii="Arial" w:eastAsia="Calibri" w:hAnsi="Arial" w:cs="Arial"/>
                <w:szCs w:val="22"/>
              </w:rPr>
              <w:t xml:space="preserve"> (BPS) provided the data.</w:t>
            </w:r>
            <w:r w:rsidR="005F66D6">
              <w:rPr>
                <w:rFonts w:ascii="Arial" w:eastAsia="Calibri" w:hAnsi="Arial" w:cs="Arial"/>
                <w:szCs w:val="22"/>
              </w:rPr>
              <w:t xml:space="preserve"> </w:t>
            </w:r>
            <w:r w:rsidR="005F66D6" w:rsidRPr="005F66D6">
              <w:rPr>
                <w:rFonts w:ascii="Arial" w:eastAsia="Calibri" w:hAnsi="Arial" w:cs="Arial"/>
                <w:szCs w:val="22"/>
              </w:rPr>
              <w:t xml:space="preserve">Panel data regression utilizing the Ordinary Least Squares (OLS) approach is used in the study methodology. The Random Effects Model (REM) is the best model after model specification testing using the Chow, Hausman, and Lagrange Multiplier tests. </w:t>
            </w:r>
            <w:r w:rsidR="00F65BC8" w:rsidRPr="00F65BC8">
              <w:rPr>
                <w:rFonts w:ascii="Arial" w:eastAsia="Calibri" w:hAnsi="Arial" w:cs="Arial"/>
                <w:szCs w:val="22"/>
              </w:rPr>
              <w:t>The estimation findings reveal that all four independent variables have a favorable impact on FDI</w:t>
            </w:r>
            <w:r w:rsidR="00F71574" w:rsidRPr="00F71574">
              <w:rPr>
                <w:rFonts w:ascii="Arial" w:eastAsia="Calibri" w:hAnsi="Arial" w:cs="Arial"/>
                <w:szCs w:val="22"/>
              </w:rPr>
              <w:t xml:space="preserve">. An increase in land area and palm oil production strengthens the investment location's appeal, while </w:t>
            </w:r>
            <w:r w:rsidR="007417D2">
              <w:rPr>
                <w:rFonts w:ascii="Arial" w:eastAsia="Calibri" w:hAnsi="Arial" w:cs="Arial"/>
                <w:szCs w:val="22"/>
              </w:rPr>
              <w:t>DDI</w:t>
            </w:r>
            <w:r w:rsidR="00F71574" w:rsidRPr="00F71574">
              <w:rPr>
                <w:rFonts w:ascii="Arial" w:eastAsia="Calibri" w:hAnsi="Arial" w:cs="Arial"/>
                <w:szCs w:val="22"/>
              </w:rPr>
              <w:t xml:space="preserve"> serves as a signal for foreign investors. The increasing </w:t>
            </w:r>
            <w:r w:rsidR="007417D2">
              <w:rPr>
                <w:rFonts w:ascii="Arial" w:eastAsia="Calibri" w:hAnsi="Arial" w:cs="Arial"/>
                <w:szCs w:val="22"/>
              </w:rPr>
              <w:t>IIGRDP</w:t>
            </w:r>
            <w:r w:rsidR="00F71574" w:rsidRPr="00F71574">
              <w:rPr>
                <w:rFonts w:ascii="Arial" w:eastAsia="Calibri" w:hAnsi="Arial" w:cs="Arial"/>
                <w:szCs w:val="22"/>
              </w:rPr>
              <w:t xml:space="preserve"> indicates high aggregate demand, which is considered advantageous by foreign investors. </w:t>
            </w:r>
            <w:r w:rsidR="00F65BC8" w:rsidRPr="00F65BC8">
              <w:rPr>
                <w:rFonts w:ascii="Arial" w:eastAsia="Calibri" w:hAnsi="Arial" w:cs="Arial"/>
                <w:szCs w:val="22"/>
              </w:rPr>
              <w:t>An R-squared value of 0.6259 suggests that the model has a relatively strong ability to explain the variation in FDI</w:t>
            </w:r>
            <w:r w:rsidR="00F71574" w:rsidRPr="00F71574">
              <w:rPr>
                <w:rFonts w:ascii="Arial" w:eastAsia="Calibri" w:hAnsi="Arial" w:cs="Arial"/>
                <w:szCs w:val="22"/>
              </w:rPr>
              <w:t xml:space="preserve">. </w:t>
            </w:r>
            <w:r w:rsidR="00706248" w:rsidRPr="00706248">
              <w:rPr>
                <w:rFonts w:ascii="Arial" w:eastAsia="Calibri" w:hAnsi="Arial" w:cs="Arial"/>
                <w:szCs w:val="22"/>
              </w:rPr>
              <w:t>These findings underscore the pivotal role of synergizing the productivity of leading sectors, maintaining price stability, and fostering dynamic domestic investment in shaping a conducive and attractive investment climate</w:t>
            </w:r>
            <w:r w:rsidR="00F71574" w:rsidRPr="00F71574">
              <w:rPr>
                <w:rFonts w:ascii="Arial" w:eastAsia="Calibri" w:hAnsi="Arial" w:cs="Arial"/>
                <w:szCs w:val="22"/>
              </w:rPr>
              <w:t>. This study recommends the establishment of an Artificial Intelligence-based Green Investment Command Center (GICC) to map sustainable investment zones and transparency with ESG (Environmental, Social, Governance) standards. These policy implications are relevant for commodity</w:t>
            </w:r>
            <w:r w:rsidR="007417D2">
              <w:rPr>
                <w:rFonts w:ascii="Arial" w:eastAsia="Calibri" w:hAnsi="Arial" w:cs="Arial"/>
                <w:szCs w:val="22"/>
              </w:rPr>
              <w:t xml:space="preserve"> </w:t>
            </w:r>
            <w:r w:rsidR="00F71574" w:rsidRPr="00F71574">
              <w:rPr>
                <w:rFonts w:ascii="Arial" w:eastAsia="Calibri" w:hAnsi="Arial" w:cs="Arial"/>
                <w:szCs w:val="22"/>
              </w:rPr>
              <w:t xml:space="preserve">producing regions in developing countries for long-term </w:t>
            </w:r>
            <w:commentRangeStart w:id="6"/>
            <w:r w:rsidR="00F71574" w:rsidRPr="00F71574">
              <w:rPr>
                <w:rFonts w:ascii="Arial" w:eastAsia="Calibri" w:hAnsi="Arial" w:cs="Arial"/>
                <w:szCs w:val="22"/>
              </w:rPr>
              <w:t>investment</w:t>
            </w:r>
            <w:commentRangeEnd w:id="6"/>
            <w:r w:rsidR="00D247F8">
              <w:rPr>
                <w:rStyle w:val="CommentReference"/>
                <w:rFonts w:ascii="Times New Roman" w:hAnsi="Times New Roman"/>
                <w:lang w:val="nb-NO" w:eastAsia="nb-NO"/>
              </w:rPr>
              <w:commentReference w:id="6"/>
            </w:r>
            <w:r w:rsidR="00F71574" w:rsidRPr="00F71574">
              <w:rPr>
                <w:rFonts w:ascii="Arial" w:eastAsia="Calibri" w:hAnsi="Arial" w:cs="Arial"/>
                <w:szCs w:val="22"/>
              </w:rPr>
              <w:t>.</w:t>
            </w:r>
          </w:p>
        </w:tc>
      </w:tr>
    </w:tbl>
    <w:p w14:paraId="3C2B0F63" w14:textId="77777777" w:rsidR="00636EB2" w:rsidRPr="00127C07" w:rsidRDefault="00636EB2" w:rsidP="00441B6F">
      <w:pPr>
        <w:pStyle w:val="Body"/>
        <w:spacing w:after="0"/>
        <w:rPr>
          <w:rFonts w:ascii="Arial" w:hAnsi="Arial" w:cs="Arial"/>
          <w:i/>
        </w:rPr>
      </w:pPr>
    </w:p>
    <w:p w14:paraId="5AFA2E57" w14:textId="3F5CAB1A" w:rsidR="00A24E7E" w:rsidRPr="00127C07" w:rsidRDefault="00A24E7E" w:rsidP="00441B6F">
      <w:pPr>
        <w:pStyle w:val="Body"/>
        <w:spacing w:after="0"/>
        <w:rPr>
          <w:rFonts w:ascii="Arial" w:hAnsi="Arial" w:cs="Arial"/>
          <w:i/>
        </w:rPr>
      </w:pPr>
      <w:bookmarkStart w:id="7" w:name="_Hlk203461324"/>
      <w:r w:rsidRPr="00127C07">
        <w:rPr>
          <w:rFonts w:ascii="Arial" w:hAnsi="Arial" w:cs="Arial"/>
          <w:i/>
        </w:rPr>
        <w:t>Keywords:</w:t>
      </w:r>
      <w:r w:rsidR="0008308B">
        <w:rPr>
          <w:rFonts w:ascii="Arial" w:hAnsi="Arial" w:cs="Arial"/>
          <w:i/>
        </w:rPr>
        <w:t xml:space="preserve"> East Kalimantan,</w:t>
      </w:r>
      <w:r w:rsidRPr="00127C07">
        <w:rPr>
          <w:rFonts w:ascii="Arial" w:hAnsi="Arial" w:cs="Arial"/>
          <w:i/>
        </w:rPr>
        <w:t xml:space="preserve"> </w:t>
      </w:r>
      <w:r w:rsidR="0008308B">
        <w:rPr>
          <w:rFonts w:ascii="Arial" w:hAnsi="Arial" w:cs="Arial"/>
          <w:i/>
        </w:rPr>
        <w:t xml:space="preserve">Foreign Direct Investment, Palm Oli Sector, </w:t>
      </w:r>
      <w:r w:rsidR="0008308B" w:rsidRPr="0008308B">
        <w:rPr>
          <w:rFonts w:ascii="Arial" w:hAnsi="Arial" w:cs="Arial"/>
          <w:i/>
        </w:rPr>
        <w:t>Implicit Index GRDP</w:t>
      </w:r>
    </w:p>
    <w:p w14:paraId="12096627" w14:textId="77777777" w:rsidR="00505F06" w:rsidRPr="00127C07" w:rsidRDefault="00505F06" w:rsidP="00441B6F">
      <w:pPr>
        <w:pStyle w:val="Body"/>
        <w:spacing w:after="0"/>
        <w:rPr>
          <w:rFonts w:ascii="Arial" w:hAnsi="Arial" w:cs="Arial"/>
          <w:i/>
        </w:rPr>
      </w:pPr>
    </w:p>
    <w:p w14:paraId="0DA0A077" w14:textId="02BB85E8" w:rsidR="007F7B32" w:rsidRPr="00127C07" w:rsidRDefault="00902823" w:rsidP="00142BC0">
      <w:pPr>
        <w:pStyle w:val="AbstHead"/>
        <w:spacing w:after="0"/>
        <w:jc w:val="both"/>
        <w:rPr>
          <w:rFonts w:ascii="Arial" w:hAnsi="Arial" w:cs="Arial"/>
        </w:rPr>
      </w:pPr>
      <w:r w:rsidRPr="00127C07">
        <w:rPr>
          <w:rFonts w:ascii="Arial" w:hAnsi="Arial" w:cs="Arial"/>
        </w:rPr>
        <w:t xml:space="preserve">1. </w:t>
      </w:r>
      <w:r w:rsidR="00B01FCD" w:rsidRPr="00127C07">
        <w:rPr>
          <w:rFonts w:ascii="Arial" w:hAnsi="Arial" w:cs="Arial"/>
        </w:rPr>
        <w:t>INTRODUCTION</w:t>
      </w:r>
      <w:r w:rsidR="007F7B32" w:rsidRPr="00127C07">
        <w:rPr>
          <w:rFonts w:ascii="Arial" w:hAnsi="Arial" w:cs="Arial"/>
        </w:rPr>
        <w:t xml:space="preserve"> </w:t>
      </w:r>
    </w:p>
    <w:p w14:paraId="738062C2" w14:textId="6C3916B6" w:rsidR="00927283" w:rsidRPr="00127C07" w:rsidRDefault="00A05DBB" w:rsidP="00142BC0">
      <w:pPr>
        <w:pStyle w:val="Body"/>
        <w:spacing w:after="0"/>
        <w:rPr>
          <w:rFonts w:ascii="Arial" w:hAnsi="Arial" w:cs="Arial"/>
        </w:rPr>
      </w:pPr>
      <w:r w:rsidRPr="00127C07">
        <w:rPr>
          <w:rFonts w:ascii="Arial" w:hAnsi="Arial" w:cs="Arial"/>
        </w:rPr>
        <w:tab/>
      </w:r>
      <w:r w:rsidR="00706248" w:rsidRPr="00706248">
        <w:rPr>
          <w:rFonts w:ascii="Arial" w:hAnsi="Arial" w:cs="Arial"/>
        </w:rPr>
        <w:t>Capital relocation has been utilized as a strategic approach to promote balanced development, with successful implementations observed in countries like Brazil, Kazakhstan, and Malaysia</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{"citationItems":[{"id":"ITEM-1","itemData":{"DOI":"10.21776/ub.transformative.2022.008.01.1","ISSN":"25483323","abstract":"The plan to move the capital city is at least driven by 2 (two) considerations, namely development equality efforts and realizing good governance. This article is intended to compare the two reasons for which are considered appropriate to be used as the reason for moving the capital. This study uses a qualitative approach with descriptive analysis method. The results of the study revealed that the distribution of development can be done in the context of decentralization and local authonomy, the implications of moving the capital based on the distribution of development not only have an impact on the determination of new capitals which must be based on geo-economics but also requires policy instruments that are specific to ensuring equitable economic growth and development. Conversely, the move of the capital based on implementing good governance will not only result in a clean, professional and visionary governance, but it will also produce policies that are not solely based on the distribution of development, but also aimed at improving all aspects of national life fairly and proportionally.","author":[{"dropping-particle":"","family":"Herdiana","given":"Dian","non-dropping-particle":"","parse-names":false,"suffix":""}],"container-title":"Jurnal Transformative","id":"ITEM-1","issue":"1","issued":{"date-parts":[["2022"]]},"page":"1-30","title":"Pemindahan Ibukota Negara: Upaya Pemerataan Pembangunan ataukah Mewujudkan Tata Pemerintahan yang Baik","type":"article-journal","volume":"8"},"uris":["http://www.mendeley.com/documents/?uuid=30f90fe1-7f89-488d-9133-0c71876463a2"]}],"mendeley":{"formattedCitation":"(Herdiana, 2022)","plainTextFormattedCitation":"(Herdiana, 2022)","previouslyFormattedCitation":"(Herdiana, 2022)"},"properties":{"noteIndex":0},"schema":"https://github.com/citation-style-language/schema/raw/master/csl-citation.json"}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(Herdiana, 2022)</w:t>
      </w:r>
      <w:r w:rsidR="003D243B" w:rsidRPr="00127C07">
        <w:rPr>
          <w:rFonts w:ascii="Arial" w:hAnsi="Arial" w:cs="Arial"/>
        </w:rPr>
        <w:fldChar w:fldCharType="end"/>
      </w:r>
      <w:r w:rsidR="003D243B" w:rsidRPr="00127C07">
        <w:rPr>
          <w:rFonts w:ascii="Arial" w:hAnsi="Arial" w:cs="Arial"/>
        </w:rPr>
        <w:t xml:space="preserve">. </w:t>
      </w:r>
      <w:r w:rsidR="00706248" w:rsidRPr="00706248">
        <w:rPr>
          <w:rFonts w:ascii="Arial" w:hAnsi="Arial" w:cs="Arial"/>
        </w:rPr>
        <w:t>Indonesia initiated the relocation of its National Capital, named Ibu Kota Nusantara (IKN)</w:t>
      </w:r>
      <w:r w:rsidR="003D243B" w:rsidRPr="00127C07">
        <w:rPr>
          <w:rFonts w:ascii="Arial" w:hAnsi="Arial" w:cs="Arial"/>
        </w:rPr>
        <w:t xml:space="preserve"> through </w:t>
      </w:r>
      <w:r w:rsidR="003D243B" w:rsidRPr="00127C07">
        <w:rPr>
          <w:rFonts w:ascii="Arial" w:hAnsi="Arial" w:cs="Arial"/>
        </w:rPr>
        <w:fldChar w:fldCharType="begin" w:fldLock="1"/>
      </w:r>
      <w:r w:rsidR="003D243B" w:rsidRPr="00127C07">
        <w:rPr>
          <w:rFonts w:ascii="Arial" w:hAnsi="Arial" w:cs="Arial"/>
        </w:rPr>
        <w:instrText>ADDIN CSL_CITATION {"citationItems":[{"id":"ITEM-1","itemData":{"author":[{"dropping-particle":"","family":"Presiden Republik Indonesia","given":"","non-dropping-particle":"","parse-names":false,"suffix":""}],"container-title":"Indonesian Government","id":"ITEM-1","issued":{"date-parts":[["2022"]]},"page":"54","title":"Undang-Undang Republik Indonesia Nomor 3 Tahun 2022 Tentang Ibu Kota Negara","type":"article-journal"},"uris":["http://www.mendeley.com/documents/?uuid=fb8b0347-44f6-4026-bdea-3a3ddb548ac7"]}],"mendeley":{"formattedCitation":"(Presiden Republik Indonesia, 2022)","manualFormatting":"Law Number 3 of 2022 ","plainTextFormattedCitation":"(Presiden Republik Indonesia, 2022)","previouslyFormattedCitation":"(Presiden Republik Indonesia, 2022)"},"properties":{"noteIndex":0},"schema":"https://github.com/citation-style-language/schema/raw/master/csl-citation.json"}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 xml:space="preserve">Law Number 3 of 2022 </w:t>
      </w:r>
      <w:r w:rsidR="003D243B" w:rsidRPr="00127C07">
        <w:rPr>
          <w:rFonts w:ascii="Arial" w:hAnsi="Arial" w:cs="Arial"/>
        </w:rPr>
        <w:fldChar w:fldCharType="end"/>
      </w:r>
      <w:r w:rsidR="003D243B" w:rsidRPr="00127C07">
        <w:rPr>
          <w:rFonts w:ascii="Arial" w:hAnsi="Arial" w:cs="Arial"/>
        </w:rPr>
        <w:t xml:space="preserve"> as an effort to create a new economic growth center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{"citationItems":[{"id":"ITEM-1","itemData":{"DOI":"10.18196/jgpp.v10i1.16786","ISSN":"2355-8695","abstract":"This study aims to describe related forecasting of New National Capital (IKN) development in sustainable development. This research uses a literature study that focuses on media and reports. The following are CNN Indonesia, Tempo, Jawapos, and reports from Bappenas, State Secretariat, and DPR. Go.id. The results of this study indicate that the IKN development forecast is formulated for smart transportation, smart grid, and green building and the development process must meet the principles of justice, participation, and gender equality (especially for women) which are important foundations in sustainable development. In addition, there are several challenges faced by IKN in the future based on the findings in the mass media. First, integration is needed based on basic conditions where all design and construction must be based on current topographic and geological conditions. Second, land grading and all infrastructure plans must refer to drainage plans to prevent flood disasters. Third, coordination of underground infrastructure is required. According to Takehiro, one thing to pay attention to is securing the right of way (ROW) area, especially for manholes and larger structures such as sewer lift pumps. Fourth, it is necessary to prepare space to ensure the accessibility of future expansion. IKN development must also pay attention to economic, social, and ecological impacts. This is because development tends to only think about infrastructure and large-scale land clearing with economic interests, which fail.","author":[{"dropping-particle":"","family":"Kalalinggi","given":"Rita","non-dropping-particle":"","parse-names":false,"suffix":""},{"dropping-particle":"","family":"Hisdar","given":"Muhammad","non-dropping-particle":"","parse-names":false,"suffix":""},{"dropping-particle":"","family":"Sarmiasih","given":"Mia","non-dropping-particle":"","parse-names":false,"suffix":""},{"dropping-particle":"","family":"Wijaya","given":"Angga Kusuma","non-dropping-particle":"","parse-names":false,"suffix":""}],"container-title":"Journal of Governance and Public Policy","id":"ITEM-1","issue":"1","issued":{"date-parts":[["2023"]]},"page":"PRESS","title":"Forecasting The Development of IKN (New National Capital) in Sustainable Development, Indonesia","type":"article-journal","volume":"10"},"uris":["http://www.mendeley.com/documents/?uuid=04dbd663-2911-453b-9d7d-70726a37a4c1"]}],"mendeley":{"formattedCitation":"(Kalalinggi et al., 2023)","plainTextFormattedCitation":"(Kalalinggi et al., 2023)","previouslyFormattedCitation":"(Kalalinggi et al., 2023)"},"properties":{"noteIndex":0},"schema":"https://github.com/citation-style-language/schema/raw/master/csl-citation.json"}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(Kalalinggi et al., 2023)</w:t>
      </w:r>
      <w:r w:rsidR="003D243B" w:rsidRPr="00127C07">
        <w:rPr>
          <w:rFonts w:ascii="Arial" w:hAnsi="Arial" w:cs="Arial"/>
        </w:rPr>
        <w:fldChar w:fldCharType="end"/>
      </w:r>
      <w:r w:rsidR="003D243B" w:rsidRPr="00127C07">
        <w:rPr>
          <w:rFonts w:ascii="Arial" w:hAnsi="Arial" w:cs="Arial"/>
        </w:rPr>
        <w:t xml:space="preserve">.  Data from </w:t>
      </w:r>
      <w:r w:rsidR="003D243B" w:rsidRPr="00127C07">
        <w:rPr>
          <w:rFonts w:ascii="Arial" w:hAnsi="Arial" w:cs="Arial"/>
        </w:rPr>
        <w:fldChar w:fldCharType="begin" w:fldLock="1"/>
      </w:r>
      <w:r w:rsidR="007C64D3" w:rsidRPr="00127C07">
        <w:rPr>
          <w:rFonts w:ascii="Arial" w:hAnsi="Arial" w:cs="Arial"/>
        </w:rPr>
        <w:instrText>ADDIN CSL_CITATION {"citationItems":[{"id":"ITEM-1","itemData":{"URL":"https://www.bps.go.id/id/statistics-table/2/MjM4MSMy/perkembangan-realisasi-investasi-penanaman-modal-luar-negeri-menurut-lokasi--juta-us--.html","author":[{"dropping-particle":"","family":"Timur","given":"BPS Provinsi Kalimantan","non-dropping-particle":"","parse-names":false,"suffix":""}],"container-title":"Badan Pusat Statistik (BPS)","id":"ITEM-1","issued":{"date-parts":[["2025"]]},"title":"Realisasi Investasi Penanaman Modal Luar Negeri Triwulanan Menurut Lokasi - Jumlah Investasi (Juta US$), 2023","type":"webpage"},"uris":["http://www.mendeley.com/documents/?uuid=91ce41fe-46d2-42e6-bd76-576b79efaaea"]}],"mendeley":{"formattedCitation":"(Timur, 2025)","manualFormatting":"BPS East Kalimantan Province (2025)","plainTextFormattedCitation":"(Timur, 2025)","previouslyFormattedCitation":"(Timur, 2025)"},"properties":{"noteIndex":0},"schema":"https://github.com/citation-style-language/schema/raw/master/csl-citation.json"}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 xml:space="preserve">BPS East </w:t>
      </w:r>
      <w:r w:rsidR="007C64D3" w:rsidRPr="00127C07">
        <w:rPr>
          <w:rFonts w:ascii="Arial" w:hAnsi="Arial" w:cs="Arial"/>
          <w:noProof/>
        </w:rPr>
        <w:t xml:space="preserve">Kalimantan Province </w:t>
      </w:r>
      <w:r w:rsidR="003D243B" w:rsidRPr="00127C07">
        <w:rPr>
          <w:rFonts w:ascii="Arial" w:hAnsi="Arial" w:cs="Arial"/>
          <w:noProof/>
        </w:rPr>
        <w:t>(2025)</w:t>
      </w:r>
      <w:r w:rsidR="003D243B" w:rsidRPr="00127C07">
        <w:rPr>
          <w:rFonts w:ascii="Arial" w:hAnsi="Arial" w:cs="Arial"/>
        </w:rPr>
        <w:fldChar w:fldCharType="end"/>
      </w:r>
      <w:r w:rsidR="003D243B" w:rsidRPr="00127C07">
        <w:rPr>
          <w:rFonts w:ascii="Arial" w:hAnsi="Arial" w:cs="Arial"/>
        </w:rPr>
        <w:t xml:space="preserve"> </w:t>
      </w:r>
      <w:r w:rsidR="007C64D3" w:rsidRPr="00127C07">
        <w:rPr>
          <w:rFonts w:ascii="Arial" w:hAnsi="Arial" w:cs="Arial"/>
        </w:rPr>
        <w:t xml:space="preserve">noted that </w:t>
      </w:r>
      <w:r w:rsidR="00E159DD" w:rsidRPr="00127C07">
        <w:rPr>
          <w:rFonts w:ascii="Arial" w:hAnsi="Arial" w:cs="Arial"/>
        </w:rPr>
        <w:t>foreign investment realization</w:t>
      </w:r>
      <w:r w:rsidR="007C64D3" w:rsidRPr="00127C07">
        <w:rPr>
          <w:rFonts w:ascii="Arial" w:hAnsi="Arial" w:cs="Arial"/>
        </w:rPr>
        <w:t xml:space="preserve"> experienced a significant increase in 2022 compared to the previous year, with values rising from US$745.20 million to US$1266.70 million, coinciding with the commencement of IKN development. However, the growth rate of </w:t>
      </w:r>
      <w:r w:rsidR="006C11AB" w:rsidRPr="00127C07">
        <w:rPr>
          <w:rFonts w:ascii="Arial" w:hAnsi="Arial" w:cs="Arial"/>
        </w:rPr>
        <w:t>foreign investment</w:t>
      </w:r>
      <w:r w:rsidR="007C64D3" w:rsidRPr="00127C07">
        <w:rPr>
          <w:rFonts w:ascii="Arial" w:hAnsi="Arial" w:cs="Arial"/>
        </w:rPr>
        <w:t xml:space="preserve"> has slowed in the following years. Although </w:t>
      </w:r>
      <w:r w:rsidR="006C11AB" w:rsidRPr="00127C07">
        <w:rPr>
          <w:rFonts w:ascii="Arial" w:hAnsi="Arial" w:cs="Arial"/>
        </w:rPr>
        <w:t>foreign investment</w:t>
      </w:r>
      <w:r w:rsidR="007C64D3" w:rsidRPr="00127C07">
        <w:rPr>
          <w:rFonts w:ascii="Arial" w:hAnsi="Arial" w:cs="Arial"/>
        </w:rPr>
        <w:t xml:space="preserve"> realization surged in 2022 alongside the development of IKN, the significant slowdown in the following year indicates that infrastructure stimulus has not been sufficient to sustain </w:t>
      </w:r>
      <w:r w:rsidR="00706248" w:rsidRPr="00706248">
        <w:rPr>
          <w:rFonts w:ascii="Arial" w:hAnsi="Arial" w:cs="Arial"/>
        </w:rPr>
        <w:t>the dynamics of foreign investment in the East Kalimantan region</w:t>
      </w:r>
      <w:r w:rsidR="007C64D3" w:rsidRPr="00127C07">
        <w:rPr>
          <w:rFonts w:ascii="Arial" w:hAnsi="Arial" w:cs="Arial"/>
        </w:rPr>
        <w:t>.</w:t>
      </w:r>
      <w:r w:rsidR="003D243B" w:rsidRPr="00127C07">
        <w:rPr>
          <w:rFonts w:ascii="Arial" w:hAnsi="Arial" w:cs="Arial"/>
        </w:rPr>
        <w:t xml:space="preserve"> </w:t>
      </w:r>
      <w:r w:rsidR="007C64D3" w:rsidRPr="00127C07">
        <w:rPr>
          <w:rFonts w:ascii="Arial" w:hAnsi="Arial" w:cs="Arial"/>
        </w:rPr>
        <w:t xml:space="preserve">However, the </w:t>
      </w:r>
      <w:r w:rsidR="007C64D3" w:rsidRPr="00127C07">
        <w:rPr>
          <w:rFonts w:ascii="Arial" w:hAnsi="Arial" w:cs="Arial"/>
        </w:rPr>
        <w:lastRenderedPageBreak/>
        <w:t>understanding of the regional economic factors influencing the sustainability of foreign investment realization in East Kalimantan after the development of the national capital is still limited, indicating the need for further research to provide insights that can assist in better decision-making.</w:t>
      </w:r>
      <w:r w:rsidR="00416F76">
        <w:rPr>
          <w:rFonts w:ascii="Arial" w:hAnsi="Arial" w:cs="Arial"/>
        </w:rPr>
        <w:t xml:space="preserve"> </w:t>
      </w:r>
      <w:r w:rsidR="007C64D3" w:rsidRPr="00127C07">
        <w:rPr>
          <w:rFonts w:ascii="Arial" w:hAnsi="Arial" w:cs="Arial"/>
        </w:rPr>
        <w:t xml:space="preserve">One of the relevant theories to explain this phenomenon </w:t>
      </w:r>
      <w:r w:rsidR="00C338BF" w:rsidRPr="00C338BF">
        <w:rPr>
          <w:rFonts w:ascii="Arial" w:hAnsi="Arial" w:cs="Arial"/>
        </w:rPr>
        <w:t xml:space="preserve">represents the Eclectic Theory framework </w:t>
      </w:r>
      <w:r w:rsidR="007C64D3" w:rsidRPr="00127C07">
        <w:rPr>
          <w:rFonts w:ascii="Arial" w:hAnsi="Arial" w:cs="Arial"/>
        </w:rPr>
        <w:t xml:space="preserve">or OLI Theory developed by John H. Dunning. </w:t>
      </w:r>
      <w:r w:rsidR="005F127B" w:rsidRPr="005F127B">
        <w:rPr>
          <w:rFonts w:ascii="Arial" w:hAnsi="Arial" w:cs="Arial"/>
        </w:rPr>
        <w:t xml:space="preserve">This theoretical framework suggests that foreign investment is influenced by a combination of ownership-based assets, locational factors, and the benefits of internalizing operations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(Dunning, 2001)</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 xml:space="preserve">The attractiveness of investments </w:t>
      </w:r>
      <w:r w:rsidR="0028648F">
        <w:rPr>
          <w:rFonts w:ascii="Arial" w:hAnsi="Arial" w:cs="Arial"/>
        </w:rPr>
        <w:t>was</w:t>
      </w:r>
      <w:r w:rsidR="00927283" w:rsidRPr="00127C07">
        <w:rPr>
          <w:rFonts w:ascii="Arial" w:hAnsi="Arial" w:cs="Arial"/>
        </w:rPr>
        <w:t xml:space="preserve"> also greatly influenced by domestic economic dynamics that can affect investment returns</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{"citationItems":[{"id":"ITEM-1","itemData":{"DOI":"10.1016/j.econmod.2005.10.005","ISSN":"02649993","abstract":"The paper is concerned with the growth impact and the determinants of foreign direct investment in South Africa. Estimation is in terms of a standard spillover model of investment, and in terms of a new model of locational choice in FDI between domestic and foreign alternatives. We find complementarity of foreign and domestic capital in the long run, implying a positive technological spillover from foreign to domestic capital. While there is a crowd-out of domestic investment from foreign direct investment, this impact is restricted to the short run. Further we find that foreign direct investment in South Africa has tended to be capital intensive, suggesting that foreign direct investment has been horizontal rather than vertical. Determinants of foreign direct investment in South Africa lie in the net rate of return, as well as the risk profile of the foreign direct investment liabilities. Policy handles are both direct and powerful. Reducing political risk, ensuring property rights, most importantly bolstering growth in the market size, as well as wage moderation, lowering corporate tax rates, and ensuring full integration of the South African economy into the world economy all follow as policy prescriptions from our empirical findings. © 2005 Elsevier B.V. All rights reserved.","author":[{"dropping-particle":"","family":"Fedderke","given":"J. W.","non-dropping-particle":"","parse-names":false,"suffix":""},{"dropping-particle":"","family":"Romm","given":"A. T.","non-dropping-particle":"","parse-names":false,"suffix":""}],"container-title":"Economic Modelling","id":"ITEM-1","issue":"5","issued":{"date-parts":[["2006"]]},"page":"738-760","title":"Growth impact and determinants of foreign direct investment into South Africa, 1956-2003","type":"article-journal","volume":"23"},"uris":["http://www.mendeley.com/documents/?uuid=72bece88-9b55-440c-9a4c-1571af305854"]},{"id":"ITEM-2","itemData":{"DOI":"10.1016/j.joitmc.2023.100021","ISSN":"21998531","abstract":"Foreign Direct Investment (FDI) plays a critical role in driving economic growth and development, particularly in countries like Vietnam. This study proposes a hybrid model that integrates Fuzzy-Delphi, Fuzzy-DEMATEL, and DANP methods to identify and prioritize the main factors affecting FDI attraction and open innovation in Vietnam. The proposed approach offers a more comprehensive analysis that accounts for the inherent complexities and uncertainties of the FDI decision-making process and its impact on open innovation. By exploring the network and interrelationships between the factors, the study provides a more nuanced understanding of the determinants of FDI attraction, open innovation, and their impact on other factors. The study's results are expected to reveal the critical factors affecting FDI attraction and open innovation in Vietnam and their relative importance, serving as a basis for policymakers to design effective strategies for attracting FDI and promoting open innovation. This can be particularly crucial for developing countries seeking to leverage FDI to drive economic growth and innovation. Additionally, the proposed methodology has the potential to contribute significantly to the literature on FDI attraction and open innovation and provide a valuable framework for future research.","author":[{"dropping-particle":"","family":"Nguyen","given":"Phi Hung","non-dropping-particle":"","parse-names":false,"suffix":""},{"dropping-particle":"","family":"Tran","given":"Linh Chi","non-dropping-particle":"","parse-names":false,"suffix":""},{"dropping-particle":"","family":"Nguyen","given":"Huu Bao Doan","non-dropping-particle":"","parse-names":false,"suffix":""},{"dropping-particle":"","family":"Ho","given":"Thi Phuong Thao","non-dropping-particle":"","parse-names":false,"suffix":""},{"dropping-particle":"","family":"Duong","given":"Quynh Anh","non-dropping-particle":"","parse-names":false,"suffix":""},{"dropping-particle":"","family":"Tran","given":"Thi Nhan","non-dropping-particle":"","parse-names":false,"suffix":""}],"container-title":"Journal of Open Innovation: Technology, Market, and Complexity","id":"ITEM-2","issue":"1","issued":{"date-parts":[["2023"]]},"page":"100021","publisher":"Elsevier","title":"Unlocking the potential of open innovation through understanding the interrelationship among key determinants of FDI attractiveness","type":"article-journal","volume":"9"},"uris":["http://www.mendeley.com/documents/?uuid=40fe8c62-f60c-4628-bed1-5c9756078c67"]}],"mendeley":{"formattedCitation":"(Fedderke &amp; Romm, 2006; Nguyen et al., 2023)","plainTextFormattedCitation":"(Fedderke &amp; Romm, 2006; Nguyen et al., 2023)","previouslyFormattedCitation":"(Fedderke &amp; Romm, 2006; Nguyen et al., 2023)"},"properties":{"noteIndex":0},"schema":"https://github.com/citation-style-language/schema/raw/master/csl-citation.json"}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(Fedderke &amp; Romm, 2006; Nguyen et al., 2023)</w:t>
      </w:r>
      <w:r w:rsidR="003D243B" w:rsidRPr="00127C07">
        <w:rPr>
          <w:rFonts w:ascii="Arial" w:hAnsi="Arial" w:cs="Arial"/>
        </w:rPr>
        <w:fldChar w:fldCharType="end"/>
      </w:r>
      <w:r w:rsidR="003D243B" w:rsidRPr="00127C07">
        <w:rPr>
          <w:rFonts w:ascii="Arial" w:hAnsi="Arial" w:cs="Arial"/>
        </w:rPr>
        <w:t xml:space="preserve">.  </w:t>
      </w:r>
      <w:r w:rsidR="00E159DD" w:rsidRPr="00127C07">
        <w:rPr>
          <w:rFonts w:ascii="Arial" w:hAnsi="Arial" w:cs="Arial"/>
        </w:rPr>
        <w:t>In addition to the OLI framework, the Keynesian perspective emphasizes</w:t>
      </w:r>
      <w:r w:rsidR="00927283" w:rsidRPr="00127C07">
        <w:rPr>
          <w:rFonts w:ascii="Arial" w:hAnsi="Arial" w:cs="Arial"/>
        </w:rPr>
        <w:t xml:space="preserve"> </w:t>
      </w:r>
      <w:r w:rsidR="007B7679" w:rsidRPr="00127C07">
        <w:rPr>
          <w:rFonts w:ascii="Arial" w:hAnsi="Arial" w:cs="Arial"/>
        </w:rPr>
        <w:t xml:space="preserve">that </w:t>
      </w:r>
      <w:r w:rsidR="00927283" w:rsidRPr="00127C07">
        <w:rPr>
          <w:rFonts w:ascii="Arial" w:hAnsi="Arial" w:cs="Arial"/>
        </w:rPr>
        <w:t xml:space="preserve">investment expectations regarding regional aggregate demand are key in investment decisions. In “The General Theory of Employment, Interest and Money” </w:t>
      </w:r>
      <w:r w:rsidR="003D243B" w:rsidRPr="00127C07">
        <w:rPr>
          <w:rFonts w:ascii="Arial" w:hAnsi="Arial" w:cs="Arial"/>
          <w:i/>
          <w:iCs/>
        </w:rPr>
        <w:fldChar w:fldCharType="begin" w:fldLock="1"/>
      </w:r>
      <w:r w:rsidR="003D243B" w:rsidRPr="00127C07">
        <w:rPr>
          <w:rFonts w:ascii="Arial" w:hAnsi="Arial" w:cs="Arial"/>
          <w:i/>
          <w:iCs/>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3D243B" w:rsidRPr="00127C07">
        <w:rPr>
          <w:rFonts w:ascii="Arial" w:hAnsi="Arial" w:cs="Arial"/>
          <w:i/>
          <w:iCs/>
        </w:rPr>
        <w:fldChar w:fldCharType="separate"/>
      </w:r>
      <w:r w:rsidR="003D243B" w:rsidRPr="00127C07">
        <w:rPr>
          <w:rFonts w:ascii="Arial" w:hAnsi="Arial" w:cs="Arial"/>
          <w:iCs/>
          <w:noProof/>
        </w:rPr>
        <w:t>(Keynes, 1936)</w:t>
      </w:r>
      <w:r w:rsidR="003D243B" w:rsidRPr="00127C07">
        <w:rPr>
          <w:rFonts w:ascii="Arial" w:hAnsi="Arial" w:cs="Arial"/>
          <w:i/>
          <w:iCs/>
        </w:rPr>
        <w:fldChar w:fldCharType="end"/>
      </w:r>
      <w:r w:rsidR="003D243B" w:rsidRPr="00127C07">
        <w:rPr>
          <w:rFonts w:ascii="Arial" w:hAnsi="Arial" w:cs="Arial"/>
        </w:rPr>
        <w:t>,</w:t>
      </w:r>
      <w:r w:rsidR="003D243B" w:rsidRPr="00127C07">
        <w:rPr>
          <w:rFonts w:ascii="Arial" w:hAnsi="Arial" w:cs="Arial"/>
          <w:i/>
          <w:iCs/>
        </w:rPr>
        <w:t xml:space="preserve"> </w:t>
      </w:r>
      <w:r w:rsidR="007B7679" w:rsidRPr="00127C07">
        <w:rPr>
          <w:rFonts w:ascii="Arial" w:hAnsi="Arial" w:cs="Arial"/>
        </w:rPr>
        <w:t>Keynes emphasized</w:t>
      </w:r>
      <w:r w:rsidR="00927283" w:rsidRPr="00127C07">
        <w:rPr>
          <w:rFonts w:ascii="Arial" w:hAnsi="Arial" w:cs="Arial"/>
        </w:rPr>
        <w:t xml:space="preserve"> that investment decisions are highly influenced by the expectations of economic actors regarding aggregate demand, market stability, and potential economic growth. </w:t>
      </w:r>
    </w:p>
    <w:p w14:paraId="08024A2D" w14:textId="11C1CEA1" w:rsidR="003D243B" w:rsidRPr="00416F76" w:rsidRDefault="005F127B" w:rsidP="00142BC0">
      <w:pPr>
        <w:pStyle w:val="Body"/>
        <w:spacing w:after="0"/>
        <w:ind w:firstLine="720"/>
        <w:rPr>
          <w:rFonts w:ascii="Arial" w:hAnsi="Arial" w:cs="Arial"/>
        </w:rPr>
      </w:pPr>
      <w:r w:rsidRPr="005F127B">
        <w:rPr>
          <w:rFonts w:ascii="Arial" w:hAnsi="Arial" w:cs="Arial"/>
        </w:rPr>
        <w:t>This study seeks to examine the influence of selected regional economic indicators on foreign investment, specifically through variables such as palm oil plantation area, the implicit price index of Gross Regional Domestic Product (GRDP), domestic investment, and palm oil production</w:t>
      </w:r>
      <w:r w:rsidR="00927283" w:rsidRPr="00127C07">
        <w:rPr>
          <w:rFonts w:ascii="Arial" w:hAnsi="Arial" w:cs="Arial"/>
        </w:rPr>
        <w:t>. Palm oil is a leading commodity in the plantation subsector in East Kalimantan</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{"citationItems":[{"id":"ITEM-1","itemData":{"DOI":"10.47349/jbi/16012020/99","ISSN":"08544425","abstract":"Study of natural agarwood products, agarwood trading network from village into province and cultivation of Agarwood by local community was carried out in July 2018 in East Kalimantan province. The findings of field work showed that agarwood is one commodity of non-timber products has high economic value which including of Appendix II CITES. Trading of agarwood is one of primary incomes for agarwood traders in province level, district, agarwood collector in sub-districts and seekers of agarwood from NTB (Nusa Tenggara Barat) migrant workers, Java and Bugise tribe. Besides, from viewpoint of tax incomes for government is relatively high. In 2010 the natural agarwood derived from natural forest was lack of outcomes due to forest products area was made forest conversion for estate plantation (palm oil), forestry sector (HPH/HTI) and mining sector. From this point, the shortage of natural agarwood from forest should be shifted by cultivation of agarwood carried out by group of farmer association as solution. As a result, the role of local government for instance Forestry Agency in province Level, Bappeda (Planning Agency in Province Level), Governor, and Local Parliament in Province Level should officially adopted that Agarwood commodity one of among commodities to enter in RPJMD (Leading Commodity Planning for Province) for 2020-2025. The methodology of research is applied for “political ecology” which emphasized actors movement (the role of local government, academics, NGOs, local people), participation observation, FGD (Forum Group Discussion) for active parties, and interview of informant.","author":[{"dropping-particle":"","family":"Hidayat","given":"Herman","non-dropping-particle":"","parse-names":false,"suffix":""},{"dropping-particle":"","family":"Siburian","given":"Robert","non-dropping-particle":"","parse-names":false,"suffix":""},{"dropping-particle":"","family":"Indah Yuliana","given":"Citra","non-dropping-particle":"","parse-names":false,"suffix":""}],"container-title":"Jurnal Biologi Indonesia","id":"ITEM-1","issue":"1","issued":{"date-parts":[["2020"]]},"page":"99-110","title":"Gaharu Alam, Jaringan Perdagangan, dan Gaharu Budidaya: Studi Kasus Kalimantan Timur","type":"article-journal","volume":"16"},"uris":["http://www.mendeley.com/documents/?uuid=79eaa9a7-43ab-4c3e-9676-245aa63e410a"]},{"id":"ITEM-2","itemData":{"DOI":"10.31293/teknikd.v10i1.6485","ISSN":"2339-2665","abstract":"Kondisi sektor pertanian di Kabupaten Paser saat ini terus berkembang.Mengingat kontribusi masing-masing lapangan usaha terhadap nilai nominal PDRB, pertumbuhan ekonomi dipengaruhi oleh sektor dominan yaitu pertanian dengan nilai 11,52 persen terhadap nilai total PDRB. Oleh karena itu, setidaknya hal yang perlu dilakukan untuk melakukan pengembangan sentra pertanian tersebut, yaitu memetakan lokasi dan infrastruktur jalan pada kawasan sentra produksi pertanian. Luas lahan pertanian Kabupaten Paser adalah 1090,380 hektar, yang terdiri dari 13,729 hektar lahan sawah dan 1076,651 hektar lahan bukan sawah. Sedangkan, luas lahan bukan pertanian kabupaten paser adalah sebesar 69,934 hektar. Pada sub sektor perkebunan didominasi perkebunan kelapa sawit sebanyak 20,534 hektar di Kecamatan Tanjung Harapan. Sementara itu, untuk komoditas karet kakao sebanyak 8,382 hektar. Konektivitas kebutuhan infrastruktur jalan dengan sentra produksi bersifat tidak menyeluruh, mengingat kondisi jalan diKabupaten Paser sebagian besar rusak. The condition of the sector in Paser Regency is currently growing. Given the contribution of each field to the nominal value of GRDP, economic growth is influenced by the dominant sector, which is 11.52 percen of the total value of GRDP. Therefore, at least the things that need to be done to develop these agricultural centers, namely the construction of locations and road infrastructure in the areas of agricultural production centers. The agricultural land area of Paser Regency is 1090,380 hectares, which consists of 13,729 hectares of paddy fields and 1076,651 hectares of non-rice  fields.  Meanwhile,  the  area  of non-agricultural  land  in  Paser  Regency  is  69,934 hectares. The plantation sub-sector is dominated by oil palm plantations covering an area of 20,534 hectares in Tanjung Harapan District. Meanwhile, for cocoa rubber commodity as much as 8,382 hectares. The connectivity of road infrastructure needs with production centers is comprehensive, considering that most of the roads in Paser Regency are damaged.","author":[{"dropping-particle":"","family":"Mulyadi","given":"Mulyadi","non-dropping-particle":"","parse-names":false,"suffix":""},{"dropping-particle":"","family":"Milasari","given":"Lisa Astria","non-dropping-particle":"","parse-names":false,"suffix":""},{"dropping-particle":"","family":"Doviyanto","given":"Rusdi","non-dropping-particle":"","parse-names":false,"suffix":""}],"container-title":"Kurva S : Jurnal Keilmuan dan Aplikasi Teknik Sipil","id":"ITEM-2","issue":"1","issued":{"date-parts":[["2022"]]},"page":"42","title":"Analisis Kebutuhan Infrastruktur Jalan Pada Sektor Pertanian di Kabupaten Paser","type":"article-journal","volume":"10"},"uris":["http://www.mendeley.com/documents/?uuid=cdde1775-492c-4a6f-bf1b-5a00d240e3a5"]}],"mendeley":{"formattedCitation":"(Hidayat et al., 2020; Mulyadi et al., 2022)","plainTextFormattedCitation":"(Hidayat et al., 2020; Mulyadi et al., 2022)","previouslyFormattedCitation":"(Hidayat et al., 2020; Mulyadi et al., 2022)"},"properties":{"noteIndex":0},"schema":"https://github.com/citation-style-language/schema/raw/master/csl-citation.json"}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(Hidayat et al., 2020; Mulyadi et al., 2022)</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 xml:space="preserve">Domestic investment reflects the local investment climate that can serve as a signal and stimulus for foreign investors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{"citationItems":[{"id":"ITEM-1","itemData":{"DOI":"10.1111/j.1467-7679.2008.00430.x","ISSN":"09506764","abstract":"While the recent increase in foreign direct investment (FDI) to African countries is a welcome development, the impact of these resource inflows on economic development remains in doubt. This article argues that a key channel is its effects on domestic factor markets, especially domestic investment, and analyses the two-way linkages between FDI and domestic investment in sub-Saharan Africa. The results suggest, first, that FDI crowds in domestic investment and, secondly, that private investment is a driver of FDI, implying that African countries will gain much from improving the domestic climate. Moreover, there are alternatives to resource endowments as a means of attracting foreign investment to non-resource-rich countries. © 2008 Overseas Development Institute.","author":[{"dropping-particle":"","family":"Ndikumana","given":"Léonce","non-dropping-particle":"","parse-names":false,"suffix":""},{"dropping-particle":"","family":"Verick","given":"Sher","non-dropping-particle":"","parse-names":false,"suffix":""}],"container-title":"Development Policy Review","id":"ITEM-1","issue":"6","issued":{"date-parts":[["2008"]]},"page":"713-726","title":"The linkages between FDI and domestic investment: Unravelling the developmental impact of foreign investment in sub-Saharan Africa","type":"article-journal","volume":"26"},"uris":["http://www.mendeley.com/documents/?uuid=72bb47a2-4008-402d-9a04-60d0d82c7611"]},{"id":"ITEM-2","itemData":{"DOI":"10.1007/s13132-018-0552-y","ISSN":"18687873","abstract":"This study examines the effect of governance on the attractiveness of FDI through a sample of 41 African countries. We contribute to the literature by using various measures of institutional quality to identify the institutional quality aspects that affect the attractiveness of FDI in African countries. We use both the static panel data approach (fixed effect (FE) and random effect (RE)) and the dynamic panel approach (GMM in system). The empirical results show that the attractiveness of FDI to African countries is positively correlated with the control of corruption, the effectiveness of governments, the quality of regulation, and the voice and accountability. The results of this study imply that the dynamics of the modern economy requires African countries to improve the dimensions of governance and establish good governance practices.","author":[{"dropping-particle":"","family":"Bouchoucha","given":"Najeh","non-dropping-particle":"","parse-names":false,"suffix":""},{"dropping-particle":"","family":"Benammou","given":"Saloua","non-dropping-particle":"","parse-names":false,"suffix":""}],"container-title":"Journal of the Knowledge Economy","id":"ITEM-2","issue":"1","issued":{"date-parts":[["2020"]]},"page":"390-404","publisher":"Journal of the Knowledge Economy","title":"Does Institutional Quality Matter Foreign Direct Investment? Evidence from African Countries","type":"article-journal","volume":"11"},"uris":["http://www.mendeley.com/documents/?uuid=830ffd14-37f8-4bdb-ad2b-fda71d34320d"]}],"mendeley":{"formattedCitation":"(Bouchoucha &amp; Benammou, 2020; Ndikumana &amp; Verick, 2008)","plainTextFormattedCitation":"(Bouchoucha &amp; Benammou, 2020; Ndikumana &amp; Verick, 2008)","previouslyFormattedCitation":"(Bouchoucha &amp; Benammou, 2020; Ndikumana &amp; Verick, 2008)"},"properties":{"noteIndex":0},"schema":"https://github.com/citation-style-language/schema/raw/master/csl-citation.json"}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(Bouchoucha &amp; Benammou, 2020; Ndikumana &amp; Verick, 2008)</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The implicit</w:t>
      </w:r>
      <w:r w:rsidR="00D627E7" w:rsidRPr="00127C07">
        <w:rPr>
          <w:rFonts w:ascii="Arial" w:hAnsi="Arial" w:cs="Arial"/>
        </w:rPr>
        <w:t xml:space="preserve"> index</w:t>
      </w:r>
      <w:r w:rsidR="00927283" w:rsidRPr="00127C07">
        <w:rPr>
          <w:rFonts w:ascii="Arial" w:hAnsi="Arial" w:cs="Arial"/>
        </w:rPr>
        <w:t xml:space="preserve"> G</w:t>
      </w:r>
      <w:r w:rsidR="00D627E7" w:rsidRPr="00127C07">
        <w:rPr>
          <w:rFonts w:ascii="Arial" w:hAnsi="Arial" w:cs="Arial"/>
        </w:rPr>
        <w:t>R</w:t>
      </w:r>
      <w:r w:rsidR="00927283" w:rsidRPr="00127C07">
        <w:rPr>
          <w:rFonts w:ascii="Arial" w:hAnsi="Arial" w:cs="Arial"/>
        </w:rPr>
        <w:t xml:space="preserve">DP indicates a price increase compared to the base year period at the regional level </w:t>
      </w:r>
      <w:r w:rsidR="003D243B" w:rsidRPr="00127C07">
        <w:rPr>
          <w:rFonts w:ascii="Arial" w:hAnsi="Arial" w:cs="Arial"/>
        </w:rPr>
        <w:fldChar w:fldCharType="begin" w:fldLock="1"/>
      </w:r>
      <w:r w:rsidR="003D243B" w:rsidRPr="00127C07">
        <w:rPr>
          <w:rFonts w:ascii="Arial" w:hAnsi="Arial" w:cs="Arial"/>
        </w:rPr>
        <w:instrText>ADDIN CSL_CITATION {"citationItems":[{"id":"ITEM-1","itemData":{"URL":"https://kapuashulukab.bps.go.id/id/statistics-table/2/MTEzIzI=/indeks-implisit-pdb-pdrb.html","author":[{"dropping-particle":"","family":"BPS","given":"","non-dropping-particle":"","parse-names":false,"suffix":""}],"container-title":"Badan Pusat Statistik","id":"ITEM-1","issued":{"date-parts":[["2018"]]},"title":"Indeks Implisit PDB/PDRB, 2018","type":"webpage"},"uris":["http://www.mendeley.com/documents/?uuid=a1b13362-f26a-48b4-a84f-3fb92642089e"]}],"mendeley":{"formattedCitation":"(BPS, 2018)","plainTextFormattedCitation":"(BPS, 2018)","previouslyFormattedCitation":"(BPS, 2018)"},"properties":{"noteIndex":0},"schema":"https://github.com/citation-style-language/schema/raw/master/csl-citation.json"}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(BPS, 2018)</w:t>
      </w:r>
      <w:r w:rsidR="003D243B" w:rsidRPr="00127C07">
        <w:rPr>
          <w:rFonts w:ascii="Arial" w:hAnsi="Arial" w:cs="Arial"/>
        </w:rPr>
        <w:fldChar w:fldCharType="end"/>
      </w:r>
      <w:r w:rsidR="003D243B" w:rsidRPr="00127C07">
        <w:rPr>
          <w:rFonts w:ascii="Arial" w:hAnsi="Arial" w:cs="Arial"/>
        </w:rPr>
        <w:t>.</w:t>
      </w:r>
      <w:r w:rsidR="00416F76">
        <w:rPr>
          <w:rFonts w:ascii="Arial" w:hAnsi="Arial" w:cs="Arial"/>
        </w:rPr>
        <w:t xml:space="preserve"> </w:t>
      </w:r>
      <w:r w:rsidRPr="005F127B">
        <w:rPr>
          <w:rFonts w:ascii="Arial" w:hAnsi="Arial" w:cs="Arial"/>
        </w:rPr>
        <w:t xml:space="preserve">As a leading global producer of palm oil, Indonesia accounted for approximately 57% of global palm oil exports in 2016, with its contribution continuing to increase in subsequent years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{"citationItems":[{"id":"ITEM-1","itemData":{"DOI":"10.1016/j.atech.2024.100421","ISSN":"27723755","abstract":"Indonesia stands as one of the foremost global palm oil producers, contributing to 85 % of the world's total production. Given the substantial output of Crude Palm Oil (CPO), these raw materials find diverse applications in daily life. In a bid to decrease reliance on fossil fuels, Indonesia initiated the blending of fossil fuels with biodiesel in 2006. Beyond energy purposes, CPO raw materials are crucial for both domestic consumption and exportation. However, improper management could lead to raw material shortages. This study employs dynamic system modeling to assess the availability of biodiesel, CPO production, and their equilibrium concerning Indonesia's blended biodiesel target. Key parameters, such as available land, anticipated land expansion, optimized CPO production on less productive land, Indonesian CPO exports, and the mandatory biodiesel program, will be considered. Various scenarios or tests will be applied to gauge the continuity of CPO and biodiesel production. The results will undergo validation using the MAPE method. The simulation's results reveal that the rate of new land expansion and the optimization of unproductive land have negligible effects on meeting the blended diesel target. Intensified optimization of unproductive land, particularly in community plantations, is crucial, necessitating incentives for enhanced replanting funds. A reduction of 8 % in CPO export level, in turn, has a noteworthy impact on achieving the blended diesel target in Indonesia.","author":[{"dropping-particle":"","family":"Mayandi","given":"Zuhri","non-dropping-particle":"","parse-names":false,"suffix":""},{"dropping-particle":"","family":"Suharjito","given":"","non-dropping-particle":"","parse-names":false,"suffix":""}],"container-title":"Smart Agricultural Technology","id":"ITEM-1","issue":"November 2023","issued":{"date-parts":[["2024"]]},"page":"100421","publisher":"Elsevier B.V.","title":"Palm oil-based biodiesel industry sustainability model using dynamic systems to balance food, energy, and export allocations","type":"article-journal","volume":"7"},"uris":["http://www.mendeley.com/documents/?uuid=e57f52a8-6915-4085-8d38-dbbfa4f49bf2"]}],"mendeley":{"formattedCitation":"(Mayandi &amp; Suharjito, 2024)","plainTextFormattedCitation":"(Mayandi &amp; Suharjito, 2024)","previouslyFormattedCitation":"(Mayandi &amp; Suharjito, 2024)"},"properties":{"noteIndex":0},"schema":"https://github.com/citation-style-language/schema/raw/master/csl-citation.json"}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(Mayandi &amp; Suharjito, 2024)</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 xml:space="preserve">As one of the main commodities of East Kalimantan with a significant contribution </w:t>
      </w:r>
      <w:r w:rsidR="007B7679" w:rsidRPr="00127C07">
        <w:rPr>
          <w:rFonts w:ascii="Arial" w:hAnsi="Arial" w:cs="Arial"/>
        </w:rPr>
        <w:t>to</w:t>
      </w:r>
      <w:r w:rsidR="00927283" w:rsidRPr="00127C07">
        <w:rPr>
          <w:rFonts w:ascii="Arial" w:hAnsi="Arial" w:cs="Arial"/>
        </w:rPr>
        <w:t xml:space="preserve"> the global market, palm oil plays an important role in driving G</w:t>
      </w:r>
      <w:r w:rsidR="00D627E7" w:rsidRPr="00127C07">
        <w:rPr>
          <w:rFonts w:ascii="Arial" w:hAnsi="Arial" w:cs="Arial"/>
        </w:rPr>
        <w:t>R</w:t>
      </w:r>
      <w:r w:rsidR="00927283" w:rsidRPr="00127C07">
        <w:rPr>
          <w:rFonts w:ascii="Arial" w:hAnsi="Arial" w:cs="Arial"/>
        </w:rPr>
        <w:t xml:space="preserve">DP growth. </w:t>
      </w:r>
      <w:r w:rsidRPr="005F127B">
        <w:rPr>
          <w:rFonts w:ascii="Arial" w:hAnsi="Arial" w:cs="Arial"/>
        </w:rPr>
        <w:t>This is corroborated by the findings of research conducted by</w:t>
      </w:r>
      <w:r w:rsidR="003D243B" w:rsidRPr="00127C07">
        <w:rPr>
          <w:rFonts w:ascii="Arial" w:hAnsi="Arial" w:cs="Arial"/>
        </w:rPr>
        <w:t xml:space="preserve"> </w:t>
      </w:r>
      <w:commentRangeStart w:id="8"/>
      <w:r w:rsidR="003D243B" w:rsidRPr="00127C07">
        <w:rPr>
          <w:rFonts w:ascii="Arial" w:hAnsi="Arial" w:cs="Arial"/>
        </w:rPr>
        <w:fldChar w:fldCharType="begin" w:fldLock="1"/>
      </w:r>
      <w:r w:rsidR="00927283" w:rsidRPr="00127C07">
        <w:rPr>
          <w:rFonts w:ascii="Arial" w:hAnsi="Arial" w:cs="Arial"/>
        </w:rPr>
        <w:instrText>ADDIN CSL_CITATION {"citationItems":[{"id":"ITEM-1","itemData":{"ISSN":"2746-3249","abstract":"Penelitian ini bertujuan untuk mengetahui bagaimana pengaruh dari produksi kelapa sawit dan nilai ekpor minyak kelapa sawit (crude palm oil)terhaap PDRB Provinsi Kalimantan Selatan sektor pertanian. Penelitian ini menggunakan metode regresi linier berganda dengan program eviews9 (tahun 2004 –2018).Hasil penelitian ini menunjukkan bahwa produksi kelapa sawit dan nilai ekspor minyak kelapa sawit (crude palm oil)di Provinsi Kalimantan Selatan secara bersama-sama berpengaruh positif dan signifikan terhadap PDRB sektor pertanian Provinsi Kalimantan Selatan.","author":[{"dropping-particle":"","family":"Mughniyati","given":"Nuraisyah","non-dropping-particle":"","parse-names":false,"suffix":""},{"dropping-particle":"","family":"Sa'roni","given":"Chairul","non-dropping-particle":"","parse-names":false,"suffix":""}],"container-title":"JIEP: Jurnal Ilmu Ekonomi dan Pembangunan","id":"ITEM-1","issue":"1","issued":{"date-parts":[["2025","11","20"]]},"page":"136-144","title":"Pengaruh Produksi Kelapa Sawit dan Nilai Ekspor Minyak Kelapa Sawit terhadap Produk Domestik Regional Bruto(PDRB) Sektor Pertanian Provinsi Kalimantan Selatan","type":"article-journal","volume":"6"},"uris":["http://www.mendeley.com/documents/?uuid=d2373bd2-2d4b-4b08-bbd7-dbcd2408f006"]},{"id":"ITEM-2","itemData":{"DOI":"10.51454/jimsh.v6i1.632","ISSN":"2654-7287","abstract":"The issue in this research is that the increase and decrease of agricultural GDP per capita in Southeast Sulawesi are significantly influenced by several factors, one of which is the production factor and the availability of land for oil palm cultivation. Therefore, an analysis is needed regarding the impact of GDP on the production and land area of oil palm in Southeast Sulawesi. This study aims to understand the impact of oil palm production and cultivated area on the Gross Regional Domestic Product (GRDP) of the agricultural sector in Southeast Sulawesi Province. The sample for this study uses secondary data derived from the Southeast Sulawesi Provincial Statistics Agency and the Indonesian Palm Oil Statistics Book from 2013 to 2022. This research is analyzed using multiple linear regression methods with IBM SPSS Statistics 25 software. The results of this study indicate that oil palm production in the Southeast Sulawesi region has a negative and significant effect on the agricultural GRDP of Southeast Sulawesi, while the expansion of oil palm plantation area has a positive and significant effect on the agricultural sector GRDP in Southeast Sulawesi Province.","author":[{"dropping-particle":"","family":"Said","given":"Anwar","non-dropping-particle":"","parse-names":false,"suffix":""},{"dropping-particle":"","family":"Akhmad","given":"Akhmad","non-dropping-particle":"","parse-names":false,"suffix":""},{"dropping-particle":"","family":"Sribianti","given":"Irma","non-dropping-particle":"","parse-names":false,"suffix":""},{"dropping-particle":"","family":"Natsir","given":"Mohammad","non-dropping-particle":"","parse-names":false,"suffix":""},{"dropping-particle":"","family":"Maulina","given":"Maulina","non-dropping-particle":"","parse-names":false,"suffix":""}],"container-title":"Jurnal Ilmu Manajemen Sosial Humaniora (JIMSH)","id":"ITEM-2","issue":"1","issued":{"date-parts":[["2024"]]},"page":"46-56","title":"Analisis Pengaruh Produksi dan Luas Lahan Kelapa Sawit terhadap PDRB Sektor Pertanian: Pendekatan Regresi Linier Berganda menggunakan Data Sekunder 2013-2022","type":"article-journal","volume":"6"},"uris":["http://www.mendeley.com/documents/?uuid=31383297-7ae7-4924-91bb-6473a9f55e08"]},{"id":"ITEM-3","itemData":{"abstract":"This study aims to investigate the impact of land area, number of workers, and oil palm production on the Gross Regional Domestic Product (GRDP) of plantation sub-sectors in South Labuhanbatu District, North Sumatra Province. The GDP variable of the plantation sub-sector is used as a dependent variable, while land area, number of workers, and oil palm production are used as independent variables. The data used is secondary data from 2011 to 2021 which is interpolated into quarterly data, with a total of 44 data. The analysis method used is Ordinary Least Square (OLS) regression using Eviews 10.0 software. OLS analysis is a development of multiple regression analysis that describes how much influence the independent variable has on the dependent variable. The results of the analysis show that land area, number of workers, and oil palm production have a positive and significant influence on the GRDP of plantation sub-sectors in South Labuhanbatu Regency both partially and simultaneously. Partially, the regression results show that land area has a coefficient of 11.52384 with a probability value of less than 0.05%, the number of workers has a coefficient of 0.300888 with a probability value of less than 0.05%, and oil palm production has a coefficient of 2.222429 with a probability value of less than 0.05%. Simultaneously, the variables of land area, number of workers, and oil palm production contribute 87% to the variable GDP of the plantation sub-sector in South Labuhanbatu Regency.","author":[{"dropping-particle":"","family":"Yamani","given":"Raisa","non-dropping-particle":"","parse-names":false,"suffix":""},{"dropping-particle":"","family":"Nasution","given":"Hardini Pazriati","non-dropping-particle":"","parse-names":false,"suffix":""},{"dropping-particle":"","family":"Ruslan","given":"Dede","non-dropping-particle":"","parse-names":false,"suffix":""},{"dropping-particle":"","family":"Sari","given":"Raina Linda","non-dropping-particle":"","parse-names":false,"suffix":""}],"container-title":"Edunomika","id":"ITEM-3","issue":"1","issued":{"date-parts":[["2024"]]},"page":"1-17","title":"Analisis Pengaruh Luas Lahan, Tenaga Kerja, dan Jumlah Produksi Kelapa Sawit terhadap PDRB Sub Sektor Perkebunan di Kabupaten Labuhanbatu Selatan","type":"article-journal","volume":"8"},"uris":["http://www.mendeley.com/documents/?uuid=18e59606-b0a5-42a8-9303-139882afae70"]}],"mendeley":{"formattedCitation":"(Mughniyati &amp; Sa’roni, 2025; Said et al., 2024; Yamani et al., 2024)","manualFormatting":"Mughniyati &amp; Sa’roni (2025), Said et al (2024), and Yamani et al (2024)","plainTextFormattedCitation":"(Mughniyati &amp; Sa’roni, 2025; Said et al., 2024; Yamani et al., 2024)","previouslyFormattedCitation":"(Mughniyati &amp; Sa’roni, 2025; Said et al., 2024; Yamani et al., 2024)"},"properties":{"noteIndex":0},"schema":"https://github.com/citation-style-language/schema/raw/master/csl-citation.json"}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 xml:space="preserve">Mughniyati &amp; Sa’roni (2025), Said et al (2024), </w:t>
      </w:r>
      <w:r w:rsidR="00927283" w:rsidRPr="00127C07">
        <w:rPr>
          <w:rFonts w:ascii="Arial" w:hAnsi="Arial" w:cs="Arial"/>
          <w:noProof/>
        </w:rPr>
        <w:t>and</w:t>
      </w:r>
      <w:r w:rsidR="003D243B" w:rsidRPr="00127C07">
        <w:rPr>
          <w:rFonts w:ascii="Arial" w:hAnsi="Arial" w:cs="Arial"/>
          <w:noProof/>
        </w:rPr>
        <w:t xml:space="preserve"> Yamani et al (2024)</w:t>
      </w:r>
      <w:r w:rsidR="003D243B" w:rsidRPr="00127C07">
        <w:rPr>
          <w:rFonts w:ascii="Arial" w:hAnsi="Arial" w:cs="Arial"/>
        </w:rPr>
        <w:fldChar w:fldCharType="end"/>
      </w:r>
      <w:r w:rsidR="003D243B" w:rsidRPr="00127C07">
        <w:rPr>
          <w:rFonts w:ascii="Arial" w:hAnsi="Arial" w:cs="Arial"/>
        </w:rPr>
        <w:t>,</w:t>
      </w:r>
      <w:commentRangeEnd w:id="8"/>
      <w:r w:rsidR="00A33EC0">
        <w:rPr>
          <w:rStyle w:val="CommentReference"/>
          <w:rFonts w:ascii="Times New Roman" w:hAnsi="Times New Roman"/>
          <w:lang w:val="nb-NO" w:eastAsia="nb-NO"/>
        </w:rPr>
        <w:commentReference w:id="8"/>
      </w:r>
      <w:r w:rsidR="003D243B" w:rsidRPr="00127C07">
        <w:rPr>
          <w:rFonts w:ascii="Arial" w:hAnsi="Arial" w:cs="Arial"/>
        </w:rPr>
        <w:t xml:space="preserve"> </w:t>
      </w:r>
      <w:r w:rsidR="00927283" w:rsidRPr="00127C07">
        <w:rPr>
          <w:rFonts w:ascii="Arial" w:hAnsi="Arial" w:cs="Arial"/>
        </w:rPr>
        <w:t>which shows that palm oil commodities have a significant positive impact on G</w:t>
      </w:r>
      <w:r w:rsidR="00D627E7" w:rsidRPr="00127C07">
        <w:rPr>
          <w:rFonts w:ascii="Arial" w:hAnsi="Arial" w:cs="Arial"/>
        </w:rPr>
        <w:t>R</w:t>
      </w:r>
      <w:r w:rsidR="00927283" w:rsidRPr="00127C07">
        <w:rPr>
          <w:rFonts w:ascii="Arial" w:hAnsi="Arial" w:cs="Arial"/>
        </w:rPr>
        <w:t>DP. The increase in G</w:t>
      </w:r>
      <w:r w:rsidR="00D627E7" w:rsidRPr="00127C07">
        <w:rPr>
          <w:rFonts w:ascii="Arial" w:hAnsi="Arial" w:cs="Arial"/>
        </w:rPr>
        <w:t>R</w:t>
      </w:r>
      <w:r w:rsidR="00927283" w:rsidRPr="00127C07">
        <w:rPr>
          <w:rFonts w:ascii="Arial" w:hAnsi="Arial" w:cs="Arial"/>
        </w:rPr>
        <w:t xml:space="preserve">DP as a regional macroeconomic indicator not only indicates economic growth but also enhances the region's attractiveness to foreign investors </w:t>
      </w:r>
      <w:r w:rsidR="007B7679" w:rsidRPr="00127C07">
        <w:rPr>
          <w:rFonts w:ascii="Arial" w:hAnsi="Arial" w:cs="Arial"/>
        </w:rPr>
        <w:t>following</w:t>
      </w:r>
      <w:r w:rsidR="00927283" w:rsidRPr="00127C07">
        <w:rPr>
          <w:rFonts w:ascii="Arial" w:hAnsi="Arial" w:cs="Arial"/>
        </w:rPr>
        <w:t xml:space="preserve"> the theoretical framework of the Paradigm. This is reinforced by research conducted by</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{"citationItems":[{"id":"ITEM-1","itemData":{"author":[{"dropping-particle":"","family":"Puspita","given":"Maysi Clara","non-dropping-particle":"","parse-names":false,"suffix":""},{"dropping-particle":"","family":"Samsuddin","given":"M Afdal","non-dropping-particle":"","parse-names":false,"suffix":""}],"id":"ITEM-1","issued":{"date-parts":[["2025"]]},"title":"Pengaruh Produk Domestik Regional Bruto ( PDRB ) dan Upah Minimun Terhadap Realisasi Penanaman Modal Asing ( PMA ) di Kabupaten / Kota Kalimantan Timur Tahun 2017-2023","type":"article-journal"},"uris":["http://www.mendeley.com/documents/?uuid=7932013c-0be5-487f-ac1b-a3b4b1704354"]}],"mendeley":{"formattedCitation":"(Puspita &amp; Samsuddin, 2025)","manualFormatting":"Puspita &amp; Samsuddin (2025)","plainTextFormattedCitation":"(Puspita &amp; Samsuddin, 2025)","previouslyFormattedCitation":"(Puspita &amp; Samsuddin, 2025)"},"properties":{"noteIndex":0},"schema":"https://github.com/citation-style-language/schema/raw/master/csl-citation.json"}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Puspita &amp; Samsuddin (2025)</w:t>
      </w:r>
      <w:r w:rsidR="003D243B" w:rsidRPr="00127C07">
        <w:rPr>
          <w:rFonts w:ascii="Arial" w:hAnsi="Arial" w:cs="Arial"/>
        </w:rPr>
        <w:fldChar w:fldCharType="end"/>
      </w:r>
      <w:r w:rsidR="003D243B" w:rsidRPr="00127C07">
        <w:rPr>
          <w:rFonts w:ascii="Arial" w:hAnsi="Arial" w:cs="Arial"/>
        </w:rPr>
        <w:t xml:space="preserve">, </w:t>
      </w:r>
      <w:r w:rsidR="00927283" w:rsidRPr="00127C07">
        <w:rPr>
          <w:rFonts w:ascii="Arial" w:hAnsi="Arial" w:cs="Arial"/>
        </w:rPr>
        <w:t>which shows that G</w:t>
      </w:r>
      <w:r w:rsidR="00D627E7" w:rsidRPr="00127C07">
        <w:rPr>
          <w:rFonts w:ascii="Arial" w:hAnsi="Arial" w:cs="Arial"/>
        </w:rPr>
        <w:t>R</w:t>
      </w:r>
      <w:r w:rsidR="00927283" w:rsidRPr="00127C07">
        <w:rPr>
          <w:rFonts w:ascii="Arial" w:hAnsi="Arial" w:cs="Arial"/>
        </w:rPr>
        <w:t xml:space="preserve">DP has a significant positive correlation with </w:t>
      </w:r>
      <w:r w:rsidR="00E159DD" w:rsidRPr="00127C07">
        <w:rPr>
          <w:rFonts w:ascii="Arial" w:hAnsi="Arial" w:cs="Arial"/>
        </w:rPr>
        <w:t>foreign investment realization</w:t>
      </w:r>
      <w:r w:rsidR="00927283" w:rsidRPr="00127C07">
        <w:rPr>
          <w:rFonts w:ascii="Arial" w:hAnsi="Arial" w:cs="Arial"/>
        </w:rPr>
        <w:t xml:space="preserve">. Although the direct relationship between oil palm plantations and </w:t>
      </w:r>
      <w:r w:rsidR="00D627E7" w:rsidRPr="00127C07">
        <w:rPr>
          <w:rFonts w:ascii="Arial" w:hAnsi="Arial" w:cs="Arial"/>
        </w:rPr>
        <w:t>foreign investment</w:t>
      </w:r>
      <w:r w:rsidR="00927283" w:rsidRPr="00127C07">
        <w:rPr>
          <w:rFonts w:ascii="Arial" w:hAnsi="Arial" w:cs="Arial"/>
        </w:rPr>
        <w:t xml:space="preserve"> has not been extensively studied, its contribution to GDP indicates an indirect influence that factors into the dynamics of </w:t>
      </w:r>
      <w:r w:rsidR="00D627E7" w:rsidRPr="00127C07">
        <w:rPr>
          <w:rFonts w:ascii="Arial" w:hAnsi="Arial" w:cs="Arial"/>
        </w:rPr>
        <w:t>foreign investment</w:t>
      </w:r>
      <w:r w:rsidR="00927283" w:rsidRPr="00127C07">
        <w:rPr>
          <w:rFonts w:ascii="Arial" w:hAnsi="Arial" w:cs="Arial"/>
        </w:rPr>
        <w:t xml:space="preserve"> in East Kalimantan.</w:t>
      </w:r>
      <w:r w:rsidR="00416F76">
        <w:rPr>
          <w:rFonts w:ascii="Arial" w:hAnsi="Arial" w:cs="Arial"/>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{"citationItems":[{"id":"ITEM-1","itemData":{"DOI":"10.1111/j.1467-7679.2008.00430.x","ISSN":"09506764","abstract":"While the recent increase in foreign direct investment (FDI) to African countries is a welcome development, the impact of these resource inflows on economic development remains in doubt. This article argues that a key channel is its effects on domestic factor markets, especially domestic investment, and analyses the two-way linkages between FDI and domestic investment in sub-Saharan Africa. The results suggest, first, that FDI crowds in domestic investment and, secondly, that private investment is a driver of FDI, implying that African countries will gain much from improving the domestic climate. Moreover, there are alternatives to resource endowments as a means of attracting foreign investment to non-resource-rich countries. © 2008 Overseas Development Institute.","author":[{"dropping-particle":"","family":"Ndikumana","given":"Léonce","non-dropping-particle":"","parse-names":false,"suffix":""},{"dropping-particle":"","family":"Verick","given":"Sher","non-dropping-particle":"","parse-names":false,"suffix":""}],"container-title":"Development Policy Review","id":"ITEM-1","issue":"6","issued":{"date-parts":[["2008"]]},"page":"713-726","title":"The linkages between FDI and domestic investment: Unravelling the developmental impact of foreign investment in sub-Saharan Africa","type":"article-journal","volume":"26"},"uris":["http://www.mendeley.com/documents/?uuid=72bb47a2-4008-402d-9a04-60d0d82c7611"]}],"mendeley":{"formattedCitation":"(Ndikumana &amp; Verick, 2008)","manualFormatting":"Ndikumana &amp; Verick (2008)","plainTextFormattedCitation":"(Ndikumana &amp; Verick, 2008)","previouslyFormattedCitation":"(Ndikumana &amp; Verick, 2008)"},"properties":{"noteIndex":0},"schema":"https://github.com/citation-style-language/schema/raw/master/csl-citation.json"}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Ndikumana &amp; Verick (2008)</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927283" w:rsidRPr="00127C07">
        <w:rPr>
          <w:rFonts w:ascii="Arial" w:hAnsi="Arial" w:cs="Arial"/>
          <w:color w:val="000000" w:themeColor="text1"/>
        </w:rPr>
        <w:t xml:space="preserve">state that an increase in domestic investment can be a positive signal for foreign investors in making investment decisions. </w:t>
      </w:r>
      <w:r w:rsidRPr="005F127B">
        <w:rPr>
          <w:rFonts w:ascii="Arial" w:hAnsi="Arial" w:cs="Arial"/>
          <w:color w:val="000000" w:themeColor="text1"/>
        </w:rPr>
        <w:t xml:space="preserve">Despite their relevance, empirical studies analyzing the interplay between domestic and foreign investment in the Indonesian context are still limited. Most scholarly works emphasize their separate roles in fostering economic growth, without addressing their potential interdependence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{"citationItems":[{"id":"ITEM-1","itemData":{"author":[{"dropping-particle":"","family":"Murti","given":"Tri Handayani","non-dropping-particle":"","parse-names":false,"suffix":""},{"dropping-particle":"","family":"Sahara","given":"","non-dropping-particle":"","parse-names":false,"suffix":""}],"container-title":"Jurnal Ekonomi dan Kebijakan Pembangunan","id":"ITEM-1","issue":"2","issued":{"date-parts":[["2019"]]},"page":"163-181","title":"Pengaruh Investasi terhadap Pertumbuhan Ekonomi Regional di Indonesia","type":"article-journal","volume":"8"},"uris":["http://www.mendeley.com/documents/?uuid=cdc40c7a-9b3a-44ca-a7bc-fba935249c7a"]},{"id":"ITEM-2","itemData":{"DOI":"10.61132/jepi.v3i1.1065","ISSN":"3031-3414","abstract":"According to the Indonesian Statistics Agency (BPS), economic growth in 2023 is estimated to remain strong in the range of 5.05% (yoy), this economic growth is better compared to the last two years considering that the government continues to optimize the recovery period from Covid-19. According to Sadono Sukirno (in Puspitasari et al., 2024) one of the policies to accelerate the development process is to increase government savings, the savings rate Economic growth can be interpreted as a process of increasing the value of output per capita in the long term. The purpose of this study is to determine the effect of Tax Revenue, Foreign Investment (PMA), Domestic Investment (PMDN) on economic growth in Indonesia. This study uses a quantitative approach using time series data sourced from the Central Statistics Agency of Indonesia (BPS) for 2014-2023. The data analysis technique uses multiple regression analysis using the E-views 10 program. The results of the study determine that tax revenue has a significant effect on economic growth in Indonesia, foreign capital revenue (PMA) has a negative and insignificant effect on economic growth, while domestic capital revenue (PMDN) has a positive and significant effect on economic growth.","author":[{"dropping-particle":"","family":"Agustina","given":"Rizkika Ananda","non-dropping-particle":"","parse-names":false,"suffix":""},{"dropping-particle":"","family":"Andiny","given":"Puti","non-dropping-particle":"","parse-names":false,"suffix":""},{"dropping-particle":"","family":"Rizal","given":"Yani","non-dropping-particle":"","parse-names":false,"suffix":""},{"dropping-particle":"","family":"Safuridar","given":"","non-dropping-particle":"","parse-names":false,"suffix":""}],"container-title":"Jurnal Ekonomi dan Pembangunan Indonesia","id":"ITEM-2","issue":"1","issued":{"date-parts":[["2024"]]},"page":"49-60","title":"Pengaruh Penerimaan Pajak, Penanaman Modal Asing Dan Penananaman Dalam Negeri Terhadap Pertumbuhan Ekonomi Di Indonesia","type":"article-journal","volume":"3"},"uris":["http://www.mendeley.com/documents/?uuid=8b4a472e-c9bd-4e39-bb36-f0185b41332b"]}],"mendeley":{"formattedCitation":"(Agustina et al., 2024; Murti &amp; Sahara, 2019)","plainTextFormattedCitation":"(Agustina et al., 2024; Murti &amp; Sahara, 2019)","previouslyFormattedCitation":"(Agustina et al., 2024; Murti &amp; Sahara, 2019)"},"properties":{"noteIndex":0},"schema":"https://github.com/citation-style-language/schema/raw/master/csl-citation.json"}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(Agustina et al., 2024; Murti &amp; Sahara, 2019)</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927283" w:rsidRPr="00127C07">
        <w:rPr>
          <w:rFonts w:ascii="Arial" w:hAnsi="Arial" w:cs="Arial"/>
          <w:color w:val="000000" w:themeColor="text1"/>
        </w:rPr>
        <w:t xml:space="preserve">The contribution of </w:t>
      </w:r>
      <w:r w:rsidR="00D627E7" w:rsidRPr="00127C07">
        <w:rPr>
          <w:rFonts w:ascii="Arial" w:hAnsi="Arial" w:cs="Arial"/>
          <w:color w:val="000000" w:themeColor="text1"/>
        </w:rPr>
        <w:t>domestic investment</w:t>
      </w:r>
      <w:r w:rsidR="00927283" w:rsidRPr="00127C07">
        <w:rPr>
          <w:rFonts w:ascii="Arial" w:hAnsi="Arial" w:cs="Arial"/>
          <w:color w:val="000000" w:themeColor="text1"/>
        </w:rPr>
        <w:t xml:space="preserve"> to GDP growth serves as an important macroeconomic indicator for foreign investors in making decisions. PMDN has a significant influence on Gross Domestic Product (GDP), where an increase in domestic investor capital will boost GDP or economic growth</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{"citationItems":[{"id":"ITEM-1","itemData":{"author":[{"dropping-particle":"","family":"Zahra","given":"Dwi Atika","non-dropping-particle":"","parse-names":false,"suffix":""},{"dropping-particle":"","family":"Irawan","given":"Faris","non-dropping-particle":"","parse-names":false,"suffix":""},{"dropping-particle":"","family":"Khairunnisa","given":"Umi Almas","non-dropping-particle":"","parse-names":false,"suffix":""},{"dropping-particle":"","family":"Sihotang","given":"Sabrina Erisa Aulia","non-dropping-particle":"","parse-names":false,"suffix":""},{"dropping-particle":"","family":"Mardiah","given":"Siti","non-dropping-particle":"","parse-names":false,"suffix":""},{"dropping-particle":"","family":"Batu","given":"Siska Lumban","non-dropping-particle":"","parse-names":false,"suffix":""},{"dropping-particle":"","family":"Sianturi","given":"Rejosu Vanhot","non-dropping-particle":"","parse-names":false,"suffix":""}],"container-title":"JISEB: Jurnal Ilmiah Sosio-Ekonomika Bisnis","id":"ITEM-1","issue":"2","issued":{"date-parts":[["2024"]]},"page":"24-32","title":"Pengaruh Penanaman Modal Dalam Negeri dan Penanaman Modal Asing terhadap Pertumbuhan Ekonomi di Provinsi Sumatera Utara pada Tahun 2001-2020","type":"article-journal","volume":"27"},"uris":["http://www.mendeley.com/documents/?uuid=425876ca-f550-43fd-8091-e14448cfb7a4"]},{"id":"ITEM-2","itemData":{"DOI":"10.52362/jisamar.v8i4.1643","abstract":"Produk Domestik Bruto merupakan jumlah produk berupa barang dan jasa yang dihasilkan oleh unit-unit produksi di dalam batas wilayah suatu negara (domestik) selama satu tahun atau sering juga diartikan sebagai keseluruhan nilai pasar semua jasa akhir yang dihasilkan oleh suatu negara atau masyarakat selama satu kurun waktu tertentu, misalnya satu tahun. PDB akan menghitung hasil produksi barang dan jasa yang dihasilkan oleh perusahaan/orang asing yang beroperasi di wilayah negara yang bersangkutan. Sumber penerimaan PDB di Indonesia di pengaruhi oleh faktor investasi, baik dari PMDN maupun PMA terhadap Produk Domestik Bruto (PDB). Jenis penelitian yang digunakan adalah kuantitatif. Metode yang digunakan dalam penelitian ini adalah Error Correction Model (ECM). Data yang digunakan adalah data sekunder yang dipublikasikan oleh Kementerian Keuangan dengan jenis data runtun waktu (time series) dalam tahun pengamatan yaitu tahun 2002-2023 pada Negara Indonesia. Pengujian dilakukan dengan bantuan aplikasi software Eviews 10. Hasil penelitian ini menunjukkan bahwa hanya variabel Penanaman Modal Dalam Negeri saja yang berpengaruh signifikan terhadap Produk Domestik Bruto sedangkan variabel Penanaman Modal Asing tidak berpengaruh signifikan terhadap Produk Domestik Bruto.","author":[{"dropping-particle":"","family":"Dewi","given":"Shafira Visca","non-dropping-particle":"","parse-names":false,"suffix":""},{"dropping-particle":"","family":"Bahtiar","given":"Muhammad Yusuf","non-dropping-particle":"","parse-names":false,"suffix":""},{"dropping-particle":"","family":"Rahman","given":"Taufiqur","non-dropping-particle":"","parse-names":false,"suffix":""}],"container-title":"Journal of Information System, Applied, Management, Accounting and Research","id":"ITEM-2","issue":"4","issued":{"date-parts":[["2024"]]},"page":"860-875","title":"ANALISIS PENGARUH PMDN DAN PMA TERHADAP PDB DI INDONESIA DALAM PERSPEKTIF EKONOMI ISLAM","type":"article-journal","volume":"8"},"uris":["http://www.mendeley.com/documents/?uuid=a00b9afa-97e1-411f-bde7-188d2da811d0"]},{"id":"ITEM-3","itemData":{"ISSN":"2252-6889","abstract":"Anggaran infrastruktur setiap tahun mengalami peningkatan, akan tetapi penelitian dari laporan World Economic Forum menunjukkan peringkat kualitas infrastruktur di Indonesia masih tergolong rendah. Jika dibandingkan grafik pertumbuhan ekonomi Indonesia dengan realisasi PMDN dan PMA hampir bergerak kearah yang sama. Penelitian ini bertujuan untuk mengkaji apakah terdapat pengaruh antara infrastruktur, PMDN dan PMA terhadap Produk Domestik Bruto.Data yang digunakan dalam penelitian ini adalah data sekunder yang bersumber pada laporan Badan Pusat Statistik (BPS) khususnya data tahun 1986 sampai dengan tahun 2011. Data yang diteliti meliputi data Produk Domestik Bruto, panjang jalan menurut kewenangan pemerintah, jumlah air yang di salurkan, jumlah listrik yang di produksi, realisasi Penanaman Modal Dalam Negeri, dan realisasi Penanaman Modal Asing. Metode pengumpulan data yang digunakan adalah metode dokumentasi. Data yang dianalisis menggunakan metode analisis deskriptif kuantitatif, Uji Regresi Berganda, dan Uji Asumsi Klasik.Hasil penelitian diperoleh menunjukan bahwa secara bersama- sama infrastruktur jalan, air. Listrik, PMDN dan PMA berpengaruh positif dan signifikan terhadap Produk Domestik bruto di Indonesia. Kesimpulan dari penelitian ini adalah secara parsial yaitu terdapat 2 variabel independen yang digunakan tidak memiliki pengaruh signifikan terhadap Produk Domestik Bruto di Indonesia. Variabel tersebut yaitu Penanaman Modal Dalam Negeri dan Penanaman Modal Asing. Abstract","author":[{"dropping-particle":"","family":"Nuritasi","given":"Firdausi","non-dropping-particle":"","parse-names":false,"suffix":""}],"container-title":"Economics Development Analysis Journal","id":"ITEM-3","issue":"4","issued":{"date-parts":[["2013"]]},"page":"456-467","title":"Pengaruh Infrastruktur, PMDN Dan PMA Terhadap Produk Domestik Bruto Di Indonesia","type":"article-journal","volume":"2"},"uris":["http://www.mendeley.com/documents/?uuid=8a2c2982-d94d-4693-a054-fc15bffa2dc3"]},{"id":"ITEM-4","itemData":{"DOI":"10.61132/jepi.v3i1.1065","ISSN":"3031-3414","abstract":"According to the Indonesian Statistics Agency (BPS), economic growth in 2023 is estimated to remain strong in the range of 5.05% (yoy), this economic growth is better compared to the last two years considering that the government continues to optimize the recovery period from Covid-19. According to Sadono Sukirno (in Puspitasari et al., 2024) one of the policies to accelerate the development process is to increase government savings, the savings rate Economic growth can be interpreted as a process of increasing the value of output per capita in the long term. The purpose of this study is to determine the effect of Tax Revenue, Foreign Investment (PMA), Domestic Investment (PMDN) on economic growth in Indonesia. This study uses a quantitative approach using time series data sourced from the Central Statistics Agency of Indonesia (BPS) for 2014-2023. The data analysis technique uses multiple regression analysis using the E-views 10 program. The results of the study determine that tax revenue has a significant effect on economic growth in Indonesia, foreign capital revenue (PMA) has a negative and insignificant effect on economic growth, while domestic capital revenue (PMDN) has a positive and significant effect on economic growth.","author":[{"dropping-particle":"","family":"Agustina","given":"Rizkika Ananda","non-dropping-particle":"","parse-names":false,"suffix":""},{"dropping-particle":"","family":"Andiny","given":"Puti","non-dropping-particle":"","parse-names":false,"suffix":""},{"dropping-particle":"","family":"Rizal","given":"Yani","non-dropping-particle":"","parse-names":false,"suffix":""},{"dropping-particle":"","family":"Safuridar","given":"","non-dropping-particle":"","parse-names":false,"suffix":""}],"container-title":"Jurnal Ekonomi dan Pembangunan Indonesia","id":"ITEM-4","issue":"1","issued":{"date-parts":[["2024"]]},"page":"49-60","title":"Pengaruh Penerimaan Pajak, Penanaman Modal Asing Dan Penananaman Dalam Negeri Terhadap Pertumbuhan Ekonomi Di Indonesia","type":"article-journal","volume":"3"},"uris":["http://www.mendeley.com/documents/?uuid=8b4a472e-c9bd-4e39-bb36-f0185b41332b"]}],"mendeley":{"formattedCitation":"(Agustina et al., 2024; Dewi et al., 2024; Nuritasi, 2013; Zahra et al., 2024)","manualFormatting":"(Dewi et al., 2024; Nuritasi, 2013; Zahra et al., 2024)","plainTextFormattedCitation":"(Agustina et al., 2024; Dewi et al., 2024; Nuritasi, 2013; Zahra et al., 2024)","previouslyFormattedCitation":"(Agustina et al., 2024; Dewi et al., 2024; Nuritasi, 2013; Zahra et al., 2024)"},"properties":{"noteIndex":0},"schema":"https://github.com/citation-style-language/schema/raw/master/csl-citation.json"}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(Dewi et al., 2024; Nuritasi, 2013; Zahra et al., 2024)</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F15EFB" w:rsidRPr="00127C07">
        <w:rPr>
          <w:rFonts w:ascii="Arial" w:hAnsi="Arial" w:cs="Arial"/>
          <w:color w:val="000000" w:themeColor="text1"/>
        </w:rPr>
        <w:t>Furthermore, the research conducted by</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{"citationItems":[{"id":"ITEM-1","itemData":{"DOI":"10.53867/jea.v1i1.4","ISSN":"2807-1263","abstract":"Penelitian ini bertujuan untuk mengetahui dan menganalisis pengaruh dan perkembangan produk domestik bruto (PDB), suku bunga, dan inflasi terhadap investasi asing langsung/foreign direct investment (FDI) di Indonesia.. Jenis dan sumber data yang digunakan adalah data sekunder dalam bentuk time series yang diakses pada situs resmi Bank Indonesia, Badan Pusat Statistik, dan Badan Koordinasi Penanaman Modal dalam periode tahun 2000-2017. Data dianalisis menggunakan regresi linier berganda .Hasil penelitian menunjukkan bahwa, secara simultan, seluruh variabel berpengaruh terhadap FDI di Indonesia. Secara parsial, variabel PDB dan suku bunga berpengaruh positif terhadap FDI di Indonesia, sementara inflasi tidak berpengaruh terhadap FDI di Indonesia.","author":[{"dropping-particle":"","family":"Saragih","given":"Cindy Augare Malouni","non-dropping-particle":"","parse-names":false,"suffix":""},{"dropping-particle":"","family":"Haryadi","given":"Haryadi","non-dropping-particle":"","parse-names":false,"suffix":""},{"dropping-particle":"","family":"Emilia","given":"Emilia","non-dropping-particle":"","parse-names":false,"suffix":""}],"container-title":"Jurnal Ekonomi Aktual","id":"ITEM-1","issue":"1","issued":{"date-parts":[["2021"]]},"page":"35-44","title":"Pengaruh Produk Domestik Bruto, Suku Bunga, dan Inflasi terhadap Foreign Direct Investment di Indonesia Periode 2000-2017","type":"article-journal","volume":"1"},"uris":["http://www.mendeley.com/documents/?uuid=064df172-37c8-4b96-9b54-084e92affc17"]}],"mendeley":{"formattedCitation":"(Saragih et al., 2021)","manualFormatting":"Saragih et al. (2021)","plainTextFormattedCitation":"(Saragih et al., 2021)","previouslyFormattedCitation":"(Saragih et al., 2021)"},"properties":{"noteIndex":0},"schema":"https://github.com/citation-style-language/schema/raw/master/csl-citation.json"}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Saragih et al. (2021)</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F15EFB" w:rsidRPr="00127C07">
        <w:rPr>
          <w:rFonts w:ascii="Arial" w:hAnsi="Arial" w:cs="Arial"/>
          <w:color w:val="000000" w:themeColor="text1"/>
        </w:rPr>
        <w:t xml:space="preserve">proves </w:t>
      </w:r>
      <w:r>
        <w:rPr>
          <w:rFonts w:ascii="Arial" w:hAnsi="Arial" w:cs="Arial"/>
          <w:color w:val="000000" w:themeColor="text1"/>
        </w:rPr>
        <w:t>t</w:t>
      </w:r>
      <w:r w:rsidRPr="005F127B">
        <w:rPr>
          <w:rFonts w:ascii="Arial" w:hAnsi="Arial" w:cs="Arial"/>
          <w:color w:val="000000" w:themeColor="text1"/>
        </w:rPr>
        <w:t>he positive correlation between GDP and foreign investment suggests that higher domestic investment may indirectly bolster foreign investment attractiveness through its role in strengthening regional economic performance</w:t>
      </w:r>
      <w:r w:rsidR="00F15EFB" w:rsidRPr="00127C07">
        <w:rPr>
          <w:rFonts w:ascii="Arial" w:hAnsi="Arial" w:cs="Arial"/>
          <w:color w:val="000000" w:themeColor="text1"/>
        </w:rPr>
        <w:t>.</w:t>
      </w:r>
    </w:p>
    <w:p w14:paraId="0FE76888" w14:textId="721884DA" w:rsidR="00416F76" w:rsidRDefault="00C25869" w:rsidP="00142BC0">
      <w:pPr>
        <w:pStyle w:val="Body"/>
        <w:spacing w:after="0"/>
        <w:ind w:firstLine="720"/>
        <w:rPr>
          <w:rFonts w:ascii="Arial" w:hAnsi="Arial" w:cs="Arial"/>
        </w:rPr>
      </w:pPr>
      <w:r w:rsidRPr="00127C07">
        <w:rPr>
          <w:rFonts w:ascii="Arial" w:hAnsi="Arial" w:cs="Arial"/>
          <w:color w:val="000000" w:themeColor="text1"/>
        </w:rPr>
        <w:t>Price stability is also an important benchmark for foreign investors in making investment decisions. This is supported by research conducted</w:t>
      </w:r>
      <w:r w:rsidR="007B7679" w:rsidRPr="00127C07">
        <w:rPr>
          <w:rFonts w:ascii="Arial" w:hAnsi="Arial" w:cs="Arial"/>
          <w:color w:val="000000" w:themeColor="text1"/>
        </w:rPr>
        <w:t xml:space="preserve"> by</w:t>
      </w:r>
      <w:r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{"citationItems":[{"id":"ITEM-1","itemData":{"DOI":"10.14710/djoe.31641","abstract":"The main problem for any country, especially in developing countries in the process of economic development, is the level of output produced is low as a result of limited capital flows. To be able to increase economic development, one way that can be done is by attracting foreign direct investment. This study aims to analyze the determinants of foreign direct investment (FDI) in terms of institutional and macroeconomic factors in ASEAN countries in the period 2003-2019. This research uses panel data regression analysis method with Fixed Effect Model (FEM) approach.The results of this study show that institutional quality variables such as political stability and the absence of violence/terrorism, government effectiveness have a positive and significant influence on FDI inflows. Then, the control of corruption has a negative and significant effect on FDI inflows. Meanwhile, macroeconomic variables such as trade openness, market size, infrastructure have a positive and significant influence on FDI inflows in ASEAN countries. On the other hand, inflation has a negative and significant effect on FDI inflows. With these results, the quality of institutions and macroeconomic conditions in the ASEAN region plays an important role in attracting FDI inflows.","author":[{"dropping-particle":"","family":"Purwono","given":"Purwono","non-dropping-particle":"","parse-names":false,"suffix":""}],"container-title":"Diponegoro Journal of Economics","id":"ITEM-1","issue":"3","issued":{"date-parts":[["2024"]]},"page":"104-119","title":"Analisis Pengaruh Kualitas Institusi, Keterbukaan Perdagangan, Inflasi, Ukuran Pasar dan Infrastruktur Terhadap Foreign Direct Investment di Negara-Negara ASEAN","type":"article-journal","volume":"10"},"uris":["http://www.mendeley.com/documents/?uuid=3336712b-1e76-40f7-8db6-1697f1d06768"]}],"mendeley":{"formattedCitation":"(Purwono, 2024)","manualFormatting":"Purwono (2024)","plainTextFormattedCitation":"(Purwono, 2024)","previouslyFormattedCitation":"(Purwono, 2024)"},"properties":{"noteIndex":0},"schema":"https://github.com/citation-style-language/schema/raw/master/csl-citation.json"}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Purwono (2024)</w:t>
      </w:r>
      <w:r w:rsidR="003D243B" w:rsidRPr="00127C07">
        <w:rPr>
          <w:rFonts w:ascii="Arial" w:hAnsi="Arial" w:cs="Arial"/>
          <w:color w:val="000000" w:themeColor="text1"/>
        </w:rPr>
        <w:fldChar w:fldCharType="end"/>
      </w:r>
      <w:r w:rsidR="006C11AB" w:rsidRPr="00127C07">
        <w:rPr>
          <w:rFonts w:ascii="Arial" w:hAnsi="Arial" w:cs="Arial"/>
          <w:color w:val="000000" w:themeColor="text1"/>
        </w:rPr>
        <w:t>,</w:t>
      </w:r>
      <w:r w:rsidR="003D243B" w:rsidRPr="00127C07">
        <w:rPr>
          <w:rFonts w:ascii="Arial" w:hAnsi="Arial" w:cs="Arial"/>
          <w:color w:val="000000" w:themeColor="text1"/>
        </w:rPr>
        <w:t xml:space="preserve"> </w:t>
      </w:r>
      <w:r w:rsidR="006C11AB" w:rsidRPr="00127C07">
        <w:rPr>
          <w:rFonts w:ascii="Arial" w:hAnsi="Arial" w:cs="Arial"/>
          <w:color w:val="000000" w:themeColor="text1"/>
        </w:rPr>
        <w:t xml:space="preserve">which proves that rising prices have a significant negative correlation with </w:t>
      </w:r>
      <w:r w:rsidR="00E159DD" w:rsidRPr="00127C07">
        <w:rPr>
          <w:rFonts w:ascii="Arial" w:hAnsi="Arial" w:cs="Arial"/>
          <w:color w:val="000000" w:themeColor="text1"/>
        </w:rPr>
        <w:t>foreign investment realization</w:t>
      </w:r>
      <w:r w:rsidR="006C11AB" w:rsidRPr="00127C07">
        <w:rPr>
          <w:rFonts w:ascii="Arial" w:hAnsi="Arial" w:cs="Arial"/>
          <w:color w:val="000000" w:themeColor="text1"/>
        </w:rPr>
        <w:t xml:space="preserve"> due to increased operational costs, which will prompt investors to avoid economic </w:t>
      </w:r>
      <w:r w:rsidR="006C11AB" w:rsidRPr="00127C07">
        <w:rPr>
          <w:rFonts w:ascii="Arial" w:hAnsi="Arial" w:cs="Arial"/>
          <w:color w:val="000000" w:themeColor="text1"/>
        </w:rPr>
        <w:lastRenderedPageBreak/>
        <w:t xml:space="preserve">uncertainty. Similar findings by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{"citationItems":[{"id":"ITEM-1","itemData":{"DOI":"10.1080/23322039.2025.2499013","ISSN":"23322039","abstract":"Economic growth and structural transformation represent critical development goals among developing countries. The strength of these depends on the effectiveness of fiscal and monetary policies, which have been unstable in most developing nations due to external shocks and inconsistent policy frameworks. To address these, and enhance growth and structural transformation, this study uses World Bank data from 1966 to 2022 to explore the short-run and long-run effects of fiscal and monetary policies on economic growth and structural transformation in Tanzania, employing the Autoregressive Distributed Lag (ARDL) model. The results show that, in the long run, government expenditure negatively impacts economic growth, while monetary variables such as money supply and exchange rates influence growth differently—money supply stimulating growth in the short term, and exchange rate fluctuations having significant long-term effects. On the other hand, the results reveal that both fiscal policy (government expenditure and taxation) and monetary policy (money supply) play a significant role in structural transformation, promoting global integration and improving income distribution. The Error Correction Term (ECT) is negative and statistically significant, indicating that deviations from the long-run equilibrium are corrected swiftly, suggesting a strong adjustment mechanism. These findings suggest that policymakers should focus on maintaining price stability, implementing tax regulations that do not hinder business and investments, and instead adopting a strategic tax approach that balances economic growth with social equity, improving the efficiency of public spending, managing interest rates carefully, and promoting foreign direct investment to foster sustainable growth and inclusive development.","author":[{"dropping-particle":"","family":"Utouh","given":"Harold M.L.","non-dropping-particle":"","parse-names":false,"suffix":""},{"dropping-particle":"","family":"Kitole","given":"Felician Andrew","non-dropping-particle":"","parse-names":false,"suffix":""}],"container-title":"Cogent Economics and Finance","id":"ITEM-1","issue":"1","issued":{"date-parts":[["2025"]]},"page":"-","publisher":"Cogent","title":"The impact of fiscal and monetary policy on economic growth and structural transformation in Tanzania","type":"article-journal","volume":"13"},"uris":["http://www.mendeley.com/documents/?uuid=79887a33-dc7d-4551-8f0f-f10a665f3ddb"]}],"mendeley":{"formattedCitation":"(Utouh &amp; Kitole, 2025)","manualFormatting":"Utouh &amp; Kitole (2025)","plainTextFormattedCitation":"(Utouh &amp; Kitole, 2025)","previouslyFormattedCitation":"(Utouh &amp; Kitole, 2025)"},"properties":{"noteIndex":0},"schema":"https://github.com/citation-style-language/schema/raw/master/csl-citation.json"}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Utouh &amp; Kitole (2025)</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806BF2">
        <w:rPr>
          <w:rFonts w:ascii="Arial" w:hAnsi="Arial" w:cs="Arial"/>
          <w:color w:val="000000" w:themeColor="text1"/>
        </w:rPr>
        <w:t>t</w:t>
      </w:r>
      <w:r w:rsidR="00806BF2" w:rsidRPr="00806BF2">
        <w:rPr>
          <w:rFonts w:ascii="Arial" w:hAnsi="Arial" w:cs="Arial"/>
          <w:color w:val="000000" w:themeColor="text1"/>
        </w:rPr>
        <w:t>hese findings suggest that higher aggregate price levels within a region exert a significantly negative influence on the value of foreign investment</w:t>
      </w:r>
      <w:r w:rsidR="006C11AB" w:rsidRPr="00127C07">
        <w:rPr>
          <w:rFonts w:ascii="Arial" w:hAnsi="Arial" w:cs="Arial"/>
          <w:color w:val="000000" w:themeColor="text1"/>
        </w:rPr>
        <w:t xml:space="preserve">. However, research examining the effect of rising prices on foreign direct investment through the proxy of implicit </w:t>
      </w:r>
      <w:r w:rsidR="00D627E7" w:rsidRPr="00127C07">
        <w:rPr>
          <w:rFonts w:ascii="Arial" w:hAnsi="Arial" w:cs="Arial"/>
          <w:color w:val="000000" w:themeColor="text1"/>
        </w:rPr>
        <w:t xml:space="preserve">index </w:t>
      </w:r>
      <w:r w:rsidR="006C11AB" w:rsidRPr="00127C07">
        <w:rPr>
          <w:rFonts w:ascii="Arial" w:hAnsi="Arial" w:cs="Arial"/>
          <w:color w:val="000000" w:themeColor="text1"/>
        </w:rPr>
        <w:t>G</w:t>
      </w:r>
      <w:r w:rsidR="00D627E7" w:rsidRPr="00127C07">
        <w:rPr>
          <w:rFonts w:ascii="Arial" w:hAnsi="Arial" w:cs="Arial"/>
          <w:color w:val="000000" w:themeColor="text1"/>
        </w:rPr>
        <w:t>R</w:t>
      </w:r>
      <w:r w:rsidR="006C11AB" w:rsidRPr="00127C07">
        <w:rPr>
          <w:rFonts w:ascii="Arial" w:hAnsi="Arial" w:cs="Arial"/>
          <w:color w:val="000000" w:themeColor="text1"/>
        </w:rPr>
        <w:t xml:space="preserve">DP is still limited. Most previous studies only investigated the inflation variable as a proxy for price stability, although their results consistently show that inflation has a significant negative correlation with it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{"citationItems":[{"id":"ITEM-1","itemData":{"DOI":"10.1080/23322039.2025.2476099","ISSN":"23322039","abstract":"Foreign Direct Investment (FDI) plays a crucial role in economic growth, particularly in fragile states like Somalia. Despite its strategic location and resource potential, Somalia faces challenges such as political instability, weak infrastructure, and climate vulnerabilities that deter investors. This study explores the economic and environmental determinants of FDI in Somalia, focusing on GDP growth, inflation, population growth, urbanization, rainfall, and temperature. Using time-series data and the ARDL model, it examines both the direct effects of these variables and the moderating role of GDP growth. Findings confirm a long-term relationship where GDP and population growth enhance FDI, while inflation and rising temperatures hinder investment. Rainfall positively influences FDI, reflecting its importance in Somalia's agriculture-dependent economy. Urbanization remains insignificant in the long run due to unplanned growth. In the short term, population growth, urbanization, and temperature significantly affect FDI, while GDP, inflation, and rainfall show weaker immediate effects. The moderation analysis suggests that GDP growth mitigates climate-related investment risks. This study underscores the need for economic stability, infrastructure development, and climate adaptation strategies to attract sustainable FDI and promote long-term growth in Somalia.","author":[{"dropping-particle":"","family":"Mohamed","given":"Abdikadir Ahmed","non-dropping-particle":"","parse-names":false,"suffix":""},{"dropping-particle":"","family":"Abdikarim","given":"Abdifatah Mohamed","non-dropping-particle":"","parse-names":false,"suffix":""},{"dropping-particle":"","family":"Mohamed","given":"Jamal Abdulkadir","non-dropping-particle":"","parse-names":false,"suffix":""}],"container-title":"Cogent Economics and Finance","id":"ITEM-1","issue":"1","issued":{"date-parts":[["2025"]]},"page":"-","publisher":"Cogent","title":"Foreign direct investment: an empirical investigation of economic and climate variables in Somalia","type":"article-journal","volume":"13"},"uris":["http://www.mendeley.com/documents/?uuid=a61aaf9f-59bd-4bc3-970d-bd07c965d515"]},{"id":"ITEM-2","itemData":{"DOI":"10.24857/RGSA.V18N1-103","ISBN":"0000000256","ISSN":"1981982X","abstract":"Objectives: The main objective of the study is to investigating the dynamic relationship between FDI and different Macro Economic Variables (MEVs) using the ARDL procedure, providing a more comprehensive understanding of the association between FDI and MEVs and to evaluate their relative importance for FDI. Methods: This study utilizes annual data from 1991 to 2021 from the World Bank (2021) and the Reserve Bank of India (2021). Data on GDP, Export, Inflation and interest rate, and FDI are collected from the World Bank. Autoregressive Distributive lag Model procedure has been used for the study in order to establish relationship between Macro economic variables and FDI. Results: Our methodological approach using ARDL model and finds: (a) a positive correlation between exports and FDI, (b) a negative impact of inflation and exchange rates on FDI in the long run. Non-linear ARDL analysis reveals the asymmetric impact of inflation and interest rate on FDI, which includes the effect of positive and negative shock of interest rate and inflation on FDI. d) 1% increase in inflation reduces FDI by 0.4% and if Inflation is reduced by 1%, FDI is increased by 0.2%. At the same time, the non-linear estimation of interest rates concludes that there is an asymmetric and significant association between interest rates and FDI. e) If Interest rate has increased by 1% FDI is decreased by 0.9% and if interest rate has reduced by 1% FDI has deceased by 1.63%. f) The causality analysis reveals that exports, GDP, and exchange rates are the significant economic variables that affect FDI. Conclusion: The study's findings have practical implications for policymakers and investors looking to attract more FDI in India. The results indicate that exports play a critical role in attracting FDI and that the government should focus on improving export performance to increase FDI inflows. Additionally, the study highlights the importance of controlling inflation and exchange rates to attract more foreign investment. The finding that interest rates have an asymmetric relationship with FDI suggests that policymakers should be cautious when implementing monetary policies that may impact interest rates. Overall, the study provides valuable insights for policymakers and investors looking to attract more FDI in India and highlights the importance of considering the country's macroeconomic conditions when making investment decisions.","author":[{"dropping-particle":"","family":"Jaiswal","given":"Krishna Kumar","non-dropping-particle":"","parse-names":false,"suffix":""},{"dropping-particle":"","family":"Kumar","given":"Nand","non-dropping-particle":"","parse-names":false,"suffix":""}],"container-title":"Revista de Gestao Social e Ambiental","id":"ITEM-2","issue":"1","issued":{"date-parts":[["2024"]]},"page":"1-27","title":"Symmetric and Asymmetric Association Between Foreign Direct Investments and Macroeconomic Variables: an Ardl Approach","type":"article-journal","volume":"18"},"uris":["http://www.mendeley.com/documents/?uuid=69b7103b-21d0-4f4b-b1ca-aa3b901d6590"]},{"id":"ITEM-3","itemData":{"DOI":"10.1080/1331677X.2023.2299991","ISSN":"1331677X","abstract":"The purpose of this study is to examine the threshold effect of inflation on the foreign direct investment (FDI)–economic growth nexus in sub-Saharan Africa using panel samples of countries that have adopted an inflation-targeting regime. The study sourced data from the World Bank’s World Development Indicators over a period of 1982–2020 and adopted the fixed-effect panel threshold model approach for its analysis. The findings reveal two separate thresholds of inflation in the FDI–growth nexus. The growth-enhancing effect of FDI is largely realized when inflation is below the optimal threshold level of 7.26%. Beyond the second threshold level of 16.49%, the beneficial effect of FDI on growth is seen to diminish in terms of effect-size. This study provides new insights into the growth effect of FDI and the role of inflation levels in this nexus. The thresholds of inflation and the attendant size-effect of FDI on growth can be benchmarks for Africa and other developing and emerging economies in assessing their situations. As African monetary authorities choose which inflation targets to set for their monetary policies, the findings raise significant implications for them.","author":[{"dropping-particle":"","family":"Mensah","given":"Emmanuel","non-dropping-particle":"","parse-names":false,"suffix":""},{"dropping-particle":"","family":"Mensah","given":"Rachel Odoley","non-dropping-particle":"","parse-names":false,"suffix":""},{"dropping-particle":"","family":"Danquah","given":"David Aboagye","non-dropping-particle":"","parse-names":false,"suffix":""}],"container-title":"Economic Research-Ekonomska Istrazivanja ","id":"ITEM-3","issue":"1","issued":{"date-parts":[["2024"]]},"page":"-","publisher":"Routledge","title":"Threshold effects of inflation on the FDI–growth nexus: evidence from inflation-targeting countries in sub-Saharan Africa","type":"article-journal","volume":"37"},"uris":["http://www.mendeley.com/documents/?uuid=57381871-78ef-4d8d-8087-f23d3a25826e"]}],"mendeley":{"formattedCitation":"(Jaiswal &amp; Kumar, 2024; Mensah et al., 2024; Mohamed et al., 2025)","plainTextFormattedCitation":"(Jaiswal &amp; Kumar, 2024; Mensah et al., 2024; Mohamed et al., 2025)","previouslyFormattedCitation":"(Jaiswal &amp; Kumar, 2024; Mensah et al., 2024; Mohamed et al., 2025)"},"properties":{"noteIndex":0},"schema":"https://github.com/citation-style-language/schema/raw/master/csl-citation.json"}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(Jaiswal &amp; Kumar, 2024; Mensah et al., 2024; Mohamed et al., 2025)</w:t>
      </w:r>
      <w:r w:rsidR="003D243B" w:rsidRPr="00127C07">
        <w:rPr>
          <w:rFonts w:ascii="Arial" w:hAnsi="Arial" w:cs="Arial"/>
          <w:color w:val="000000" w:themeColor="text1"/>
        </w:rPr>
        <w:fldChar w:fldCharType="end"/>
      </w:r>
      <w:r w:rsidR="003D243B" w:rsidRPr="00127C07">
        <w:rPr>
          <w:rFonts w:ascii="Arial" w:hAnsi="Arial" w:cs="Arial"/>
          <w:color w:val="000000" w:themeColor="text1"/>
        </w:rPr>
        <w:t>.</w:t>
      </w:r>
      <w:r w:rsidR="006C11AB" w:rsidRPr="00127C07">
        <w:rPr>
          <w:rFonts w:ascii="Arial" w:hAnsi="Arial" w:cs="Arial"/>
          <w:color w:val="000000" w:themeColor="text1"/>
        </w:rPr>
        <w:t>Based on a review of several empirical studies, this research finds gaps in previous research. First, prior studies by</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{"citationItems":[{"id":"ITEM-1","itemData":{"author":[{"dropping-particle":"","family":"Murti","given":"Tri Handayani","non-dropping-particle":"","parse-names":false,"suffix":""},{"dropping-particle":"","family":"Sahara","given":"","non-dropping-particle":"","parse-names":false,"suffix":""}],"container-title":"Jurnal Ekonomi dan Kebijakan Pembangunan","id":"ITEM-1","issue":"2","issued":{"date-parts":[["2019"]]},"page":"163-181","title":"Pengaruh Investasi terhadap Pertumbuhan Ekonomi Regional di Indonesia","type":"article-journal","volume":"8"},"uris":["http://www.mendeley.com/documents/?uuid=cdc40c7a-9b3a-44ca-a7bc-fba935249c7a"]}],"mendeley":{"formattedCitation":"(Murti &amp; Sahara, 2019)","manualFormatting":"Murti &amp; Sahara (2019)","plainTextFormattedCitation":"(Murti &amp; Sahara, 2019)","previouslyFormattedCitation":"(Murti &amp; Sahara, 2019)"},"properties":{"noteIndex":0},"schema":"https://github.com/citation-style-language/schema/raw/master/csl-citation.json"}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Murti &amp; Sahara (2019)</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6C11AB" w:rsidRPr="00127C07">
        <w:rPr>
          <w:rFonts w:ascii="Arial" w:hAnsi="Arial" w:cs="Arial"/>
          <w:color w:val="000000" w:themeColor="text1"/>
        </w:rPr>
        <w:t>and</w:t>
      </w:r>
      <w:r w:rsidR="003D243B" w:rsidRPr="00127C07">
        <w:rPr>
          <w:rFonts w:ascii="Arial" w:hAnsi="Arial" w:cs="Arial"/>
          <w:color w:val="000000" w:themeColor="text1"/>
        </w:rPr>
        <w:t xml:space="preserve"> </w:t>
      </w:r>
      <w:r w:rsidR="003D243B" w:rsidRPr="00127C07">
        <w:rPr>
          <w:rFonts w:ascii="Arial" w:hAnsi="Arial" w:cs="Arial"/>
          <w:color w:val="000000" w:themeColor="text1"/>
        </w:rPr>
        <w:fldChar w:fldCharType="begin" w:fldLock="1"/>
      </w:r>
      <w:r w:rsidR="003D243B" w:rsidRPr="00127C07">
        <w:rPr>
          <w:rFonts w:ascii="Arial" w:hAnsi="Arial" w:cs="Arial"/>
          <w:color w:val="000000" w:themeColor="text1"/>
        </w:rPr>
        <w:instrText>ADDIN CSL_CITATION {"citationItems":[{"id":"ITEM-1","itemData":{"DOI":"10.61132/jepi.v3i1.1065","ISSN":"3031-3414","abstract":"According to the Indonesian Statistics Agency (BPS), economic growth in 2023 is estimated to remain strong in the range of 5.05% (yoy), this economic growth is better compared to the last two years considering that the government continues to optimize the recovery period from Covid-19. According to Sadono Sukirno (in Puspitasari et al., 2024) one of the policies to accelerate the development process is to increase government savings, the savings rate Economic growth can be interpreted as a process of increasing the value of output per capita in the long term. The purpose of this study is to determine the effect of Tax Revenue, Foreign Investment (PMA), Domestic Investment (PMDN) on economic growth in Indonesia. This study uses a quantitative approach using time series data sourced from the Central Statistics Agency of Indonesia (BPS) for 2014-2023. The data analysis technique uses multiple regression analysis using the E-views 10 program. The results of the study determine that tax revenue has a significant effect on economic growth in Indonesia, foreign capital revenue (PMA) has a negative and insignificant effect on economic growth, while domestic capital revenue (PMDN) has a positive and significant effect on economic growth.","author":[{"dropping-particle":"","family":"Agustina","given":"Rizkika Ananda","non-dropping-particle":"","parse-names":false,"suffix":""},{"dropping-particle":"","family":"Andiny","given":"Puti","non-dropping-particle":"","parse-names":false,"suffix":""},{"dropping-particle":"","family":"Rizal","given":"Yani","non-dropping-particle":"","parse-names":false,"suffix":""},{"dropping-particle":"","family":"Safuridar","given":"","non-dropping-particle":"","parse-names":false,"suffix":""}],"container-title":"Jurnal Ekonomi dan Pembangunan Indonesia","id":"ITEM-1","issue":"1","issued":{"date-parts":[["2024"]]},"page":"49-60","title":"Pengaruh Penerimaan Pajak, Penanaman Modal Asing Dan Penananaman Dalam Negeri Terhadap Pertumbuhan Ekonomi Di Indonesia","type":"article-journal","volume":"3"},"uris":["http://www.mendeley.com/documents/?uuid=8b4a472e-c9bd-4e39-bb36-f0185b41332b"]}],"mendeley":{"formattedCitation":"(Agustina et al., 2024)","manualFormatting":"Agustina et al. (2024)","plainTextFormattedCitation":"(Agustina et al., 2024)","previouslyFormattedCitation":"(Agustina et al., 2024)"},"properties":{"noteIndex":0},"schema":"https://github.com/citation-style-language/schema/raw/master/csl-citation.json"}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Agustina et al. (2024)</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006C11AB" w:rsidRPr="00127C07">
        <w:rPr>
          <w:rFonts w:ascii="Arial" w:hAnsi="Arial" w:cs="Arial"/>
          <w:color w:val="000000" w:themeColor="text1"/>
        </w:rPr>
        <w:t>only examined the contributions of domestic and foreign investment to economic growth, without analyzing the direct relationship between the two variables. However, within the theoretical frameworks of the Eclectic Paradigm</w:t>
      </w:r>
      <w:r w:rsidR="003D243B" w:rsidRPr="00127C07">
        <w:rPr>
          <w:rFonts w:ascii="Arial" w:hAnsi="Arial" w:cs="Arial"/>
          <w:color w:val="000000" w:themeColor="text1"/>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(Dunning, 2001)</w:t>
      </w:r>
      <w:r w:rsidR="003D243B" w:rsidRPr="00127C07">
        <w:rPr>
          <w:rFonts w:ascii="Arial" w:hAnsi="Arial" w:cs="Arial"/>
        </w:rPr>
        <w:fldChar w:fldCharType="end"/>
      </w:r>
      <w:r w:rsidR="003D243B" w:rsidRPr="00127C07">
        <w:rPr>
          <w:rFonts w:ascii="Arial" w:hAnsi="Arial" w:cs="Arial"/>
        </w:rPr>
        <w:t xml:space="preserve"> </w:t>
      </w:r>
      <w:r w:rsidR="006C11AB" w:rsidRPr="00127C07">
        <w:rPr>
          <w:rFonts w:ascii="Arial" w:hAnsi="Arial" w:cs="Arial"/>
        </w:rPr>
        <w:t>and</w:t>
      </w:r>
      <w:r w:rsidR="003D243B" w:rsidRPr="00127C07">
        <w:rPr>
          <w:rFonts w:ascii="Arial" w:hAnsi="Arial" w:cs="Arial"/>
        </w:rPr>
        <w:t xml:space="preserve"> Keynesian </w:t>
      </w:r>
      <w:r w:rsidR="003D243B" w:rsidRPr="00127C07">
        <w:rPr>
          <w:rFonts w:ascii="Arial" w:hAnsi="Arial" w:cs="Arial"/>
        </w:rPr>
        <w:fldChar w:fldCharType="begin" w:fldLock="1"/>
      </w:r>
      <w:r w:rsidR="003D243B" w:rsidRPr="00127C07">
        <w:rPr>
          <w:rFonts w:ascii="Arial" w:hAnsi="Arial" w:cs="Arial"/>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(Keynes, 1936)</w:t>
      </w:r>
      <w:r w:rsidR="003D243B" w:rsidRPr="00127C07">
        <w:rPr>
          <w:rFonts w:ascii="Arial" w:hAnsi="Arial" w:cs="Arial"/>
        </w:rPr>
        <w:fldChar w:fldCharType="end"/>
      </w:r>
      <w:r w:rsidR="007B7679" w:rsidRPr="00127C07">
        <w:rPr>
          <w:rFonts w:ascii="Arial" w:hAnsi="Arial" w:cs="Arial"/>
        </w:rPr>
        <w:t>,</w:t>
      </w:r>
      <w:r w:rsidR="003D243B" w:rsidRPr="00127C07">
        <w:rPr>
          <w:rFonts w:ascii="Arial" w:hAnsi="Arial" w:cs="Arial"/>
        </w:rPr>
        <w:t xml:space="preserve"> </w:t>
      </w:r>
      <w:r w:rsidR="007B7679" w:rsidRPr="00127C07">
        <w:rPr>
          <w:rFonts w:ascii="Arial" w:hAnsi="Arial" w:cs="Arial"/>
        </w:rPr>
        <w:t>there is a need for an analysis of the factors influencing investment</w:t>
      </w:r>
      <w:r w:rsidR="00D627E7" w:rsidRPr="00127C07">
        <w:rPr>
          <w:rFonts w:ascii="Arial" w:hAnsi="Arial" w:cs="Arial"/>
        </w:rPr>
        <w:t xml:space="preserve">. </w:t>
      </w:r>
      <w:r w:rsidR="006C11AB" w:rsidRPr="00127C07">
        <w:rPr>
          <w:rFonts w:ascii="Arial" w:hAnsi="Arial" w:cs="Arial"/>
        </w:rPr>
        <w:t>Second, the approach of using macroeconomic national proxies</w:t>
      </w:r>
      <w:r w:rsidR="003D243B" w:rsidRPr="00127C07">
        <w:rPr>
          <w:rFonts w:ascii="Arial" w:hAnsi="Arial" w:cs="Arial"/>
        </w:rPr>
        <w:t xml:space="preserve"> </w:t>
      </w:r>
      <w:r w:rsidR="003D243B" w:rsidRPr="00127C07">
        <w:rPr>
          <w:rFonts w:ascii="Arial" w:hAnsi="Arial" w:cs="Arial"/>
        </w:rPr>
        <w:fldChar w:fldCharType="begin" w:fldLock="1"/>
      </w:r>
      <w:r w:rsidR="003D243B" w:rsidRPr="00127C07">
        <w:rPr>
          <w:rFonts w:ascii="Arial" w:hAnsi="Arial" w:cs="Arial"/>
        </w:rPr>
        <w:instrText>ADDIN CSL_CITATION {"citationItems":[{"id":"ITEM-1","itemData":{"DOI":"10.24857/RGSA.V18N1-103","ISBN":"0000000256","ISSN":"1981982X","abstract":"Objectives: The main objective of the study is to investigating the dynamic relationship between FDI and different Macro Economic Variables (MEVs) using the ARDL procedure, providing a more comprehensive understanding of the association between FDI and MEVs and to evaluate their relative importance for FDI. Methods: This study utilizes annual data from 1991 to 2021 from the World Bank (2021) and the Reserve Bank of India (2021). Data on GDP, Export, Inflation and interest rate, and FDI are collected from the World Bank. Autoregressive Distributive lag Model procedure has been used for the study in order to establish relationship between Macro economic variables and FDI. Results: Our methodological approach using ARDL model and finds: (a) a positive correlation between exports and FDI, (b) a negative impact of inflation and exchange rates on FDI in the long run. Non-linear ARDL analysis reveals the asymmetric impact of inflation and interest rate on FDI, which includes the effect of positive and negative shock of interest rate and inflation on FDI. d) 1% increase in inflation reduces FDI by 0.4% and if Inflation is reduced by 1%, FDI is increased by 0.2%. At the same time, the non-linear estimation of interest rates concludes that there is an asymmetric and significant association between interest rates and FDI. e) If Interest rate has increased by 1% FDI is decreased by 0.9% and if interest rate has reduced by 1% FDI has deceased by 1.63%. f) The causality analysis reveals that exports, GDP, and exchange rates are the significant economic variables that affect FDI. Conclusion: The study's findings have practical implications for policymakers and investors looking to attract more FDI in India. The results indicate that exports play a critical role in attracting FDI and that the government should focus on improving export performance to increase FDI inflows. Additionally, the study highlights the importance of controlling inflation and exchange rates to attract more foreign investment. The finding that interest rates have an asymmetric relationship with FDI suggests that policymakers should be cautious when implementing monetary policies that may impact interest rates. Overall, the study provides valuable insights for policymakers and investors looking to attract more FDI in India and highlights the importance of considering the country's macroeconomic conditions when making investment decisions.","author":[{"dropping-particle":"","family":"Jaiswal","given":"Krishna Kumar","non-dropping-particle":"","parse-names":false,"suffix":""},{"dropping-particle":"","family":"Kumar","given":"Nand","non-dropping-particle":"","parse-names":false,"suffix":""}],"container-title":"Revista de Gestao Social e Ambiental","id":"ITEM-1","issue":"1","issued":{"date-parts":[["2024"]]},"page":"1-27","title":"Symmetric and Asymmetric Association Between Foreign Direct Investments and Macroeconomic Variables: an Ardl Approach","type":"article-journal","volume":"18"},"uris":["http://www.mendeley.com/documents/?uuid=69b7103b-21d0-4f4b-b1ca-aa3b901d6590"]}],"mendeley":{"formattedCitation":"(Jaiswal &amp; Kumar, 2024)","plainTextFormattedCitation":"(Jaiswal &amp; Kumar, 2024)","previouslyFormattedCitation":"(Jaiswal &amp; Kumar, 2024)"},"properties":{"noteIndex":0},"schema":"https://github.com/citation-style-language/schema/raw/master/csl-citation.json"}</w:instrText>
      </w:r>
      <w:r w:rsidR="003D243B" w:rsidRPr="00127C07">
        <w:rPr>
          <w:rFonts w:ascii="Arial" w:hAnsi="Arial" w:cs="Arial"/>
        </w:rPr>
        <w:fldChar w:fldCharType="separate"/>
      </w:r>
      <w:r w:rsidR="003D243B" w:rsidRPr="00127C07">
        <w:rPr>
          <w:rFonts w:ascii="Arial" w:hAnsi="Arial" w:cs="Arial"/>
          <w:noProof/>
        </w:rPr>
        <w:t>(Jaiswal &amp; Kumar, 2024)</w:t>
      </w:r>
      <w:r w:rsidR="003D243B" w:rsidRPr="00127C07">
        <w:rPr>
          <w:rFonts w:ascii="Arial" w:hAnsi="Arial" w:cs="Arial"/>
        </w:rPr>
        <w:fldChar w:fldCharType="end"/>
      </w:r>
      <w:r w:rsidR="003D243B" w:rsidRPr="00127C07">
        <w:rPr>
          <w:rFonts w:ascii="Arial" w:hAnsi="Arial" w:cs="Arial"/>
        </w:rPr>
        <w:t xml:space="preserve"> </w:t>
      </w:r>
      <w:r w:rsidR="006C11AB" w:rsidRPr="00127C07">
        <w:rPr>
          <w:rFonts w:ascii="Arial" w:hAnsi="Arial" w:cs="Arial"/>
        </w:rPr>
        <w:t>has not taken into account the unique characteristics of the East Kalimantan economy based on local resources. Thus, there has yet to be a study that simultaneously tests domestic investment as a signal of market confidence, analyzes the Implicit Index G</w:t>
      </w:r>
      <w:r w:rsidR="00D627E7" w:rsidRPr="00127C07">
        <w:rPr>
          <w:rFonts w:ascii="Arial" w:hAnsi="Arial" w:cs="Arial"/>
        </w:rPr>
        <w:t>R</w:t>
      </w:r>
      <w:r w:rsidR="006C11AB" w:rsidRPr="00127C07">
        <w:rPr>
          <w:rFonts w:ascii="Arial" w:hAnsi="Arial" w:cs="Arial"/>
        </w:rPr>
        <w:t xml:space="preserve">DP as a proxy for price stability, and considers the role of the palm oil sector in sustaining foreign investment realization in East Kalimantan post-2022 within the framework of the development of </w:t>
      </w:r>
      <w:r w:rsidR="00D627E7" w:rsidRPr="00127C07">
        <w:rPr>
          <w:rFonts w:ascii="Arial" w:hAnsi="Arial" w:cs="Arial"/>
        </w:rPr>
        <w:t>IKN</w:t>
      </w:r>
      <w:r w:rsidR="006C11AB" w:rsidRPr="00127C07">
        <w:rPr>
          <w:rFonts w:ascii="Arial" w:hAnsi="Arial" w:cs="Arial"/>
        </w:rPr>
        <w:t>.</w:t>
      </w:r>
    </w:p>
    <w:p w14:paraId="1B48A31D" w14:textId="03208E25" w:rsidR="00142BC0" w:rsidRDefault="006C11AB" w:rsidP="00142BC0">
      <w:pPr>
        <w:pStyle w:val="Body"/>
        <w:spacing w:after="0"/>
        <w:ind w:firstLine="720"/>
        <w:rPr>
          <w:rFonts w:ascii="Arial" w:hAnsi="Arial" w:cs="Arial"/>
          <w:color w:val="000000" w:themeColor="text1"/>
        </w:rPr>
      </w:pPr>
      <w:r w:rsidRPr="00127C07">
        <w:rPr>
          <w:rFonts w:ascii="Arial" w:hAnsi="Arial" w:cs="Arial"/>
          <w:color w:val="000000" w:themeColor="text1"/>
        </w:rPr>
        <w:t xml:space="preserve">To address the research gap, this study uses panel data from seven districts/cities in East Kalimantan for the period 2019-2024. </w:t>
      </w:r>
      <w:r w:rsidR="00806BF2" w:rsidRPr="00806BF2">
        <w:rPr>
          <w:rFonts w:ascii="Arial" w:hAnsi="Arial" w:cs="Arial"/>
          <w:color w:val="000000" w:themeColor="text1"/>
        </w:rPr>
        <w:t>To evaluate the effect of the independent variables on the realization of foreign investment, the panel data regression model is estimated using the Ordinary Least Squares (OLS) method</w:t>
      </w:r>
      <w:r w:rsidRPr="00127C07">
        <w:rPr>
          <w:rFonts w:ascii="Arial" w:hAnsi="Arial" w:cs="Arial"/>
          <w:color w:val="000000" w:themeColor="text1"/>
        </w:rPr>
        <w:t xml:space="preserve">. </w:t>
      </w:r>
      <w:r w:rsidR="00806BF2" w:rsidRPr="00806BF2">
        <w:rPr>
          <w:rFonts w:ascii="Arial" w:hAnsi="Arial" w:cs="Arial"/>
          <w:color w:val="000000" w:themeColor="text1"/>
        </w:rPr>
        <w:t xml:space="preserve">OLS is deemed suitable for this analysis due to its ability to produce reliable and consistent parameter estimates, provided that the classical assumptions hold. It also facilitates the isolation of the individual impact of each independent variable on the dependent variable, controlling for the effects of other covariates </w:t>
      </w:r>
      <w:r w:rsidR="003D243B" w:rsidRPr="00127C07">
        <w:rPr>
          <w:rFonts w:ascii="Arial" w:hAnsi="Arial" w:cs="Arial"/>
          <w:color w:val="000000" w:themeColor="text1"/>
        </w:rPr>
        <w:fldChar w:fldCharType="begin" w:fldLock="1"/>
      </w:r>
      <w:r w:rsidR="00E52AC5" w:rsidRPr="00127C07">
        <w:rPr>
          <w:rFonts w:ascii="Arial" w:hAnsi="Arial" w:cs="Arial"/>
          <w:color w:val="000000" w:themeColor="text1"/>
        </w:rPr>
        <w:instrText>ADDIN CSL_CITATION {"citationItems":[{"id":"ITEM-1","itemData":{"author":[{"dropping-particle":"","family":"Dismuke","given":"Clara E.","non-dropping-particle":"","parse-names":false,"suffix":""},{"dropping-particle":"","family":"Lindrooth","given":"Richard","non-dropping-particle":"","parse-names":false,"suffix":""}],"container-title":"Methods an Designs for Outcomes Research","id":"ITEM-1","issued":{"date-parts":[["2006"]]},"page":"93-104","title":"Ordinary Least Squares","type":"chapter"},"uris":["http://www.mendeley.com/documents/?uuid=f65c2759-2a19-4ffc-a4ac-f0a0675da273"]}],"mendeley":{"formattedCitation":"(Dismuke &amp; Lindrooth, 2006)","plainTextFormattedCitation":"(Dismuke &amp; Lindrooth, 2006)","previouslyFormattedCitation":"(Dismuke &amp; Lindrooth, 2006)"},"properties":{"noteIndex":0},"schema":"https://github.com/citation-style-language/schema/raw/master/csl-citation.json"}</w:instrText>
      </w:r>
      <w:r w:rsidR="003D243B" w:rsidRPr="00127C07">
        <w:rPr>
          <w:rFonts w:ascii="Arial" w:hAnsi="Arial" w:cs="Arial"/>
          <w:color w:val="000000" w:themeColor="text1"/>
        </w:rPr>
        <w:fldChar w:fldCharType="separate"/>
      </w:r>
      <w:r w:rsidR="003D243B" w:rsidRPr="00127C07">
        <w:rPr>
          <w:rFonts w:ascii="Arial" w:hAnsi="Arial" w:cs="Arial"/>
          <w:noProof/>
          <w:color w:val="000000" w:themeColor="text1"/>
        </w:rPr>
        <w:t>(Dismuke &amp; Lindrooth, 2006)</w:t>
      </w:r>
      <w:r w:rsidR="003D243B" w:rsidRPr="00127C07">
        <w:rPr>
          <w:rFonts w:ascii="Arial" w:hAnsi="Arial" w:cs="Arial"/>
          <w:color w:val="000000" w:themeColor="text1"/>
        </w:rPr>
        <w:fldChar w:fldCharType="end"/>
      </w:r>
      <w:r w:rsidR="003D243B" w:rsidRPr="00127C07">
        <w:rPr>
          <w:rFonts w:ascii="Arial" w:hAnsi="Arial" w:cs="Arial"/>
          <w:color w:val="000000" w:themeColor="text1"/>
        </w:rPr>
        <w:t xml:space="preserve">. </w:t>
      </w:r>
      <w:r w:rsidRPr="00127C07">
        <w:rPr>
          <w:rFonts w:ascii="Arial" w:hAnsi="Arial" w:cs="Arial"/>
          <w:color w:val="000000" w:themeColor="text1"/>
        </w:rPr>
        <w:t>The choice of county/city level analysis enables capturing spatial heterogeneity that is not detected in aggregate provincial studies, while the period of 2019-2024 specifically aims to examine the effects of the post-development transition of the new capital (IKN).</w:t>
      </w:r>
      <w:r w:rsidR="00416F76">
        <w:rPr>
          <w:rFonts w:ascii="Arial" w:hAnsi="Arial" w:cs="Arial"/>
          <w:color w:val="000000" w:themeColor="text1"/>
        </w:rPr>
        <w:t xml:space="preserve"> </w:t>
      </w:r>
      <w:r w:rsidR="00806BF2" w:rsidRPr="00806BF2">
        <w:rPr>
          <w:rFonts w:ascii="Arial" w:hAnsi="Arial" w:cs="Arial"/>
          <w:color w:val="000000" w:themeColor="text1"/>
        </w:rPr>
        <w:t>Grounded in the context outlined above, this research is designed to investigate the direct impact of domestic investment, the GRDP implicit index, oil palm plantation land area, and oil palm production on foreign investment realization within seven regencies/cities in East Kalimantan from 2019 to 2024. Furthermore, it endeavors to determine which local economic indicators significantly influence the long-term continuity of foreign investment flows</w:t>
      </w:r>
      <w:r w:rsidRPr="00127C07">
        <w:rPr>
          <w:rFonts w:ascii="Arial" w:hAnsi="Arial" w:cs="Arial"/>
          <w:color w:val="000000" w:themeColor="text1"/>
        </w:rPr>
        <w:t xml:space="preserve">. </w:t>
      </w:r>
      <w:r w:rsidR="00806BF2" w:rsidRPr="00806BF2">
        <w:rPr>
          <w:rFonts w:ascii="Arial" w:hAnsi="Arial" w:cs="Arial"/>
          <w:color w:val="000000" w:themeColor="text1"/>
        </w:rPr>
        <w:t>The contribution of this study lies in formulating investment policy recommendations grounded in local economic strengths, specifically targeting the national strategic area that supports the development of the new capital city (IKN). Its analytical scope is focused on the patterns of foreign investment in East Kalimantan from 2019 to 2024, offering insights that may be relevant for other commodity-exporting developing nations.</w:t>
      </w:r>
    </w:p>
    <w:p w14:paraId="744BA0E5" w14:textId="77777777" w:rsidR="00806BF2" w:rsidRPr="00416F76" w:rsidRDefault="00806BF2" w:rsidP="00142BC0">
      <w:pPr>
        <w:pStyle w:val="Body"/>
        <w:spacing w:after="0"/>
        <w:ind w:firstLine="720"/>
        <w:rPr>
          <w:rFonts w:ascii="Arial" w:hAnsi="Arial" w:cs="Arial"/>
          <w:color w:val="000000" w:themeColor="text1"/>
        </w:rPr>
      </w:pPr>
    </w:p>
    <w:p w14:paraId="6A6FF148" w14:textId="28816088" w:rsidR="00E52AC5" w:rsidRPr="00127C07" w:rsidRDefault="00E52AC5" w:rsidP="00142BC0">
      <w:pPr>
        <w:pStyle w:val="AbstHead"/>
        <w:spacing w:after="0"/>
        <w:jc w:val="both"/>
        <w:rPr>
          <w:rFonts w:ascii="Arial" w:hAnsi="Arial" w:cs="Arial"/>
        </w:rPr>
      </w:pPr>
      <w:r w:rsidRPr="00127C07">
        <w:rPr>
          <w:rFonts w:ascii="Arial" w:hAnsi="Arial" w:cs="Arial"/>
        </w:rPr>
        <w:t xml:space="preserve">2. methodology </w:t>
      </w:r>
    </w:p>
    <w:p w14:paraId="638849B8" w14:textId="77777777" w:rsidR="00E52AC5" w:rsidRPr="00127C07" w:rsidRDefault="00E52AC5" w:rsidP="00142BC0">
      <w:pPr>
        <w:pStyle w:val="AbstHead"/>
        <w:spacing w:after="0"/>
        <w:jc w:val="both"/>
        <w:rPr>
          <w:rFonts w:ascii="Arial" w:hAnsi="Arial" w:cs="Arial"/>
          <w:bCs/>
          <w:caps w:val="0"/>
        </w:rPr>
      </w:pPr>
      <w:r w:rsidRPr="00127C07">
        <w:rPr>
          <w:rFonts w:ascii="Arial" w:hAnsi="Arial" w:cs="Arial"/>
          <w:bCs/>
          <w:caps w:val="0"/>
        </w:rPr>
        <w:t>2.1 Research Design</w:t>
      </w:r>
    </w:p>
    <w:p w14:paraId="159F1991" w14:textId="669303F6" w:rsidR="00142BC0" w:rsidRDefault="00806BF2" w:rsidP="00142BC0">
      <w:pPr>
        <w:pStyle w:val="AbstHead"/>
        <w:spacing w:after="0"/>
        <w:ind w:firstLine="720"/>
        <w:jc w:val="both"/>
        <w:rPr>
          <w:rFonts w:ascii="Arial" w:hAnsi="Arial" w:cs="Arial"/>
          <w:b w:val="0"/>
          <w:caps w:val="0"/>
          <w:sz w:val="20"/>
          <w:szCs w:val="18"/>
        </w:rPr>
      </w:pPr>
      <w:r w:rsidRPr="00806BF2">
        <w:rPr>
          <w:rFonts w:ascii="Arial" w:hAnsi="Arial" w:cs="Arial"/>
          <w:b w:val="0"/>
          <w:caps w:val="0"/>
          <w:sz w:val="20"/>
          <w:szCs w:val="18"/>
        </w:rPr>
        <w:t>A quantitative methodology is employed in this study through the use of panel data, combining time series observations over a six-year period (2019–2024) with cross-sectional data from 10 districts and municipalities in East Kalimantan Province, yielding 60 total observations</w:t>
      </w:r>
      <w:r>
        <w:rPr>
          <w:rFonts w:ascii="Arial" w:hAnsi="Arial" w:cs="Arial"/>
          <w:b w:val="0"/>
          <w:caps w:val="0"/>
          <w:sz w:val="20"/>
          <w:szCs w:val="18"/>
        </w:rPr>
        <w:t xml:space="preserve">. </w:t>
      </w:r>
      <w:r w:rsidR="00E52AC5" w:rsidRPr="00127C07">
        <w:rPr>
          <w:rFonts w:ascii="Arial" w:hAnsi="Arial" w:cs="Arial"/>
          <w:b w:val="0"/>
          <w:caps w:val="0"/>
          <w:sz w:val="20"/>
          <w:szCs w:val="18"/>
        </w:rPr>
        <w:t xml:space="preserve">The use of panel data enables a more robust and comprehensive analysis, as it captures both the temporal dynamics and regional variations in the observed variables. The data were obtained from official and credible sources, including publications from statistics </w:t>
      </w:r>
      <w:r w:rsidR="00D62608" w:rsidRPr="00127C07">
        <w:rPr>
          <w:rFonts w:ascii="Arial" w:hAnsi="Arial" w:cs="Arial"/>
          <w:b w:val="0"/>
          <w:caps w:val="0"/>
          <w:sz w:val="20"/>
          <w:szCs w:val="18"/>
        </w:rPr>
        <w:t>I</w:t>
      </w:r>
      <w:r w:rsidR="00E52AC5" w:rsidRPr="00127C07">
        <w:rPr>
          <w:rFonts w:ascii="Arial" w:hAnsi="Arial" w:cs="Arial"/>
          <w:b w:val="0"/>
          <w:caps w:val="0"/>
          <w:sz w:val="20"/>
          <w:szCs w:val="18"/>
        </w:rPr>
        <w:t xml:space="preserve">ndonesia or </w:t>
      </w:r>
      <w:proofErr w:type="spellStart"/>
      <w:r w:rsidR="00E52AC5" w:rsidRPr="00127C07">
        <w:rPr>
          <w:rFonts w:ascii="Arial" w:hAnsi="Arial" w:cs="Arial"/>
          <w:b w:val="0"/>
          <w:i/>
          <w:iCs/>
          <w:caps w:val="0"/>
          <w:sz w:val="20"/>
          <w:szCs w:val="18"/>
        </w:rPr>
        <w:t>Badan</w:t>
      </w:r>
      <w:proofErr w:type="spellEnd"/>
      <w:r w:rsidR="00E52AC5" w:rsidRPr="00127C07">
        <w:rPr>
          <w:rFonts w:ascii="Arial" w:hAnsi="Arial" w:cs="Arial"/>
          <w:b w:val="0"/>
          <w:i/>
          <w:iCs/>
          <w:caps w:val="0"/>
          <w:sz w:val="20"/>
          <w:szCs w:val="18"/>
        </w:rPr>
        <w:t xml:space="preserve"> </w:t>
      </w:r>
      <w:proofErr w:type="spellStart"/>
      <w:r w:rsidR="00E52AC5" w:rsidRPr="00127C07">
        <w:rPr>
          <w:rFonts w:ascii="Arial" w:hAnsi="Arial" w:cs="Arial"/>
          <w:b w:val="0"/>
          <w:i/>
          <w:iCs/>
          <w:caps w:val="0"/>
          <w:sz w:val="20"/>
          <w:szCs w:val="18"/>
        </w:rPr>
        <w:t>Pusat</w:t>
      </w:r>
      <w:proofErr w:type="spellEnd"/>
      <w:r w:rsidR="00E52AC5" w:rsidRPr="00127C07">
        <w:rPr>
          <w:rFonts w:ascii="Arial" w:hAnsi="Arial" w:cs="Arial"/>
          <w:b w:val="0"/>
          <w:i/>
          <w:iCs/>
          <w:caps w:val="0"/>
          <w:sz w:val="20"/>
          <w:szCs w:val="18"/>
        </w:rPr>
        <w:t xml:space="preserve"> </w:t>
      </w:r>
      <w:proofErr w:type="spellStart"/>
      <w:r w:rsidR="00E52AC5" w:rsidRPr="00127C07">
        <w:rPr>
          <w:rFonts w:ascii="Arial" w:hAnsi="Arial" w:cs="Arial"/>
          <w:b w:val="0"/>
          <w:i/>
          <w:iCs/>
          <w:caps w:val="0"/>
          <w:sz w:val="20"/>
          <w:szCs w:val="18"/>
        </w:rPr>
        <w:t>Statistik</w:t>
      </w:r>
      <w:proofErr w:type="spellEnd"/>
      <w:r w:rsidR="00E52AC5" w:rsidRPr="00127C07">
        <w:rPr>
          <w:rFonts w:ascii="Arial" w:hAnsi="Arial" w:cs="Arial"/>
          <w:b w:val="0"/>
          <w:caps w:val="0"/>
          <w:sz w:val="20"/>
          <w:szCs w:val="18"/>
        </w:rPr>
        <w:t xml:space="preserve"> (BPS) and relevant government institutions related to investment and the palm oil sector.</w:t>
      </w:r>
    </w:p>
    <w:p w14:paraId="055D26D2" w14:textId="77777777" w:rsidR="00806BF2" w:rsidRPr="00127C07" w:rsidRDefault="00806BF2" w:rsidP="00142BC0">
      <w:pPr>
        <w:pStyle w:val="AbstHead"/>
        <w:spacing w:after="0"/>
        <w:ind w:firstLine="720"/>
        <w:jc w:val="both"/>
        <w:rPr>
          <w:rFonts w:ascii="Arial" w:hAnsi="Arial" w:cs="Arial"/>
          <w:b w:val="0"/>
          <w:caps w:val="0"/>
          <w:sz w:val="20"/>
          <w:szCs w:val="18"/>
        </w:rPr>
      </w:pPr>
    </w:p>
    <w:p w14:paraId="37F4C802" w14:textId="77777777" w:rsidR="00E52AC5" w:rsidRPr="00127C07" w:rsidRDefault="00E52AC5" w:rsidP="00E52AC5">
      <w:pPr>
        <w:tabs>
          <w:tab w:val="left" w:pos="1080"/>
        </w:tabs>
        <w:rPr>
          <w:rFonts w:ascii="Arial" w:hAnsi="Arial" w:cs="Arial"/>
          <w:b/>
          <w:szCs w:val="18"/>
        </w:rPr>
      </w:pPr>
      <w:r w:rsidRPr="00127C07">
        <w:rPr>
          <w:rFonts w:ascii="Arial" w:hAnsi="Arial" w:cs="Arial"/>
          <w:b/>
          <w:szCs w:val="18"/>
        </w:rPr>
        <w:t>Table 1.</w:t>
      </w:r>
      <w:r w:rsidRPr="00127C07">
        <w:rPr>
          <w:rFonts w:ascii="Arial" w:hAnsi="Arial" w:cs="Arial"/>
          <w:b/>
          <w:szCs w:val="18"/>
        </w:rPr>
        <w:tab/>
        <w:t>Operational Definition of Variables</w:t>
      </w:r>
    </w:p>
    <w:tbl>
      <w:tblPr>
        <w:tblW w:w="8080" w:type="dxa"/>
        <w:jc w:val="center"/>
        <w:tblLayout w:type="fixed"/>
        <w:tblLook w:val="0000" w:firstRow="0" w:lastRow="0" w:firstColumn="0" w:lastColumn="0" w:noHBand="0" w:noVBand="0"/>
      </w:tblPr>
      <w:tblGrid>
        <w:gridCol w:w="4112"/>
        <w:gridCol w:w="2692"/>
        <w:gridCol w:w="1276"/>
      </w:tblGrid>
      <w:tr w:rsidR="00E52AC5" w:rsidRPr="00127C07" w14:paraId="60760452" w14:textId="77777777" w:rsidTr="00BD42DC">
        <w:trPr>
          <w:trHeight w:val="246"/>
          <w:tblHeader/>
          <w:jc w:val="center"/>
        </w:trPr>
        <w:tc>
          <w:tcPr>
            <w:tcW w:w="4112" w:type="dxa"/>
            <w:tcBorders>
              <w:top w:val="single" w:sz="4" w:space="0" w:color="auto"/>
              <w:left w:val="nil"/>
              <w:bottom w:val="single" w:sz="4" w:space="0" w:color="auto"/>
              <w:right w:val="nil"/>
            </w:tcBorders>
            <w:shd w:val="clear" w:color="auto" w:fill="FDE9D9" w:themeFill="accent6" w:themeFillTint="33"/>
          </w:tcPr>
          <w:p w14:paraId="44A9CB92"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b/>
                <w:bCs/>
              </w:rPr>
              <w:lastRenderedPageBreak/>
              <w:t>Variables</w:t>
            </w:r>
          </w:p>
        </w:tc>
        <w:tc>
          <w:tcPr>
            <w:tcW w:w="2692" w:type="dxa"/>
            <w:tcBorders>
              <w:top w:val="single" w:sz="4" w:space="0" w:color="auto"/>
              <w:left w:val="nil"/>
              <w:bottom w:val="single" w:sz="4" w:space="0" w:color="auto"/>
              <w:right w:val="nil"/>
            </w:tcBorders>
            <w:shd w:val="clear" w:color="auto" w:fill="FDE9D9" w:themeFill="accent6" w:themeFillTint="33"/>
          </w:tcPr>
          <w:p w14:paraId="40F36785" w14:textId="77777777" w:rsidR="00E52AC5" w:rsidRPr="00127C07" w:rsidRDefault="00E52AC5" w:rsidP="00E80C5E">
            <w:pPr>
              <w:widowControl w:val="0"/>
              <w:autoSpaceDE w:val="0"/>
              <w:autoSpaceDN w:val="0"/>
              <w:adjustRightInd w:val="0"/>
              <w:jc w:val="center"/>
              <w:rPr>
                <w:rFonts w:ascii="Arial" w:hAnsi="Arial" w:cs="Arial"/>
              </w:rPr>
            </w:pPr>
            <w:proofErr w:type="spellStart"/>
            <w:r w:rsidRPr="00127C07">
              <w:rPr>
                <w:rFonts w:ascii="Arial" w:hAnsi="Arial" w:cs="Arial"/>
                <w:b/>
                <w:bCs/>
              </w:rPr>
              <w:t>Definiton</w:t>
            </w:r>
            <w:proofErr w:type="spellEnd"/>
          </w:p>
        </w:tc>
        <w:tc>
          <w:tcPr>
            <w:tcW w:w="1276" w:type="dxa"/>
            <w:tcBorders>
              <w:top w:val="single" w:sz="4" w:space="0" w:color="auto"/>
              <w:left w:val="nil"/>
              <w:bottom w:val="single" w:sz="4" w:space="0" w:color="auto"/>
              <w:right w:val="nil"/>
            </w:tcBorders>
            <w:shd w:val="clear" w:color="auto" w:fill="FDE9D9" w:themeFill="accent6" w:themeFillTint="33"/>
          </w:tcPr>
          <w:p w14:paraId="54D73E18"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b/>
                <w:bCs/>
              </w:rPr>
              <w:t>Source</w:t>
            </w:r>
          </w:p>
        </w:tc>
      </w:tr>
      <w:tr w:rsidR="00E52AC5" w:rsidRPr="00127C07" w14:paraId="29A9D961" w14:textId="77777777" w:rsidTr="00E80C5E">
        <w:trPr>
          <w:trHeight w:val="246"/>
          <w:jc w:val="center"/>
        </w:trPr>
        <w:tc>
          <w:tcPr>
            <w:tcW w:w="4112" w:type="dxa"/>
            <w:tcBorders>
              <w:top w:val="single" w:sz="4" w:space="0" w:color="auto"/>
              <w:left w:val="nil"/>
              <w:bottom w:val="single" w:sz="4" w:space="0" w:color="auto"/>
              <w:right w:val="nil"/>
            </w:tcBorders>
          </w:tcPr>
          <w:p w14:paraId="2A90A352"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Dependent Variable</w:t>
            </w:r>
          </w:p>
        </w:tc>
        <w:tc>
          <w:tcPr>
            <w:tcW w:w="2692" w:type="dxa"/>
            <w:tcBorders>
              <w:top w:val="single" w:sz="4" w:space="0" w:color="auto"/>
              <w:left w:val="nil"/>
              <w:bottom w:val="single" w:sz="4" w:space="0" w:color="auto"/>
              <w:right w:val="nil"/>
            </w:tcBorders>
          </w:tcPr>
          <w:p w14:paraId="09D638FD" w14:textId="77777777" w:rsidR="00E52AC5" w:rsidRPr="00127C07" w:rsidRDefault="00E52AC5" w:rsidP="00E80C5E">
            <w:pPr>
              <w:widowControl w:val="0"/>
              <w:autoSpaceDE w:val="0"/>
              <w:autoSpaceDN w:val="0"/>
              <w:adjustRightInd w:val="0"/>
              <w:jc w:val="center"/>
              <w:rPr>
                <w:rFonts w:ascii="Arial" w:hAnsi="Arial" w:cs="Arial"/>
                <w:b/>
                <w:bCs/>
              </w:rPr>
            </w:pPr>
          </w:p>
        </w:tc>
        <w:tc>
          <w:tcPr>
            <w:tcW w:w="1276" w:type="dxa"/>
            <w:tcBorders>
              <w:top w:val="single" w:sz="4" w:space="0" w:color="auto"/>
              <w:left w:val="nil"/>
              <w:bottom w:val="single" w:sz="4" w:space="0" w:color="auto"/>
              <w:right w:val="nil"/>
            </w:tcBorders>
          </w:tcPr>
          <w:p w14:paraId="7A54FE39" w14:textId="77777777" w:rsidR="00E52AC5" w:rsidRPr="00127C07" w:rsidRDefault="00E52AC5" w:rsidP="00E80C5E">
            <w:pPr>
              <w:widowControl w:val="0"/>
              <w:autoSpaceDE w:val="0"/>
              <w:autoSpaceDN w:val="0"/>
              <w:adjustRightInd w:val="0"/>
              <w:jc w:val="center"/>
              <w:rPr>
                <w:rFonts w:ascii="Arial" w:hAnsi="Arial" w:cs="Arial"/>
                <w:b/>
                <w:bCs/>
              </w:rPr>
            </w:pPr>
          </w:p>
        </w:tc>
      </w:tr>
      <w:tr w:rsidR="00E52AC5" w:rsidRPr="00127C07" w14:paraId="4DAA6C5C" w14:textId="77777777" w:rsidTr="00E80C5E">
        <w:trPr>
          <w:trHeight w:val="246"/>
          <w:jc w:val="center"/>
        </w:trPr>
        <w:tc>
          <w:tcPr>
            <w:tcW w:w="4112" w:type="dxa"/>
            <w:tcBorders>
              <w:top w:val="single" w:sz="4" w:space="0" w:color="auto"/>
              <w:left w:val="nil"/>
              <w:bottom w:val="nil"/>
              <w:right w:val="nil"/>
            </w:tcBorders>
          </w:tcPr>
          <w:p w14:paraId="74051DB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Foreign Direct Investment (FDI)</w:t>
            </w:r>
          </w:p>
        </w:tc>
        <w:tc>
          <w:tcPr>
            <w:tcW w:w="2692" w:type="dxa"/>
            <w:tcBorders>
              <w:top w:val="single" w:sz="4" w:space="0" w:color="auto"/>
              <w:left w:val="nil"/>
              <w:bottom w:val="nil"/>
              <w:right w:val="nil"/>
            </w:tcBorders>
          </w:tcPr>
          <w:p w14:paraId="03515677" w14:textId="36046950" w:rsidR="00E52AC5" w:rsidRPr="00127C07" w:rsidRDefault="00806BF2" w:rsidP="00E80C5E">
            <w:pPr>
              <w:widowControl w:val="0"/>
              <w:autoSpaceDE w:val="0"/>
              <w:autoSpaceDN w:val="0"/>
              <w:adjustRightInd w:val="0"/>
              <w:rPr>
                <w:rFonts w:ascii="Arial" w:hAnsi="Arial" w:cs="Arial"/>
              </w:rPr>
            </w:pPr>
            <w:r w:rsidRPr="00806BF2">
              <w:rPr>
                <w:rFonts w:ascii="Arial" w:hAnsi="Arial" w:cs="Arial"/>
              </w:rPr>
              <w:t xml:space="preserve">The annual inflow of foreign investment into the region </w:t>
            </w:r>
            <w:r w:rsidR="00E52AC5" w:rsidRPr="00127C07">
              <w:rPr>
                <w:rFonts w:ascii="Arial" w:hAnsi="Arial" w:cs="Arial"/>
              </w:rPr>
              <w:t>(Billion Rupiah).</w:t>
            </w:r>
          </w:p>
        </w:tc>
        <w:tc>
          <w:tcPr>
            <w:tcW w:w="1276" w:type="dxa"/>
            <w:tcBorders>
              <w:top w:val="single" w:sz="4" w:space="0" w:color="auto"/>
              <w:left w:val="nil"/>
              <w:bottom w:val="nil"/>
              <w:right w:val="nil"/>
            </w:tcBorders>
          </w:tcPr>
          <w:p w14:paraId="626EBF3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086EE22E" w14:textId="77777777" w:rsidTr="00E80C5E">
        <w:trPr>
          <w:trHeight w:val="246"/>
          <w:jc w:val="center"/>
        </w:trPr>
        <w:tc>
          <w:tcPr>
            <w:tcW w:w="4112" w:type="dxa"/>
            <w:tcBorders>
              <w:top w:val="single" w:sz="4" w:space="0" w:color="auto"/>
              <w:left w:val="nil"/>
              <w:bottom w:val="single" w:sz="4" w:space="0" w:color="auto"/>
              <w:right w:val="nil"/>
            </w:tcBorders>
          </w:tcPr>
          <w:p w14:paraId="1E0BEBED"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Independent Variables</w:t>
            </w:r>
          </w:p>
        </w:tc>
        <w:tc>
          <w:tcPr>
            <w:tcW w:w="2692" w:type="dxa"/>
            <w:tcBorders>
              <w:top w:val="single" w:sz="4" w:space="0" w:color="auto"/>
              <w:left w:val="nil"/>
              <w:bottom w:val="single" w:sz="4" w:space="0" w:color="auto"/>
              <w:right w:val="nil"/>
            </w:tcBorders>
          </w:tcPr>
          <w:p w14:paraId="4A66A928" w14:textId="77777777" w:rsidR="00E52AC5" w:rsidRPr="00127C07" w:rsidRDefault="00E52AC5" w:rsidP="00E80C5E">
            <w:pPr>
              <w:widowControl w:val="0"/>
              <w:autoSpaceDE w:val="0"/>
              <w:autoSpaceDN w:val="0"/>
              <w:adjustRightInd w:val="0"/>
              <w:rPr>
                <w:rFonts w:ascii="Arial" w:hAnsi="Arial" w:cs="Arial"/>
              </w:rPr>
            </w:pPr>
          </w:p>
        </w:tc>
        <w:tc>
          <w:tcPr>
            <w:tcW w:w="1276" w:type="dxa"/>
            <w:tcBorders>
              <w:top w:val="single" w:sz="4" w:space="0" w:color="auto"/>
              <w:left w:val="nil"/>
              <w:bottom w:val="single" w:sz="4" w:space="0" w:color="auto"/>
              <w:right w:val="nil"/>
            </w:tcBorders>
          </w:tcPr>
          <w:p w14:paraId="5F743700" w14:textId="77777777" w:rsidR="00E52AC5" w:rsidRPr="00127C07" w:rsidRDefault="00E52AC5" w:rsidP="00E80C5E">
            <w:pPr>
              <w:widowControl w:val="0"/>
              <w:autoSpaceDE w:val="0"/>
              <w:autoSpaceDN w:val="0"/>
              <w:adjustRightInd w:val="0"/>
              <w:jc w:val="center"/>
              <w:rPr>
                <w:rFonts w:ascii="Arial" w:hAnsi="Arial" w:cs="Arial"/>
              </w:rPr>
            </w:pPr>
          </w:p>
        </w:tc>
      </w:tr>
      <w:tr w:rsidR="00E52AC5" w:rsidRPr="00127C07" w14:paraId="64A8530E" w14:textId="77777777" w:rsidTr="00E80C5E">
        <w:trPr>
          <w:trHeight w:val="260"/>
          <w:jc w:val="center"/>
        </w:trPr>
        <w:tc>
          <w:tcPr>
            <w:tcW w:w="4112" w:type="dxa"/>
            <w:tcBorders>
              <w:top w:val="single" w:sz="4" w:space="0" w:color="auto"/>
              <w:left w:val="nil"/>
              <w:bottom w:val="nil"/>
              <w:right w:val="nil"/>
            </w:tcBorders>
          </w:tcPr>
          <w:p w14:paraId="20E7B6C2" w14:textId="77777777" w:rsidR="00E52AC5" w:rsidRPr="00127C07" w:rsidRDefault="00E52AC5" w:rsidP="00E80C5E">
            <w:pPr>
              <w:widowControl w:val="0"/>
              <w:autoSpaceDE w:val="0"/>
              <w:autoSpaceDN w:val="0"/>
              <w:adjustRightInd w:val="0"/>
              <w:rPr>
                <w:rFonts w:ascii="Arial" w:hAnsi="Arial" w:cs="Arial"/>
                <w:lang w:val="sv-SE"/>
              </w:rPr>
            </w:pPr>
            <w:r w:rsidRPr="00127C07">
              <w:rPr>
                <w:rFonts w:ascii="Arial" w:hAnsi="Arial" w:cs="Arial"/>
                <w:lang w:val="sv-SE"/>
              </w:rPr>
              <w:t>Oil Palm Land Area (OPLA)</w:t>
            </w:r>
          </w:p>
        </w:tc>
        <w:tc>
          <w:tcPr>
            <w:tcW w:w="2692" w:type="dxa"/>
            <w:tcBorders>
              <w:top w:val="single" w:sz="4" w:space="0" w:color="auto"/>
              <w:left w:val="nil"/>
              <w:bottom w:val="nil"/>
              <w:right w:val="nil"/>
            </w:tcBorders>
          </w:tcPr>
          <w:p w14:paraId="745B0538"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Land area of oil palm plantations (hectares).</w:t>
            </w:r>
          </w:p>
        </w:tc>
        <w:tc>
          <w:tcPr>
            <w:tcW w:w="1276" w:type="dxa"/>
            <w:tcBorders>
              <w:top w:val="single" w:sz="4" w:space="0" w:color="auto"/>
              <w:left w:val="nil"/>
              <w:bottom w:val="nil"/>
              <w:right w:val="nil"/>
            </w:tcBorders>
          </w:tcPr>
          <w:p w14:paraId="62E41FE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44EC7E64" w14:textId="77777777" w:rsidTr="00E80C5E">
        <w:trPr>
          <w:trHeight w:val="260"/>
          <w:jc w:val="center"/>
        </w:trPr>
        <w:tc>
          <w:tcPr>
            <w:tcW w:w="4112" w:type="dxa"/>
            <w:tcBorders>
              <w:top w:val="nil"/>
              <w:left w:val="nil"/>
              <w:bottom w:val="nil"/>
              <w:right w:val="nil"/>
            </w:tcBorders>
          </w:tcPr>
          <w:p w14:paraId="2887292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Implicit Index of Gross Regional Domestic Product (GRDP) (IIGRDP)</w:t>
            </w:r>
          </w:p>
        </w:tc>
        <w:tc>
          <w:tcPr>
            <w:tcW w:w="2692" w:type="dxa"/>
            <w:tcBorders>
              <w:top w:val="nil"/>
              <w:left w:val="nil"/>
              <w:bottom w:val="nil"/>
              <w:right w:val="nil"/>
            </w:tcBorders>
          </w:tcPr>
          <w:p w14:paraId="6441F084"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Regional aggregate price index based on nominal and real GRDP.</w:t>
            </w:r>
          </w:p>
        </w:tc>
        <w:tc>
          <w:tcPr>
            <w:tcW w:w="1276" w:type="dxa"/>
            <w:tcBorders>
              <w:top w:val="nil"/>
              <w:left w:val="nil"/>
              <w:bottom w:val="nil"/>
              <w:right w:val="nil"/>
            </w:tcBorders>
          </w:tcPr>
          <w:p w14:paraId="50B4D8C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4EF3903D" w14:textId="77777777" w:rsidTr="00E80C5E">
        <w:trPr>
          <w:trHeight w:val="260"/>
          <w:jc w:val="center"/>
        </w:trPr>
        <w:tc>
          <w:tcPr>
            <w:tcW w:w="4112" w:type="dxa"/>
            <w:tcBorders>
              <w:top w:val="nil"/>
              <w:left w:val="nil"/>
              <w:right w:val="nil"/>
            </w:tcBorders>
          </w:tcPr>
          <w:p w14:paraId="3FB99C18"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Domestic Direct Investment (DDI)</w:t>
            </w:r>
          </w:p>
        </w:tc>
        <w:tc>
          <w:tcPr>
            <w:tcW w:w="2692" w:type="dxa"/>
            <w:tcBorders>
              <w:top w:val="nil"/>
              <w:left w:val="nil"/>
              <w:right w:val="nil"/>
            </w:tcBorders>
          </w:tcPr>
          <w:p w14:paraId="4EA60F6C"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The amount of domestic investment invested in the region (Billion Rupiah).</w:t>
            </w:r>
          </w:p>
        </w:tc>
        <w:tc>
          <w:tcPr>
            <w:tcW w:w="1276" w:type="dxa"/>
            <w:tcBorders>
              <w:top w:val="nil"/>
              <w:left w:val="nil"/>
              <w:right w:val="nil"/>
            </w:tcBorders>
          </w:tcPr>
          <w:p w14:paraId="53AA7FB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r w:rsidR="00E52AC5" w:rsidRPr="00127C07" w14:paraId="08CE74F6" w14:textId="77777777" w:rsidTr="00E80C5E">
        <w:trPr>
          <w:trHeight w:val="260"/>
          <w:jc w:val="center"/>
        </w:trPr>
        <w:tc>
          <w:tcPr>
            <w:tcW w:w="4112" w:type="dxa"/>
            <w:tcBorders>
              <w:top w:val="nil"/>
              <w:left w:val="nil"/>
              <w:bottom w:val="single" w:sz="4" w:space="0" w:color="auto"/>
              <w:right w:val="nil"/>
            </w:tcBorders>
          </w:tcPr>
          <w:p w14:paraId="70F1436E"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Palm Oil Production (POP)</w:t>
            </w:r>
          </w:p>
        </w:tc>
        <w:tc>
          <w:tcPr>
            <w:tcW w:w="2692" w:type="dxa"/>
            <w:tcBorders>
              <w:top w:val="nil"/>
              <w:left w:val="nil"/>
              <w:bottom w:val="single" w:sz="4" w:space="0" w:color="auto"/>
              <w:right w:val="nil"/>
            </w:tcBorders>
          </w:tcPr>
          <w:p w14:paraId="72B4D9E7" w14:textId="77777777" w:rsidR="00E52AC5" w:rsidRPr="00127C07" w:rsidRDefault="00E52AC5" w:rsidP="00E80C5E">
            <w:pPr>
              <w:widowControl w:val="0"/>
              <w:autoSpaceDE w:val="0"/>
              <w:autoSpaceDN w:val="0"/>
              <w:adjustRightInd w:val="0"/>
              <w:rPr>
                <w:rFonts w:ascii="Arial" w:hAnsi="Arial" w:cs="Arial"/>
                <w:lang w:val="sv-SE"/>
              </w:rPr>
            </w:pPr>
            <w:r w:rsidRPr="00127C07">
              <w:rPr>
                <w:rFonts w:ascii="Arial" w:hAnsi="Arial" w:cs="Arial"/>
                <w:lang w:val="sv-SE"/>
              </w:rPr>
              <w:t>Total oil palm production (Tons).</w:t>
            </w:r>
          </w:p>
        </w:tc>
        <w:tc>
          <w:tcPr>
            <w:tcW w:w="1276" w:type="dxa"/>
            <w:tcBorders>
              <w:top w:val="nil"/>
              <w:left w:val="nil"/>
              <w:bottom w:val="single" w:sz="4" w:space="0" w:color="auto"/>
              <w:right w:val="nil"/>
            </w:tcBorders>
          </w:tcPr>
          <w:p w14:paraId="1F18785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BPS</w:t>
            </w:r>
          </w:p>
        </w:tc>
      </w:tr>
    </w:tbl>
    <w:p w14:paraId="37490B4A" w14:textId="7C2C4E14" w:rsidR="00E52AC5" w:rsidRPr="00D815A4" w:rsidRDefault="00806BF2" w:rsidP="00142BC0">
      <w:pPr>
        <w:pStyle w:val="AbstHead"/>
        <w:spacing w:after="0"/>
        <w:ind w:firstLine="284"/>
        <w:jc w:val="both"/>
        <w:rPr>
          <w:rFonts w:ascii="Arial" w:hAnsi="Arial" w:cs="Arial"/>
          <w:b w:val="0"/>
          <w:bCs/>
          <w:sz w:val="20"/>
        </w:rPr>
      </w:pPr>
      <w:r w:rsidRPr="00806BF2">
        <w:rPr>
          <w:rFonts w:ascii="Arial" w:hAnsi="Arial" w:cs="Arial"/>
          <w:b w:val="0"/>
          <w:caps w:val="0"/>
          <w:sz w:val="20"/>
        </w:rPr>
        <w:t>Panel data regression refers to an analytical method that merges cross-sectional data with time-series observations, facilitating the study of temporal and individual variations simultaneously across multiple entities</w:t>
      </w:r>
      <w:r>
        <w:rPr>
          <w:rFonts w:ascii="Arial" w:hAnsi="Arial" w:cs="Arial"/>
          <w:b w:val="0"/>
          <w:caps w:val="0"/>
          <w:sz w:val="20"/>
        </w:rPr>
        <w:t>.</w:t>
      </w:r>
      <w:r w:rsidR="00424954">
        <w:rPr>
          <w:rFonts w:ascii="Arial" w:hAnsi="Arial" w:cs="Arial"/>
          <w:b w:val="0"/>
          <w:caps w:val="0"/>
          <w:sz w:val="20"/>
        </w:rPr>
        <w:t xml:space="preserve"> </w:t>
      </w:r>
      <w:r w:rsidR="00E52AC5" w:rsidRPr="00127C07">
        <w:rPr>
          <w:rFonts w:ascii="Arial" w:hAnsi="Arial" w:cs="Arial"/>
          <w:b w:val="0"/>
          <w:caps w:val="0"/>
          <w:sz w:val="20"/>
        </w:rPr>
        <w:t xml:space="preserve">The process involves identifying relevant dependent and independent variables, specifying an appropriate regression model, and estimating parameters using techniques such as Ordinary Least Squares (OLS). </w:t>
      </w:r>
      <w:r w:rsidR="00424954" w:rsidRPr="00424954">
        <w:rPr>
          <w:rFonts w:ascii="Arial" w:hAnsi="Arial" w:cs="Arial"/>
          <w:b w:val="0"/>
          <w:caps w:val="0"/>
          <w:sz w:val="20"/>
        </w:rPr>
        <w:t>In panel data econometrics, three primary estimation techniques are commonly used: the Common Effect Model (CEM), the Fixed Effect Model (FEM), and the Random Effect Model (REM)</w:t>
      </w:r>
      <w:r w:rsidR="00424954">
        <w:rPr>
          <w:rFonts w:ascii="Arial" w:hAnsi="Arial" w:cs="Arial"/>
          <w:b w:val="0"/>
          <w:caps w:val="0"/>
          <w:sz w:val="20"/>
        </w:rPr>
        <w:t xml:space="preserve">. </w:t>
      </w:r>
      <w:r w:rsidR="00E52AC5" w:rsidRPr="00127C07">
        <w:rPr>
          <w:rFonts w:ascii="Arial" w:hAnsi="Arial" w:cs="Arial"/>
          <w:b w:val="0"/>
          <w:caps w:val="0"/>
          <w:sz w:val="20"/>
        </w:rPr>
        <w:t xml:space="preserve">Each model differs in how it accounts for individual and time-specific effects, with the choice depending on the assumed relationship between unobserved effects and explanatory variables, with the following model </w:t>
      </w:r>
      <w:r w:rsidR="00E52AC5" w:rsidRPr="00127C07">
        <w:rPr>
          <w:rFonts w:ascii="Arial" w:hAnsi="Arial" w:cs="Arial"/>
          <w:b w:val="0"/>
          <w:bCs/>
          <w:sz w:val="20"/>
        </w:rPr>
        <w:fldChar w:fldCharType="begin" w:fldLock="1"/>
      </w:r>
      <w:r w:rsidR="0008308B">
        <w:rPr>
          <w:rFonts w:ascii="Arial" w:hAnsi="Arial" w:cs="Arial"/>
          <w:b w:val="0"/>
          <w:bCs/>
          <w:sz w:val="20"/>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Directors","type":"article-journal","volume":"12"},"uris":["http://www.mendeley.com/documents/?uuid=38deab13-a0c2-4ba1-bded-3ac5e2f65e70"]}],"mendeley":{"formattedCitation":"(Bertiani et al., 2024; Winantisan et al., 2024)","plainTextFormattedCitation":"(Bertiani et al., 2024; Winantisan et al., 2024)","previouslyFormattedCitation":"(Bertiani et al., 2024; Winantisan et al., 2024)"},"properties":{"noteIndex":0},"schema":"https://github.com/citation-style-language/schema/raw/master/csl-citation.json"}</w:instrText>
      </w:r>
      <w:r w:rsidR="00E52AC5" w:rsidRPr="00127C07">
        <w:rPr>
          <w:rFonts w:ascii="Arial" w:hAnsi="Arial" w:cs="Arial"/>
          <w:b w:val="0"/>
          <w:bCs/>
          <w:sz w:val="20"/>
        </w:rPr>
        <w:fldChar w:fldCharType="separate"/>
      </w:r>
      <w:r w:rsidR="00E52AC5" w:rsidRPr="00D815A4">
        <w:rPr>
          <w:rFonts w:ascii="Arial" w:hAnsi="Arial" w:cs="Arial"/>
          <w:b w:val="0"/>
          <w:bCs/>
          <w:caps w:val="0"/>
          <w:noProof/>
          <w:sz w:val="20"/>
        </w:rPr>
        <w:t>(Bertiani et al., 2024; Winantisan et al., 2024)</w:t>
      </w:r>
      <w:r w:rsidR="00E52AC5" w:rsidRPr="00127C07">
        <w:rPr>
          <w:rFonts w:ascii="Arial" w:hAnsi="Arial" w:cs="Arial"/>
          <w:b w:val="0"/>
          <w:bCs/>
          <w:sz w:val="20"/>
        </w:rPr>
        <w:fldChar w:fldCharType="end"/>
      </w:r>
      <w:r w:rsidR="00E52AC5" w:rsidRPr="00D815A4">
        <w:rPr>
          <w:rFonts w:ascii="Arial" w:hAnsi="Arial" w:cs="Arial"/>
          <w:b w:val="0"/>
          <w:bCs/>
          <w:sz w:val="20"/>
        </w:rPr>
        <w:t xml:space="preserve"> :</w:t>
      </w:r>
    </w:p>
    <w:p w14:paraId="0842F81E" w14:textId="77777777" w:rsidR="00E52AC5" w:rsidRPr="00D815A4" w:rsidRDefault="00702297" w:rsidP="00142BC0">
      <w:pPr>
        <w:ind w:firstLine="284"/>
        <w:rPr>
          <w:rFonts w:ascii="Arial" w:eastAsiaTheme="minorEastAsia" w:hAnsi="Arial" w:cs="Arial"/>
          <w:szCs w:val="24"/>
        </w:rPr>
      </w:pPr>
      <m:oMathPara>
        <m:oMath>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it</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0</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1</m:t>
              </m:r>
            </m:sub>
          </m:sSub>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it</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2</m:t>
              </m:r>
            </m:sub>
          </m:sSub>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it</m:t>
              </m:r>
            </m:sub>
          </m:sSub>
          <m:r>
            <w:rPr>
              <w:rFonts w:ascii="Cambria Math" w:hAnsi="Cambria Math" w:cs="Arial"/>
              <w:szCs w:val="24"/>
            </w:rPr>
            <m:t xml:space="preserve">+ …+ </m:t>
          </m:r>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j</m:t>
              </m:r>
            </m:sub>
          </m:sSub>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it</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ϵ</m:t>
              </m:r>
            </m:e>
            <m:sub>
              <m:r>
                <w:rPr>
                  <w:rFonts w:ascii="Cambria Math" w:hAnsi="Cambria Math" w:cs="Arial"/>
                  <w:szCs w:val="24"/>
                </w:rPr>
                <m:t>it</m:t>
              </m:r>
            </m:sub>
          </m:sSub>
        </m:oMath>
      </m:oMathPara>
    </w:p>
    <w:p w14:paraId="0C354F66" w14:textId="77777777" w:rsidR="00E52AC5" w:rsidRPr="00127C07" w:rsidRDefault="00E52AC5" w:rsidP="00142BC0">
      <w:pPr>
        <w:rPr>
          <w:rFonts w:ascii="Arial" w:hAnsi="Arial" w:cs="Arial"/>
          <w:b/>
          <w:bCs/>
        </w:rPr>
      </w:pPr>
      <w:r w:rsidRPr="00127C07">
        <w:rPr>
          <w:rFonts w:ascii="Arial" w:hAnsi="Arial" w:cs="Arial"/>
          <w:b/>
          <w:bCs/>
        </w:rPr>
        <w:t>2.1.1 Common Effect Model (CEM)</w:t>
      </w:r>
    </w:p>
    <w:p w14:paraId="7433ADE1" w14:textId="471307F4" w:rsidR="00E52AC5" w:rsidRPr="00127C07" w:rsidRDefault="00424954" w:rsidP="00142BC0">
      <w:pPr>
        <w:ind w:firstLine="284"/>
        <w:jc w:val="both"/>
        <w:rPr>
          <w:rFonts w:ascii="Arial" w:hAnsi="Arial" w:cs="Arial"/>
        </w:rPr>
      </w:pPr>
      <w:r w:rsidRPr="00424954">
        <w:rPr>
          <w:rFonts w:ascii="Arial" w:hAnsi="Arial" w:cs="Arial"/>
        </w:rPr>
        <w:t>Known as the simplest form of panel data estimation, the CEM or Pooled Regression Model utilizes the Pooled OLS method to derive parameter estimates, assuming homogeneity across cross-sectional units and time periods</w:t>
      </w:r>
      <w:r>
        <w:rPr>
          <w:rFonts w:ascii="Arial" w:hAnsi="Arial" w:cs="Arial"/>
        </w:rPr>
        <w:t xml:space="preserve">. </w:t>
      </w:r>
      <w:r w:rsidR="00E52AC5" w:rsidRPr="00127C07">
        <w:rPr>
          <w:rFonts w:ascii="Arial" w:hAnsi="Arial" w:cs="Arial"/>
        </w:rPr>
        <w:t xml:space="preserve">While it offers a straightforward and computationally efficient approach, it assumes the absence of unobserved individual effects and time-specific influences. To address potential issues such as heteroskedasticity and serial correlation across panel units, robust standard errors are often applied, allowing the model to produce more reliable and efficient parameter estimates under certain conditions </w:t>
      </w:r>
      <w:r w:rsidR="00E52AC5" w:rsidRPr="00127C07">
        <w:rPr>
          <w:rFonts w:ascii="Arial" w:hAnsi="Arial" w:cs="Arial"/>
        </w:rPr>
        <w:fldChar w:fldCharType="begin" w:fldLock="1"/>
      </w:r>
      <w:r w:rsidR="00E52AC5" w:rsidRPr="00127C07">
        <w:rPr>
          <w:rFonts w:ascii="Arial" w:hAnsi="Arial" w:cs="Arial"/>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Directors","type":"article-journal","volume":"12"},"uris":["http://www.mendeley.com/documents/?uuid=38deab13-a0c2-4ba1-bded-3ac5e2f65e70"]}],"mendeley":{"formattedCitation":"(Bertiani et al., 2024; Winantisan et al., 2024)","plainTextFormattedCitation":"(Bertiani et al., 2024; Winantisan et al., 2024)","previouslyFormattedCitation":"(Bertiani et al., 2024; Winantisan et al., 2024)"},"properties":{"noteIndex":0},"schema":"https://github.com/citation-style-language/schema/raw/master/csl-citation.json"}</w:instrText>
      </w:r>
      <w:r w:rsidR="00E52AC5" w:rsidRPr="00127C07">
        <w:rPr>
          <w:rFonts w:ascii="Arial" w:hAnsi="Arial" w:cs="Arial"/>
        </w:rPr>
        <w:fldChar w:fldCharType="separate"/>
      </w:r>
      <w:r w:rsidR="00E52AC5" w:rsidRPr="00127C07">
        <w:rPr>
          <w:rFonts w:ascii="Arial" w:hAnsi="Arial" w:cs="Arial"/>
          <w:noProof/>
        </w:rPr>
        <w:t>(Bertiani et al., 2024; Winantisan et al., 2024)</w:t>
      </w:r>
      <w:r w:rsidR="00E52AC5" w:rsidRPr="00127C07">
        <w:rPr>
          <w:rFonts w:ascii="Arial" w:hAnsi="Arial" w:cs="Arial"/>
        </w:rPr>
        <w:fldChar w:fldCharType="end"/>
      </w:r>
      <w:r w:rsidR="00E52AC5" w:rsidRPr="00127C07">
        <w:rPr>
          <w:rFonts w:ascii="Arial" w:hAnsi="Arial" w:cs="Arial"/>
        </w:rPr>
        <w:t xml:space="preserve">. </w:t>
      </w:r>
    </w:p>
    <w:p w14:paraId="7DA288EB" w14:textId="77777777" w:rsidR="00E52AC5" w:rsidRPr="00127C07" w:rsidRDefault="00E52AC5" w:rsidP="00142BC0">
      <w:pPr>
        <w:pStyle w:val="AbstHead"/>
        <w:spacing w:after="0"/>
        <w:jc w:val="both"/>
        <w:rPr>
          <w:rFonts w:ascii="Arial" w:hAnsi="Arial" w:cs="Arial"/>
          <w:bCs/>
          <w:sz w:val="20"/>
        </w:rPr>
      </w:pPr>
      <w:r w:rsidRPr="00127C07">
        <w:rPr>
          <w:rFonts w:ascii="Arial" w:hAnsi="Arial" w:cs="Arial"/>
          <w:bCs/>
          <w:sz w:val="20"/>
        </w:rPr>
        <w:t>2.1.2 F</w:t>
      </w:r>
      <w:r w:rsidRPr="00127C07">
        <w:rPr>
          <w:rFonts w:ascii="Arial" w:hAnsi="Arial" w:cs="Arial"/>
          <w:bCs/>
          <w:caps w:val="0"/>
          <w:sz w:val="20"/>
        </w:rPr>
        <w:t>ixed Effect Model (FEM)</w:t>
      </w:r>
    </w:p>
    <w:p w14:paraId="5F6BAD0F" w14:textId="02E70DD1" w:rsidR="00E52AC5" w:rsidRPr="00127C07" w:rsidRDefault="00E52AC5" w:rsidP="00142BC0">
      <w:pPr>
        <w:pStyle w:val="AbstHead"/>
        <w:spacing w:after="0"/>
        <w:jc w:val="both"/>
        <w:rPr>
          <w:rFonts w:ascii="Arial" w:hAnsi="Arial" w:cs="Arial"/>
          <w:b w:val="0"/>
          <w:bCs/>
          <w:sz w:val="20"/>
          <w:szCs w:val="18"/>
        </w:rPr>
      </w:pPr>
      <w:r w:rsidRPr="00127C07">
        <w:rPr>
          <w:rFonts w:ascii="Arial" w:hAnsi="Arial" w:cs="Arial"/>
          <w:b w:val="0"/>
          <w:bCs/>
          <w:sz w:val="20"/>
          <w:szCs w:val="18"/>
        </w:rPr>
        <w:tab/>
      </w:r>
      <w:r w:rsidRPr="00127C07">
        <w:rPr>
          <w:rFonts w:ascii="Arial" w:hAnsi="Arial" w:cs="Arial"/>
          <w:b w:val="0"/>
          <w:caps w:val="0"/>
          <w:sz w:val="20"/>
          <w:szCs w:val="18"/>
        </w:rPr>
        <w:t xml:space="preserve">The fixed effect model (fem) is a panel data analysis approach that accounts for </w:t>
      </w:r>
      <w:r w:rsidR="00424954" w:rsidRPr="00424954">
        <w:rPr>
          <w:rFonts w:ascii="Arial" w:hAnsi="Arial" w:cs="Arial"/>
          <w:b w:val="0"/>
          <w:caps w:val="0"/>
          <w:sz w:val="20"/>
          <w:szCs w:val="18"/>
        </w:rPr>
        <w:t>The FEM accounts for individual or</w:t>
      </w:r>
      <w:r w:rsidR="00424954">
        <w:rPr>
          <w:rFonts w:ascii="Arial" w:hAnsi="Arial" w:cs="Arial"/>
          <w:b w:val="0"/>
          <w:caps w:val="0"/>
          <w:sz w:val="20"/>
          <w:szCs w:val="18"/>
        </w:rPr>
        <w:t xml:space="preserve"> </w:t>
      </w:r>
      <w:r w:rsidR="00424954" w:rsidRPr="00424954">
        <w:rPr>
          <w:rFonts w:ascii="Arial" w:hAnsi="Arial" w:cs="Arial"/>
          <w:b w:val="0"/>
          <w:caps w:val="0"/>
          <w:sz w:val="20"/>
          <w:szCs w:val="18"/>
        </w:rPr>
        <w:t>region</w:t>
      </w:r>
      <w:r w:rsidR="00424954">
        <w:rPr>
          <w:rFonts w:ascii="Arial" w:hAnsi="Arial" w:cs="Arial"/>
          <w:b w:val="0"/>
          <w:caps w:val="0"/>
          <w:sz w:val="20"/>
          <w:szCs w:val="18"/>
        </w:rPr>
        <w:t>-</w:t>
      </w:r>
      <w:r w:rsidR="00424954" w:rsidRPr="00424954">
        <w:rPr>
          <w:rFonts w:ascii="Arial" w:hAnsi="Arial" w:cs="Arial"/>
          <w:b w:val="0"/>
          <w:caps w:val="0"/>
          <w:sz w:val="20"/>
          <w:szCs w:val="18"/>
        </w:rPr>
        <w:t>specific</w:t>
      </w:r>
      <w:r w:rsidR="00424954">
        <w:rPr>
          <w:rFonts w:ascii="Arial" w:hAnsi="Arial" w:cs="Arial"/>
          <w:b w:val="0"/>
          <w:caps w:val="0"/>
          <w:sz w:val="20"/>
          <w:szCs w:val="18"/>
        </w:rPr>
        <w:t xml:space="preserve"> </w:t>
      </w:r>
      <w:r w:rsidR="00424954" w:rsidRPr="00424954">
        <w:rPr>
          <w:rFonts w:ascii="Arial" w:hAnsi="Arial" w:cs="Arial"/>
          <w:b w:val="0"/>
          <w:caps w:val="0"/>
          <w:sz w:val="20"/>
          <w:szCs w:val="18"/>
        </w:rPr>
        <w:t>characteristics by allowing the intercepts to differ across entities, while maintaining constant slope coefficients over time. This approach captures unobserved heterogeneity that is time-invariant and specific to each cross-sectional unit such as cultural, institutional, or geographical factors that may influence the dependent variable. To estimate these fixed effects, FEM commonly employs the Least Squares Dummy Variable (LSDV) method, which incorporates dummy variables for each entity. By controlling for such fixed, unobserved characteristics, FEM yields more reliable coefficient estimates, particularly when these characteristics are correlated with the explanatory variables</w:t>
      </w:r>
      <w:r w:rsidRPr="00127C07">
        <w:rPr>
          <w:rFonts w:ascii="Arial" w:hAnsi="Arial" w:cs="Arial"/>
          <w:b w:val="0"/>
          <w:caps w:val="0"/>
          <w:sz w:val="20"/>
          <w:szCs w:val="18"/>
        </w:rPr>
        <w:t xml:space="preserve"> </w:t>
      </w:r>
      <w:r w:rsidRPr="00127C07">
        <w:rPr>
          <w:rFonts w:ascii="Arial" w:hAnsi="Arial" w:cs="Arial"/>
          <w:b w:val="0"/>
          <w:bCs/>
          <w:sz w:val="20"/>
          <w:szCs w:val="18"/>
        </w:rPr>
        <w:fldChar w:fldCharType="begin" w:fldLock="1"/>
      </w:r>
      <w:r w:rsidR="0008308B">
        <w:rPr>
          <w:rFonts w:ascii="Arial" w:hAnsi="Arial" w:cs="Arial"/>
          <w:b w:val="0"/>
          <w:bCs/>
          <w:sz w:val="20"/>
          <w:szCs w:val="18"/>
        </w:rPr>
        <w:instrText>ADDIN CSL_CITATION {"citationItems":[{"id":"ITEM-1","itemData":{"DOI":"10.29313/jrm.v1i2.373","abstract":"Abstract. Human development index is important component to measure the success level in effort to improve the human life quality. This index has three dimensions, they are called the dimensions of health, the dimensions of education, and the dimensions of decent living standards. The health dimension is measured by using life expectancy. The education dimension is measured by using the expected length of schooling and the average length of schooling. Meanwhile, the standard of living is measured using real per capita expenditure in rupiah. This study aims to find the cause that affects the human development index, and the best model is using panel data as a regression method. The results shown that the human development index is influenced by life expectancy, long school expectations, average length of schooling and per capita expenditure. The model used in this study is named fixed effect model with a coefficient of determination of 99.99%, which means that this model is good enough to be used.\r Abstrak. Indeks pembangunan manusia yaitu salah satu komponen penting untuk mengukur tingkat keberhasilan dalam upaya meningkatkan kualitas hidup manusia. Indeks pembangunan manusia dibangun dengan tiga dimensi yaitu dimensi kesehatan, dimensi pendidikan serta dimensi standar layak hidup. Dimensi kesehatan diukur menggunakan angka harapan hidup. Dimensi pendidikan diukur menggunakan harapan lama sekolah dan rata-rata lama sekolah. Sedangkan dimensi standar layak hidup diukur menggunakan pengeluaran per kapita riil dalam rupiah. Penelitian ini bertujuan untuk mencari faktor yang mempengaruhi indeks pembangunan manusia dan model yang terbaik menggunakan metode regresi data panel. Hasil yang diperoleh yaitu indeks pembangunan manusia dipengaruhi oleh angka harapan hidup, harapan lama sekolah, rata-rata lama sekolah dan pengeluaran per kapita. Model yang digunakan pada penelitian ini yaitu fixed effect model dengan nilai koefisien determinasinya sebesar 99,99% yang berarti model ini baik di gunakan.","author":[{"dropping-particle":"","family":"Alviani","given":"Limah Olivia","non-dropping-particle":"","parse-names":false,"suffix":""},{"dropping-particle":"","family":"Kurniati","given":"Eti","non-dropping-particle":"","parse-names":false,"suffix":""},{"dropping-particle":"","family":"Badruzzaman","given":"Farid Hirji","non-dropping-particle":"","parse-names":false,"suffix":""}],"container-title":"Jurnal Riset Matematika","id":"ITEM-1","issue":"2","issued":{"date-parts":[["2021"]]},"page":"99-108","title":"Penggunaan Regresi Data Panel pada Analisis Indeks Pembangunan Manusia","type":"article-journal","volume":"1"},"uris":["http://www.mendeley.com/documents/?uuid=07cdf553-fbce-47e1-a48f-3e6908861b29"]},{"id":"ITEM-2","itemData":{"ISSN":"2018-2022","author":[{"dropping-particle":"","family":"Winantisan","given":"R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Directors","type":"article-journal","volume":"12"},"uris":["http://www.mendeley.com/documents/?uuid=38deab13-a0c2-4ba1-bded-3ac5e2f65e70"]}],"mendeley":{"formattedCitation":"(Alviani et al., 2021; Winantisan et al., 2024)","plainTextFormattedCitation":"(Alviani et al., 2021; Winantisan et al., 2024)","previouslyFormattedCitation":"(Alviani et al., 2021; Winantisan et al., 2024)"},"properties":{"noteIndex":0},"schema":"https://github.com/citation-style-language/schema/raw/master/csl-citation.json"}</w:instrText>
      </w:r>
      <w:r w:rsidRPr="00127C07">
        <w:rPr>
          <w:rFonts w:ascii="Arial" w:hAnsi="Arial" w:cs="Arial"/>
          <w:b w:val="0"/>
          <w:bCs/>
          <w:sz w:val="20"/>
          <w:szCs w:val="18"/>
        </w:rPr>
        <w:fldChar w:fldCharType="separate"/>
      </w:r>
      <w:r w:rsidRPr="0008308B">
        <w:rPr>
          <w:rFonts w:ascii="Arial" w:hAnsi="Arial" w:cs="Arial"/>
          <w:b w:val="0"/>
          <w:bCs/>
          <w:caps w:val="0"/>
          <w:noProof/>
          <w:sz w:val="20"/>
          <w:szCs w:val="18"/>
        </w:rPr>
        <w:t>(Alviani et al., 2021; Winantisan et al., 2024)</w:t>
      </w:r>
      <w:r w:rsidRPr="00127C07">
        <w:rPr>
          <w:rFonts w:ascii="Arial" w:hAnsi="Arial" w:cs="Arial"/>
          <w:b w:val="0"/>
          <w:bCs/>
          <w:sz w:val="20"/>
          <w:szCs w:val="18"/>
        </w:rPr>
        <w:fldChar w:fldCharType="end"/>
      </w:r>
      <w:r w:rsidRPr="00127C07">
        <w:rPr>
          <w:rFonts w:ascii="Arial" w:hAnsi="Arial" w:cs="Arial"/>
          <w:b w:val="0"/>
          <w:bCs/>
          <w:sz w:val="20"/>
          <w:szCs w:val="18"/>
        </w:rPr>
        <w:t>.</w:t>
      </w:r>
    </w:p>
    <w:p w14:paraId="40DB04DF"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2.1.3 Random Effect Model (REM)</w:t>
      </w:r>
    </w:p>
    <w:p w14:paraId="2D56B27C" w14:textId="4BAAD767" w:rsidR="00E52AC5" w:rsidRDefault="00E52AC5" w:rsidP="00142BC0">
      <w:pPr>
        <w:pStyle w:val="AbstHead"/>
        <w:spacing w:after="0"/>
        <w:jc w:val="both"/>
        <w:rPr>
          <w:rFonts w:ascii="Arial" w:hAnsi="Arial" w:cs="Arial"/>
          <w:b w:val="0"/>
          <w:bCs/>
          <w:caps w:val="0"/>
          <w:sz w:val="20"/>
          <w:szCs w:val="18"/>
        </w:rPr>
      </w:pPr>
      <w:r w:rsidRPr="00127C07">
        <w:rPr>
          <w:rFonts w:ascii="Arial" w:hAnsi="Arial" w:cs="Arial"/>
          <w:caps w:val="0"/>
          <w:sz w:val="20"/>
          <w:szCs w:val="18"/>
        </w:rPr>
        <w:tab/>
      </w:r>
      <w:r w:rsidR="00424954" w:rsidRPr="00424954">
        <w:rPr>
          <w:rFonts w:ascii="Arial" w:hAnsi="Arial" w:cs="Arial"/>
          <w:b w:val="0"/>
          <w:bCs/>
          <w:caps w:val="0"/>
          <w:sz w:val="20"/>
          <w:szCs w:val="18"/>
        </w:rPr>
        <w:t>By treating these effects as random variables selected from a particular probability distribution, the REM is a panel data analysis technique that addresses variations over time and between entities. REM makes the assumption that these unobserved effects are uncorrelated with the regressors, in contrast to the fixed effect model, which makes the assumption that individual-specific effects are associated with the explanatory variables.</w:t>
      </w:r>
      <w:r w:rsidRPr="00127C07">
        <w:rPr>
          <w:rFonts w:ascii="Arial" w:hAnsi="Arial" w:cs="Arial"/>
          <w:b w:val="0"/>
          <w:bCs/>
          <w:caps w:val="0"/>
          <w:sz w:val="20"/>
          <w:szCs w:val="18"/>
        </w:rPr>
        <w:t xml:space="preserve"> </w:t>
      </w:r>
      <w:r w:rsidRPr="00127C07">
        <w:rPr>
          <w:rFonts w:ascii="Arial" w:hAnsi="Arial" w:cs="Arial"/>
          <w:b w:val="0"/>
          <w:bCs/>
          <w:caps w:val="0"/>
          <w:sz w:val="20"/>
          <w:szCs w:val="18"/>
        </w:rPr>
        <w:lastRenderedPageBreak/>
        <w:t xml:space="preserve">This assumption allows the model to retain both within- and between-entity variations, making it more efficient and generalizable under certain conditions. Rem is typically estimated using Generalized Least Squares (GLS), which accounts for the presence of cross-sectional heterogeneity and serial correlation, resulting in more efficient and unbiased parameter estimates provided that the model’s assumptions hold true </w:t>
      </w:r>
      <w:r w:rsidRPr="00127C07">
        <w:rPr>
          <w:rFonts w:ascii="Arial" w:hAnsi="Arial" w:cs="Arial"/>
          <w:b w:val="0"/>
          <w:bCs/>
          <w:sz w:val="20"/>
          <w:szCs w:val="18"/>
        </w:rPr>
        <w:fldChar w:fldCharType="begin" w:fldLock="1"/>
      </w:r>
      <w:r w:rsidR="0008308B">
        <w:rPr>
          <w:rFonts w:ascii="Arial" w:hAnsi="Arial" w:cs="Arial"/>
          <w:b w:val="0"/>
          <w:bCs/>
          <w:sz w:val="20"/>
          <w:szCs w:val="18"/>
        </w:rPr>
        <w:instrText>ADDIN CSL_CITATION {"citationItems":[{"id":"ITEM-1","itemData":{"DOI":"10.29313/jrm.v1i2.373","abstract":"Abstract. Human development index is important component to measure the success level in effort to improve the human life quality. This index has three dimensions, they are called the dimensions of health, the dimensions of education, and the dimensions of decent living standards. The health dimension is measured by using life expectancy. The education dimension is measured by using the expected length of schooling and the average length of schooling. Meanwhile, the standard of living is measured using real per capita expenditure in rupiah. This study aims to find the cause that affects the human development index, and the best model is using panel data as a regression method. The results shown that the human development index is influenced by life expectancy, long school expectations, average length of schooling and per capita expenditure. The model used in this study is named fixed effect model with a coefficient of determination of 99.99%, which means that this model is good enough to be used.\r Abstrak. Indeks pembangunan manusia yaitu salah satu komponen penting untuk mengukur tingkat keberhasilan dalam upaya meningkatkan kualitas hidup manusia. Indeks pembangunan manusia dibangun dengan tiga dimensi yaitu dimensi kesehatan, dimensi pendidikan serta dimensi standar layak hidup. Dimensi kesehatan diukur menggunakan angka harapan hidup. Dimensi pendidikan diukur menggunakan harapan lama sekolah dan rata-rata lama sekolah. Sedangkan dimensi standar layak hidup diukur menggunakan pengeluaran per kapita riil dalam rupiah. Penelitian ini bertujuan untuk mencari faktor yang mempengaruhi indeks pembangunan manusia dan model yang terbaik menggunakan metode regresi data panel. Hasil yang diperoleh yaitu indeks pembangunan manusia dipengaruhi oleh angka harapan hidup, harapan lama sekolah, rata-rata lama sekolah dan pengeluaran per kapita. Model yang digunakan pada penelitian ini yaitu fixed effect model dengan nilai koefisien determinasinya sebesar 99,99% yang berarti model ini baik di gunakan.","author":[{"dropping-particle":"","family":"Alviani","given":"Limah Olivia","non-dropping-particle":"","parse-names":false,"suffix":""},{"dropping-particle":"","family":"Kurniati","given":"Eti","non-dropping-particle":"","parse-names":false,"suffix":""},{"dropping-particle":"","family":"Badruzzaman","given":"Farid Hirji","non-dropping-particle":"","parse-names":false,"suffix":""}],"container-title":"Jurnal Riset Matematika","id":"ITEM-1","issue":"2","issued":{"date-parts":[["2021"]]},"page":"99-108","title":"Penggunaan Regresi Data Panel pada Analisis Indeks Pembangunan Manusia","type":"article-journal","volume":"1"},"uris":["http://www.mendeley.com/documents/?uuid=07cdf553-fbce-47e1-a48f-3e6908861b29"]},{"id":"ITEM-2","itemData":{"ISSN":"2018-2022","author":[{"dropping-particle":"","family":"Winantisan","given":"R N N","non-dropping-particle":"","parse-names":false,"suffix":""},{"dropping-particle":"","family":"Tulug","given":"J E","non-dropping-particle":"","parse-names":false,"suffix":""},{"dropping-particle":"","family":"Rumokoy","given":"L J","non-dropping-particle":"","parse-names":false,"suffix":""},{"dropping-particle":"","family":"Richarda","given":"Oleh :","non-dropping-particle":"","parse-names":false,"suffix":""},{"dropping-particle":"","family":"Winantisan","given":"N N","non-dropping-particle":"","parse-names":false,"suffix":""},{"dropping-particle":"","family":"Tulung","given":"Joy E","non-dropping-particle":"","parse-names":false,"suffix":""},{"dropping-particle":"","family":"Rumokoy","given":"Lawren J","non-dropping-particle":"","parse-names":false,"suffix":""},{"dropping-particle":"","family":"Manajemen","given":"Jurusan","non-dropping-particle":"","parse-names":false,"suffix":""},{"dropping-particle":"","family":"Ekonomi","given":"Fakultas","non-dropping-particle":"","parse-names":false,"suffix":""},{"dropping-particle":"","family":"Bisnis","given":"Dan","non-dropping-particle":"","parse-names":false,"suffix":""}],"container-title":"Jurnal EMBA","id":"ITEM-2","issue":"1","issued":{"date-parts":[["2024"]]},"page":"1-12","title":"the Effect of Age and Gender Diversity on the Board of Commissioners and Directors","type":"article-journal","volume":"12"},"uris":["http://www.mendeley.com/documents/?uuid=38deab13-a0c2-4ba1-bded-3ac5e2f65e70"]}],"mendeley":{"formattedCitation":"(Alviani et al., 2021; Winantisan et al., 2024)","plainTextFormattedCitation":"(Alviani et al., 2021; Winantisan et al., 2024)","previouslyFormattedCitation":"(Alviani et al., 2021; Winantisan et al., 2024)"},"properties":{"noteIndex":0},"schema":"https://github.com/citation-style-language/schema/raw/master/csl-citation.json"}</w:instrText>
      </w:r>
      <w:r w:rsidRPr="00127C07">
        <w:rPr>
          <w:rFonts w:ascii="Arial" w:hAnsi="Arial" w:cs="Arial"/>
          <w:b w:val="0"/>
          <w:bCs/>
          <w:sz w:val="20"/>
          <w:szCs w:val="18"/>
        </w:rPr>
        <w:fldChar w:fldCharType="separate"/>
      </w:r>
      <w:r w:rsidRPr="0008308B">
        <w:rPr>
          <w:rFonts w:ascii="Arial" w:hAnsi="Arial" w:cs="Arial"/>
          <w:b w:val="0"/>
          <w:bCs/>
          <w:caps w:val="0"/>
          <w:noProof/>
          <w:sz w:val="20"/>
          <w:szCs w:val="18"/>
        </w:rPr>
        <w:t>(Alviani et al., 2021; Winantisan et al., 2024)</w:t>
      </w:r>
      <w:r w:rsidRPr="00127C07">
        <w:rPr>
          <w:rFonts w:ascii="Arial" w:hAnsi="Arial" w:cs="Arial"/>
          <w:b w:val="0"/>
          <w:bCs/>
          <w:sz w:val="20"/>
          <w:szCs w:val="18"/>
        </w:rPr>
        <w:fldChar w:fldCharType="end"/>
      </w:r>
      <w:r w:rsidRPr="00127C07">
        <w:rPr>
          <w:rFonts w:ascii="Arial" w:hAnsi="Arial" w:cs="Arial"/>
          <w:b w:val="0"/>
          <w:bCs/>
          <w:caps w:val="0"/>
          <w:sz w:val="20"/>
          <w:szCs w:val="18"/>
        </w:rPr>
        <w:t>.</w:t>
      </w:r>
    </w:p>
    <w:p w14:paraId="218DF220" w14:textId="77777777" w:rsidR="00142BC0" w:rsidRPr="00127C07" w:rsidRDefault="00142BC0" w:rsidP="00142BC0">
      <w:pPr>
        <w:pStyle w:val="AbstHead"/>
        <w:spacing w:after="0"/>
        <w:jc w:val="both"/>
        <w:rPr>
          <w:rFonts w:ascii="Arial" w:hAnsi="Arial" w:cs="Arial"/>
          <w:b w:val="0"/>
          <w:bCs/>
          <w:caps w:val="0"/>
          <w:sz w:val="20"/>
          <w:szCs w:val="18"/>
        </w:rPr>
      </w:pPr>
    </w:p>
    <w:p w14:paraId="7209FFDB" w14:textId="77777777" w:rsidR="00E52AC5" w:rsidRPr="00127C07" w:rsidRDefault="00E52AC5" w:rsidP="00142BC0">
      <w:pPr>
        <w:pStyle w:val="AbstHead"/>
        <w:spacing w:after="0"/>
        <w:jc w:val="both"/>
        <w:rPr>
          <w:rFonts w:ascii="Arial" w:hAnsi="Arial" w:cs="Arial"/>
          <w:caps w:val="0"/>
        </w:rPr>
      </w:pPr>
      <w:r w:rsidRPr="00127C07">
        <w:rPr>
          <w:rFonts w:ascii="Arial" w:hAnsi="Arial" w:cs="Arial"/>
          <w:caps w:val="0"/>
        </w:rPr>
        <w:t>2.2 Specification Test</w:t>
      </w:r>
    </w:p>
    <w:p w14:paraId="74A0869F" w14:textId="11F61D3D" w:rsidR="00E52AC5" w:rsidRPr="0028648F"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2.2.1 Chow Test</w:t>
      </w:r>
    </w:p>
    <w:p w14:paraId="7A9CF7ED" w14:textId="1EDD1753" w:rsidR="00E52AC5" w:rsidRPr="00142BC0" w:rsidRDefault="001B2B66" w:rsidP="00142BC0">
      <w:pPr>
        <w:pStyle w:val="AbstHead"/>
        <w:spacing w:after="0"/>
        <w:ind w:firstLine="360"/>
        <w:jc w:val="both"/>
        <w:rPr>
          <w:rFonts w:ascii="Arial" w:hAnsi="Arial" w:cs="Arial"/>
          <w:b w:val="0"/>
          <w:bCs/>
          <w:caps w:val="0"/>
          <w:sz w:val="20"/>
          <w:szCs w:val="22"/>
        </w:rPr>
      </w:pPr>
      <w:r w:rsidRPr="001B2B66">
        <w:rPr>
          <w:rFonts w:ascii="Arial" w:hAnsi="Arial" w:cs="Arial"/>
          <w:b w:val="0"/>
          <w:bCs/>
          <w:caps w:val="0"/>
          <w:sz w:val="20"/>
          <w:szCs w:val="22"/>
        </w:rPr>
        <w:t>The purpose of this test is to identify which of the CEM and FEM models is best.  The null hypothesis (h</w:t>
      </w:r>
      <w:r w:rsidRPr="001B2B66">
        <w:rPr>
          <w:rFonts w:ascii="Cambria Math" w:hAnsi="Cambria Math" w:cs="Cambria Math"/>
          <w:b w:val="0"/>
          <w:bCs/>
          <w:caps w:val="0"/>
          <w:sz w:val="20"/>
          <w:szCs w:val="22"/>
        </w:rPr>
        <w:t>₀</w:t>
      </w:r>
      <w:r w:rsidRPr="001B2B66">
        <w:rPr>
          <w:rFonts w:ascii="Arial" w:hAnsi="Arial" w:cs="Arial"/>
          <w:b w:val="0"/>
          <w:bCs/>
          <w:caps w:val="0"/>
          <w:sz w:val="20"/>
          <w:szCs w:val="22"/>
        </w:rPr>
        <w:t>) in the testing process indicates that the cem is the appropriate model since it claims that there are no significant individual effects across observational units.  On the other hand, the alternative hypothesis (h</w:t>
      </w:r>
      <w:r w:rsidRPr="001B2B66">
        <w:rPr>
          <w:rFonts w:ascii="Cambria Math" w:hAnsi="Cambria Math" w:cs="Cambria Math"/>
          <w:b w:val="0"/>
          <w:bCs/>
          <w:caps w:val="0"/>
          <w:sz w:val="20"/>
          <w:szCs w:val="22"/>
        </w:rPr>
        <w:t>₁</w:t>
      </w:r>
      <w:r w:rsidRPr="001B2B66">
        <w:rPr>
          <w:rFonts w:ascii="Arial" w:hAnsi="Arial" w:cs="Arial"/>
          <w:b w:val="0"/>
          <w:bCs/>
          <w:caps w:val="0"/>
          <w:sz w:val="20"/>
          <w:szCs w:val="22"/>
        </w:rPr>
        <w:t>) indicates that the fem offers a better fit to the data since it implies that at least one individual effect differs significantly.  This test assists in making sure that the regression analysis appropriately accounts for unobserved heterogeneity</w:t>
      </w:r>
      <w:r w:rsidR="00E52AC5" w:rsidRPr="00127C07">
        <w:rPr>
          <w:rFonts w:ascii="Arial" w:hAnsi="Arial" w:cs="Arial"/>
          <w:b w:val="0"/>
          <w:bCs/>
          <w:caps w:val="0"/>
          <w:sz w:val="20"/>
          <w:szCs w:val="22"/>
        </w:rPr>
        <w:t xml:space="preserve"> </w:t>
      </w:r>
      <w:r w:rsidR="00E52AC5" w:rsidRPr="00127C07">
        <w:rPr>
          <w:rFonts w:ascii="Arial" w:hAnsi="Arial" w:cs="Arial"/>
          <w:b w:val="0"/>
          <w:bCs/>
          <w:caps w:val="0"/>
          <w:sz w:val="20"/>
          <w:szCs w:val="22"/>
        </w:rPr>
        <w:fldChar w:fldCharType="begin" w:fldLock="1"/>
      </w:r>
      <w:r w:rsidR="00E52AC5" w:rsidRPr="00127C07">
        <w:rPr>
          <w:rFonts w:ascii="Arial" w:hAnsi="Arial" w:cs="Arial"/>
          <w:b w:val="0"/>
          <w:bCs/>
          <w:caps w:val="0"/>
          <w:sz w:val="20"/>
          <w:szCs w:val="22"/>
        </w:rPr>
        <w:instrText>ADDIN CSL_CITATION {"citationItems":[{"id":"ITEM-1","itemData":{"abstract":"The estimation in the regression analysis with cross section data is done by estimating the least squares method called Ordinary Least Square (OLS). Regression Method Data Panel will give the result of estimation which is Best Linear Unbiased Estimation (BLUE). Data Panel Regression is a combination of cross section data and time series, where the same unit cross section is measured at different times. So in other words, panel data is data from some of the same individuals observed in a certain period of time. If we have T time periods (t = 1,2, ..., T) and N the number of individuals (i = 1,2, ..., N), then with panel data we will have total observation units of N x T. If sum unit time is the same for each individual, then the data is called balanced panel. If instead, the number of time units is different for each individual, then it is called the unbalanced panel. While other data types, namely:time-series data and cross-section. In time series, one or more variables will be observed on one observation unit within a certain time frame. While data cross-section is the observation of several units of observation in a single point of time. Unlike the usual regression, panel data regression must go through the precise estimation modeling step. SEE ALSO : Zulfikar, R., &amp; Mayvita, P. A. (2017). THE EFFECTS OF POLITICAL EVENTS AGAINST ABNORMAL RETURN AND TOTAL VOLUME SHARIA SHARES ACTIVITY THAT LISTED IN JAKARTA ISLAMIC INDEX (JII). JEMA: Jurnal Ilmiah Bidang Akuntansi dan Manajemen, 14(02), 64-74. Zulfikar, R., &amp; AdeMayvita, P. (2017). Pengujian Metode Fuzzy Time Series Chen dan Hsu Untuk Meramalkan Nilai Indeks Bursa Saham Syariah Di Jakarta Islamic Index (JII). Wiga: Jurnal Penelitian Ilmu Ekonomi, 7(2), 108-124.","author":[{"dropping-particle":"","family":"Zulfikar","given":"Rizka","non-dropping-particle":"","parse-names":false,"suffix":""}],"container-title":"Jurnal Ilmiah Bidang Akuntansi","id":"ITEM-1","issued":{"date-parts":[["2018"]]},"page":"1-18","title":"Estimation Model And Selection Method Of Panel Data Regression: An Overview Of Common Effect, Fixed Effect, And Random Effect Model","type":"article-journal"},"uris":["http://www.mendeley.com/documents/?uuid=c4b4e051-f158-43d2-8645-3bede4d305b9"]},{"id":"ITEM-2","itemData":{"author":[{"dropping-particle":"","family":"Bertiani","given":"Marsela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(Bimaster)","id":"ITEM-2","issue":"1","issued":{"date-parts":[["2024"]]},"page":"1-8","title":"Penerapan Model Regresi Unbalanced Panels Dengan Metode Feasible Generalized Least Square (Fgls)","type":"article-journal","volume":"13"},"uris":["http://www.mendeley.com/documents/?uuid=8ee88e16-1426-4e59-913a-73dacf1363fc"]}],"mendeley":{"formattedCitation":"(Bertiani et al., 2024; Zulfikar, 2018)","plainTextFormattedCitation":"(Bertiani et al., 2024; Zulfikar, 2018)","previouslyFormattedCitation":"(Bertiani et al., 2024; Zulfikar, 2018)"},"properties":{"noteIndex":0},"schema":"https://github.com/citation-style-language/schema/raw/master/csl-citation.json"}</w:instrText>
      </w:r>
      <w:r w:rsidR="00E52AC5" w:rsidRPr="00127C07">
        <w:rPr>
          <w:rFonts w:ascii="Arial" w:hAnsi="Arial" w:cs="Arial"/>
          <w:b w:val="0"/>
          <w:bCs/>
          <w:caps w:val="0"/>
          <w:sz w:val="20"/>
          <w:szCs w:val="22"/>
        </w:rPr>
        <w:fldChar w:fldCharType="separate"/>
      </w:r>
      <w:r w:rsidR="00E52AC5" w:rsidRPr="00127C07">
        <w:rPr>
          <w:rFonts w:ascii="Arial" w:hAnsi="Arial" w:cs="Arial"/>
          <w:b w:val="0"/>
          <w:bCs/>
          <w:caps w:val="0"/>
          <w:noProof/>
          <w:sz w:val="20"/>
          <w:szCs w:val="22"/>
        </w:rPr>
        <w:t>(Bertiani et al., 2024; Zulfikar, 2018)</w:t>
      </w:r>
      <w:r w:rsidR="00E52AC5" w:rsidRPr="00127C07">
        <w:rPr>
          <w:rFonts w:ascii="Arial" w:hAnsi="Arial" w:cs="Arial"/>
          <w:b w:val="0"/>
          <w:bCs/>
          <w:caps w:val="0"/>
          <w:sz w:val="20"/>
          <w:szCs w:val="22"/>
        </w:rPr>
        <w:fldChar w:fldCharType="end"/>
      </w:r>
      <w:r w:rsidR="00E52AC5" w:rsidRPr="00127C07">
        <w:rPr>
          <w:rFonts w:ascii="Arial" w:hAnsi="Arial" w:cs="Arial"/>
          <w:b w:val="0"/>
          <w:bCs/>
          <w:caps w:val="0"/>
          <w:sz w:val="20"/>
          <w:szCs w:val="22"/>
        </w:rPr>
        <w:t>.</w:t>
      </w:r>
    </w:p>
    <w:p w14:paraId="1C7106C2" w14:textId="29CC6056" w:rsidR="00E52AC5" w:rsidRPr="0028648F" w:rsidRDefault="00E52AC5" w:rsidP="00142BC0">
      <w:pPr>
        <w:pStyle w:val="AbstHead"/>
        <w:spacing w:after="0"/>
        <w:jc w:val="both"/>
        <w:rPr>
          <w:rFonts w:ascii="Arial" w:hAnsi="Arial" w:cs="Arial"/>
          <w:caps w:val="0"/>
          <w:sz w:val="20"/>
          <w:szCs w:val="18"/>
        </w:rPr>
      </w:pPr>
      <w:r w:rsidRPr="00127C07">
        <w:rPr>
          <w:rFonts w:ascii="Arial" w:hAnsi="Arial" w:cs="Arial"/>
          <w:sz w:val="20"/>
          <w:szCs w:val="18"/>
        </w:rPr>
        <w:t>2.2.2 H</w:t>
      </w:r>
      <w:r w:rsidRPr="00127C07">
        <w:rPr>
          <w:rFonts w:ascii="Arial" w:hAnsi="Arial" w:cs="Arial"/>
          <w:caps w:val="0"/>
          <w:sz w:val="20"/>
          <w:szCs w:val="18"/>
        </w:rPr>
        <w:t>ausman Test</w:t>
      </w:r>
    </w:p>
    <w:p w14:paraId="6FEC8519" w14:textId="007F4CB3" w:rsidR="00E52AC5" w:rsidRPr="00127C07" w:rsidRDefault="001B2B66" w:rsidP="00142BC0">
      <w:pPr>
        <w:pStyle w:val="AbstHead"/>
        <w:spacing w:after="0"/>
        <w:ind w:firstLine="360"/>
        <w:jc w:val="both"/>
        <w:rPr>
          <w:rFonts w:ascii="Arial" w:hAnsi="Arial" w:cs="Arial"/>
          <w:b w:val="0"/>
          <w:bCs/>
          <w:caps w:val="0"/>
          <w:sz w:val="20"/>
          <w:szCs w:val="18"/>
        </w:rPr>
      </w:pPr>
      <w:r w:rsidRPr="001B2B66">
        <w:rPr>
          <w:rFonts w:ascii="Arial" w:hAnsi="Arial" w:cs="Arial"/>
          <w:b w:val="0"/>
          <w:bCs/>
          <w:caps w:val="0"/>
          <w:sz w:val="20"/>
          <w:szCs w:val="18"/>
        </w:rPr>
        <w:t>When the FEM is determined to be better than the CEM, this test is carried out.  Its goal is to identify the more consistent model between REM and fem.  According to the null hypothesis (h</w:t>
      </w:r>
      <w:r w:rsidRPr="001B2B66">
        <w:rPr>
          <w:rFonts w:ascii="Cambria Math" w:hAnsi="Cambria Math" w:cs="Cambria Math"/>
          <w:b w:val="0"/>
          <w:bCs/>
          <w:caps w:val="0"/>
          <w:sz w:val="20"/>
          <w:szCs w:val="18"/>
        </w:rPr>
        <w:t>₀</w:t>
      </w:r>
      <w:r w:rsidRPr="001B2B66">
        <w:rPr>
          <w:rFonts w:ascii="Arial" w:hAnsi="Arial" w:cs="Arial"/>
          <w:b w:val="0"/>
          <w:bCs/>
          <w:caps w:val="0"/>
          <w:sz w:val="20"/>
          <w:szCs w:val="18"/>
        </w:rPr>
        <w:t>), the independent variables (regressors) and the error term do not correlate, suggesting that the rem yields reliable and effective estimates.  The FEM is more suitable, according to the alternative hypothesis (h</w:t>
      </w:r>
      <w:r w:rsidRPr="001B2B66">
        <w:rPr>
          <w:rFonts w:ascii="Cambria Math" w:hAnsi="Cambria Math" w:cs="Cambria Math"/>
          <w:b w:val="0"/>
          <w:bCs/>
          <w:caps w:val="0"/>
          <w:sz w:val="20"/>
          <w:szCs w:val="18"/>
        </w:rPr>
        <w:t>₁</w:t>
      </w:r>
      <w:r w:rsidRPr="001B2B66">
        <w:rPr>
          <w:rFonts w:ascii="Arial" w:hAnsi="Arial" w:cs="Arial"/>
          <w:b w:val="0"/>
          <w:bCs/>
          <w:caps w:val="0"/>
          <w:sz w:val="20"/>
          <w:szCs w:val="18"/>
        </w:rPr>
        <w:t>), which asserts that there is a correlation between the regressors and the error term.  The Hausman test, which directs the selection of the most dependable model for panel data estimate, is commonly used for this comparison</w:t>
      </w:r>
      <w:r w:rsidR="00E52AC5" w:rsidRPr="00127C07">
        <w:rPr>
          <w:rFonts w:ascii="Arial" w:hAnsi="Arial" w:cs="Arial"/>
          <w:b w:val="0"/>
          <w:bCs/>
          <w:caps w:val="0"/>
          <w:sz w:val="20"/>
          <w:szCs w:val="18"/>
        </w:rPr>
        <w:t xml:space="preserve"> </w:t>
      </w:r>
      <w:r w:rsidR="00E52AC5" w:rsidRPr="00127C07">
        <w:rPr>
          <w:rFonts w:ascii="Arial" w:hAnsi="Arial" w:cs="Arial"/>
          <w:b w:val="0"/>
          <w:bCs/>
          <w:caps w:val="0"/>
          <w:sz w:val="20"/>
          <w:szCs w:val="22"/>
        </w:rPr>
        <w:fldChar w:fldCharType="begin" w:fldLock="1"/>
      </w:r>
      <w:r w:rsidR="00E52AC5" w:rsidRPr="00127C07">
        <w:rPr>
          <w:rFonts w:ascii="Arial" w:hAnsi="Arial" w:cs="Arial"/>
          <w:b w:val="0"/>
          <w:bCs/>
          <w:caps w:val="0"/>
          <w:sz w:val="20"/>
          <w:szCs w:val="22"/>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(Fgls)","type":"article-journal","volume":"13"},"uris":["http://www.mendeley.com/documents/?uuid=8ee88e16-1426-4e59-913a-73dacf1363fc"]},{"id":"ITEM-2","itemData":{"abstract":"The estimation in the regression analysis with cross section data is done by estimating the least squares method called Ordinary Least Square (OLS). Regression Method Data Panel will give the result of estimation which is Best Linear Unbiased Estimation (BLUE). Data Panel Regression is a combination of cross section data and time series, where the same unit cross section is measured at different times. So in other words, panel data is data from some of the same individuals observed in a certain period of time. If we have T time periods (t = 1,2, ..., T) and N the number of individuals (i = 1,2, ..., N), then with panel data we will have total observation units of N x T. If sum unit time is the same for each individual, then the data is called balanced panel. If instead, the number of time units is different for each individual, then it is called the unbalanced panel. While other data types, namely:time-series data and cross-section. In time series, one or more variables will be observed on one observation unit within a certain time frame. While data cross-section is the observation of several units of observation in a single point of time. Unlike the usual regression, panel data regression must go through the precise estimation modeling step. SEE ALSO : Zulfikar, R., &amp; Mayvita, P. A. (2017). THE EFFECTS OF POLITICAL EVENTS AGAINST ABNORMAL RETURN AND TOTAL VOLUME SHARIA SHARES ACTIVITY THAT LISTED IN JAKARTA ISLAMIC INDEX (JII). JEMA: Jurnal Ilmiah Bidang Akuntansi dan Manajemen, 14(02), 64-74. Zulfikar, R., &amp; AdeMayvita, P. (2017). Pengujian Metode Fuzzy Time Series Chen dan Hsu Untuk Meramalkan Nilai Indeks Bursa Saham Syariah Di Jakarta Islamic Index (JII). Wiga: Jurnal Penelitian Ilmu Ekonomi, 7(2), 108-124.","author":[{"dropping-particle":"","family":"Zulfikar","given":"Rizka","non-dropping-particle":"","parse-names":false,"suffix":""}],"container-title":"Jurnal Ilmiah Bidang Akuntansi","id":"ITEM-2","issued":{"date-parts":[["2018"]]},"page":"1-18","title":"Estimation Model And Selection Method Of Panel Data Regression: An Overview Of Common Effect, Fixed Effect, And Random Effect Model","type":"article-journal"},"uris":["http://www.mendeley.com/documents/?uuid=c4b4e051-f158-43d2-8645-3bede4d305b9"]}],"mendeley":{"formattedCitation":"(Bertiani et al., 2024; Zulfikar, 2018)","plainTextFormattedCitation":"(Bertiani et al., 2024; Zulfikar, 2018)","previouslyFormattedCitation":"(Bertiani et al., 2024; Zulfikar, 2018)"},"properties":{"noteIndex":0},"schema":"https://github.com/citation-style-language/schema/raw/master/csl-citation.json"}</w:instrText>
      </w:r>
      <w:r w:rsidR="00E52AC5" w:rsidRPr="00127C07">
        <w:rPr>
          <w:rFonts w:ascii="Arial" w:hAnsi="Arial" w:cs="Arial"/>
          <w:b w:val="0"/>
          <w:bCs/>
          <w:caps w:val="0"/>
          <w:sz w:val="20"/>
          <w:szCs w:val="22"/>
        </w:rPr>
        <w:fldChar w:fldCharType="separate"/>
      </w:r>
      <w:r w:rsidR="00E52AC5" w:rsidRPr="00127C07">
        <w:rPr>
          <w:rFonts w:ascii="Arial" w:hAnsi="Arial" w:cs="Arial"/>
          <w:b w:val="0"/>
          <w:bCs/>
          <w:caps w:val="0"/>
          <w:noProof/>
          <w:sz w:val="20"/>
          <w:szCs w:val="22"/>
        </w:rPr>
        <w:t>(Bertiani et al., 2024; Zulfikar, 2018)</w:t>
      </w:r>
      <w:r w:rsidR="00E52AC5" w:rsidRPr="00127C07">
        <w:rPr>
          <w:rFonts w:ascii="Arial" w:hAnsi="Arial" w:cs="Arial"/>
          <w:b w:val="0"/>
          <w:bCs/>
          <w:caps w:val="0"/>
          <w:sz w:val="20"/>
          <w:szCs w:val="22"/>
        </w:rPr>
        <w:fldChar w:fldCharType="end"/>
      </w:r>
      <w:r w:rsidR="00E52AC5" w:rsidRPr="00127C07">
        <w:rPr>
          <w:rFonts w:ascii="Arial" w:hAnsi="Arial" w:cs="Arial"/>
          <w:b w:val="0"/>
          <w:bCs/>
          <w:caps w:val="0"/>
          <w:sz w:val="20"/>
          <w:szCs w:val="18"/>
        </w:rPr>
        <w:t>.</w:t>
      </w:r>
    </w:p>
    <w:p w14:paraId="25E85838" w14:textId="20989F68" w:rsidR="00E52AC5" w:rsidRPr="0028648F"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2.2.3 Lagrange Multiplier Test</w:t>
      </w:r>
    </w:p>
    <w:p w14:paraId="5D8D1417" w14:textId="20996E51" w:rsidR="00E52AC5" w:rsidRPr="00127C07" w:rsidRDefault="001B2B66" w:rsidP="00142BC0">
      <w:pPr>
        <w:pStyle w:val="AbstHead"/>
        <w:spacing w:after="0"/>
        <w:ind w:firstLine="720"/>
        <w:jc w:val="both"/>
        <w:rPr>
          <w:rFonts w:ascii="Arial" w:hAnsi="Arial" w:cs="Arial"/>
          <w:b w:val="0"/>
          <w:bCs/>
          <w:sz w:val="18"/>
          <w:szCs w:val="16"/>
        </w:rPr>
      </w:pPr>
      <w:r w:rsidRPr="001B2B66">
        <w:rPr>
          <w:rFonts w:ascii="Arial" w:hAnsi="Arial" w:cs="Arial"/>
          <w:b w:val="0"/>
          <w:bCs/>
          <w:caps w:val="0"/>
          <w:sz w:val="20"/>
          <w:szCs w:val="22"/>
        </w:rPr>
        <w:t>When the Chow test suggests that CEM is more suited, this test is used.  Comparing the suitability of CEM and REM is the aim of this test.  The cem is the proper model since the null hypothesis (h</w:t>
      </w:r>
      <w:r w:rsidRPr="001B2B66">
        <w:rPr>
          <w:rFonts w:ascii="Cambria Math" w:hAnsi="Cambria Math" w:cs="Cambria Math"/>
          <w:b w:val="0"/>
          <w:bCs/>
          <w:caps w:val="0"/>
          <w:sz w:val="20"/>
          <w:szCs w:val="22"/>
        </w:rPr>
        <w:t>₀</w:t>
      </w:r>
      <w:r w:rsidRPr="001B2B66">
        <w:rPr>
          <w:rFonts w:ascii="Arial" w:hAnsi="Arial" w:cs="Arial"/>
          <w:b w:val="0"/>
          <w:bCs/>
          <w:caps w:val="0"/>
          <w:sz w:val="20"/>
          <w:szCs w:val="22"/>
        </w:rPr>
        <w:t>) asserts that there are no significant panel effects.  However, the presence of strong panel effects is suggested by the alternative hypothesis (h</w:t>
      </w:r>
      <w:r w:rsidRPr="001B2B66">
        <w:rPr>
          <w:rFonts w:ascii="Cambria Math" w:hAnsi="Cambria Math" w:cs="Cambria Math"/>
          <w:b w:val="0"/>
          <w:bCs/>
          <w:caps w:val="0"/>
          <w:sz w:val="20"/>
          <w:szCs w:val="22"/>
        </w:rPr>
        <w:t>₁</w:t>
      </w:r>
      <w:r w:rsidRPr="001B2B66">
        <w:rPr>
          <w:rFonts w:ascii="Arial" w:hAnsi="Arial" w:cs="Arial"/>
          <w:b w:val="0"/>
          <w:bCs/>
          <w:caps w:val="0"/>
          <w:sz w:val="20"/>
          <w:szCs w:val="22"/>
        </w:rPr>
        <w:t>), suggesting that the rem is more appropriate for the data</w:t>
      </w:r>
      <w:r w:rsidR="00E52AC5" w:rsidRPr="00127C07">
        <w:rPr>
          <w:rFonts w:ascii="Arial" w:hAnsi="Arial" w:cs="Arial"/>
          <w:b w:val="0"/>
          <w:bCs/>
          <w:caps w:val="0"/>
          <w:sz w:val="20"/>
          <w:szCs w:val="22"/>
        </w:rPr>
        <w:t xml:space="preserve">. This test is commonly conducted using the </w:t>
      </w:r>
      <w:proofErr w:type="spellStart"/>
      <w:r w:rsidR="00E52AC5" w:rsidRPr="00127C07">
        <w:rPr>
          <w:rFonts w:ascii="Arial" w:hAnsi="Arial" w:cs="Arial"/>
          <w:b w:val="0"/>
          <w:bCs/>
          <w:caps w:val="0"/>
          <w:sz w:val="20"/>
          <w:szCs w:val="22"/>
        </w:rPr>
        <w:t>breusch</w:t>
      </w:r>
      <w:proofErr w:type="spellEnd"/>
      <w:r w:rsidR="00E52AC5" w:rsidRPr="00127C07">
        <w:rPr>
          <w:rFonts w:ascii="Arial" w:hAnsi="Arial" w:cs="Arial"/>
          <w:b w:val="0"/>
          <w:bCs/>
          <w:caps w:val="0"/>
          <w:sz w:val="20"/>
          <w:szCs w:val="22"/>
        </w:rPr>
        <w:t xml:space="preserve">-pagan </w:t>
      </w:r>
      <w:proofErr w:type="spellStart"/>
      <w:r w:rsidR="00E52AC5" w:rsidRPr="00127C07">
        <w:rPr>
          <w:rFonts w:ascii="Arial" w:hAnsi="Arial" w:cs="Arial"/>
          <w:b w:val="0"/>
          <w:bCs/>
          <w:caps w:val="0"/>
          <w:sz w:val="20"/>
          <w:szCs w:val="22"/>
        </w:rPr>
        <w:t>lagrange</w:t>
      </w:r>
      <w:proofErr w:type="spellEnd"/>
      <w:r w:rsidR="00E52AC5" w:rsidRPr="00127C07">
        <w:rPr>
          <w:rFonts w:ascii="Arial" w:hAnsi="Arial" w:cs="Arial"/>
          <w:b w:val="0"/>
          <w:bCs/>
          <w:caps w:val="0"/>
          <w:sz w:val="20"/>
          <w:szCs w:val="22"/>
        </w:rPr>
        <w:t xml:space="preserve"> multiplier (</w:t>
      </w:r>
      <w:r w:rsidR="00127C07">
        <w:rPr>
          <w:rFonts w:ascii="Arial" w:hAnsi="Arial" w:cs="Arial"/>
          <w:b w:val="0"/>
          <w:bCs/>
          <w:caps w:val="0"/>
          <w:sz w:val="20"/>
          <w:szCs w:val="22"/>
        </w:rPr>
        <w:t>LM</w:t>
      </w:r>
      <w:r w:rsidR="00E52AC5" w:rsidRPr="00127C07">
        <w:rPr>
          <w:rFonts w:ascii="Arial" w:hAnsi="Arial" w:cs="Arial"/>
          <w:b w:val="0"/>
          <w:bCs/>
          <w:caps w:val="0"/>
          <w:sz w:val="20"/>
          <w:szCs w:val="22"/>
        </w:rPr>
        <w:t xml:space="preserve">) test, which helps determine whether the random effects structure in rem provides a better fit compared to the simpler pooled regression model </w:t>
      </w:r>
      <w:r w:rsidR="00E52AC5" w:rsidRPr="00127C07">
        <w:rPr>
          <w:rFonts w:ascii="Arial" w:hAnsi="Arial" w:cs="Arial"/>
          <w:b w:val="0"/>
          <w:bCs/>
          <w:caps w:val="0"/>
          <w:sz w:val="20"/>
          <w:szCs w:val="22"/>
        </w:rPr>
        <w:fldChar w:fldCharType="begin" w:fldLock="1"/>
      </w:r>
      <w:r w:rsidR="00E52AC5" w:rsidRPr="00127C07">
        <w:rPr>
          <w:rFonts w:ascii="Arial" w:hAnsi="Arial" w:cs="Arial"/>
          <w:b w:val="0"/>
          <w:bCs/>
          <w:caps w:val="0"/>
          <w:sz w:val="20"/>
          <w:szCs w:val="22"/>
        </w:rPr>
        <w:instrText>ADDIN CSL_CITATION {"citationItems":[{"id":"ITEM-1","itemData":{"author":[{"dropping-particle":"","family":"Bertiani","given":"Marsela Dian","non-dropping-particle":"","parse-names":false,"suffix":""},{"dropping-particle":"","family":"Debataraja","given":"Naomi Nessyana","non-dropping-particle":"","parse-names":false,"suffix":""},{"dropping-particle":"","family":"Imro'ah","given":"Nurfitri","non-dropping-particle":"","parse-names":false,"suffix":""}],"container-title":"Buletin Ilmiah Math. Stat. dan Terapannya (Bimaster)","id":"ITEM-1","issue":"1","issued":{"date-parts":[["2024"]]},"page":"1-8","title":"Penerapan Model Regresi Unbalanced Panels Dengan Metode Feasible Generalized Least Square (Fgls)","type":"article-journal","volume":"13"},"uris":["http://www.mendeley.com/documents/?uuid=8ee88e16-1426-4e59-913a-73dacf1363fc"]},{"id":"ITEM-2","itemData":{"abstract":"The estimation in the regression analysis with cross section data is done by estimating the least squares method called Ordinary Least Square (OLS). Regression Method Data Panel will give the result of estimation which is Best Linear Unbiased Estimation (BLUE). Data Panel Regression is a combination of cross section data and time series, where the same unit cross section is measured at different times. So in other words, panel data is data from some of the same individuals observed in a certain period of time. If we have T time periods (t = 1,2, ..., T) and N the number of individuals (i = 1,2, ..., N), then with panel data we will have total observation units of N x T. If sum unit time is the same for each individual, then the data is called balanced panel. If instead, the number of time units is different for each individual, then it is called the unbalanced panel. While other data types, namely:time-series data and cross-section. In time series, one or more variables will be observed on one observation unit within a certain time frame. While data cross-section is the observation of several units of observation in a single point of time. Unlike the usual regression, panel data regression must go through the precise estimation modeling step. SEE ALSO : Zulfikar, R., &amp; Mayvita, P. A. (2017). THE EFFECTS OF POLITICAL EVENTS AGAINST ABNORMAL RETURN AND TOTAL VOLUME SHARIA SHARES ACTIVITY THAT LISTED IN JAKARTA ISLAMIC INDEX (JII). JEMA: Jurnal Ilmiah Bidang Akuntansi dan Manajemen, 14(02), 64-74. Zulfikar, R., &amp; AdeMayvita, P. (2017). Pengujian Metode Fuzzy Time Series Chen dan Hsu Untuk Meramalkan Nilai Indeks Bursa Saham Syariah Di Jakarta Islamic Index (JII). Wiga: Jurnal Penelitian Ilmu Ekonomi, 7(2), 108-124.","author":[{"dropping-particle":"","family":"Zulfikar","given":"Rizka","non-dropping-particle":"","parse-names":false,"suffix":""}],"container-title":"Jurnal Ilmiah Bidang Akuntansi","id":"ITEM-2","issued":{"date-parts":[["2018"]]},"page":"1-18","title":"Estimation Model And Selection Method Of Panel Data Regression: An Overview Of Common Effect, Fixed Effect, And Random Effect Model","type":"article-journal"},"uris":["http://www.mendeley.com/documents/?uuid=c4b4e051-f158-43d2-8645-3bede4d305b9"]}],"mendeley":{"formattedCitation":"(Bertiani et al., 2024; Zulfikar, 2018)","plainTextFormattedCitation":"(Bertiani et al., 2024; Zulfikar, 2018)","previouslyFormattedCitation":"(Bertiani et al., 2024; Zulfikar, 2018)"},"properties":{"noteIndex":0},"schema":"https://github.com/citation-style-language/schema/raw/master/csl-citation.json"}</w:instrText>
      </w:r>
      <w:r w:rsidR="00E52AC5" w:rsidRPr="00127C07">
        <w:rPr>
          <w:rFonts w:ascii="Arial" w:hAnsi="Arial" w:cs="Arial"/>
          <w:b w:val="0"/>
          <w:bCs/>
          <w:caps w:val="0"/>
          <w:sz w:val="20"/>
          <w:szCs w:val="22"/>
        </w:rPr>
        <w:fldChar w:fldCharType="separate"/>
      </w:r>
      <w:r w:rsidR="00E52AC5" w:rsidRPr="00127C07">
        <w:rPr>
          <w:rFonts w:ascii="Arial" w:hAnsi="Arial" w:cs="Arial"/>
          <w:b w:val="0"/>
          <w:bCs/>
          <w:caps w:val="0"/>
          <w:noProof/>
          <w:sz w:val="20"/>
          <w:szCs w:val="22"/>
        </w:rPr>
        <w:t>(Bertiani et al., 2024; Zulfikar, 2018)</w:t>
      </w:r>
      <w:r w:rsidR="00E52AC5" w:rsidRPr="00127C07">
        <w:rPr>
          <w:rFonts w:ascii="Arial" w:hAnsi="Arial" w:cs="Arial"/>
          <w:b w:val="0"/>
          <w:bCs/>
          <w:caps w:val="0"/>
          <w:sz w:val="20"/>
          <w:szCs w:val="22"/>
        </w:rPr>
        <w:fldChar w:fldCharType="end"/>
      </w:r>
      <w:r w:rsidR="00E52AC5" w:rsidRPr="00127C07">
        <w:rPr>
          <w:rFonts w:ascii="Arial" w:hAnsi="Arial" w:cs="Arial"/>
          <w:b w:val="0"/>
          <w:bCs/>
          <w:caps w:val="0"/>
          <w:sz w:val="20"/>
          <w:szCs w:val="22"/>
        </w:rPr>
        <w:t>.</w:t>
      </w:r>
    </w:p>
    <w:p w14:paraId="08489598" w14:textId="77777777" w:rsidR="00E52AC5" w:rsidRPr="00127C07" w:rsidRDefault="00E52AC5" w:rsidP="00142BC0">
      <w:pPr>
        <w:pStyle w:val="AbstHead"/>
        <w:spacing w:after="0"/>
        <w:ind w:left="720"/>
        <w:jc w:val="both"/>
        <w:rPr>
          <w:rFonts w:ascii="Arial" w:hAnsi="Arial" w:cs="Arial"/>
          <w:b w:val="0"/>
          <w:bCs/>
          <w:sz w:val="20"/>
          <w:szCs w:val="18"/>
        </w:rPr>
      </w:pPr>
    </w:p>
    <w:p w14:paraId="639F9686" w14:textId="77777777" w:rsidR="00E52AC5" w:rsidRPr="00127C07" w:rsidRDefault="00E52AC5" w:rsidP="00142BC0">
      <w:pPr>
        <w:pStyle w:val="AbstHead"/>
        <w:spacing w:after="0"/>
        <w:jc w:val="both"/>
        <w:rPr>
          <w:rFonts w:ascii="Arial" w:hAnsi="Arial" w:cs="Arial"/>
        </w:rPr>
      </w:pPr>
      <w:r w:rsidRPr="00127C07">
        <w:rPr>
          <w:rFonts w:ascii="Arial" w:hAnsi="Arial" w:cs="Arial"/>
        </w:rPr>
        <w:t>2.</w:t>
      </w:r>
      <w:r w:rsidRPr="00127C07">
        <w:rPr>
          <w:rFonts w:ascii="Arial" w:hAnsi="Arial" w:cs="Arial"/>
          <w:caps w:val="0"/>
        </w:rPr>
        <w:t>3 Classical Assumption Test</w:t>
      </w:r>
    </w:p>
    <w:p w14:paraId="7C5E7642" w14:textId="7C7627C8" w:rsidR="00E52AC5" w:rsidRPr="00127C07" w:rsidRDefault="00E52AC5" w:rsidP="00142BC0">
      <w:pPr>
        <w:pStyle w:val="AbstHead"/>
        <w:spacing w:after="0"/>
        <w:jc w:val="both"/>
        <w:rPr>
          <w:rFonts w:ascii="Arial" w:hAnsi="Arial" w:cs="Arial"/>
          <w:b w:val="0"/>
          <w:bCs/>
          <w:caps w:val="0"/>
          <w:noProof/>
          <w:sz w:val="20"/>
          <w:szCs w:val="18"/>
          <w:lang w:val="nb-NO"/>
        </w:rPr>
      </w:pPr>
      <w:r w:rsidRPr="00127C07">
        <w:rPr>
          <w:rFonts w:ascii="Arial" w:hAnsi="Arial" w:cs="Arial"/>
          <w:b w:val="0"/>
          <w:bCs/>
          <w:sz w:val="20"/>
          <w:szCs w:val="18"/>
        </w:rPr>
        <w:tab/>
      </w:r>
      <w:r w:rsidR="001B2B66" w:rsidRPr="001B2B66">
        <w:rPr>
          <w:rFonts w:ascii="Arial" w:hAnsi="Arial" w:cs="Arial"/>
          <w:b w:val="0"/>
          <w:bCs/>
          <w:caps w:val="0"/>
          <w:sz w:val="20"/>
          <w:szCs w:val="18"/>
        </w:rPr>
        <w:t>Several classical assumption tests, like as linearity, normalcy, multicollinearity, heteroskedasticity, and autocorrelation, are widely accepted in linear regression utilizing the OLS approach.  Not every regression model type requires all of these tests, though.  For example, because linear regression implies a linear connection between variables by nature, the linearity test is frequently skipped.  Additionally, getting Best Linear Unbiased Estimator (BLUE) qualities does not strictly need passing the normalcy test.</w:t>
      </w:r>
      <w:r w:rsidR="001B2B66">
        <w:rPr>
          <w:rFonts w:ascii="Arial" w:hAnsi="Arial" w:cs="Arial"/>
          <w:b w:val="0"/>
          <w:bCs/>
          <w:caps w:val="0"/>
          <w:sz w:val="20"/>
          <w:szCs w:val="18"/>
        </w:rPr>
        <w:t xml:space="preserve"> </w:t>
      </w:r>
      <w:r w:rsidRPr="00127C07">
        <w:rPr>
          <w:rFonts w:ascii="Arial" w:hAnsi="Arial" w:cs="Arial"/>
          <w:b w:val="0"/>
          <w:bCs/>
          <w:caps w:val="0"/>
          <w:sz w:val="20"/>
          <w:szCs w:val="18"/>
        </w:rPr>
        <w:t xml:space="preserve">Multicollinearity is only relevant when there is more than one independent variable, while heteroskedasticity is more prevalent in cross-sectional data and autocorrelation is typical in time series </w:t>
      </w:r>
      <w:r w:rsidR="00BD42DC" w:rsidRPr="00127C07">
        <w:rPr>
          <w:rFonts w:ascii="Arial" w:hAnsi="Arial" w:cs="Arial"/>
          <w:b w:val="0"/>
          <w:bCs/>
          <w:caps w:val="0"/>
          <w:sz w:val="20"/>
          <w:szCs w:val="18"/>
        </w:rPr>
        <w:t>data. Specifically</w:t>
      </w:r>
      <w:r w:rsidRPr="00127C07">
        <w:rPr>
          <w:rFonts w:ascii="Arial" w:hAnsi="Arial" w:cs="Arial"/>
          <w:b w:val="0"/>
          <w:bCs/>
          <w:caps w:val="0"/>
          <w:sz w:val="20"/>
          <w:szCs w:val="18"/>
        </w:rPr>
        <w:t xml:space="preserve">, for the random effects model (REM), tests for normality, heteroskedasticity, and autocorrelation are not obligatory, as the Generalized Least Squares (GLS) method used in rem is theoretically capable of addressing potential violations of these assumptions </w:t>
      </w:r>
      <w:r w:rsidR="00D848AB" w:rsidRPr="00D848AB">
        <w:rPr>
          <w:rFonts w:ascii="Arial" w:hAnsi="Arial" w:cs="Arial"/>
          <w:b w:val="0"/>
          <w:bCs/>
          <w:caps w:val="0"/>
          <w:sz w:val="20"/>
          <w:szCs w:val="16"/>
        </w:rPr>
        <w:fldChar w:fldCharType="begin" w:fldLock="1"/>
      </w:r>
      <w:r w:rsidR="0008308B">
        <w:rPr>
          <w:rFonts w:ascii="Arial" w:hAnsi="Arial" w:cs="Arial"/>
          <w:b w:val="0"/>
          <w:bCs/>
          <w:caps w:val="0"/>
          <w:sz w:val="20"/>
          <w:szCs w:val="16"/>
        </w:rPr>
        <w:instrText>ADDIN CSL_CITATION {"citationItems":[{"id":"ITEM-1","itemData":{"ISBN":"9781136586101","author":[{"dropping-particle":"","family":"Gujarati","given":"Damodar N","non-dropping-particle":"","parse-names":false,"suffix":""},{"dropping-particle":"","family":"Porter","given":"Dawn C","non-dropping-particle":"","parse-names":false,"suffix":""}],"container-title":"Introductory Econometrics: A Practical Approach","id":"ITEM-1","issued":{"date-parts":[["2009"]]},"number-of-pages":"1-922","title":"BASIC ECONOMETRICS","type":"book"},"uris":["http://www.mendeley.com/documents/?uuid=a1ec58c9-4207-4b9f-b79e-689554f0e266","http://www.mendeley.com/documents/?uuid=b433659d-fa65-455a-b6af-0affd2a61abb"]},{"id":"ITEM-2","itemData":{"DOI":"10.29259/jep.v22i1.23095","ISSN":"1829-5843","abstract":"Microfinance Institutions (MFIs) can help reduce poverty by offering small loans to people who cannot get bank loans due to lack of collateral. However, in Indonesia, access to microfinance institutions is unequally distributed, as shown by the establishment of MFIs in Indonesia, which covers only 22 out of 34 provinces. This condition limits their impact on poverty reduction. This study examines how access to MFIs and the loans they provide affect poverty rates in Indonesia, using cross-sectional data from 22 provinces between 2016 and 2022. The results show that access to MFIs and the loans they provide do not significantly reduce poverty. This is due to poor infrastructure, low-quality MFI services, and insufficient loan amounts. The study also found that education lowers poverty, unemployment increases it, and agriculture helps reduce it. To improve poverty reduction, the government should improve infrastructure and extend MFI coverage to more provinces. Additionally, MFIs should increase their loan amounts to make a bigger impact.","author":[{"dropping-particle":"","family":"Laksmi","given":"Ni Kadek","non-dropping-particle":"","parse-names":false,"suffix":""},{"dropping-particle":"","family":"Soseco","given":"Thomas","non-dropping-particle":"","parse-names":false,"suffix":""}],"container-title":"Jurnal Ekonomi Pembangunan","id":"ITEM-2","issue":"1","issued":{"date-parts":[["2024"]]},"page":"29-40","title":"Do Multifinance Institutions Matter for Poverty Reduction? Evidence from Indonesia","type":"article-journal","volume":"22"},"uris":["http://www.mendeley.com/documents/?uuid=f76b2792-9c6f-4aff-a717-a6ee751b7c2e","http://www.mendeley.com/documents/?uuid=7112a6dc-bbc4-4cc4-8b5c-f1174c0c2919"]},{"id":"ITEM-3","itemData":{"author":[{"dropping-particle":"","family":"Hijrawati","given":"","non-dropping-particle":"","parse-names":false,"suffix":""}],"container-title":"Jurnal Matematika, Komputasi dan Statistika Volume","id":"ITEM-3","issued":{"date-parts":[["2020"]]},"page":"1-9","title":"7.+Regresi+Data+Panel+Tingkat+Kemiskinan+Sulawesi+Tenggara","type":"article-journal","volume":"2"},"uris":["http://www.mendeley.com/documents/?uuid=29bbb6e3-51f3-4dd2-abd1-0c992a7be03d","http://www.mendeley.com/documents/?uuid=68d012ff-76fa-4e54-8382-81bd55a6c70d"]},{"id":"ITEM-4","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Persada","id":"ITEM-4","issued":{"date-parts":[["2021"]]},"page":"1-161","title":"Analisis Data Panel Dalam Penelitian Ekonomi dan Bisnis","type":"article-journal"},"uris":["http://www.mendeley.com/documents/?uuid=7b1974f4-48bd-4684-b206-42defc2a0899","http://www.mendeley.com/documents/?uuid=0a2753e7-ef96-4682-8862-b0ea13e5ced9"]},{"id":"ITEM-5","itemData":{"author":[{"dropping-particle":"","family":"Runggu Basmandala Napitupulu","given":"Torang P.","non-dropping-particle":"","parse-names":false,"suffix":""},{"dropping-particle":"","family":"Simanjuntak, Lamminar Hutabarat, Hormaingat D</w:instrText>
      </w:r>
      <w:r w:rsidR="0008308B" w:rsidRPr="00D815A4">
        <w:rPr>
          <w:rFonts w:ascii="Arial" w:hAnsi="Arial" w:cs="Arial"/>
          <w:b w:val="0"/>
          <w:bCs/>
          <w:caps w:val="0"/>
          <w:sz w:val="20"/>
          <w:szCs w:val="16"/>
          <w:lang w:val="nb-NO"/>
        </w:rPr>
        <w:instrText>amanik, Hotriado Harianja, Ronnie T. M. Sirait","given":"Chainar Elly Ria","non-dropping-particle":"","parse-names":false,"suffix":""}],"container-title":"Mediatera","id":"ITEM-5","issued":{"date-parts":[["2021"]]},"page":"1-210","title":"Penelitian Bisnis Teknik dan Analisis Data dengan SPSS - STATA - EVIEWS","type":"article-journal"},"uris":["http://www.mendeley.com/documents/?uuid=e9b40122-1890-40ab-8022-eae7d49bcb51","http://www.mendeley.com/documents/?uuid=0380403e-1c1a-4443-8ee5-fc2120ac6f7c"]}],"mendeley":{"formattedCitation":"(Basuki, 2021; Gujarati &amp; Porter, 2009; Hijrawati, 2020; Laksmi &amp; Soseco, 2024; Runggu Basmandala Napitupulu &amp; Simanjuntak, Lamminar Hutabarat, Hormaingat Damanik, Hotriado Harianja, Ronnie T. M. Sirait, 2021)","manualFormatting":"(Basuki, 2021; Gujarati &amp; Porter , 2009; Laksmi &amp; Soseco, 2024; Hijrawati et al., 2020; Napitupulu et al., 2021)","plainTextFormattedCitation":"(Basuki, 2021; Gujarati &amp; Porter, 2009; Hijrawati, 2020; Laksmi &amp; Soseco, 2024; Runggu Basmandala Napitupulu &amp; Simanjuntak, Lamminar Hutabarat, Hormaingat Damanik, Hotriado Harianja, Ronnie T. M. Sirait, 2021)","previouslyFormattedCitation":"(Basuki, 2021; Damodar N. Gujarati, 2009; Hijrawati, 2020; Laksmi &amp; Soseco, 2024; Runggu Basmandala Napitupulu, Torang P. Simanjuntak, Lamminar Hutabarat, Hormaingat Damanik, Hotriado Harianja, Ronnie T. M. Sirait, 2021)"},"properties":{"noteIndex":0},"schema":"https://github.com/citation-style-language/schema/raw/master/csl-citation.json"}</w:instrText>
      </w:r>
      <w:r w:rsidR="00D848AB" w:rsidRPr="00D848AB">
        <w:rPr>
          <w:rFonts w:ascii="Arial" w:hAnsi="Arial" w:cs="Arial"/>
          <w:b w:val="0"/>
          <w:bCs/>
          <w:caps w:val="0"/>
          <w:sz w:val="20"/>
          <w:szCs w:val="16"/>
        </w:rPr>
        <w:fldChar w:fldCharType="separate"/>
      </w:r>
      <w:r w:rsidR="00D848AB" w:rsidRPr="00D848AB">
        <w:rPr>
          <w:rFonts w:ascii="Arial" w:hAnsi="Arial" w:cs="Arial"/>
          <w:b w:val="0"/>
          <w:bCs/>
          <w:caps w:val="0"/>
          <w:noProof/>
          <w:sz w:val="20"/>
          <w:szCs w:val="16"/>
          <w:lang w:val="nb-NO"/>
        </w:rPr>
        <w:t>(Basuki, 2021; Gujarati &amp; Porter , 2009; Laksmi &amp; Soseco, 2024; Hijrawati et al., 2020; Napitupulu et al., 2021)</w:t>
      </w:r>
      <w:r w:rsidR="00D848AB" w:rsidRPr="00D848AB">
        <w:rPr>
          <w:rFonts w:ascii="Arial" w:hAnsi="Arial" w:cs="Arial"/>
          <w:b w:val="0"/>
          <w:bCs/>
          <w:caps w:val="0"/>
          <w:sz w:val="20"/>
          <w:szCs w:val="16"/>
        </w:rPr>
        <w:fldChar w:fldCharType="end"/>
      </w:r>
      <w:r w:rsidR="00142BC0" w:rsidRPr="00D815A4">
        <w:rPr>
          <w:rFonts w:ascii="Arial" w:hAnsi="Arial" w:cs="Arial"/>
          <w:b w:val="0"/>
          <w:bCs/>
          <w:caps w:val="0"/>
          <w:sz w:val="20"/>
          <w:szCs w:val="16"/>
          <w:lang w:val="nb-NO"/>
        </w:rPr>
        <w:t>.</w:t>
      </w:r>
    </w:p>
    <w:p w14:paraId="4EEBAB2D" w14:textId="77777777" w:rsidR="00E52AC5" w:rsidRPr="00D815A4" w:rsidRDefault="00E52AC5" w:rsidP="00142BC0">
      <w:pPr>
        <w:pStyle w:val="AbstHead"/>
        <w:spacing w:after="0"/>
        <w:jc w:val="both"/>
        <w:rPr>
          <w:rFonts w:ascii="Arial" w:hAnsi="Arial" w:cs="Arial"/>
          <w:caps w:val="0"/>
          <w:sz w:val="20"/>
          <w:szCs w:val="18"/>
        </w:rPr>
      </w:pPr>
      <w:r w:rsidRPr="00D815A4">
        <w:rPr>
          <w:rFonts w:ascii="Arial" w:hAnsi="Arial" w:cs="Arial"/>
          <w:caps w:val="0"/>
          <w:sz w:val="20"/>
          <w:szCs w:val="18"/>
        </w:rPr>
        <w:t xml:space="preserve">2.3.1 </w:t>
      </w:r>
      <w:proofErr w:type="spellStart"/>
      <w:r w:rsidRPr="00D815A4">
        <w:rPr>
          <w:rFonts w:ascii="Arial" w:hAnsi="Arial" w:cs="Arial"/>
          <w:caps w:val="0"/>
          <w:sz w:val="20"/>
          <w:szCs w:val="18"/>
        </w:rPr>
        <w:t>Multicolinearity</w:t>
      </w:r>
      <w:proofErr w:type="spellEnd"/>
    </w:p>
    <w:p w14:paraId="4212B816" w14:textId="1A6A517D" w:rsidR="00E52AC5" w:rsidRPr="00127C07" w:rsidRDefault="00E52AC5" w:rsidP="00142BC0">
      <w:pPr>
        <w:pStyle w:val="AbstHead"/>
        <w:spacing w:after="0"/>
        <w:ind w:firstLine="720"/>
        <w:jc w:val="both"/>
        <w:rPr>
          <w:rFonts w:ascii="Arial" w:hAnsi="Arial" w:cs="Arial"/>
          <w:b w:val="0"/>
          <w:bCs/>
          <w:caps w:val="0"/>
          <w:sz w:val="20"/>
          <w:szCs w:val="18"/>
        </w:rPr>
      </w:pPr>
      <w:r w:rsidRPr="00127C07">
        <w:rPr>
          <w:rFonts w:ascii="Arial" w:hAnsi="Arial" w:cs="Arial"/>
          <w:b w:val="0"/>
          <w:bCs/>
          <w:caps w:val="0"/>
          <w:sz w:val="20"/>
          <w:szCs w:val="18"/>
        </w:rPr>
        <w:t xml:space="preserve">Multicollinearity is tested to detect strong correlations among independent variables that may bias the regression results. </w:t>
      </w:r>
      <w:r w:rsidR="001B2B66" w:rsidRPr="001B2B66">
        <w:rPr>
          <w:rFonts w:ascii="Arial" w:hAnsi="Arial" w:cs="Arial"/>
          <w:b w:val="0"/>
          <w:bCs/>
          <w:caps w:val="0"/>
          <w:sz w:val="20"/>
          <w:szCs w:val="18"/>
        </w:rPr>
        <w:t>The variance inflation factor (</w:t>
      </w:r>
      <w:r w:rsidR="001B2B66">
        <w:rPr>
          <w:rFonts w:ascii="Arial" w:hAnsi="Arial" w:cs="Arial"/>
          <w:b w:val="0"/>
          <w:bCs/>
          <w:caps w:val="0"/>
          <w:sz w:val="20"/>
          <w:szCs w:val="18"/>
        </w:rPr>
        <w:t>VIF</w:t>
      </w:r>
      <w:r w:rsidR="001B2B66" w:rsidRPr="001B2B66">
        <w:rPr>
          <w:rFonts w:ascii="Arial" w:hAnsi="Arial" w:cs="Arial"/>
          <w:b w:val="0"/>
          <w:bCs/>
          <w:caps w:val="0"/>
          <w:sz w:val="20"/>
          <w:szCs w:val="18"/>
        </w:rPr>
        <w:t xml:space="preserve">) is commonly used to </w:t>
      </w:r>
      <w:r w:rsidR="001B2B66" w:rsidRPr="001B2B66">
        <w:rPr>
          <w:rFonts w:ascii="Arial" w:hAnsi="Arial" w:cs="Arial"/>
          <w:b w:val="0"/>
          <w:bCs/>
          <w:caps w:val="0"/>
          <w:sz w:val="20"/>
          <w:szCs w:val="18"/>
        </w:rPr>
        <w:lastRenderedPageBreak/>
        <w:t xml:space="preserve">evaluate this problem; a value more than 10 suggests a possible multicollinearity issue </w:t>
      </w:r>
      <w:r w:rsidRPr="00127C07">
        <w:rPr>
          <w:rFonts w:ascii="Arial" w:hAnsi="Arial" w:cs="Arial"/>
          <w:b w:val="0"/>
          <w:bCs/>
          <w:caps w:val="0"/>
          <w:sz w:val="20"/>
          <w:szCs w:val="18"/>
        </w:rPr>
        <w:fldChar w:fldCharType="begin" w:fldLock="1"/>
      </w:r>
      <w:r w:rsidR="0008308B">
        <w:rPr>
          <w:rFonts w:ascii="Arial" w:hAnsi="Arial" w:cs="Arial"/>
          <w:b w:val="0"/>
          <w:bCs/>
          <w:caps w:val="0"/>
          <w:sz w:val="20"/>
          <w:szCs w:val="18"/>
        </w:rPr>
        <w:instrText>ADDIN CSL_CITATION {"citationItems":[{"id":"ITEM-1","itemData":{"author":[{"dropping-particle":"","family":"Henderson","given":"C R","non-dropping-particle":"","parse-names":false,"suffix":""}],"container-title":"Biometrics","id":"ITEM-1","issue":"2","issued":{"date-parts":[["1975"]]},"page":"423-447","title":"Best linear unbiased estimation and prediction under a selection model published by : international biometric society stable","type":"article-journal","volume":"31"},"uris":["http://www.mendeley.com/documents/?uuid=237f6c4c-430b-4b8b-bb62-e58289ab16dc","http://www.mendeley.com/documents/?uuid=466a6291-87cf-48c6-9afd-cdabf5ae98cf"]},{"id":"ITEM-2","itemData":{"ISBN":"9781136586101","author":[{"dropping-particle":"","family":"Gujarati","given":"Damodar N","non-dropping-particle":"","parse-names":false,"suffix":""},{"dropping-particle":"","family":"Porter","given":"Dawn C","non-dropping-particle":"","parse-names":false,"suffix":""}],"container-title":"Introductory Econometrics: A Practical Approach","id":"ITEM-2","issued":{"date-parts":[["2009"]]},"number-of-pages":"1-922","title":"BASIC ECONOMETRICS","type":"book"},"uris":["http://www.mendeley.com/documents/?uuid=b433659d-fa65-455a-b6af-0affd2a61abb","http://www.mendeley.com/documents/?uuid=a1ec58c9-4207-4b9f-b79e-689554f0e266"]},{"id":"ITEM-3","itemData":{"abstract":"Alhamdulillah,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Persada","id":"ITEM-3","issued":{"date-parts":[["2021"]]},"page":"1-161","title":"Analisis Data Panel Dalam Penelitian Ekonomi dan Bisnis","type":"article-journal"},"uris":["http://www.mendeley.com/documents/?uuid=0a2753e7-ef96-4682-8862-b0ea13e5ced9","http://www.mendeley.com/documents/?uuid=7b1974f4-48bd-4684-b206-42defc2a0899","http://www.mendeley.com/documents/?uuid=40950854-e573-4896-96af-41d79e57af4b"]},{"id":"ITEM-4","itemData":{"author":[{"dropping-particle":"","family":"Hijrawati","given":"","non-dropping-particle":"","parse-names":false,"suffix":""}],"container-title":"Jurnal Matematika, Komputasi dan Statistika Volume","id":"ITEM-4","issued":{"date-parts":[["2020"]]},"page":"1-9","title":"7.+Regresi+Data+Panel+Tingkat+Kemiskinan+Sulawesi+Tenggara","type":"article-journal","volume":"2"},"uris":["http://www.mendeley.com/documents/?uuid=68d012ff-76fa-4e54-8382-81bd55a6c70d","http://www.mendeley.com/documents/?uuid=29bbb6e3-51f3-4dd2-abd1-0c992a7be03d","http://www.mendeley.com/documents/?uuid=6a8327a8-4c61-4399-b2d1-96cdbf0f92cb"]}],"mendeley":{"formattedCitation":"(Basuki, 2021; Gujarati &amp; Porter, 2009; Henderson, 1975; Hijrawati, 2020)","plainTextFormattedCitation":"(Basuki, 2021; Gujarati &amp; Porter, 2009; Henderson, 1975; Hijrawati, 2020)","previouslyFormattedCitation":"(Basuki, 2021; Damodar N. Gujarati, 2009; Henderson, 1975; Hijrawati, 2020)"},"properties":{"noteIndex":0},"schema":"https://github.com/citation-style-language/schema/raw/master/csl-citation.json"}</w:instrText>
      </w:r>
      <w:r w:rsidRPr="00127C07">
        <w:rPr>
          <w:rFonts w:ascii="Arial" w:hAnsi="Arial" w:cs="Arial"/>
          <w:b w:val="0"/>
          <w:bCs/>
          <w:caps w:val="0"/>
          <w:sz w:val="20"/>
          <w:szCs w:val="18"/>
        </w:rPr>
        <w:fldChar w:fldCharType="separate"/>
      </w:r>
      <w:r w:rsidR="0008308B" w:rsidRPr="0008308B">
        <w:rPr>
          <w:rFonts w:ascii="Arial" w:hAnsi="Arial" w:cs="Arial"/>
          <w:b w:val="0"/>
          <w:bCs/>
          <w:caps w:val="0"/>
          <w:noProof/>
          <w:sz w:val="20"/>
          <w:szCs w:val="18"/>
        </w:rPr>
        <w:t>(Basuki, 2021; Gujarati &amp; Porter, 2009; Henderson, 1975; Hijrawati, 2020)</w:t>
      </w:r>
      <w:r w:rsidRPr="00127C07">
        <w:rPr>
          <w:rFonts w:ascii="Arial" w:hAnsi="Arial" w:cs="Arial"/>
          <w:b w:val="0"/>
          <w:bCs/>
          <w:caps w:val="0"/>
          <w:sz w:val="20"/>
          <w:szCs w:val="18"/>
        </w:rPr>
        <w:fldChar w:fldCharType="end"/>
      </w:r>
      <w:r w:rsidRPr="00127C07">
        <w:rPr>
          <w:rFonts w:ascii="Arial" w:hAnsi="Arial" w:cs="Arial"/>
          <w:b w:val="0"/>
          <w:bCs/>
          <w:caps w:val="0"/>
          <w:sz w:val="20"/>
          <w:szCs w:val="18"/>
        </w:rPr>
        <w:t>.</w:t>
      </w:r>
    </w:p>
    <w:p w14:paraId="632CFC8E"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2.3.2 Heteroscedasticity</w:t>
      </w:r>
    </w:p>
    <w:p w14:paraId="4FE1C840" w14:textId="07E79808" w:rsidR="00E52AC5" w:rsidRDefault="001B2B66" w:rsidP="00142BC0">
      <w:pPr>
        <w:pStyle w:val="AbstHead"/>
        <w:spacing w:after="0"/>
        <w:ind w:firstLine="720"/>
        <w:jc w:val="both"/>
        <w:rPr>
          <w:rFonts w:ascii="Arial" w:hAnsi="Arial" w:cs="Arial"/>
          <w:b w:val="0"/>
          <w:bCs/>
          <w:caps w:val="0"/>
          <w:sz w:val="20"/>
          <w:szCs w:val="18"/>
        </w:rPr>
      </w:pPr>
      <w:r w:rsidRPr="001B2B66">
        <w:rPr>
          <w:rFonts w:ascii="Arial" w:hAnsi="Arial" w:cs="Arial"/>
          <w:b w:val="0"/>
          <w:caps w:val="0"/>
          <w:sz w:val="20"/>
          <w:szCs w:val="18"/>
        </w:rPr>
        <w:t>In a regression model, the heteroskedasticity test determines if the variance of the residuals varies among data</w:t>
      </w:r>
      <w:r>
        <w:rPr>
          <w:rFonts w:ascii="Arial" w:hAnsi="Arial" w:cs="Arial"/>
          <w:b w:val="0"/>
          <w:caps w:val="0"/>
          <w:sz w:val="20"/>
          <w:szCs w:val="18"/>
        </w:rPr>
        <w:t>.</w:t>
      </w:r>
      <w:r w:rsidR="00E52AC5" w:rsidRPr="00127C07">
        <w:rPr>
          <w:rFonts w:ascii="Arial" w:hAnsi="Arial" w:cs="Arial"/>
          <w:b w:val="0"/>
          <w:caps w:val="0"/>
          <w:sz w:val="20"/>
          <w:szCs w:val="18"/>
        </w:rPr>
        <w:t xml:space="preserve"> A p-value of the </w:t>
      </w:r>
      <w:proofErr w:type="spellStart"/>
      <w:r w:rsidR="00E52AC5" w:rsidRPr="00127C07">
        <w:rPr>
          <w:rFonts w:ascii="Arial" w:hAnsi="Arial" w:cs="Arial"/>
          <w:b w:val="0"/>
          <w:caps w:val="0"/>
          <w:sz w:val="20"/>
          <w:szCs w:val="18"/>
        </w:rPr>
        <w:t>obs</w:t>
      </w:r>
      <w:proofErr w:type="spellEnd"/>
      <w:r w:rsidR="00E52AC5" w:rsidRPr="00127C07">
        <w:rPr>
          <w:rFonts w:ascii="Arial" w:hAnsi="Arial" w:cs="Arial"/>
          <w:b w:val="0"/>
          <w:caps w:val="0"/>
          <w:sz w:val="20"/>
          <w:szCs w:val="18"/>
        </w:rPr>
        <w:t xml:space="preserve">*r-squared statistic greater than 0.05 indicates the absence of heteroskedasticity. This test can be conducted using the white test or the </w:t>
      </w:r>
      <w:proofErr w:type="spellStart"/>
      <w:r w:rsidR="00E52AC5" w:rsidRPr="00127C07">
        <w:rPr>
          <w:rFonts w:ascii="Arial" w:hAnsi="Arial" w:cs="Arial"/>
          <w:b w:val="0"/>
          <w:caps w:val="0"/>
          <w:sz w:val="20"/>
          <w:szCs w:val="18"/>
        </w:rPr>
        <w:t>breusch</w:t>
      </w:r>
      <w:proofErr w:type="spellEnd"/>
      <w:r w:rsidR="00E52AC5" w:rsidRPr="00127C07">
        <w:rPr>
          <w:rFonts w:ascii="Arial" w:hAnsi="Arial" w:cs="Arial"/>
          <w:b w:val="0"/>
          <w:caps w:val="0"/>
          <w:sz w:val="20"/>
          <w:szCs w:val="18"/>
        </w:rPr>
        <w:t xml:space="preserve">-pagan test to evaluate the stability of the residual variance </w:t>
      </w:r>
      <w:r w:rsidR="00E52AC5" w:rsidRPr="00127C07">
        <w:rPr>
          <w:rFonts w:ascii="Arial" w:hAnsi="Arial" w:cs="Arial"/>
          <w:b w:val="0"/>
          <w:bCs/>
          <w:caps w:val="0"/>
          <w:sz w:val="20"/>
          <w:szCs w:val="18"/>
        </w:rPr>
        <w:fldChar w:fldCharType="begin" w:fldLock="1"/>
      </w:r>
      <w:r w:rsidR="0008308B">
        <w:rPr>
          <w:rFonts w:ascii="Arial" w:hAnsi="Arial" w:cs="Arial"/>
          <w:b w:val="0"/>
          <w:bCs/>
          <w:caps w:val="0"/>
          <w:sz w:val="20"/>
          <w:szCs w:val="18"/>
        </w:rPr>
        <w:instrText>ADDIN CSL_CITATION {"citationItems":[{"id":"ITEM-1","itemData":{"author":[{"dropping-particle":"","family":"Henderson","given":"C R","non-dropping-particle":"","parse-names":false,"suffix":""}],"container-title":"Biometrics","id":"ITEM-1","issue":"2","issued":{"date-parts":[["1975"]]},"page":"423-447","title":"Best linear unbiased estimation and prediction under a selection model published by : international biometric society stable","type":"article-journal","volume":"31"},"uris":["http://www.mendeley.com/documents/?uuid=466a6291-87cf-48c6-9afd-cdabf5ae98cf","http://www.mendeley.com/documents/?uuid=237f6c4c-430b-4b8b-bb62-e58289ab16dc"]},{"id":"ITEM-2","itemData":{"ISBN":"9781136586101","author":[{"dropping-particle":"","family":"Gujarati","given":"Damodar N","non-dropping-particle":"","parse-names":false,"suffix":""},{"dropping-particle":"","family":"Porter","given":"Dawn C","non-dropping-particle":"","parse-names":false,"suffix":""}],"container-title":"Introductory Econometrics: A Practical Approach","id":"ITEM-2","issued":{"date-parts":[["2009"]]},"number-of-pages":"1-922","title":"BASIC ECONOMETRICS","type":"book"},"uris":["http://www.mendeley.com/documents/?uuid=b433659d-fa65-455a-b6af-0affd2a61abb","http://www.mendeley.com/documents/?uuid=a1ec58c9-4207-4b9f-b79e-689554f0e266","http://www.mendeley.com/documents/?uuid=2a03c730-c0bc-49a3-942d-03b1082f4152"]},{"id":"ITEM-3","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Persada","id":"ITEM-3","issued":{"date-parts":[["2021"]]},"page":"1-161","title":"Analisis Data Panel Dalam Penelitian Ekonomi dan Bisnis","type":"article-journal"},"uris":["http://www.mendeley.com/documents/?uuid=0a2753e7-ef96-4682-8862-b0ea13e5ced9","http://www.mendeley.com/documents/?uuid=7b1974f4-48bd-4684-b206-42defc2a0899","http://www.mendeley.com/documents/?uuid=f98791b8-5078-4a8f-be88-df861158b99c"]},{"id":"ITEM-4","itemData":{"author":[{"dropping-particle":"","family":"Hijrawati","given":"","non-dropping-particle":"","parse-names":false,"suffix":""}],"container-title":"Jurnal Matematika, Komputasi dan Statistika Volume","id":"ITEM-4","issued":{"date-parts":[["2020"]]},"page":"1-9","title":"7.+Regresi+Data+Panel+Tingkat+Kemiskinan+Sulawesi+Tenggara","type":"article-journal","volume":"2"},"uris":["http://www.mendeley.com/documents/?uuid=68d012ff-76fa-4e54-8382-81bd55a6c70d","http://www.mendeley.com/documents/?uuid=29bbb6e3-51f3-4dd2-abd1-0c992a7be03d","http://www.mendeley.com/documents/?uuid=30539a5c-3a7b-43eb-8535-d6eadf103794"]}],"mendeley":{"formattedCitation":"(Basuki, 2021; Gujarati &amp; Porter, 2009; Henderson, 1975; Hijrawati, 2020)","plainTextFormattedCitation":"(Basuki, 2021; Gujarati &amp; Porter, 2009; Henderson, 1975; Hijrawati, 2020)","previouslyFormattedCitation":"(Basuki, 2021; Damodar N. Gujarati, 2009; Henderson, 1975; Hijrawati, 2020)"},"properties":{"noteIndex":0},"schema":"https://github.com/citation-style-language/schema/raw/master/csl-citation.json"}</w:instrText>
      </w:r>
      <w:r w:rsidR="00E52AC5" w:rsidRPr="00127C07">
        <w:rPr>
          <w:rFonts w:ascii="Arial" w:hAnsi="Arial" w:cs="Arial"/>
          <w:b w:val="0"/>
          <w:bCs/>
          <w:caps w:val="0"/>
          <w:sz w:val="20"/>
          <w:szCs w:val="18"/>
        </w:rPr>
        <w:fldChar w:fldCharType="separate"/>
      </w:r>
      <w:r w:rsidR="0008308B" w:rsidRPr="0008308B">
        <w:rPr>
          <w:rFonts w:ascii="Arial" w:hAnsi="Arial" w:cs="Arial"/>
          <w:b w:val="0"/>
          <w:bCs/>
          <w:caps w:val="0"/>
          <w:noProof/>
          <w:sz w:val="20"/>
          <w:szCs w:val="18"/>
        </w:rPr>
        <w:t>(Basuki, 2021; Gujarati &amp; Porter, 2009; Henderson, 1975; Hijrawati, 2020)</w:t>
      </w:r>
      <w:r w:rsidR="00E52AC5" w:rsidRPr="00127C07">
        <w:rPr>
          <w:rFonts w:ascii="Arial" w:hAnsi="Arial" w:cs="Arial"/>
          <w:b w:val="0"/>
          <w:bCs/>
          <w:caps w:val="0"/>
          <w:sz w:val="20"/>
          <w:szCs w:val="18"/>
        </w:rPr>
        <w:fldChar w:fldCharType="end"/>
      </w:r>
      <w:r w:rsidR="00E52AC5" w:rsidRPr="00127C07">
        <w:rPr>
          <w:rFonts w:ascii="Arial" w:hAnsi="Arial" w:cs="Arial"/>
          <w:b w:val="0"/>
          <w:bCs/>
          <w:caps w:val="0"/>
          <w:sz w:val="20"/>
          <w:szCs w:val="18"/>
        </w:rPr>
        <w:t>.</w:t>
      </w:r>
    </w:p>
    <w:p w14:paraId="6F6FF3E2" w14:textId="77777777" w:rsidR="00142BC0" w:rsidRPr="00127C07" w:rsidRDefault="00142BC0" w:rsidP="00142BC0">
      <w:pPr>
        <w:pStyle w:val="AbstHead"/>
        <w:spacing w:after="0"/>
        <w:ind w:firstLine="720"/>
        <w:jc w:val="both"/>
        <w:rPr>
          <w:rFonts w:ascii="Arial" w:hAnsi="Arial" w:cs="Arial"/>
          <w:b w:val="0"/>
          <w:bCs/>
          <w:caps w:val="0"/>
          <w:sz w:val="20"/>
          <w:szCs w:val="18"/>
        </w:rPr>
      </w:pPr>
    </w:p>
    <w:p w14:paraId="23CC11F9" w14:textId="77777777" w:rsidR="00E52AC5" w:rsidRPr="00127C07" w:rsidRDefault="00E52AC5" w:rsidP="00142BC0">
      <w:pPr>
        <w:pStyle w:val="AbstHead"/>
        <w:spacing w:after="0"/>
        <w:jc w:val="both"/>
        <w:rPr>
          <w:rFonts w:ascii="Arial" w:hAnsi="Arial" w:cs="Arial"/>
          <w:caps w:val="0"/>
        </w:rPr>
      </w:pPr>
      <w:r w:rsidRPr="00127C07">
        <w:rPr>
          <w:rFonts w:ascii="Arial" w:hAnsi="Arial" w:cs="Arial"/>
          <w:caps w:val="0"/>
        </w:rPr>
        <w:t xml:space="preserve">2.4 Panel Data </w:t>
      </w:r>
      <w:proofErr w:type="spellStart"/>
      <w:r w:rsidRPr="00127C07">
        <w:rPr>
          <w:rFonts w:ascii="Arial" w:hAnsi="Arial" w:cs="Arial"/>
          <w:caps w:val="0"/>
        </w:rPr>
        <w:t>Regressi</w:t>
      </w:r>
      <w:proofErr w:type="spellEnd"/>
      <w:r w:rsidRPr="00127C07">
        <w:rPr>
          <w:rFonts w:ascii="Arial" w:hAnsi="Arial" w:cs="Arial"/>
          <w:caps w:val="0"/>
        </w:rPr>
        <w:t xml:space="preserve"> </w:t>
      </w:r>
      <w:proofErr w:type="spellStart"/>
      <w:r w:rsidRPr="00127C07">
        <w:rPr>
          <w:rFonts w:ascii="Arial" w:hAnsi="Arial" w:cs="Arial"/>
          <w:caps w:val="0"/>
        </w:rPr>
        <w:t>Fon</w:t>
      </w:r>
      <w:proofErr w:type="spellEnd"/>
    </w:p>
    <w:p w14:paraId="66DA4550"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2.4.1 Simultaneous Test (F-Test)</w:t>
      </w:r>
    </w:p>
    <w:p w14:paraId="5EA1EF51" w14:textId="3BDE8828" w:rsidR="00E52AC5" w:rsidRPr="00127C07" w:rsidRDefault="00E52AC5" w:rsidP="00142BC0">
      <w:pPr>
        <w:pStyle w:val="AbstHead"/>
        <w:spacing w:after="0"/>
        <w:jc w:val="both"/>
        <w:rPr>
          <w:rFonts w:ascii="Arial" w:hAnsi="Arial" w:cs="Arial"/>
          <w:b w:val="0"/>
          <w:sz w:val="20"/>
          <w:szCs w:val="18"/>
        </w:rPr>
      </w:pPr>
      <w:r w:rsidRPr="00127C07">
        <w:rPr>
          <w:rFonts w:ascii="Arial" w:hAnsi="Arial" w:cs="Arial"/>
          <w:b w:val="0"/>
          <w:bCs/>
          <w:caps w:val="0"/>
          <w:sz w:val="20"/>
          <w:szCs w:val="18"/>
        </w:rPr>
        <w:tab/>
      </w:r>
      <w:r w:rsidR="001B2B66" w:rsidRPr="001B2B66">
        <w:rPr>
          <w:rFonts w:ascii="Arial" w:hAnsi="Arial" w:cs="Arial"/>
          <w:b w:val="0"/>
          <w:caps w:val="0"/>
          <w:sz w:val="20"/>
          <w:szCs w:val="18"/>
        </w:rPr>
        <w:t>A statistical method called the f-test is used to assess whether the dependent variable in a regression model is significantly impacted by all of the independent variables taken together.  By testing the null hypothesis that all regression coefficients are equal to zero, which suggests that the independent variables collectively have no explanatory power, it assesses the model's overall significance.  The null hypothesis is rejected if the obtained probability value (p-value) is less than the selected level of significance, usually 0.05.  The regression model is regarded as statistically valid and significant since it shows that at least one of the independent variables significantly influences the variation in the dependent variable</w:t>
      </w:r>
      <w:r w:rsidR="001B2B66">
        <w:rPr>
          <w:rFonts w:ascii="Arial" w:hAnsi="Arial" w:cs="Arial"/>
          <w:b w:val="0"/>
          <w:caps w:val="0"/>
          <w:sz w:val="20"/>
          <w:szCs w:val="18"/>
        </w:rPr>
        <w:t xml:space="preserve"> </w:t>
      </w:r>
      <w:r w:rsidRPr="00127C07">
        <w:rPr>
          <w:rFonts w:ascii="Arial" w:hAnsi="Arial" w:cs="Arial"/>
          <w:b w:val="0"/>
          <w:caps w:val="0"/>
          <w:sz w:val="20"/>
          <w:szCs w:val="18"/>
        </w:rPr>
        <w:fldChar w:fldCharType="begin" w:fldLock="1"/>
      </w:r>
      <w:r w:rsidRPr="00127C07">
        <w:rPr>
          <w:rFonts w:ascii="Arial" w:hAnsi="Arial" w:cs="Arial"/>
          <w:b w:val="0"/>
          <w:caps w:val="0"/>
          <w:sz w:val="20"/>
          <w:szCs w:val="18"/>
        </w:rPr>
        <w:instrText>ADDIN CSL_CITATION {"citationItems":[{"id":"ITEM-1","itemData":{"DOI":"10.32520/jam.v8i2.2564","ISSN":"2443-2466","abstract":"The capital market is a means of business financing where companies obtain capitalfrom investors. The main goal of investors buying shares is to obtain dividends from thedifference between the selling price and the purchase price of the shares. This study aimsto determine the effect of Return on Equity, Debt to Equity Ratio and Earning Per Share onStock Prices carried out in Retail Trade companies listed on the Indonesia Stock Exchangeduring the 2019-2021 period. This research is a quantitative study that was tested usingclassical assumptions, multiple regression, and hypothesis testing through SPSS 25. Thesamples in this study were 14 companies and for 3 years. The simultaneous test obtaineda Fcount value of 0.072 &lt; Ftable of 2.85 so that Return On Equity, Debt to Equity Ratio andEarning Per Share do not simultaneously affect Stock Price in Retail Trade companies listedon the Indonesia Stock Exchange. Companies must focus more on performance, namelyReturn On Equity, Debt to Equity Ratio and Earning Per Share in order to increase the StockPrice.","author":[{"dropping-particle":"","family":"Maulana","given":"Raju","non-dropping-particle":"","parse-names":false,"suffix":""}],"container-title":"Jurnal Analisis Manajemen","id":"ITEM-1","issue":"2","issued":{"date-parts":[["2022"]]},"page":"154-166","title":"Nalisis Faktor Penentu Yang Mempengaruhi Stock Price Pada Perusahaan Retail Trade Yang Terdaftar Di Bursa Efek Indonesia Periode 2019-2021","type":"article-journal","volume":"8"},"uris":["http://www.mendeley.com/documents/?uuid=106b12ad-61b9-4f2a-951d-14daf99ca3bf","http://www.mendeley.com/documents/?uuid=88634500-98c4-4082-b372-33bec87772ec"]}],"mendeley":{"formattedCitation":"(Maulana, 2022)","plainTextFormattedCitation":"(Maulana, 2022)","previouslyFormattedCitation":"(Maulana, 2022)"},"properties":{"noteIndex":0},"schema":"https://github.com/citation-style-language/schema/raw/master/csl-citation.json"}</w:instrText>
      </w:r>
      <w:r w:rsidRPr="00127C07">
        <w:rPr>
          <w:rFonts w:ascii="Arial" w:hAnsi="Arial" w:cs="Arial"/>
          <w:b w:val="0"/>
          <w:caps w:val="0"/>
          <w:sz w:val="20"/>
          <w:szCs w:val="18"/>
        </w:rPr>
        <w:fldChar w:fldCharType="separate"/>
      </w:r>
      <w:r w:rsidRPr="00127C07">
        <w:rPr>
          <w:rFonts w:ascii="Arial" w:hAnsi="Arial" w:cs="Arial"/>
          <w:b w:val="0"/>
          <w:caps w:val="0"/>
          <w:noProof/>
          <w:sz w:val="20"/>
          <w:szCs w:val="18"/>
        </w:rPr>
        <w:t>(Maulana, 2022)</w:t>
      </w:r>
      <w:r w:rsidRPr="00127C07">
        <w:rPr>
          <w:rFonts w:ascii="Arial" w:hAnsi="Arial" w:cs="Arial"/>
          <w:b w:val="0"/>
          <w:caps w:val="0"/>
          <w:sz w:val="20"/>
          <w:szCs w:val="18"/>
        </w:rPr>
        <w:fldChar w:fldCharType="end"/>
      </w:r>
      <w:r w:rsidRPr="00127C07">
        <w:rPr>
          <w:rFonts w:ascii="Arial" w:hAnsi="Arial" w:cs="Arial"/>
          <w:b w:val="0"/>
          <w:caps w:val="0"/>
          <w:sz w:val="20"/>
          <w:szCs w:val="18"/>
        </w:rPr>
        <w:t>.</w:t>
      </w:r>
    </w:p>
    <w:p w14:paraId="0566EDCA"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2.4.2 Goodness of Fit (R-Squared)</w:t>
      </w:r>
    </w:p>
    <w:p w14:paraId="58BD1F6B" w14:textId="783E686A" w:rsidR="00E52AC5" w:rsidRPr="00127C07" w:rsidRDefault="001B2B66" w:rsidP="00142BC0">
      <w:pPr>
        <w:pStyle w:val="AbstHead"/>
        <w:spacing w:after="0"/>
        <w:ind w:firstLine="720"/>
        <w:jc w:val="both"/>
        <w:rPr>
          <w:rFonts w:ascii="Arial" w:hAnsi="Arial" w:cs="Arial"/>
          <w:b w:val="0"/>
          <w:bCs/>
          <w:sz w:val="20"/>
          <w:szCs w:val="18"/>
        </w:rPr>
      </w:pPr>
      <w:r w:rsidRPr="001B2B66">
        <w:rPr>
          <w:rFonts w:ascii="Arial" w:hAnsi="Arial" w:cs="Arial"/>
          <w:b w:val="0"/>
          <w:bCs/>
          <w:caps w:val="0"/>
          <w:sz w:val="20"/>
          <w:szCs w:val="18"/>
        </w:rPr>
        <w:t>The degree to which the model can account for the variance in the dependent variable is determined by the coefficient of determination (r²). The value of r² falls between 0 and 1. A low r² value suggests that the model's capacity to account for the dependent variable's variability is restricted. On the other hand, a number around 1 indicates that almost all of the information required to forecast changes in the dependent variable is provided by the independent variables</w:t>
      </w:r>
      <w:r w:rsidR="00E52AC5" w:rsidRPr="00127C07">
        <w:rPr>
          <w:rFonts w:ascii="Arial" w:hAnsi="Arial" w:cs="Arial"/>
          <w:b w:val="0"/>
          <w:bCs/>
          <w:caps w:val="0"/>
          <w:sz w:val="20"/>
          <w:szCs w:val="18"/>
        </w:rPr>
        <w:t xml:space="preserve"> </w:t>
      </w:r>
      <w:r w:rsidR="00E52AC5" w:rsidRPr="00127C07">
        <w:rPr>
          <w:rFonts w:ascii="Arial" w:hAnsi="Arial" w:cs="Arial"/>
          <w:b w:val="0"/>
          <w:caps w:val="0"/>
          <w:sz w:val="20"/>
          <w:szCs w:val="18"/>
        </w:rPr>
        <w:fldChar w:fldCharType="begin" w:fldLock="1"/>
      </w:r>
      <w:r w:rsidR="00E52AC5" w:rsidRPr="00127C07">
        <w:rPr>
          <w:rFonts w:ascii="Arial" w:hAnsi="Arial" w:cs="Arial"/>
          <w:b w:val="0"/>
          <w:caps w:val="0"/>
          <w:sz w:val="20"/>
          <w:szCs w:val="18"/>
        </w:rPr>
        <w:instrText>ADDIN CSL_CITATION {"citationItems":[{"id":"ITEM-1","itemData":{"DOI":"10.32520/jam.v8i2.2564","ISSN":"2443-2466","abstract":"The capital market is a means of business financing where companies obtain capitalfrom investors. The main goal of investors buying shares is to obtain dividends from thedifference between the selling price and the purchase price of the shares. This study aimsto determine the effect of Return on Equity, Debt to Equity Ratio and Earning Per Share onStock Prices carried out in Retail Trade companies listed on the Indonesia Stock Exchangeduring the 2019-2021 period. This research is a quantitative study that was tested usingclassical assumptions, multiple regression, and hypothesis testing through SPSS 25. Thesamples in this study were 14 companies and for 3 years. The simultaneous test obtaineda Fcount value of 0.072 &lt; Ftable of 2.85 so that Return On Equity, Debt to Equity Ratio andEarning Per Share do not simultaneously affect Stock Price in Retail Trade companies listedon the Indonesia Stock Exchange. Companies must focus more on performance, namelyReturn On Equity, Debt to Equity Ratio and Earning Per Share in order to increase the StockPrice.","author":[{"dropping-particle":"","family":"Maulana","given":"Raju","non-dropping-particle":"","parse-names":false,"suffix":""}],"container-title":"Jurnal Analisis Manajemen","id":"ITEM-1","issue":"2","issued":{"date-parts":[["2022"]]},"page":"154-166","title":"Nalisis Faktor Penentu Yang Mempengaruhi Stock Price Pada Perusahaan Retail Trade Yang Terdaftar Di Bursa Efek Indonesia Periode 2019-2021","type":"article-journal","volume":"8"},"uris":["http://www.mendeley.com/documents/?uuid=88634500-98c4-4082-b372-33bec87772ec","http://www.mendeley.com/documents/?uuid=106b12ad-61b9-4f2a-951d-14daf99ca3bf"]}],"mendeley":{"formattedCitation":"(Maulana, 2022)","plainTextFormattedCitation":"(Maulana, 2022)","previouslyFormattedCitation":"(Maulana, 2022)"},"properties":{"noteIndex":0},"schema":"https://github.com/citation-style-language/schema/raw/master/csl-citation.json"}</w:instrText>
      </w:r>
      <w:r w:rsidR="00E52AC5" w:rsidRPr="00127C07">
        <w:rPr>
          <w:rFonts w:ascii="Arial" w:hAnsi="Arial" w:cs="Arial"/>
          <w:b w:val="0"/>
          <w:caps w:val="0"/>
          <w:sz w:val="20"/>
          <w:szCs w:val="18"/>
        </w:rPr>
        <w:fldChar w:fldCharType="separate"/>
      </w:r>
      <w:r w:rsidR="00E52AC5" w:rsidRPr="00127C07">
        <w:rPr>
          <w:rFonts w:ascii="Arial" w:hAnsi="Arial" w:cs="Arial"/>
          <w:b w:val="0"/>
          <w:caps w:val="0"/>
          <w:noProof/>
          <w:sz w:val="20"/>
          <w:szCs w:val="18"/>
        </w:rPr>
        <w:t>(Maulana, 2022)</w:t>
      </w:r>
      <w:r w:rsidR="00E52AC5" w:rsidRPr="00127C07">
        <w:rPr>
          <w:rFonts w:ascii="Arial" w:hAnsi="Arial" w:cs="Arial"/>
          <w:b w:val="0"/>
          <w:caps w:val="0"/>
          <w:sz w:val="20"/>
          <w:szCs w:val="18"/>
        </w:rPr>
        <w:fldChar w:fldCharType="end"/>
      </w:r>
      <w:r w:rsidR="00E52AC5" w:rsidRPr="00127C07">
        <w:rPr>
          <w:rFonts w:ascii="Arial" w:hAnsi="Arial" w:cs="Arial"/>
          <w:b w:val="0"/>
          <w:bCs/>
          <w:caps w:val="0"/>
          <w:sz w:val="20"/>
          <w:szCs w:val="18"/>
        </w:rPr>
        <w:t>.</w:t>
      </w:r>
    </w:p>
    <w:p w14:paraId="6A6B3F2F"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2.4.3 Partial Test (T-test)</w:t>
      </w:r>
    </w:p>
    <w:p w14:paraId="0E8344E5" w14:textId="5680B809" w:rsidR="001B2B66" w:rsidRPr="001B2B66" w:rsidRDefault="001B2B66" w:rsidP="001B2B66">
      <w:pPr>
        <w:pStyle w:val="AbstHead"/>
        <w:spacing w:after="0"/>
        <w:ind w:firstLine="720"/>
        <w:jc w:val="both"/>
        <w:rPr>
          <w:rFonts w:ascii="Arial" w:hAnsi="Arial" w:cs="Arial"/>
          <w:b w:val="0"/>
          <w:bCs/>
          <w:caps w:val="0"/>
          <w:sz w:val="20"/>
          <w:szCs w:val="18"/>
        </w:rPr>
      </w:pPr>
      <w:r w:rsidRPr="001B2B66">
        <w:rPr>
          <w:rFonts w:ascii="Arial" w:hAnsi="Arial" w:cs="Arial"/>
          <w:b w:val="0"/>
          <w:caps w:val="0"/>
          <w:sz w:val="20"/>
          <w:szCs w:val="18"/>
        </w:rPr>
        <w:t>When all other factors are held constant, the t-test is used to investigate the partial impact of each independent variable on the dependent variable separately.  Whether an independent variable has a statistically significant effect on the dependent variable can be ascertained with the aid of this test.  The null hypothesis (h</w:t>
      </w:r>
      <w:r w:rsidRPr="001B2B66">
        <w:rPr>
          <w:rFonts w:ascii="Cambria Math" w:hAnsi="Cambria Math" w:cs="Cambria Math"/>
          <w:b w:val="0"/>
          <w:caps w:val="0"/>
          <w:sz w:val="20"/>
          <w:szCs w:val="18"/>
        </w:rPr>
        <w:t>₀</w:t>
      </w:r>
      <w:r w:rsidRPr="001B2B66">
        <w:rPr>
          <w:rFonts w:ascii="Arial" w:hAnsi="Arial" w:cs="Arial"/>
          <w:b w:val="0"/>
          <w:caps w:val="0"/>
          <w:sz w:val="20"/>
          <w:szCs w:val="18"/>
        </w:rPr>
        <w:t>) is rejected and the alternative hypothesis (hₐ) is accepted if the computed t-value is greater than the crucial t-table value, suggesting a substantial effect.  On the other hand, the alternative hypothesis is rejected and the null hypothesis is accepted if the computed t-value is smaller than the t-table value, indicating that the independent variable does not have a significant partial influence</w:t>
      </w:r>
      <w:r w:rsidR="00E52AC5" w:rsidRPr="00127C07">
        <w:rPr>
          <w:rFonts w:ascii="Arial" w:hAnsi="Arial" w:cs="Arial"/>
          <w:b w:val="0"/>
          <w:caps w:val="0"/>
          <w:sz w:val="20"/>
          <w:szCs w:val="18"/>
        </w:rPr>
        <w:t xml:space="preserve"> </w:t>
      </w:r>
      <w:r w:rsidR="00E52AC5" w:rsidRPr="00127C07">
        <w:rPr>
          <w:rFonts w:ascii="Arial" w:hAnsi="Arial" w:cs="Arial"/>
          <w:b w:val="0"/>
          <w:caps w:val="0"/>
          <w:sz w:val="20"/>
          <w:szCs w:val="18"/>
        </w:rPr>
        <w:fldChar w:fldCharType="begin" w:fldLock="1"/>
      </w:r>
      <w:r w:rsidR="00E52AC5" w:rsidRPr="00127C07">
        <w:rPr>
          <w:rFonts w:ascii="Arial" w:hAnsi="Arial" w:cs="Arial"/>
          <w:b w:val="0"/>
          <w:caps w:val="0"/>
          <w:sz w:val="20"/>
          <w:szCs w:val="18"/>
        </w:rPr>
        <w:instrText>ADDIN CSL_CITATION {"citationItems":[{"id":"ITEM-1","itemData":{"DOI":"10.32520/jam.v8i2.2564","ISSN":"2443-2466","abstract":"The capital market is a means of business financing where companies obtain capitalfrom investors. The main goal of investors buying shares is to obtain dividends from thedifference between the selling price and the purchase price of the shares. This study aimsto determine the effect of Return on Equity, Debt to Equity Ratio and Earning Per Share onStock Prices carried out in Retail Trade companies listed on the Indonesia Stock Exchangeduring the 2019-2021 period. This research is a quantitative study that was tested usingclassical assumptions, multiple regression, and hypothesis testing through SPSS 25. Thesamples in this study were 14 companies and for 3 years. The simultaneous test obtaineda Fcount value of 0.072 &lt; Ftable of 2.85 so that Return On Equity, Debt to Equity Ratio andEarning Per Share do not simultaneously affect Stock Price in Retail Trade companies listedon the Indonesia Stock Exchange. Companies must focus more on performance, namelyReturn On Equity, Debt to Equity Ratio and Earning Per Share in order to increase the StockPrice.","author":[{"dropping-particle":"","family":"Maulana","given":"Raju","non-dropping-particle":"","parse-names":false,"suffix":""}],"container-title":"Jurnal Analisis Manajemen","id":"ITEM-1","issue":"2","issued":{"date-parts":[["2022"]]},"page":"154-166","title":"Nalisis Faktor Penentu Yang Mempengaruhi Stock Price Pada Perusahaan Retail Trade Yang Terdaftar Di Bursa Efek Indonesia Periode 2019-2021","type":"article-journal","volume":"8"},"uris":["http://www.mendeley.com/documents/?uuid=88634500-98c4-4082-b372-33bec87772ec","http://www.mendeley.com/documents/?uuid=106b12ad-61b9-4f2a-951d-14daf99ca3bf"]}],"mendeley":{"formattedCitation":"(Maulana, 2022)","plainTextFormattedCitation":"(Maulana, 2022)","previouslyFormattedCitation":"(Maulana, 2022)"},"properties":{"noteIndex":0},"schema":"https://github.com/citation-style-language/schema/raw/master/csl-citation.json"}</w:instrText>
      </w:r>
      <w:r w:rsidR="00E52AC5" w:rsidRPr="00127C07">
        <w:rPr>
          <w:rFonts w:ascii="Arial" w:hAnsi="Arial" w:cs="Arial"/>
          <w:b w:val="0"/>
          <w:caps w:val="0"/>
          <w:sz w:val="20"/>
          <w:szCs w:val="18"/>
        </w:rPr>
        <w:fldChar w:fldCharType="separate"/>
      </w:r>
      <w:r w:rsidR="00E52AC5" w:rsidRPr="00127C07">
        <w:rPr>
          <w:rFonts w:ascii="Arial" w:hAnsi="Arial" w:cs="Arial"/>
          <w:b w:val="0"/>
          <w:caps w:val="0"/>
          <w:noProof/>
          <w:sz w:val="20"/>
          <w:szCs w:val="18"/>
        </w:rPr>
        <w:t>(Maulana, 2022)</w:t>
      </w:r>
      <w:r w:rsidR="00E52AC5" w:rsidRPr="00127C07">
        <w:rPr>
          <w:rFonts w:ascii="Arial" w:hAnsi="Arial" w:cs="Arial"/>
          <w:b w:val="0"/>
          <w:caps w:val="0"/>
          <w:sz w:val="20"/>
          <w:szCs w:val="18"/>
        </w:rPr>
        <w:fldChar w:fldCharType="end"/>
      </w:r>
      <w:r w:rsidR="00E52AC5" w:rsidRPr="00127C07">
        <w:rPr>
          <w:rFonts w:ascii="Arial" w:hAnsi="Arial" w:cs="Arial"/>
          <w:b w:val="0"/>
          <w:bCs/>
          <w:caps w:val="0"/>
          <w:sz w:val="20"/>
          <w:szCs w:val="18"/>
        </w:rPr>
        <w:t>.</w:t>
      </w:r>
    </w:p>
    <w:p w14:paraId="024D9052" w14:textId="77777777" w:rsidR="001B2B66" w:rsidRPr="00127C07" w:rsidRDefault="001B2B66" w:rsidP="00142BC0">
      <w:pPr>
        <w:pStyle w:val="AbstHead"/>
        <w:spacing w:after="0"/>
        <w:ind w:firstLine="720"/>
        <w:jc w:val="both"/>
        <w:rPr>
          <w:rFonts w:ascii="Arial" w:hAnsi="Arial" w:cs="Arial"/>
          <w:b w:val="0"/>
          <w:sz w:val="20"/>
          <w:szCs w:val="18"/>
        </w:rPr>
      </w:pPr>
    </w:p>
    <w:p w14:paraId="251B299A" w14:textId="77777777" w:rsidR="00E52AC5" w:rsidRPr="00127C07" w:rsidRDefault="00E52AC5" w:rsidP="00142BC0">
      <w:pPr>
        <w:pStyle w:val="AbstHead"/>
        <w:spacing w:after="0"/>
        <w:jc w:val="both"/>
        <w:rPr>
          <w:rFonts w:ascii="Arial" w:hAnsi="Arial" w:cs="Arial"/>
        </w:rPr>
      </w:pPr>
      <w:r w:rsidRPr="00127C07">
        <w:rPr>
          <w:rFonts w:ascii="Arial" w:hAnsi="Arial" w:cs="Arial"/>
        </w:rPr>
        <w:t>3. results and discussion</w:t>
      </w:r>
    </w:p>
    <w:p w14:paraId="1E17AD19" w14:textId="77777777" w:rsidR="00E52AC5" w:rsidRDefault="00E52AC5" w:rsidP="00142BC0">
      <w:pPr>
        <w:tabs>
          <w:tab w:val="left" w:pos="1080"/>
        </w:tabs>
        <w:rPr>
          <w:rFonts w:ascii="Arial" w:hAnsi="Arial" w:cs="Arial"/>
          <w:b/>
          <w:sz w:val="22"/>
        </w:rPr>
      </w:pPr>
      <w:r w:rsidRPr="00127C07">
        <w:rPr>
          <w:rFonts w:ascii="Arial" w:hAnsi="Arial" w:cs="Arial"/>
          <w:b/>
          <w:sz w:val="22"/>
        </w:rPr>
        <w:t>3.1 Result</w:t>
      </w:r>
    </w:p>
    <w:p w14:paraId="4588E4C9" w14:textId="77777777" w:rsidR="001B2B66" w:rsidRDefault="001B2B66" w:rsidP="00142BC0">
      <w:pPr>
        <w:tabs>
          <w:tab w:val="left" w:pos="1080"/>
        </w:tabs>
        <w:rPr>
          <w:rFonts w:ascii="Arial" w:hAnsi="Arial" w:cs="Arial"/>
          <w:b/>
          <w:sz w:val="22"/>
        </w:rPr>
      </w:pPr>
    </w:p>
    <w:p w14:paraId="1D1BA01C" w14:textId="77777777" w:rsidR="001B2B66" w:rsidRDefault="001B2B66" w:rsidP="00142BC0">
      <w:pPr>
        <w:tabs>
          <w:tab w:val="left" w:pos="1080"/>
        </w:tabs>
        <w:rPr>
          <w:rFonts w:ascii="Arial" w:hAnsi="Arial" w:cs="Arial"/>
          <w:b/>
          <w:sz w:val="22"/>
        </w:rPr>
      </w:pPr>
    </w:p>
    <w:p w14:paraId="1225E255" w14:textId="77777777" w:rsidR="001B2B66" w:rsidRDefault="001B2B66" w:rsidP="00142BC0">
      <w:pPr>
        <w:tabs>
          <w:tab w:val="left" w:pos="1080"/>
        </w:tabs>
        <w:rPr>
          <w:rFonts w:ascii="Arial" w:hAnsi="Arial" w:cs="Arial"/>
          <w:b/>
          <w:sz w:val="22"/>
        </w:rPr>
      </w:pPr>
    </w:p>
    <w:p w14:paraId="122898DC" w14:textId="77777777" w:rsidR="001B2B66" w:rsidRDefault="001B2B66" w:rsidP="00142BC0">
      <w:pPr>
        <w:tabs>
          <w:tab w:val="left" w:pos="1080"/>
        </w:tabs>
        <w:rPr>
          <w:rFonts w:ascii="Arial" w:hAnsi="Arial" w:cs="Arial"/>
          <w:b/>
          <w:sz w:val="22"/>
        </w:rPr>
      </w:pPr>
    </w:p>
    <w:p w14:paraId="5ADD84FA" w14:textId="77777777" w:rsidR="001B2B66" w:rsidRDefault="001B2B66" w:rsidP="00142BC0">
      <w:pPr>
        <w:tabs>
          <w:tab w:val="left" w:pos="1080"/>
        </w:tabs>
        <w:rPr>
          <w:rFonts w:ascii="Arial" w:hAnsi="Arial" w:cs="Arial"/>
          <w:b/>
          <w:sz w:val="22"/>
        </w:rPr>
      </w:pPr>
    </w:p>
    <w:p w14:paraId="551ABD22" w14:textId="77777777" w:rsidR="001B2B66" w:rsidRPr="00127C07" w:rsidRDefault="001B2B66" w:rsidP="00142BC0">
      <w:pPr>
        <w:tabs>
          <w:tab w:val="left" w:pos="1080"/>
        </w:tabs>
        <w:rPr>
          <w:rFonts w:ascii="Arial" w:hAnsi="Arial" w:cs="Arial"/>
          <w:b/>
          <w:sz w:val="22"/>
        </w:rPr>
      </w:pPr>
    </w:p>
    <w:p w14:paraId="0D585BBF" w14:textId="77777777" w:rsidR="00E52AC5" w:rsidRPr="00127C07" w:rsidRDefault="00E52AC5" w:rsidP="00142BC0">
      <w:pPr>
        <w:tabs>
          <w:tab w:val="left" w:pos="1080"/>
        </w:tabs>
        <w:rPr>
          <w:rFonts w:ascii="Arial" w:hAnsi="Arial" w:cs="Arial"/>
          <w:b/>
          <w:szCs w:val="18"/>
        </w:rPr>
      </w:pPr>
      <w:r w:rsidRPr="00127C07">
        <w:rPr>
          <w:rFonts w:ascii="Arial" w:hAnsi="Arial" w:cs="Arial"/>
          <w:b/>
          <w:szCs w:val="18"/>
        </w:rPr>
        <w:t>Table 2.</w:t>
      </w:r>
      <w:r w:rsidRPr="00127C07">
        <w:rPr>
          <w:rFonts w:ascii="Arial" w:hAnsi="Arial" w:cs="Arial"/>
          <w:b/>
          <w:szCs w:val="18"/>
        </w:rPr>
        <w:tab/>
        <w:t>Statistics Descriptive</w:t>
      </w:r>
    </w:p>
    <w:tbl>
      <w:tblPr>
        <w:tblW w:w="7797" w:type="dxa"/>
        <w:jc w:val="center"/>
        <w:tblLayout w:type="fixed"/>
        <w:tblLook w:val="0000" w:firstRow="0" w:lastRow="0" w:firstColumn="0" w:lastColumn="0" w:noHBand="0" w:noVBand="0"/>
      </w:tblPr>
      <w:tblGrid>
        <w:gridCol w:w="1418"/>
        <w:gridCol w:w="1276"/>
        <w:gridCol w:w="1545"/>
        <w:gridCol w:w="1276"/>
        <w:gridCol w:w="1148"/>
        <w:gridCol w:w="1134"/>
      </w:tblGrid>
      <w:tr w:rsidR="00E52AC5" w:rsidRPr="00127C07" w14:paraId="35396887" w14:textId="77777777" w:rsidTr="00BD42DC">
        <w:trPr>
          <w:trHeight w:val="246"/>
          <w:jc w:val="center"/>
        </w:trPr>
        <w:tc>
          <w:tcPr>
            <w:tcW w:w="1418" w:type="dxa"/>
            <w:tcBorders>
              <w:top w:val="single" w:sz="4" w:space="0" w:color="auto"/>
              <w:left w:val="nil"/>
              <w:bottom w:val="single" w:sz="4" w:space="0" w:color="auto"/>
              <w:right w:val="nil"/>
            </w:tcBorders>
            <w:shd w:val="clear" w:color="auto" w:fill="FDE9D9" w:themeFill="accent6" w:themeFillTint="33"/>
          </w:tcPr>
          <w:p w14:paraId="11C462B1" w14:textId="77777777" w:rsidR="00E52AC5" w:rsidRPr="00127C07" w:rsidRDefault="00E52AC5" w:rsidP="00142BC0">
            <w:pPr>
              <w:widowControl w:val="0"/>
              <w:autoSpaceDE w:val="0"/>
              <w:autoSpaceDN w:val="0"/>
              <w:adjustRightInd w:val="0"/>
              <w:rPr>
                <w:rFonts w:ascii="Arial" w:hAnsi="Arial" w:cs="Arial"/>
              </w:rPr>
            </w:pPr>
            <w:bookmarkStart w:id="9" w:name="_Hlk197350507"/>
            <w:r w:rsidRPr="00127C07">
              <w:rPr>
                <w:rFonts w:ascii="Arial" w:hAnsi="Arial" w:cs="Arial"/>
                <w:b/>
                <w:bCs/>
              </w:rPr>
              <w:t>Variable</w:t>
            </w:r>
          </w:p>
        </w:tc>
        <w:tc>
          <w:tcPr>
            <w:tcW w:w="1276" w:type="dxa"/>
            <w:tcBorders>
              <w:top w:val="single" w:sz="4" w:space="0" w:color="auto"/>
              <w:left w:val="nil"/>
              <w:bottom w:val="single" w:sz="4" w:space="0" w:color="auto"/>
              <w:right w:val="nil"/>
            </w:tcBorders>
            <w:shd w:val="clear" w:color="auto" w:fill="FDE9D9" w:themeFill="accent6" w:themeFillTint="33"/>
          </w:tcPr>
          <w:p w14:paraId="360ACB89" w14:textId="77777777" w:rsidR="00E52AC5" w:rsidRPr="00127C07" w:rsidRDefault="00E52AC5" w:rsidP="00142BC0">
            <w:pPr>
              <w:widowControl w:val="0"/>
              <w:autoSpaceDE w:val="0"/>
              <w:autoSpaceDN w:val="0"/>
              <w:adjustRightInd w:val="0"/>
              <w:jc w:val="center"/>
              <w:rPr>
                <w:rFonts w:ascii="Arial" w:hAnsi="Arial" w:cs="Arial"/>
              </w:rPr>
            </w:pPr>
            <w:proofErr w:type="spellStart"/>
            <w:r w:rsidRPr="00127C07">
              <w:rPr>
                <w:rFonts w:ascii="Arial" w:hAnsi="Arial" w:cs="Arial"/>
                <w:b/>
                <w:bCs/>
              </w:rPr>
              <w:t>Obs</w:t>
            </w:r>
            <w:proofErr w:type="spellEnd"/>
          </w:p>
        </w:tc>
        <w:tc>
          <w:tcPr>
            <w:tcW w:w="1545" w:type="dxa"/>
            <w:tcBorders>
              <w:top w:val="single" w:sz="4" w:space="0" w:color="auto"/>
              <w:left w:val="nil"/>
              <w:bottom w:val="single" w:sz="4" w:space="0" w:color="auto"/>
              <w:right w:val="nil"/>
            </w:tcBorders>
            <w:shd w:val="clear" w:color="auto" w:fill="FDE9D9" w:themeFill="accent6" w:themeFillTint="33"/>
          </w:tcPr>
          <w:p w14:paraId="572F1931"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b/>
                <w:bCs/>
              </w:rPr>
              <w:t>Mean</w:t>
            </w:r>
          </w:p>
        </w:tc>
        <w:tc>
          <w:tcPr>
            <w:tcW w:w="1276" w:type="dxa"/>
            <w:tcBorders>
              <w:top w:val="single" w:sz="4" w:space="0" w:color="auto"/>
              <w:left w:val="nil"/>
              <w:bottom w:val="single" w:sz="4" w:space="0" w:color="auto"/>
              <w:right w:val="nil"/>
            </w:tcBorders>
            <w:shd w:val="clear" w:color="auto" w:fill="FDE9D9" w:themeFill="accent6" w:themeFillTint="33"/>
          </w:tcPr>
          <w:p w14:paraId="44E63F26" w14:textId="77777777" w:rsidR="00E52AC5" w:rsidRPr="00127C07" w:rsidRDefault="00E52AC5" w:rsidP="00142BC0">
            <w:pPr>
              <w:widowControl w:val="0"/>
              <w:autoSpaceDE w:val="0"/>
              <w:autoSpaceDN w:val="0"/>
              <w:adjustRightInd w:val="0"/>
              <w:jc w:val="center"/>
              <w:rPr>
                <w:rFonts w:ascii="Arial" w:hAnsi="Arial" w:cs="Arial"/>
              </w:rPr>
            </w:pPr>
            <w:proofErr w:type="spellStart"/>
            <w:r w:rsidRPr="00127C07">
              <w:rPr>
                <w:rFonts w:ascii="Arial" w:hAnsi="Arial" w:cs="Arial"/>
                <w:b/>
                <w:bCs/>
              </w:rPr>
              <w:t>Std.Dev</w:t>
            </w:r>
            <w:proofErr w:type="spellEnd"/>
            <w:r w:rsidRPr="00127C07">
              <w:rPr>
                <w:rFonts w:ascii="Arial" w:hAnsi="Arial" w:cs="Arial"/>
                <w:b/>
                <w:bCs/>
              </w:rPr>
              <w:t>.</w:t>
            </w:r>
          </w:p>
        </w:tc>
        <w:tc>
          <w:tcPr>
            <w:tcW w:w="1148" w:type="dxa"/>
            <w:tcBorders>
              <w:top w:val="single" w:sz="4" w:space="0" w:color="auto"/>
              <w:left w:val="nil"/>
              <w:bottom w:val="single" w:sz="4" w:space="0" w:color="auto"/>
              <w:right w:val="nil"/>
            </w:tcBorders>
            <w:shd w:val="clear" w:color="auto" w:fill="FDE9D9" w:themeFill="accent6" w:themeFillTint="33"/>
          </w:tcPr>
          <w:p w14:paraId="5011602F"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b/>
                <w:bCs/>
              </w:rPr>
              <w:t>Min</w:t>
            </w:r>
          </w:p>
        </w:tc>
        <w:tc>
          <w:tcPr>
            <w:tcW w:w="1134" w:type="dxa"/>
            <w:tcBorders>
              <w:top w:val="single" w:sz="4" w:space="0" w:color="auto"/>
              <w:left w:val="nil"/>
              <w:bottom w:val="single" w:sz="4" w:space="0" w:color="auto"/>
              <w:right w:val="nil"/>
            </w:tcBorders>
            <w:shd w:val="clear" w:color="auto" w:fill="FDE9D9" w:themeFill="accent6" w:themeFillTint="33"/>
          </w:tcPr>
          <w:p w14:paraId="45A3BA93"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b/>
                <w:bCs/>
              </w:rPr>
              <w:t>Max</w:t>
            </w:r>
          </w:p>
        </w:tc>
      </w:tr>
      <w:tr w:rsidR="00E52AC5" w:rsidRPr="00127C07" w14:paraId="1EB6DA3A" w14:textId="77777777" w:rsidTr="00E80C5E">
        <w:trPr>
          <w:trHeight w:val="246"/>
          <w:jc w:val="center"/>
        </w:trPr>
        <w:tc>
          <w:tcPr>
            <w:tcW w:w="1418" w:type="dxa"/>
            <w:tcBorders>
              <w:top w:val="single" w:sz="4" w:space="0" w:color="auto"/>
              <w:left w:val="nil"/>
              <w:bottom w:val="nil"/>
              <w:right w:val="nil"/>
            </w:tcBorders>
          </w:tcPr>
          <w:p w14:paraId="766BD5B0"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FDI</w:t>
            </w:r>
          </w:p>
        </w:tc>
        <w:tc>
          <w:tcPr>
            <w:tcW w:w="1276" w:type="dxa"/>
            <w:tcBorders>
              <w:top w:val="single" w:sz="4" w:space="0" w:color="auto"/>
              <w:left w:val="nil"/>
              <w:bottom w:val="nil"/>
              <w:right w:val="nil"/>
            </w:tcBorders>
          </w:tcPr>
          <w:p w14:paraId="21F1A83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single" w:sz="4" w:space="0" w:color="auto"/>
              <w:left w:val="nil"/>
              <w:bottom w:val="nil"/>
              <w:right w:val="nil"/>
            </w:tcBorders>
          </w:tcPr>
          <w:p w14:paraId="4ECE1EF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95494.42</w:t>
            </w:r>
          </w:p>
        </w:tc>
        <w:tc>
          <w:tcPr>
            <w:tcW w:w="1276" w:type="dxa"/>
            <w:tcBorders>
              <w:top w:val="single" w:sz="4" w:space="0" w:color="auto"/>
              <w:left w:val="nil"/>
              <w:bottom w:val="nil"/>
              <w:right w:val="nil"/>
            </w:tcBorders>
          </w:tcPr>
          <w:p w14:paraId="5486C84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131202.8</w:t>
            </w:r>
          </w:p>
        </w:tc>
        <w:tc>
          <w:tcPr>
            <w:tcW w:w="1148" w:type="dxa"/>
            <w:tcBorders>
              <w:top w:val="single" w:sz="4" w:space="0" w:color="auto"/>
              <w:left w:val="nil"/>
              <w:bottom w:val="nil"/>
              <w:right w:val="nil"/>
            </w:tcBorders>
          </w:tcPr>
          <w:p w14:paraId="51BEA19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8</w:t>
            </w:r>
          </w:p>
        </w:tc>
        <w:tc>
          <w:tcPr>
            <w:tcW w:w="1134" w:type="dxa"/>
            <w:tcBorders>
              <w:top w:val="single" w:sz="4" w:space="0" w:color="auto"/>
              <w:left w:val="nil"/>
              <w:bottom w:val="nil"/>
              <w:right w:val="nil"/>
            </w:tcBorders>
          </w:tcPr>
          <w:p w14:paraId="1948F39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630925.9</w:t>
            </w:r>
          </w:p>
        </w:tc>
      </w:tr>
      <w:tr w:rsidR="00E52AC5" w:rsidRPr="00127C07" w14:paraId="15E0161D" w14:textId="77777777" w:rsidTr="00E80C5E">
        <w:trPr>
          <w:trHeight w:val="246"/>
          <w:jc w:val="center"/>
        </w:trPr>
        <w:tc>
          <w:tcPr>
            <w:tcW w:w="1418" w:type="dxa"/>
            <w:tcBorders>
              <w:left w:val="nil"/>
              <w:bottom w:val="nil"/>
              <w:right w:val="nil"/>
            </w:tcBorders>
          </w:tcPr>
          <w:p w14:paraId="67DEB72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OPLA</w:t>
            </w:r>
          </w:p>
        </w:tc>
        <w:tc>
          <w:tcPr>
            <w:tcW w:w="1276" w:type="dxa"/>
            <w:tcBorders>
              <w:left w:val="nil"/>
              <w:bottom w:val="nil"/>
              <w:right w:val="nil"/>
            </w:tcBorders>
          </w:tcPr>
          <w:p w14:paraId="6624B24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left w:val="nil"/>
              <w:bottom w:val="nil"/>
              <w:right w:val="nil"/>
            </w:tcBorders>
          </w:tcPr>
          <w:p w14:paraId="28D80B3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116820.3</w:t>
            </w:r>
          </w:p>
        </w:tc>
        <w:tc>
          <w:tcPr>
            <w:tcW w:w="1276" w:type="dxa"/>
            <w:tcBorders>
              <w:left w:val="nil"/>
              <w:bottom w:val="nil"/>
              <w:right w:val="nil"/>
            </w:tcBorders>
          </w:tcPr>
          <w:p w14:paraId="0333D48B"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153156.2</w:t>
            </w:r>
          </w:p>
        </w:tc>
        <w:tc>
          <w:tcPr>
            <w:tcW w:w="1148" w:type="dxa"/>
            <w:tcBorders>
              <w:left w:val="nil"/>
              <w:bottom w:val="nil"/>
              <w:right w:val="nil"/>
            </w:tcBorders>
          </w:tcPr>
          <w:p w14:paraId="766D808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36</w:t>
            </w:r>
          </w:p>
        </w:tc>
        <w:tc>
          <w:tcPr>
            <w:tcW w:w="1134" w:type="dxa"/>
            <w:tcBorders>
              <w:left w:val="nil"/>
              <w:bottom w:val="nil"/>
              <w:right w:val="nil"/>
            </w:tcBorders>
          </w:tcPr>
          <w:p w14:paraId="61E7D4EB"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615556</w:t>
            </w:r>
          </w:p>
        </w:tc>
      </w:tr>
      <w:tr w:rsidR="00E52AC5" w:rsidRPr="00127C07" w14:paraId="7FE019CD" w14:textId="77777777" w:rsidTr="00E80C5E">
        <w:trPr>
          <w:trHeight w:val="260"/>
          <w:jc w:val="center"/>
        </w:trPr>
        <w:tc>
          <w:tcPr>
            <w:tcW w:w="1418" w:type="dxa"/>
            <w:tcBorders>
              <w:top w:val="nil"/>
              <w:left w:val="nil"/>
              <w:bottom w:val="nil"/>
              <w:right w:val="nil"/>
            </w:tcBorders>
          </w:tcPr>
          <w:p w14:paraId="50BD08BD"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IIGRDP</w:t>
            </w:r>
          </w:p>
        </w:tc>
        <w:tc>
          <w:tcPr>
            <w:tcW w:w="1276" w:type="dxa"/>
            <w:tcBorders>
              <w:top w:val="nil"/>
              <w:left w:val="nil"/>
              <w:bottom w:val="nil"/>
              <w:right w:val="nil"/>
            </w:tcBorders>
          </w:tcPr>
          <w:p w14:paraId="7F0508F5"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nil"/>
              <w:left w:val="nil"/>
              <w:bottom w:val="nil"/>
              <w:right w:val="nil"/>
            </w:tcBorders>
          </w:tcPr>
          <w:p w14:paraId="7F35981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154.3855</w:t>
            </w:r>
          </w:p>
        </w:tc>
        <w:tc>
          <w:tcPr>
            <w:tcW w:w="1276" w:type="dxa"/>
            <w:tcBorders>
              <w:top w:val="nil"/>
              <w:left w:val="nil"/>
              <w:bottom w:val="nil"/>
              <w:right w:val="nil"/>
            </w:tcBorders>
          </w:tcPr>
          <w:p w14:paraId="4618723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21.74034</w:t>
            </w:r>
          </w:p>
        </w:tc>
        <w:tc>
          <w:tcPr>
            <w:tcW w:w="1148" w:type="dxa"/>
            <w:tcBorders>
              <w:top w:val="nil"/>
              <w:left w:val="nil"/>
              <w:bottom w:val="nil"/>
              <w:right w:val="nil"/>
            </w:tcBorders>
          </w:tcPr>
          <w:p w14:paraId="32E262F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123.23</w:t>
            </w:r>
          </w:p>
        </w:tc>
        <w:tc>
          <w:tcPr>
            <w:tcW w:w="1134" w:type="dxa"/>
            <w:tcBorders>
              <w:top w:val="nil"/>
              <w:left w:val="nil"/>
              <w:bottom w:val="nil"/>
              <w:right w:val="nil"/>
            </w:tcBorders>
          </w:tcPr>
          <w:p w14:paraId="31FADC3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217.24</w:t>
            </w:r>
          </w:p>
        </w:tc>
      </w:tr>
      <w:tr w:rsidR="00E52AC5" w:rsidRPr="00127C07" w14:paraId="082DF4C1" w14:textId="77777777" w:rsidTr="00E80C5E">
        <w:trPr>
          <w:trHeight w:val="260"/>
          <w:jc w:val="center"/>
        </w:trPr>
        <w:tc>
          <w:tcPr>
            <w:tcW w:w="1418" w:type="dxa"/>
            <w:tcBorders>
              <w:top w:val="nil"/>
              <w:left w:val="nil"/>
              <w:right w:val="nil"/>
            </w:tcBorders>
          </w:tcPr>
          <w:p w14:paraId="534AC129"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DDI</w:t>
            </w:r>
          </w:p>
        </w:tc>
        <w:tc>
          <w:tcPr>
            <w:tcW w:w="1276" w:type="dxa"/>
            <w:tcBorders>
              <w:top w:val="nil"/>
              <w:left w:val="nil"/>
              <w:right w:val="nil"/>
            </w:tcBorders>
          </w:tcPr>
          <w:p w14:paraId="75E12D1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nil"/>
              <w:left w:val="nil"/>
              <w:right w:val="nil"/>
            </w:tcBorders>
          </w:tcPr>
          <w:p w14:paraId="5A8CAEF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3489030</w:t>
            </w:r>
          </w:p>
        </w:tc>
        <w:tc>
          <w:tcPr>
            <w:tcW w:w="1276" w:type="dxa"/>
            <w:tcBorders>
              <w:top w:val="nil"/>
              <w:left w:val="nil"/>
              <w:right w:val="nil"/>
            </w:tcBorders>
          </w:tcPr>
          <w:p w14:paraId="6221164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4414184</w:t>
            </w:r>
          </w:p>
        </w:tc>
        <w:tc>
          <w:tcPr>
            <w:tcW w:w="1148" w:type="dxa"/>
            <w:tcBorders>
              <w:top w:val="nil"/>
              <w:left w:val="nil"/>
              <w:right w:val="nil"/>
            </w:tcBorders>
          </w:tcPr>
          <w:p w14:paraId="2A60150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189188.7</w:t>
            </w:r>
          </w:p>
        </w:tc>
        <w:tc>
          <w:tcPr>
            <w:tcW w:w="1134" w:type="dxa"/>
            <w:tcBorders>
              <w:top w:val="nil"/>
              <w:left w:val="nil"/>
              <w:right w:val="nil"/>
            </w:tcBorders>
          </w:tcPr>
          <w:p w14:paraId="43149892"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2.05e+07</w:t>
            </w:r>
          </w:p>
        </w:tc>
      </w:tr>
      <w:tr w:rsidR="00E52AC5" w:rsidRPr="00127C07" w14:paraId="01B06C18" w14:textId="77777777" w:rsidTr="00E80C5E">
        <w:trPr>
          <w:trHeight w:val="260"/>
          <w:jc w:val="center"/>
        </w:trPr>
        <w:tc>
          <w:tcPr>
            <w:tcW w:w="1418" w:type="dxa"/>
            <w:tcBorders>
              <w:top w:val="nil"/>
              <w:left w:val="nil"/>
              <w:bottom w:val="single" w:sz="4" w:space="0" w:color="auto"/>
              <w:right w:val="nil"/>
            </w:tcBorders>
          </w:tcPr>
          <w:p w14:paraId="6613502D"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lastRenderedPageBreak/>
              <w:t>POP</w:t>
            </w:r>
          </w:p>
        </w:tc>
        <w:tc>
          <w:tcPr>
            <w:tcW w:w="1276" w:type="dxa"/>
            <w:tcBorders>
              <w:top w:val="nil"/>
              <w:left w:val="nil"/>
              <w:bottom w:val="single" w:sz="4" w:space="0" w:color="auto"/>
              <w:right w:val="nil"/>
            </w:tcBorders>
          </w:tcPr>
          <w:p w14:paraId="0DF7B3C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545" w:type="dxa"/>
            <w:tcBorders>
              <w:top w:val="nil"/>
              <w:left w:val="nil"/>
              <w:bottom w:val="single" w:sz="4" w:space="0" w:color="auto"/>
              <w:right w:val="nil"/>
            </w:tcBorders>
          </w:tcPr>
          <w:p w14:paraId="72B9971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1852267</w:t>
            </w:r>
          </w:p>
        </w:tc>
        <w:tc>
          <w:tcPr>
            <w:tcW w:w="1276" w:type="dxa"/>
            <w:tcBorders>
              <w:top w:val="nil"/>
              <w:left w:val="nil"/>
              <w:bottom w:val="single" w:sz="4" w:space="0" w:color="auto"/>
              <w:right w:val="nil"/>
            </w:tcBorders>
          </w:tcPr>
          <w:p w14:paraId="54E5279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2317909</w:t>
            </w:r>
          </w:p>
        </w:tc>
        <w:tc>
          <w:tcPr>
            <w:tcW w:w="1148" w:type="dxa"/>
            <w:tcBorders>
              <w:top w:val="nil"/>
              <w:left w:val="nil"/>
              <w:bottom w:val="single" w:sz="4" w:space="0" w:color="auto"/>
              <w:right w:val="nil"/>
            </w:tcBorders>
          </w:tcPr>
          <w:p w14:paraId="762D93F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52</w:t>
            </w:r>
          </w:p>
        </w:tc>
        <w:tc>
          <w:tcPr>
            <w:tcW w:w="1134" w:type="dxa"/>
            <w:tcBorders>
              <w:top w:val="nil"/>
              <w:left w:val="nil"/>
              <w:bottom w:val="single" w:sz="4" w:space="0" w:color="auto"/>
              <w:right w:val="nil"/>
            </w:tcBorders>
          </w:tcPr>
          <w:p w14:paraId="4D92541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7948189</w:t>
            </w:r>
          </w:p>
        </w:tc>
      </w:tr>
    </w:tbl>
    <w:bookmarkEnd w:id="9"/>
    <w:p w14:paraId="682F8C9D" w14:textId="1827E81E" w:rsidR="00E52AC5" w:rsidRPr="00127C07" w:rsidRDefault="00E52AC5" w:rsidP="00142BC0">
      <w:pPr>
        <w:pStyle w:val="AbstHead"/>
        <w:spacing w:after="0"/>
        <w:jc w:val="both"/>
        <w:rPr>
          <w:rFonts w:ascii="Arial" w:hAnsi="Arial" w:cs="Arial"/>
          <w:b w:val="0"/>
          <w:bCs/>
          <w:sz w:val="20"/>
          <w:szCs w:val="18"/>
        </w:rPr>
      </w:pPr>
      <w:r w:rsidRPr="00127C07">
        <w:rPr>
          <w:rFonts w:ascii="Arial" w:hAnsi="Arial" w:cs="Arial"/>
          <w:b w:val="0"/>
          <w:bCs/>
          <w:sz w:val="20"/>
          <w:szCs w:val="18"/>
        </w:rPr>
        <w:tab/>
        <w:t xml:space="preserve">Source: </w:t>
      </w:r>
      <w:r w:rsidR="005873C9" w:rsidRPr="00127C07">
        <w:rPr>
          <w:rFonts w:ascii="Arial" w:hAnsi="Arial" w:cs="Arial"/>
          <w:b w:val="0"/>
          <w:bCs/>
          <w:i/>
          <w:iCs/>
          <w:sz w:val="20"/>
          <w:szCs w:val="18"/>
        </w:rPr>
        <w:t xml:space="preserve">Authors’ </w:t>
      </w:r>
      <w:commentRangeStart w:id="10"/>
      <w:r w:rsidR="005873C9" w:rsidRPr="00127C07">
        <w:rPr>
          <w:rFonts w:ascii="Arial" w:hAnsi="Arial" w:cs="Arial"/>
          <w:b w:val="0"/>
          <w:bCs/>
          <w:i/>
          <w:iCs/>
          <w:sz w:val="20"/>
          <w:szCs w:val="18"/>
        </w:rPr>
        <w:t>computation</w:t>
      </w:r>
      <w:commentRangeEnd w:id="10"/>
      <w:r w:rsidR="00232203">
        <w:rPr>
          <w:rStyle w:val="CommentReference"/>
          <w:rFonts w:ascii="Times New Roman" w:hAnsi="Times New Roman"/>
          <w:b w:val="0"/>
          <w:caps w:val="0"/>
          <w:lang w:val="nb-NO" w:eastAsia="nb-NO"/>
        </w:rPr>
        <w:commentReference w:id="10"/>
      </w:r>
      <w:r w:rsidR="00232203">
        <w:rPr>
          <w:rFonts w:ascii="Arial" w:hAnsi="Arial" w:cs="Arial"/>
          <w:b w:val="0"/>
          <w:bCs/>
          <w:i/>
          <w:iCs/>
          <w:sz w:val="20"/>
          <w:szCs w:val="18"/>
        </w:rPr>
        <w:t xml:space="preserve"> </w:t>
      </w:r>
    </w:p>
    <w:p w14:paraId="401D7144" w14:textId="448F1080" w:rsidR="00F47A4C" w:rsidRPr="00127C07" w:rsidRDefault="00E52AC5" w:rsidP="00142BC0">
      <w:pPr>
        <w:pStyle w:val="AbstHead"/>
        <w:spacing w:after="0"/>
        <w:jc w:val="both"/>
        <w:rPr>
          <w:rFonts w:ascii="Arial" w:hAnsi="Arial" w:cs="Arial"/>
          <w:b w:val="0"/>
          <w:bCs/>
          <w:caps w:val="0"/>
          <w:sz w:val="20"/>
          <w:szCs w:val="18"/>
        </w:rPr>
      </w:pPr>
      <w:r w:rsidRPr="00127C07">
        <w:rPr>
          <w:rFonts w:ascii="Arial" w:hAnsi="Arial" w:cs="Arial"/>
          <w:b w:val="0"/>
          <w:bCs/>
          <w:sz w:val="20"/>
          <w:szCs w:val="18"/>
        </w:rPr>
        <w:tab/>
      </w:r>
      <w:r w:rsidR="00F47A4C" w:rsidRPr="00F47A4C">
        <w:rPr>
          <w:rFonts w:ascii="Arial" w:hAnsi="Arial" w:cs="Arial"/>
          <w:b w:val="0"/>
          <w:bCs/>
          <w:caps w:val="0"/>
          <w:sz w:val="20"/>
          <w:szCs w:val="18"/>
        </w:rPr>
        <w:t>Table 2 presents the descriptive statistics of the variables based on 60 observations. The average value of FDI is 95,494.42 with a standard deviation of 131,202.8, indicating substantial variation across regions and time. The minimum and maximum FDI values, 8 and 630,925.9 respectively, reflect significant disparities in investment inflows. OPLA has a mean of 116,820.3 and a standard deviation of 153,156.2, ranging from 36 to 615,556, suggesting large differences in land area. IIGRDP shows a more stable pattern, with a mean of 154.39, a standard deviation of 21.74, and a range between 123.23 and 217.24. DDI records an average of 3,489,030 with a high standard deviation of 4,414,184, and ranges from 189,188.7 to 20,500,000, indicating strong variability. POP also shows wide variation, with a mean of 1,852,267, a standard deviation of 2,317,909, and values ranging from 52 to 7,948,189, reflecting substantial demographic differences</w:t>
      </w:r>
      <w:r w:rsidRPr="00127C07">
        <w:rPr>
          <w:rFonts w:ascii="Arial" w:hAnsi="Arial" w:cs="Arial"/>
          <w:b w:val="0"/>
          <w:bCs/>
          <w:caps w:val="0"/>
          <w:sz w:val="20"/>
          <w:szCs w:val="18"/>
        </w:rPr>
        <w:t>.</w:t>
      </w:r>
    </w:p>
    <w:p w14:paraId="3C3BE4AF" w14:textId="77777777" w:rsidR="00E52AC5" w:rsidRPr="00127C07" w:rsidRDefault="00E52AC5" w:rsidP="00142BC0">
      <w:pPr>
        <w:pStyle w:val="AbstHead"/>
        <w:spacing w:after="0"/>
        <w:jc w:val="both"/>
        <w:rPr>
          <w:rFonts w:ascii="Arial" w:hAnsi="Arial" w:cs="Arial"/>
          <w:b w:val="0"/>
          <w:bCs/>
          <w:sz w:val="18"/>
          <w:szCs w:val="16"/>
        </w:rPr>
      </w:pPr>
      <w:r w:rsidRPr="00127C07">
        <w:rPr>
          <w:rFonts w:ascii="Arial" w:hAnsi="Arial" w:cs="Arial"/>
          <w:caps w:val="0"/>
          <w:sz w:val="20"/>
          <w:szCs w:val="18"/>
        </w:rPr>
        <w:t>3.1.1 Specification Test</w:t>
      </w:r>
    </w:p>
    <w:p w14:paraId="60C0E8D6" w14:textId="63DD6DC3" w:rsidR="00E52AC5" w:rsidRPr="00127C07" w:rsidRDefault="00E52AC5" w:rsidP="00142BC0">
      <w:pPr>
        <w:tabs>
          <w:tab w:val="left" w:pos="1080"/>
        </w:tabs>
        <w:rPr>
          <w:rFonts w:ascii="Arial" w:hAnsi="Arial" w:cs="Arial"/>
          <w:b/>
          <w:szCs w:val="18"/>
        </w:rPr>
      </w:pPr>
      <w:r w:rsidRPr="00127C07">
        <w:rPr>
          <w:rFonts w:ascii="Arial" w:hAnsi="Arial" w:cs="Arial"/>
          <w:b/>
          <w:szCs w:val="18"/>
        </w:rPr>
        <w:t xml:space="preserve">Table </w:t>
      </w:r>
      <w:r w:rsidR="00142BC0">
        <w:rPr>
          <w:rFonts w:ascii="Arial" w:hAnsi="Arial" w:cs="Arial"/>
          <w:b/>
          <w:szCs w:val="18"/>
        </w:rPr>
        <w:t>3</w:t>
      </w:r>
      <w:r w:rsidRPr="00127C07">
        <w:rPr>
          <w:rFonts w:ascii="Arial" w:hAnsi="Arial" w:cs="Arial"/>
          <w:b/>
          <w:szCs w:val="18"/>
        </w:rPr>
        <w:t>.</w:t>
      </w:r>
      <w:r w:rsidRPr="00127C07">
        <w:rPr>
          <w:rFonts w:ascii="Arial" w:hAnsi="Arial" w:cs="Arial"/>
          <w:b/>
          <w:szCs w:val="18"/>
        </w:rPr>
        <w:tab/>
        <w:t>Result of Estimation Panel Data Regression: CEM, REM, FEM</w:t>
      </w:r>
    </w:p>
    <w:tbl>
      <w:tblPr>
        <w:tblW w:w="8010" w:type="dxa"/>
        <w:jc w:val="center"/>
        <w:tblLayout w:type="fixed"/>
        <w:tblLook w:val="0000" w:firstRow="0" w:lastRow="0" w:firstColumn="0" w:lastColumn="0" w:noHBand="0" w:noVBand="0"/>
      </w:tblPr>
      <w:tblGrid>
        <w:gridCol w:w="1985"/>
        <w:gridCol w:w="1984"/>
        <w:gridCol w:w="1985"/>
        <w:gridCol w:w="2056"/>
      </w:tblGrid>
      <w:tr w:rsidR="00E52AC5" w:rsidRPr="00127C07" w14:paraId="206947A5" w14:textId="77777777" w:rsidTr="00BD42DC">
        <w:trPr>
          <w:trHeight w:val="100"/>
          <w:jc w:val="center"/>
        </w:trPr>
        <w:tc>
          <w:tcPr>
            <w:tcW w:w="1985" w:type="dxa"/>
            <w:tcBorders>
              <w:top w:val="single" w:sz="4" w:space="0" w:color="auto"/>
              <w:left w:val="nil"/>
              <w:bottom w:val="nil"/>
              <w:right w:val="nil"/>
            </w:tcBorders>
            <w:shd w:val="clear" w:color="auto" w:fill="FDE9D9" w:themeFill="accent6" w:themeFillTint="33"/>
          </w:tcPr>
          <w:p w14:paraId="63B153B9"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Estimation</w:t>
            </w:r>
          </w:p>
        </w:tc>
        <w:tc>
          <w:tcPr>
            <w:tcW w:w="1984" w:type="dxa"/>
            <w:tcBorders>
              <w:top w:val="single" w:sz="4" w:space="0" w:color="auto"/>
              <w:left w:val="nil"/>
              <w:bottom w:val="nil"/>
              <w:right w:val="nil"/>
            </w:tcBorders>
            <w:shd w:val="clear" w:color="auto" w:fill="FDE9D9" w:themeFill="accent6" w:themeFillTint="33"/>
          </w:tcPr>
          <w:p w14:paraId="24E5D552"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CEM</w:t>
            </w:r>
          </w:p>
        </w:tc>
        <w:tc>
          <w:tcPr>
            <w:tcW w:w="1985" w:type="dxa"/>
            <w:tcBorders>
              <w:top w:val="single" w:sz="4" w:space="0" w:color="auto"/>
              <w:left w:val="nil"/>
              <w:bottom w:val="nil"/>
              <w:right w:val="nil"/>
            </w:tcBorders>
            <w:shd w:val="clear" w:color="auto" w:fill="FDE9D9" w:themeFill="accent6" w:themeFillTint="33"/>
          </w:tcPr>
          <w:p w14:paraId="203580F5"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REM</w:t>
            </w:r>
          </w:p>
        </w:tc>
        <w:tc>
          <w:tcPr>
            <w:tcW w:w="2056" w:type="dxa"/>
            <w:tcBorders>
              <w:top w:val="single" w:sz="4" w:space="0" w:color="auto"/>
              <w:left w:val="nil"/>
              <w:bottom w:val="nil"/>
              <w:right w:val="nil"/>
            </w:tcBorders>
            <w:shd w:val="clear" w:color="auto" w:fill="FDE9D9" w:themeFill="accent6" w:themeFillTint="33"/>
          </w:tcPr>
          <w:p w14:paraId="3FA10C7F"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FEM</w:t>
            </w:r>
          </w:p>
        </w:tc>
      </w:tr>
      <w:tr w:rsidR="00E52AC5" w:rsidRPr="00127C07" w14:paraId="073D062C" w14:textId="77777777" w:rsidTr="00BD42DC">
        <w:trPr>
          <w:trHeight w:val="100"/>
          <w:jc w:val="center"/>
        </w:trPr>
        <w:tc>
          <w:tcPr>
            <w:tcW w:w="1985" w:type="dxa"/>
            <w:tcBorders>
              <w:top w:val="single" w:sz="4" w:space="0" w:color="auto"/>
              <w:left w:val="nil"/>
              <w:bottom w:val="nil"/>
              <w:right w:val="nil"/>
            </w:tcBorders>
            <w:shd w:val="clear" w:color="auto" w:fill="FDE9D9" w:themeFill="accent6" w:themeFillTint="33"/>
          </w:tcPr>
          <w:p w14:paraId="01EE40D0" w14:textId="77777777" w:rsidR="00E52AC5" w:rsidRPr="00127C07" w:rsidRDefault="00E52AC5" w:rsidP="00142BC0">
            <w:pPr>
              <w:widowControl w:val="0"/>
              <w:autoSpaceDE w:val="0"/>
              <w:autoSpaceDN w:val="0"/>
              <w:adjustRightInd w:val="0"/>
              <w:jc w:val="center"/>
              <w:rPr>
                <w:rFonts w:ascii="Arial" w:hAnsi="Arial" w:cs="Arial"/>
                <w:b/>
                <w:bCs/>
              </w:rPr>
            </w:pPr>
            <w:r w:rsidRPr="00127C07">
              <w:rPr>
                <w:rFonts w:ascii="Arial" w:hAnsi="Arial" w:cs="Arial"/>
                <w:b/>
                <w:bCs/>
              </w:rPr>
              <w:t>Variables</w:t>
            </w:r>
          </w:p>
          <w:p w14:paraId="2C39240F" w14:textId="77777777" w:rsidR="00E52AC5" w:rsidRPr="00127C07" w:rsidRDefault="00E52AC5" w:rsidP="00142BC0">
            <w:pPr>
              <w:widowControl w:val="0"/>
              <w:autoSpaceDE w:val="0"/>
              <w:autoSpaceDN w:val="0"/>
              <w:adjustRightInd w:val="0"/>
              <w:jc w:val="center"/>
              <w:rPr>
                <w:rFonts w:ascii="Arial" w:hAnsi="Arial" w:cs="Arial"/>
                <w:b/>
                <w:bCs/>
              </w:rPr>
            </w:pPr>
          </w:p>
        </w:tc>
        <w:tc>
          <w:tcPr>
            <w:tcW w:w="1984" w:type="dxa"/>
            <w:tcBorders>
              <w:top w:val="single" w:sz="4" w:space="0" w:color="auto"/>
              <w:left w:val="nil"/>
              <w:bottom w:val="nil"/>
              <w:right w:val="nil"/>
            </w:tcBorders>
            <w:shd w:val="clear" w:color="auto" w:fill="FDE9D9" w:themeFill="accent6" w:themeFillTint="33"/>
          </w:tcPr>
          <w:p w14:paraId="27292BA5" w14:textId="1D997D3C" w:rsidR="00E52AC5" w:rsidRPr="00127C07" w:rsidRDefault="00127C07" w:rsidP="00142BC0">
            <w:pPr>
              <w:widowControl w:val="0"/>
              <w:autoSpaceDE w:val="0"/>
              <w:autoSpaceDN w:val="0"/>
              <w:adjustRightInd w:val="0"/>
              <w:jc w:val="center"/>
              <w:rPr>
                <w:rFonts w:ascii="Arial" w:hAnsi="Arial" w:cs="Arial"/>
              </w:rPr>
            </w:pPr>
            <w:r>
              <w:rPr>
                <w:rFonts w:ascii="Arial" w:hAnsi="Arial" w:cs="Arial"/>
              </w:rPr>
              <w:t>FDI</w:t>
            </w:r>
          </w:p>
        </w:tc>
        <w:tc>
          <w:tcPr>
            <w:tcW w:w="1985" w:type="dxa"/>
            <w:tcBorders>
              <w:top w:val="single" w:sz="4" w:space="0" w:color="auto"/>
              <w:left w:val="nil"/>
              <w:bottom w:val="nil"/>
              <w:right w:val="nil"/>
            </w:tcBorders>
            <w:shd w:val="clear" w:color="auto" w:fill="FDE9D9" w:themeFill="accent6" w:themeFillTint="33"/>
          </w:tcPr>
          <w:p w14:paraId="717C1B66" w14:textId="0E429C91" w:rsidR="00E52AC5" w:rsidRPr="00127C07" w:rsidRDefault="00127C07" w:rsidP="00142BC0">
            <w:pPr>
              <w:widowControl w:val="0"/>
              <w:autoSpaceDE w:val="0"/>
              <w:autoSpaceDN w:val="0"/>
              <w:adjustRightInd w:val="0"/>
              <w:jc w:val="center"/>
              <w:rPr>
                <w:rFonts w:ascii="Arial" w:hAnsi="Arial" w:cs="Arial"/>
              </w:rPr>
            </w:pPr>
            <w:r>
              <w:rPr>
                <w:rFonts w:ascii="Arial" w:hAnsi="Arial" w:cs="Arial"/>
              </w:rPr>
              <w:t>FDI</w:t>
            </w:r>
          </w:p>
        </w:tc>
        <w:tc>
          <w:tcPr>
            <w:tcW w:w="2056" w:type="dxa"/>
            <w:tcBorders>
              <w:top w:val="single" w:sz="4" w:space="0" w:color="auto"/>
              <w:left w:val="nil"/>
              <w:bottom w:val="nil"/>
              <w:right w:val="nil"/>
            </w:tcBorders>
            <w:shd w:val="clear" w:color="auto" w:fill="FDE9D9" w:themeFill="accent6" w:themeFillTint="33"/>
          </w:tcPr>
          <w:p w14:paraId="41341CAE" w14:textId="64F1DA09" w:rsidR="00E52AC5" w:rsidRPr="00127C07" w:rsidRDefault="00127C07" w:rsidP="00142BC0">
            <w:pPr>
              <w:widowControl w:val="0"/>
              <w:autoSpaceDE w:val="0"/>
              <w:autoSpaceDN w:val="0"/>
              <w:adjustRightInd w:val="0"/>
              <w:jc w:val="center"/>
              <w:rPr>
                <w:rFonts w:ascii="Arial" w:hAnsi="Arial" w:cs="Arial"/>
              </w:rPr>
            </w:pPr>
            <w:r>
              <w:rPr>
                <w:rFonts w:ascii="Arial" w:hAnsi="Arial" w:cs="Arial"/>
              </w:rPr>
              <w:t>FDI</w:t>
            </w:r>
          </w:p>
        </w:tc>
      </w:tr>
      <w:tr w:rsidR="00E52AC5" w:rsidRPr="00127C07" w14:paraId="7E7DD59D" w14:textId="77777777" w:rsidTr="00E80C5E">
        <w:trPr>
          <w:trHeight w:val="100"/>
          <w:jc w:val="center"/>
        </w:trPr>
        <w:tc>
          <w:tcPr>
            <w:tcW w:w="1985" w:type="dxa"/>
            <w:tcBorders>
              <w:top w:val="single" w:sz="4" w:space="0" w:color="auto"/>
              <w:left w:val="nil"/>
              <w:bottom w:val="nil"/>
              <w:right w:val="nil"/>
            </w:tcBorders>
          </w:tcPr>
          <w:p w14:paraId="4B2279FC" w14:textId="77777777" w:rsidR="00E52AC5" w:rsidRPr="00127C07" w:rsidRDefault="00E52AC5" w:rsidP="00142BC0">
            <w:pPr>
              <w:widowControl w:val="0"/>
              <w:autoSpaceDE w:val="0"/>
              <w:autoSpaceDN w:val="0"/>
              <w:adjustRightInd w:val="0"/>
              <w:rPr>
                <w:rFonts w:ascii="Arial" w:hAnsi="Arial" w:cs="Arial"/>
              </w:rPr>
            </w:pPr>
            <w:r w:rsidRPr="00127C07">
              <w:rPr>
                <w:rFonts w:ascii="Arial" w:hAnsi="Arial" w:cs="Arial"/>
              </w:rPr>
              <w:t>OPLA</w:t>
            </w:r>
          </w:p>
        </w:tc>
        <w:tc>
          <w:tcPr>
            <w:tcW w:w="1984" w:type="dxa"/>
            <w:tcBorders>
              <w:top w:val="single" w:sz="4" w:space="0" w:color="auto"/>
              <w:left w:val="nil"/>
              <w:bottom w:val="nil"/>
              <w:right w:val="nil"/>
            </w:tcBorders>
          </w:tcPr>
          <w:p w14:paraId="04AE94A3"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0.272**</w:t>
            </w:r>
          </w:p>
        </w:tc>
        <w:tc>
          <w:tcPr>
            <w:tcW w:w="1985" w:type="dxa"/>
            <w:tcBorders>
              <w:top w:val="single" w:sz="4" w:space="0" w:color="auto"/>
              <w:left w:val="nil"/>
              <w:bottom w:val="nil"/>
              <w:right w:val="nil"/>
            </w:tcBorders>
          </w:tcPr>
          <w:p w14:paraId="3888EDC2"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0.265***</w:t>
            </w:r>
          </w:p>
        </w:tc>
        <w:tc>
          <w:tcPr>
            <w:tcW w:w="2056" w:type="dxa"/>
            <w:tcBorders>
              <w:top w:val="single" w:sz="4" w:space="0" w:color="auto"/>
              <w:left w:val="nil"/>
              <w:bottom w:val="nil"/>
              <w:right w:val="nil"/>
            </w:tcBorders>
          </w:tcPr>
          <w:p w14:paraId="7815FC52"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0.311**</w:t>
            </w:r>
          </w:p>
        </w:tc>
      </w:tr>
      <w:tr w:rsidR="00E52AC5" w:rsidRPr="00127C07" w14:paraId="7834498F" w14:textId="77777777" w:rsidTr="00E80C5E">
        <w:trPr>
          <w:trHeight w:val="100"/>
          <w:jc w:val="center"/>
        </w:trPr>
        <w:tc>
          <w:tcPr>
            <w:tcW w:w="1985" w:type="dxa"/>
            <w:tcBorders>
              <w:top w:val="nil"/>
              <w:left w:val="nil"/>
              <w:bottom w:val="nil"/>
              <w:right w:val="nil"/>
            </w:tcBorders>
          </w:tcPr>
          <w:p w14:paraId="3C78E3BE" w14:textId="77777777" w:rsidR="00E52AC5" w:rsidRPr="00127C07" w:rsidRDefault="00E52AC5" w:rsidP="00142BC0">
            <w:pPr>
              <w:widowControl w:val="0"/>
              <w:autoSpaceDE w:val="0"/>
              <w:autoSpaceDN w:val="0"/>
              <w:adjustRightInd w:val="0"/>
              <w:rPr>
                <w:rFonts w:ascii="Arial" w:hAnsi="Arial" w:cs="Arial"/>
              </w:rPr>
            </w:pPr>
          </w:p>
        </w:tc>
        <w:tc>
          <w:tcPr>
            <w:tcW w:w="1984" w:type="dxa"/>
            <w:tcBorders>
              <w:top w:val="nil"/>
              <w:left w:val="nil"/>
              <w:bottom w:val="nil"/>
              <w:right w:val="nil"/>
            </w:tcBorders>
          </w:tcPr>
          <w:p w14:paraId="04C5C5AC"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(0.108)</w:t>
            </w:r>
          </w:p>
        </w:tc>
        <w:tc>
          <w:tcPr>
            <w:tcW w:w="1985" w:type="dxa"/>
            <w:tcBorders>
              <w:top w:val="nil"/>
              <w:left w:val="nil"/>
              <w:bottom w:val="nil"/>
              <w:right w:val="nil"/>
            </w:tcBorders>
          </w:tcPr>
          <w:p w14:paraId="323CFC33"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(0.0995)</w:t>
            </w:r>
          </w:p>
        </w:tc>
        <w:tc>
          <w:tcPr>
            <w:tcW w:w="2056" w:type="dxa"/>
            <w:tcBorders>
              <w:top w:val="nil"/>
              <w:left w:val="nil"/>
              <w:bottom w:val="nil"/>
              <w:right w:val="nil"/>
            </w:tcBorders>
          </w:tcPr>
          <w:p w14:paraId="68A40A84" w14:textId="77777777"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(0.108)</w:t>
            </w:r>
          </w:p>
        </w:tc>
      </w:tr>
      <w:tr w:rsidR="00E52AC5" w:rsidRPr="00127C07" w14:paraId="70903BEF" w14:textId="77777777" w:rsidTr="00E80C5E">
        <w:trPr>
          <w:trHeight w:val="100"/>
          <w:jc w:val="center"/>
        </w:trPr>
        <w:tc>
          <w:tcPr>
            <w:tcW w:w="1985" w:type="dxa"/>
            <w:tcBorders>
              <w:top w:val="nil"/>
              <w:left w:val="nil"/>
              <w:bottom w:val="nil"/>
              <w:right w:val="nil"/>
            </w:tcBorders>
          </w:tcPr>
          <w:p w14:paraId="08F6EA77"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IIGRDP</w:t>
            </w:r>
          </w:p>
        </w:tc>
        <w:tc>
          <w:tcPr>
            <w:tcW w:w="1984" w:type="dxa"/>
            <w:tcBorders>
              <w:top w:val="nil"/>
              <w:left w:val="nil"/>
              <w:bottom w:val="nil"/>
              <w:right w:val="nil"/>
            </w:tcBorders>
          </w:tcPr>
          <w:p w14:paraId="038D7FE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1,178**</w:t>
            </w:r>
          </w:p>
        </w:tc>
        <w:tc>
          <w:tcPr>
            <w:tcW w:w="1985" w:type="dxa"/>
            <w:tcBorders>
              <w:top w:val="nil"/>
              <w:left w:val="nil"/>
              <w:bottom w:val="nil"/>
              <w:right w:val="nil"/>
            </w:tcBorders>
          </w:tcPr>
          <w:p w14:paraId="6671260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1,279***</w:t>
            </w:r>
          </w:p>
        </w:tc>
        <w:tc>
          <w:tcPr>
            <w:tcW w:w="2056" w:type="dxa"/>
            <w:tcBorders>
              <w:top w:val="nil"/>
              <w:left w:val="nil"/>
              <w:bottom w:val="nil"/>
              <w:right w:val="nil"/>
            </w:tcBorders>
          </w:tcPr>
          <w:p w14:paraId="1DCD85B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1,255**</w:t>
            </w:r>
          </w:p>
        </w:tc>
      </w:tr>
      <w:tr w:rsidR="00E52AC5" w:rsidRPr="00127C07" w14:paraId="0A0FC593" w14:textId="77777777" w:rsidTr="00E80C5E">
        <w:trPr>
          <w:trHeight w:val="100"/>
          <w:jc w:val="center"/>
        </w:trPr>
        <w:tc>
          <w:tcPr>
            <w:tcW w:w="1985" w:type="dxa"/>
            <w:tcBorders>
              <w:top w:val="nil"/>
              <w:left w:val="nil"/>
              <w:bottom w:val="nil"/>
              <w:right w:val="nil"/>
            </w:tcBorders>
          </w:tcPr>
          <w:p w14:paraId="68583A54"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bottom w:val="nil"/>
              <w:right w:val="nil"/>
            </w:tcBorders>
          </w:tcPr>
          <w:p w14:paraId="1BC2A81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(510.0)</w:t>
            </w:r>
          </w:p>
        </w:tc>
        <w:tc>
          <w:tcPr>
            <w:tcW w:w="1985" w:type="dxa"/>
            <w:tcBorders>
              <w:top w:val="nil"/>
              <w:left w:val="nil"/>
              <w:bottom w:val="nil"/>
              <w:right w:val="nil"/>
            </w:tcBorders>
          </w:tcPr>
          <w:p w14:paraId="15B86D8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(471.9)</w:t>
            </w:r>
          </w:p>
        </w:tc>
        <w:tc>
          <w:tcPr>
            <w:tcW w:w="2056" w:type="dxa"/>
            <w:tcBorders>
              <w:top w:val="nil"/>
              <w:left w:val="nil"/>
              <w:bottom w:val="nil"/>
              <w:right w:val="nil"/>
            </w:tcBorders>
          </w:tcPr>
          <w:p w14:paraId="5F4F8E3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(512.9)</w:t>
            </w:r>
          </w:p>
        </w:tc>
      </w:tr>
      <w:tr w:rsidR="00E52AC5" w:rsidRPr="00127C07" w14:paraId="4EE2F1C3" w14:textId="77777777" w:rsidTr="00E80C5E">
        <w:trPr>
          <w:trHeight w:val="94"/>
          <w:jc w:val="center"/>
        </w:trPr>
        <w:tc>
          <w:tcPr>
            <w:tcW w:w="1985" w:type="dxa"/>
            <w:tcBorders>
              <w:top w:val="nil"/>
              <w:left w:val="nil"/>
              <w:bottom w:val="nil"/>
              <w:right w:val="nil"/>
            </w:tcBorders>
          </w:tcPr>
          <w:p w14:paraId="1A1B59F8"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DDI</w:t>
            </w:r>
          </w:p>
        </w:tc>
        <w:tc>
          <w:tcPr>
            <w:tcW w:w="1984" w:type="dxa"/>
            <w:tcBorders>
              <w:top w:val="nil"/>
              <w:left w:val="nil"/>
              <w:bottom w:val="nil"/>
              <w:right w:val="nil"/>
            </w:tcBorders>
          </w:tcPr>
          <w:p w14:paraId="26573019"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0.0118***</w:t>
            </w:r>
          </w:p>
        </w:tc>
        <w:tc>
          <w:tcPr>
            <w:tcW w:w="1985" w:type="dxa"/>
            <w:tcBorders>
              <w:top w:val="nil"/>
              <w:left w:val="nil"/>
              <w:bottom w:val="nil"/>
              <w:right w:val="nil"/>
            </w:tcBorders>
          </w:tcPr>
          <w:p w14:paraId="79DD00F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0.0106***</w:t>
            </w:r>
          </w:p>
        </w:tc>
        <w:tc>
          <w:tcPr>
            <w:tcW w:w="2056" w:type="dxa"/>
            <w:tcBorders>
              <w:top w:val="nil"/>
              <w:left w:val="nil"/>
              <w:bottom w:val="nil"/>
              <w:right w:val="nil"/>
            </w:tcBorders>
          </w:tcPr>
          <w:p w14:paraId="2E7B651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0.00817*</w:t>
            </w:r>
          </w:p>
        </w:tc>
      </w:tr>
      <w:tr w:rsidR="00E52AC5" w:rsidRPr="00127C07" w14:paraId="2A9B984E" w14:textId="77777777" w:rsidTr="00E80C5E">
        <w:trPr>
          <w:trHeight w:val="100"/>
          <w:jc w:val="center"/>
        </w:trPr>
        <w:tc>
          <w:tcPr>
            <w:tcW w:w="1985" w:type="dxa"/>
            <w:tcBorders>
              <w:top w:val="nil"/>
              <w:left w:val="nil"/>
              <w:bottom w:val="nil"/>
              <w:right w:val="nil"/>
            </w:tcBorders>
          </w:tcPr>
          <w:p w14:paraId="736192B7"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bottom w:val="nil"/>
              <w:right w:val="nil"/>
            </w:tcBorders>
          </w:tcPr>
          <w:p w14:paraId="01465E4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(0.00247)</w:t>
            </w:r>
          </w:p>
        </w:tc>
        <w:tc>
          <w:tcPr>
            <w:tcW w:w="1985" w:type="dxa"/>
            <w:tcBorders>
              <w:top w:val="nil"/>
              <w:left w:val="nil"/>
              <w:bottom w:val="nil"/>
              <w:right w:val="nil"/>
            </w:tcBorders>
          </w:tcPr>
          <w:p w14:paraId="039AD37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(0.00332)</w:t>
            </w:r>
          </w:p>
        </w:tc>
        <w:tc>
          <w:tcPr>
            <w:tcW w:w="2056" w:type="dxa"/>
            <w:tcBorders>
              <w:top w:val="nil"/>
              <w:left w:val="nil"/>
              <w:bottom w:val="nil"/>
              <w:right w:val="nil"/>
            </w:tcBorders>
          </w:tcPr>
          <w:p w14:paraId="65AFF6C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(0.00453)</w:t>
            </w:r>
          </w:p>
        </w:tc>
      </w:tr>
      <w:tr w:rsidR="00E52AC5" w:rsidRPr="00127C07" w14:paraId="6EF61892" w14:textId="77777777" w:rsidTr="00E80C5E">
        <w:trPr>
          <w:trHeight w:val="100"/>
          <w:jc w:val="center"/>
        </w:trPr>
        <w:tc>
          <w:tcPr>
            <w:tcW w:w="1985" w:type="dxa"/>
            <w:tcBorders>
              <w:top w:val="nil"/>
              <w:left w:val="nil"/>
              <w:bottom w:val="nil"/>
              <w:right w:val="nil"/>
            </w:tcBorders>
          </w:tcPr>
          <w:p w14:paraId="2E2EB8A9"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POP</w:t>
            </w:r>
          </w:p>
        </w:tc>
        <w:tc>
          <w:tcPr>
            <w:tcW w:w="1984" w:type="dxa"/>
            <w:tcBorders>
              <w:top w:val="nil"/>
              <w:left w:val="nil"/>
              <w:bottom w:val="nil"/>
              <w:right w:val="nil"/>
            </w:tcBorders>
          </w:tcPr>
          <w:p w14:paraId="516EFA7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0.0224***</w:t>
            </w:r>
          </w:p>
        </w:tc>
        <w:tc>
          <w:tcPr>
            <w:tcW w:w="1985" w:type="dxa"/>
            <w:tcBorders>
              <w:top w:val="nil"/>
              <w:left w:val="nil"/>
              <w:bottom w:val="nil"/>
              <w:right w:val="nil"/>
            </w:tcBorders>
          </w:tcPr>
          <w:p w14:paraId="298AB318"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0.0268***</w:t>
            </w:r>
          </w:p>
        </w:tc>
        <w:tc>
          <w:tcPr>
            <w:tcW w:w="2056" w:type="dxa"/>
            <w:tcBorders>
              <w:top w:val="nil"/>
              <w:left w:val="nil"/>
              <w:bottom w:val="nil"/>
              <w:right w:val="nil"/>
            </w:tcBorders>
          </w:tcPr>
          <w:p w14:paraId="490564B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0.0582***</w:t>
            </w:r>
          </w:p>
        </w:tc>
      </w:tr>
      <w:tr w:rsidR="00E52AC5" w:rsidRPr="00127C07" w14:paraId="2475265E" w14:textId="77777777" w:rsidTr="00E80C5E">
        <w:trPr>
          <w:trHeight w:val="100"/>
          <w:jc w:val="center"/>
        </w:trPr>
        <w:tc>
          <w:tcPr>
            <w:tcW w:w="1985" w:type="dxa"/>
            <w:tcBorders>
              <w:top w:val="nil"/>
              <w:left w:val="nil"/>
              <w:bottom w:val="nil"/>
              <w:right w:val="nil"/>
            </w:tcBorders>
          </w:tcPr>
          <w:p w14:paraId="7219938B"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bottom w:val="nil"/>
              <w:right w:val="nil"/>
            </w:tcBorders>
          </w:tcPr>
          <w:p w14:paraId="5A3E3B19"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(0.00708)</w:t>
            </w:r>
          </w:p>
        </w:tc>
        <w:tc>
          <w:tcPr>
            <w:tcW w:w="1985" w:type="dxa"/>
            <w:tcBorders>
              <w:top w:val="nil"/>
              <w:left w:val="nil"/>
              <w:bottom w:val="nil"/>
              <w:right w:val="nil"/>
            </w:tcBorders>
          </w:tcPr>
          <w:p w14:paraId="206E14D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(0.00907)</w:t>
            </w:r>
          </w:p>
        </w:tc>
        <w:tc>
          <w:tcPr>
            <w:tcW w:w="2056" w:type="dxa"/>
            <w:tcBorders>
              <w:top w:val="nil"/>
              <w:left w:val="nil"/>
              <w:bottom w:val="nil"/>
              <w:right w:val="nil"/>
            </w:tcBorders>
          </w:tcPr>
          <w:p w14:paraId="3A21242A"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(0.0210)</w:t>
            </w:r>
          </w:p>
        </w:tc>
      </w:tr>
      <w:tr w:rsidR="00E52AC5" w:rsidRPr="00127C07" w14:paraId="27F0D68A" w14:textId="77777777" w:rsidTr="00E80C5E">
        <w:trPr>
          <w:trHeight w:val="100"/>
          <w:jc w:val="center"/>
        </w:trPr>
        <w:tc>
          <w:tcPr>
            <w:tcW w:w="1985" w:type="dxa"/>
            <w:tcBorders>
              <w:top w:val="nil"/>
              <w:left w:val="nil"/>
              <w:bottom w:val="nil"/>
              <w:right w:val="nil"/>
            </w:tcBorders>
          </w:tcPr>
          <w:p w14:paraId="3D4DA616"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Constant</w:t>
            </w:r>
          </w:p>
        </w:tc>
        <w:tc>
          <w:tcPr>
            <w:tcW w:w="1984" w:type="dxa"/>
            <w:tcBorders>
              <w:top w:val="nil"/>
              <w:left w:val="nil"/>
              <w:bottom w:val="nil"/>
              <w:right w:val="nil"/>
            </w:tcBorders>
          </w:tcPr>
          <w:p w14:paraId="66E96DD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-200,853**</w:t>
            </w:r>
          </w:p>
        </w:tc>
        <w:tc>
          <w:tcPr>
            <w:tcW w:w="1985" w:type="dxa"/>
            <w:tcBorders>
              <w:top w:val="nil"/>
              <w:left w:val="nil"/>
              <w:bottom w:val="nil"/>
              <w:right w:val="nil"/>
            </w:tcBorders>
          </w:tcPr>
          <w:p w14:paraId="24278E66"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-219,656***</w:t>
            </w:r>
          </w:p>
        </w:tc>
        <w:tc>
          <w:tcPr>
            <w:tcW w:w="2056" w:type="dxa"/>
            <w:tcBorders>
              <w:top w:val="nil"/>
              <w:left w:val="nil"/>
              <w:bottom w:val="nil"/>
              <w:right w:val="nil"/>
            </w:tcBorders>
          </w:tcPr>
          <w:p w14:paraId="1C8EA8D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-270,955***</w:t>
            </w:r>
          </w:p>
        </w:tc>
      </w:tr>
      <w:tr w:rsidR="00E52AC5" w:rsidRPr="00127C07" w14:paraId="139D858F" w14:textId="77777777" w:rsidTr="00E80C5E">
        <w:trPr>
          <w:trHeight w:val="100"/>
          <w:jc w:val="center"/>
        </w:trPr>
        <w:tc>
          <w:tcPr>
            <w:tcW w:w="1985" w:type="dxa"/>
            <w:tcBorders>
              <w:top w:val="nil"/>
              <w:left w:val="nil"/>
              <w:right w:val="nil"/>
            </w:tcBorders>
          </w:tcPr>
          <w:p w14:paraId="5D634512" w14:textId="77777777" w:rsidR="00E52AC5" w:rsidRPr="00127C07" w:rsidRDefault="00E52AC5" w:rsidP="00E80C5E">
            <w:pPr>
              <w:widowControl w:val="0"/>
              <w:autoSpaceDE w:val="0"/>
              <w:autoSpaceDN w:val="0"/>
              <w:adjustRightInd w:val="0"/>
              <w:rPr>
                <w:rFonts w:ascii="Arial" w:hAnsi="Arial" w:cs="Arial"/>
              </w:rPr>
            </w:pPr>
          </w:p>
        </w:tc>
        <w:tc>
          <w:tcPr>
            <w:tcW w:w="1984" w:type="dxa"/>
            <w:tcBorders>
              <w:top w:val="nil"/>
              <w:left w:val="nil"/>
              <w:right w:val="nil"/>
            </w:tcBorders>
          </w:tcPr>
          <w:p w14:paraId="445DB4A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(81,581)</w:t>
            </w:r>
          </w:p>
        </w:tc>
        <w:tc>
          <w:tcPr>
            <w:tcW w:w="1985" w:type="dxa"/>
            <w:tcBorders>
              <w:top w:val="nil"/>
              <w:left w:val="nil"/>
              <w:right w:val="nil"/>
            </w:tcBorders>
          </w:tcPr>
          <w:p w14:paraId="59E95BB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(75,575)</w:t>
            </w:r>
          </w:p>
        </w:tc>
        <w:tc>
          <w:tcPr>
            <w:tcW w:w="2056" w:type="dxa"/>
            <w:tcBorders>
              <w:top w:val="nil"/>
              <w:left w:val="nil"/>
              <w:right w:val="nil"/>
            </w:tcBorders>
          </w:tcPr>
          <w:p w14:paraId="686F5F0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(80,000)</w:t>
            </w:r>
          </w:p>
        </w:tc>
      </w:tr>
      <w:tr w:rsidR="00E52AC5" w:rsidRPr="00127C07" w14:paraId="7848C1A0" w14:textId="77777777" w:rsidTr="00E80C5E">
        <w:trPr>
          <w:trHeight w:val="94"/>
          <w:jc w:val="center"/>
        </w:trPr>
        <w:tc>
          <w:tcPr>
            <w:tcW w:w="1985" w:type="dxa"/>
            <w:tcBorders>
              <w:left w:val="nil"/>
              <w:right w:val="nil"/>
            </w:tcBorders>
          </w:tcPr>
          <w:p w14:paraId="1D1975A6"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F-test</w:t>
            </w:r>
          </w:p>
        </w:tc>
        <w:tc>
          <w:tcPr>
            <w:tcW w:w="1984" w:type="dxa"/>
            <w:tcBorders>
              <w:left w:val="nil"/>
              <w:right w:val="nil"/>
            </w:tcBorders>
          </w:tcPr>
          <w:p w14:paraId="74C32BB5"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0.000</w:t>
            </w:r>
          </w:p>
        </w:tc>
        <w:tc>
          <w:tcPr>
            <w:tcW w:w="1985" w:type="dxa"/>
            <w:tcBorders>
              <w:left w:val="nil"/>
              <w:right w:val="nil"/>
            </w:tcBorders>
          </w:tcPr>
          <w:p w14:paraId="7E70A6C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0.000</w:t>
            </w:r>
          </w:p>
        </w:tc>
        <w:tc>
          <w:tcPr>
            <w:tcW w:w="2056" w:type="dxa"/>
            <w:tcBorders>
              <w:left w:val="nil"/>
              <w:right w:val="nil"/>
            </w:tcBorders>
          </w:tcPr>
          <w:p w14:paraId="42BA187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0.000</w:t>
            </w:r>
          </w:p>
        </w:tc>
      </w:tr>
      <w:tr w:rsidR="00E52AC5" w:rsidRPr="00127C07" w14:paraId="55D527A7" w14:textId="77777777" w:rsidTr="00E80C5E">
        <w:trPr>
          <w:trHeight w:val="94"/>
          <w:jc w:val="center"/>
        </w:trPr>
        <w:tc>
          <w:tcPr>
            <w:tcW w:w="1985" w:type="dxa"/>
            <w:tcBorders>
              <w:left w:val="nil"/>
              <w:bottom w:val="nil"/>
              <w:right w:val="nil"/>
            </w:tcBorders>
          </w:tcPr>
          <w:p w14:paraId="1A390CC4"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R-squared</w:t>
            </w:r>
          </w:p>
        </w:tc>
        <w:tc>
          <w:tcPr>
            <w:tcW w:w="1984" w:type="dxa"/>
            <w:tcBorders>
              <w:left w:val="nil"/>
              <w:bottom w:val="nil"/>
              <w:right w:val="nil"/>
            </w:tcBorders>
          </w:tcPr>
          <w:p w14:paraId="19AB7593"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0.631</w:t>
            </w:r>
          </w:p>
        </w:tc>
        <w:tc>
          <w:tcPr>
            <w:tcW w:w="1985" w:type="dxa"/>
            <w:tcBorders>
              <w:left w:val="nil"/>
              <w:bottom w:val="nil"/>
              <w:right w:val="nil"/>
            </w:tcBorders>
          </w:tcPr>
          <w:p w14:paraId="61CA4EFC"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0.6259</w:t>
            </w:r>
          </w:p>
        </w:tc>
        <w:tc>
          <w:tcPr>
            <w:tcW w:w="2056" w:type="dxa"/>
            <w:tcBorders>
              <w:left w:val="nil"/>
              <w:bottom w:val="nil"/>
              <w:right w:val="nil"/>
            </w:tcBorders>
          </w:tcPr>
          <w:p w14:paraId="2944F76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0.455</w:t>
            </w:r>
          </w:p>
        </w:tc>
      </w:tr>
      <w:tr w:rsidR="00E52AC5" w:rsidRPr="00127C07" w14:paraId="62AE78E8" w14:textId="77777777" w:rsidTr="00E80C5E">
        <w:trPr>
          <w:trHeight w:val="94"/>
          <w:jc w:val="center"/>
        </w:trPr>
        <w:tc>
          <w:tcPr>
            <w:tcW w:w="1985" w:type="dxa"/>
            <w:tcBorders>
              <w:left w:val="nil"/>
              <w:right w:val="nil"/>
            </w:tcBorders>
          </w:tcPr>
          <w:p w14:paraId="6D5F12B3"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Number of id</w:t>
            </w:r>
          </w:p>
        </w:tc>
        <w:tc>
          <w:tcPr>
            <w:tcW w:w="1984" w:type="dxa"/>
            <w:tcBorders>
              <w:left w:val="nil"/>
              <w:right w:val="nil"/>
            </w:tcBorders>
          </w:tcPr>
          <w:p w14:paraId="735D3F7B"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10</w:t>
            </w:r>
          </w:p>
        </w:tc>
        <w:tc>
          <w:tcPr>
            <w:tcW w:w="1985" w:type="dxa"/>
            <w:tcBorders>
              <w:left w:val="nil"/>
              <w:right w:val="nil"/>
            </w:tcBorders>
          </w:tcPr>
          <w:p w14:paraId="5B594599"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10</w:t>
            </w:r>
          </w:p>
        </w:tc>
        <w:tc>
          <w:tcPr>
            <w:tcW w:w="2056" w:type="dxa"/>
            <w:tcBorders>
              <w:left w:val="nil"/>
              <w:right w:val="nil"/>
            </w:tcBorders>
          </w:tcPr>
          <w:p w14:paraId="0ACFD86D"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10</w:t>
            </w:r>
          </w:p>
        </w:tc>
      </w:tr>
      <w:tr w:rsidR="00E52AC5" w:rsidRPr="00127C07" w14:paraId="1A12EAF2" w14:textId="77777777" w:rsidTr="00E80C5E">
        <w:trPr>
          <w:trHeight w:val="100"/>
          <w:jc w:val="center"/>
        </w:trPr>
        <w:tc>
          <w:tcPr>
            <w:tcW w:w="1985" w:type="dxa"/>
            <w:tcBorders>
              <w:top w:val="nil"/>
              <w:left w:val="nil"/>
              <w:bottom w:val="single" w:sz="4" w:space="0" w:color="auto"/>
              <w:right w:val="nil"/>
            </w:tcBorders>
          </w:tcPr>
          <w:p w14:paraId="5A6135AB" w14:textId="77777777" w:rsidR="00E52AC5" w:rsidRPr="00127C07" w:rsidRDefault="00E52AC5" w:rsidP="00E80C5E">
            <w:pPr>
              <w:widowControl w:val="0"/>
              <w:autoSpaceDE w:val="0"/>
              <w:autoSpaceDN w:val="0"/>
              <w:adjustRightInd w:val="0"/>
              <w:rPr>
                <w:rFonts w:ascii="Arial" w:hAnsi="Arial" w:cs="Arial"/>
              </w:rPr>
            </w:pPr>
            <w:proofErr w:type="spellStart"/>
            <w:r w:rsidRPr="00127C07">
              <w:rPr>
                <w:rFonts w:ascii="Arial" w:hAnsi="Arial" w:cs="Arial"/>
              </w:rPr>
              <w:t>Obs</w:t>
            </w:r>
            <w:proofErr w:type="spellEnd"/>
          </w:p>
        </w:tc>
        <w:tc>
          <w:tcPr>
            <w:tcW w:w="1984" w:type="dxa"/>
            <w:tcBorders>
              <w:top w:val="nil"/>
              <w:left w:val="nil"/>
              <w:bottom w:val="single" w:sz="4" w:space="0" w:color="auto"/>
              <w:right w:val="nil"/>
            </w:tcBorders>
          </w:tcPr>
          <w:p w14:paraId="5E54D5B5"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1985" w:type="dxa"/>
            <w:tcBorders>
              <w:top w:val="nil"/>
              <w:left w:val="nil"/>
              <w:bottom w:val="single" w:sz="4" w:space="0" w:color="auto"/>
              <w:right w:val="nil"/>
            </w:tcBorders>
          </w:tcPr>
          <w:p w14:paraId="779772D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c>
          <w:tcPr>
            <w:tcW w:w="2056" w:type="dxa"/>
            <w:tcBorders>
              <w:top w:val="nil"/>
              <w:left w:val="nil"/>
              <w:bottom w:val="single" w:sz="4" w:space="0" w:color="auto"/>
              <w:right w:val="nil"/>
            </w:tcBorders>
          </w:tcPr>
          <w:p w14:paraId="081EA0FE"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60</w:t>
            </w:r>
          </w:p>
        </w:tc>
      </w:tr>
      <w:tr w:rsidR="00E52AC5" w:rsidRPr="00127C07" w14:paraId="12F2E4C7" w14:textId="77777777" w:rsidTr="00E80C5E">
        <w:trPr>
          <w:trHeight w:val="100"/>
          <w:jc w:val="center"/>
        </w:trPr>
        <w:tc>
          <w:tcPr>
            <w:tcW w:w="1985" w:type="dxa"/>
            <w:tcBorders>
              <w:top w:val="single" w:sz="4" w:space="0" w:color="auto"/>
              <w:left w:val="nil"/>
              <w:bottom w:val="nil"/>
              <w:right w:val="nil"/>
            </w:tcBorders>
          </w:tcPr>
          <w:p w14:paraId="62CC0201" w14:textId="77777777" w:rsidR="00E52AC5" w:rsidRPr="00127C07" w:rsidRDefault="00E52AC5" w:rsidP="00E80C5E">
            <w:pPr>
              <w:widowControl w:val="0"/>
              <w:autoSpaceDE w:val="0"/>
              <w:autoSpaceDN w:val="0"/>
              <w:adjustRightInd w:val="0"/>
              <w:rPr>
                <w:rFonts w:ascii="Arial" w:hAnsi="Arial" w:cs="Arial"/>
              </w:rPr>
            </w:pPr>
            <w:proofErr w:type="spellStart"/>
            <w:r w:rsidRPr="00127C07">
              <w:rPr>
                <w:rFonts w:ascii="Arial" w:hAnsi="Arial" w:cs="Arial"/>
              </w:rPr>
              <w:t>Pemilihan</w:t>
            </w:r>
            <w:proofErr w:type="spellEnd"/>
            <w:r w:rsidRPr="00127C07">
              <w:rPr>
                <w:rFonts w:ascii="Arial" w:hAnsi="Arial" w:cs="Arial"/>
              </w:rPr>
              <w:t xml:space="preserve"> Model</w:t>
            </w:r>
          </w:p>
        </w:tc>
        <w:tc>
          <w:tcPr>
            <w:tcW w:w="1984" w:type="dxa"/>
            <w:tcBorders>
              <w:top w:val="single" w:sz="4" w:space="0" w:color="auto"/>
              <w:left w:val="nil"/>
              <w:bottom w:val="nil"/>
              <w:right w:val="nil"/>
            </w:tcBorders>
          </w:tcPr>
          <w:p w14:paraId="4775D421"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LM Test</w:t>
            </w:r>
          </w:p>
        </w:tc>
        <w:tc>
          <w:tcPr>
            <w:tcW w:w="1985" w:type="dxa"/>
            <w:tcBorders>
              <w:top w:val="single" w:sz="4" w:space="0" w:color="auto"/>
              <w:left w:val="nil"/>
              <w:bottom w:val="nil"/>
              <w:right w:val="nil"/>
            </w:tcBorders>
          </w:tcPr>
          <w:p w14:paraId="0E57C1D2"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Chow Test</w:t>
            </w:r>
          </w:p>
        </w:tc>
        <w:tc>
          <w:tcPr>
            <w:tcW w:w="2056" w:type="dxa"/>
            <w:tcBorders>
              <w:top w:val="single" w:sz="4" w:space="0" w:color="auto"/>
              <w:left w:val="nil"/>
              <w:bottom w:val="nil"/>
              <w:right w:val="nil"/>
            </w:tcBorders>
          </w:tcPr>
          <w:p w14:paraId="57B341DF"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Hausman Test</w:t>
            </w:r>
          </w:p>
        </w:tc>
      </w:tr>
      <w:tr w:rsidR="00E52AC5" w:rsidRPr="00127C07" w14:paraId="29D3552E" w14:textId="77777777" w:rsidTr="00E80C5E">
        <w:trPr>
          <w:trHeight w:val="100"/>
          <w:jc w:val="center"/>
        </w:trPr>
        <w:tc>
          <w:tcPr>
            <w:tcW w:w="1985" w:type="dxa"/>
            <w:tcBorders>
              <w:top w:val="nil"/>
              <w:left w:val="nil"/>
              <w:bottom w:val="single" w:sz="4" w:space="0" w:color="auto"/>
              <w:right w:val="nil"/>
            </w:tcBorders>
          </w:tcPr>
          <w:p w14:paraId="0B3F54D4" w14:textId="77777777" w:rsidR="00E52AC5" w:rsidRPr="00127C07" w:rsidRDefault="00E52AC5" w:rsidP="00E80C5E">
            <w:pPr>
              <w:widowControl w:val="0"/>
              <w:autoSpaceDE w:val="0"/>
              <w:autoSpaceDN w:val="0"/>
              <w:adjustRightInd w:val="0"/>
              <w:rPr>
                <w:rFonts w:ascii="Arial" w:hAnsi="Arial" w:cs="Arial"/>
              </w:rPr>
            </w:pPr>
            <w:r w:rsidRPr="00127C07">
              <w:rPr>
                <w:rFonts w:ascii="Arial" w:hAnsi="Arial" w:cs="Arial"/>
              </w:rPr>
              <w:t>(</w:t>
            </w:r>
            <w:r w:rsidRPr="00127C07">
              <w:rPr>
                <w:rFonts w:ascii="Arial" w:hAnsi="Arial" w:cs="Arial"/>
                <w:i/>
                <w:iCs/>
              </w:rPr>
              <w:t>p-value</w:t>
            </w:r>
            <w:r w:rsidRPr="00127C07">
              <w:rPr>
                <w:rFonts w:ascii="Arial" w:hAnsi="Arial" w:cs="Arial"/>
              </w:rPr>
              <w:t>)</w:t>
            </w:r>
          </w:p>
        </w:tc>
        <w:tc>
          <w:tcPr>
            <w:tcW w:w="1984" w:type="dxa"/>
            <w:tcBorders>
              <w:top w:val="nil"/>
              <w:left w:val="nil"/>
              <w:bottom w:val="single" w:sz="4" w:space="0" w:color="auto"/>
              <w:right w:val="nil"/>
            </w:tcBorders>
          </w:tcPr>
          <w:p w14:paraId="17A5F4C7"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0.0106</w:t>
            </w:r>
          </w:p>
        </w:tc>
        <w:tc>
          <w:tcPr>
            <w:tcW w:w="1985" w:type="dxa"/>
            <w:tcBorders>
              <w:top w:val="nil"/>
              <w:left w:val="nil"/>
              <w:bottom w:val="single" w:sz="4" w:space="0" w:color="auto"/>
              <w:right w:val="nil"/>
            </w:tcBorders>
          </w:tcPr>
          <w:p w14:paraId="54AC2CC4"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0.0067</w:t>
            </w:r>
          </w:p>
        </w:tc>
        <w:tc>
          <w:tcPr>
            <w:tcW w:w="2056" w:type="dxa"/>
            <w:tcBorders>
              <w:top w:val="nil"/>
              <w:left w:val="nil"/>
              <w:bottom w:val="single" w:sz="4" w:space="0" w:color="auto"/>
              <w:right w:val="nil"/>
            </w:tcBorders>
          </w:tcPr>
          <w:p w14:paraId="6C3E3710" w14:textId="77777777" w:rsidR="00E52AC5" w:rsidRPr="00127C07" w:rsidRDefault="00E52AC5" w:rsidP="00E80C5E">
            <w:pPr>
              <w:widowControl w:val="0"/>
              <w:autoSpaceDE w:val="0"/>
              <w:autoSpaceDN w:val="0"/>
              <w:adjustRightInd w:val="0"/>
              <w:jc w:val="center"/>
              <w:rPr>
                <w:rFonts w:ascii="Arial" w:hAnsi="Arial" w:cs="Arial"/>
              </w:rPr>
            </w:pPr>
            <w:r w:rsidRPr="00127C07">
              <w:rPr>
                <w:rFonts w:ascii="Arial" w:hAnsi="Arial" w:cs="Arial"/>
              </w:rPr>
              <w:t>0.3581</w:t>
            </w:r>
          </w:p>
        </w:tc>
      </w:tr>
    </w:tbl>
    <w:p w14:paraId="2B777CA3" w14:textId="77777777" w:rsidR="00E52AC5" w:rsidRPr="00127C07" w:rsidRDefault="00E52AC5" w:rsidP="00E52AC5">
      <w:pPr>
        <w:widowControl w:val="0"/>
        <w:autoSpaceDE w:val="0"/>
        <w:autoSpaceDN w:val="0"/>
        <w:adjustRightInd w:val="0"/>
        <w:jc w:val="center"/>
        <w:rPr>
          <w:rFonts w:ascii="Arial" w:hAnsi="Arial" w:cs="Arial"/>
        </w:rPr>
      </w:pPr>
      <w:r w:rsidRPr="00127C07">
        <w:rPr>
          <w:rFonts w:ascii="Arial" w:hAnsi="Arial" w:cs="Arial"/>
        </w:rPr>
        <w:t>Standard errors in parentheses</w:t>
      </w:r>
    </w:p>
    <w:p w14:paraId="56922A88" w14:textId="40C8BB6A" w:rsidR="00E52AC5" w:rsidRPr="00127C07" w:rsidRDefault="00E52AC5" w:rsidP="00142BC0">
      <w:pPr>
        <w:widowControl w:val="0"/>
        <w:autoSpaceDE w:val="0"/>
        <w:autoSpaceDN w:val="0"/>
        <w:adjustRightInd w:val="0"/>
        <w:jc w:val="center"/>
        <w:rPr>
          <w:rFonts w:ascii="Arial" w:hAnsi="Arial" w:cs="Arial"/>
        </w:rPr>
      </w:pPr>
      <w:r w:rsidRPr="00127C07">
        <w:rPr>
          <w:rFonts w:ascii="Arial" w:hAnsi="Arial" w:cs="Arial"/>
        </w:rPr>
        <w:t>*** p&lt;0.01, ** p&lt;0.05, * p&lt;0.1</w:t>
      </w:r>
    </w:p>
    <w:p w14:paraId="407682DD" w14:textId="1181069A" w:rsidR="00E52AC5" w:rsidRPr="00127C07" w:rsidRDefault="00E52AC5" w:rsidP="00142BC0">
      <w:pPr>
        <w:pStyle w:val="AbstHead"/>
        <w:spacing w:after="0"/>
        <w:jc w:val="both"/>
        <w:rPr>
          <w:rFonts w:ascii="Arial" w:hAnsi="Arial" w:cs="Arial"/>
          <w:b w:val="0"/>
          <w:caps w:val="0"/>
          <w:sz w:val="20"/>
          <w:szCs w:val="18"/>
        </w:rPr>
      </w:pPr>
      <w:r w:rsidRPr="00127C07">
        <w:rPr>
          <w:rFonts w:ascii="Arial" w:hAnsi="Arial" w:cs="Arial"/>
          <w:b w:val="0"/>
          <w:bCs/>
          <w:sz w:val="20"/>
          <w:szCs w:val="18"/>
        </w:rPr>
        <w:tab/>
      </w:r>
      <w:r w:rsidR="00F47A4C" w:rsidRPr="00F47A4C">
        <w:rPr>
          <w:rFonts w:ascii="Arial" w:hAnsi="Arial" w:cs="Arial"/>
          <w:b w:val="0"/>
          <w:caps w:val="0"/>
          <w:sz w:val="20"/>
          <w:szCs w:val="18"/>
        </w:rPr>
        <w:t>Three specification tests the Chow test, the LM test, and the Hausman test were performed in order to identify the best panel data regression model.  FEM is more appropriate than CEM, as evidenced by the Chow test's p-value of 0.0067, which is below the 0.05 cutoff.  Likewise, a p-value of 0.0106 from the LM test indicated that REM is better than CEM.  But the Hausman test, which contrasts REM and FEM, produced a p-value of 0.3581, which was higher than the significance limit of 0.05.  This suggests that REM is the more effective and reliable estimator under the null hypothesis and that there is no discernible difference between FEM and REM.  REM is determined to be the best suitable model for this investigation based on the outcomes of these tests</w:t>
      </w:r>
      <w:r w:rsidRPr="00127C07">
        <w:rPr>
          <w:rFonts w:ascii="Arial" w:hAnsi="Arial" w:cs="Arial"/>
          <w:b w:val="0"/>
          <w:caps w:val="0"/>
          <w:sz w:val="20"/>
          <w:szCs w:val="18"/>
        </w:rPr>
        <w:t>.</w:t>
      </w:r>
    </w:p>
    <w:p w14:paraId="1D8741DD" w14:textId="77777777" w:rsidR="00E52AC5" w:rsidRPr="00127C07" w:rsidRDefault="00E52AC5" w:rsidP="00142BC0">
      <w:pPr>
        <w:pStyle w:val="AbstHead"/>
        <w:spacing w:after="0"/>
        <w:jc w:val="both"/>
        <w:rPr>
          <w:rFonts w:ascii="Arial" w:hAnsi="Arial" w:cs="Arial"/>
          <w:caps w:val="0"/>
          <w:sz w:val="20"/>
          <w:szCs w:val="18"/>
        </w:rPr>
      </w:pPr>
      <w:r w:rsidRPr="00127C07">
        <w:rPr>
          <w:rFonts w:ascii="Arial" w:hAnsi="Arial" w:cs="Arial"/>
          <w:caps w:val="0"/>
          <w:sz w:val="20"/>
          <w:szCs w:val="18"/>
        </w:rPr>
        <w:t xml:space="preserve">3.1.2 Classical </w:t>
      </w:r>
      <w:proofErr w:type="spellStart"/>
      <w:r w:rsidRPr="00127C07">
        <w:rPr>
          <w:rFonts w:ascii="Arial" w:hAnsi="Arial" w:cs="Arial"/>
          <w:caps w:val="0"/>
          <w:sz w:val="20"/>
          <w:szCs w:val="18"/>
        </w:rPr>
        <w:t>Asumption</w:t>
      </w:r>
      <w:proofErr w:type="spellEnd"/>
      <w:r w:rsidRPr="00127C07">
        <w:rPr>
          <w:rFonts w:ascii="Arial" w:hAnsi="Arial" w:cs="Arial"/>
          <w:caps w:val="0"/>
          <w:sz w:val="20"/>
          <w:szCs w:val="18"/>
        </w:rPr>
        <w:t xml:space="preserve"> Test</w:t>
      </w:r>
    </w:p>
    <w:p w14:paraId="68F66C23" w14:textId="47216843" w:rsidR="00E52AC5" w:rsidRDefault="00E52AC5" w:rsidP="00142BC0">
      <w:pPr>
        <w:pStyle w:val="AbstHead"/>
        <w:spacing w:after="0"/>
        <w:jc w:val="both"/>
        <w:rPr>
          <w:rFonts w:ascii="Arial" w:hAnsi="Arial" w:cs="Arial"/>
          <w:b w:val="0"/>
          <w:bCs/>
          <w:caps w:val="0"/>
          <w:sz w:val="20"/>
          <w:szCs w:val="18"/>
          <w:lang w:val="nb-NO"/>
        </w:rPr>
      </w:pPr>
      <w:r w:rsidRPr="00127C07">
        <w:rPr>
          <w:rFonts w:ascii="Arial" w:hAnsi="Arial" w:cs="Arial"/>
          <w:caps w:val="0"/>
        </w:rPr>
        <w:tab/>
      </w:r>
      <w:r w:rsidR="00F47A4C" w:rsidRPr="00F47A4C">
        <w:rPr>
          <w:rFonts w:ascii="Arial" w:hAnsi="Arial" w:cs="Arial"/>
          <w:b w:val="0"/>
          <w:bCs/>
          <w:caps w:val="0"/>
          <w:sz w:val="20"/>
          <w:szCs w:val="18"/>
        </w:rPr>
        <w:t>Conventional assumption tests like normality, autocorrelation, and heteroskedasticity are not regarded as essential conditions for the validity of the estimations in panel data regression when using the random effect model REM method</w:t>
      </w:r>
      <w:r w:rsidRPr="00127C07">
        <w:rPr>
          <w:rFonts w:ascii="Arial" w:hAnsi="Arial" w:cs="Arial"/>
          <w:b w:val="0"/>
          <w:bCs/>
          <w:caps w:val="0"/>
          <w:sz w:val="20"/>
          <w:szCs w:val="18"/>
        </w:rPr>
        <w:t xml:space="preserve">. This is due to the inherent characteristics of REM, which employs the GLS method rather than OLS. As a result, REM is more robust to certain violations of classical assumptions. As long as the fundamental assumptions specific to rem are satisfied, the model can still produce statistically efficient and unbiased estimates without the need to fulfill all classical assumptions required in </w:t>
      </w:r>
      <w:proofErr w:type="spellStart"/>
      <w:r w:rsidRPr="00127C07">
        <w:rPr>
          <w:rFonts w:ascii="Arial" w:hAnsi="Arial" w:cs="Arial"/>
          <w:b w:val="0"/>
          <w:bCs/>
          <w:caps w:val="0"/>
          <w:sz w:val="20"/>
          <w:szCs w:val="18"/>
        </w:rPr>
        <w:t>ols</w:t>
      </w:r>
      <w:proofErr w:type="spellEnd"/>
      <w:r w:rsidRPr="00127C07">
        <w:rPr>
          <w:rFonts w:ascii="Arial" w:hAnsi="Arial" w:cs="Arial"/>
          <w:b w:val="0"/>
          <w:bCs/>
          <w:caps w:val="0"/>
          <w:sz w:val="20"/>
          <w:szCs w:val="18"/>
        </w:rPr>
        <w:t>-</w:t>
      </w:r>
      <w:r w:rsidRPr="00127C07">
        <w:rPr>
          <w:rFonts w:ascii="Arial" w:hAnsi="Arial" w:cs="Arial"/>
          <w:b w:val="0"/>
          <w:bCs/>
          <w:caps w:val="0"/>
          <w:sz w:val="20"/>
          <w:szCs w:val="18"/>
        </w:rPr>
        <w:lastRenderedPageBreak/>
        <w:t xml:space="preserve">based models </w:t>
      </w:r>
      <w:r w:rsidRPr="00127C07">
        <w:rPr>
          <w:rFonts w:ascii="Arial" w:hAnsi="Arial" w:cs="Arial"/>
          <w:b w:val="0"/>
          <w:bCs/>
          <w:sz w:val="20"/>
          <w:szCs w:val="18"/>
        </w:rPr>
        <w:fldChar w:fldCharType="begin" w:fldLock="1"/>
      </w:r>
      <w:r w:rsidR="0008308B" w:rsidRPr="0008308B">
        <w:rPr>
          <w:rFonts w:ascii="Arial" w:hAnsi="Arial" w:cs="Arial"/>
          <w:b w:val="0"/>
          <w:bCs/>
          <w:sz w:val="20"/>
          <w:szCs w:val="18"/>
        </w:rPr>
        <w:instrText>ADDIN CSL_CITATION {"citationItems":[{"id":"ITEM-1","itemData":{"ISBN":"9781136586101","author":[{"dropping-particle":"","family":"Gujarati","given":"Damodar N","non-dropping-particle":"","parse-names":false,"suffix":""},{"dropping-particle":"","family":"Porter","given":"Dawn C","non-dropping-particle":"","parse-names":false,"suffix":""}],"container-title":"Introductory Econometrics: A Practical Approach","id":"ITEM-1","issued":{"date-parts":[["2009"]]},"number-of-pages":"1-922","title":"BASIC ECONOMETRICS","type":"book"},"uris":["http://www.mendeley.com/documents/?uuid=b433659d-fa65-455a-b6af-0affd2a61abb","http://www.mendeley.com/documents/?uuid=a1ec58c9-4207-4b9f-b79e-689554f0e266"]},{"id":"ITEM-2","itemData":{"DOI":"10.29259/jep.v22i1.23095","ISSN":"1829-5843","abstract":"Microfinance Institutions (MFIs) can help reduce poverty by offering small loans to people who cannot get bank loans due to lack of collateral. However, in Indonesia, access to microfinance institutions is unequally distributed, as shown by the establishment of MFIs in Indonesia, which covers only 22 out of 34 provinces. This condition limits their impact on poverty reduction. This study examines how access to MFIs and the loans they provide affect poverty rates in Indonesia, using cross-sectional data from 22 provinces between 2016 and 2022. The results show that access to MFIs and the loans they provide do not significantly reduce poverty. This is due to poor infrastructure, low-quality MFI services, and insufficient loan amounts. The study also found that education lowers poverty, unemployment increases it, and agriculture helps reduce it. To improve poverty reduction, the government should improve infrastructure and extend MFI coverage to more provinces. Additionally, MFIs should increase their loan amounts to make a bigger impact.","author":[{"dropping-particle":"","family":"Laksmi","given":"Ni Kadek","non-dropping-particle":"","parse-names":false,"suffix":""},{"dropping-particle":"","family":"Soseco","given":"Thomas","non-dropping-particle":"","parse-names":false,"suffix":""}],"container-title":"Jurnal Ekonomi Pembangunan","id":"ITEM-2","issue":"1","issued":{"date-parts":[["2024"]]},"page":"29-40","title":"Do Multifinance Institutions Matter for Poverty Reduction? Evidence from Indonesia","type":"article-journal","volume":"22"},"uris":["http://www.mendeley.com/documents/?uuid=7112a6dc-bbc4-4cc4-8b5c-f1174c0c2919","http://www.mendeley.com/documents/?uuid=f76b2792-9c6f-4aff-a717-a6ee751b7c2e","http://www.mendeley.com/documents/?uuid=698382f4-01de-485c-aeba-aa0e44b579b1"]},{"id":"ITEM-3","itemData":{"author":[{"dropping-particle":"","family":"Hijrawati","given":"","non-dropping-particle":"","parse-names":false,"suffix":""}],"container-title":"Jurnal Matematika, Komputasi dan Statistika Volume","id":"ITEM-3","issued":{"date-parts":[["2020"]]},"page":"1-9","title":"7.+Regresi+Data+Panel+Tingkat+Kemiskinan+Sulawesi+Tenggara","type":"article-journal","volume":"2"},"uris":["http://www.mendeley.com/documents/?uuid=68d012ff-76fa-4e54-8382-81bd55a6c70d","http://www.mendeley.com/documents/?uuid=29bbb6e3-51f3-4dd2-abd1-0c992a7be03d","http://www.mendeley.com/documents/?uuid=693aa747-4c30-4fb4-b16d-5a033d72d953"]},{"id":"ITEM-4","itemData":{"abstract":"Alhamdulillah, segala puji syukur penulis panjatkan kehadirat Allah SWT, atas segala karunia dan ridho-NYA, sehingga buku referensi dengan judul “ANALISIS DATA PANEL DALAM PENELITIAN EKONOMI DAN BISNIS” ini dapat diselesaikan. Buku Referensi disusun bertujuan untuk memberikan tambahan referensi yang berhubungan dengan penelitian terdahulu dan hasil penelitian penulis untuk dapat dijadikan referensi bagi para peneliti selanjutnya. Oleh karena itu, pada kesempatan ini penulis menyampaikan rasa hormat dan menghaturkan terima kasih yang sebesar-besarnya, kepada : 1. Bapak Dr. Ir. Gunawan Budiyanto, M.P selaku Rektor Universitas Muhammadiyah Yogyakarta yang telah memberi kesempatan dan memfasilitasi penyelesaian buku referensi ini. 2. Bapak Dr. Nano Prawoto, SE, M.Si. selaku Wakil Rektor Bidang Sumberdaya Manusia Universitas Muhammadiyah Yogyakarta yang telah banyak meluangkan waktu dan motivasi untuk membantu menyelesaikan bukui ini. 3. Bapak Rizal Yaya, SE., M.Sc. Ph.D., AK selaku Dekan Fakultas Ekonomi dan Bisnis yang selalu memberikan dorongan dan motivasi dalam menyelesaikan buku ini. 4. Bapak Dr. Imamudin Yuliadi, SE, M.Si. selaku Kepala Program Studi Ilmu Ekonomi FEB UMY yang telah banyak meluangkan waktu untuk membantu menyelesaikan buku ini. 5. Almarhum Ayahanda Sujatmin dan Almarhumah Ibunda Surtilah, serta Bapak mertua Bapak H. Ngadi dan Ibu Hj. Basyariah atas segala dukungan dan doanya. 6. Istri saya tercinta Sri Pujiati, SE., atas segala motivasi, perhatian dan doa nya serta kesabaran menunggu di rumah selama beberapa waktu. Dan Ananda tercinta Nanda, Pandu dan Dinda yang selalu memberi semangat untuk dapat menyelesaikan buku ini. Dengan keterbatasan pengalaman, ilmu maupun pustaka yang ditinjau, penulis menyadari bahwa buku referensi ini masih banyak kekurangan dan pengembangan lanjut agar benar-benar bermanfaat. Oleh sebab itu, penulis sangat mengharapkan kritik dan saran agar buku referensi ini lebih sempurna serta sebagai masukan bagi penulis untuk penelitian dan penulisan karya ilmiah di masa yang akan datang. Akhir kata, penulis berharap buku referensi ini memberikan manfaat bagi kita semua terutama untuk pengembangan ilmu pengetahuan bidang ekonomi regional dan ekonomi pembangunan. Yogyakarta","author":[{"dropping-particle":"","family":"Basuki","given":"Agus Tri","non-dropping-particle":"","parse-names":false,"suffix":""}],"container-title":"PT Rajagrafindo Persada","id":"ITEM-4","issued":{"date-parts":[["2021"]]},"page":"1-161","title":"Analisis Data Panel Dalam Penelitian Ekonomi dan Bisnis","type":"article-journal"},"uris":["http://www.mendeley.com/documents/?uuid=0a2753e7-ef96-4682-8862-b0ea13e5ced9","http://www.mendeley.com/documents/?uuid=7b1974f4-48bd-4684-b206-42defc2a0899","http://www.mendeley.com/documents/?uuid=fe28e2e3-1ada-47de-b777-ff52e9b244ec"]},{"id":"ITEM-5","itemData":{"author":[{"dropping-particle":"","family":"Runggu Basmandala Napitupulu","given":"Torang P.","non-dropping-particle":"","parse-names":false,"suffix":""},{"dropping-particle":"","family":"Simanjuntak, Lamminar Hutabarat, Hormaingat Damanik, Hotriado Harianja, Ronnie T. M. Sirait","given":"Chainar Elly Ria","non</w:instrText>
      </w:r>
      <w:r w:rsidR="0008308B" w:rsidRPr="00D815A4">
        <w:rPr>
          <w:rFonts w:ascii="Arial" w:hAnsi="Arial" w:cs="Arial"/>
          <w:b w:val="0"/>
          <w:bCs/>
          <w:sz w:val="20"/>
          <w:szCs w:val="18"/>
          <w:lang w:val="nb-NO"/>
        </w:rPr>
        <w:instrText>-dropping-particle":"","parse-names":false,"suffix":""}],"container-title":"Mediatera","id":"ITEM-5","issued":{"date-parts":[["2021"]]},"page":"1-210","title":"Penelitian Bisnis Teknik dan Analisis Data dengan SPSS - STATA - EVIEWS","type":"article-journal"},"uris":["http://www.mendeley.com/documents/?uuid=0380403e-1c1a-4443-8ee5-fc2120ac6f7c","http://www.mendeley.com/documents/?uuid=e9b40122-1890-40ab-8022-eae7d49bcb51","http://www.mendeley.com/documents/?uuid=ab49d0be-6d30-4786-a5e3-330985d88c2b"]}],"mendeley":{"formattedCitation":"(Basuki, 2021; Gujarati &amp; Porter, 2009; Hijrawati, 2020; Laksmi &amp; Soseco, 2024; Runggu Basmandala Napitupulu &amp; Simanjuntak, Lamminar Hutabarat, Hormaingat Damanik, Hotriado Harianja, Ronnie T. M. Sirait, 2021)","manualFormatting":"(Basuki, 2021; Gujarati &amp; Porter , 2009; Laksmi &amp; Soseco, 2024; Hijrawati et al., 2020; Napitupulu et al., 2021)","plainTextFormattedCitation":"(Basuki, 2021; Gujarati &amp; Porter, 2009; Hijrawati, 2020; Laksmi &amp; Soseco, 2024; Runggu Basmandala Napitupulu &amp; Simanjuntak, Lamminar Hutabarat, Hormaingat Damanik, Hotriado Harianja, Ronnie T. M. Sirait, 2021)","previouslyFormattedCitation":"(Basuki, 2021; Damodar N. Gujarati, 2009; Hijrawati, 2020; Laksmi &amp; Soseco, 2024; Runggu Basmandala Napitupulu, Torang P. Simanjuntak, Lamminar Hutabarat, Hormaingat Damanik, Hotriado Harianja, Ronnie T. M. Sirait, 2021)"},"properties":{"noteIndex":0},"schema":"https://github.com/citation-style-language/schema/raw/master/csl-citation.json"}</w:instrText>
      </w:r>
      <w:r w:rsidRPr="00127C07">
        <w:rPr>
          <w:rFonts w:ascii="Arial" w:hAnsi="Arial" w:cs="Arial"/>
          <w:b w:val="0"/>
          <w:bCs/>
          <w:sz w:val="20"/>
          <w:szCs w:val="18"/>
        </w:rPr>
        <w:fldChar w:fldCharType="separate"/>
      </w:r>
      <w:r w:rsidRPr="0008308B">
        <w:rPr>
          <w:rFonts w:ascii="Arial" w:hAnsi="Arial" w:cs="Arial"/>
          <w:b w:val="0"/>
          <w:bCs/>
          <w:caps w:val="0"/>
          <w:noProof/>
          <w:sz w:val="20"/>
          <w:szCs w:val="18"/>
          <w:lang w:val="nb-NO"/>
        </w:rPr>
        <w:t>(Basuki, 2021; Gujarati &amp; Porter , 2009; Laksmi &amp; Soseco, 2024; Hijrawati et al., 2020; Napitupulu et al., 2021)</w:t>
      </w:r>
      <w:r w:rsidRPr="00127C07">
        <w:rPr>
          <w:rFonts w:ascii="Arial" w:hAnsi="Arial" w:cs="Arial"/>
          <w:b w:val="0"/>
          <w:bCs/>
          <w:sz w:val="20"/>
          <w:szCs w:val="18"/>
        </w:rPr>
        <w:fldChar w:fldCharType="end"/>
      </w:r>
      <w:r w:rsidRPr="00127C07">
        <w:rPr>
          <w:rFonts w:ascii="Arial" w:hAnsi="Arial" w:cs="Arial"/>
          <w:b w:val="0"/>
          <w:bCs/>
          <w:caps w:val="0"/>
          <w:sz w:val="20"/>
          <w:szCs w:val="18"/>
          <w:lang w:val="nb-NO"/>
        </w:rPr>
        <w:t>.</w:t>
      </w:r>
    </w:p>
    <w:p w14:paraId="4CB7AB88" w14:textId="77777777" w:rsidR="00142BC0" w:rsidRPr="00127C07" w:rsidRDefault="00142BC0" w:rsidP="00142BC0">
      <w:pPr>
        <w:pStyle w:val="AbstHead"/>
        <w:spacing w:after="0"/>
        <w:jc w:val="both"/>
        <w:rPr>
          <w:rFonts w:ascii="Arial" w:hAnsi="Arial" w:cs="Arial"/>
          <w:b w:val="0"/>
          <w:bCs/>
          <w:caps w:val="0"/>
          <w:noProof/>
          <w:sz w:val="20"/>
          <w:szCs w:val="18"/>
          <w:lang w:val="nb-NO"/>
        </w:rPr>
      </w:pPr>
    </w:p>
    <w:p w14:paraId="509F650A" w14:textId="77777777" w:rsidR="00E52AC5" w:rsidRPr="00D815A4" w:rsidRDefault="00E52AC5" w:rsidP="00142BC0">
      <w:pPr>
        <w:pStyle w:val="AbstHead"/>
        <w:spacing w:after="0"/>
        <w:jc w:val="both"/>
        <w:rPr>
          <w:rFonts w:ascii="Arial" w:hAnsi="Arial" w:cs="Arial"/>
          <w:caps w:val="0"/>
        </w:rPr>
      </w:pPr>
      <w:r w:rsidRPr="00D815A4">
        <w:rPr>
          <w:rFonts w:ascii="Arial" w:hAnsi="Arial" w:cs="Arial"/>
        </w:rPr>
        <w:t xml:space="preserve">3.2 </w:t>
      </w:r>
      <w:r w:rsidRPr="00D815A4">
        <w:rPr>
          <w:rFonts w:ascii="Arial" w:hAnsi="Arial" w:cs="Arial"/>
          <w:caps w:val="0"/>
        </w:rPr>
        <w:t>Discussion</w:t>
      </w:r>
    </w:p>
    <w:p w14:paraId="0DF400CF" w14:textId="77777777" w:rsidR="00E52AC5" w:rsidRPr="00127C07" w:rsidRDefault="00E52AC5" w:rsidP="00142BC0">
      <w:pPr>
        <w:pStyle w:val="AbstHead"/>
        <w:spacing w:after="0"/>
        <w:jc w:val="both"/>
        <w:rPr>
          <w:rFonts w:ascii="Arial" w:hAnsi="Arial" w:cs="Arial"/>
          <w:caps w:val="0"/>
        </w:rPr>
      </w:pPr>
      <w:r w:rsidRPr="00127C07">
        <w:rPr>
          <w:rFonts w:ascii="Arial" w:hAnsi="Arial" w:cs="Arial"/>
          <w:caps w:val="0"/>
        </w:rPr>
        <w:t>3.2.1 Simultaneous Test (F-Test)</w:t>
      </w:r>
    </w:p>
    <w:p w14:paraId="1B55B176" w14:textId="7CB2141D" w:rsidR="00D64809" w:rsidRDefault="00D64809" w:rsidP="00142BC0">
      <w:pPr>
        <w:pStyle w:val="AbstHead"/>
        <w:spacing w:after="0"/>
        <w:jc w:val="both"/>
        <w:rPr>
          <w:rFonts w:ascii="Arial" w:hAnsi="Arial" w:cs="Arial"/>
          <w:b w:val="0"/>
          <w:caps w:val="0"/>
          <w:sz w:val="20"/>
          <w:szCs w:val="18"/>
        </w:rPr>
      </w:pPr>
      <w:r w:rsidRPr="00D64809">
        <w:rPr>
          <w:rFonts w:ascii="Arial" w:hAnsi="Arial" w:cs="Arial"/>
          <w:b w:val="0"/>
          <w:caps w:val="0"/>
          <w:sz w:val="20"/>
          <w:szCs w:val="18"/>
        </w:rPr>
        <w:t>The purpose of the REM's f-test was to ascertain if the combined impact of the independent variables Oil Palm Land Area (OPLA), Palm Oil Production (POP), Domestic Direct Investment (DDI), and Implicit Index of GRDP (IIGRDP) on FDI was significant. A p-value of 0.000 was obtained from the test, which is less than the conventional significance level of 0.05.  The null hypothesis, according to which all of the coefficients are collectively equal to zero, can be disproved in light of this finding.</w:t>
      </w:r>
      <w:r>
        <w:rPr>
          <w:rFonts w:ascii="Arial" w:hAnsi="Arial" w:cs="Arial"/>
          <w:b w:val="0"/>
          <w:caps w:val="0"/>
          <w:sz w:val="20"/>
          <w:szCs w:val="18"/>
        </w:rPr>
        <w:t xml:space="preserve"> </w:t>
      </w:r>
      <w:r w:rsidRPr="00D64809">
        <w:rPr>
          <w:rFonts w:ascii="Arial" w:hAnsi="Arial" w:cs="Arial"/>
          <w:b w:val="0"/>
          <w:caps w:val="0"/>
          <w:sz w:val="20"/>
          <w:szCs w:val="18"/>
        </w:rPr>
        <w:t>Consequently, it may be said that the independent factors have a statistically significant simultaneous impact on FDI.</w:t>
      </w:r>
    </w:p>
    <w:p w14:paraId="11F7BEFC" w14:textId="07F69F9B" w:rsidR="00E52AC5" w:rsidRPr="00127C07" w:rsidRDefault="00E52AC5" w:rsidP="00142BC0">
      <w:pPr>
        <w:pStyle w:val="AbstHead"/>
        <w:spacing w:after="0"/>
        <w:jc w:val="both"/>
        <w:rPr>
          <w:rFonts w:ascii="Arial" w:hAnsi="Arial" w:cs="Arial"/>
          <w:caps w:val="0"/>
        </w:rPr>
      </w:pPr>
      <w:r w:rsidRPr="00127C07">
        <w:rPr>
          <w:rFonts w:ascii="Arial" w:hAnsi="Arial" w:cs="Arial"/>
          <w:caps w:val="0"/>
        </w:rPr>
        <w:t>3.2.2 Goodness of Fit (R-Squared)</w:t>
      </w:r>
    </w:p>
    <w:p w14:paraId="5D850820" w14:textId="77777777" w:rsidR="00D64809" w:rsidRDefault="00D64809" w:rsidP="00142BC0">
      <w:pPr>
        <w:pStyle w:val="AbstHead"/>
        <w:spacing w:after="0"/>
        <w:jc w:val="both"/>
        <w:rPr>
          <w:rFonts w:ascii="Arial" w:hAnsi="Arial" w:cs="Arial"/>
          <w:b w:val="0"/>
          <w:bCs/>
          <w:caps w:val="0"/>
          <w:sz w:val="20"/>
          <w:szCs w:val="18"/>
        </w:rPr>
      </w:pPr>
      <w:r w:rsidRPr="00D64809">
        <w:rPr>
          <w:rFonts w:ascii="Arial" w:hAnsi="Arial" w:cs="Arial"/>
          <w:b w:val="0"/>
          <w:bCs/>
          <w:caps w:val="0"/>
          <w:sz w:val="20"/>
          <w:szCs w:val="18"/>
        </w:rPr>
        <w:t xml:space="preserve">The independent variables in the model, OPLA, IIGRDP, DDI, and POP, account for around 62.59% of the variation in FDI, according to the r-squared value of 0.6259 derived from the analysis.  The model's significant explanatory power is indicated by the comparatively high r-squared, which indicates that the variables chosen are successful in identifying the main factors influencing </w:t>
      </w:r>
      <w:proofErr w:type="spellStart"/>
      <w:r w:rsidRPr="00D64809">
        <w:rPr>
          <w:rFonts w:ascii="Arial" w:hAnsi="Arial" w:cs="Arial"/>
          <w:b w:val="0"/>
          <w:bCs/>
          <w:caps w:val="0"/>
          <w:sz w:val="20"/>
          <w:szCs w:val="18"/>
        </w:rPr>
        <w:t>fdi</w:t>
      </w:r>
      <w:proofErr w:type="spellEnd"/>
      <w:r w:rsidRPr="00D64809">
        <w:rPr>
          <w:rFonts w:ascii="Arial" w:hAnsi="Arial" w:cs="Arial"/>
          <w:b w:val="0"/>
          <w:bCs/>
          <w:caps w:val="0"/>
          <w:sz w:val="20"/>
          <w:szCs w:val="18"/>
        </w:rPr>
        <w:t xml:space="preserve"> in the observed dataset.  Other elements not included in the model, such as labor costs, political stability, infrastructural development, institutional quality, or regulatory frameworks, may account for the remaining 37.41% of the variation in FDI. These elements can also have a big impact on judgments about foreign investment.</w:t>
      </w:r>
    </w:p>
    <w:p w14:paraId="415B03E2" w14:textId="01E2312C" w:rsidR="00E52AC5" w:rsidRPr="00127C07" w:rsidRDefault="00E52AC5" w:rsidP="00142BC0">
      <w:pPr>
        <w:pStyle w:val="AbstHead"/>
        <w:spacing w:after="0"/>
        <w:jc w:val="both"/>
        <w:rPr>
          <w:rFonts w:ascii="Arial" w:hAnsi="Arial" w:cs="Arial"/>
          <w:caps w:val="0"/>
        </w:rPr>
      </w:pPr>
      <w:r w:rsidRPr="00127C07">
        <w:rPr>
          <w:rFonts w:ascii="Arial" w:hAnsi="Arial" w:cs="Arial"/>
          <w:caps w:val="0"/>
        </w:rPr>
        <w:t>3.2.3 Partial Test</w:t>
      </w:r>
    </w:p>
    <w:p w14:paraId="5BB0CC18" w14:textId="081FE641" w:rsidR="00E52AC5" w:rsidRPr="00127C07" w:rsidRDefault="00E52AC5" w:rsidP="00142BC0">
      <w:pPr>
        <w:pStyle w:val="AbstHead"/>
        <w:spacing w:after="0"/>
        <w:jc w:val="both"/>
        <w:rPr>
          <w:rFonts w:ascii="Arial" w:hAnsi="Arial" w:cs="Arial"/>
          <w:b w:val="0"/>
          <w:bCs/>
        </w:rPr>
      </w:pPr>
      <w:r w:rsidRPr="00127C07">
        <w:rPr>
          <w:rFonts w:ascii="Arial" w:hAnsi="Arial" w:cs="Arial"/>
        </w:rPr>
        <w:tab/>
      </w:r>
      <w:r w:rsidR="00D64809" w:rsidRPr="00D64809">
        <w:rPr>
          <w:rFonts w:ascii="Arial" w:hAnsi="Arial" w:cs="Arial"/>
          <w:b w:val="0"/>
          <w:bCs/>
          <w:caps w:val="0"/>
          <w:sz w:val="20"/>
          <w:szCs w:val="18"/>
        </w:rPr>
        <w:t>Table 2's regression results demonstrate that, with a coefficient of 0.265 and significance at the 1% level, the variable of OPLA has a positive and statistically significant impact on FDI realization. According to this conclusion, the growth of oil palm plantations raises interest from foreign investors, which is consistent with earlier empirical research that supports the idea that the oil palm industry contributes to increased investment appeal</w:t>
      </w:r>
      <w:r w:rsidR="00D62608" w:rsidRPr="00127C07">
        <w:rPr>
          <w:rFonts w:ascii="Arial" w:hAnsi="Arial" w:cs="Arial"/>
          <w:b w:val="0"/>
          <w:bCs/>
          <w:caps w:val="0"/>
          <w:sz w:val="20"/>
          <w:szCs w:val="18"/>
        </w:rPr>
        <w:t xml:space="preserve">. Within the Eclectic Paradigm framework </w:t>
      </w:r>
      <w:r w:rsidR="00D62608" w:rsidRPr="00127C07">
        <w:rPr>
          <w:rFonts w:ascii="Arial" w:hAnsi="Arial" w:cs="Arial"/>
          <w:b w:val="0"/>
          <w:bCs/>
          <w:caps w:val="0"/>
          <w:sz w:val="20"/>
          <w:szCs w:val="18"/>
        </w:rPr>
        <w:fldChar w:fldCharType="begin" w:fldLock="1"/>
      </w:r>
      <w:r w:rsidR="004C5ECA" w:rsidRPr="00127C07">
        <w:rPr>
          <w:rFonts w:ascii="Arial" w:hAnsi="Arial" w:cs="Arial"/>
          <w:b w:val="0"/>
          <w:bCs/>
          <w:caps w:val="0"/>
          <w:sz w:val="20"/>
          <w:szCs w:val="18"/>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D62608" w:rsidRPr="00127C07">
        <w:rPr>
          <w:rFonts w:ascii="Arial" w:hAnsi="Arial" w:cs="Arial"/>
          <w:b w:val="0"/>
          <w:bCs/>
          <w:caps w:val="0"/>
          <w:sz w:val="20"/>
          <w:szCs w:val="18"/>
        </w:rPr>
        <w:fldChar w:fldCharType="separate"/>
      </w:r>
      <w:r w:rsidR="00D62608" w:rsidRPr="00127C07">
        <w:rPr>
          <w:rFonts w:ascii="Arial" w:hAnsi="Arial" w:cs="Arial"/>
          <w:b w:val="0"/>
          <w:bCs/>
          <w:caps w:val="0"/>
          <w:noProof/>
          <w:sz w:val="20"/>
          <w:szCs w:val="18"/>
        </w:rPr>
        <w:t>(Dunning, 2001)</w:t>
      </w:r>
      <w:r w:rsidR="00D62608" w:rsidRPr="00127C07">
        <w:rPr>
          <w:rFonts w:ascii="Arial" w:hAnsi="Arial" w:cs="Arial"/>
          <w:b w:val="0"/>
          <w:bCs/>
          <w:caps w:val="0"/>
          <w:sz w:val="20"/>
          <w:szCs w:val="18"/>
        </w:rPr>
        <w:fldChar w:fldCharType="end"/>
      </w:r>
      <w:r w:rsidR="00D62608" w:rsidRPr="00127C07">
        <w:rPr>
          <w:rFonts w:ascii="Arial" w:hAnsi="Arial" w:cs="Arial"/>
          <w:b w:val="0"/>
          <w:bCs/>
          <w:caps w:val="0"/>
          <w:sz w:val="20"/>
          <w:szCs w:val="18"/>
        </w:rPr>
        <w:t>, an increase in oil palm plantation area will strengthen East Kalimantan location advantage, thereby increasing foreign investors interest in investing in this sector. However, it should be noted that oil palm expansion also presents challenges and environmental sustainability issues that could negatively impact foreign investors risk perceptions. Therefore, policies aimed at supporting and optimizing sustainable land management while adhering to ESG (Environmental, Social, Governance) standards now a key concern for global investors are essential.</w:t>
      </w:r>
    </w:p>
    <w:p w14:paraId="28928A24" w14:textId="486A3EF5" w:rsidR="00E52AC5" w:rsidRPr="00127C07" w:rsidRDefault="00E52AC5" w:rsidP="00142BC0">
      <w:pPr>
        <w:pStyle w:val="AbstHead"/>
        <w:spacing w:after="0"/>
        <w:jc w:val="both"/>
        <w:rPr>
          <w:rFonts w:ascii="Arial" w:hAnsi="Arial" w:cs="Arial"/>
          <w:b w:val="0"/>
          <w:bCs/>
          <w:caps w:val="0"/>
        </w:rPr>
      </w:pPr>
      <w:r w:rsidRPr="00127C07">
        <w:rPr>
          <w:rFonts w:ascii="Arial" w:hAnsi="Arial" w:cs="Arial"/>
          <w:b w:val="0"/>
          <w:bCs/>
          <w:caps w:val="0"/>
        </w:rPr>
        <w:tab/>
      </w:r>
      <w:r w:rsidR="004C5ECA" w:rsidRPr="00127C07">
        <w:rPr>
          <w:rFonts w:ascii="Arial" w:hAnsi="Arial" w:cs="Arial"/>
          <w:b w:val="0"/>
          <w:bCs/>
          <w:caps w:val="0"/>
          <w:sz w:val="20"/>
          <w:szCs w:val="18"/>
        </w:rPr>
        <w:t xml:space="preserve">The coefficient for </w:t>
      </w:r>
      <w:r w:rsidR="00127C07">
        <w:rPr>
          <w:rFonts w:ascii="Arial" w:hAnsi="Arial" w:cs="Arial"/>
          <w:b w:val="0"/>
          <w:bCs/>
          <w:caps w:val="0"/>
          <w:sz w:val="20"/>
          <w:szCs w:val="18"/>
        </w:rPr>
        <w:t>IIGRDP</w:t>
      </w:r>
      <w:r w:rsidR="004C5ECA" w:rsidRPr="00127C07">
        <w:rPr>
          <w:rFonts w:ascii="Arial" w:hAnsi="Arial" w:cs="Arial"/>
          <w:b w:val="0"/>
          <w:bCs/>
          <w:caps w:val="0"/>
          <w:sz w:val="20"/>
          <w:szCs w:val="18"/>
        </w:rPr>
        <w:t xml:space="preserve"> of 1.279, significant at the 1% level, indicates that a one-point increase in the regional price index, reflecting real economic growth adjusted for inflation, is positively correlated with a </w:t>
      </w:r>
      <w:r w:rsidR="00127C07">
        <w:rPr>
          <w:rFonts w:ascii="Arial" w:hAnsi="Arial" w:cs="Arial"/>
          <w:b w:val="0"/>
          <w:bCs/>
          <w:caps w:val="0"/>
          <w:sz w:val="20"/>
          <w:szCs w:val="18"/>
        </w:rPr>
        <w:t>FDI</w:t>
      </w:r>
      <w:r w:rsidR="004C5ECA" w:rsidRPr="00127C07">
        <w:rPr>
          <w:rFonts w:ascii="Arial" w:hAnsi="Arial" w:cs="Arial"/>
          <w:b w:val="0"/>
          <w:bCs/>
          <w:caps w:val="0"/>
          <w:sz w:val="20"/>
          <w:szCs w:val="18"/>
        </w:rPr>
        <w:t xml:space="preserve"> increase of 1.279 billion Rupiah. This positive relationship suggests that higher regional economic performance and aggregate price levels are viewed favorably by foreign investors, as they indicate a dynamic market and strong demand. Within the Eclectic Paradigm framework </w:t>
      </w:r>
      <w:r w:rsidR="004C5ECA" w:rsidRPr="00127C07">
        <w:rPr>
          <w:rFonts w:ascii="Arial" w:hAnsi="Arial" w:cs="Arial"/>
          <w:b w:val="0"/>
          <w:bCs/>
          <w:caps w:val="0"/>
          <w:sz w:val="20"/>
          <w:szCs w:val="18"/>
        </w:rPr>
        <w:fldChar w:fldCharType="begin" w:fldLock="1"/>
      </w:r>
      <w:r w:rsidR="004C5ECA" w:rsidRPr="00127C07">
        <w:rPr>
          <w:rFonts w:ascii="Arial" w:hAnsi="Arial" w:cs="Arial"/>
          <w:b w:val="0"/>
          <w:bCs/>
          <w:caps w:val="0"/>
          <w:sz w:val="20"/>
          <w:szCs w:val="18"/>
        </w:rPr>
        <w:instrText>ADDIN CSL_CITATION {"citationItems":[{"id":"ITEM-1","itemData":{"DOI":"10.1080/13571510110051441","ISSN":"14661829","abstract":"This article describes the origins, and traces the subsequent evolution of the eclectic paradigm from the mid-1950s to the present day. It does so in the light of the changing characteristics of MNE activity and of the global economic scenario. The article concludes by asserting that the eclectic paradigm still remains a powerful and robust framework for examining contextual specific theories of foreign direct investment and international production. © 2001, Taylor &amp; Francis Group, LLC.","author":[{"dropping-particle":"","family":"Dunning","given":"John H.","non-dropping-particle":"","parse-names":false,"suffix":""}],"container-title":"International Journal of the Economics of Business","id":"ITEM-1","issue":"2","issued":{"date-parts":[["2001"]]},"page":"173-190","title":"The Eclectic (OLI) paradigm of international production: Past, present and Future","type":"article-journal","volume":"8"},"uris":["http://www.mendeley.com/documents/?uuid=49d5f221-e449-4eae-9700-a52efcf833f8"]}],"mendeley":{"formattedCitation":"(Dunning, 2001)","plainTextFormattedCitation":"(Dunning, 2001)","previouslyFormattedCitation":"(Dunning, 2001)"},"properties":{"noteIndex":0},"schema":"https://github.com/citation-style-language/schema/raw/master/csl-citation.json"}</w:instrText>
      </w:r>
      <w:r w:rsidR="004C5ECA" w:rsidRPr="00127C07">
        <w:rPr>
          <w:rFonts w:ascii="Arial" w:hAnsi="Arial" w:cs="Arial"/>
          <w:b w:val="0"/>
          <w:bCs/>
          <w:caps w:val="0"/>
          <w:sz w:val="20"/>
          <w:szCs w:val="18"/>
        </w:rPr>
        <w:fldChar w:fldCharType="separate"/>
      </w:r>
      <w:r w:rsidR="004C5ECA" w:rsidRPr="00127C07">
        <w:rPr>
          <w:rFonts w:ascii="Arial" w:hAnsi="Arial" w:cs="Arial"/>
          <w:b w:val="0"/>
          <w:bCs/>
          <w:caps w:val="0"/>
          <w:noProof/>
          <w:sz w:val="20"/>
          <w:szCs w:val="18"/>
        </w:rPr>
        <w:t>(Dunning, 2001)</w:t>
      </w:r>
      <w:r w:rsidR="004C5ECA" w:rsidRPr="00127C07">
        <w:rPr>
          <w:rFonts w:ascii="Arial" w:hAnsi="Arial" w:cs="Arial"/>
          <w:b w:val="0"/>
          <w:bCs/>
          <w:caps w:val="0"/>
          <w:sz w:val="20"/>
          <w:szCs w:val="18"/>
        </w:rPr>
        <w:fldChar w:fldCharType="end"/>
      </w:r>
      <w:r w:rsidR="004C5ECA" w:rsidRPr="00127C07">
        <w:rPr>
          <w:rFonts w:ascii="Arial" w:hAnsi="Arial" w:cs="Arial"/>
          <w:b w:val="0"/>
          <w:bCs/>
          <w:caps w:val="0"/>
          <w:sz w:val="20"/>
          <w:szCs w:val="18"/>
        </w:rPr>
        <w:t xml:space="preserve">, economic growth and price stability are important components of location advantage in attracting foreign investment. Unlike previous studies that used inflation as a proxy for price stability </w:t>
      </w:r>
      <w:r w:rsidR="004C5ECA" w:rsidRPr="00127C07">
        <w:rPr>
          <w:rFonts w:ascii="Arial" w:hAnsi="Arial" w:cs="Arial"/>
          <w:b w:val="0"/>
          <w:bCs/>
          <w:caps w:val="0"/>
          <w:sz w:val="20"/>
          <w:szCs w:val="18"/>
        </w:rPr>
        <w:fldChar w:fldCharType="begin" w:fldLock="1"/>
      </w:r>
      <w:r w:rsidR="004C5ECA" w:rsidRPr="00127C07">
        <w:rPr>
          <w:rFonts w:ascii="Arial" w:hAnsi="Arial" w:cs="Arial"/>
          <w:b w:val="0"/>
          <w:bCs/>
          <w:caps w:val="0"/>
          <w:sz w:val="20"/>
          <w:szCs w:val="18"/>
        </w:rPr>
        <w:instrText>ADDIN CSL_CITATION {"citationItems":[{"id":"ITEM-1","itemData":{"DOI":"10.24857/RGSA.V18N1-103","ISBN":"0000000256","ISSN":"1981982X","abstract":"Objectives: The main objective of the study is to investigating the dynamic relationship between FDI and different Macro Economic Variables (MEVs) using the ARDL procedure, providing a more comprehensive understanding of the association between FDI and MEVs and to evaluate their relative importance for FDI. Methods: This study utilizes annual data from 1991 to 2021 from the World Bank (2021) and the Reserve Bank of India (2021). Data on GDP, Export, Inflation and interest rate, and FDI are collected from the World Bank. Autoregressive Distributive lag Model procedure has been used for the study in order to establish relationship between Macro economic variables and FDI. Results: Our methodological approach using ARDL model and finds: (a) a positive correlation between exports and FDI, (b) a negative impact of inflation and exchange rates on FDI in the long run. Non-linear ARDL analysis reveals the asymmetric impact of inflation and interest rate on FDI, which includes the effect of positive and negative shock of interest rate and inflation on FDI. d) 1% increase in inflation reduces FDI by 0.4% and if Inflation is reduced by 1%, FDI is increased by 0.2%. At the same time, the non-linear estimation of interest rates concludes that there is an asymmetric and significant association between interest rates and FDI. e) If Interest rate has increased by 1% FDI is decreased by 0.9% and if interest rate has reduced by 1% FDI has deceased by 1.63%. f) The causality analysis reveals that exports, GDP, and exchange rates are the significant economic variables that affect FDI. Conclusion: The study's findings have practical implications for policymakers and investors looking to attract more FDI in India. The results indicate that exports play a critical role in attracting FDI and that the government should focus on improving export performance to increase FDI inflows. Additionally, the study highlights the importance of controlling inflation and exchange rates to attract more foreign investment. The finding that interest rates have an asymmetric relationship with FDI suggests that policymakers should be cautious when implementing monetary policies that may impact interest rates. Overall, the study provides valuable insights for policymakers and investors looking to attract more FDI in India and highlights the importance of considering the country's macroeconomic conditions when making investment decisions.","author":[{"dropping-particle":"","family":"Jaiswal","given":"Krishna Kumar","non-dropping-particle":"","parse-names":false,"suffix":""},{"dropping-particle":"","family":"Kumar","given":"Nand","non-dropping-particle":"","parse-names":false,"suffix":""}],"container-title":"Revista de Gestao Social e Ambiental","id":"ITEM-1","issue":"1","issued":{"date-parts":[["2024"]]},"page":"1-27","title":"Symmetric and Asymmetric Association Between Foreign Direct Investments and Macroeconomic Variables: an Ardl Approach","type":"article-journal","volume":"18"},"uris":["http://www.mendeley.com/documents/?uuid=69b7103b-21d0-4f4b-b1ca-aa3b901d6590"]},{"id":"ITEM-2","itemData":{"DOI":"10.1080/1331677X.2023.2299991","ISSN":"1331677X","abstract":"The purpose of this study is to examine the threshold effect of inflation on the foreign direct investment (FDI)–economic growth nexus in sub-Saharan Africa using panel samples of countries that have adopted an inflation-targeting regime. The study sourced data from the World Bank’s World Development Indicators over a period of 1982–2020 and adopted the fixed-effect panel threshold model approach for its analysis. The findings reveal two separate thresholds of inflation in the FDI–growth nexus. The growth-enhancing effect of FDI is largely realized when inflation is below the optimal threshold level of 7.26%. Beyond the second threshold level of 16.49%, the beneficial effect of FDI on growth is seen to diminish in terms of effect-size. This study provides new insights into the growth effect of FDI and the role of inflation levels in this nexus. The thresholds of inflation and the attendant size-effect of FDI on growth can be benchmarks for Africa and other developing and emerging economies in assessing their situations. As African monetary authorities choose which inflation targets to set for their monetary policies, the findings raise significant implications for them.","author":[{"dropping-particle":"","family":"Mensah","given":"Emmanuel","non-dropping-particle":"","parse-names":false,"suffix":""},{"dropping-particle":"","family":"Mensah","given":"Rachel Odoley","non-dropping-particle":"","parse-names":false,"suffix":""},{"dropping-particle":"","family":"Danquah","given":"David Aboagye","non-dropping-particle":"","parse-names":false,"suffix":""}],"container-title":"Economic Research-Ekonomska Istrazivanja ","id":"ITEM-2","issue":"1","issued":{"date-parts":[["2024"]]},"page":"-","publisher":"Routledge","title":"Threshold effects of inflation on the FDI–growth nexus: evidence from inflation-targeting countries in sub-Saharan Africa","type":"article-journal","volume":"37"},"uris":["http://www.mendeley.com/documents/?uuid=57381871-78ef-4d8d-8087-f23d3a25826e"]},{"id":"ITEM-3","itemData":{"DOI":"10.1080/23322039.2025.2476099","ISSN":"23322039","abstract":"Foreign Direct Investment (FDI) plays a crucial role in economic growth, particularly in fragile states like Somalia. Despite its strategic location and resource potential, Somalia faces challenges such as political instability, weak infrastructure, and climate vulnerabilities that deter investors. This study explores the economic and environmental determinants of FDI in Somalia, focusing on GDP growth, inflation, population growth, urbanization, rainfall, and temperature. Using time-series data and the ARDL model, it examines both the direct effects of these variables and the moderating role of GDP growth. Findings confirm a long-term relationship where GDP and population growth enhance FDI, while inflation and rising temperatures hinder investment. Rainfall positively influences FDI, reflecting its importance in Somalia's agriculture-dependent economy. Urbanization remains insignificant in the long run due to unplanned growth. In the short term, population growth, urbanization, and temperature significantly affect FDI, while GDP, inflation, and rainfall show weaker immediate effects. The moderation analysis suggests that GDP growth mitigates climate-related investment risks. This study underscores the need for economic stability, infrastructure development, and climate adaptation strategies to attract sustainable FDI and promote long-term growth in Somalia.","author":[{"dropping-particle":"","family":"Mohamed","given":"Abdikadir Ahmed","non-dropping-particle":"","parse-names":false,"suffix":""},{"dropping-particle":"","family":"Abdikarim","given":"Abdifatah Mohamed","non-dropping-particle":"","parse-names":false,"suffix":""},{"dropping-particle":"","family":"Mohamed","given":"Jamal Abdulkadir","non-dropping-particle":"","parse-names":false,"suffix":""}],"container-title":"Cogent Economics and Finance","id":"ITEM-3","issue":"1","issued":{"date-parts":[["2025"]]},"page":"-","publisher":"Cogent","title":"Foreign direct investment: an empirical investigation of economic and climate variables in Somalia","type":"article-journal","volume":"13"},"uris":["http://www.mendeley.com/documents/?uuid=a61aaf9f-59bd-4bc3-970d-bd07c965d515"]}],"mendeley":{"formattedCitation":"(Jaiswal &amp; Kumar, 2024; Mensah et al., 2024; Mohamed et al., 2025)","plainTextFormattedCitation":"(Jaiswal &amp; Kumar, 2024; Mensah et al., 2024; Mohamed et al., 2025)","previouslyFormattedCitation":"(Jaiswal &amp; Kumar, 2024; Mensah et al., 2024; Mohamed et al., 2025)"},"properties":{"noteIndex":0},"schema":"https://github.com/citation-style-language/schema/raw/master/csl-citation.json"}</w:instrText>
      </w:r>
      <w:r w:rsidR="004C5ECA" w:rsidRPr="00127C07">
        <w:rPr>
          <w:rFonts w:ascii="Arial" w:hAnsi="Arial" w:cs="Arial"/>
          <w:b w:val="0"/>
          <w:bCs/>
          <w:caps w:val="0"/>
          <w:sz w:val="20"/>
          <w:szCs w:val="18"/>
        </w:rPr>
        <w:fldChar w:fldCharType="separate"/>
      </w:r>
      <w:r w:rsidR="004C5ECA" w:rsidRPr="00127C07">
        <w:rPr>
          <w:rFonts w:ascii="Arial" w:hAnsi="Arial" w:cs="Arial"/>
          <w:b w:val="0"/>
          <w:bCs/>
          <w:caps w:val="0"/>
          <w:noProof/>
          <w:sz w:val="20"/>
          <w:szCs w:val="18"/>
        </w:rPr>
        <w:t>(Jaiswal &amp; Kumar, 2024; Mensah et al., 2024; Mohamed et al., 2025)</w:t>
      </w:r>
      <w:r w:rsidR="004C5ECA" w:rsidRPr="00127C07">
        <w:rPr>
          <w:rFonts w:ascii="Arial" w:hAnsi="Arial" w:cs="Arial"/>
          <w:b w:val="0"/>
          <w:bCs/>
          <w:caps w:val="0"/>
          <w:sz w:val="20"/>
          <w:szCs w:val="18"/>
        </w:rPr>
        <w:fldChar w:fldCharType="end"/>
      </w:r>
      <w:r w:rsidR="004C5ECA" w:rsidRPr="00127C07">
        <w:rPr>
          <w:rFonts w:ascii="Arial" w:hAnsi="Arial" w:cs="Arial"/>
          <w:b w:val="0"/>
          <w:bCs/>
          <w:caps w:val="0"/>
          <w:sz w:val="20"/>
          <w:szCs w:val="18"/>
        </w:rPr>
        <w:t xml:space="preserve">, which showed a negative correlation, these results reflect the unique characteristics of East Kalimantan, where increases in price levels are more influenced by aggregate demand than by harmful inflationary pressures. In Keynesian theory </w:t>
      </w:r>
      <w:r w:rsidR="004C5ECA" w:rsidRPr="00127C07">
        <w:rPr>
          <w:rFonts w:ascii="Arial" w:hAnsi="Arial" w:cs="Arial"/>
          <w:b w:val="0"/>
          <w:bCs/>
          <w:caps w:val="0"/>
          <w:sz w:val="20"/>
          <w:szCs w:val="18"/>
        </w:rPr>
        <w:fldChar w:fldCharType="begin" w:fldLock="1"/>
      </w:r>
      <w:r w:rsidR="00C41479" w:rsidRPr="00127C07">
        <w:rPr>
          <w:rFonts w:ascii="Arial" w:hAnsi="Arial" w:cs="Arial"/>
          <w:b w:val="0"/>
          <w:bCs/>
          <w:caps w:val="0"/>
          <w:sz w:val="20"/>
          <w:szCs w:val="18"/>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4C5ECA" w:rsidRPr="00127C07">
        <w:rPr>
          <w:rFonts w:ascii="Arial" w:hAnsi="Arial" w:cs="Arial"/>
          <w:b w:val="0"/>
          <w:bCs/>
          <w:caps w:val="0"/>
          <w:sz w:val="20"/>
          <w:szCs w:val="18"/>
        </w:rPr>
        <w:fldChar w:fldCharType="separate"/>
      </w:r>
      <w:r w:rsidR="004C5ECA" w:rsidRPr="00127C07">
        <w:rPr>
          <w:rFonts w:ascii="Arial" w:hAnsi="Arial" w:cs="Arial"/>
          <w:b w:val="0"/>
          <w:bCs/>
          <w:caps w:val="0"/>
          <w:noProof/>
          <w:sz w:val="20"/>
          <w:szCs w:val="18"/>
        </w:rPr>
        <w:t>(Keynes, 1936)</w:t>
      </w:r>
      <w:r w:rsidR="004C5ECA" w:rsidRPr="00127C07">
        <w:rPr>
          <w:rFonts w:ascii="Arial" w:hAnsi="Arial" w:cs="Arial"/>
          <w:b w:val="0"/>
          <w:bCs/>
          <w:caps w:val="0"/>
          <w:sz w:val="20"/>
          <w:szCs w:val="18"/>
        </w:rPr>
        <w:fldChar w:fldCharType="end"/>
      </w:r>
      <w:r w:rsidR="004C5ECA" w:rsidRPr="00127C07">
        <w:rPr>
          <w:rFonts w:ascii="Arial" w:hAnsi="Arial" w:cs="Arial"/>
          <w:b w:val="0"/>
          <w:bCs/>
          <w:caps w:val="0"/>
          <w:sz w:val="20"/>
          <w:szCs w:val="18"/>
        </w:rPr>
        <w:t>, positive expectations of business actors regarding aggregate demand are key to investment decisions. However, excessive price increases will also increase operational costs and reduce the attractiveness of investment. Therefore, local governments need to focus on policies that can enhance economic competitiveness and maintain stability to create a conducive investment climate. By focusing on improving infrastructure and the quality of human resources, it is hoped that higher output can be achieved, thereby attracting more investment.</w:t>
      </w:r>
    </w:p>
    <w:p w14:paraId="0EBD9113" w14:textId="2DBE8D41" w:rsidR="004C5ECA" w:rsidRPr="00127C07" w:rsidRDefault="00E52AC5" w:rsidP="00142BC0">
      <w:pPr>
        <w:pStyle w:val="AbstHead"/>
        <w:spacing w:after="0"/>
        <w:jc w:val="both"/>
        <w:rPr>
          <w:rFonts w:ascii="Arial" w:hAnsi="Arial" w:cs="Arial"/>
          <w:b w:val="0"/>
          <w:caps w:val="0"/>
          <w:sz w:val="20"/>
        </w:rPr>
      </w:pPr>
      <w:r w:rsidRPr="00127C07">
        <w:rPr>
          <w:rFonts w:ascii="Arial" w:hAnsi="Arial" w:cs="Arial"/>
          <w:b w:val="0"/>
          <w:bCs/>
          <w:caps w:val="0"/>
        </w:rPr>
        <w:lastRenderedPageBreak/>
        <w:tab/>
      </w:r>
      <w:r w:rsidR="00D64809" w:rsidRPr="00D64809">
        <w:rPr>
          <w:rFonts w:ascii="Arial" w:hAnsi="Arial" w:cs="Arial"/>
          <w:b w:val="0"/>
          <w:caps w:val="0"/>
          <w:sz w:val="20"/>
        </w:rPr>
        <w:t>With a coefficient of 0.0106 at a significance level of 1%, the variable that represents DDI and FDI have a positive and statistically significant association.  Accordingly, a 10.6 million rupiah increase in foreign investment corresponds to a 1 billion rupiah rise in local investment.</w:t>
      </w:r>
      <w:r w:rsidR="004C5ECA" w:rsidRPr="00127C07">
        <w:rPr>
          <w:rFonts w:ascii="Arial" w:hAnsi="Arial" w:cs="Arial"/>
          <w:b w:val="0"/>
          <w:caps w:val="0"/>
          <w:sz w:val="20"/>
        </w:rPr>
        <w:t xml:space="preserve"> These results support the signaling hypothesis, which posits that strong domestic investment reflects confidence in the regional economy and serves as a catalyst for attracting foreign capital. This is supported by Keynesian theory </w:t>
      </w:r>
      <w:r w:rsidR="00C41479" w:rsidRPr="00127C07">
        <w:rPr>
          <w:rFonts w:ascii="Arial" w:hAnsi="Arial" w:cs="Arial"/>
          <w:b w:val="0"/>
          <w:caps w:val="0"/>
          <w:sz w:val="20"/>
        </w:rPr>
        <w:fldChar w:fldCharType="begin" w:fldLock="1"/>
      </w:r>
      <w:r w:rsidR="00C41479" w:rsidRPr="00127C07">
        <w:rPr>
          <w:rFonts w:ascii="Arial" w:hAnsi="Arial" w:cs="Arial"/>
          <w:b w:val="0"/>
          <w:caps w:val="0"/>
          <w:sz w:val="20"/>
        </w:rPr>
        <w:instrText>ADDIN CSL_CITATION {"citationItems":[{"id":"ITEM-1","itemData":{"author":[{"dropping-particle":"","family":"Keynes","given":"John Maynard","non-dropping-particle":"","parse-names":false,"suffix":""}],"id":"ITEM-1","issued":{"date-parts":[["1936"]]},"publisher":"Harcourt, Brace","title":"The General Theory of Employment, Interest and Money","type":"book"},"uris":["http://www.mendeley.com/documents/?uuid=8bb0113f-f320-44f4-a325-320f00cc2143"]}],"mendeley":{"formattedCitation":"(Keynes, 1936)","plainTextFormattedCitation":"(Keynes, 1936)","previouslyFormattedCitation":"(Keynes, 1936)"},"properties":{"noteIndex":0},"schema":"https://github.com/citation-style-language/schema/raw/master/csl-citation.json"}</w:instrText>
      </w:r>
      <w:r w:rsidR="00C41479" w:rsidRPr="00127C07">
        <w:rPr>
          <w:rFonts w:ascii="Arial" w:hAnsi="Arial" w:cs="Arial"/>
          <w:b w:val="0"/>
          <w:caps w:val="0"/>
          <w:sz w:val="20"/>
        </w:rPr>
        <w:fldChar w:fldCharType="separate"/>
      </w:r>
      <w:r w:rsidR="00C41479" w:rsidRPr="00127C07">
        <w:rPr>
          <w:rFonts w:ascii="Arial" w:hAnsi="Arial" w:cs="Arial"/>
          <w:b w:val="0"/>
          <w:caps w:val="0"/>
          <w:noProof/>
          <w:sz w:val="20"/>
        </w:rPr>
        <w:t>(Keynes, 1936)</w:t>
      </w:r>
      <w:r w:rsidR="00C41479" w:rsidRPr="00127C07">
        <w:rPr>
          <w:rFonts w:ascii="Arial" w:hAnsi="Arial" w:cs="Arial"/>
          <w:b w:val="0"/>
          <w:caps w:val="0"/>
          <w:sz w:val="20"/>
        </w:rPr>
        <w:fldChar w:fldCharType="end"/>
      </w:r>
      <w:r w:rsidR="004C5ECA" w:rsidRPr="00127C07">
        <w:rPr>
          <w:rFonts w:ascii="Arial" w:hAnsi="Arial" w:cs="Arial"/>
          <w:b w:val="0"/>
          <w:caps w:val="0"/>
          <w:sz w:val="20"/>
        </w:rPr>
        <w:t>, which emphasizes the importance of market expectations and confidence in driving investment. In line with previous studies by</w:t>
      </w:r>
      <w:r w:rsidR="00C41479" w:rsidRPr="00127C07">
        <w:rPr>
          <w:rFonts w:ascii="Arial" w:hAnsi="Arial" w:cs="Arial"/>
          <w:b w:val="0"/>
          <w:caps w:val="0"/>
          <w:sz w:val="20"/>
        </w:rPr>
        <w:t xml:space="preserve"> </w:t>
      </w:r>
      <w:r w:rsidR="00C41479" w:rsidRPr="00127C07">
        <w:rPr>
          <w:rFonts w:ascii="Arial" w:hAnsi="Arial" w:cs="Arial"/>
          <w:b w:val="0"/>
          <w:caps w:val="0"/>
          <w:sz w:val="20"/>
        </w:rPr>
        <w:fldChar w:fldCharType="begin" w:fldLock="1"/>
      </w:r>
      <w:r w:rsidR="00127C07">
        <w:rPr>
          <w:rFonts w:ascii="Arial" w:hAnsi="Arial" w:cs="Arial"/>
          <w:b w:val="0"/>
          <w:caps w:val="0"/>
          <w:sz w:val="20"/>
        </w:rPr>
        <w:instrText>ADDIN CSL_CITATION {"citationItems":[{"id":"ITEM-1","itemData":{"DOI":"10.1111/j.1467-7679.2008.00430.x","ISSN":"09506764","abstract":"While the recent increase in foreign direct investment (FDI) to African countries is a welcome development, the impact of these resource inflows on economic development remains in doubt. This article argues that a key channel is its effects on domestic factor markets, especially domestic investment, and analyses the two-way linkages between FDI and domestic investment in sub-Saharan Africa. The results suggest, first, that FDI crowds in domestic investment and, secondly, that private investment is a driver of FDI, implying that African countries will gain much from improving the domestic climate. Moreover, there are alternatives to resource endowments as a means of attracting foreign investment to non-resource-rich countries. © 2008 Overseas Development Institute.","author":[{"dropping-particle":"","family":"Ndikumana","given":"Léonce","non-dropping-particle":"","parse-names":false,"suffix":""},{"dropping-particle":"","family":"Verick","given":"Sher","non-dropping-particle":"","parse-names":false,"suffix":""}],"container-title":"Development Policy Review","id":"ITEM-1","issue":"6","issued":{"date-parts":[["2008"]]},"page":"713-726","title":"The linkages between FDI and domestic investment: Unravelling the developmental impact of foreign investment in sub-Saharan Africa","type":"article-journal","volume":"26"},"uris":["http://www.mendeley.com/documents/?uuid=72bb47a2-4008-402d-9a04-60d0d82c7611"]}],"mendeley":{"formattedCitation":"(Ndikumana &amp; Verick, 2008)","manualFormatting":"Ndikumana &amp; Verick (2008)","plainTextFormattedCitation":"(Ndikumana &amp; Verick, 2008)","previouslyFormattedCitation":"(Ndikumana &amp; Verick, 2008)"},"properties":{"noteIndex":0},"schema":"https://github.com/citation-style-language/schema/raw/master/csl-citation.json"}</w:instrText>
      </w:r>
      <w:r w:rsidR="00C41479" w:rsidRPr="00127C07">
        <w:rPr>
          <w:rFonts w:ascii="Arial" w:hAnsi="Arial" w:cs="Arial"/>
          <w:b w:val="0"/>
          <w:caps w:val="0"/>
          <w:sz w:val="20"/>
        </w:rPr>
        <w:fldChar w:fldCharType="separate"/>
      </w:r>
      <w:r w:rsidR="00C41479" w:rsidRPr="00127C07">
        <w:rPr>
          <w:rFonts w:ascii="Arial" w:hAnsi="Arial" w:cs="Arial"/>
          <w:b w:val="0"/>
          <w:caps w:val="0"/>
          <w:noProof/>
          <w:sz w:val="20"/>
        </w:rPr>
        <w:t>Ndikumana &amp; Verick (2008)</w:t>
      </w:r>
      <w:r w:rsidR="00C41479" w:rsidRPr="00127C07">
        <w:rPr>
          <w:rFonts w:ascii="Arial" w:hAnsi="Arial" w:cs="Arial"/>
          <w:b w:val="0"/>
          <w:caps w:val="0"/>
          <w:sz w:val="20"/>
        </w:rPr>
        <w:fldChar w:fldCharType="end"/>
      </w:r>
      <w:r w:rsidR="00C41479" w:rsidRPr="00127C07">
        <w:rPr>
          <w:rFonts w:ascii="Arial" w:hAnsi="Arial" w:cs="Arial"/>
          <w:b w:val="0"/>
          <w:caps w:val="0"/>
          <w:sz w:val="20"/>
        </w:rPr>
        <w:t xml:space="preserve"> and</w:t>
      </w:r>
      <w:r w:rsidR="004C5ECA" w:rsidRPr="00127C07">
        <w:rPr>
          <w:rFonts w:ascii="Arial" w:hAnsi="Arial" w:cs="Arial"/>
          <w:b w:val="0"/>
          <w:caps w:val="0"/>
          <w:sz w:val="20"/>
        </w:rPr>
        <w:t xml:space="preserve"> </w:t>
      </w:r>
      <w:r w:rsidR="00C41479" w:rsidRPr="00127C07">
        <w:rPr>
          <w:rFonts w:ascii="Arial" w:hAnsi="Arial" w:cs="Arial"/>
          <w:b w:val="0"/>
          <w:caps w:val="0"/>
          <w:sz w:val="20"/>
        </w:rPr>
        <w:fldChar w:fldCharType="begin" w:fldLock="1"/>
      </w:r>
      <w:r w:rsidR="00C41479" w:rsidRPr="00127C07">
        <w:rPr>
          <w:rFonts w:ascii="Arial" w:hAnsi="Arial" w:cs="Arial"/>
          <w:b w:val="0"/>
          <w:caps w:val="0"/>
          <w:sz w:val="20"/>
        </w:rPr>
        <w:instrText>ADDIN CSL_CITATION {"citationItems":[{"id":"ITEM-1","itemData":{"DOI":"10.1007/s13132-018-0552-y","ISSN":"18687873","abstract":"This study examines the effect of governance on the attractiveness of FDI through a sample of 41 African countries. We contribute to the literature by using various measures of institutional quality to identify the institutional quality aspects that affect the attractiveness of FDI in African countries. We use both the static panel data approach (fixed effect (FE) and random effect (RE)) and the dynamic panel approach (GMM in system). The empirical results show that the attractiveness of FDI to African countries is positively correlated with the control of corruption, the effectiveness of governments, the quality of regulation, and the voice and accountability. The results of this study imply that the dynamics of the modern economy requires African countries to improve the dimensions of governance and establish good governance practices.","author":[{"dropping-particle":"","family":"Bouchoucha","given":"Najeh","non-dropping-particle":"","parse-names":false,"suffix":""},{"dropping-particle":"","family":"Benammou","given":"Saloua","non-dropping-particle":"","parse-names":false,"suffix":""}],"container-title":"Journal of the Knowledge Economy","id":"ITEM-1","issue":"1","issued":{"date-parts":[["2020"]]},"page":"390-404","publisher":"Journal of the Knowledge Economy","title":"Does Institutional Quality Matter Foreign Direct Investment? Evidence from African Countries","type":"article-journal","volume":"11"},"uris":["http://www.mendeley.com/documents/?uuid=830ffd14-37f8-4bdb-ad2b-fda71d34320d"]}],"mendeley":{"formattedCitation":"(Bouchoucha &amp; Benammou, 2020)","manualFormatting":"Bouchoucha &amp; Benammou (2020)","plainTextFormattedCitation":"(Bouchoucha &amp; Benammou, 2020)","previouslyFormattedCitation":"(Bouchoucha &amp; Benammou, 2020)"},"properties":{"noteIndex":0},"schema":"https://github.com/citation-style-language/schema/raw/master/csl-citation.json"}</w:instrText>
      </w:r>
      <w:r w:rsidR="00C41479" w:rsidRPr="00127C07">
        <w:rPr>
          <w:rFonts w:ascii="Arial" w:hAnsi="Arial" w:cs="Arial"/>
          <w:b w:val="0"/>
          <w:caps w:val="0"/>
          <w:sz w:val="20"/>
        </w:rPr>
        <w:fldChar w:fldCharType="separate"/>
      </w:r>
      <w:r w:rsidR="00C41479" w:rsidRPr="00127C07">
        <w:rPr>
          <w:rFonts w:ascii="Arial" w:hAnsi="Arial" w:cs="Arial"/>
          <w:b w:val="0"/>
          <w:caps w:val="0"/>
          <w:noProof/>
          <w:sz w:val="20"/>
        </w:rPr>
        <w:t>Bouchoucha &amp; Benammou (2020)</w:t>
      </w:r>
      <w:r w:rsidR="00C41479" w:rsidRPr="00127C07">
        <w:rPr>
          <w:rFonts w:ascii="Arial" w:hAnsi="Arial" w:cs="Arial"/>
          <w:b w:val="0"/>
          <w:caps w:val="0"/>
          <w:sz w:val="20"/>
        </w:rPr>
        <w:fldChar w:fldCharType="end"/>
      </w:r>
      <w:r w:rsidR="004C5ECA" w:rsidRPr="00127C07">
        <w:rPr>
          <w:rFonts w:ascii="Arial" w:hAnsi="Arial" w:cs="Arial"/>
          <w:b w:val="0"/>
          <w:caps w:val="0"/>
          <w:sz w:val="20"/>
        </w:rPr>
        <w:t>, this confirms that domestic investment serves as a signal and stimulus for foreign investors. The presence of active domestic investors can reduce perceived risk and enhance the credibility of the local investment climate. Therefore, policies that encourage domestic investment not only stimulate local economic activity but can also create a domino effect that increases foreign investment.</w:t>
      </w:r>
      <w:r w:rsidRPr="00127C07">
        <w:rPr>
          <w:rFonts w:ascii="Arial" w:hAnsi="Arial" w:cs="Arial"/>
          <w:b w:val="0"/>
          <w:caps w:val="0"/>
          <w:sz w:val="20"/>
        </w:rPr>
        <w:tab/>
      </w:r>
    </w:p>
    <w:p w14:paraId="0F22F50D" w14:textId="6D086FD9" w:rsidR="00C41479" w:rsidRDefault="00D64809" w:rsidP="00142BC0">
      <w:pPr>
        <w:pStyle w:val="ConcHead"/>
        <w:spacing w:after="0"/>
        <w:ind w:firstLine="720"/>
        <w:jc w:val="both"/>
        <w:rPr>
          <w:rFonts w:ascii="Arial" w:hAnsi="Arial" w:cs="Arial"/>
          <w:b w:val="0"/>
          <w:bCs/>
          <w:caps w:val="0"/>
          <w:sz w:val="20"/>
        </w:rPr>
      </w:pPr>
      <w:r w:rsidRPr="00D64809">
        <w:rPr>
          <w:rFonts w:ascii="Arial" w:hAnsi="Arial" w:cs="Arial"/>
          <w:b w:val="0"/>
          <w:bCs/>
          <w:caps w:val="0"/>
          <w:sz w:val="20"/>
        </w:rPr>
        <w:t>With a coefficient of 0.0268 and significance at the 1% level, POP also demonstrates a favorable and statistically significant impact on FDI.  This means that FDI will rise by almost 26.8 million rupiah for every ton of palm oil produced.</w:t>
      </w:r>
      <w:r>
        <w:rPr>
          <w:rFonts w:ascii="Arial" w:hAnsi="Arial" w:cs="Arial"/>
          <w:b w:val="0"/>
          <w:bCs/>
          <w:caps w:val="0"/>
          <w:sz w:val="20"/>
        </w:rPr>
        <w:t xml:space="preserve"> </w:t>
      </w:r>
      <w:r w:rsidR="00C41479" w:rsidRPr="00127C07">
        <w:rPr>
          <w:rFonts w:ascii="Arial" w:hAnsi="Arial" w:cs="Arial"/>
          <w:b w:val="0"/>
          <w:bCs/>
          <w:caps w:val="0"/>
          <w:sz w:val="20"/>
        </w:rPr>
        <w:t>High agricultural production levels, especially in the palm oil sector, demonstrate strong operational capacity and commodity competitiveness. For foreign investors, high production levels imply scalability, profitability, and export potential, making the region more attractive for investment. Additionally, increased production can strengthen East Kalimantan's position as one of the national palm oil production centers, thereby expanding opportunities for FDI in related subsectors, such as industry and logistics. Therefore, enhancing agricultural productivity, particularly in strategic sectors like palm oil, is crucial for attracting foreign capital and strengthening the regional economy.</w:t>
      </w:r>
    </w:p>
    <w:p w14:paraId="4DEF051D" w14:textId="77777777" w:rsidR="00142BC0" w:rsidRPr="00127C07" w:rsidRDefault="00142BC0" w:rsidP="00142BC0">
      <w:pPr>
        <w:pStyle w:val="ConcHead"/>
        <w:spacing w:after="0"/>
        <w:ind w:firstLine="720"/>
        <w:jc w:val="both"/>
        <w:rPr>
          <w:rFonts w:ascii="Arial" w:hAnsi="Arial" w:cs="Arial"/>
          <w:b w:val="0"/>
          <w:bCs/>
          <w:caps w:val="0"/>
          <w:sz w:val="20"/>
        </w:rPr>
      </w:pPr>
    </w:p>
    <w:p w14:paraId="31A497AD" w14:textId="528024E0" w:rsidR="00E52AC5" w:rsidRPr="00127C07" w:rsidRDefault="00E52AC5" w:rsidP="00142BC0">
      <w:pPr>
        <w:pStyle w:val="ConcHead"/>
        <w:spacing w:after="0"/>
        <w:jc w:val="both"/>
        <w:rPr>
          <w:rFonts w:ascii="Arial" w:hAnsi="Arial" w:cs="Arial"/>
        </w:rPr>
      </w:pPr>
      <w:r w:rsidRPr="00127C07">
        <w:rPr>
          <w:rFonts w:ascii="Arial" w:hAnsi="Arial" w:cs="Arial"/>
        </w:rPr>
        <w:t>4. Conclusion</w:t>
      </w:r>
    </w:p>
    <w:p w14:paraId="125B87EA" w14:textId="6DB466CE" w:rsidR="00E52AC5" w:rsidRPr="00127C07" w:rsidRDefault="00E52AC5" w:rsidP="00142BC0">
      <w:pPr>
        <w:pStyle w:val="ConcHead"/>
        <w:spacing w:after="0"/>
        <w:jc w:val="both"/>
        <w:rPr>
          <w:rFonts w:ascii="Arial" w:hAnsi="Arial" w:cs="Arial"/>
          <w:b w:val="0"/>
          <w:bCs/>
          <w:sz w:val="20"/>
          <w:szCs w:val="18"/>
        </w:rPr>
      </w:pPr>
      <w:r w:rsidRPr="00127C07">
        <w:rPr>
          <w:rFonts w:ascii="Arial" w:hAnsi="Arial" w:cs="Arial"/>
        </w:rPr>
        <w:tab/>
      </w:r>
      <w:r w:rsidR="00D64809" w:rsidRPr="00D64809">
        <w:rPr>
          <w:rFonts w:ascii="Arial" w:hAnsi="Arial" w:cs="Arial"/>
          <w:b w:val="0"/>
          <w:bCs/>
          <w:caps w:val="0"/>
          <w:sz w:val="20"/>
          <w:szCs w:val="18"/>
        </w:rPr>
        <w:t>Using panel data regression, this study sought to investigate how regional economic investment determinants affected foreign direct investment in east Kalimantan between 2019 and 2024.  Three competing models were used in the analysis: CEM, FEM, and REM. The Chow, LM, and Hausman tests determined that the REM model was the best suitable</w:t>
      </w:r>
      <w:r w:rsidRPr="00127C07">
        <w:rPr>
          <w:rFonts w:ascii="Arial" w:hAnsi="Arial" w:cs="Arial"/>
          <w:b w:val="0"/>
          <w:bCs/>
          <w:caps w:val="0"/>
          <w:sz w:val="20"/>
          <w:szCs w:val="18"/>
        </w:rPr>
        <w:t>.</w:t>
      </w:r>
    </w:p>
    <w:p w14:paraId="5C79DB19" w14:textId="0DA7FB89" w:rsidR="00E52AC5" w:rsidRPr="00127C07" w:rsidRDefault="00E52AC5" w:rsidP="00142BC0">
      <w:pPr>
        <w:pStyle w:val="ConcHead"/>
        <w:spacing w:after="0"/>
        <w:jc w:val="both"/>
        <w:rPr>
          <w:rFonts w:ascii="Arial" w:hAnsi="Arial" w:cs="Arial"/>
          <w:b w:val="0"/>
          <w:bCs/>
          <w:sz w:val="20"/>
          <w:szCs w:val="18"/>
        </w:rPr>
      </w:pPr>
      <w:r w:rsidRPr="00127C07">
        <w:rPr>
          <w:rFonts w:ascii="Arial" w:hAnsi="Arial" w:cs="Arial"/>
          <w:b w:val="0"/>
          <w:bCs/>
          <w:sz w:val="20"/>
          <w:szCs w:val="18"/>
        </w:rPr>
        <w:tab/>
      </w:r>
      <w:r w:rsidR="00D64809" w:rsidRPr="00D64809">
        <w:rPr>
          <w:rFonts w:ascii="Arial" w:hAnsi="Arial" w:cs="Arial"/>
          <w:b w:val="0"/>
          <w:bCs/>
          <w:caps w:val="0"/>
          <w:sz w:val="20"/>
          <w:szCs w:val="18"/>
        </w:rPr>
        <w:t>The results show that FDI is positively and statistically significantly impacted by all independent variables, including OPLA, IIGRDP, DDI, and POP.  The r-squared value of 0.6259 shows that 62.59% of the variation in FDI is explained by the model, while the simultaneous test (f-test) verified that the factors together affect FDI.  The partial test provides additional evidence that each factor plays a substantial role in drawing in foreign investment</w:t>
      </w:r>
      <w:r w:rsidRPr="00127C07">
        <w:rPr>
          <w:rFonts w:ascii="Arial" w:hAnsi="Arial" w:cs="Arial"/>
          <w:b w:val="0"/>
          <w:bCs/>
          <w:caps w:val="0"/>
          <w:sz w:val="20"/>
          <w:szCs w:val="18"/>
        </w:rPr>
        <w:t>.</w:t>
      </w:r>
    </w:p>
    <w:p w14:paraId="49D725AC" w14:textId="4062AB41" w:rsidR="00E52AC5" w:rsidRPr="00127C07" w:rsidRDefault="00E52AC5" w:rsidP="00E52AC5">
      <w:pPr>
        <w:pStyle w:val="ConcHead"/>
        <w:spacing w:after="0"/>
        <w:jc w:val="both"/>
        <w:rPr>
          <w:rFonts w:ascii="Arial" w:hAnsi="Arial" w:cs="Arial"/>
          <w:b w:val="0"/>
          <w:bCs/>
          <w:sz w:val="20"/>
          <w:szCs w:val="18"/>
        </w:rPr>
      </w:pPr>
      <w:r w:rsidRPr="00127C07">
        <w:rPr>
          <w:rFonts w:ascii="Arial" w:hAnsi="Arial" w:cs="Arial"/>
          <w:b w:val="0"/>
          <w:bCs/>
          <w:sz w:val="20"/>
          <w:szCs w:val="18"/>
        </w:rPr>
        <w:tab/>
      </w:r>
      <w:r w:rsidR="0008308B">
        <w:rPr>
          <w:rFonts w:ascii="Arial" w:hAnsi="Arial" w:cs="Arial"/>
          <w:b w:val="0"/>
          <w:bCs/>
          <w:caps w:val="0"/>
          <w:sz w:val="20"/>
          <w:szCs w:val="18"/>
        </w:rPr>
        <w:t>T</w:t>
      </w:r>
      <w:r w:rsidRPr="00127C07">
        <w:rPr>
          <w:rFonts w:ascii="Arial" w:hAnsi="Arial" w:cs="Arial"/>
          <w:b w:val="0"/>
          <w:bCs/>
          <w:caps w:val="0"/>
          <w:sz w:val="20"/>
          <w:szCs w:val="18"/>
        </w:rPr>
        <w:t xml:space="preserve">hese results suggest that </w:t>
      </w:r>
      <w:proofErr w:type="spellStart"/>
      <w:r w:rsidRPr="00127C07">
        <w:rPr>
          <w:rFonts w:ascii="Arial" w:hAnsi="Arial" w:cs="Arial"/>
          <w:b w:val="0"/>
          <w:bCs/>
          <w:caps w:val="0"/>
          <w:sz w:val="20"/>
          <w:szCs w:val="18"/>
        </w:rPr>
        <w:t>fdi</w:t>
      </w:r>
      <w:proofErr w:type="spellEnd"/>
      <w:r w:rsidRPr="00127C07">
        <w:rPr>
          <w:rFonts w:ascii="Arial" w:hAnsi="Arial" w:cs="Arial"/>
          <w:b w:val="0"/>
          <w:bCs/>
          <w:caps w:val="0"/>
          <w:sz w:val="20"/>
          <w:szCs w:val="18"/>
        </w:rPr>
        <w:t xml:space="preserve"> inflows in east Kalimantan are strongly linked to the scale of oil palm development, macroeconomic performance, and the strength of domestic investment. Hence, strengthening domestic investment, expanding productive land use, and enhancing palm oil production may serve as effective strategies to increase regional competitiveness and attract sustainable foreign investment. Future research is recommended to include institutional, infrastructural, and policy variables to further refine the model and provide a more holistic understanding of </w:t>
      </w:r>
      <w:proofErr w:type="spellStart"/>
      <w:r w:rsidRPr="00127C07">
        <w:rPr>
          <w:rFonts w:ascii="Arial" w:hAnsi="Arial" w:cs="Arial"/>
          <w:b w:val="0"/>
          <w:bCs/>
          <w:caps w:val="0"/>
          <w:sz w:val="20"/>
          <w:szCs w:val="18"/>
        </w:rPr>
        <w:t>fdi</w:t>
      </w:r>
      <w:proofErr w:type="spellEnd"/>
      <w:r w:rsidRPr="00127C07">
        <w:rPr>
          <w:rFonts w:ascii="Arial" w:hAnsi="Arial" w:cs="Arial"/>
          <w:b w:val="0"/>
          <w:bCs/>
          <w:caps w:val="0"/>
          <w:sz w:val="20"/>
          <w:szCs w:val="18"/>
        </w:rPr>
        <w:t xml:space="preserve"> determinants.</w:t>
      </w:r>
    </w:p>
    <w:p w14:paraId="5DCD1E49" w14:textId="77777777" w:rsidR="00E52AC5" w:rsidRDefault="00E52AC5" w:rsidP="00E52AC5">
      <w:pPr>
        <w:pStyle w:val="ConcHead"/>
        <w:spacing w:after="0"/>
        <w:jc w:val="both"/>
        <w:rPr>
          <w:rFonts w:ascii="Arial" w:hAnsi="Arial" w:cs="Arial"/>
          <w:b w:val="0"/>
          <w:bCs/>
          <w:caps w:val="0"/>
          <w:sz w:val="20"/>
          <w:szCs w:val="18"/>
        </w:rPr>
      </w:pPr>
      <w:r w:rsidRPr="00127C07">
        <w:rPr>
          <w:rFonts w:ascii="Arial" w:hAnsi="Arial" w:cs="Arial"/>
          <w:b w:val="0"/>
          <w:bCs/>
          <w:sz w:val="20"/>
          <w:szCs w:val="18"/>
        </w:rPr>
        <w:tab/>
      </w:r>
      <w:r w:rsidRPr="00127C07">
        <w:rPr>
          <w:rFonts w:ascii="Arial" w:hAnsi="Arial" w:cs="Arial"/>
          <w:b w:val="0"/>
          <w:bCs/>
          <w:caps w:val="0"/>
          <w:sz w:val="20"/>
          <w:szCs w:val="18"/>
        </w:rPr>
        <w:t xml:space="preserve">To accelerate FDI inflows in east Kalimantan, the government should establish an ai-powered Green Investment Command Center (GICC) a real-time digital platform that leverages satellite imagery, blockchain-based land certification, and machine learning to identify, score, and promote sustainable investment zones. The GICC would integrate key indicators such as DDI trends, palm oil production, and regional GRDP growth (IIGRDP), offering predictive investment simulations and automated environmental impact scoring aligned with ESG standards. By ensuring land tenure transparency through blockchain and reducing bureaucratic friction via smart investor profiling and digital permit processing, the GICC would serve as both a strategic control tower and a smart concierge for investors. Through ai-driven partner matching, the system could also link domestic and foreign </w:t>
      </w:r>
      <w:r w:rsidRPr="00127C07">
        <w:rPr>
          <w:rFonts w:ascii="Arial" w:hAnsi="Arial" w:cs="Arial"/>
          <w:b w:val="0"/>
          <w:bCs/>
          <w:caps w:val="0"/>
          <w:sz w:val="20"/>
          <w:szCs w:val="18"/>
        </w:rPr>
        <w:lastRenderedPageBreak/>
        <w:t>investors based on sectoral synergy, encouraging joint ventures in agribusiness, green industry, and digital infrastructure. This innovation would position east Kalimantan as a future-ready, green-tech-driven investment hub in Southeast Asia.</w:t>
      </w:r>
    </w:p>
    <w:p w14:paraId="283892A4" w14:textId="77777777" w:rsidR="00847BE2" w:rsidRDefault="00847BE2" w:rsidP="00E52AC5">
      <w:pPr>
        <w:pStyle w:val="ConcHead"/>
        <w:spacing w:after="0"/>
        <w:jc w:val="both"/>
        <w:rPr>
          <w:rFonts w:ascii="Arial" w:hAnsi="Arial" w:cs="Arial"/>
          <w:b w:val="0"/>
          <w:bCs/>
          <w:caps w:val="0"/>
          <w:sz w:val="20"/>
          <w:szCs w:val="18"/>
        </w:rPr>
      </w:pPr>
    </w:p>
    <w:p w14:paraId="511978A4" w14:textId="77777777" w:rsidR="00847BE2" w:rsidRDefault="00847BE2" w:rsidP="00E52AC5">
      <w:pPr>
        <w:pStyle w:val="ConcHead"/>
        <w:spacing w:after="0"/>
        <w:jc w:val="both"/>
        <w:rPr>
          <w:rFonts w:ascii="Arial" w:hAnsi="Arial" w:cs="Arial"/>
          <w:b w:val="0"/>
          <w:bCs/>
          <w:caps w:val="0"/>
          <w:sz w:val="20"/>
          <w:szCs w:val="18"/>
        </w:rPr>
      </w:pPr>
    </w:p>
    <w:p w14:paraId="438E30A0" w14:textId="77777777" w:rsidR="00847BE2" w:rsidRDefault="00847BE2" w:rsidP="00E52AC5">
      <w:pPr>
        <w:pStyle w:val="ConcHead"/>
        <w:spacing w:after="0"/>
        <w:jc w:val="both"/>
        <w:rPr>
          <w:rFonts w:ascii="Arial" w:hAnsi="Arial" w:cs="Arial"/>
          <w:b w:val="0"/>
          <w:bCs/>
          <w:caps w:val="0"/>
          <w:sz w:val="20"/>
          <w:szCs w:val="18"/>
        </w:rPr>
      </w:pPr>
    </w:p>
    <w:p w14:paraId="2074E547" w14:textId="77777777" w:rsidR="00847BE2" w:rsidRPr="00847BE2" w:rsidRDefault="00847BE2" w:rsidP="00847BE2">
      <w:pPr>
        <w:pStyle w:val="ConcHead"/>
        <w:jc w:val="both"/>
        <w:rPr>
          <w:rFonts w:ascii="Arial" w:hAnsi="Arial" w:cs="Arial"/>
          <w:b w:val="0"/>
          <w:bCs/>
          <w:caps w:val="0"/>
          <w:sz w:val="20"/>
          <w:szCs w:val="18"/>
        </w:rPr>
      </w:pPr>
      <w:r w:rsidRPr="00847BE2">
        <w:rPr>
          <w:rFonts w:ascii="Arial" w:hAnsi="Arial" w:cs="Arial"/>
          <w:b w:val="0"/>
          <w:bCs/>
          <w:caps w:val="0"/>
          <w:sz w:val="20"/>
          <w:szCs w:val="18"/>
        </w:rPr>
        <w:t>COMPETING INTERESTS DISCLAIMER:</w:t>
      </w:r>
    </w:p>
    <w:p w14:paraId="0A16FE2E" w14:textId="3F8CA3FE" w:rsidR="00847BE2" w:rsidRDefault="00847BE2" w:rsidP="00847BE2">
      <w:pPr>
        <w:pStyle w:val="ConcHead"/>
        <w:spacing w:after="0"/>
        <w:jc w:val="both"/>
        <w:rPr>
          <w:rFonts w:ascii="Arial" w:hAnsi="Arial" w:cs="Arial"/>
          <w:b w:val="0"/>
          <w:bCs/>
          <w:caps w:val="0"/>
          <w:sz w:val="20"/>
          <w:szCs w:val="18"/>
        </w:rPr>
      </w:pPr>
      <w:r w:rsidRPr="00847BE2">
        <w:rPr>
          <w:rFonts w:ascii="Arial" w:hAnsi="Arial" w:cs="Arial"/>
          <w:b w:val="0"/>
          <w:bCs/>
          <w:caps w:val="0"/>
          <w:sz w:val="20"/>
          <w:szCs w:val="18"/>
        </w:rPr>
        <w:t>Authors have declared that they have no known competing financial interests OR non-financial interests OR personal relationships that could have appeared to influence the work reported in this paper.</w:t>
      </w:r>
    </w:p>
    <w:p w14:paraId="07EEF62F" w14:textId="77777777" w:rsidR="00847BE2" w:rsidRPr="00127C07" w:rsidRDefault="00847BE2" w:rsidP="00E52AC5">
      <w:pPr>
        <w:pStyle w:val="ConcHead"/>
        <w:spacing w:after="0"/>
        <w:jc w:val="both"/>
        <w:rPr>
          <w:rFonts w:ascii="Arial" w:hAnsi="Arial" w:cs="Arial"/>
        </w:rPr>
      </w:pPr>
    </w:p>
    <w:bookmarkEnd w:id="7"/>
    <w:p w14:paraId="0755593E" w14:textId="7055D8B8" w:rsidR="00860000" w:rsidRPr="0028648F" w:rsidRDefault="00860000" w:rsidP="00142BC0">
      <w:pPr>
        <w:pStyle w:val="AbstHead"/>
        <w:spacing w:after="0"/>
        <w:jc w:val="both"/>
        <w:rPr>
          <w:rFonts w:ascii="Arial" w:hAnsi="Arial" w:cs="Arial"/>
          <w:b w:val="0"/>
          <w:sz w:val="20"/>
        </w:rPr>
      </w:pPr>
    </w:p>
    <w:p w14:paraId="634D6376" w14:textId="286808E0" w:rsidR="00790ADA" w:rsidRPr="00127C07" w:rsidRDefault="00B01FCD" w:rsidP="00441B6F">
      <w:pPr>
        <w:pStyle w:val="ReferHead"/>
        <w:spacing w:after="0"/>
        <w:jc w:val="both"/>
        <w:rPr>
          <w:rFonts w:ascii="Arial" w:hAnsi="Arial" w:cs="Arial"/>
        </w:rPr>
      </w:pPr>
      <w:commentRangeStart w:id="11"/>
      <w:r w:rsidRPr="00127C07">
        <w:rPr>
          <w:rFonts w:ascii="Arial" w:hAnsi="Arial" w:cs="Arial"/>
        </w:rPr>
        <w:t>References</w:t>
      </w:r>
      <w:commentRangeEnd w:id="11"/>
      <w:r w:rsidR="00232203">
        <w:rPr>
          <w:rStyle w:val="CommentReference"/>
          <w:rFonts w:ascii="Times New Roman" w:hAnsi="Times New Roman"/>
          <w:b w:val="0"/>
          <w:caps w:val="0"/>
          <w:lang w:val="nb-NO" w:eastAsia="nb-NO"/>
        </w:rPr>
        <w:commentReference w:id="11"/>
      </w:r>
    </w:p>
    <w:p w14:paraId="5776562A" w14:textId="27F760A6" w:rsidR="004B77A4" w:rsidRPr="004B77A4" w:rsidRDefault="0008308B" w:rsidP="004B77A4">
      <w:pPr>
        <w:widowControl w:val="0"/>
        <w:autoSpaceDE w:val="0"/>
        <w:autoSpaceDN w:val="0"/>
        <w:adjustRightInd w:val="0"/>
        <w:ind w:left="480" w:hanging="480"/>
        <w:jc w:val="both"/>
        <w:rPr>
          <w:rFonts w:ascii="Arial" w:hAnsi="Arial" w:cs="Arial"/>
          <w:noProof/>
          <w:szCs w:val="24"/>
        </w:rPr>
      </w:pPr>
      <w:r>
        <w:rPr>
          <w:rFonts w:ascii="Arial" w:hAnsi="Arial" w:cs="Arial"/>
          <w:b/>
        </w:rPr>
        <w:fldChar w:fldCharType="begin" w:fldLock="1"/>
      </w:r>
      <w:r>
        <w:rPr>
          <w:rFonts w:ascii="Arial" w:hAnsi="Arial" w:cs="Arial"/>
          <w:b/>
        </w:rPr>
        <w:instrText xml:space="preserve">ADDIN Mendeley Bibliography CSL_BIBLIOGRAPHY </w:instrText>
      </w:r>
      <w:r>
        <w:rPr>
          <w:rFonts w:ascii="Arial" w:hAnsi="Arial" w:cs="Arial"/>
          <w:b/>
        </w:rPr>
        <w:fldChar w:fldCharType="separate"/>
      </w:r>
      <w:r w:rsidR="004B77A4" w:rsidRPr="004B77A4">
        <w:t xml:space="preserve"> </w:t>
      </w:r>
      <w:r w:rsidR="004B77A4" w:rsidRPr="004B77A4">
        <w:rPr>
          <w:rFonts w:ascii="Arial" w:hAnsi="Arial" w:cs="Arial"/>
          <w:noProof/>
          <w:szCs w:val="24"/>
        </w:rPr>
        <w:t>Agustina, R. A., Andiny, P., Rizal, Y., &amp; Safuridar. (2024). The Effect of Tax Revenue, Foreign Investment, and Domestic Investment on Economic Growth in Indonesia. Indonesian Journal of Economics and Development, 3(1), 49–60. https://doi.org/10.61132/jepi.v3i1.1065</w:t>
      </w:r>
    </w:p>
    <w:p w14:paraId="71D47F1E"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Alviani, L. O., Kurniati, E., &amp; Badruzzaman, F. H. (2021). The Use of Panel Data Regression in Human Development Index Analysis. Journal of Mathematical Research, 1(2), 99–108. https://doi.org/10.29313/jrm.v1i2.373</w:t>
      </w:r>
    </w:p>
    <w:p w14:paraId="001D9764"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Basuki, A. T. (2021). Panel Data Analysis in Economics and Business Research. PT Rajagrafindo Persada, 1–161.</w:t>
      </w:r>
    </w:p>
    <w:p w14:paraId="0A45839D"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Bertiani, M. D., Debataraja, N. N., &amp; Imro’ah, N. (2024). Application of Unbalanced Panel Regression Models Using the Feasible Generalized Least Squares (Fgls) Method. Scientific Bulletin of Math. Stat. and Its Applications (Bimaster), 13(1), 1–8.</w:t>
      </w:r>
    </w:p>
    <w:p w14:paraId="27D6DEED"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Boucha, N., &amp; Benammou, S. (2020). Does Institutional Quality Matter in Foreign Direct Investment? Evidence from African Countries. Journal of the Knowledge Economy, 11(1), 390–404. https://doi.org/10.1007/s13132-018-0552-y</w:t>
      </w:r>
    </w:p>
    <w:p w14:paraId="7932F77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BPS. (2018). Implicit GDP/GRDP Index, 2018. Central Bureau of Statistics. https://kapuashulukab.bps.go.id/id/statistics-table/2/MTEzIzI=/indeks-implisit-pdb-pdrb.html</w:t>
      </w:r>
    </w:p>
    <w:p w14:paraId="334D595B"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Dewi, S. V., Bahtiar, M. Y., &amp; Rahman, T. (2024). ANALYSIS OF THE EFFECT OF DOMESTIC AND FDI ON GDP IN INDONESIA FROM AN ISLAMIC ECONOMIC PERSPECTIVE. Journal of Information System, Applied, Management, Accounting and Research, 8(4), 860–875. https://doi.org/10.52362/jisamar.v8i4.1643</w:t>
      </w:r>
    </w:p>
    <w:p w14:paraId="388589F3" w14:textId="77777777" w:rsid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Dismuke, C. E., &amp; Lindrooth, R. (2006). Ordinary Least Squares. In Methods and Designs for Outcomes Research (pp. 93–104). https://books.google.co.id/books?hl=id&amp;lr=&amp;id=cznXs4Na1oEC&amp;oi=fnd&amp;pg=PA93&amp;dq=related:f2L4Z2L19EgJ:scholar.google.com/&amp;ots=pydchcvB3w&amp;sig=-rAelWm9cpH4M8hHiO4V_U_386g&amp;redir_esc=y#v=onepage&amp;q&amp;f=false</w:t>
      </w:r>
    </w:p>
    <w:p w14:paraId="101C0664"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Dunning, J. H. (2001). The Eclectic (OLI) paradigm of international production: Past, present and Future. International Journal of the Economics of Business, 8(2), 173–190. https://doi.org/10.1080/13571510110051441</w:t>
      </w:r>
    </w:p>
    <w:p w14:paraId="1E2DE72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Fedderke, J. W., &amp; Romm, A. T. (2006). Growth impact and determinants of foreign direct investment into South Africa, 1956-2003. Economic Modelling, 23(5), 738–760. https://doi.org/10.1016/j.econmod.2005.10.005</w:t>
      </w:r>
    </w:p>
    <w:p w14:paraId="620A4957"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Gujarati, D. N., &amp; Porter, D. C. (2009). BASIC ECONOMETRICS. In Introductory Econometrics: A Practical Approach.</w:t>
      </w:r>
    </w:p>
    <w:p w14:paraId="3FAC7DF3"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Henderson, C. R. (1975). Best linear unbiased estimation and prediction under a selection model published by: International Biometric Society Stable. Biometrics, 31(2), 423–447.</w:t>
      </w:r>
    </w:p>
    <w:p w14:paraId="5768A9F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 xml:space="preserve">Herdiana, D. (2022). Relocation of the National Capital: An Effort to Equalize Development or Achieve Good Governance. Transformative Journal, 8(1), 1–30. </w:t>
      </w:r>
      <w:r w:rsidRPr="004B77A4">
        <w:rPr>
          <w:rFonts w:ascii="Arial" w:hAnsi="Arial" w:cs="Arial"/>
          <w:noProof/>
          <w:szCs w:val="24"/>
        </w:rPr>
        <w:lastRenderedPageBreak/>
        <w:t>https://doi.org/10.21776/ub.transformative.2022.008.01.1</w:t>
      </w:r>
    </w:p>
    <w:p w14:paraId="654D6F00"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Hidayat, H., Siburian, R., &amp; Indah Yuliana, C. (2020). Natural Agarwood, Trade Networks, and Cultivated Agarwood: A Case Study of East Kalimantan. Indonesian Journal of Biology, 16(1), 99–110. https://doi.org/10.47349/jbi/16012020/99</w:t>
      </w:r>
    </w:p>
    <w:p w14:paraId="66A84005"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Hijrawati. (2020). 7. Panel Data Regression for Poverty Levels in Southeast Sulawesi. Journal of Mathematics, Computing, and Statistics, Volume 2, 1–9.</w:t>
      </w:r>
    </w:p>
    <w:p w14:paraId="5FACE4AB"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Jaiswal, K. K., &amp; Kumar, N. (2024). Symmetric and Asymmetric Association Between Foreign Direct Investments and Macroeconomic Variables: An Ardl Approach. Social and Ambiental Journal, 18(1), 1–27. https://doi.org/10.24857/RGSA.V18N1-103</w:t>
      </w:r>
    </w:p>
    <w:p w14:paraId="06CD60B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Kalalinggi, R., Hisdar, M., Sarmiasih, M., &amp; Wijaya, A. K. (2023). Forecasting the Development of IKN (New National Capital) in Sustainable Development, Indonesia. Journal of Governance and Public Policy, 10(1), PRESS. https://doi.org/10.18196/jgpp.v10i1.16786</w:t>
      </w:r>
    </w:p>
    <w:p w14:paraId="100347B6"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Keynes, J. M. (1936). The General Theory of Employment, Interest, and Money. Harcourt, Brace.</w:t>
      </w:r>
    </w:p>
    <w:p w14:paraId="68E2C9B0"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Laksmi, N. K., &amp; Soseco, T. (2024). Do Multifinance Institutions Matter for Poverty Reduction? Evidence from Indonesia. Journal of Development Economics, 22(1), 29–40. https://doi.org/10.29259/jep.v22i1.23095</w:t>
      </w:r>
    </w:p>
    <w:p w14:paraId="5F60441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Maulana, R. (2022). Analysis of Determining Factors Affecting Stock Prices in Retail Trade Companies Listed on the Indonesia Stock Exchange for the 2019-2021 Period. Journal of Management Analysis, 8(2), 154–166. https://doi.org/10.32520/jam.v8i2.2564</w:t>
      </w:r>
    </w:p>
    <w:p w14:paraId="0B2140C9"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Mayandi, Z., &amp; Suharjito. (2024). Palm oil-based biodiesel industry sustainability model using dynamic systems to balance food, energy, and export allocations. Smart Agricultural Technology, 7(November 2023), 100421. https://doi.org/10.1016/j.atech.2024.100421</w:t>
      </w:r>
    </w:p>
    <w:p w14:paraId="15BF205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Mensah, E., Mensah, R. O., &amp; Danquah, D. A. (2024). Threshold effects of inflation on the FDI–growth nexus: evidence from inflation-targeting countries in sub-Saharan Africa. Economic Research-Ekonomska Istrazivanja, 37(1). https://doi.org/10.1080/1331677X.2023.2299991</w:t>
      </w:r>
    </w:p>
    <w:p w14:paraId="60492BE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Mohamed, A. A., Abdikarim, A. M., &amp; Mohamed, J. A. (2025). Foreign direct investment: an empirical investigation of economic and climate variables in Somalia. Cogent Economics and Finance, 13(1). https://doi.org/10.1080/23322039.2025.2476099</w:t>
      </w:r>
    </w:p>
    <w:p w14:paraId="72255B5C"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Mughniyati, N., &amp; Sa’roni, C. (2025). The Effect of Palm Oil Production and Palm Oil Export Value on Gross Regional Domestic Product (GRDP) of the Agricultural Sector of South Kalimantan Province. JIEP: Journal of Economics and Development, 6(1), 136–144.</w:t>
      </w:r>
    </w:p>
    <w:p w14:paraId="1E2EC59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Mulyadi, M., Milasari, L. A., &amp; Doviyanto, R. (2022). Analysis of Road Infrastructure Needs in the Agricultural Sector in Paser Regency. S-Curve: Journal of Civil Engineering Science and Applications, 10(1), 42. https://doi.org/10.31293/teknikd.v10i1.6485</w:t>
      </w:r>
    </w:p>
    <w:p w14:paraId="035F24B9"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Murti, T. H., &amp; Sahara. (2019). The Effect of Investment on Regional Economic Growth in Indonesia. Journal of Economics and Development Policy, 8(2), 163–181.</w:t>
      </w:r>
    </w:p>
    <w:p w14:paraId="717229DF" w14:textId="77777777" w:rsid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Ndikumana, L., &amp; Verick, S. (2008). The linkages between FDI and domestic investment: Unraveling the developmental impact of foreign investment in sub-Saharan Africa. Development Policy Review, 26(6), 713–726. https://doi.org/10.1111/j.1467-7679.2008.00430.x</w:t>
      </w:r>
    </w:p>
    <w:p w14:paraId="5B83C74A"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Nguyen, P. H., Tran, L. C., Nguyen, H. B. D., Ho, T. P. T., Duong, Q. A., &amp; Tran, T. N. (2023). Unlocking the potential of open innovation through understanding the interrelationship among key determinants of FDI attractiveness. Journal of Open Innovation: Technology, Market, and Complexity, 9(1), 100021. https://doi.org/10.1016/j.joitmc.2023.100021</w:t>
      </w:r>
    </w:p>
    <w:p w14:paraId="69814130"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Nuritasi, F. (2013). The Effect of Infrastructure, Domestic Direct Investment (PMDN), and Foreign Direct Investment (FDI) on Gross Domestic Product in Indonesia. Economics Development Analysis Journal, 2(4), 456–467. https://scholar.google.com/scholar?hl=id&amp;as_sdt=0%2C5&amp;q=PENGARUH+INFRASTRUKTUR%2C+PMDN+AND+PMA+TERHADAP+DOMESTIC+PRODUCT+IN+INDONE</w:t>
      </w:r>
      <w:r w:rsidRPr="004B77A4">
        <w:rPr>
          <w:rFonts w:ascii="Arial" w:hAnsi="Arial" w:cs="Arial"/>
          <w:noProof/>
          <w:szCs w:val="24"/>
        </w:rPr>
        <w:lastRenderedPageBreak/>
        <w:t>SIA+Firdausi&amp;btnG=</w:t>
      </w:r>
    </w:p>
    <w:p w14:paraId="1EAED071"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President of the Republic of Indonesia. (2022). Law of the Republic of Indonesia Number 3 of 2022 Concerning the National Capital. Indonesian Government, 54.</w:t>
      </w:r>
    </w:p>
    <w:p w14:paraId="337F3826"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Purwono, P. (2024). Analysis of the Influence of Institutional Quality, Trade Openness, Inflation, Market Size, and Infrastructure on Foreign Direct Investment in ASEAN Countries. Diponegoro Journal of Economics, 10(3), 104–119. https://doi.org/10.14710/djoe.31641</w:t>
      </w:r>
    </w:p>
    <w:p w14:paraId="3299CD04"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Puspita, M. C., &amp; Samsuddin, M. A. (2025). The Effect of Gross Regional Domestic Product (GRDP) and Minimum Wage on Foreign Direct Investment (PMA) Realization in Regencies/Cities in East Kalimantan 2017-2023.</w:t>
      </w:r>
    </w:p>
    <w:p w14:paraId="515AE9AB"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Runggu Basmandala Napitupulu, T. P., &amp; Simanjuntak, Lamminar Hutabarat, Hormaingat Damanik, Hotriado Harianja, Ronnie T. M. Sirait, C. E. R. (2021). Engineering Business Research and Data Analysis with SPSS - STATA - EVIEWS. Mediatera, 1–210.</w:t>
      </w:r>
    </w:p>
    <w:p w14:paraId="27C32F7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Said, A., Akhmad, A., Sribianti, I., Natsir, M., &amp; Maulina, M. (2024). Analysis of the Effect of Oil Palm Production and Land Area on the Agricultural Sector's GRDP: A Multiple Linear Regression Approach Using Secondary Data 2013-2022. Journal of Social and Humanitarian Management Sciences (JIMSH), 6(1), 46–56. https://doi.org/10.51454/jimsh.v6i1.632</w:t>
      </w:r>
    </w:p>
    <w:p w14:paraId="6F83F303" w14:textId="77777777" w:rsidR="004B77A4" w:rsidRDefault="004B77A4" w:rsidP="004B77A4">
      <w:pPr>
        <w:widowControl w:val="0"/>
        <w:autoSpaceDE w:val="0"/>
        <w:autoSpaceDN w:val="0"/>
        <w:adjustRightInd w:val="0"/>
        <w:ind w:left="480" w:hanging="480"/>
        <w:jc w:val="both"/>
        <w:rPr>
          <w:rFonts w:ascii="Arial" w:hAnsi="Arial" w:cs="Arial"/>
          <w:noProof/>
          <w:szCs w:val="24"/>
        </w:rPr>
      </w:pPr>
      <w:r w:rsidRPr="004B77A4">
        <w:rPr>
          <w:rFonts w:ascii="Arial" w:hAnsi="Arial" w:cs="Arial"/>
          <w:noProof/>
          <w:szCs w:val="24"/>
        </w:rPr>
        <w:t>Saragih, C. A. M., Haryadi, H., &amp; Emilia, E. (2021). The Effect of Gross Domestic Product, Interest Rates, and Inflation on Foreign Direct Investment in Indonesia 2000-2017. Journal of Actual Economics, 1(1), 35–44. https://doi.org/10.53867/jea.v1i1.4</w:t>
      </w:r>
    </w:p>
    <w:p w14:paraId="6DAEE292" w14:textId="77777777" w:rsidR="004B77A4" w:rsidRDefault="004B77A4" w:rsidP="004B77A4">
      <w:pPr>
        <w:widowControl w:val="0"/>
        <w:autoSpaceDE w:val="0"/>
        <w:autoSpaceDN w:val="0"/>
        <w:adjustRightInd w:val="0"/>
        <w:ind w:left="480" w:hanging="480"/>
        <w:jc w:val="both"/>
        <w:rPr>
          <w:rFonts w:ascii="Arial" w:hAnsi="Arial" w:cs="Arial"/>
          <w:noProof/>
          <w:szCs w:val="24"/>
        </w:rPr>
      </w:pPr>
    </w:p>
    <w:p w14:paraId="13979703"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Timur, B. P. K. (2025). Quarterly Foreign Direct Investment Realization by Location - Investment Amount (Million US$), 2023. Central Bureau of Statistics (BPS). https://www.bps.go.id/id/statistics-table/2/MjM4MSMy/perkembangan-realisasi-investasi-penanaman-modal-luar-negeri-menurut-lokasi--juta-us--.html</w:t>
      </w:r>
    </w:p>
    <w:p w14:paraId="39890A42"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Utouh, H. M. L., &amp; Kitole, F. A. (2025). The impact of fiscal and monetary policy on economic growth and structural transformation in Tanzania. Cogent Economics and Finance, 13(1). https://doi.org/10.1080/23322039.2025.2499013</w:t>
      </w:r>
    </w:p>
    <w:p w14:paraId="595B5A58"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Winantisan, R. N. N., Tulug, J. E., Rumokoy, L. J., Richarda, O.:, Winantisan, N. N., Tulung, J. E., Rumokoy, L. J., Management, J., Ekonomi, F., &amp; Bisnis, D. (2024). The Effect of Age and Gender Diversity on the Board of Commissioners and Directors. Jurnal EMBA, 12(1), 1–12.</w:t>
      </w:r>
    </w:p>
    <w:p w14:paraId="20A5D00A"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Yamani, R., Nasution, H. P., Ruslan, D., &amp; Sari, R. L. (2024). Analysis of the Effect of Land Area, Labor, and Palm Oil Production on GRDP of the Plantation Sub-Sector in South Labuhanbatu Regency. Edunomika, 8(1), 1–17.</w:t>
      </w:r>
    </w:p>
    <w:p w14:paraId="142AE2F5" w14:textId="77777777" w:rsidR="004B77A4" w:rsidRPr="004B77A4" w:rsidRDefault="004B77A4" w:rsidP="004B77A4">
      <w:pPr>
        <w:widowControl w:val="0"/>
        <w:autoSpaceDE w:val="0"/>
        <w:autoSpaceDN w:val="0"/>
        <w:adjustRightInd w:val="0"/>
        <w:ind w:left="480" w:hanging="480"/>
        <w:jc w:val="both"/>
        <w:rPr>
          <w:rFonts w:ascii="Arial" w:hAnsi="Arial" w:cs="Arial"/>
          <w:noProof/>
          <w:szCs w:val="24"/>
          <w:lang w:val="nb-NO"/>
        </w:rPr>
      </w:pPr>
      <w:r w:rsidRPr="004B77A4">
        <w:rPr>
          <w:rFonts w:ascii="Arial" w:hAnsi="Arial" w:cs="Arial"/>
          <w:noProof/>
          <w:szCs w:val="24"/>
          <w:lang w:val="nb-NO"/>
        </w:rPr>
        <w:t>Zahra, D. A., Irawan, F., Khairunnisa, U. A., Sihotang, S. E. A., Mardiah, S., Batu, S. L., &amp; Sianturi, R. V. (2024). The Effect of Domestic Investment and Foreign Investment on Economic Growth in North Sumatra Province from 2001 to 2020. JISEB: Scientific Journal of Socio-Economics and Business, 27(2), 24–32.</w:t>
      </w:r>
    </w:p>
    <w:p w14:paraId="3512997C" w14:textId="4C5183E1" w:rsidR="0008308B" w:rsidRPr="0008308B" w:rsidRDefault="004B77A4" w:rsidP="004B77A4">
      <w:pPr>
        <w:widowControl w:val="0"/>
        <w:autoSpaceDE w:val="0"/>
        <w:autoSpaceDN w:val="0"/>
        <w:adjustRightInd w:val="0"/>
        <w:ind w:left="480" w:hanging="480"/>
        <w:jc w:val="both"/>
        <w:rPr>
          <w:rFonts w:ascii="Arial" w:hAnsi="Arial" w:cs="Arial"/>
          <w:noProof/>
        </w:rPr>
      </w:pPr>
      <w:r w:rsidRPr="004B77A4">
        <w:rPr>
          <w:rFonts w:ascii="Arial" w:hAnsi="Arial" w:cs="Arial"/>
          <w:noProof/>
          <w:szCs w:val="24"/>
          <w:lang w:val="nb-NO"/>
        </w:rPr>
        <w:t>Zulfikar, R. (2018). Estimation Model and Selection Method of Panel Data Regression: An Overview of Common Effect, Fixed Effect, and Random Effect Models. Scientific Journal of Accounting, 1–18</w:t>
      </w:r>
      <w:r w:rsidR="0008308B" w:rsidRPr="0008308B">
        <w:rPr>
          <w:rFonts w:ascii="Arial" w:hAnsi="Arial" w:cs="Arial"/>
          <w:noProof/>
          <w:szCs w:val="24"/>
        </w:rPr>
        <w:t>.</w:t>
      </w:r>
    </w:p>
    <w:p w14:paraId="7B3477ED" w14:textId="5E204869" w:rsidR="004D4277" w:rsidRPr="00127C07" w:rsidRDefault="0008308B" w:rsidP="00416F76">
      <w:pPr>
        <w:pStyle w:val="Body"/>
        <w:spacing w:after="0"/>
        <w:rPr>
          <w:rFonts w:ascii="Arial" w:hAnsi="Arial" w:cs="Arial"/>
          <w:b/>
        </w:rPr>
        <w:sectPr w:rsidR="004D4277" w:rsidRPr="00127C07" w:rsidSect="001A6D49">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Pr>
          <w:rFonts w:ascii="Arial" w:hAnsi="Arial" w:cs="Arial"/>
          <w:b/>
        </w:rPr>
        <w:fldChar w:fldCharType="end"/>
      </w:r>
    </w:p>
    <w:p w14:paraId="26E9ACA5" w14:textId="77777777" w:rsidR="00B01FCD" w:rsidRPr="00127C07" w:rsidRDefault="00B01FCD" w:rsidP="00441B6F">
      <w:pPr>
        <w:pStyle w:val="Appendix"/>
        <w:spacing w:after="0"/>
        <w:jc w:val="both"/>
        <w:rPr>
          <w:rFonts w:ascii="Arial" w:hAnsi="Arial" w:cs="Arial"/>
          <w:b w:val="0"/>
        </w:rPr>
      </w:pPr>
    </w:p>
    <w:sectPr w:rsidR="00B01FCD" w:rsidRPr="00127C07" w:rsidSect="001A6D4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10 pro" w:date="2025-08-07T20:36:00Z" w:initials="w1p">
    <w:p w14:paraId="224F6A28" w14:textId="1B50BCFD" w:rsidR="00604718" w:rsidRDefault="00604718">
      <w:pPr>
        <w:pStyle w:val="CommentText"/>
      </w:pPr>
      <w:r>
        <w:rPr>
          <w:rStyle w:val="CommentReference"/>
        </w:rPr>
        <w:annotationRef/>
      </w:r>
      <w:r w:rsidR="003D521A">
        <w:t>T</w:t>
      </w:r>
      <w:r>
        <w:t>he</w:t>
      </w:r>
      <w:r w:rsidR="003D521A">
        <w:t xml:space="preserve"> Remove capital T</w:t>
      </w:r>
    </w:p>
  </w:comment>
  <w:comment w:id="1" w:author="windows 10 pro" w:date="2025-08-07T19:15:00Z" w:initials="w1p">
    <w:p w14:paraId="73544A4A" w14:textId="2EE4E451" w:rsidR="00D247F8" w:rsidRDefault="00D247F8">
      <w:pPr>
        <w:pStyle w:val="CommentText"/>
      </w:pPr>
      <w:r>
        <w:rPr>
          <w:rStyle w:val="CommentReference"/>
        </w:rPr>
        <w:annotationRef/>
      </w:r>
      <w:r>
        <w:rPr>
          <w:rStyle w:val="CommentReference"/>
        </w:rPr>
        <w:t>Avoid acronym</w:t>
      </w:r>
    </w:p>
  </w:comment>
  <w:comment w:id="2" w:author="windows 10 pro" w:date="2025-08-07T19:16:00Z" w:initials="w1p">
    <w:p w14:paraId="1E17B133" w14:textId="2C56C501" w:rsidR="00D247F8" w:rsidRDefault="00D247F8">
      <w:pPr>
        <w:pStyle w:val="CommentText"/>
      </w:pPr>
      <w:r>
        <w:rPr>
          <w:rStyle w:val="CommentReference"/>
        </w:rPr>
        <w:annotationRef/>
      </w:r>
      <w:r>
        <w:t>Avoid acronym to enabe the readers to immediately understant the context</w:t>
      </w:r>
    </w:p>
  </w:comment>
  <w:comment w:id="4" w:author="windows 10 pro" w:date="2025-08-07T19:17:00Z" w:initials="w1p">
    <w:p w14:paraId="17D075C8" w14:textId="7738EA63" w:rsidR="00D247F8" w:rsidRDefault="00D247F8">
      <w:pPr>
        <w:pStyle w:val="CommentText"/>
      </w:pPr>
      <w:r>
        <w:rPr>
          <w:rStyle w:val="CommentReference"/>
        </w:rPr>
        <w:annotationRef/>
      </w:r>
      <w:r>
        <w:t>Begin the abstract witha brief introduction followed by a brief statement of the problem.</w:t>
      </w:r>
    </w:p>
  </w:comment>
  <w:comment w:id="5" w:author="windows 10 pro" w:date="2025-08-07T19:20:00Z" w:initials="w1p">
    <w:p w14:paraId="5D84BDCA" w14:textId="5256811D" w:rsidR="00D247F8" w:rsidRDefault="00D247F8">
      <w:pPr>
        <w:pStyle w:val="CommentText"/>
      </w:pPr>
      <w:r>
        <w:rPr>
          <w:rStyle w:val="CommentReference"/>
        </w:rPr>
        <w:annotationRef/>
      </w:r>
      <w:r>
        <w:t>Both academic and policy justification for the study is key before you embark on methodology.</w:t>
      </w:r>
    </w:p>
  </w:comment>
  <w:comment w:id="6" w:author="windows 10 pro" w:date="2025-08-07T19:23:00Z" w:initials="w1p">
    <w:p w14:paraId="5BA4210E" w14:textId="266BBBE9" w:rsidR="00D247F8" w:rsidRDefault="00D247F8">
      <w:pPr>
        <w:pStyle w:val="CommentText"/>
      </w:pPr>
      <w:r>
        <w:rPr>
          <w:rStyle w:val="CommentReference"/>
        </w:rPr>
        <w:annotationRef/>
      </w:r>
      <w:r w:rsidR="00A33EC0">
        <w:t>Consider limitation of the study</w:t>
      </w:r>
      <w:r w:rsidR="00604718">
        <w:rPr>
          <w:vanish/>
        </w:rPr>
        <w:t>thetalicsif the journal i.e the  tudy the study is key before you embark on methodology.</w:t>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r w:rsidR="00604718">
        <w:rPr>
          <w:vanish/>
        </w:rPr>
        <w:pgNum/>
      </w:r>
    </w:p>
  </w:comment>
  <w:comment w:id="8" w:author="windows 10 pro" w:date="2025-08-07T19:30:00Z" w:initials="w1p">
    <w:p w14:paraId="0E14AE64" w14:textId="64422D63" w:rsidR="00A33EC0" w:rsidRDefault="00A33EC0">
      <w:pPr>
        <w:pStyle w:val="CommentText"/>
      </w:pPr>
      <w:r>
        <w:rPr>
          <w:rStyle w:val="CommentReference"/>
        </w:rPr>
        <w:annotationRef/>
      </w:r>
      <w:r>
        <w:t>Be keen on et al. There is a fullstop after al i.e Said et  al. (2024)</w:t>
      </w:r>
    </w:p>
  </w:comment>
  <w:comment w:id="10" w:author="windows 10 pro" w:date="2025-08-07T19:38:00Z" w:initials="w1p">
    <w:p w14:paraId="4E0096EC" w14:textId="2DC9FF33" w:rsidR="00232203" w:rsidRDefault="00232203">
      <w:pPr>
        <w:pStyle w:val="CommentText"/>
      </w:pPr>
      <w:r>
        <w:rPr>
          <w:rStyle w:val="CommentReference"/>
        </w:rPr>
        <w:annotationRef/>
      </w:r>
      <w:r>
        <w:t>Insert the year e.g authors computation (..)</w:t>
      </w:r>
    </w:p>
  </w:comment>
  <w:comment w:id="11" w:author="windows 10 pro" w:date="2025-08-07T19:43:00Z" w:initials="w1p">
    <w:p w14:paraId="3950050B" w14:textId="5168F315" w:rsidR="00232203" w:rsidRDefault="00232203">
      <w:pPr>
        <w:pStyle w:val="CommentText"/>
      </w:pPr>
      <w:r>
        <w:rPr>
          <w:rStyle w:val="CommentReference"/>
        </w:rPr>
        <w:annotationRef/>
      </w:r>
      <w:r>
        <w:t>Observe APA referencing rules more for for journal articles i.e the name of the journal must be in italics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56EEB" w14:textId="77777777" w:rsidR="00702297" w:rsidRDefault="00702297" w:rsidP="00C37E61">
      <w:r>
        <w:separator/>
      </w:r>
    </w:p>
  </w:endnote>
  <w:endnote w:type="continuationSeparator" w:id="0">
    <w:p w14:paraId="38B4D5A8" w14:textId="77777777" w:rsidR="00702297" w:rsidRDefault="0070229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DEAA" w14:textId="77777777" w:rsidR="00F76DAB" w:rsidRDefault="00F76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927" w14:textId="77777777" w:rsidR="00F76DAB" w:rsidRDefault="00F76D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34D6" w14:textId="77777777" w:rsidR="009E048A" w:rsidRDefault="009E048A">
    <w:pPr>
      <w:pStyle w:val="Footer"/>
      <w:rPr>
        <w:rFonts w:ascii="Arial" w:hAnsi="Arial" w:cs="Arial"/>
        <w:sz w:val="16"/>
      </w:rPr>
    </w:pPr>
  </w:p>
  <w:p w14:paraId="077AC50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BE50B0A" w14:textId="77777777" w:rsidR="009E048A" w:rsidRDefault="009E048A">
    <w:pPr>
      <w:pStyle w:val="Footer"/>
      <w:rPr>
        <w:rFonts w:ascii="Arial" w:hAnsi="Arial" w:cs="Arial"/>
        <w:sz w:val="16"/>
      </w:rPr>
    </w:pPr>
  </w:p>
  <w:p w14:paraId="6CE5374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61B64"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67FC" w14:textId="77777777" w:rsidR="00702297" w:rsidRDefault="00702297" w:rsidP="00C37E61">
      <w:r>
        <w:separator/>
      </w:r>
    </w:p>
  </w:footnote>
  <w:footnote w:type="continuationSeparator" w:id="0">
    <w:p w14:paraId="2339832B" w14:textId="77777777" w:rsidR="00702297" w:rsidRDefault="0070229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CCAD5" w14:textId="270BF0E7" w:rsidR="00F76DAB" w:rsidRDefault="00702297">
    <w:pPr>
      <w:pStyle w:val="Header"/>
    </w:pPr>
    <w:r>
      <w:rPr>
        <w:noProof/>
      </w:rPr>
      <w:pict w14:anchorId="61236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7549A" w14:textId="78B5F3D8" w:rsidR="00F76DAB" w:rsidRDefault="00702297">
    <w:pPr>
      <w:pStyle w:val="Header"/>
    </w:pPr>
    <w:r>
      <w:rPr>
        <w:noProof/>
      </w:rPr>
      <w:pict w14:anchorId="38178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56AB5" w14:textId="5401A0D8" w:rsidR="00296529" w:rsidRPr="00296529" w:rsidRDefault="00702297" w:rsidP="00296529">
    <w:pPr>
      <w:ind w:left="2160"/>
      <w:jc w:val="center"/>
      <w:rPr>
        <w:rFonts w:ascii="Times New Roman" w:eastAsia="Calibri" w:hAnsi="Times New Roman"/>
        <w:i/>
        <w:sz w:val="18"/>
        <w:szCs w:val="22"/>
      </w:rPr>
    </w:pPr>
    <w:r>
      <w:rPr>
        <w:noProof/>
      </w:rPr>
      <w:pict w14:anchorId="0C7A8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7B660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F056D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38AED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98EAE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78E7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4E5C14"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365DA" w14:textId="079A0BC8" w:rsidR="00F76DAB" w:rsidRDefault="00702297">
    <w:pPr>
      <w:pStyle w:val="Header"/>
    </w:pPr>
    <w:r>
      <w:rPr>
        <w:noProof/>
      </w:rPr>
      <w:pict w14:anchorId="4A004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1BE5D" w14:textId="1B1349FD" w:rsidR="00F76DAB" w:rsidRDefault="00702297">
    <w:pPr>
      <w:pStyle w:val="Header"/>
    </w:pPr>
    <w:r>
      <w:rPr>
        <w:noProof/>
      </w:rPr>
      <w:pict w14:anchorId="2CCEF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C1990" w14:textId="2A00EBB1" w:rsidR="00F76DAB" w:rsidRDefault="00702297">
    <w:pPr>
      <w:pStyle w:val="Header"/>
    </w:pPr>
    <w:r>
      <w:rPr>
        <w:noProof/>
      </w:rPr>
      <w:pict w14:anchorId="0395E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59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77D13"/>
    <w:rsid w:val="0008308B"/>
    <w:rsid w:val="000A47FA"/>
    <w:rsid w:val="000A63E4"/>
    <w:rsid w:val="000A65D3"/>
    <w:rsid w:val="000B0807"/>
    <w:rsid w:val="000B1E33"/>
    <w:rsid w:val="000C3AB6"/>
    <w:rsid w:val="000D689F"/>
    <w:rsid w:val="000D75B5"/>
    <w:rsid w:val="000E7B7B"/>
    <w:rsid w:val="000E7D62"/>
    <w:rsid w:val="00103357"/>
    <w:rsid w:val="00120A5D"/>
    <w:rsid w:val="00123C9F"/>
    <w:rsid w:val="00126190"/>
    <w:rsid w:val="00127C07"/>
    <w:rsid w:val="00130F17"/>
    <w:rsid w:val="001320BF"/>
    <w:rsid w:val="00142BC0"/>
    <w:rsid w:val="00163BC4"/>
    <w:rsid w:val="00191062"/>
    <w:rsid w:val="00192B72"/>
    <w:rsid w:val="001A29D8"/>
    <w:rsid w:val="001A539D"/>
    <w:rsid w:val="001A5CAA"/>
    <w:rsid w:val="001A6D49"/>
    <w:rsid w:val="001B0427"/>
    <w:rsid w:val="001B2B66"/>
    <w:rsid w:val="001D3A51"/>
    <w:rsid w:val="001E10D2"/>
    <w:rsid w:val="001E25B4"/>
    <w:rsid w:val="001E44FE"/>
    <w:rsid w:val="00200595"/>
    <w:rsid w:val="002034F5"/>
    <w:rsid w:val="00204835"/>
    <w:rsid w:val="00217B07"/>
    <w:rsid w:val="00231920"/>
    <w:rsid w:val="0023195C"/>
    <w:rsid w:val="00232203"/>
    <w:rsid w:val="002365E8"/>
    <w:rsid w:val="0024282C"/>
    <w:rsid w:val="002460DC"/>
    <w:rsid w:val="00250985"/>
    <w:rsid w:val="002556F6"/>
    <w:rsid w:val="00277AD4"/>
    <w:rsid w:val="002810DA"/>
    <w:rsid w:val="00283105"/>
    <w:rsid w:val="00284C4C"/>
    <w:rsid w:val="0028648F"/>
    <w:rsid w:val="00287E68"/>
    <w:rsid w:val="00296529"/>
    <w:rsid w:val="002B27FB"/>
    <w:rsid w:val="002B685A"/>
    <w:rsid w:val="002C21E5"/>
    <w:rsid w:val="002C57D2"/>
    <w:rsid w:val="002E047D"/>
    <w:rsid w:val="002E0D56"/>
    <w:rsid w:val="002E6AE4"/>
    <w:rsid w:val="00300E5C"/>
    <w:rsid w:val="00315186"/>
    <w:rsid w:val="0033343E"/>
    <w:rsid w:val="00340158"/>
    <w:rsid w:val="003512C2"/>
    <w:rsid w:val="00371FB6"/>
    <w:rsid w:val="003763C1"/>
    <w:rsid w:val="00376BBE"/>
    <w:rsid w:val="0039224F"/>
    <w:rsid w:val="003A43A4"/>
    <w:rsid w:val="003A7E18"/>
    <w:rsid w:val="003C2AC0"/>
    <w:rsid w:val="003C4240"/>
    <w:rsid w:val="003C4C86"/>
    <w:rsid w:val="003C60DA"/>
    <w:rsid w:val="003C6258"/>
    <w:rsid w:val="003D243B"/>
    <w:rsid w:val="003D521A"/>
    <w:rsid w:val="003E2904"/>
    <w:rsid w:val="003E6FCB"/>
    <w:rsid w:val="003F17A4"/>
    <w:rsid w:val="00401927"/>
    <w:rsid w:val="0041027F"/>
    <w:rsid w:val="00412475"/>
    <w:rsid w:val="00416F76"/>
    <w:rsid w:val="00423789"/>
    <w:rsid w:val="00424954"/>
    <w:rsid w:val="00440F43"/>
    <w:rsid w:val="00441B6F"/>
    <w:rsid w:val="00446221"/>
    <w:rsid w:val="00450E62"/>
    <w:rsid w:val="004539DB"/>
    <w:rsid w:val="004666D1"/>
    <w:rsid w:val="00471A80"/>
    <w:rsid w:val="004741F1"/>
    <w:rsid w:val="00474AA1"/>
    <w:rsid w:val="004A054D"/>
    <w:rsid w:val="004B77A4"/>
    <w:rsid w:val="004C5ECA"/>
    <w:rsid w:val="004D305E"/>
    <w:rsid w:val="004D4277"/>
    <w:rsid w:val="00502516"/>
    <w:rsid w:val="00505F06"/>
    <w:rsid w:val="0050675D"/>
    <w:rsid w:val="00506828"/>
    <w:rsid w:val="00514FD3"/>
    <w:rsid w:val="0053056E"/>
    <w:rsid w:val="005401F2"/>
    <w:rsid w:val="00554FDA"/>
    <w:rsid w:val="005873C9"/>
    <w:rsid w:val="005924B9"/>
    <w:rsid w:val="005932CA"/>
    <w:rsid w:val="005C784C"/>
    <w:rsid w:val="005D17F6"/>
    <w:rsid w:val="005D6B78"/>
    <w:rsid w:val="005E5539"/>
    <w:rsid w:val="005F127B"/>
    <w:rsid w:val="005F1D08"/>
    <w:rsid w:val="005F66D6"/>
    <w:rsid w:val="00602BF5"/>
    <w:rsid w:val="00604718"/>
    <w:rsid w:val="0061757A"/>
    <w:rsid w:val="00617D83"/>
    <w:rsid w:val="00617FDD"/>
    <w:rsid w:val="006246E2"/>
    <w:rsid w:val="00633614"/>
    <w:rsid w:val="00633F68"/>
    <w:rsid w:val="00636EB2"/>
    <w:rsid w:val="006375B8"/>
    <w:rsid w:val="006517E7"/>
    <w:rsid w:val="00656965"/>
    <w:rsid w:val="0066510A"/>
    <w:rsid w:val="006656BA"/>
    <w:rsid w:val="00673F9F"/>
    <w:rsid w:val="0068086B"/>
    <w:rsid w:val="00686953"/>
    <w:rsid w:val="00687DEA"/>
    <w:rsid w:val="00687E67"/>
    <w:rsid w:val="006967F7"/>
    <w:rsid w:val="006A250C"/>
    <w:rsid w:val="006B21D3"/>
    <w:rsid w:val="006B57D0"/>
    <w:rsid w:val="006B699F"/>
    <w:rsid w:val="006C0B37"/>
    <w:rsid w:val="006C11AB"/>
    <w:rsid w:val="006D30FF"/>
    <w:rsid w:val="006D6940"/>
    <w:rsid w:val="006E754B"/>
    <w:rsid w:val="006F11EC"/>
    <w:rsid w:val="0070082C"/>
    <w:rsid w:val="00702297"/>
    <w:rsid w:val="00706248"/>
    <w:rsid w:val="00732FCF"/>
    <w:rsid w:val="007369E6"/>
    <w:rsid w:val="00740C60"/>
    <w:rsid w:val="007417D2"/>
    <w:rsid w:val="00745B7D"/>
    <w:rsid w:val="00746E59"/>
    <w:rsid w:val="00754C9A"/>
    <w:rsid w:val="0075599A"/>
    <w:rsid w:val="00761D52"/>
    <w:rsid w:val="007664EA"/>
    <w:rsid w:val="0077749E"/>
    <w:rsid w:val="00782795"/>
    <w:rsid w:val="00790ADA"/>
    <w:rsid w:val="007B7679"/>
    <w:rsid w:val="007C6472"/>
    <w:rsid w:val="007C64D3"/>
    <w:rsid w:val="007D06DB"/>
    <w:rsid w:val="007D2288"/>
    <w:rsid w:val="007D44E8"/>
    <w:rsid w:val="007E088F"/>
    <w:rsid w:val="007F2538"/>
    <w:rsid w:val="007F7B32"/>
    <w:rsid w:val="00804BC2"/>
    <w:rsid w:val="00806BF2"/>
    <w:rsid w:val="008137A5"/>
    <w:rsid w:val="0081431A"/>
    <w:rsid w:val="00815592"/>
    <w:rsid w:val="0083216F"/>
    <w:rsid w:val="00847BE2"/>
    <w:rsid w:val="00860000"/>
    <w:rsid w:val="00863BD3"/>
    <w:rsid w:val="008641ED"/>
    <w:rsid w:val="00866D66"/>
    <w:rsid w:val="008671C6"/>
    <w:rsid w:val="00871EBE"/>
    <w:rsid w:val="00875803"/>
    <w:rsid w:val="00887B51"/>
    <w:rsid w:val="008B459E"/>
    <w:rsid w:val="008E13AE"/>
    <w:rsid w:val="008E1506"/>
    <w:rsid w:val="008E710C"/>
    <w:rsid w:val="008F69D6"/>
    <w:rsid w:val="00902823"/>
    <w:rsid w:val="00915CA6"/>
    <w:rsid w:val="00927283"/>
    <w:rsid w:val="00927834"/>
    <w:rsid w:val="009316ED"/>
    <w:rsid w:val="009500A6"/>
    <w:rsid w:val="00957C18"/>
    <w:rsid w:val="009659BA"/>
    <w:rsid w:val="0097291B"/>
    <w:rsid w:val="00976484"/>
    <w:rsid w:val="00983040"/>
    <w:rsid w:val="009B3FB9"/>
    <w:rsid w:val="009C2465"/>
    <w:rsid w:val="009D35A0"/>
    <w:rsid w:val="009D7EB7"/>
    <w:rsid w:val="009E048A"/>
    <w:rsid w:val="009E08E9"/>
    <w:rsid w:val="009E3DB9"/>
    <w:rsid w:val="009E6E35"/>
    <w:rsid w:val="009F0EDA"/>
    <w:rsid w:val="009F48F0"/>
    <w:rsid w:val="009F5EA9"/>
    <w:rsid w:val="009F7E99"/>
    <w:rsid w:val="00A03B96"/>
    <w:rsid w:val="00A03FA5"/>
    <w:rsid w:val="00A05B19"/>
    <w:rsid w:val="00A05DBB"/>
    <w:rsid w:val="00A10653"/>
    <w:rsid w:val="00A1134E"/>
    <w:rsid w:val="00A24E7E"/>
    <w:rsid w:val="00A258C3"/>
    <w:rsid w:val="00A33EC0"/>
    <w:rsid w:val="00A347C0"/>
    <w:rsid w:val="00A51431"/>
    <w:rsid w:val="00A539AD"/>
    <w:rsid w:val="00A94063"/>
    <w:rsid w:val="00AA6219"/>
    <w:rsid w:val="00AA74E0"/>
    <w:rsid w:val="00AB703F"/>
    <w:rsid w:val="00AC6BB8"/>
    <w:rsid w:val="00AC7AFD"/>
    <w:rsid w:val="00AD32BE"/>
    <w:rsid w:val="00AE008F"/>
    <w:rsid w:val="00AE3F78"/>
    <w:rsid w:val="00B01FCD"/>
    <w:rsid w:val="00B1776C"/>
    <w:rsid w:val="00B52583"/>
    <w:rsid w:val="00B52896"/>
    <w:rsid w:val="00B6300B"/>
    <w:rsid w:val="00B95236"/>
    <w:rsid w:val="00B96BD9"/>
    <w:rsid w:val="00BA0170"/>
    <w:rsid w:val="00BA1B01"/>
    <w:rsid w:val="00BA2641"/>
    <w:rsid w:val="00BB2921"/>
    <w:rsid w:val="00BB37AA"/>
    <w:rsid w:val="00BC4E45"/>
    <w:rsid w:val="00BC53A0"/>
    <w:rsid w:val="00BD3884"/>
    <w:rsid w:val="00BD42DC"/>
    <w:rsid w:val="00BE62AD"/>
    <w:rsid w:val="00BF121F"/>
    <w:rsid w:val="00BF1F80"/>
    <w:rsid w:val="00C07E43"/>
    <w:rsid w:val="00C12ED3"/>
    <w:rsid w:val="00C166EF"/>
    <w:rsid w:val="00C17EB0"/>
    <w:rsid w:val="00C25869"/>
    <w:rsid w:val="00C27F5F"/>
    <w:rsid w:val="00C300F2"/>
    <w:rsid w:val="00C301D1"/>
    <w:rsid w:val="00C30A0F"/>
    <w:rsid w:val="00C338BF"/>
    <w:rsid w:val="00C37E61"/>
    <w:rsid w:val="00C41479"/>
    <w:rsid w:val="00C70F1B"/>
    <w:rsid w:val="00C71A47"/>
    <w:rsid w:val="00C7464C"/>
    <w:rsid w:val="00C85588"/>
    <w:rsid w:val="00C91719"/>
    <w:rsid w:val="00CC7F4F"/>
    <w:rsid w:val="00CD6755"/>
    <w:rsid w:val="00CD6856"/>
    <w:rsid w:val="00CE0089"/>
    <w:rsid w:val="00CE03B4"/>
    <w:rsid w:val="00CE793C"/>
    <w:rsid w:val="00CF193C"/>
    <w:rsid w:val="00D173F1"/>
    <w:rsid w:val="00D247F8"/>
    <w:rsid w:val="00D547D9"/>
    <w:rsid w:val="00D62608"/>
    <w:rsid w:val="00D627E7"/>
    <w:rsid w:val="00D64809"/>
    <w:rsid w:val="00D74CB0"/>
    <w:rsid w:val="00D815A4"/>
    <w:rsid w:val="00D8295D"/>
    <w:rsid w:val="00D848AB"/>
    <w:rsid w:val="00D929DE"/>
    <w:rsid w:val="00DB15B3"/>
    <w:rsid w:val="00DC2A65"/>
    <w:rsid w:val="00DE15F0"/>
    <w:rsid w:val="00DE5663"/>
    <w:rsid w:val="00DE78AA"/>
    <w:rsid w:val="00E053D0"/>
    <w:rsid w:val="00E15994"/>
    <w:rsid w:val="00E159DD"/>
    <w:rsid w:val="00E25811"/>
    <w:rsid w:val="00E3114E"/>
    <w:rsid w:val="00E31A70"/>
    <w:rsid w:val="00E35B02"/>
    <w:rsid w:val="00E52AC5"/>
    <w:rsid w:val="00E61598"/>
    <w:rsid w:val="00E66496"/>
    <w:rsid w:val="00E66B35"/>
    <w:rsid w:val="00E66E10"/>
    <w:rsid w:val="00E769F6"/>
    <w:rsid w:val="00E81DB4"/>
    <w:rsid w:val="00E8407C"/>
    <w:rsid w:val="00E84F3C"/>
    <w:rsid w:val="00E853F3"/>
    <w:rsid w:val="00EA012C"/>
    <w:rsid w:val="00EA65F5"/>
    <w:rsid w:val="00EC6A55"/>
    <w:rsid w:val="00ED0288"/>
    <w:rsid w:val="00ED6F6A"/>
    <w:rsid w:val="00EE52CB"/>
    <w:rsid w:val="00EF581D"/>
    <w:rsid w:val="00EF7FD8"/>
    <w:rsid w:val="00F04771"/>
    <w:rsid w:val="00F06F1F"/>
    <w:rsid w:val="00F06F59"/>
    <w:rsid w:val="00F1513F"/>
    <w:rsid w:val="00F15EFB"/>
    <w:rsid w:val="00F17988"/>
    <w:rsid w:val="00F25486"/>
    <w:rsid w:val="00F33398"/>
    <w:rsid w:val="00F41EB4"/>
    <w:rsid w:val="00F43D88"/>
    <w:rsid w:val="00F469F0"/>
    <w:rsid w:val="00F47A4C"/>
    <w:rsid w:val="00F503B9"/>
    <w:rsid w:val="00F53273"/>
    <w:rsid w:val="00F65BC8"/>
    <w:rsid w:val="00F71574"/>
    <w:rsid w:val="00F755E4"/>
    <w:rsid w:val="00F76DAB"/>
    <w:rsid w:val="00F77BA1"/>
    <w:rsid w:val="00F77D02"/>
    <w:rsid w:val="00F82F57"/>
    <w:rsid w:val="00F90E54"/>
    <w:rsid w:val="00FA5ACD"/>
    <w:rsid w:val="00FB34DD"/>
    <w:rsid w:val="00FB3A86"/>
    <w:rsid w:val="00FC7C20"/>
    <w:rsid w:val="00FD36C8"/>
    <w:rsid w:val="00FE33CE"/>
    <w:rsid w:val="00FE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2B0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47BE2"/>
    <w:pPr>
      <w:ind w:left="720"/>
      <w:contextualSpacing/>
    </w:pPr>
  </w:style>
  <w:style w:type="paragraph" w:styleId="CommentSubject">
    <w:name w:val="annotation subject"/>
    <w:basedOn w:val="CommentText"/>
    <w:next w:val="CommentText"/>
    <w:link w:val="CommentSubjectChar"/>
    <w:semiHidden/>
    <w:unhideWhenUsed/>
    <w:rsid w:val="00D247F8"/>
    <w:rPr>
      <w:rFonts w:ascii="Helvetica" w:hAnsi="Helvetica"/>
      <w:b/>
      <w:bCs/>
      <w:lang w:val="en-US" w:eastAsia="en-US"/>
    </w:rPr>
  </w:style>
  <w:style w:type="character" w:customStyle="1" w:styleId="CommentSubjectChar">
    <w:name w:val="Comment Subject Char"/>
    <w:basedOn w:val="CommentTextChar"/>
    <w:link w:val="CommentSubject"/>
    <w:semiHidden/>
    <w:rsid w:val="00D247F8"/>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47BE2"/>
    <w:pPr>
      <w:ind w:left="720"/>
      <w:contextualSpacing/>
    </w:pPr>
  </w:style>
  <w:style w:type="paragraph" w:styleId="CommentSubject">
    <w:name w:val="annotation subject"/>
    <w:basedOn w:val="CommentText"/>
    <w:next w:val="CommentText"/>
    <w:link w:val="CommentSubjectChar"/>
    <w:semiHidden/>
    <w:unhideWhenUsed/>
    <w:rsid w:val="00D247F8"/>
    <w:rPr>
      <w:rFonts w:ascii="Helvetica" w:hAnsi="Helvetica"/>
      <w:b/>
      <w:bCs/>
      <w:lang w:val="en-US" w:eastAsia="en-US"/>
    </w:rPr>
  </w:style>
  <w:style w:type="character" w:customStyle="1" w:styleId="CommentSubjectChar">
    <w:name w:val="Comment Subject Char"/>
    <w:basedOn w:val="CommentTextChar"/>
    <w:link w:val="CommentSubject"/>
    <w:semiHidden/>
    <w:rsid w:val="00D247F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2AA1-6C1E-4311-B312-538EBC38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TotalTime>
  <Pages>1</Pages>
  <Words>28550</Words>
  <Characters>162738</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190907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windows 10 pro</cp:lastModifiedBy>
  <cp:revision>33</cp:revision>
  <cp:lastPrinted>1999-07-06T11:00:00Z</cp:lastPrinted>
  <dcterms:created xsi:type="dcterms:W3CDTF">2025-08-06T03:37:00Z</dcterms:created>
  <dcterms:modified xsi:type="dcterms:W3CDTF">2025-08-07T17:36:00Z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af1ffb8a-7af8-38b0-b5b7-5f446dc49932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