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3A19D" w14:textId="2DF5CB4A" w:rsidR="00754C9A" w:rsidRDefault="00754C9A" w:rsidP="00441B6F">
      <w:pPr>
        <w:pStyle w:val="Title"/>
        <w:spacing w:after="0"/>
        <w:jc w:val="both"/>
        <w:rPr>
          <w:rFonts w:ascii="Arial" w:hAnsi="Arial" w:cs="Arial"/>
        </w:rPr>
      </w:pPr>
    </w:p>
    <w:p w14:paraId="49849E90" w14:textId="77777777" w:rsidR="00F539A0" w:rsidRDefault="00F539A0" w:rsidP="00441B6F">
      <w:pPr>
        <w:pStyle w:val="Title"/>
        <w:spacing w:after="0"/>
        <w:jc w:val="both"/>
        <w:rPr>
          <w:rFonts w:ascii="Arial" w:hAnsi="Arial" w:cs="Arial"/>
        </w:rPr>
      </w:pPr>
    </w:p>
    <w:p w14:paraId="634BB377" w14:textId="77777777" w:rsidR="00163BC4" w:rsidRPr="00163BC4" w:rsidRDefault="00521EEB" w:rsidP="00441B6F">
      <w:pPr>
        <w:pStyle w:val="Author"/>
        <w:spacing w:line="240" w:lineRule="auto"/>
        <w:rPr>
          <w:rFonts w:ascii="Arial" w:hAnsi="Arial" w:cs="Arial"/>
          <w:bCs/>
          <w:iCs/>
          <w:kern w:val="28"/>
          <w:sz w:val="36"/>
        </w:rPr>
      </w:pPr>
      <w:r w:rsidRPr="00521EEB">
        <w:rPr>
          <w:rFonts w:ascii="Arial" w:hAnsi="Arial" w:cs="Arial"/>
          <w:bCs/>
          <w:iCs/>
          <w:kern w:val="28"/>
          <w:sz w:val="36"/>
        </w:rPr>
        <w:t xml:space="preserve">Exploring Customer Perceptions of </w:t>
      </w:r>
      <w:proofErr w:type="spellStart"/>
      <w:r w:rsidRPr="00521EEB">
        <w:rPr>
          <w:rFonts w:ascii="Arial" w:hAnsi="Arial" w:cs="Arial"/>
          <w:bCs/>
          <w:iCs/>
          <w:kern w:val="28"/>
          <w:sz w:val="36"/>
        </w:rPr>
        <w:t>Siaga</w:t>
      </w:r>
      <w:proofErr w:type="spellEnd"/>
      <w:r w:rsidRPr="00521EEB">
        <w:rPr>
          <w:rFonts w:ascii="Arial" w:hAnsi="Arial" w:cs="Arial"/>
          <w:bCs/>
          <w:iCs/>
          <w:kern w:val="28"/>
          <w:sz w:val="36"/>
        </w:rPr>
        <w:t xml:space="preserve"> Tour Services through the Customer Satisfaction Index (CSI) </w:t>
      </w:r>
    </w:p>
    <w:p w14:paraId="6A30B53F" w14:textId="77777777" w:rsidR="00A258C3" w:rsidRPr="00790ADA" w:rsidRDefault="00A258C3" w:rsidP="00441B6F">
      <w:pPr>
        <w:pStyle w:val="Author"/>
        <w:spacing w:line="240" w:lineRule="auto"/>
        <w:jc w:val="both"/>
        <w:rPr>
          <w:rFonts w:ascii="Arial" w:hAnsi="Arial" w:cs="Arial"/>
          <w:sz w:val="36"/>
        </w:rPr>
      </w:pPr>
    </w:p>
    <w:p w14:paraId="1AE3220F" w14:textId="77777777" w:rsidR="002C57D2" w:rsidRPr="00FB3A86" w:rsidRDefault="002C57D2" w:rsidP="00441B6F">
      <w:pPr>
        <w:pStyle w:val="Affiliation"/>
        <w:spacing w:after="0" w:line="240" w:lineRule="auto"/>
        <w:jc w:val="both"/>
        <w:rPr>
          <w:rFonts w:ascii="Arial" w:hAnsi="Arial" w:cs="Arial"/>
        </w:rPr>
      </w:pPr>
    </w:p>
    <w:p w14:paraId="169E4A75" w14:textId="77777777" w:rsidR="00B01FCD" w:rsidRPr="00FB3A86" w:rsidRDefault="00A743E2" w:rsidP="00441B6F">
      <w:pPr>
        <w:pStyle w:val="Copyright"/>
        <w:spacing w:after="0" w:line="240" w:lineRule="auto"/>
        <w:jc w:val="both"/>
        <w:rPr>
          <w:rFonts w:ascii="Arial" w:hAnsi="Arial" w:cs="Arial"/>
        </w:rPr>
        <w:sectPr w:rsidR="00B01FCD" w:rsidRPr="00FB3A86" w:rsidSect="00C454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61CAE1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19B1609" w14:textId="77777777" w:rsidR="00B01FCD" w:rsidRDefault="00B01FCD" w:rsidP="00441B6F">
      <w:pPr>
        <w:pStyle w:val="AbstHead"/>
        <w:spacing w:after="0"/>
        <w:jc w:val="both"/>
        <w:rPr>
          <w:rFonts w:ascii="Arial" w:hAnsi="Arial" w:cs="Arial"/>
        </w:rPr>
      </w:pPr>
      <w:r w:rsidRPr="00FB3A86">
        <w:rPr>
          <w:rFonts w:ascii="Arial" w:hAnsi="Arial" w:cs="Arial"/>
        </w:rPr>
        <w:t xml:space="preserve">ABSTRACT </w:t>
      </w:r>
    </w:p>
    <w:p w14:paraId="45A9459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CB32094" w14:textId="77777777" w:rsidTr="00D02AEF">
        <w:tc>
          <w:tcPr>
            <w:tcW w:w="9576" w:type="dxa"/>
            <w:shd w:val="clear" w:color="auto" w:fill="auto"/>
          </w:tcPr>
          <w:p w14:paraId="09DE8D8B" w14:textId="77777777" w:rsidR="00BA1B01" w:rsidRPr="00D02AEF" w:rsidRDefault="00BA1B01" w:rsidP="00D02AEF">
            <w:pPr>
              <w:pStyle w:val="Body"/>
              <w:spacing w:after="0"/>
              <w:rPr>
                <w:rFonts w:ascii="Arial" w:eastAsia="Calibri" w:hAnsi="Arial" w:cs="Arial"/>
                <w:szCs w:val="22"/>
              </w:rPr>
            </w:pPr>
            <w:r w:rsidRPr="00D02AEF">
              <w:rPr>
                <w:rFonts w:ascii="Arial" w:eastAsia="Calibri" w:hAnsi="Arial" w:cs="Arial"/>
                <w:b/>
                <w:szCs w:val="22"/>
              </w:rPr>
              <w:t xml:space="preserve">Aims: </w:t>
            </w:r>
            <w:r w:rsidR="00D02AEF" w:rsidRPr="00D02AEF">
              <w:rPr>
                <w:rFonts w:ascii="Arial" w:eastAsia="Calibri" w:hAnsi="Arial" w:cs="Arial"/>
                <w:szCs w:val="22"/>
              </w:rPr>
              <w:t xml:space="preserve">This study </w:t>
            </w:r>
            <w:r w:rsidR="00795D6A" w:rsidRPr="00D02AEF">
              <w:rPr>
                <w:rFonts w:ascii="Arial" w:eastAsia="Calibri" w:hAnsi="Arial" w:cs="Arial"/>
                <w:szCs w:val="22"/>
              </w:rPr>
              <w:t xml:space="preserve">measures and understands the level of customer satisfaction of </w:t>
            </w:r>
            <w:proofErr w:type="spellStart"/>
            <w:r w:rsidR="00795D6A" w:rsidRPr="00D02AEF">
              <w:rPr>
                <w:rFonts w:ascii="Arial" w:eastAsia="Calibri" w:hAnsi="Arial" w:cs="Arial"/>
                <w:szCs w:val="22"/>
              </w:rPr>
              <w:t>Siaga</w:t>
            </w:r>
            <w:proofErr w:type="spellEnd"/>
            <w:r w:rsidR="00795D6A" w:rsidRPr="00D02AEF">
              <w:rPr>
                <w:rFonts w:ascii="Arial" w:eastAsia="Calibri" w:hAnsi="Arial" w:cs="Arial"/>
                <w:szCs w:val="22"/>
              </w:rPr>
              <w:t xml:space="preserve"> Tour comprehensively.</w:t>
            </w:r>
          </w:p>
          <w:p w14:paraId="39E8B403" w14:textId="77777777" w:rsidR="00BA1B01" w:rsidRPr="00D02AEF" w:rsidRDefault="00BA1B01" w:rsidP="00D02AEF">
            <w:pPr>
              <w:pStyle w:val="Body"/>
              <w:spacing w:after="0"/>
              <w:rPr>
                <w:rFonts w:ascii="Arial" w:eastAsia="Calibri" w:hAnsi="Arial" w:cs="Arial"/>
                <w:szCs w:val="22"/>
              </w:rPr>
            </w:pPr>
            <w:r w:rsidRPr="00D02AEF">
              <w:rPr>
                <w:rFonts w:ascii="Arial" w:eastAsia="Calibri" w:hAnsi="Arial" w:cs="Arial"/>
                <w:b/>
                <w:szCs w:val="22"/>
              </w:rPr>
              <w:t xml:space="preserve">Study design: </w:t>
            </w:r>
            <w:r w:rsidR="00D02AEF" w:rsidRPr="00D02AEF">
              <w:rPr>
                <w:rFonts w:ascii="Arial" w:eastAsia="Calibri" w:hAnsi="Arial" w:cs="Arial"/>
                <w:szCs w:val="22"/>
              </w:rPr>
              <w:t>This study uses a quantitative approach with a descriptive research design to measure customer satisfaction.</w:t>
            </w:r>
          </w:p>
          <w:p w14:paraId="2F4E9881" w14:textId="77777777" w:rsidR="00BA1B01" w:rsidRPr="00D02AEF" w:rsidRDefault="00BA1B01" w:rsidP="00D02AEF">
            <w:pPr>
              <w:pStyle w:val="Body"/>
              <w:spacing w:after="0"/>
              <w:rPr>
                <w:rFonts w:ascii="Arial" w:eastAsia="Calibri" w:hAnsi="Arial" w:cs="Arial"/>
                <w:szCs w:val="22"/>
              </w:rPr>
            </w:pPr>
            <w:r w:rsidRPr="00D02AEF">
              <w:rPr>
                <w:rFonts w:ascii="Arial" w:eastAsia="Calibri" w:hAnsi="Arial" w:cs="Arial"/>
                <w:b/>
                <w:szCs w:val="22"/>
              </w:rPr>
              <w:t xml:space="preserve">Place and Duration of Study: </w:t>
            </w:r>
            <w:r w:rsidR="00D02AEF" w:rsidRPr="00D02AEF">
              <w:rPr>
                <w:rFonts w:ascii="Arial" w:eastAsia="Calibri" w:hAnsi="Arial" w:cs="Arial"/>
                <w:szCs w:val="22"/>
              </w:rPr>
              <w:t xml:space="preserve">The study was located in Jakarta, Indonesia for 1 month </w:t>
            </w:r>
          </w:p>
          <w:p w14:paraId="753D564A" w14:textId="77777777" w:rsidR="00D02AEF" w:rsidRPr="00D02AEF" w:rsidRDefault="00BA1B01" w:rsidP="00D02AEF">
            <w:pPr>
              <w:pStyle w:val="Body"/>
              <w:spacing w:after="0"/>
            </w:pPr>
            <w:r w:rsidRPr="00D02AEF">
              <w:rPr>
                <w:rFonts w:ascii="Arial" w:eastAsia="Calibri" w:hAnsi="Arial" w:cs="Arial"/>
                <w:b/>
                <w:bCs/>
                <w:szCs w:val="22"/>
              </w:rPr>
              <w:t xml:space="preserve">Methodology: </w:t>
            </w:r>
            <w:r w:rsidR="00D02AEF" w:rsidRPr="00D02AEF">
              <w:rPr>
                <w:rFonts w:ascii="Arial" w:eastAsia="Calibri" w:hAnsi="Arial" w:cs="Arial"/>
                <w:szCs w:val="22"/>
              </w:rPr>
              <w:t xml:space="preserve">The research population is all </w:t>
            </w:r>
            <w:proofErr w:type="spellStart"/>
            <w:r w:rsidR="00D02AEF" w:rsidRPr="00D02AEF">
              <w:rPr>
                <w:rFonts w:ascii="Arial" w:eastAsia="Calibri" w:hAnsi="Arial" w:cs="Arial"/>
                <w:szCs w:val="22"/>
              </w:rPr>
              <w:t>Siaga</w:t>
            </w:r>
            <w:proofErr w:type="spellEnd"/>
            <w:r w:rsidR="00D02AEF" w:rsidRPr="00D02AEF">
              <w:rPr>
                <w:rFonts w:ascii="Arial" w:eastAsia="Calibri" w:hAnsi="Arial" w:cs="Arial"/>
                <w:szCs w:val="22"/>
              </w:rPr>
              <w:t xml:space="preserve"> Tour consumers who have used tour / travel services in the last 6 months. Non-probability sampling technique with purposive sampling method. The sample criteria are individuals who have used </w:t>
            </w:r>
            <w:proofErr w:type="spellStart"/>
            <w:r w:rsidR="00D02AEF" w:rsidRPr="00D02AEF">
              <w:rPr>
                <w:rFonts w:ascii="Arial" w:eastAsia="Calibri" w:hAnsi="Arial" w:cs="Arial"/>
                <w:szCs w:val="22"/>
              </w:rPr>
              <w:t>Siaga</w:t>
            </w:r>
            <w:proofErr w:type="spellEnd"/>
            <w:r w:rsidR="00D02AEF" w:rsidRPr="00D02AEF">
              <w:rPr>
                <w:rFonts w:ascii="Arial" w:eastAsia="Calibri" w:hAnsi="Arial" w:cs="Arial"/>
                <w:szCs w:val="22"/>
              </w:rPr>
              <w:t xml:space="preserve"> Tour </w:t>
            </w:r>
            <w:proofErr w:type="spellStart"/>
            <w:r w:rsidR="00D02AEF" w:rsidRPr="00D02AEF">
              <w:rPr>
                <w:rFonts w:ascii="Arial" w:eastAsia="Calibri" w:hAnsi="Arial" w:cs="Arial"/>
                <w:szCs w:val="22"/>
              </w:rPr>
              <w:t>tour</w:t>
            </w:r>
            <w:proofErr w:type="spellEnd"/>
            <w:r w:rsidR="00D02AEF" w:rsidRPr="00D02AEF">
              <w:rPr>
                <w:rFonts w:ascii="Arial" w:eastAsia="Calibri" w:hAnsi="Arial" w:cs="Arial"/>
                <w:szCs w:val="22"/>
              </w:rPr>
              <w:t xml:space="preserve"> services in the last 6 months, calculated using the </w:t>
            </w:r>
            <w:proofErr w:type="spellStart"/>
            <w:r w:rsidR="00D02AEF" w:rsidRPr="00D02AEF">
              <w:rPr>
                <w:rFonts w:ascii="Arial" w:eastAsia="Calibri" w:hAnsi="Arial" w:cs="Arial"/>
                <w:szCs w:val="22"/>
              </w:rPr>
              <w:t>Slovin</w:t>
            </w:r>
            <w:proofErr w:type="spellEnd"/>
            <w:r w:rsidR="00D02AEF" w:rsidRPr="00D02AEF">
              <w:rPr>
                <w:rFonts w:ascii="Arial" w:eastAsia="Calibri" w:hAnsi="Arial" w:cs="Arial"/>
                <w:szCs w:val="22"/>
              </w:rPr>
              <w:t xml:space="preserve"> formula, resulting in 100 respondents. Data collection using a Google Form questionnaire containing service attributes based on the SERVQUAL dimension (Tangibles, Reliability, Responsiveness, Assurance, and Empathy). The scale used is a Likert scale with a range of 1-5. Data analysis was carried out by testing the validity and reliability of the instrument and </w:t>
            </w:r>
            <w:r w:rsidR="00D02AEF" w:rsidRPr="00D02AEF">
              <w:t>calculating the Customer Satisfaction Index (CSI).</w:t>
            </w:r>
          </w:p>
          <w:p w14:paraId="4D245562" w14:textId="77777777" w:rsidR="00A44934" w:rsidRDefault="00BA1B01" w:rsidP="00A44934">
            <w:pPr>
              <w:pStyle w:val="Body"/>
              <w:spacing w:after="0"/>
              <w:rPr>
                <w:rFonts w:ascii="Arial" w:eastAsia="Calibri" w:hAnsi="Arial" w:cs="Arial"/>
                <w:szCs w:val="22"/>
              </w:rPr>
            </w:pPr>
            <w:r w:rsidRPr="00D02AEF">
              <w:rPr>
                <w:rFonts w:ascii="Arial" w:eastAsia="Calibri" w:hAnsi="Arial" w:cs="Arial"/>
                <w:b/>
                <w:bCs/>
                <w:szCs w:val="22"/>
              </w:rPr>
              <w:t xml:space="preserve">Results: </w:t>
            </w:r>
            <w:r w:rsidR="00A44934" w:rsidRPr="00A44934">
              <w:rPr>
                <w:rFonts w:ascii="Arial" w:eastAsia="Calibri" w:hAnsi="Arial" w:cs="Arial"/>
                <w:szCs w:val="22"/>
              </w:rPr>
              <w:t xml:space="preserve">The CSI value </w:t>
            </w:r>
            <w:r w:rsidR="00A44934">
              <w:rPr>
                <w:rFonts w:ascii="Arial" w:eastAsia="Calibri" w:hAnsi="Arial" w:cs="Arial"/>
                <w:szCs w:val="22"/>
              </w:rPr>
              <w:t xml:space="preserve">obtained is </w:t>
            </w:r>
            <w:r w:rsidR="00A44934" w:rsidRPr="00A44934">
              <w:rPr>
                <w:rFonts w:ascii="Arial" w:eastAsia="Calibri" w:hAnsi="Arial" w:cs="Arial"/>
                <w:szCs w:val="22"/>
              </w:rPr>
              <w:t xml:space="preserve">79.75%, indicating that the overall level of customer satisfaction is in the Satisfied category. The majority of </w:t>
            </w:r>
            <w:proofErr w:type="spellStart"/>
            <w:r w:rsidR="00A44934" w:rsidRPr="00A44934">
              <w:rPr>
                <w:rFonts w:ascii="Arial" w:eastAsia="Calibri" w:hAnsi="Arial" w:cs="Arial"/>
                <w:szCs w:val="22"/>
              </w:rPr>
              <w:t>Siaga</w:t>
            </w:r>
            <w:proofErr w:type="spellEnd"/>
            <w:r w:rsidR="00A44934" w:rsidRPr="00A44934">
              <w:rPr>
                <w:rFonts w:ascii="Arial" w:eastAsia="Calibri" w:hAnsi="Arial" w:cs="Arial"/>
                <w:szCs w:val="22"/>
              </w:rPr>
              <w:t xml:space="preserve"> Tour customers are women (71%) from the young and middle adult age group (29-60 years), with dominant jobs as private employees and housewives. These customers often travel in groups for domestic tours. Although the overall satisfaction level is satisfactory, the majority of customers are low-frequency users (1-2 times), indicating a challenge in building </w:t>
            </w:r>
            <w:proofErr w:type="spellStart"/>
            <w:proofErr w:type="gramStart"/>
            <w:r w:rsidR="00A44934" w:rsidRPr="00A44934">
              <w:rPr>
                <w:rFonts w:ascii="Arial" w:eastAsia="Calibri" w:hAnsi="Arial" w:cs="Arial"/>
                <w:szCs w:val="22"/>
              </w:rPr>
              <w:t>loyalty.The</w:t>
            </w:r>
            <w:proofErr w:type="spellEnd"/>
            <w:proofErr w:type="gramEnd"/>
            <w:r w:rsidR="00A44934" w:rsidRPr="00A44934">
              <w:rPr>
                <w:rFonts w:ascii="Arial" w:eastAsia="Calibri" w:hAnsi="Arial" w:cs="Arial"/>
                <w:szCs w:val="22"/>
              </w:rPr>
              <w:t xml:space="preserve"> gap analysis of customer satisfaction attributes shows "politeness" as the company's main advantage, with the smallest gap (0.22).</w:t>
            </w:r>
          </w:p>
          <w:p w14:paraId="05EC7E3A" w14:textId="77777777" w:rsidR="00505F06" w:rsidRPr="00D02AEF" w:rsidRDefault="00BA1B01" w:rsidP="00A44934">
            <w:pPr>
              <w:pStyle w:val="Body"/>
              <w:spacing w:after="0"/>
              <w:rPr>
                <w:rFonts w:ascii="Arial" w:eastAsia="Calibri" w:hAnsi="Arial" w:cs="Arial"/>
                <w:szCs w:val="22"/>
              </w:rPr>
            </w:pPr>
            <w:r w:rsidRPr="00D02AEF">
              <w:rPr>
                <w:rFonts w:ascii="Arial" w:eastAsia="Calibri" w:hAnsi="Arial" w:cs="Arial"/>
                <w:b/>
                <w:bCs/>
                <w:szCs w:val="22"/>
              </w:rPr>
              <w:t xml:space="preserve">Conclusion: </w:t>
            </w:r>
            <w:r w:rsidR="00A44934">
              <w:t xml:space="preserve">Although the overall satisfaction level is satisfactory, </w:t>
            </w:r>
            <w:r w:rsidR="00A44934" w:rsidRPr="00A44934">
              <w:rPr>
                <w:rFonts w:ascii="Arial" w:eastAsia="Calibri" w:hAnsi="Arial" w:cs="Arial"/>
                <w:szCs w:val="22"/>
              </w:rPr>
              <w:t>there are three critical areas that need improvement due to the large gap between expectation and performance, namely time management (gap 0.45), convenience (gap 0.44), and reputation (gap 0.44).</w:t>
            </w:r>
          </w:p>
        </w:tc>
      </w:tr>
    </w:tbl>
    <w:p w14:paraId="5EF5BFBB" w14:textId="77777777" w:rsidR="00636EB2" w:rsidRDefault="00636EB2" w:rsidP="00441B6F">
      <w:pPr>
        <w:pStyle w:val="Body"/>
        <w:spacing w:after="0"/>
        <w:rPr>
          <w:rFonts w:ascii="Arial" w:hAnsi="Arial" w:cs="Arial"/>
          <w:i/>
        </w:rPr>
      </w:pPr>
    </w:p>
    <w:p w14:paraId="14C94D57" w14:textId="77777777" w:rsidR="00A24E7E" w:rsidRDefault="00A24E7E" w:rsidP="00441B6F">
      <w:pPr>
        <w:pStyle w:val="Body"/>
        <w:spacing w:after="0"/>
        <w:rPr>
          <w:rFonts w:ascii="Arial" w:hAnsi="Arial" w:cs="Arial"/>
          <w:i/>
        </w:rPr>
      </w:pPr>
      <w:r>
        <w:rPr>
          <w:rFonts w:ascii="Arial" w:hAnsi="Arial" w:cs="Arial"/>
          <w:i/>
        </w:rPr>
        <w:t xml:space="preserve">Keywords: </w:t>
      </w:r>
      <w:r w:rsidR="009B23FF">
        <w:rPr>
          <w:rFonts w:ascii="Arial" w:hAnsi="Arial" w:cs="Arial"/>
          <w:i/>
        </w:rPr>
        <w:t xml:space="preserve">customer, satisfaction, index, CSI, tour, service, </w:t>
      </w:r>
      <w:proofErr w:type="spellStart"/>
      <w:r w:rsidR="009B23FF">
        <w:rPr>
          <w:rFonts w:ascii="Arial" w:hAnsi="Arial" w:cs="Arial"/>
          <w:i/>
        </w:rPr>
        <w:t>ServQual</w:t>
      </w:r>
      <w:proofErr w:type="spellEnd"/>
    </w:p>
    <w:p w14:paraId="09A8C55F" w14:textId="77777777" w:rsidR="00790ADA" w:rsidRDefault="00790ADA" w:rsidP="00441B6F">
      <w:pPr>
        <w:pStyle w:val="Body"/>
        <w:spacing w:after="0"/>
        <w:rPr>
          <w:rFonts w:ascii="Arial" w:hAnsi="Arial" w:cs="Arial"/>
          <w:i/>
        </w:rPr>
      </w:pPr>
    </w:p>
    <w:p w14:paraId="2AA87AE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 xml:space="preserve">INTRODUCTION </w:t>
      </w:r>
    </w:p>
    <w:p w14:paraId="1C80660F" w14:textId="77777777" w:rsidR="00790ADA" w:rsidRPr="00FB3A86" w:rsidRDefault="00790ADA" w:rsidP="00441B6F">
      <w:pPr>
        <w:pStyle w:val="AbstHead"/>
        <w:spacing w:after="0"/>
        <w:jc w:val="both"/>
        <w:rPr>
          <w:rFonts w:ascii="Arial" w:hAnsi="Arial" w:cs="Arial"/>
        </w:rPr>
      </w:pPr>
    </w:p>
    <w:p w14:paraId="04D81B61" w14:textId="77777777" w:rsidR="00AE1EB6" w:rsidRDefault="00327ECB" w:rsidP="004C6C9C">
      <w:pPr>
        <w:pStyle w:val="Body"/>
        <w:spacing w:after="0"/>
        <w:rPr>
          <w:rFonts w:ascii="Arial" w:hAnsi="Arial" w:cs="Arial"/>
        </w:rPr>
      </w:pPr>
      <w:r w:rsidRPr="00327ECB">
        <w:rPr>
          <w:rFonts w:ascii="Arial" w:hAnsi="Arial" w:cs="Arial"/>
        </w:rPr>
        <w:t xml:space="preserve">The tourism industry has long been recognized as one of the most dynamic and important sectors in the global economy. </w:t>
      </w:r>
      <w:r w:rsidR="00656F97" w:rsidRPr="00656F97">
        <w:rPr>
          <w:rFonts w:ascii="Arial" w:hAnsi="Arial" w:cs="Arial"/>
        </w:rPr>
        <w:t xml:space="preserve">The influence of this sector goes beyond direct economic contributions, impacting various aspects of the social and economic structure. The global tourism industry has evolved into a major economic sector, contributing significantly to GDP, employment and foreign exchange earnings. </w:t>
      </w:r>
      <w:sdt>
        <w:sdtPr>
          <w:rPr>
            <w:rFonts w:ascii="Arial" w:hAnsi="Arial" w:cs="Arial"/>
          </w:rPr>
          <w:id w:val="-1069423383"/>
          <w:citation/>
        </w:sdtPr>
        <w:sdtEndPr/>
        <w:sdtContent>
          <w:r w:rsidR="00A87441" w:rsidRPr="00A87441">
            <w:rPr>
              <w:rFonts w:ascii="Arial" w:hAnsi="Arial" w:cs="Arial"/>
              <w:noProof/>
            </w:rPr>
            <w:t xml:space="preserve">(McNamee &amp; Sachs, 2015). </w:t>
          </w:r>
        </w:sdtContent>
      </w:sdt>
      <w:r w:rsidR="00656F97" w:rsidRPr="00656F97">
        <w:rPr>
          <w:rFonts w:ascii="Arial" w:hAnsi="Arial" w:cs="Arial"/>
        </w:rPr>
        <w:t xml:space="preserve">The tourism industry contributes approximately 9.5% to global GDP, highlighting its substantial economic impact This growth is evident in both developed and developing countries, where tourism acts as a catalyst for wider economic development. </w:t>
      </w:r>
      <w:sdt>
        <w:sdtPr>
          <w:rPr>
            <w:rFonts w:ascii="Arial" w:hAnsi="Arial" w:cs="Arial"/>
          </w:rPr>
          <w:id w:val="-578835596"/>
          <w:citation/>
        </w:sdtPr>
        <w:sdtEndPr/>
        <w:sdtContent>
          <w:r w:rsidR="00A87441" w:rsidRPr="00A87441">
            <w:rPr>
              <w:rFonts w:ascii="Arial" w:hAnsi="Arial" w:cs="Arial"/>
              <w:noProof/>
            </w:rPr>
            <w:t>(McNamee &amp; Sachs, 2015); )</w:t>
          </w:r>
        </w:sdtContent>
      </w:sdt>
      <w:sdt>
        <w:sdtPr>
          <w:rPr>
            <w:rFonts w:ascii="Arial" w:hAnsi="Arial" w:cs="Arial"/>
          </w:rPr>
          <w:id w:val="-389110238"/>
          <w:citation/>
        </w:sdtPr>
        <w:sdtEndPr/>
        <w:sdtContent>
          <w:r w:rsidR="00A87441" w:rsidRPr="00A87441">
            <w:rPr>
              <w:rFonts w:ascii="Arial" w:hAnsi="Arial" w:cs="Arial"/>
              <w:noProof/>
            </w:rPr>
            <w:t xml:space="preserve">(Khaksar &amp; </w:t>
          </w:r>
          <w:r w:rsidR="00A87441" w:rsidRPr="00A87441">
            <w:rPr>
              <w:rFonts w:ascii="Arial" w:hAnsi="Arial" w:cs="Arial"/>
              <w:noProof/>
            </w:rPr>
            <w:lastRenderedPageBreak/>
            <w:t>Amir, 2025</w:t>
          </w:r>
        </w:sdtContent>
      </w:sdt>
      <w:r w:rsidR="00656F97">
        <w:rPr>
          <w:rFonts w:ascii="Arial" w:hAnsi="Arial" w:cs="Arial"/>
        </w:rPr>
        <w:t xml:space="preserve">In terms of </w:t>
      </w:r>
      <w:r w:rsidR="00656F97" w:rsidRPr="00656F97">
        <w:rPr>
          <w:rFonts w:ascii="Arial" w:hAnsi="Arial" w:cs="Arial"/>
        </w:rPr>
        <w:t>employment</w:t>
      </w:r>
      <w:r w:rsidR="00656F97">
        <w:rPr>
          <w:rFonts w:ascii="Arial" w:hAnsi="Arial" w:cs="Arial"/>
        </w:rPr>
        <w:t xml:space="preserve">, the sector is a </w:t>
      </w:r>
      <w:r w:rsidR="00656F97" w:rsidRPr="00656F97">
        <w:rPr>
          <w:rFonts w:ascii="Arial" w:hAnsi="Arial" w:cs="Arial"/>
        </w:rPr>
        <w:t xml:space="preserve">major employer, providing 1 in 11 jobs worldwide, which translates to nearly 266 million jobs </w:t>
      </w:r>
      <w:proofErr w:type="gramStart"/>
      <w:r w:rsidR="00656F97" w:rsidRPr="00656F97">
        <w:rPr>
          <w:rFonts w:ascii="Arial" w:hAnsi="Arial" w:cs="Arial"/>
        </w:rPr>
        <w:t xml:space="preserve">globally </w:t>
      </w:r>
      <w:r w:rsidR="00656F97">
        <w:rPr>
          <w:rFonts w:ascii="Arial" w:hAnsi="Arial" w:cs="Arial"/>
        </w:rPr>
        <w:t>.</w:t>
      </w:r>
      <w:proofErr w:type="gramEnd"/>
      <w:r w:rsidR="00656F97">
        <w:rPr>
          <w:rFonts w:ascii="Arial" w:hAnsi="Arial" w:cs="Arial"/>
        </w:rPr>
        <w:t xml:space="preserve"> </w:t>
      </w:r>
      <w:sdt>
        <w:sdtPr>
          <w:rPr>
            <w:rFonts w:ascii="Arial" w:hAnsi="Arial" w:cs="Arial"/>
          </w:rPr>
          <w:id w:val="-1462189625"/>
          <w:citation/>
        </w:sdtPr>
        <w:sdtEndPr/>
        <w:sdtContent>
          <w:r w:rsidR="00A87441" w:rsidRPr="00A87441">
            <w:rPr>
              <w:rFonts w:ascii="Arial" w:hAnsi="Arial" w:cs="Arial"/>
              <w:noProof/>
            </w:rPr>
            <w:t xml:space="preserve">(Sofronov, 2018). </w:t>
          </w:r>
        </w:sdtContent>
      </w:sdt>
      <w:r w:rsidRPr="00327ECB">
        <w:rPr>
          <w:rFonts w:ascii="Arial" w:hAnsi="Arial" w:cs="Arial"/>
        </w:rPr>
        <w:t>Far beyond the statistics, tourism also serves as a cultural bridge, promoting understanding across borders, preserving natural and cultural heritage</w:t>
      </w:r>
      <w:r w:rsidR="0014330C">
        <w:rPr>
          <w:rFonts w:ascii="Arial" w:hAnsi="Arial" w:cs="Arial"/>
        </w:rPr>
        <w:t xml:space="preserve">, </w:t>
      </w:r>
      <w:r w:rsidR="0014330C" w:rsidRPr="0014330C">
        <w:rPr>
          <w:rFonts w:ascii="Arial" w:hAnsi="Arial" w:cs="Arial"/>
        </w:rPr>
        <w:t>encouraging cultural exchange</w:t>
      </w:r>
      <w:r w:rsidR="0014330C" w:rsidRPr="00327ECB">
        <w:rPr>
          <w:rFonts w:ascii="Arial" w:hAnsi="Arial" w:cs="Arial"/>
        </w:rPr>
        <w:t>, an industry that is constantly innovating, adapting to global trends</w:t>
      </w:r>
      <w:r w:rsidR="0014330C">
        <w:rPr>
          <w:rFonts w:ascii="Arial" w:hAnsi="Arial" w:cs="Arial"/>
        </w:rPr>
        <w:t xml:space="preserve">, </w:t>
      </w:r>
      <w:r w:rsidR="0014330C" w:rsidRPr="0014330C">
        <w:rPr>
          <w:rFonts w:ascii="Arial" w:hAnsi="Arial" w:cs="Arial"/>
        </w:rPr>
        <w:t xml:space="preserve">promoting peace and social cohesion </w:t>
      </w:r>
    </w:p>
    <w:p w14:paraId="719F081D" w14:textId="77777777" w:rsidR="004C6C9C" w:rsidRDefault="004C6C9C" w:rsidP="004C6C9C">
      <w:pPr>
        <w:pStyle w:val="Body"/>
        <w:spacing w:after="0"/>
        <w:rPr>
          <w:rFonts w:ascii="Arial" w:hAnsi="Arial" w:cs="Arial"/>
        </w:rPr>
      </w:pPr>
    </w:p>
    <w:p w14:paraId="7D07435B" w14:textId="77777777" w:rsidR="00327ECB" w:rsidRPr="00AE1EB6" w:rsidRDefault="00327ECB" w:rsidP="004C6C9C">
      <w:pPr>
        <w:pStyle w:val="Body"/>
        <w:spacing w:after="0"/>
        <w:rPr>
          <w:rFonts w:ascii="Arial" w:hAnsi="Arial" w:cs="Arial"/>
        </w:rPr>
      </w:pPr>
      <w:r w:rsidRPr="00327ECB">
        <w:rPr>
          <w:rFonts w:ascii="Arial" w:hAnsi="Arial" w:cs="Arial"/>
        </w:rPr>
        <w:t xml:space="preserve">Nationally, particularly in Indonesia, the significance of tourism is even more pronounced. As an archipelago with abundant natural and cultural wealth, tourism is one of the backbone sectors of the economy. Its contribution to Gross Domestic Product (GDP) continues to increase, followed by a substantial increase in foreign exchange. </w:t>
      </w:r>
      <w:sdt>
        <w:sdtPr>
          <w:rPr>
            <w:rFonts w:ascii="Arial" w:hAnsi="Arial" w:cs="Arial"/>
          </w:rPr>
          <w:id w:val="1218237061"/>
          <w:citation/>
        </w:sdtPr>
        <w:sdtEndPr/>
        <w:sdtContent>
          <w:r w:rsidR="00A87441" w:rsidRPr="00A87441">
            <w:rPr>
              <w:rFonts w:ascii="Arial" w:hAnsi="Arial" w:cs="Arial"/>
              <w:noProof/>
            </w:rPr>
            <w:t>(Mun'im, 2022</w:t>
          </w:r>
        </w:sdtContent>
      </w:sdt>
      <w:r w:rsidR="0061580D" w:rsidRPr="0061580D">
        <w:rPr>
          <w:rFonts w:ascii="Arial" w:hAnsi="Arial" w:cs="Arial"/>
        </w:rPr>
        <w:t xml:space="preserve">During the period 2016-2019, the tourism sector in Indonesia contributed around 4.6% to 4.9% of the national economy, as measured by </w:t>
      </w:r>
      <w:r w:rsidR="0061580D">
        <w:rPr>
          <w:rFonts w:ascii="Arial" w:hAnsi="Arial" w:cs="Arial"/>
        </w:rPr>
        <w:t xml:space="preserve">direct tourism </w:t>
      </w:r>
      <w:r w:rsidR="0061580D" w:rsidRPr="0061580D">
        <w:rPr>
          <w:rFonts w:ascii="Arial" w:hAnsi="Arial" w:cs="Arial"/>
        </w:rPr>
        <w:t xml:space="preserve">gross domestic product </w:t>
      </w:r>
      <w:r w:rsidR="0061580D">
        <w:rPr>
          <w:rFonts w:ascii="Arial" w:hAnsi="Arial" w:cs="Arial"/>
        </w:rPr>
        <w:t>(TDGDP</w:t>
      </w:r>
      <w:proofErr w:type="gramStart"/>
      <w:r w:rsidR="0061580D">
        <w:rPr>
          <w:rFonts w:ascii="Arial" w:hAnsi="Arial" w:cs="Arial"/>
        </w:rPr>
        <w:t>) )</w:t>
      </w:r>
      <w:proofErr w:type="gramEnd"/>
      <w:r w:rsidR="0061580D">
        <w:rPr>
          <w:rFonts w:ascii="Arial" w:hAnsi="Arial" w:cs="Arial"/>
        </w:rPr>
        <w:t xml:space="preserve">. </w:t>
      </w:r>
      <w:r w:rsidRPr="00327ECB">
        <w:rPr>
          <w:rFonts w:ascii="Arial" w:hAnsi="Arial" w:cs="Arial"/>
        </w:rPr>
        <w:t xml:space="preserve">Tourism also plays an important role in economic equality, empowering local communities in tourist destinations, and opening business opportunities for Micro, Small and Medium Enterprises (MSMEs). </w:t>
      </w:r>
      <w:sdt>
        <w:sdtPr>
          <w:rPr>
            <w:rFonts w:ascii="Arial" w:hAnsi="Arial" w:cs="Arial"/>
          </w:rPr>
          <w:id w:val="-563107213"/>
          <w:citation/>
        </w:sdtPr>
        <w:sdtEndPr/>
        <w:sdtContent>
          <w:r w:rsidR="00A87441" w:rsidRPr="00A87441">
            <w:rPr>
              <w:rFonts w:ascii="Arial" w:hAnsi="Arial" w:cs="Arial"/>
              <w:noProof/>
            </w:rPr>
            <w:t xml:space="preserve">(Ratnaningtyas, Aditya, &amp; Sakti, 2025); </w:t>
          </w:r>
        </w:sdtContent>
      </w:sdt>
      <w:sdt>
        <w:sdtPr>
          <w:rPr>
            <w:rFonts w:ascii="Arial" w:hAnsi="Arial" w:cs="Arial"/>
          </w:rPr>
          <w:id w:val="1559900802"/>
          <w:citation/>
        </w:sdtPr>
        <w:sdtEndPr/>
        <w:sdtContent>
          <w:r w:rsidR="00A87441" w:rsidRPr="00A87441">
            <w:rPr>
              <w:rFonts w:ascii="Arial" w:hAnsi="Arial" w:cs="Arial"/>
              <w:noProof/>
            </w:rPr>
            <w:t xml:space="preserve">(Kurniadjaya, Cantona, Wijaya, Chandra, Setiawan, &amp; Anggawijaya, 2024). </w:t>
          </w:r>
        </w:sdtContent>
      </w:sdt>
      <w:r w:rsidR="0061580D" w:rsidRPr="0061580D">
        <w:rPr>
          <w:rFonts w:ascii="Arial" w:hAnsi="Arial" w:cs="Arial"/>
        </w:rPr>
        <w:t xml:space="preserve">In tourist </w:t>
      </w:r>
      <w:r w:rsidR="00AE1EB6">
        <w:rPr>
          <w:rFonts w:ascii="Arial" w:hAnsi="Arial" w:cs="Arial"/>
        </w:rPr>
        <w:t>areas</w:t>
      </w:r>
      <w:r w:rsidR="0061580D" w:rsidRPr="0061580D">
        <w:rPr>
          <w:rFonts w:ascii="Arial" w:hAnsi="Arial" w:cs="Arial"/>
        </w:rPr>
        <w:t xml:space="preserve">, MSMEs boost the local economy by offering products such as souvenirs, traditional food, and handicrafts, which enhance the tourist experience and promote local culture </w:t>
      </w:r>
      <w:r w:rsidRPr="00327ECB">
        <w:rPr>
          <w:rFonts w:ascii="Arial" w:hAnsi="Arial" w:cs="Arial"/>
        </w:rPr>
        <w:t>The Indonesian government has consistently made tourism a development priority, seeing it as a catalyst for inclusive and sustainable economic growth</w:t>
      </w:r>
      <w:r w:rsidR="0061580D">
        <w:rPr>
          <w:rFonts w:ascii="Arial" w:hAnsi="Arial" w:cs="Arial"/>
        </w:rPr>
        <w:t xml:space="preserve">. </w:t>
      </w:r>
    </w:p>
    <w:p w14:paraId="1AAFFFF5" w14:textId="77777777" w:rsidR="00B86C0A" w:rsidRDefault="00B86C0A" w:rsidP="00327ECB">
      <w:pPr>
        <w:pStyle w:val="Body"/>
        <w:spacing w:after="0"/>
        <w:rPr>
          <w:rFonts w:ascii="Arial" w:hAnsi="Arial" w:cs="Arial"/>
        </w:rPr>
      </w:pPr>
    </w:p>
    <w:p w14:paraId="6CFB2441" w14:textId="77777777" w:rsidR="00327ECB" w:rsidRPr="00327ECB" w:rsidRDefault="00327ECB" w:rsidP="00327ECB">
      <w:pPr>
        <w:pStyle w:val="Body"/>
        <w:spacing w:after="0"/>
        <w:rPr>
          <w:rFonts w:ascii="Arial" w:hAnsi="Arial" w:cs="Arial"/>
        </w:rPr>
      </w:pPr>
      <w:r w:rsidRPr="00327ECB">
        <w:rPr>
          <w:rFonts w:ascii="Arial" w:hAnsi="Arial" w:cs="Arial"/>
        </w:rPr>
        <w:t xml:space="preserve">Within the vast tourism ecosystem, the </w:t>
      </w:r>
      <w:r w:rsidRPr="00AE1EB6">
        <w:rPr>
          <w:rFonts w:ascii="Arial" w:hAnsi="Arial" w:cs="Arial"/>
          <w:bCs/>
        </w:rPr>
        <w:t>tour &amp; travel services sector plays a crucial role</w:t>
      </w:r>
      <w:r w:rsidRPr="00AE1EB6">
        <w:rPr>
          <w:rFonts w:ascii="Arial" w:hAnsi="Arial" w:cs="Arial"/>
        </w:rPr>
        <w:t xml:space="preserve">. </w:t>
      </w:r>
      <w:r w:rsidRPr="00327ECB">
        <w:rPr>
          <w:rFonts w:ascii="Arial" w:hAnsi="Arial" w:cs="Arial"/>
        </w:rPr>
        <w:t xml:space="preserve">It is the main </w:t>
      </w:r>
      <w:r w:rsidRPr="00AE1EB6">
        <w:rPr>
          <w:rFonts w:ascii="Arial" w:hAnsi="Arial" w:cs="Arial"/>
        </w:rPr>
        <w:t xml:space="preserve">bridge </w:t>
      </w:r>
      <w:r w:rsidRPr="00327ECB">
        <w:rPr>
          <w:rFonts w:ascii="Arial" w:hAnsi="Arial" w:cs="Arial"/>
        </w:rPr>
        <w:t xml:space="preserve">that connects travelers to destinations and experiences. From planning trips, booking accommodation and transportation, to providing tour guides and curated holiday packages, tour &amp; travel agencies simplify the complexities of travel, making it more accessible </w:t>
      </w:r>
      <w:r w:rsidR="00AE1EB6">
        <w:rPr>
          <w:rFonts w:ascii="Arial" w:hAnsi="Arial" w:cs="Arial"/>
        </w:rPr>
        <w:t xml:space="preserve">and enjoyable for consumers, </w:t>
      </w:r>
      <w:r w:rsidR="00AE1EB6" w:rsidRPr="00AE1EB6">
        <w:rPr>
          <w:rFonts w:ascii="Arial" w:hAnsi="Arial" w:cs="Arial"/>
        </w:rPr>
        <w:t xml:space="preserve">increasing customer satisfaction and loyalty. </w:t>
      </w:r>
      <w:sdt>
        <w:sdtPr>
          <w:rPr>
            <w:rFonts w:ascii="Arial" w:hAnsi="Arial" w:cs="Arial"/>
          </w:rPr>
          <w:id w:val="-963492124"/>
          <w:citation/>
        </w:sdtPr>
        <w:sdtEndPr/>
        <w:sdtContent>
          <w:r w:rsidR="00A87441" w:rsidRPr="00A87441">
            <w:rPr>
              <w:rFonts w:ascii="Arial" w:hAnsi="Arial" w:cs="Arial"/>
              <w:noProof/>
            </w:rPr>
            <w:t>(Agoes &amp; Firdaus, 2024)</w:t>
          </w:r>
        </w:sdtContent>
      </w:sdt>
      <w:r w:rsidR="00AE1EB6" w:rsidRPr="00AE1EB6">
        <w:rPr>
          <w:rFonts w:ascii="Arial" w:hAnsi="Arial" w:cs="Arial"/>
        </w:rPr>
        <w:t xml:space="preserve">These personalized services are highly valued by travelers who prefer human interaction and professional guidance in their travel </w:t>
      </w:r>
      <w:proofErr w:type="gramStart"/>
      <w:r w:rsidR="00AE1EB6" w:rsidRPr="00AE1EB6">
        <w:rPr>
          <w:rFonts w:ascii="Arial" w:hAnsi="Arial" w:cs="Arial"/>
        </w:rPr>
        <w:t xml:space="preserve">planning </w:t>
      </w:r>
      <w:r w:rsidR="00AE1EB6">
        <w:rPr>
          <w:rFonts w:ascii="Arial" w:hAnsi="Arial" w:cs="Arial"/>
        </w:rPr>
        <w:t>.</w:t>
      </w:r>
      <w:proofErr w:type="gramEnd"/>
      <w:r w:rsidR="00AE1EB6">
        <w:rPr>
          <w:rFonts w:ascii="Arial" w:hAnsi="Arial" w:cs="Arial"/>
        </w:rPr>
        <w:t xml:space="preserve"> </w:t>
      </w:r>
      <w:r w:rsidRPr="00327ECB">
        <w:rPr>
          <w:rFonts w:ascii="Arial" w:hAnsi="Arial" w:cs="Arial"/>
        </w:rPr>
        <w:t>Without the active role of this sector, many destinations and travel experiences may go untouched by tourists, especially for those who seek convenience and efficiency in planning a vacation. Their expertise in packaging travel products, negotiating with service providers, and deep understanding of market preferences are essential to driving the tourism industry</w:t>
      </w:r>
      <w:r w:rsidR="00A5668A">
        <w:rPr>
          <w:rFonts w:ascii="Arial" w:hAnsi="Arial" w:cs="Arial"/>
        </w:rPr>
        <w:t xml:space="preserve">. </w:t>
      </w:r>
    </w:p>
    <w:p w14:paraId="79AAD20A" w14:textId="77777777" w:rsidR="00A5668A" w:rsidRDefault="00A5668A" w:rsidP="00327ECB">
      <w:pPr>
        <w:pStyle w:val="Body"/>
        <w:spacing w:after="0"/>
        <w:rPr>
          <w:rFonts w:ascii="Arial" w:hAnsi="Arial" w:cs="Arial"/>
        </w:rPr>
      </w:pPr>
    </w:p>
    <w:p w14:paraId="2948B05C" w14:textId="77777777" w:rsidR="00327ECB" w:rsidRPr="00327ECB" w:rsidRDefault="00327ECB" w:rsidP="00327ECB">
      <w:pPr>
        <w:pStyle w:val="Body"/>
        <w:spacing w:after="0"/>
        <w:rPr>
          <w:rFonts w:ascii="Arial" w:hAnsi="Arial" w:cs="Arial"/>
        </w:rPr>
      </w:pPr>
      <w:r w:rsidRPr="00A5668A">
        <w:rPr>
          <w:rFonts w:ascii="Arial" w:hAnsi="Arial" w:cs="Arial"/>
        </w:rPr>
        <w:t>Today</w:t>
      </w:r>
      <w:r w:rsidRPr="00327ECB">
        <w:rPr>
          <w:rFonts w:ascii="Arial" w:hAnsi="Arial" w:cs="Arial"/>
        </w:rPr>
        <w:t xml:space="preserve">'s tour &amp; travel market </w:t>
      </w:r>
      <w:r w:rsidRPr="00A5668A">
        <w:rPr>
          <w:rFonts w:ascii="Arial" w:hAnsi="Arial" w:cs="Arial"/>
        </w:rPr>
        <w:t xml:space="preserve">is characterized by </w:t>
      </w:r>
      <w:r w:rsidRPr="00A5668A">
        <w:rPr>
          <w:rFonts w:ascii="Arial" w:hAnsi="Arial" w:cs="Arial"/>
          <w:bCs/>
        </w:rPr>
        <w:t>intense competition and soaring consumer expectations</w:t>
      </w:r>
      <w:r w:rsidRPr="00327ECB">
        <w:rPr>
          <w:rFonts w:ascii="Arial" w:hAnsi="Arial" w:cs="Arial"/>
        </w:rPr>
        <w:t xml:space="preserve">. The digital age has reshaped the industry landscape, with the emergence of online booking platforms, travel aggregators and new business models that offer consumers greater flexibility and choice. Today's consumers are not only looking for the best price, but also a personalized experience, fast response, transparent information and security assurance. </w:t>
      </w:r>
      <w:sdt>
        <w:sdtPr>
          <w:rPr>
            <w:rFonts w:ascii="Arial" w:hAnsi="Arial" w:cs="Arial"/>
          </w:rPr>
          <w:id w:val="-1311942190"/>
          <w:citation/>
        </w:sdtPr>
        <w:sdtEndPr/>
        <w:sdtContent>
          <w:r w:rsidR="00A87441" w:rsidRPr="00A87441">
            <w:rPr>
              <w:rFonts w:ascii="Arial" w:hAnsi="Arial" w:cs="Arial"/>
              <w:noProof/>
            </w:rPr>
            <w:t xml:space="preserve">(Setiawan, 2024). </w:t>
          </w:r>
        </w:sdtContent>
      </w:sdt>
      <w:r w:rsidR="00A5668A">
        <w:rPr>
          <w:rFonts w:ascii="Arial" w:hAnsi="Arial" w:cs="Arial"/>
        </w:rPr>
        <w:t xml:space="preserve">These transformative </w:t>
      </w:r>
      <w:r w:rsidR="00A5668A" w:rsidRPr="00A5668A">
        <w:rPr>
          <w:rFonts w:ascii="Arial" w:hAnsi="Arial" w:cs="Arial"/>
        </w:rPr>
        <w:t xml:space="preserve">elements enable tourism, especially village tourism, to thrive, interact with tourists more personally, operate more efficiently, and achieve sustainability </w:t>
      </w:r>
      <w:r w:rsidRPr="00327ECB">
        <w:rPr>
          <w:rFonts w:ascii="Arial" w:hAnsi="Arial" w:cs="Arial"/>
        </w:rPr>
        <w:t xml:space="preserve">They are increasingly savvy, connected, and do not hesitate to switch to other providers if their expectations are not met. This competitive pressure forces every tour &amp; travel service provider, including </w:t>
      </w:r>
      <w:proofErr w:type="spellStart"/>
      <w:r w:rsidRPr="00327ECB">
        <w:rPr>
          <w:rFonts w:ascii="Arial" w:hAnsi="Arial" w:cs="Arial"/>
        </w:rPr>
        <w:t>Siaga</w:t>
      </w:r>
      <w:proofErr w:type="spellEnd"/>
      <w:r w:rsidRPr="00327ECB">
        <w:rPr>
          <w:rFonts w:ascii="Arial" w:hAnsi="Arial" w:cs="Arial"/>
        </w:rPr>
        <w:t xml:space="preserve"> Tour, to continuously innovate, improve service quality, and build strong differentiation in order to remain relevant and competitive in this dynamic market. </w:t>
      </w:r>
    </w:p>
    <w:p w14:paraId="64A29475" w14:textId="77777777" w:rsidR="0059538E" w:rsidRDefault="0059538E" w:rsidP="00327ECB">
      <w:pPr>
        <w:pStyle w:val="Body"/>
        <w:spacing w:after="0"/>
        <w:rPr>
          <w:rFonts w:ascii="Arial" w:hAnsi="Arial" w:cs="Arial"/>
        </w:rPr>
      </w:pPr>
    </w:p>
    <w:p w14:paraId="4C2640F1" w14:textId="77777777" w:rsidR="005D267E" w:rsidRDefault="00327ECB" w:rsidP="00DE564B">
      <w:pPr>
        <w:pStyle w:val="Body"/>
        <w:spacing w:after="0"/>
        <w:rPr>
          <w:rFonts w:ascii="Arial" w:hAnsi="Arial" w:cs="Arial"/>
        </w:rPr>
      </w:pPr>
      <w:r w:rsidRPr="00327ECB">
        <w:rPr>
          <w:rFonts w:ascii="Arial" w:hAnsi="Arial" w:cs="Arial"/>
        </w:rPr>
        <w:t xml:space="preserve">In </w:t>
      </w:r>
      <w:r w:rsidRPr="0059538E">
        <w:rPr>
          <w:rFonts w:ascii="Arial" w:hAnsi="Arial" w:cs="Arial"/>
        </w:rPr>
        <w:t xml:space="preserve">this </w:t>
      </w:r>
      <w:r w:rsidRPr="00327ECB">
        <w:rPr>
          <w:rFonts w:ascii="Arial" w:hAnsi="Arial" w:cs="Arial"/>
        </w:rPr>
        <w:t xml:space="preserve">highly </w:t>
      </w:r>
      <w:r w:rsidRPr="0059538E">
        <w:rPr>
          <w:rFonts w:ascii="Arial" w:hAnsi="Arial" w:cs="Arial"/>
        </w:rPr>
        <w:t xml:space="preserve">competitive </w:t>
      </w:r>
      <w:r w:rsidRPr="00327ECB">
        <w:rPr>
          <w:rFonts w:ascii="Arial" w:hAnsi="Arial" w:cs="Arial"/>
        </w:rPr>
        <w:t>market condition</w:t>
      </w:r>
      <w:r w:rsidRPr="0059538E">
        <w:rPr>
          <w:rFonts w:ascii="Arial" w:hAnsi="Arial" w:cs="Arial"/>
        </w:rPr>
        <w:t xml:space="preserve">, </w:t>
      </w:r>
      <w:r w:rsidRPr="0059538E">
        <w:rPr>
          <w:rFonts w:ascii="Arial" w:hAnsi="Arial" w:cs="Arial"/>
          <w:bCs/>
        </w:rPr>
        <w:t>customer satisfaction has become the main key to business success and sustainability</w:t>
      </w:r>
      <w:r w:rsidRPr="0059538E">
        <w:rPr>
          <w:rFonts w:ascii="Arial" w:hAnsi="Arial" w:cs="Arial"/>
        </w:rPr>
        <w:t xml:space="preserve">. </w:t>
      </w:r>
      <w:r w:rsidR="005D267E" w:rsidRPr="005D267E">
        <w:rPr>
          <w:rFonts w:ascii="Arial" w:hAnsi="Arial" w:cs="Arial"/>
        </w:rPr>
        <w:t xml:space="preserve">Customer satisfaction is the overall feeling of satisfaction experienced by a client when interacting with a </w:t>
      </w:r>
      <w:r w:rsidR="005D267E">
        <w:rPr>
          <w:rFonts w:ascii="Arial" w:hAnsi="Arial" w:cs="Arial"/>
        </w:rPr>
        <w:t xml:space="preserve">company's </w:t>
      </w:r>
      <w:r w:rsidR="005D267E" w:rsidRPr="005D267E">
        <w:rPr>
          <w:rFonts w:ascii="Arial" w:hAnsi="Arial" w:cs="Arial"/>
        </w:rPr>
        <w:t xml:space="preserve">products or </w:t>
      </w:r>
      <w:r w:rsidR="005D267E">
        <w:rPr>
          <w:rFonts w:ascii="Arial" w:hAnsi="Arial" w:cs="Arial"/>
        </w:rPr>
        <w:t xml:space="preserve">services. </w:t>
      </w:r>
      <w:sdt>
        <w:sdtPr>
          <w:rPr>
            <w:rFonts w:ascii="Arial" w:hAnsi="Arial" w:cs="Arial"/>
          </w:rPr>
          <w:id w:val="236524618"/>
          <w:citation/>
        </w:sdtPr>
        <w:sdtEndPr/>
        <w:sdtContent>
          <w:r w:rsidR="00A87441" w:rsidRPr="00A87441">
            <w:rPr>
              <w:rFonts w:ascii="Arial" w:hAnsi="Arial" w:cs="Arial"/>
              <w:noProof/>
            </w:rPr>
            <w:t>(Salleh, Yunus, Ghani, Bahry, &amp; Ali, 2024)</w:t>
          </w:r>
        </w:sdtContent>
      </w:sdt>
      <w:r w:rsidR="005D267E" w:rsidRPr="005D267E">
        <w:rPr>
          <w:rFonts w:ascii="Arial" w:hAnsi="Arial" w:cs="Arial"/>
        </w:rPr>
        <w:t xml:space="preserve">It measures how well the service meets or exceeds customer </w:t>
      </w:r>
      <w:proofErr w:type="gramStart"/>
      <w:r w:rsidR="005D267E" w:rsidRPr="005D267E">
        <w:rPr>
          <w:rFonts w:ascii="Arial" w:hAnsi="Arial" w:cs="Arial"/>
        </w:rPr>
        <w:t xml:space="preserve">expectations </w:t>
      </w:r>
      <w:r w:rsidR="005D267E">
        <w:rPr>
          <w:rFonts w:ascii="Arial" w:hAnsi="Arial" w:cs="Arial"/>
        </w:rPr>
        <w:t>.</w:t>
      </w:r>
      <w:proofErr w:type="gramEnd"/>
      <w:r w:rsidR="005D267E">
        <w:rPr>
          <w:rFonts w:ascii="Arial" w:hAnsi="Arial" w:cs="Arial"/>
        </w:rPr>
        <w:t xml:space="preserve"> </w:t>
      </w:r>
      <w:r w:rsidRPr="0059538E">
        <w:rPr>
          <w:rFonts w:ascii="Arial" w:hAnsi="Arial" w:cs="Arial"/>
        </w:rPr>
        <w:t>More than just a transaction, a satisfying customer experience will shape loyalty</w:t>
      </w:r>
      <w:r w:rsidRPr="00327ECB">
        <w:rPr>
          <w:rFonts w:ascii="Arial" w:hAnsi="Arial" w:cs="Arial"/>
        </w:rPr>
        <w:t xml:space="preserve">, encourage positive </w:t>
      </w:r>
      <w:r w:rsidRPr="0059538E">
        <w:rPr>
          <w:rFonts w:ascii="Arial" w:hAnsi="Arial" w:cs="Arial"/>
          <w:i/>
        </w:rPr>
        <w:t>word-of-mouth</w:t>
      </w:r>
      <w:r w:rsidRPr="00327ECB">
        <w:rPr>
          <w:rFonts w:ascii="Arial" w:hAnsi="Arial" w:cs="Arial"/>
        </w:rPr>
        <w:t xml:space="preserve">, and trigger repeat purchases. Satisfied customers tend to become brand advocates, sharing their positive </w:t>
      </w:r>
      <w:r w:rsidRPr="00327ECB">
        <w:rPr>
          <w:rFonts w:ascii="Arial" w:hAnsi="Arial" w:cs="Arial"/>
        </w:rPr>
        <w:lastRenderedPageBreak/>
        <w:t xml:space="preserve">experiences with others, which in turn can attract new customers without huge marketing costs. </w:t>
      </w:r>
      <w:sdt>
        <w:sdtPr>
          <w:rPr>
            <w:rFonts w:ascii="Arial" w:hAnsi="Arial" w:cs="Arial"/>
          </w:rPr>
          <w:id w:val="1065913443"/>
          <w:citation/>
        </w:sdtPr>
        <w:sdtEndPr/>
        <w:sdtContent>
          <w:r w:rsidR="00A87441" w:rsidRPr="00A87441">
            <w:rPr>
              <w:rFonts w:ascii="Arial" w:hAnsi="Arial" w:cs="Arial"/>
              <w:noProof/>
            </w:rPr>
            <w:t>(Kusumaningrum, Wachyuni, Ritasari, &amp; Kusumaningsih, 2019)</w:t>
          </w:r>
        </w:sdtContent>
      </w:sdt>
      <w:r w:rsidRPr="00327ECB">
        <w:rPr>
          <w:rFonts w:ascii="Arial" w:hAnsi="Arial" w:cs="Arial"/>
        </w:rPr>
        <w:t xml:space="preserve">Conversely, customer dissatisfaction can spread quickly in the social media era, damaging reputation and resulting in significant business losses. </w:t>
      </w:r>
      <w:r w:rsidR="0059538E" w:rsidRPr="0059538E">
        <w:rPr>
          <w:rFonts w:ascii="Arial" w:hAnsi="Arial" w:cs="Arial"/>
        </w:rPr>
        <w:t xml:space="preserve">Customer satisfaction is a reflection of a company's total performance in meeting the requirements of its customers, and is a strategic foundation that supports growth, profitability, loyalty, and a positive reputation amid market </w:t>
      </w:r>
      <w:proofErr w:type="gramStart"/>
      <w:r w:rsidR="0059538E" w:rsidRPr="0059538E">
        <w:rPr>
          <w:rFonts w:ascii="Arial" w:hAnsi="Arial" w:cs="Arial"/>
        </w:rPr>
        <w:t>competition .</w:t>
      </w:r>
      <w:proofErr w:type="gramEnd"/>
      <w:r w:rsidR="0059538E" w:rsidRPr="0059538E">
        <w:rPr>
          <w:rFonts w:ascii="Arial" w:hAnsi="Arial" w:cs="Arial"/>
        </w:rPr>
        <w:t xml:space="preserve"> </w:t>
      </w:r>
    </w:p>
    <w:p w14:paraId="729641BA" w14:textId="77777777" w:rsidR="005D267E" w:rsidRDefault="005D267E" w:rsidP="00DE564B">
      <w:pPr>
        <w:pStyle w:val="Body"/>
        <w:spacing w:after="0"/>
        <w:rPr>
          <w:rFonts w:ascii="Arial" w:hAnsi="Arial" w:cs="Arial"/>
        </w:rPr>
      </w:pPr>
    </w:p>
    <w:p w14:paraId="09647728" w14:textId="77777777" w:rsidR="00DE564B" w:rsidRPr="00173612" w:rsidRDefault="005D267E" w:rsidP="005E053D">
      <w:pPr>
        <w:pStyle w:val="Body"/>
        <w:spacing w:after="0"/>
        <w:rPr>
          <w:rFonts w:ascii="Arial" w:hAnsi="Arial" w:cs="Arial"/>
        </w:rPr>
      </w:pPr>
      <w:r w:rsidRPr="005D267E">
        <w:rPr>
          <w:rFonts w:ascii="Arial" w:hAnsi="Arial" w:cs="Arial"/>
        </w:rPr>
        <w:t xml:space="preserve">Customer satisfaction is an important aspect of </w:t>
      </w:r>
      <w:r>
        <w:rPr>
          <w:rFonts w:ascii="Arial" w:hAnsi="Arial" w:cs="Arial"/>
        </w:rPr>
        <w:t>service</w:t>
      </w:r>
      <w:r w:rsidRPr="005D267E">
        <w:rPr>
          <w:rFonts w:ascii="Arial" w:hAnsi="Arial" w:cs="Arial"/>
        </w:rPr>
        <w:t xml:space="preserve"> quality </w:t>
      </w:r>
      <w:r>
        <w:rPr>
          <w:rFonts w:ascii="Arial" w:hAnsi="Arial" w:cs="Arial"/>
        </w:rPr>
        <w:t>in every company</w:t>
      </w:r>
      <w:r w:rsidRPr="005D267E">
        <w:rPr>
          <w:rFonts w:ascii="Arial" w:hAnsi="Arial" w:cs="Arial"/>
        </w:rPr>
        <w:t xml:space="preserve">. This is because customer satisfaction is a good assessment of many service attributes. To measure the dimensions of service quality, SERVQUAL is an instrument proposed by Parasuraman </w:t>
      </w:r>
      <w:r>
        <w:rPr>
          <w:rFonts w:ascii="Arial" w:hAnsi="Arial" w:cs="Arial"/>
        </w:rPr>
        <w:t>(2005)</w:t>
      </w:r>
      <w:r w:rsidRPr="005D267E">
        <w:rPr>
          <w:rFonts w:ascii="Arial" w:hAnsi="Arial" w:cs="Arial"/>
        </w:rPr>
        <w:t xml:space="preserve">. SERVQUAL can show how far the difference is between reality and customer expectations of the services received from the company, namely by comparing customer perceptions of services with the services that customers actually receive. </w:t>
      </w:r>
      <w:sdt>
        <w:sdtPr>
          <w:rPr>
            <w:rFonts w:ascii="Arial" w:hAnsi="Arial" w:cs="Arial"/>
          </w:rPr>
          <w:id w:val="2063672241"/>
          <w:citation/>
        </w:sdtPr>
        <w:sdtEndPr/>
        <w:sdtContent>
          <w:r w:rsidR="00A87441" w:rsidRPr="00A87441">
            <w:rPr>
              <w:rFonts w:ascii="Arial" w:hAnsi="Arial" w:cs="Arial"/>
              <w:noProof/>
            </w:rPr>
            <w:t>(Marpaung &amp; Kusumah, 2022)</w:t>
          </w:r>
        </w:sdtContent>
      </w:sdt>
      <w:r w:rsidRPr="005D267E">
        <w:rPr>
          <w:rFonts w:ascii="Arial" w:hAnsi="Arial" w:cs="Arial"/>
        </w:rPr>
        <w:t xml:space="preserve">SERVQUAL </w:t>
      </w:r>
      <w:r>
        <w:rPr>
          <w:rFonts w:ascii="Arial" w:hAnsi="Arial" w:cs="Arial"/>
        </w:rPr>
        <w:t xml:space="preserve">has five dimensions, namely Tangibles, Reliability, </w:t>
      </w:r>
      <w:r w:rsidRPr="005D267E">
        <w:rPr>
          <w:rFonts w:ascii="Arial" w:hAnsi="Arial" w:cs="Arial"/>
        </w:rPr>
        <w:t>Responsiveness</w:t>
      </w:r>
      <w:r>
        <w:rPr>
          <w:rFonts w:ascii="Arial" w:hAnsi="Arial" w:cs="Arial"/>
        </w:rPr>
        <w:t xml:space="preserve">, </w:t>
      </w:r>
      <w:r w:rsidRPr="005D267E">
        <w:rPr>
          <w:rFonts w:ascii="Arial" w:hAnsi="Arial" w:cs="Arial"/>
        </w:rPr>
        <w:t>Assurance</w:t>
      </w:r>
      <w:r>
        <w:rPr>
          <w:rFonts w:ascii="Arial" w:hAnsi="Arial" w:cs="Arial"/>
        </w:rPr>
        <w:t xml:space="preserve">, and </w:t>
      </w:r>
      <w:proofErr w:type="gramStart"/>
      <w:r>
        <w:rPr>
          <w:rFonts w:ascii="Arial" w:hAnsi="Arial" w:cs="Arial"/>
        </w:rPr>
        <w:t>Empathy .</w:t>
      </w:r>
      <w:proofErr w:type="gramEnd"/>
      <w:r>
        <w:rPr>
          <w:rFonts w:ascii="Arial" w:hAnsi="Arial" w:cs="Arial"/>
        </w:rPr>
        <w:t xml:space="preserve"> </w:t>
      </w:r>
      <w:r w:rsidR="005E053D" w:rsidRPr="005E053D">
        <w:rPr>
          <w:rFonts w:ascii="Arial" w:hAnsi="Arial" w:cs="Arial"/>
        </w:rPr>
        <w:t>This perception data, compared to the level of importance, will be processed systematically to produce a Customer Satisfaction Index (CSI) value, which provides a quantitative description of the overall level of customer satisfaction</w:t>
      </w:r>
      <w:r w:rsidR="005E053D">
        <w:rPr>
          <w:rFonts w:ascii="Arial" w:hAnsi="Arial" w:cs="Arial"/>
        </w:rPr>
        <w:t xml:space="preserve">. </w:t>
      </w:r>
      <w:sdt>
        <w:sdtPr>
          <w:rPr>
            <w:rFonts w:ascii="Arial" w:hAnsi="Arial" w:cs="Arial"/>
          </w:rPr>
          <w:id w:val="-1863812873"/>
          <w:citation/>
        </w:sdtPr>
        <w:sdtEndPr/>
        <w:sdtContent>
          <w:r w:rsidR="00A87441" w:rsidRPr="00A87441">
            <w:rPr>
              <w:rFonts w:ascii="Arial" w:hAnsi="Arial" w:cs="Arial"/>
              <w:noProof/>
            </w:rPr>
            <w:t>(Damanik, Belferik, Chandra, Rosyadi, &amp; Asegaff, 2024)</w:t>
          </w:r>
        </w:sdtContent>
      </w:sdt>
      <w:r w:rsidR="005E053D">
        <w:rPr>
          <w:rFonts w:ascii="Arial" w:hAnsi="Arial" w:cs="Arial"/>
        </w:rPr>
        <w:t xml:space="preserve">. </w:t>
      </w:r>
      <w:r w:rsidR="00327ECB" w:rsidRPr="00327ECB">
        <w:rPr>
          <w:rFonts w:ascii="Arial" w:hAnsi="Arial" w:cs="Arial"/>
        </w:rPr>
        <w:t xml:space="preserve">Therefore, understanding, measuring, and consistently </w:t>
      </w:r>
      <w:r w:rsidR="00327ECB" w:rsidRPr="0059538E">
        <w:rPr>
          <w:rFonts w:ascii="Arial" w:hAnsi="Arial" w:cs="Arial"/>
        </w:rPr>
        <w:t xml:space="preserve">improving customer satisfaction is not just an option, but a </w:t>
      </w:r>
      <w:r w:rsidR="00327ECB" w:rsidRPr="0059538E">
        <w:rPr>
          <w:rFonts w:ascii="Arial" w:hAnsi="Arial" w:cs="Arial"/>
          <w:bCs/>
        </w:rPr>
        <w:t xml:space="preserve">strategic imperative </w:t>
      </w:r>
      <w:r w:rsidR="00327ECB" w:rsidRPr="00327ECB">
        <w:rPr>
          <w:rFonts w:ascii="Arial" w:hAnsi="Arial" w:cs="Arial"/>
        </w:rPr>
        <w:t xml:space="preserve">for any tour &amp; travel service provider that wants to grow and survive </w:t>
      </w:r>
      <w:r w:rsidR="00327ECB" w:rsidRPr="00173612">
        <w:rPr>
          <w:rFonts w:ascii="Arial" w:hAnsi="Arial" w:cs="Arial"/>
        </w:rPr>
        <w:t>in the long term</w:t>
      </w:r>
      <w:r w:rsidR="00DE564B" w:rsidRPr="00173612">
        <w:rPr>
          <w:rFonts w:ascii="Arial" w:hAnsi="Arial" w:cs="Arial"/>
        </w:rPr>
        <w:t xml:space="preserve">. </w:t>
      </w:r>
    </w:p>
    <w:p w14:paraId="6E3BF34C" w14:textId="77777777" w:rsidR="005E053D" w:rsidRPr="00173612" w:rsidRDefault="005E053D" w:rsidP="005E053D">
      <w:pPr>
        <w:pStyle w:val="Body"/>
        <w:spacing w:after="0"/>
        <w:rPr>
          <w:rFonts w:ascii="Arial" w:hAnsi="Arial" w:cs="Arial"/>
        </w:rPr>
      </w:pPr>
    </w:p>
    <w:p w14:paraId="0CF1AC8A" w14:textId="77777777" w:rsidR="00173612" w:rsidRDefault="00F27AB1" w:rsidP="00173612">
      <w:pPr>
        <w:pStyle w:val="Body"/>
        <w:rPr>
          <w:rFonts w:ascii="Arial" w:hAnsi="Arial" w:cs="Arial"/>
          <w:bCs/>
        </w:rPr>
      </w:pPr>
      <w:r w:rsidRPr="00173612">
        <w:rPr>
          <w:rFonts w:ascii="Arial" w:hAnsi="Arial" w:cs="Arial"/>
          <w:bCs/>
        </w:rPr>
        <w:t xml:space="preserve">PT SIAGA WISATA JAYA, also known as </w:t>
      </w:r>
      <w:proofErr w:type="spellStart"/>
      <w:r w:rsidRPr="00173612">
        <w:rPr>
          <w:rFonts w:ascii="Arial" w:hAnsi="Arial" w:cs="Arial"/>
          <w:bCs/>
        </w:rPr>
        <w:t>Siaga</w:t>
      </w:r>
      <w:proofErr w:type="spellEnd"/>
      <w:r w:rsidRPr="00173612">
        <w:rPr>
          <w:rFonts w:ascii="Arial" w:hAnsi="Arial" w:cs="Arial"/>
          <w:bCs/>
        </w:rPr>
        <w:t xml:space="preserve"> Tour, is a company engaged in tourism, especially in transportation services and tour packages. The company has been operating since 2010 and offers various types of tourism activities. The services they provide include Study Tour, Study </w:t>
      </w:r>
      <w:proofErr w:type="spellStart"/>
      <w:r w:rsidRPr="00173612">
        <w:rPr>
          <w:rFonts w:ascii="Arial" w:hAnsi="Arial" w:cs="Arial"/>
          <w:bCs/>
        </w:rPr>
        <w:t>Tiru</w:t>
      </w:r>
      <w:proofErr w:type="spellEnd"/>
      <w:r w:rsidRPr="00173612">
        <w:rPr>
          <w:rFonts w:ascii="Arial" w:hAnsi="Arial" w:cs="Arial"/>
          <w:bCs/>
        </w:rPr>
        <w:t xml:space="preserve">, Educational Tourism, Religious Tourism, General Tourism, Outbound, Inbound, Gathering, and MICE. </w:t>
      </w:r>
      <w:proofErr w:type="spellStart"/>
      <w:r w:rsidRPr="00173612">
        <w:rPr>
          <w:rFonts w:ascii="Arial" w:hAnsi="Arial" w:cs="Arial"/>
          <w:bCs/>
        </w:rPr>
        <w:t>Siaga</w:t>
      </w:r>
      <w:proofErr w:type="spellEnd"/>
      <w:r w:rsidRPr="00173612">
        <w:rPr>
          <w:rFonts w:ascii="Arial" w:hAnsi="Arial" w:cs="Arial"/>
          <w:bCs/>
        </w:rPr>
        <w:t xml:space="preserve"> Tour has a vision to be the best travel agent, trustworthy, and prioritize excellent service in Indonesia. Their mission is to introduce various tourist attractions in Indonesia, both to domestic and foreign tourists, by providing diverse service products, such as natural, historical, religious, educational, and adventure tourism. </w:t>
      </w:r>
    </w:p>
    <w:p w14:paraId="2E74DC69" w14:textId="77777777" w:rsidR="00173612" w:rsidRPr="00173612" w:rsidRDefault="00F27AB1" w:rsidP="00173612">
      <w:pPr>
        <w:pStyle w:val="Body"/>
        <w:rPr>
          <w:rFonts w:ascii="Arial" w:hAnsi="Arial" w:cs="Arial"/>
          <w:bCs/>
        </w:rPr>
      </w:pPr>
      <w:r w:rsidRPr="00173612">
        <w:rPr>
          <w:rFonts w:ascii="Arial" w:hAnsi="Arial" w:cs="Arial"/>
          <w:bCs/>
        </w:rPr>
        <w:t xml:space="preserve">Currently, </w:t>
      </w:r>
      <w:proofErr w:type="spellStart"/>
      <w:r w:rsidRPr="00173612">
        <w:rPr>
          <w:rFonts w:ascii="Arial" w:hAnsi="Arial" w:cs="Arial"/>
          <w:bCs/>
        </w:rPr>
        <w:t>Siaga</w:t>
      </w:r>
      <w:proofErr w:type="spellEnd"/>
      <w:r w:rsidRPr="00173612">
        <w:rPr>
          <w:rFonts w:ascii="Arial" w:hAnsi="Arial" w:cs="Arial"/>
          <w:bCs/>
        </w:rPr>
        <w:t xml:space="preserve"> Tour serves the domestic market with a portion of almost 90% of their total customers, while the remaining 10% are foreign nationals who are expatriates working in Indonesia. Their domestic customers are divided into three categories: small customers (such as </w:t>
      </w:r>
      <w:r w:rsidR="00173612">
        <w:rPr>
          <w:rFonts w:ascii="Arial" w:hAnsi="Arial" w:cs="Arial"/>
          <w:bCs/>
        </w:rPr>
        <w:t xml:space="preserve">school children's </w:t>
      </w:r>
      <w:r w:rsidRPr="00173612">
        <w:rPr>
          <w:rFonts w:ascii="Arial" w:hAnsi="Arial" w:cs="Arial"/>
          <w:bCs/>
        </w:rPr>
        <w:t xml:space="preserve">activities), medium customers (including open trips, small-scale office outings, </w:t>
      </w:r>
      <w:proofErr w:type="spellStart"/>
      <w:r w:rsidRPr="00173612">
        <w:rPr>
          <w:rFonts w:ascii="Arial" w:hAnsi="Arial" w:cs="Arial"/>
          <w:bCs/>
        </w:rPr>
        <w:t>arisan</w:t>
      </w:r>
      <w:proofErr w:type="spellEnd"/>
      <w:r w:rsidRPr="00173612">
        <w:rPr>
          <w:rFonts w:ascii="Arial" w:hAnsi="Arial" w:cs="Arial"/>
          <w:bCs/>
        </w:rPr>
        <w:t xml:space="preserve">, </w:t>
      </w:r>
      <w:proofErr w:type="spellStart"/>
      <w:r w:rsidRPr="00173612">
        <w:rPr>
          <w:rFonts w:ascii="Arial" w:hAnsi="Arial" w:cs="Arial"/>
          <w:bCs/>
        </w:rPr>
        <w:t>pengajian</w:t>
      </w:r>
      <w:proofErr w:type="spellEnd"/>
      <w:r w:rsidRPr="00173612">
        <w:rPr>
          <w:rFonts w:ascii="Arial" w:hAnsi="Arial" w:cs="Arial"/>
          <w:bCs/>
        </w:rPr>
        <w:t xml:space="preserve">, and alumni groups), and large customers (consisting of government agencies, private companies, state-owned enterprises, and financial companies). In the period January to July 2025, </w:t>
      </w:r>
      <w:proofErr w:type="spellStart"/>
      <w:r w:rsidRPr="00173612">
        <w:rPr>
          <w:rFonts w:ascii="Arial" w:hAnsi="Arial" w:cs="Arial"/>
          <w:bCs/>
        </w:rPr>
        <w:t>Siaga</w:t>
      </w:r>
      <w:proofErr w:type="spellEnd"/>
      <w:r w:rsidRPr="00173612">
        <w:rPr>
          <w:rFonts w:ascii="Arial" w:hAnsi="Arial" w:cs="Arial"/>
          <w:bCs/>
        </w:rPr>
        <w:t xml:space="preserve"> Tour recorded a total of 1300 customers, with 75% of them being medium customers, 20% small customers, and 5% large customers.</w:t>
      </w:r>
    </w:p>
    <w:p w14:paraId="54387D69" w14:textId="77777777" w:rsidR="00521EEB" w:rsidRDefault="00DE564B" w:rsidP="00173612">
      <w:pPr>
        <w:pStyle w:val="Body"/>
        <w:rPr>
          <w:rFonts w:ascii="Arial" w:hAnsi="Arial" w:cs="Arial"/>
        </w:rPr>
      </w:pPr>
      <w:r w:rsidRPr="00173612">
        <w:rPr>
          <w:rFonts w:ascii="Arial" w:hAnsi="Arial" w:cs="Arial"/>
        </w:rPr>
        <w:t xml:space="preserve">Although the tourism industry continues to grow rapidly in Indonesia, fierce competition in the tour &amp; travel sector requires every </w:t>
      </w:r>
      <w:r w:rsidRPr="00DE564B">
        <w:rPr>
          <w:rFonts w:ascii="Arial" w:hAnsi="Arial" w:cs="Arial"/>
        </w:rPr>
        <w:t xml:space="preserve">service </w:t>
      </w:r>
      <w:r w:rsidRPr="00173612">
        <w:rPr>
          <w:rFonts w:ascii="Arial" w:hAnsi="Arial" w:cs="Arial"/>
        </w:rPr>
        <w:t>provider</w:t>
      </w:r>
      <w:r w:rsidRPr="00DE564B">
        <w:rPr>
          <w:rFonts w:ascii="Arial" w:hAnsi="Arial" w:cs="Arial"/>
        </w:rPr>
        <w:t xml:space="preserve">, including </w:t>
      </w:r>
      <w:proofErr w:type="spellStart"/>
      <w:r w:rsidRPr="00DE564B">
        <w:rPr>
          <w:rFonts w:ascii="Arial" w:hAnsi="Arial" w:cs="Arial"/>
        </w:rPr>
        <w:t>Siaga</w:t>
      </w:r>
      <w:proofErr w:type="spellEnd"/>
      <w:r w:rsidRPr="00DE564B">
        <w:rPr>
          <w:rFonts w:ascii="Arial" w:hAnsi="Arial" w:cs="Arial"/>
        </w:rPr>
        <w:t xml:space="preserve"> Tour, to have a deep understanding of their customers. </w:t>
      </w:r>
      <w:proofErr w:type="spellStart"/>
      <w:r w:rsidRPr="00DE564B">
        <w:rPr>
          <w:rFonts w:ascii="Arial" w:hAnsi="Arial" w:cs="Arial"/>
        </w:rPr>
        <w:t>Siaga</w:t>
      </w:r>
      <w:proofErr w:type="spellEnd"/>
      <w:r w:rsidRPr="00DE564B">
        <w:rPr>
          <w:rFonts w:ascii="Arial" w:hAnsi="Arial" w:cs="Arial"/>
        </w:rPr>
        <w:t xml:space="preserve"> Tour, as one of the travel service providers, faces significant challenges in comprehensively measuring and understanding its customers' satisfaction. Initial observations show that </w:t>
      </w:r>
      <w:proofErr w:type="spellStart"/>
      <w:r w:rsidRPr="00DE564B">
        <w:rPr>
          <w:rFonts w:ascii="Arial" w:hAnsi="Arial" w:cs="Arial"/>
        </w:rPr>
        <w:t>Siaga</w:t>
      </w:r>
      <w:proofErr w:type="spellEnd"/>
      <w:r w:rsidRPr="00DE564B">
        <w:rPr>
          <w:rFonts w:ascii="Arial" w:hAnsi="Arial" w:cs="Arial"/>
        </w:rPr>
        <w:t xml:space="preserve"> Tour still has limitations in structured public feedback, with only one </w:t>
      </w:r>
      <w:r w:rsidR="00B86C0A">
        <w:rPr>
          <w:rFonts w:ascii="Arial" w:hAnsi="Arial" w:cs="Arial"/>
        </w:rPr>
        <w:t xml:space="preserve">review recorded on </w:t>
      </w:r>
      <w:proofErr w:type="spellStart"/>
      <w:r w:rsidR="00B86C0A">
        <w:rPr>
          <w:rFonts w:ascii="Arial" w:hAnsi="Arial" w:cs="Arial"/>
        </w:rPr>
        <w:t>GoogleReviews</w:t>
      </w:r>
      <w:proofErr w:type="spellEnd"/>
      <w:r w:rsidRPr="00DE564B">
        <w:rPr>
          <w:rFonts w:ascii="Arial" w:hAnsi="Arial" w:cs="Arial"/>
        </w:rPr>
        <w:t xml:space="preserve">, and no formal customer satisfaction survey has ever been conducted before. This condition creates a lack of in-depth understanding of how </w:t>
      </w:r>
      <w:proofErr w:type="spellStart"/>
      <w:r w:rsidRPr="00DE564B">
        <w:rPr>
          <w:rFonts w:ascii="Arial" w:hAnsi="Arial" w:cs="Arial"/>
        </w:rPr>
        <w:t>Siaga</w:t>
      </w:r>
      <w:proofErr w:type="spellEnd"/>
      <w:r w:rsidRPr="00DE564B">
        <w:rPr>
          <w:rFonts w:ascii="Arial" w:hAnsi="Arial" w:cs="Arial"/>
        </w:rPr>
        <w:t xml:space="preserve"> Tour customers actually perceive the services provided.  Without systematic data regarding satisfaction levels, service dimensions that are considered important, or which areas need improvement, </w:t>
      </w:r>
      <w:proofErr w:type="spellStart"/>
      <w:r w:rsidRPr="00DE564B">
        <w:rPr>
          <w:rFonts w:ascii="Arial" w:hAnsi="Arial" w:cs="Arial"/>
        </w:rPr>
        <w:t>Siaga</w:t>
      </w:r>
      <w:proofErr w:type="spellEnd"/>
      <w:r w:rsidRPr="00DE564B">
        <w:rPr>
          <w:rFonts w:ascii="Arial" w:hAnsi="Arial" w:cs="Arial"/>
        </w:rPr>
        <w:t xml:space="preserve"> Tour has difficulty in formulating effective service quality improvement strategies, building customer loyalty, and </w:t>
      </w:r>
      <w:r w:rsidRPr="00DE564B">
        <w:rPr>
          <w:rFonts w:ascii="Arial" w:hAnsi="Arial" w:cs="Arial"/>
        </w:rPr>
        <w:lastRenderedPageBreak/>
        <w:t xml:space="preserve">maintaining competitiveness in the market. Therefore, this research is crucial to fill this information gap, providing data-driven insights for </w:t>
      </w:r>
      <w:proofErr w:type="spellStart"/>
      <w:r w:rsidRPr="00DE564B">
        <w:rPr>
          <w:rFonts w:ascii="Arial" w:hAnsi="Arial" w:cs="Arial"/>
        </w:rPr>
        <w:t>Siaga</w:t>
      </w:r>
      <w:proofErr w:type="spellEnd"/>
      <w:r w:rsidRPr="00DE564B">
        <w:rPr>
          <w:rFonts w:ascii="Arial" w:hAnsi="Arial" w:cs="Arial"/>
        </w:rPr>
        <w:t xml:space="preserve"> Tour to identify the strengths and weaknesses of their services, and design strategic steps for satisfaction and business sustainability.</w:t>
      </w:r>
    </w:p>
    <w:p w14:paraId="16301A1C" w14:textId="77777777" w:rsidR="005E053D" w:rsidRPr="00521EEB" w:rsidRDefault="005E053D" w:rsidP="005E053D">
      <w:pPr>
        <w:pStyle w:val="Body"/>
        <w:spacing w:after="0"/>
        <w:rPr>
          <w:rFonts w:ascii="Arial" w:hAnsi="Arial" w:cs="Arial"/>
        </w:rPr>
      </w:pPr>
    </w:p>
    <w:p w14:paraId="4E666C67" w14:textId="77777777" w:rsidR="007F7B32" w:rsidRDefault="00902823" w:rsidP="005E053D">
      <w:pPr>
        <w:pStyle w:val="AbstHead"/>
        <w:spacing w:after="0"/>
        <w:jc w:val="both"/>
        <w:rPr>
          <w:rFonts w:ascii="Arial" w:hAnsi="Arial" w:cs="Arial"/>
        </w:rPr>
      </w:pPr>
      <w:r>
        <w:rPr>
          <w:rFonts w:ascii="Arial" w:hAnsi="Arial" w:cs="Arial"/>
        </w:rPr>
        <w:t xml:space="preserve">2. </w:t>
      </w:r>
      <w:r w:rsidR="006B57D0">
        <w:rPr>
          <w:rFonts w:ascii="Arial" w:hAnsi="Arial" w:cs="Arial"/>
        </w:rPr>
        <w:t xml:space="preserve">methodology </w:t>
      </w:r>
    </w:p>
    <w:p w14:paraId="4A598927" w14:textId="77777777" w:rsidR="00790ADA" w:rsidRPr="00FB3A86" w:rsidRDefault="00790ADA" w:rsidP="00441B6F">
      <w:pPr>
        <w:pStyle w:val="AbstHead"/>
        <w:spacing w:after="0"/>
        <w:jc w:val="both"/>
        <w:rPr>
          <w:rFonts w:ascii="Arial" w:hAnsi="Arial" w:cs="Arial"/>
        </w:rPr>
      </w:pPr>
    </w:p>
    <w:p w14:paraId="67EF7FEC" w14:textId="77777777" w:rsidR="00D60459" w:rsidRDefault="009B23FF" w:rsidP="009B23FF">
      <w:pPr>
        <w:pStyle w:val="Body"/>
        <w:spacing w:after="0"/>
        <w:rPr>
          <w:rFonts w:ascii="Arial" w:hAnsi="Arial" w:cs="Arial"/>
        </w:rPr>
      </w:pPr>
      <w:r w:rsidRPr="00795D6A">
        <w:rPr>
          <w:rFonts w:ascii="Arial" w:hAnsi="Arial" w:cs="Arial"/>
        </w:rPr>
        <w:t xml:space="preserve">This research uses a </w:t>
      </w:r>
      <w:r w:rsidRPr="00795D6A">
        <w:rPr>
          <w:rFonts w:ascii="Arial" w:hAnsi="Arial" w:cs="Arial"/>
          <w:bCs/>
        </w:rPr>
        <w:t xml:space="preserve">quantitative </w:t>
      </w:r>
      <w:r w:rsidRPr="00795D6A">
        <w:rPr>
          <w:rFonts w:ascii="Arial" w:hAnsi="Arial" w:cs="Arial"/>
        </w:rPr>
        <w:t xml:space="preserve">approach. </w:t>
      </w:r>
      <w:r w:rsidRPr="00795D6A">
        <w:rPr>
          <w:rFonts w:ascii="Arial" w:hAnsi="Arial" w:cs="Arial"/>
          <w:bCs/>
        </w:rPr>
        <w:t xml:space="preserve">Descriptive </w:t>
      </w:r>
      <w:r w:rsidRPr="00795D6A">
        <w:rPr>
          <w:rFonts w:ascii="Arial" w:hAnsi="Arial" w:cs="Arial"/>
        </w:rPr>
        <w:t>research design measures satisfaction</w:t>
      </w:r>
      <w:r w:rsidR="00D63B15" w:rsidRPr="00795D6A">
        <w:rPr>
          <w:rFonts w:ascii="Arial" w:hAnsi="Arial" w:cs="Arial"/>
        </w:rPr>
        <w:t xml:space="preserve">. </w:t>
      </w:r>
      <w:r w:rsidRPr="00795D6A">
        <w:rPr>
          <w:rFonts w:ascii="Arial" w:hAnsi="Arial" w:cs="Arial"/>
        </w:rPr>
        <w:t xml:space="preserve">The research </w:t>
      </w:r>
      <w:r w:rsidRPr="00795D6A">
        <w:rPr>
          <w:rFonts w:ascii="Arial" w:hAnsi="Arial" w:cs="Arial"/>
          <w:bCs/>
        </w:rPr>
        <w:t xml:space="preserve">population is </w:t>
      </w:r>
      <w:r w:rsidRPr="00795D6A">
        <w:rPr>
          <w:rFonts w:ascii="Arial" w:hAnsi="Arial" w:cs="Arial"/>
        </w:rPr>
        <w:t xml:space="preserve">all </w:t>
      </w:r>
      <w:proofErr w:type="spellStart"/>
      <w:r w:rsidRPr="00795D6A">
        <w:rPr>
          <w:rFonts w:ascii="Arial" w:hAnsi="Arial" w:cs="Arial"/>
        </w:rPr>
        <w:t>Siaga</w:t>
      </w:r>
      <w:proofErr w:type="spellEnd"/>
      <w:r w:rsidRPr="00795D6A">
        <w:rPr>
          <w:rFonts w:ascii="Arial" w:hAnsi="Arial" w:cs="Arial"/>
        </w:rPr>
        <w:t xml:space="preserve"> Tour </w:t>
      </w:r>
      <w:r w:rsidR="00D63B15" w:rsidRPr="00795D6A">
        <w:rPr>
          <w:rFonts w:ascii="Arial" w:hAnsi="Arial" w:cs="Arial"/>
        </w:rPr>
        <w:t xml:space="preserve">consumers </w:t>
      </w:r>
      <w:r w:rsidRPr="00795D6A">
        <w:rPr>
          <w:rFonts w:ascii="Arial" w:hAnsi="Arial" w:cs="Arial"/>
        </w:rPr>
        <w:t xml:space="preserve">who have used tour / travel services in the last </w:t>
      </w:r>
      <w:r w:rsidR="00173612">
        <w:rPr>
          <w:rFonts w:ascii="Arial" w:hAnsi="Arial" w:cs="Arial"/>
        </w:rPr>
        <w:t xml:space="preserve">7 </w:t>
      </w:r>
      <w:r w:rsidRPr="00795D6A">
        <w:rPr>
          <w:rFonts w:ascii="Arial" w:hAnsi="Arial" w:cs="Arial"/>
        </w:rPr>
        <w:t>months. The</w:t>
      </w:r>
      <w:r w:rsidRPr="00795D6A">
        <w:rPr>
          <w:rFonts w:ascii="Arial" w:hAnsi="Arial" w:cs="Arial"/>
          <w:bCs/>
        </w:rPr>
        <w:t xml:space="preserve"> sampling technique </w:t>
      </w:r>
      <w:r w:rsidRPr="00795D6A">
        <w:rPr>
          <w:rFonts w:ascii="Arial" w:hAnsi="Arial" w:cs="Arial"/>
        </w:rPr>
        <w:t xml:space="preserve">used </w:t>
      </w:r>
      <w:proofErr w:type="gramStart"/>
      <w:r w:rsidRPr="00795D6A">
        <w:rPr>
          <w:rFonts w:ascii="Arial" w:hAnsi="Arial" w:cs="Arial"/>
        </w:rPr>
        <w:t xml:space="preserve">is  </w:t>
      </w:r>
      <w:r w:rsidRPr="00795D6A">
        <w:rPr>
          <w:rFonts w:ascii="Arial" w:hAnsi="Arial" w:cs="Arial"/>
          <w:i/>
          <w:iCs/>
        </w:rPr>
        <w:t>non</w:t>
      </w:r>
      <w:proofErr w:type="gramEnd"/>
      <w:r w:rsidRPr="00795D6A">
        <w:rPr>
          <w:rFonts w:ascii="Arial" w:hAnsi="Arial" w:cs="Arial"/>
          <w:i/>
          <w:iCs/>
        </w:rPr>
        <w:t xml:space="preserve">-probability sampling </w:t>
      </w:r>
      <w:r w:rsidR="00D63B15" w:rsidRPr="00795D6A">
        <w:rPr>
          <w:rFonts w:ascii="Arial" w:hAnsi="Arial" w:cs="Arial"/>
        </w:rPr>
        <w:t xml:space="preserve">with </w:t>
      </w:r>
      <w:r w:rsidRPr="00795D6A">
        <w:rPr>
          <w:rFonts w:ascii="Arial" w:hAnsi="Arial" w:cs="Arial"/>
          <w:i/>
          <w:iCs/>
        </w:rPr>
        <w:t xml:space="preserve">purposive sampling </w:t>
      </w:r>
      <w:r w:rsidR="00D63B15" w:rsidRPr="00795D6A">
        <w:rPr>
          <w:rFonts w:ascii="Arial" w:hAnsi="Arial" w:cs="Arial"/>
        </w:rPr>
        <w:t xml:space="preserve">where individuals who have used </w:t>
      </w:r>
      <w:proofErr w:type="spellStart"/>
      <w:r w:rsidR="00D63B15" w:rsidRPr="00795D6A">
        <w:rPr>
          <w:rFonts w:ascii="Arial" w:hAnsi="Arial" w:cs="Arial"/>
        </w:rPr>
        <w:t>Siaga</w:t>
      </w:r>
      <w:proofErr w:type="spellEnd"/>
      <w:r w:rsidR="00D63B15" w:rsidRPr="00795D6A">
        <w:rPr>
          <w:rFonts w:ascii="Arial" w:hAnsi="Arial" w:cs="Arial"/>
        </w:rPr>
        <w:t xml:space="preserve"> Tour </w:t>
      </w:r>
      <w:proofErr w:type="spellStart"/>
      <w:r w:rsidR="00D63B15" w:rsidRPr="00795D6A">
        <w:rPr>
          <w:rFonts w:ascii="Arial" w:hAnsi="Arial" w:cs="Arial"/>
        </w:rPr>
        <w:t>tour</w:t>
      </w:r>
      <w:proofErr w:type="spellEnd"/>
      <w:r w:rsidR="00D63B15" w:rsidRPr="00795D6A">
        <w:rPr>
          <w:rFonts w:ascii="Arial" w:hAnsi="Arial" w:cs="Arial"/>
        </w:rPr>
        <w:t xml:space="preserve"> services in the last </w:t>
      </w:r>
      <w:r w:rsidR="00173612">
        <w:rPr>
          <w:rFonts w:ascii="Arial" w:hAnsi="Arial" w:cs="Arial"/>
        </w:rPr>
        <w:t xml:space="preserve">7 </w:t>
      </w:r>
      <w:r w:rsidR="00D63B15" w:rsidRPr="00795D6A">
        <w:rPr>
          <w:rFonts w:ascii="Arial" w:hAnsi="Arial" w:cs="Arial"/>
        </w:rPr>
        <w:t xml:space="preserve">months. </w:t>
      </w:r>
      <w:sdt>
        <w:sdtPr>
          <w:rPr>
            <w:rFonts w:ascii="Arial" w:hAnsi="Arial" w:cs="Arial"/>
          </w:rPr>
          <w:id w:val="-436440841"/>
          <w:citation/>
        </w:sdtPr>
        <w:sdtEndPr/>
        <w:sdtContent>
          <w:r w:rsidR="00A87441" w:rsidRPr="00A87441">
            <w:rPr>
              <w:rFonts w:ascii="Arial" w:hAnsi="Arial" w:cs="Arial"/>
              <w:noProof/>
            </w:rPr>
            <w:t>(Santoso, 2023</w:t>
          </w:r>
        </w:sdtContent>
      </w:sdt>
      <w:r w:rsidRPr="00795D6A">
        <w:rPr>
          <w:rFonts w:ascii="Arial" w:hAnsi="Arial" w:cs="Arial"/>
        </w:rPr>
        <w:t xml:space="preserve">The basis for </w:t>
      </w:r>
      <w:r w:rsidRPr="00173612">
        <w:rPr>
          <w:rFonts w:ascii="Arial" w:hAnsi="Arial" w:cs="Arial"/>
        </w:rPr>
        <w:t xml:space="preserve">determining the sample size uses the </w:t>
      </w:r>
      <w:proofErr w:type="spellStart"/>
      <w:r w:rsidR="00D63B15" w:rsidRPr="00173612">
        <w:rPr>
          <w:rFonts w:ascii="Arial" w:hAnsi="Arial" w:cs="Arial"/>
        </w:rPr>
        <w:t>Slovin</w:t>
      </w:r>
      <w:proofErr w:type="spellEnd"/>
      <w:r w:rsidRPr="00173612">
        <w:rPr>
          <w:rFonts w:ascii="Arial" w:hAnsi="Arial" w:cs="Arial"/>
        </w:rPr>
        <w:t xml:space="preserve"> formula </w:t>
      </w:r>
      <w:r w:rsidR="00D63B15" w:rsidRPr="00173612">
        <w:rPr>
          <w:rFonts w:ascii="Arial" w:hAnsi="Arial" w:cs="Arial"/>
        </w:rPr>
        <w:t>(</w:t>
      </w:r>
      <w:proofErr w:type="spellStart"/>
      <w:r w:rsidR="00D63B15" w:rsidRPr="00173612">
        <w:rPr>
          <w:rFonts w:ascii="Arial" w:hAnsi="Arial" w:cs="Arial"/>
        </w:rPr>
        <w:t>Altares</w:t>
      </w:r>
      <w:proofErr w:type="spellEnd"/>
      <w:r w:rsidR="00D63B15" w:rsidRPr="00173612">
        <w:rPr>
          <w:rFonts w:ascii="Arial" w:hAnsi="Arial" w:cs="Arial"/>
        </w:rPr>
        <w:t xml:space="preserve"> et al, 2003) qtd </w:t>
      </w:r>
      <w:proofErr w:type="gramStart"/>
      <w:r w:rsidR="00D63B15" w:rsidRPr="00173612">
        <w:rPr>
          <w:rFonts w:ascii="Arial" w:hAnsi="Arial" w:cs="Arial"/>
        </w:rPr>
        <w:t>in )</w:t>
      </w:r>
      <w:proofErr w:type="gramEnd"/>
      <w:r w:rsidR="00D63B15" w:rsidRPr="00173612">
        <w:rPr>
          <w:rFonts w:ascii="Arial" w:hAnsi="Arial" w:cs="Arial"/>
        </w:rPr>
        <w:t xml:space="preserve">. </w:t>
      </w:r>
      <w:r w:rsidR="003B3AD7" w:rsidRPr="00173612">
        <w:rPr>
          <w:rFonts w:ascii="Arial" w:hAnsi="Arial" w:cs="Arial"/>
        </w:rPr>
        <w:t xml:space="preserve">Obtained </w:t>
      </w:r>
      <w:r w:rsidR="00F27AB1" w:rsidRPr="00173612">
        <w:rPr>
          <w:rFonts w:ascii="Arial" w:hAnsi="Arial" w:cs="Arial"/>
        </w:rPr>
        <w:t xml:space="preserve">from the </w:t>
      </w:r>
      <w:proofErr w:type="spellStart"/>
      <w:r w:rsidR="00F27AB1" w:rsidRPr="00173612">
        <w:rPr>
          <w:rFonts w:ascii="Arial" w:hAnsi="Arial" w:cs="Arial"/>
        </w:rPr>
        <w:t>Siaga</w:t>
      </w:r>
      <w:proofErr w:type="spellEnd"/>
      <w:r w:rsidR="00F27AB1" w:rsidRPr="00173612">
        <w:rPr>
          <w:rFonts w:ascii="Arial" w:hAnsi="Arial" w:cs="Arial"/>
        </w:rPr>
        <w:t xml:space="preserve"> Tour consumer population from January to July, namely 1</w:t>
      </w:r>
      <w:r w:rsidR="00173612">
        <w:rPr>
          <w:rFonts w:ascii="Arial" w:hAnsi="Arial" w:cs="Arial"/>
        </w:rPr>
        <w:t>,</w:t>
      </w:r>
      <w:r w:rsidR="00F27AB1" w:rsidRPr="00173612">
        <w:rPr>
          <w:rFonts w:ascii="Arial" w:hAnsi="Arial" w:cs="Arial"/>
        </w:rPr>
        <w:t xml:space="preserve">300 people, the </w:t>
      </w:r>
      <w:r w:rsidR="003B3AD7" w:rsidRPr="00173612">
        <w:rPr>
          <w:rFonts w:ascii="Arial" w:hAnsi="Arial" w:cs="Arial"/>
        </w:rPr>
        <w:t xml:space="preserve">calculation results </w:t>
      </w:r>
      <w:r w:rsidR="00173612" w:rsidRPr="00173612">
        <w:rPr>
          <w:rFonts w:ascii="Arial" w:hAnsi="Arial" w:cs="Arial"/>
        </w:rPr>
        <w:t xml:space="preserve">(10% error) </w:t>
      </w:r>
      <w:r w:rsidR="00F27AB1" w:rsidRPr="00173612">
        <w:rPr>
          <w:rFonts w:ascii="Arial" w:hAnsi="Arial" w:cs="Arial"/>
        </w:rPr>
        <w:t xml:space="preserve">obtained </w:t>
      </w:r>
      <w:r w:rsidR="003B3AD7" w:rsidRPr="00173612">
        <w:rPr>
          <w:rFonts w:ascii="Arial" w:hAnsi="Arial" w:cs="Arial"/>
        </w:rPr>
        <w:t xml:space="preserve">a total of </w:t>
      </w:r>
      <w:r w:rsidR="00173612" w:rsidRPr="00173612">
        <w:rPr>
          <w:rFonts w:ascii="Arial" w:hAnsi="Arial" w:cs="Arial"/>
        </w:rPr>
        <w:t xml:space="preserve">93 </w:t>
      </w:r>
      <w:r w:rsidR="003B3AD7" w:rsidRPr="00173612">
        <w:rPr>
          <w:rFonts w:ascii="Arial" w:hAnsi="Arial" w:cs="Arial"/>
        </w:rPr>
        <w:t xml:space="preserve">respondents. </w:t>
      </w:r>
      <w:r w:rsidR="00173612">
        <w:rPr>
          <w:rFonts w:ascii="Arial" w:hAnsi="Arial" w:cs="Arial"/>
        </w:rPr>
        <w:t xml:space="preserve">It is assumed that at least 93 respondents will be collected. </w:t>
      </w:r>
      <w:r w:rsidR="003B3AD7" w:rsidRPr="00173612">
        <w:rPr>
          <w:rFonts w:ascii="Arial" w:hAnsi="Arial" w:cs="Arial"/>
        </w:rPr>
        <w:t xml:space="preserve">Data collection with a </w:t>
      </w:r>
      <w:proofErr w:type="spellStart"/>
      <w:r w:rsidR="003B3AD7" w:rsidRPr="00173612">
        <w:rPr>
          <w:rFonts w:ascii="Arial" w:hAnsi="Arial" w:cs="Arial"/>
        </w:rPr>
        <w:t>GoogleForm</w:t>
      </w:r>
      <w:proofErr w:type="spellEnd"/>
      <w:r w:rsidR="003B3AD7" w:rsidRPr="00173612">
        <w:rPr>
          <w:rFonts w:ascii="Arial" w:hAnsi="Arial" w:cs="Arial"/>
        </w:rPr>
        <w:t xml:space="preserve"> questionnaire </w:t>
      </w:r>
      <w:r w:rsidR="003B3AD7" w:rsidRPr="00795D6A">
        <w:rPr>
          <w:rFonts w:ascii="Arial" w:hAnsi="Arial" w:cs="Arial"/>
        </w:rPr>
        <w:t xml:space="preserve">contains </w:t>
      </w:r>
      <w:r w:rsidRPr="00795D6A">
        <w:rPr>
          <w:rFonts w:ascii="Arial" w:hAnsi="Arial" w:cs="Arial"/>
        </w:rPr>
        <w:t>attributes or dimensions of service to be measured that affect satisfaction in accordance with CSI theory</w:t>
      </w:r>
      <w:r w:rsidR="003B3AD7" w:rsidRPr="00795D6A">
        <w:rPr>
          <w:rFonts w:ascii="Arial" w:hAnsi="Arial" w:cs="Arial"/>
        </w:rPr>
        <w:t xml:space="preserve">, with the </w:t>
      </w:r>
      <w:r w:rsidRPr="00795D6A">
        <w:rPr>
          <w:rFonts w:ascii="Arial" w:hAnsi="Arial" w:cs="Arial"/>
        </w:rPr>
        <w:t xml:space="preserve">SERVQUAL dimensions of </w:t>
      </w:r>
      <w:r w:rsidR="003B3AD7" w:rsidRPr="00795D6A">
        <w:rPr>
          <w:rFonts w:ascii="Arial" w:hAnsi="Arial" w:cs="Arial"/>
        </w:rPr>
        <w:t xml:space="preserve">physical evidence, reliability, responsiveness, assurance, empathy </w:t>
      </w:r>
      <w:r w:rsidR="00D60459">
        <w:rPr>
          <w:rFonts w:ascii="Arial" w:hAnsi="Arial" w:cs="Arial"/>
        </w:rPr>
        <w:t xml:space="preserve">in the </w:t>
      </w:r>
      <w:r w:rsidR="00D60459" w:rsidRPr="00795D6A">
        <w:rPr>
          <w:rFonts w:ascii="Arial" w:hAnsi="Arial" w:cs="Arial"/>
          <w:bCs/>
        </w:rPr>
        <w:t xml:space="preserve">Importance Score </w:t>
      </w:r>
      <w:r w:rsidR="00D60459">
        <w:rPr>
          <w:rFonts w:ascii="Arial" w:hAnsi="Arial" w:cs="Arial"/>
        </w:rPr>
        <w:t xml:space="preserve">(IS) and </w:t>
      </w:r>
      <w:r w:rsidR="00D60459" w:rsidRPr="00795D6A">
        <w:rPr>
          <w:rFonts w:ascii="Arial" w:hAnsi="Arial" w:cs="Arial"/>
          <w:bCs/>
        </w:rPr>
        <w:t xml:space="preserve">Performance Score </w:t>
      </w:r>
      <w:r w:rsidR="00D60459">
        <w:rPr>
          <w:rFonts w:ascii="Arial" w:hAnsi="Arial" w:cs="Arial"/>
        </w:rPr>
        <w:t>(PS) assessments</w:t>
      </w:r>
      <w:r w:rsidRPr="00795D6A">
        <w:rPr>
          <w:rFonts w:ascii="Arial" w:hAnsi="Arial" w:cs="Arial"/>
        </w:rPr>
        <w:t xml:space="preserve">. The scale used is </w:t>
      </w:r>
      <w:r w:rsidRPr="00795D6A">
        <w:rPr>
          <w:rFonts w:ascii="Arial" w:hAnsi="Arial" w:cs="Arial"/>
          <w:bCs/>
        </w:rPr>
        <w:t>Likert scale</w:t>
      </w:r>
      <w:r w:rsidRPr="00795D6A">
        <w:rPr>
          <w:rFonts w:ascii="Arial" w:hAnsi="Arial" w:cs="Arial"/>
        </w:rPr>
        <w:t xml:space="preserve">, with a </w:t>
      </w:r>
      <w:r w:rsidR="00943C73" w:rsidRPr="00795D6A">
        <w:rPr>
          <w:rFonts w:ascii="Arial" w:hAnsi="Arial" w:cs="Arial"/>
        </w:rPr>
        <w:t xml:space="preserve">range of 1-5. </w:t>
      </w:r>
    </w:p>
    <w:p w14:paraId="6A0B6A02" w14:textId="77777777" w:rsidR="00D60459" w:rsidRDefault="00D60459" w:rsidP="009B23FF">
      <w:pPr>
        <w:pStyle w:val="Body"/>
        <w:spacing w:after="0"/>
        <w:rPr>
          <w:rFonts w:ascii="Arial" w:hAnsi="Arial" w:cs="Arial"/>
        </w:rPr>
      </w:pPr>
    </w:p>
    <w:p w14:paraId="52EEB06F" w14:textId="77777777" w:rsidR="009B23FF" w:rsidRPr="009B23FF" w:rsidRDefault="00943C73" w:rsidP="00447162">
      <w:pPr>
        <w:pStyle w:val="Body"/>
        <w:rPr>
          <w:rFonts w:ascii="Arial" w:hAnsi="Arial" w:cs="Arial"/>
        </w:rPr>
      </w:pPr>
      <w:r w:rsidRPr="00795D6A">
        <w:rPr>
          <w:rFonts w:ascii="Arial" w:hAnsi="Arial" w:cs="Arial"/>
          <w:bCs/>
        </w:rPr>
        <w:t xml:space="preserve">Data analysis was carried out to test the validity and reliability of the instrument with the help of SPSS. </w:t>
      </w:r>
      <w:sdt>
        <w:sdtPr>
          <w:rPr>
            <w:rFonts w:ascii="Arial" w:hAnsi="Arial" w:cs="Arial"/>
          </w:rPr>
          <w:id w:val="-444621709"/>
          <w:citation/>
        </w:sdtPr>
        <w:sdtEndPr/>
        <w:sdtContent>
          <w:r w:rsidR="00A87441" w:rsidRPr="00A87441">
            <w:rPr>
              <w:rFonts w:ascii="Arial" w:hAnsi="Arial" w:cs="Arial"/>
              <w:noProof/>
            </w:rPr>
            <w:t xml:space="preserve">(Sugiyono, 2019) . </w:t>
          </w:r>
        </w:sdtContent>
      </w:sdt>
      <w:r w:rsidRPr="00795D6A">
        <w:rPr>
          <w:rFonts w:ascii="Arial" w:hAnsi="Arial" w:cs="Arial"/>
          <w:bCs/>
        </w:rPr>
        <w:t xml:space="preserve">Product moment </w:t>
      </w:r>
      <w:r w:rsidR="009B23FF" w:rsidRPr="00795D6A">
        <w:rPr>
          <w:rFonts w:ascii="Arial" w:hAnsi="Arial" w:cs="Arial"/>
          <w:bCs/>
        </w:rPr>
        <w:t xml:space="preserve">validity test </w:t>
      </w:r>
      <w:r w:rsidRPr="00795D6A">
        <w:rPr>
          <w:rFonts w:ascii="Arial" w:hAnsi="Arial" w:cs="Arial"/>
          <w:bCs/>
        </w:rPr>
        <w:t xml:space="preserve">with </w:t>
      </w:r>
      <w:r w:rsidR="009B23FF" w:rsidRPr="00795D6A">
        <w:rPr>
          <w:rFonts w:ascii="Arial" w:hAnsi="Arial" w:cs="Arial"/>
        </w:rPr>
        <w:t xml:space="preserve">acceptance criteria </w:t>
      </w:r>
      <w:r w:rsidR="00D60459">
        <w:rPr>
          <w:rFonts w:ascii="Arial" w:hAnsi="Arial" w:cs="Arial"/>
        </w:rPr>
        <w:t>(</w:t>
      </w:r>
      <w:r w:rsidRPr="00795D6A">
        <w:rPr>
          <w:rFonts w:ascii="Arial" w:hAnsi="Arial" w:cs="Arial"/>
        </w:rPr>
        <w:t xml:space="preserve">sig. </w:t>
      </w:r>
      <w:r w:rsidR="009B23FF" w:rsidRPr="00795D6A">
        <w:rPr>
          <w:rFonts w:ascii="Arial" w:hAnsi="Arial" w:cs="Arial"/>
        </w:rPr>
        <w:t xml:space="preserve">value&gt; 0.5) </w:t>
      </w:r>
      <w:sdt>
        <w:sdtPr>
          <w:rPr>
            <w:rFonts w:ascii="Arial" w:hAnsi="Arial" w:cs="Arial"/>
          </w:rPr>
          <w:id w:val="496847633"/>
          <w:citation/>
        </w:sdtPr>
        <w:sdtEndPr/>
        <w:sdtContent>
          <w:r w:rsidR="00A87441" w:rsidRPr="00A87441">
            <w:rPr>
              <w:rFonts w:ascii="Arial" w:hAnsi="Arial" w:cs="Arial"/>
              <w:noProof/>
            </w:rPr>
            <w:t xml:space="preserve">(Sugiyono, 2019) . </w:t>
          </w:r>
        </w:sdtContent>
      </w:sdt>
      <w:r w:rsidR="009B23FF" w:rsidRPr="00795D6A">
        <w:rPr>
          <w:rFonts w:ascii="Arial" w:hAnsi="Arial" w:cs="Arial"/>
          <w:bCs/>
        </w:rPr>
        <w:t>Reliability</w:t>
      </w:r>
      <w:r w:rsidRPr="00795D6A">
        <w:rPr>
          <w:rFonts w:ascii="Arial" w:hAnsi="Arial" w:cs="Arial"/>
          <w:bCs/>
        </w:rPr>
        <w:t xml:space="preserve"> test </w:t>
      </w:r>
      <w:r w:rsidR="009B23FF" w:rsidRPr="00795D6A">
        <w:rPr>
          <w:rFonts w:ascii="Arial" w:hAnsi="Arial" w:cs="Arial"/>
        </w:rPr>
        <w:t xml:space="preserve">using </w:t>
      </w:r>
      <w:r w:rsidR="009B23FF" w:rsidRPr="00795D6A">
        <w:rPr>
          <w:rFonts w:ascii="Arial" w:hAnsi="Arial" w:cs="Arial"/>
          <w:bCs/>
        </w:rPr>
        <w:t xml:space="preserve">Cronbach's </w:t>
      </w:r>
      <w:r w:rsidR="0062211D">
        <w:rPr>
          <w:rFonts w:ascii="Arial" w:hAnsi="Arial" w:cs="Arial"/>
        </w:rPr>
        <w:t xml:space="preserve">Alpha&gt; 0.6 or 0.7 </w:t>
      </w:r>
      <w:sdt>
        <w:sdtPr>
          <w:rPr>
            <w:rFonts w:ascii="Arial" w:hAnsi="Arial" w:cs="Arial"/>
          </w:rPr>
          <w:id w:val="-2043965931"/>
          <w:citation/>
        </w:sdtPr>
        <w:sdtEndPr/>
        <w:sdtContent>
          <w:r w:rsidR="00A87441" w:rsidRPr="00A87441">
            <w:rPr>
              <w:rFonts w:ascii="Arial" w:hAnsi="Arial" w:cs="Arial"/>
              <w:noProof/>
            </w:rPr>
            <w:t xml:space="preserve">(Karima, Rachmawaty, &amp; Sidik, 2022) ; </w:t>
          </w:r>
        </w:sdtContent>
      </w:sdt>
      <w:r w:rsidRPr="00795D6A">
        <w:rPr>
          <w:rFonts w:ascii="Arial" w:hAnsi="Arial" w:cs="Arial"/>
        </w:rPr>
        <w:t xml:space="preserve">Data analysis continued with the </w:t>
      </w:r>
      <w:r w:rsidR="009B23FF" w:rsidRPr="00795D6A">
        <w:rPr>
          <w:rFonts w:ascii="Arial" w:hAnsi="Arial" w:cs="Arial"/>
          <w:bCs/>
        </w:rPr>
        <w:t xml:space="preserve">calculation of the Customer Satisfaction Index (CSI) </w:t>
      </w:r>
      <w:r w:rsidRPr="00795D6A">
        <w:rPr>
          <w:rFonts w:ascii="Arial" w:hAnsi="Arial" w:cs="Arial"/>
          <w:bCs/>
        </w:rPr>
        <w:t xml:space="preserve">with the </w:t>
      </w:r>
      <w:r w:rsidR="009B23FF" w:rsidRPr="00795D6A">
        <w:rPr>
          <w:rFonts w:ascii="Arial" w:hAnsi="Arial" w:cs="Arial"/>
        </w:rPr>
        <w:t xml:space="preserve">steps of calculating CSI determine the </w:t>
      </w:r>
      <w:r w:rsidR="009B23FF" w:rsidRPr="00795D6A">
        <w:rPr>
          <w:rFonts w:ascii="Arial" w:hAnsi="Arial" w:cs="Arial"/>
          <w:bCs/>
        </w:rPr>
        <w:t xml:space="preserve">Mean Importance Score (MIS) </w:t>
      </w:r>
      <w:r w:rsidR="009B23FF" w:rsidRPr="00795D6A">
        <w:rPr>
          <w:rFonts w:ascii="Arial" w:hAnsi="Arial" w:cs="Arial"/>
        </w:rPr>
        <w:t xml:space="preserve">for each attribute; determine the </w:t>
      </w:r>
      <w:r w:rsidR="009B23FF" w:rsidRPr="00795D6A">
        <w:rPr>
          <w:rFonts w:ascii="Arial" w:hAnsi="Arial" w:cs="Arial"/>
          <w:bCs/>
        </w:rPr>
        <w:t xml:space="preserve">Mean Performance Score (MPS) </w:t>
      </w:r>
      <w:r w:rsidRPr="00795D6A">
        <w:rPr>
          <w:rFonts w:ascii="Arial" w:hAnsi="Arial" w:cs="Arial"/>
        </w:rPr>
        <w:t xml:space="preserve">for each attribute; </w:t>
      </w:r>
      <w:r w:rsidR="009B23FF" w:rsidRPr="00795D6A">
        <w:rPr>
          <w:rFonts w:ascii="Arial" w:hAnsi="Arial" w:cs="Arial"/>
        </w:rPr>
        <w:t xml:space="preserve">calculate </w:t>
      </w:r>
      <w:r w:rsidR="00447162">
        <w:t xml:space="preserve">Weight Factor (WF) with the percentage of MIS value per attribute to the total MIS; calculate </w:t>
      </w:r>
      <w:r w:rsidR="009B23FF" w:rsidRPr="00795D6A">
        <w:rPr>
          <w:rFonts w:ascii="Arial" w:hAnsi="Arial" w:cs="Arial"/>
          <w:bCs/>
        </w:rPr>
        <w:t xml:space="preserve">Weighted Score (WS) </w:t>
      </w:r>
      <w:r w:rsidR="00D60459">
        <w:rPr>
          <w:rFonts w:ascii="Arial" w:hAnsi="Arial" w:cs="Arial"/>
        </w:rPr>
        <w:t xml:space="preserve">for each attribute </w:t>
      </w:r>
      <w:r w:rsidR="002A457E">
        <w:t xml:space="preserve">by multiplying the WF by the MPS value per attribute; </w:t>
      </w:r>
      <w:r w:rsidR="002A457E">
        <w:rPr>
          <w:rFonts w:ascii="Arial" w:hAnsi="Arial" w:cs="Arial"/>
        </w:rPr>
        <w:t xml:space="preserve">then to </w:t>
      </w:r>
      <w:r w:rsidR="009B23FF" w:rsidRPr="00795D6A">
        <w:rPr>
          <w:rFonts w:ascii="Arial" w:hAnsi="Arial" w:cs="Arial"/>
        </w:rPr>
        <w:t xml:space="preserve">calculate the </w:t>
      </w:r>
      <w:r w:rsidR="009B23FF" w:rsidRPr="00795D6A">
        <w:rPr>
          <w:rFonts w:ascii="Arial" w:hAnsi="Arial" w:cs="Arial"/>
          <w:bCs/>
        </w:rPr>
        <w:t xml:space="preserve">Customer Satisfaction Index (CSI) </w:t>
      </w:r>
      <w:r w:rsidR="009B23FF" w:rsidRPr="00795D6A">
        <w:rPr>
          <w:rFonts w:ascii="Arial" w:hAnsi="Arial" w:cs="Arial"/>
        </w:rPr>
        <w:t xml:space="preserve">with the </w:t>
      </w:r>
      <w:r w:rsidR="002A457E">
        <w:rPr>
          <w:rFonts w:ascii="Arial" w:hAnsi="Arial" w:cs="Arial"/>
        </w:rPr>
        <w:t xml:space="preserve">total WS </w:t>
      </w:r>
      <w:r w:rsidR="009B23FF" w:rsidRPr="00795D6A">
        <w:rPr>
          <w:rFonts w:ascii="Arial" w:hAnsi="Arial" w:cs="Arial"/>
        </w:rPr>
        <w:t xml:space="preserve">formula </w:t>
      </w:r>
      <w:r w:rsidR="002A457E">
        <w:rPr>
          <w:rFonts w:ascii="Arial" w:hAnsi="Arial" w:cs="Arial"/>
        </w:rPr>
        <w:t>divided by the maximum scale of assessment, namely 5</w:t>
      </w:r>
      <w:r w:rsidR="009B23FF" w:rsidRPr="00795D6A">
        <w:rPr>
          <w:rFonts w:ascii="Arial" w:hAnsi="Arial" w:cs="Arial"/>
        </w:rPr>
        <w:t xml:space="preserve">. </w:t>
      </w:r>
      <w:r w:rsidR="002A457E">
        <w:rPr>
          <w:rFonts w:ascii="Arial" w:hAnsi="Arial" w:cs="Arial"/>
        </w:rPr>
        <w:t xml:space="preserve">The results </w:t>
      </w:r>
      <w:r w:rsidR="00795D6A" w:rsidRPr="00795D6A">
        <w:rPr>
          <w:rFonts w:ascii="Arial" w:hAnsi="Arial" w:cs="Arial"/>
        </w:rPr>
        <w:t xml:space="preserve">are </w:t>
      </w:r>
      <w:r w:rsidR="002A457E">
        <w:rPr>
          <w:rFonts w:ascii="Arial" w:hAnsi="Arial" w:cs="Arial"/>
        </w:rPr>
        <w:t xml:space="preserve">compared with the </w:t>
      </w:r>
      <w:r w:rsidRPr="00795D6A">
        <w:rPr>
          <w:rFonts w:ascii="Arial" w:hAnsi="Arial" w:cs="Arial"/>
        </w:rPr>
        <w:t xml:space="preserve">standard </w:t>
      </w:r>
      <w:r w:rsidR="009B23FF" w:rsidRPr="00795D6A">
        <w:rPr>
          <w:rFonts w:ascii="Arial" w:hAnsi="Arial" w:cs="Arial"/>
        </w:rPr>
        <w:t>interpretation value of the CSI value</w:t>
      </w:r>
      <w:r w:rsidR="00795D6A" w:rsidRPr="00795D6A">
        <w:rPr>
          <w:rFonts w:ascii="Arial" w:hAnsi="Arial" w:cs="Arial"/>
        </w:rPr>
        <w:t xml:space="preserve">, namely </w:t>
      </w:r>
      <w:r w:rsidR="009B23FF" w:rsidRPr="00795D6A">
        <w:rPr>
          <w:rFonts w:ascii="Arial" w:hAnsi="Arial" w:cs="Arial"/>
        </w:rPr>
        <w:t xml:space="preserve">0-25% </w:t>
      </w:r>
      <w:r w:rsidR="00795D6A" w:rsidRPr="00795D6A">
        <w:rPr>
          <w:rFonts w:ascii="Arial" w:hAnsi="Arial" w:cs="Arial"/>
        </w:rPr>
        <w:t xml:space="preserve">= Very Dissatisfied; 25.01-50% = Dissatisfied; 50.01-70% = Average; 70.01-90% = Satisfied; 90.01-100% = Very Satisfied </w:t>
      </w:r>
      <w:sdt>
        <w:sdtPr>
          <w:rPr>
            <w:rFonts w:ascii="Arial" w:hAnsi="Arial" w:cs="Arial"/>
          </w:rPr>
          <w:id w:val="916062341"/>
          <w:citation/>
        </w:sdtPr>
        <w:sdtEndPr/>
        <w:sdtContent>
          <w:r w:rsidR="00A87441" w:rsidRPr="00A87441">
            <w:rPr>
              <w:rFonts w:ascii="Arial" w:hAnsi="Arial" w:cs="Arial"/>
              <w:noProof/>
            </w:rPr>
            <w:t>(Wardhana, 2024)</w:t>
          </w:r>
        </w:sdtContent>
      </w:sdt>
      <w:r w:rsidR="00795D6A" w:rsidRPr="00795D6A">
        <w:rPr>
          <w:rFonts w:ascii="Arial" w:hAnsi="Arial" w:cs="Arial"/>
        </w:rPr>
        <w:t>.</w:t>
      </w:r>
    </w:p>
    <w:p w14:paraId="29F366C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BA623D" w14:textId="77777777" w:rsidR="00790ADA" w:rsidRPr="00FB3A86" w:rsidRDefault="00790ADA" w:rsidP="00441B6F">
      <w:pPr>
        <w:pStyle w:val="Head1"/>
        <w:spacing w:after="0"/>
        <w:jc w:val="both"/>
        <w:rPr>
          <w:rFonts w:ascii="Arial" w:hAnsi="Arial" w:cs="Arial"/>
        </w:rPr>
      </w:pPr>
    </w:p>
    <w:p w14:paraId="7E57B3B8" w14:textId="77777777" w:rsidR="00505F06" w:rsidRDefault="00C30A0F" w:rsidP="00441B6F">
      <w:pPr>
        <w:pStyle w:val="Body"/>
        <w:spacing w:after="0"/>
        <w:rPr>
          <w:rFonts w:ascii="Arial" w:hAnsi="Arial" w:cs="Arial"/>
          <w:b/>
          <w:sz w:val="22"/>
        </w:rPr>
      </w:pPr>
      <w:r w:rsidRPr="00FF2AA1">
        <w:rPr>
          <w:rFonts w:ascii="Arial" w:hAnsi="Arial" w:cs="Arial"/>
          <w:b/>
          <w:caps/>
          <w:sz w:val="22"/>
        </w:rPr>
        <w:t xml:space="preserve">3.1 </w:t>
      </w:r>
      <w:r w:rsidR="00FF2AA1">
        <w:rPr>
          <w:rFonts w:ascii="Arial" w:hAnsi="Arial" w:cs="Arial"/>
          <w:b/>
          <w:sz w:val="22"/>
        </w:rPr>
        <w:t xml:space="preserve">Respondent profile </w:t>
      </w:r>
    </w:p>
    <w:p w14:paraId="059699E6" w14:textId="77777777" w:rsidR="00FF2AA1" w:rsidRDefault="00FF2AA1" w:rsidP="00441B6F">
      <w:pPr>
        <w:pStyle w:val="Body"/>
        <w:spacing w:after="0"/>
        <w:rPr>
          <w:rFonts w:ascii="Arial" w:hAnsi="Arial" w:cs="Arial"/>
          <w:b/>
          <w:sz w:val="22"/>
        </w:rPr>
      </w:pPr>
    </w:p>
    <w:p w14:paraId="7D9AD05D" w14:textId="77777777" w:rsidR="00F624AA" w:rsidRDefault="00D2077A" w:rsidP="00D2077A">
      <w:pPr>
        <w:pStyle w:val="Body"/>
        <w:spacing w:after="0"/>
        <w:rPr>
          <w:rFonts w:ascii="Arial" w:hAnsi="Arial" w:cs="Arial"/>
        </w:rPr>
      </w:pPr>
      <w:r w:rsidRPr="00FF2AA1">
        <w:rPr>
          <w:rFonts w:ascii="Arial" w:hAnsi="Arial" w:cs="Arial"/>
          <w:b/>
          <w:u w:val="single"/>
        </w:rPr>
        <w:t xml:space="preserve">3.1.1 </w:t>
      </w:r>
      <w:r w:rsidR="00F624AA">
        <w:rPr>
          <w:rFonts w:ascii="Arial" w:hAnsi="Arial" w:cs="Arial"/>
          <w:b/>
          <w:u w:val="single"/>
        </w:rPr>
        <w:t xml:space="preserve">Gender </w:t>
      </w:r>
    </w:p>
    <w:p w14:paraId="37386863" w14:textId="77777777" w:rsidR="00D2077A" w:rsidRDefault="002F16EC" w:rsidP="00D2077A">
      <w:pPr>
        <w:pStyle w:val="Body"/>
        <w:spacing w:after="0"/>
        <w:rPr>
          <w:rFonts w:ascii="Arial" w:hAnsi="Arial" w:cs="Arial"/>
        </w:rPr>
      </w:pPr>
      <w:r w:rsidRPr="002F16EC">
        <w:rPr>
          <w:rFonts w:ascii="Arial" w:hAnsi="Arial" w:cs="Arial"/>
        </w:rPr>
        <w:t xml:space="preserve">Based on the data that has been collected, the discussion </w:t>
      </w:r>
      <w:r>
        <w:rPr>
          <w:rFonts w:ascii="Arial" w:hAnsi="Arial" w:cs="Arial"/>
        </w:rPr>
        <w:t xml:space="preserve">begins with an </w:t>
      </w:r>
      <w:r w:rsidRPr="002F16EC">
        <w:rPr>
          <w:rFonts w:ascii="Arial" w:hAnsi="Arial" w:cs="Arial"/>
        </w:rPr>
        <w:t xml:space="preserve">analysis of the </w:t>
      </w:r>
      <w:r>
        <w:rPr>
          <w:rFonts w:ascii="Arial" w:hAnsi="Arial" w:cs="Arial"/>
        </w:rPr>
        <w:t xml:space="preserve">profile of respondents who are consumers of </w:t>
      </w:r>
      <w:proofErr w:type="spellStart"/>
      <w:r>
        <w:rPr>
          <w:rFonts w:ascii="Arial" w:hAnsi="Arial" w:cs="Arial"/>
        </w:rPr>
        <w:t>Siaga</w:t>
      </w:r>
      <w:proofErr w:type="spellEnd"/>
      <w:r>
        <w:rPr>
          <w:rFonts w:ascii="Arial" w:hAnsi="Arial" w:cs="Arial"/>
        </w:rPr>
        <w:t xml:space="preserve"> Tour service users. </w:t>
      </w:r>
      <w:r w:rsidRPr="002F16EC">
        <w:rPr>
          <w:rFonts w:ascii="Arial" w:hAnsi="Arial" w:cs="Arial"/>
        </w:rPr>
        <w:t>By describing the distribution of respondents based on gender</w:t>
      </w:r>
      <w:r>
        <w:rPr>
          <w:rFonts w:ascii="Arial" w:hAnsi="Arial" w:cs="Arial"/>
        </w:rPr>
        <w:t xml:space="preserve">, it will </w:t>
      </w:r>
      <w:r w:rsidRPr="002F16EC">
        <w:rPr>
          <w:rFonts w:ascii="Arial" w:hAnsi="Arial" w:cs="Arial"/>
        </w:rPr>
        <w:t>show that there are significant differences in the demographics of service users</w:t>
      </w:r>
      <w:r>
        <w:rPr>
          <w:rFonts w:ascii="Arial" w:hAnsi="Arial" w:cs="Arial"/>
        </w:rPr>
        <w:t xml:space="preserve">. The following is complete data on respondent profiles based on gender; </w:t>
      </w:r>
    </w:p>
    <w:p w14:paraId="0A096753" w14:textId="77777777" w:rsidR="007F483E" w:rsidRDefault="007F483E" w:rsidP="00D2077A">
      <w:pPr>
        <w:pStyle w:val="Body"/>
        <w:spacing w:after="0"/>
        <w:rPr>
          <w:rFonts w:ascii="Arial" w:hAnsi="Arial" w:cs="Arial"/>
        </w:rPr>
      </w:pPr>
    </w:p>
    <w:p w14:paraId="25CD87F6" w14:textId="77777777" w:rsidR="007F483E" w:rsidRDefault="007F483E" w:rsidP="00D2077A">
      <w:pPr>
        <w:pStyle w:val="Body"/>
        <w:spacing w:after="0"/>
        <w:rPr>
          <w:rFonts w:ascii="Arial" w:hAnsi="Arial" w:cs="Arial"/>
        </w:rPr>
      </w:pPr>
    </w:p>
    <w:p w14:paraId="58E5B3AB" w14:textId="77777777" w:rsidR="007F483E" w:rsidRDefault="007F483E" w:rsidP="00D2077A">
      <w:pPr>
        <w:pStyle w:val="Body"/>
        <w:spacing w:after="0"/>
        <w:rPr>
          <w:rFonts w:ascii="Arial" w:hAnsi="Arial" w:cs="Arial"/>
        </w:rPr>
      </w:pPr>
    </w:p>
    <w:p w14:paraId="7F2A9603" w14:textId="77777777" w:rsidR="007F483E" w:rsidRPr="00FF2AA1" w:rsidRDefault="007F483E" w:rsidP="00D2077A">
      <w:pPr>
        <w:pStyle w:val="Body"/>
        <w:spacing w:after="0"/>
        <w:rPr>
          <w:rFonts w:ascii="Arial" w:hAnsi="Arial" w:cs="Arial"/>
        </w:rPr>
      </w:pPr>
    </w:p>
    <w:p w14:paraId="1FC9EAB3" w14:textId="34E9E93B" w:rsidR="00D2077A" w:rsidRPr="00D2077A" w:rsidRDefault="001853F0" w:rsidP="00F624AA">
      <w:pPr>
        <w:autoSpaceDE w:val="0"/>
        <w:autoSpaceDN w:val="0"/>
        <w:adjustRightInd w:val="0"/>
        <w:jc w:val="center"/>
        <w:rPr>
          <w:rFonts w:ascii="Arial" w:hAnsi="Arial" w:cs="Arial"/>
          <w:b/>
          <w:szCs w:val="24"/>
        </w:rPr>
      </w:pPr>
      <w:r>
        <w:rPr>
          <w:rFonts w:ascii="Arial" w:hAnsi="Arial" w:cs="Arial"/>
          <w:b/>
          <w:szCs w:val="24"/>
        </w:rPr>
        <w:t xml:space="preserve">Table </w:t>
      </w:r>
      <w:r w:rsidR="000F3C29" w:rsidRPr="000F3C29">
        <w:rPr>
          <w:rFonts w:ascii="Arial" w:hAnsi="Arial" w:cs="Arial"/>
          <w:b/>
          <w:szCs w:val="24"/>
        </w:rPr>
        <w:t xml:space="preserve">1. </w:t>
      </w:r>
      <w:r w:rsidR="00F624AA" w:rsidRPr="000F3C29">
        <w:rPr>
          <w:rFonts w:ascii="Arial" w:hAnsi="Arial" w:cs="Arial"/>
          <w:b/>
          <w:szCs w:val="24"/>
        </w:rPr>
        <w:t>Gender</w:t>
      </w:r>
    </w:p>
    <w:tbl>
      <w:tblPr>
        <w:tblW w:w="3074"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917"/>
        <w:gridCol w:w="1148"/>
        <w:gridCol w:w="1009"/>
      </w:tblGrid>
      <w:tr w:rsidR="00F624AA" w:rsidRPr="000F3C29" w14:paraId="6729C1BB" w14:textId="77777777" w:rsidTr="000F3C29">
        <w:trPr>
          <w:cantSplit/>
          <w:jc w:val="center"/>
        </w:trPr>
        <w:tc>
          <w:tcPr>
            <w:tcW w:w="917" w:type="dxa"/>
            <w:tcBorders>
              <w:top w:val="single" w:sz="4" w:space="0" w:color="auto"/>
              <w:bottom w:val="single" w:sz="4" w:space="0" w:color="auto"/>
            </w:tcBorders>
            <w:shd w:val="clear" w:color="auto" w:fill="FFFFFF"/>
            <w:vAlign w:val="center"/>
          </w:tcPr>
          <w:p w14:paraId="203DA760" w14:textId="77777777" w:rsidR="00F624AA" w:rsidRPr="000F3C29" w:rsidRDefault="00F624AA" w:rsidP="00F624AA">
            <w:pPr>
              <w:autoSpaceDE w:val="0"/>
              <w:autoSpaceDN w:val="0"/>
              <w:adjustRightInd w:val="0"/>
              <w:ind w:left="60" w:right="60"/>
              <w:rPr>
                <w:rFonts w:ascii="Arial" w:hAnsi="Arial" w:cs="Arial"/>
                <w:color w:val="000000"/>
                <w:szCs w:val="18"/>
              </w:rPr>
            </w:pPr>
          </w:p>
        </w:tc>
        <w:tc>
          <w:tcPr>
            <w:tcW w:w="1148" w:type="dxa"/>
            <w:tcBorders>
              <w:top w:val="single" w:sz="4" w:space="0" w:color="auto"/>
              <w:bottom w:val="single" w:sz="4" w:space="0" w:color="auto"/>
            </w:tcBorders>
            <w:shd w:val="clear" w:color="auto" w:fill="FFFFFF"/>
            <w:vAlign w:val="center"/>
          </w:tcPr>
          <w:p w14:paraId="784AD940" w14:textId="77777777" w:rsidR="00F624AA" w:rsidRPr="000F3C29" w:rsidRDefault="00F624A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Frequency</w:t>
            </w:r>
          </w:p>
        </w:tc>
        <w:tc>
          <w:tcPr>
            <w:tcW w:w="1009" w:type="dxa"/>
            <w:tcBorders>
              <w:top w:val="single" w:sz="4" w:space="0" w:color="auto"/>
              <w:bottom w:val="single" w:sz="4" w:space="0" w:color="auto"/>
            </w:tcBorders>
            <w:shd w:val="clear" w:color="auto" w:fill="FFFFFF"/>
            <w:vAlign w:val="center"/>
          </w:tcPr>
          <w:p w14:paraId="6A7D621C" w14:textId="77777777" w:rsidR="00F624AA" w:rsidRPr="000F3C29" w:rsidRDefault="00F624A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Percent</w:t>
            </w:r>
          </w:p>
        </w:tc>
      </w:tr>
      <w:tr w:rsidR="00F624AA" w:rsidRPr="000F3C29" w14:paraId="397752AD" w14:textId="77777777" w:rsidTr="002F16EC">
        <w:trPr>
          <w:cantSplit/>
          <w:jc w:val="center"/>
        </w:trPr>
        <w:tc>
          <w:tcPr>
            <w:tcW w:w="917" w:type="dxa"/>
            <w:tcBorders>
              <w:top w:val="single" w:sz="4" w:space="0" w:color="auto"/>
              <w:bottom w:val="single" w:sz="4" w:space="0" w:color="auto"/>
            </w:tcBorders>
            <w:shd w:val="clear" w:color="auto" w:fill="FFFFFF"/>
            <w:vAlign w:val="center"/>
          </w:tcPr>
          <w:p w14:paraId="47FA22E9" w14:textId="77777777" w:rsidR="00F624AA" w:rsidRPr="00D2077A" w:rsidRDefault="00F624AA"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Male</w:t>
            </w:r>
          </w:p>
        </w:tc>
        <w:tc>
          <w:tcPr>
            <w:tcW w:w="1148" w:type="dxa"/>
            <w:tcBorders>
              <w:top w:val="single" w:sz="4" w:space="0" w:color="auto"/>
              <w:bottom w:val="single" w:sz="4" w:space="0" w:color="auto"/>
            </w:tcBorders>
            <w:shd w:val="clear" w:color="auto" w:fill="FFFFFF"/>
            <w:vAlign w:val="center"/>
          </w:tcPr>
          <w:p w14:paraId="621A27C6" w14:textId="77777777" w:rsidR="00F624AA" w:rsidRPr="00D2077A" w:rsidRDefault="00F624A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30</w:t>
            </w:r>
          </w:p>
        </w:tc>
        <w:tc>
          <w:tcPr>
            <w:tcW w:w="1009" w:type="dxa"/>
            <w:tcBorders>
              <w:top w:val="single" w:sz="4" w:space="0" w:color="auto"/>
              <w:bottom w:val="single" w:sz="4" w:space="0" w:color="auto"/>
            </w:tcBorders>
            <w:shd w:val="clear" w:color="auto" w:fill="FFFFFF"/>
            <w:vAlign w:val="center"/>
          </w:tcPr>
          <w:p w14:paraId="2074BCAF" w14:textId="77777777" w:rsidR="00F624AA" w:rsidRPr="00D2077A" w:rsidRDefault="00F624A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29.7</w:t>
            </w:r>
          </w:p>
        </w:tc>
      </w:tr>
      <w:tr w:rsidR="00F624AA" w:rsidRPr="000F3C29" w14:paraId="3D9DD582" w14:textId="77777777" w:rsidTr="002F16EC">
        <w:trPr>
          <w:cantSplit/>
          <w:jc w:val="center"/>
        </w:trPr>
        <w:tc>
          <w:tcPr>
            <w:tcW w:w="917" w:type="dxa"/>
            <w:tcBorders>
              <w:top w:val="single" w:sz="4" w:space="0" w:color="auto"/>
              <w:bottom w:val="single" w:sz="4" w:space="0" w:color="auto"/>
            </w:tcBorders>
            <w:shd w:val="clear" w:color="auto" w:fill="FFFFFF"/>
            <w:vAlign w:val="center"/>
          </w:tcPr>
          <w:p w14:paraId="31AB8D2B" w14:textId="77777777" w:rsidR="00F624AA" w:rsidRPr="00D2077A" w:rsidRDefault="00F624AA"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lastRenderedPageBreak/>
              <w:t>Female</w:t>
            </w:r>
          </w:p>
        </w:tc>
        <w:tc>
          <w:tcPr>
            <w:tcW w:w="1148" w:type="dxa"/>
            <w:tcBorders>
              <w:top w:val="single" w:sz="4" w:space="0" w:color="auto"/>
              <w:bottom w:val="single" w:sz="4" w:space="0" w:color="auto"/>
            </w:tcBorders>
            <w:shd w:val="clear" w:color="auto" w:fill="FFFFFF"/>
            <w:vAlign w:val="center"/>
          </w:tcPr>
          <w:p w14:paraId="1D5367B1" w14:textId="77777777" w:rsidR="00F624AA" w:rsidRPr="00D2077A" w:rsidRDefault="00F624A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71</w:t>
            </w:r>
          </w:p>
        </w:tc>
        <w:tc>
          <w:tcPr>
            <w:tcW w:w="1009" w:type="dxa"/>
            <w:tcBorders>
              <w:top w:val="single" w:sz="4" w:space="0" w:color="auto"/>
              <w:bottom w:val="single" w:sz="4" w:space="0" w:color="auto"/>
            </w:tcBorders>
            <w:shd w:val="clear" w:color="auto" w:fill="FFFFFF"/>
            <w:vAlign w:val="center"/>
          </w:tcPr>
          <w:p w14:paraId="23BDA634" w14:textId="77777777" w:rsidR="00F624AA" w:rsidRPr="00D2077A" w:rsidRDefault="00F624A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70.3</w:t>
            </w:r>
          </w:p>
        </w:tc>
      </w:tr>
      <w:tr w:rsidR="00F624AA" w:rsidRPr="000F3C29" w14:paraId="1ECB7C55" w14:textId="77777777" w:rsidTr="002F16EC">
        <w:trPr>
          <w:cantSplit/>
          <w:jc w:val="center"/>
        </w:trPr>
        <w:tc>
          <w:tcPr>
            <w:tcW w:w="917" w:type="dxa"/>
            <w:tcBorders>
              <w:top w:val="single" w:sz="4" w:space="0" w:color="auto"/>
              <w:bottom w:val="single" w:sz="4" w:space="0" w:color="auto"/>
            </w:tcBorders>
            <w:shd w:val="clear" w:color="auto" w:fill="FFFFFF"/>
            <w:vAlign w:val="center"/>
          </w:tcPr>
          <w:p w14:paraId="6B14B40A" w14:textId="77777777" w:rsidR="00F624AA" w:rsidRPr="00D2077A" w:rsidRDefault="00F624AA" w:rsidP="000F3C29">
            <w:pPr>
              <w:autoSpaceDE w:val="0"/>
              <w:autoSpaceDN w:val="0"/>
              <w:adjustRightInd w:val="0"/>
              <w:ind w:left="60" w:right="60"/>
              <w:jc w:val="center"/>
              <w:rPr>
                <w:rFonts w:ascii="Arial" w:hAnsi="Arial" w:cs="Arial"/>
                <w:color w:val="000000"/>
                <w:szCs w:val="18"/>
              </w:rPr>
            </w:pPr>
            <w:r w:rsidRPr="00D2077A">
              <w:rPr>
                <w:rFonts w:ascii="Arial" w:hAnsi="Arial" w:cs="Arial"/>
                <w:color w:val="000000"/>
                <w:szCs w:val="18"/>
              </w:rPr>
              <w:t>Total</w:t>
            </w:r>
          </w:p>
        </w:tc>
        <w:tc>
          <w:tcPr>
            <w:tcW w:w="1148" w:type="dxa"/>
            <w:tcBorders>
              <w:top w:val="single" w:sz="4" w:space="0" w:color="auto"/>
              <w:bottom w:val="single" w:sz="4" w:space="0" w:color="auto"/>
            </w:tcBorders>
            <w:shd w:val="clear" w:color="auto" w:fill="FFFFFF"/>
            <w:vAlign w:val="center"/>
          </w:tcPr>
          <w:p w14:paraId="144BDF58" w14:textId="77777777" w:rsidR="00F624AA" w:rsidRPr="00D2077A" w:rsidRDefault="00F624A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101</w:t>
            </w:r>
          </w:p>
        </w:tc>
        <w:tc>
          <w:tcPr>
            <w:tcW w:w="1009" w:type="dxa"/>
            <w:tcBorders>
              <w:top w:val="single" w:sz="4" w:space="0" w:color="auto"/>
              <w:bottom w:val="single" w:sz="4" w:space="0" w:color="auto"/>
            </w:tcBorders>
            <w:shd w:val="clear" w:color="auto" w:fill="FFFFFF"/>
            <w:vAlign w:val="center"/>
          </w:tcPr>
          <w:p w14:paraId="3DC3E240" w14:textId="77777777" w:rsidR="00F624AA" w:rsidRPr="00D2077A" w:rsidRDefault="00F624A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100.0</w:t>
            </w:r>
          </w:p>
        </w:tc>
      </w:tr>
      <w:tr w:rsidR="002F16EC" w:rsidRPr="000F3C29" w14:paraId="264E4079" w14:textId="77777777" w:rsidTr="002F16EC">
        <w:trPr>
          <w:cantSplit/>
          <w:jc w:val="center"/>
        </w:trPr>
        <w:tc>
          <w:tcPr>
            <w:tcW w:w="3074" w:type="dxa"/>
            <w:gridSpan w:val="3"/>
            <w:tcBorders>
              <w:top w:val="single" w:sz="4" w:space="0" w:color="auto"/>
              <w:bottom w:val="nil"/>
            </w:tcBorders>
            <w:shd w:val="clear" w:color="auto" w:fill="FFFFFF"/>
            <w:vAlign w:val="center"/>
          </w:tcPr>
          <w:p w14:paraId="7F6D7C80" w14:textId="77777777" w:rsidR="002F16EC" w:rsidRPr="00D2077A" w:rsidRDefault="002F16EC" w:rsidP="002F16EC">
            <w:pPr>
              <w:autoSpaceDE w:val="0"/>
              <w:autoSpaceDN w:val="0"/>
              <w:adjustRightInd w:val="0"/>
              <w:ind w:left="60" w:right="60"/>
              <w:jc w:val="center"/>
              <w:rPr>
                <w:rFonts w:ascii="Arial" w:hAnsi="Arial" w:cs="Arial"/>
                <w:color w:val="000000"/>
                <w:szCs w:val="18"/>
              </w:rPr>
            </w:pPr>
            <w:proofErr w:type="gramStart"/>
            <w:r>
              <w:rPr>
                <w:rFonts w:ascii="Arial" w:hAnsi="Arial" w:cs="Arial"/>
                <w:color w:val="000000"/>
                <w:szCs w:val="18"/>
              </w:rPr>
              <w:t>Source :</w:t>
            </w:r>
            <w:proofErr w:type="gramEnd"/>
            <w:r>
              <w:rPr>
                <w:rFonts w:ascii="Arial" w:hAnsi="Arial" w:cs="Arial"/>
                <w:color w:val="000000"/>
                <w:szCs w:val="18"/>
              </w:rPr>
              <w:t xml:space="preserve"> (researcher data, 2025)</w:t>
            </w:r>
          </w:p>
        </w:tc>
      </w:tr>
    </w:tbl>
    <w:p w14:paraId="230C331B" w14:textId="77777777" w:rsidR="00985B13" w:rsidRDefault="002F16EC" w:rsidP="00E1218B">
      <w:pPr>
        <w:pStyle w:val="NormalWeb"/>
        <w:jc w:val="both"/>
        <w:rPr>
          <w:rFonts w:ascii="Arial" w:hAnsi="Arial" w:cs="Arial"/>
          <w:sz w:val="20"/>
          <w:szCs w:val="20"/>
        </w:rPr>
      </w:pPr>
      <w:r w:rsidRPr="002F16EC">
        <w:rPr>
          <w:rFonts w:ascii="Arial" w:hAnsi="Arial" w:cs="Arial"/>
          <w:sz w:val="20"/>
        </w:rPr>
        <w:t xml:space="preserve">This research shows that the </w:t>
      </w:r>
      <w:r w:rsidRPr="002F16EC">
        <w:rPr>
          <w:rFonts w:ascii="Arial" w:hAnsi="Arial" w:cs="Arial"/>
          <w:bCs/>
          <w:sz w:val="20"/>
        </w:rPr>
        <w:t>majority of service users are women</w:t>
      </w:r>
      <w:r w:rsidRPr="002F16EC">
        <w:rPr>
          <w:rFonts w:ascii="Arial" w:hAnsi="Arial" w:cs="Arial"/>
          <w:sz w:val="20"/>
        </w:rPr>
        <w:t xml:space="preserve">. With a percentage of 71%, it can be concluded that women interact or use this service much more than men. This could indicate </w:t>
      </w:r>
      <w:r>
        <w:rPr>
          <w:rFonts w:ascii="Arial" w:hAnsi="Arial" w:cs="Arial"/>
          <w:sz w:val="20"/>
        </w:rPr>
        <w:t xml:space="preserve">several things, the services or products offered by </w:t>
      </w:r>
      <w:proofErr w:type="spellStart"/>
      <w:r>
        <w:rPr>
          <w:rFonts w:ascii="Arial" w:hAnsi="Arial" w:cs="Arial"/>
          <w:sz w:val="20"/>
        </w:rPr>
        <w:t>Siaga</w:t>
      </w:r>
      <w:proofErr w:type="spellEnd"/>
      <w:r>
        <w:rPr>
          <w:rFonts w:ascii="Arial" w:hAnsi="Arial" w:cs="Arial"/>
          <w:sz w:val="20"/>
        </w:rPr>
        <w:t xml:space="preserve"> Tour </w:t>
      </w:r>
      <w:r w:rsidRPr="002F16EC">
        <w:rPr>
          <w:rFonts w:ascii="Arial" w:hAnsi="Arial" w:cs="Arial"/>
          <w:sz w:val="20"/>
        </w:rPr>
        <w:t xml:space="preserve">are specifically aimed at women </w:t>
      </w:r>
      <w:r w:rsidR="00E1218B">
        <w:rPr>
          <w:rFonts w:ascii="Arial" w:hAnsi="Arial" w:cs="Arial"/>
          <w:sz w:val="20"/>
        </w:rPr>
        <w:t xml:space="preserve">because they </w:t>
      </w:r>
      <w:r w:rsidRPr="002F16EC">
        <w:rPr>
          <w:rFonts w:ascii="Arial" w:hAnsi="Arial" w:cs="Arial"/>
          <w:sz w:val="20"/>
        </w:rPr>
        <w:t xml:space="preserve">have features, designs, or marketing that are more attractive to a female audience. Women have a </w:t>
      </w:r>
      <w:r w:rsidRPr="00E1218B">
        <w:rPr>
          <w:rFonts w:ascii="Arial" w:hAnsi="Arial" w:cs="Arial"/>
          <w:sz w:val="20"/>
          <w:szCs w:val="20"/>
        </w:rPr>
        <w:t>greater tendency or need to use this service than men</w:t>
      </w:r>
      <w:r w:rsidR="00E1218B">
        <w:rPr>
          <w:rFonts w:ascii="Arial" w:hAnsi="Arial" w:cs="Arial"/>
          <w:sz w:val="20"/>
          <w:szCs w:val="20"/>
        </w:rPr>
        <w:t xml:space="preserve">. </w:t>
      </w:r>
    </w:p>
    <w:p w14:paraId="261161C9" w14:textId="77777777" w:rsidR="002F16EC" w:rsidRPr="00D2077A" w:rsidRDefault="00985B13" w:rsidP="00985B13">
      <w:pPr>
        <w:pStyle w:val="NormalWeb"/>
        <w:jc w:val="both"/>
        <w:rPr>
          <w:sz w:val="28"/>
        </w:rPr>
      </w:pPr>
      <w:r>
        <w:rPr>
          <w:rFonts w:ascii="Arial" w:hAnsi="Arial" w:cs="Arial"/>
          <w:sz w:val="20"/>
          <w:szCs w:val="20"/>
        </w:rPr>
        <w:t xml:space="preserve">Based on researcher observations, </w:t>
      </w:r>
      <w:r w:rsidR="00E1218B" w:rsidRPr="00E1218B">
        <w:rPr>
          <w:rFonts w:ascii="Arial" w:hAnsi="Arial" w:cs="Arial"/>
          <w:sz w:val="20"/>
          <w:szCs w:val="20"/>
        </w:rPr>
        <w:t xml:space="preserve">many </w:t>
      </w:r>
      <w:r>
        <w:rPr>
          <w:rFonts w:ascii="Arial" w:hAnsi="Arial" w:cs="Arial"/>
          <w:sz w:val="20"/>
          <w:szCs w:val="20"/>
        </w:rPr>
        <w:t xml:space="preserve">female consumers </w:t>
      </w:r>
      <w:r w:rsidR="00E1218B" w:rsidRPr="00E1218B">
        <w:rPr>
          <w:rFonts w:ascii="Arial" w:hAnsi="Arial" w:cs="Arial"/>
          <w:sz w:val="20"/>
          <w:szCs w:val="20"/>
        </w:rPr>
        <w:t xml:space="preserve">travel in groups, be it with extended families, social gatherings, or communities. The bus rental service from </w:t>
      </w:r>
      <w:proofErr w:type="spellStart"/>
      <w:r w:rsidR="00E1218B" w:rsidRPr="00E1218B">
        <w:rPr>
          <w:rFonts w:ascii="Arial" w:hAnsi="Arial" w:cs="Arial"/>
          <w:sz w:val="20"/>
          <w:szCs w:val="20"/>
        </w:rPr>
        <w:t>Siaga</w:t>
      </w:r>
      <w:proofErr w:type="spellEnd"/>
      <w:r w:rsidR="00E1218B" w:rsidRPr="00E1218B">
        <w:rPr>
          <w:rFonts w:ascii="Arial" w:hAnsi="Arial" w:cs="Arial"/>
          <w:sz w:val="20"/>
          <w:szCs w:val="20"/>
        </w:rPr>
        <w:t xml:space="preserve"> Tour is ideal because it makes it easy for them to plan their trip without having to bother taking care of their own transportation. The destinations they offer, such as </w:t>
      </w:r>
      <w:proofErr w:type="spellStart"/>
      <w:r>
        <w:rPr>
          <w:rFonts w:ascii="Arial" w:hAnsi="Arial" w:cs="Arial"/>
          <w:sz w:val="20"/>
          <w:szCs w:val="20"/>
        </w:rPr>
        <w:t>Kuningan</w:t>
      </w:r>
      <w:proofErr w:type="spellEnd"/>
      <w:r>
        <w:rPr>
          <w:rFonts w:ascii="Arial" w:hAnsi="Arial" w:cs="Arial"/>
          <w:sz w:val="20"/>
          <w:szCs w:val="20"/>
        </w:rPr>
        <w:t xml:space="preserve">, Cirebon, </w:t>
      </w:r>
      <w:r w:rsidR="00E1218B" w:rsidRPr="00E1218B">
        <w:rPr>
          <w:rFonts w:ascii="Arial" w:hAnsi="Arial" w:cs="Arial"/>
          <w:sz w:val="20"/>
          <w:szCs w:val="20"/>
        </w:rPr>
        <w:t xml:space="preserve">Malang and Yogyakarta, are known to have various types of tourism in one area (culinary, shopping, nature, and culture). </w:t>
      </w:r>
      <w:r>
        <w:rPr>
          <w:rFonts w:ascii="Arial" w:hAnsi="Arial" w:cs="Arial"/>
          <w:sz w:val="20"/>
          <w:szCs w:val="20"/>
        </w:rPr>
        <w:t xml:space="preserve">This type of service </w:t>
      </w:r>
      <w:r w:rsidR="00E1218B" w:rsidRPr="00E1218B">
        <w:rPr>
          <w:rFonts w:ascii="Arial" w:hAnsi="Arial" w:cs="Arial"/>
          <w:sz w:val="20"/>
          <w:szCs w:val="20"/>
        </w:rPr>
        <w:t xml:space="preserve">is perfect for mothers who want a comprehensive vacation, where they can go to tourist attractions, shop for souvenirs, and enjoy culinary without having to move too far from the city. </w:t>
      </w:r>
      <w:sdt>
        <w:sdtPr>
          <w:rPr>
            <w:rFonts w:ascii="Arial" w:hAnsi="Arial" w:cs="Arial"/>
            <w:sz w:val="20"/>
            <w:szCs w:val="20"/>
          </w:rPr>
          <w:id w:val="-1078987776"/>
          <w:citation/>
        </w:sdtPr>
        <w:sdtEndPr/>
        <w:sdtContent>
          <w:r w:rsidR="00A87441" w:rsidRPr="00A87441">
            <w:rPr>
              <w:rFonts w:ascii="Arial" w:hAnsi="Arial" w:cs="Arial"/>
              <w:noProof/>
              <w:sz w:val="20"/>
              <w:szCs w:val="20"/>
            </w:rPr>
            <w:t xml:space="preserve">(Sapna, Raheja, Malik, &amp; Dighliya, 2023) . </w:t>
          </w:r>
        </w:sdtContent>
      </w:sdt>
      <w:r w:rsidRPr="00985B13">
        <w:rPr>
          <w:rFonts w:ascii="Arial" w:hAnsi="Arial" w:cs="Arial"/>
          <w:sz w:val="20"/>
          <w:szCs w:val="20"/>
        </w:rPr>
        <w:t xml:space="preserve">All-in-one destinations that offer a variety of attractions, including shopping, dining, and cultural experiences, are particularly attractive to female travelers, as they provide convenience and a variety of activities in one location </w:t>
      </w:r>
      <w:sdt>
        <w:sdtPr>
          <w:rPr>
            <w:rFonts w:ascii="Arial" w:hAnsi="Arial" w:cs="Arial"/>
            <w:sz w:val="20"/>
            <w:szCs w:val="20"/>
          </w:rPr>
          <w:id w:val="-1731062074"/>
          <w:citation/>
        </w:sdtPr>
        <w:sdtEndPr/>
        <w:sdtContent>
          <w:r w:rsidR="00A87441" w:rsidRPr="00A87441">
            <w:rPr>
              <w:rFonts w:ascii="Arial" w:hAnsi="Arial" w:cs="Arial"/>
              <w:noProof/>
              <w:sz w:val="20"/>
              <w:szCs w:val="20"/>
            </w:rPr>
            <w:t>(Sapna, Raheja, Malik, &amp; Dighliya, 2023) .</w:t>
          </w:r>
        </w:sdtContent>
      </w:sdt>
      <w:r w:rsidRPr="00985B13">
        <w:rPr>
          <w:rFonts w:ascii="Arial" w:hAnsi="Arial" w:cs="Arial"/>
          <w:sz w:val="20"/>
          <w:szCs w:val="20"/>
        </w:rPr>
        <w:t xml:space="preserve">Such destinations often incorporate safety and hygiene standards, which are important factors for female travelers when choosing a place to visit </w:t>
      </w:r>
      <w:r>
        <w:rPr>
          <w:rFonts w:ascii="Arial" w:hAnsi="Arial" w:cs="Arial"/>
          <w:sz w:val="20"/>
          <w:szCs w:val="20"/>
        </w:rPr>
        <w:t xml:space="preserve"> In addition, many attractive photo spots are offered at the destinations visited. </w:t>
      </w:r>
      <w:sdt>
        <w:sdtPr>
          <w:rPr>
            <w:rFonts w:ascii="Arial" w:hAnsi="Arial" w:cs="Arial"/>
            <w:sz w:val="20"/>
            <w:szCs w:val="20"/>
          </w:rPr>
          <w:id w:val="1314910724"/>
          <w:citation/>
        </w:sdtPr>
        <w:sdtEndPr/>
        <w:sdtContent>
          <w:r w:rsidR="00A87441" w:rsidRPr="00A87441">
            <w:rPr>
              <w:rFonts w:ascii="Arial" w:hAnsi="Arial" w:cs="Arial"/>
              <w:noProof/>
              <w:sz w:val="20"/>
              <w:szCs w:val="20"/>
            </w:rPr>
            <w:t>(Yulianto &amp; Brahmanto, 2023) .</w:t>
          </w:r>
        </w:sdtContent>
      </w:sdt>
      <w:r w:rsidRPr="00985B13">
        <w:rPr>
          <w:rFonts w:ascii="Arial" w:hAnsi="Arial" w:cs="Arial"/>
          <w:sz w:val="20"/>
          <w:szCs w:val="20"/>
        </w:rPr>
        <w:t xml:space="preserve">Research shows that female travelers are attracted to destinations that combine natural beauty with cultural elements, increasing their photo opportunities </w:t>
      </w:r>
    </w:p>
    <w:p w14:paraId="03E120BC" w14:textId="77777777" w:rsidR="000F3C29" w:rsidRDefault="000F3C29" w:rsidP="000F3C29">
      <w:pPr>
        <w:pStyle w:val="Body"/>
        <w:spacing w:after="0"/>
        <w:rPr>
          <w:rFonts w:ascii="Arial" w:hAnsi="Arial" w:cs="Arial"/>
        </w:rPr>
      </w:pPr>
      <w:r w:rsidRPr="00FF2AA1">
        <w:rPr>
          <w:rFonts w:ascii="Arial" w:hAnsi="Arial" w:cs="Arial"/>
          <w:b/>
          <w:u w:val="single"/>
        </w:rPr>
        <w:t>3.1.</w:t>
      </w:r>
      <w:r>
        <w:rPr>
          <w:rFonts w:ascii="Arial" w:hAnsi="Arial" w:cs="Arial"/>
          <w:b/>
          <w:u w:val="single"/>
        </w:rPr>
        <w:t xml:space="preserve">2 Age </w:t>
      </w:r>
    </w:p>
    <w:p w14:paraId="6EB16F10" w14:textId="77777777" w:rsidR="000F3C29" w:rsidRDefault="00D60459" w:rsidP="000F3C29">
      <w:pPr>
        <w:pStyle w:val="Body"/>
        <w:spacing w:after="0"/>
        <w:rPr>
          <w:rFonts w:ascii="Arial" w:hAnsi="Arial" w:cs="Arial"/>
        </w:rPr>
      </w:pPr>
      <w:r>
        <w:rPr>
          <w:rFonts w:ascii="Arial" w:hAnsi="Arial" w:cs="Arial"/>
        </w:rPr>
        <w:t xml:space="preserve">The next respondent profile is based on age, </w:t>
      </w:r>
      <w:r w:rsidRPr="00D60459">
        <w:rPr>
          <w:rFonts w:ascii="Arial" w:hAnsi="Arial" w:cs="Arial"/>
        </w:rPr>
        <w:t>as a basis for understanding user characteristics and preferences from a demographic perspective</w:t>
      </w:r>
      <w:r>
        <w:rPr>
          <w:rFonts w:ascii="Arial" w:hAnsi="Arial" w:cs="Arial"/>
        </w:rPr>
        <w:t>. The following is the complete data of respondent profiles by age;</w:t>
      </w:r>
    </w:p>
    <w:p w14:paraId="27FE9D71" w14:textId="1FE18297" w:rsidR="000F3C29" w:rsidRPr="00D2077A" w:rsidRDefault="001853F0" w:rsidP="000F3C29">
      <w:pPr>
        <w:autoSpaceDE w:val="0"/>
        <w:autoSpaceDN w:val="0"/>
        <w:adjustRightInd w:val="0"/>
        <w:jc w:val="center"/>
        <w:rPr>
          <w:rFonts w:ascii="Arial" w:hAnsi="Arial" w:cs="Arial"/>
          <w:b/>
          <w:szCs w:val="24"/>
        </w:rPr>
      </w:pPr>
      <w:r>
        <w:rPr>
          <w:rFonts w:ascii="Arial" w:hAnsi="Arial" w:cs="Arial"/>
          <w:b/>
          <w:szCs w:val="24"/>
        </w:rPr>
        <w:t xml:space="preserve">Table </w:t>
      </w:r>
      <w:r w:rsidR="000F3C29" w:rsidRPr="000F3C29">
        <w:rPr>
          <w:rFonts w:ascii="Arial" w:hAnsi="Arial" w:cs="Arial"/>
          <w:b/>
          <w:szCs w:val="24"/>
        </w:rPr>
        <w:t>2. Age</w:t>
      </w:r>
    </w:p>
    <w:tbl>
      <w:tblPr>
        <w:tblW w:w="3411"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255"/>
        <w:gridCol w:w="1147"/>
        <w:gridCol w:w="1009"/>
      </w:tblGrid>
      <w:tr w:rsidR="000F3C29" w:rsidRPr="000F3C29" w14:paraId="42566F1E" w14:textId="77777777" w:rsidTr="000F3C29">
        <w:trPr>
          <w:cantSplit/>
          <w:jc w:val="center"/>
        </w:trPr>
        <w:tc>
          <w:tcPr>
            <w:tcW w:w="1255" w:type="dxa"/>
            <w:tcBorders>
              <w:top w:val="single" w:sz="4" w:space="0" w:color="auto"/>
              <w:bottom w:val="single" w:sz="4" w:space="0" w:color="auto"/>
            </w:tcBorders>
            <w:shd w:val="clear" w:color="auto" w:fill="FFFFFF"/>
            <w:vAlign w:val="center"/>
          </w:tcPr>
          <w:p w14:paraId="6DEACFCA" w14:textId="77777777" w:rsidR="000F3C29" w:rsidRPr="000F3C29" w:rsidRDefault="000F3C29" w:rsidP="00F624AA">
            <w:pPr>
              <w:autoSpaceDE w:val="0"/>
              <w:autoSpaceDN w:val="0"/>
              <w:adjustRightInd w:val="0"/>
              <w:ind w:left="60" w:right="60"/>
              <w:rPr>
                <w:rFonts w:ascii="Arial" w:hAnsi="Arial" w:cs="Arial"/>
                <w:color w:val="000000"/>
                <w:szCs w:val="18"/>
              </w:rPr>
            </w:pPr>
          </w:p>
        </w:tc>
        <w:tc>
          <w:tcPr>
            <w:tcW w:w="1147" w:type="dxa"/>
            <w:tcBorders>
              <w:top w:val="single" w:sz="4" w:space="0" w:color="auto"/>
              <w:bottom w:val="single" w:sz="4" w:space="0" w:color="auto"/>
            </w:tcBorders>
            <w:shd w:val="clear" w:color="auto" w:fill="FFFFFF"/>
          </w:tcPr>
          <w:p w14:paraId="64326D1F" w14:textId="77777777" w:rsidR="000F3C29" w:rsidRPr="00D2077A" w:rsidRDefault="000F3C29" w:rsidP="00085BD1">
            <w:pPr>
              <w:autoSpaceDE w:val="0"/>
              <w:autoSpaceDN w:val="0"/>
              <w:adjustRightInd w:val="0"/>
              <w:ind w:left="60" w:right="60"/>
              <w:jc w:val="center"/>
              <w:rPr>
                <w:rFonts w:ascii="Arial" w:hAnsi="Arial" w:cs="Arial"/>
                <w:color w:val="000000"/>
                <w:szCs w:val="18"/>
              </w:rPr>
            </w:pPr>
            <w:r w:rsidRPr="00D2077A">
              <w:rPr>
                <w:rFonts w:ascii="Arial" w:hAnsi="Arial" w:cs="Arial"/>
                <w:color w:val="000000"/>
                <w:szCs w:val="18"/>
              </w:rPr>
              <w:t>Frequency</w:t>
            </w:r>
          </w:p>
        </w:tc>
        <w:tc>
          <w:tcPr>
            <w:tcW w:w="1009" w:type="dxa"/>
            <w:tcBorders>
              <w:top w:val="single" w:sz="4" w:space="0" w:color="auto"/>
              <w:bottom w:val="single" w:sz="4" w:space="0" w:color="auto"/>
            </w:tcBorders>
            <w:shd w:val="clear" w:color="auto" w:fill="FFFFFF"/>
            <w:vAlign w:val="center"/>
          </w:tcPr>
          <w:p w14:paraId="7D911819" w14:textId="77777777" w:rsidR="000F3C29" w:rsidRPr="000F3C29"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Percent</w:t>
            </w:r>
          </w:p>
        </w:tc>
      </w:tr>
      <w:tr w:rsidR="000F3C29" w:rsidRPr="000F3C29" w14:paraId="2CA6FD7B" w14:textId="77777777" w:rsidTr="000F3C29">
        <w:trPr>
          <w:cantSplit/>
          <w:jc w:val="center"/>
        </w:trPr>
        <w:tc>
          <w:tcPr>
            <w:tcW w:w="1255" w:type="dxa"/>
            <w:tcBorders>
              <w:top w:val="single" w:sz="4" w:space="0" w:color="auto"/>
            </w:tcBorders>
            <w:shd w:val="clear" w:color="auto" w:fill="FFFFFF"/>
            <w:vAlign w:val="center"/>
          </w:tcPr>
          <w:p w14:paraId="08F1AB71"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13 - 28 years</w:t>
            </w:r>
          </w:p>
        </w:tc>
        <w:tc>
          <w:tcPr>
            <w:tcW w:w="1147" w:type="dxa"/>
            <w:tcBorders>
              <w:top w:val="single" w:sz="4" w:space="0" w:color="auto"/>
            </w:tcBorders>
            <w:shd w:val="clear" w:color="auto" w:fill="FFFFFF"/>
            <w:vAlign w:val="center"/>
          </w:tcPr>
          <w:p w14:paraId="3A4AC3DA"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16</w:t>
            </w:r>
          </w:p>
        </w:tc>
        <w:tc>
          <w:tcPr>
            <w:tcW w:w="1009" w:type="dxa"/>
            <w:tcBorders>
              <w:top w:val="single" w:sz="4" w:space="0" w:color="auto"/>
            </w:tcBorders>
            <w:shd w:val="clear" w:color="auto" w:fill="FFFFFF"/>
            <w:vAlign w:val="center"/>
          </w:tcPr>
          <w:p w14:paraId="614845B4"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15.8</w:t>
            </w:r>
          </w:p>
        </w:tc>
      </w:tr>
      <w:tr w:rsidR="000F3C29" w:rsidRPr="000F3C29" w14:paraId="2103E338" w14:textId="77777777" w:rsidTr="000F3C29">
        <w:trPr>
          <w:cantSplit/>
          <w:jc w:val="center"/>
        </w:trPr>
        <w:tc>
          <w:tcPr>
            <w:tcW w:w="1255" w:type="dxa"/>
            <w:shd w:val="clear" w:color="auto" w:fill="FFFFFF"/>
            <w:vAlign w:val="center"/>
          </w:tcPr>
          <w:p w14:paraId="1D573186"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29 - 44 years</w:t>
            </w:r>
          </w:p>
        </w:tc>
        <w:tc>
          <w:tcPr>
            <w:tcW w:w="1147" w:type="dxa"/>
            <w:shd w:val="clear" w:color="auto" w:fill="FFFFFF"/>
            <w:vAlign w:val="center"/>
          </w:tcPr>
          <w:p w14:paraId="3513B35A"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41</w:t>
            </w:r>
          </w:p>
        </w:tc>
        <w:tc>
          <w:tcPr>
            <w:tcW w:w="1009" w:type="dxa"/>
            <w:shd w:val="clear" w:color="auto" w:fill="FFFFFF"/>
            <w:vAlign w:val="center"/>
          </w:tcPr>
          <w:p w14:paraId="4FD45D16"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40.6</w:t>
            </w:r>
          </w:p>
        </w:tc>
      </w:tr>
      <w:tr w:rsidR="000F3C29" w:rsidRPr="000F3C29" w14:paraId="635F9765" w14:textId="77777777" w:rsidTr="000F3C29">
        <w:trPr>
          <w:cantSplit/>
          <w:jc w:val="center"/>
        </w:trPr>
        <w:tc>
          <w:tcPr>
            <w:tcW w:w="1255" w:type="dxa"/>
            <w:shd w:val="clear" w:color="auto" w:fill="FFFFFF"/>
            <w:vAlign w:val="center"/>
          </w:tcPr>
          <w:p w14:paraId="2D30A719"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45 - 60 years</w:t>
            </w:r>
          </w:p>
        </w:tc>
        <w:tc>
          <w:tcPr>
            <w:tcW w:w="1147" w:type="dxa"/>
            <w:shd w:val="clear" w:color="auto" w:fill="FFFFFF"/>
            <w:vAlign w:val="center"/>
          </w:tcPr>
          <w:p w14:paraId="3E87360F"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41</w:t>
            </w:r>
          </w:p>
        </w:tc>
        <w:tc>
          <w:tcPr>
            <w:tcW w:w="1009" w:type="dxa"/>
            <w:shd w:val="clear" w:color="auto" w:fill="FFFFFF"/>
            <w:vAlign w:val="center"/>
          </w:tcPr>
          <w:p w14:paraId="6431BE54"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40.6</w:t>
            </w:r>
          </w:p>
        </w:tc>
      </w:tr>
      <w:tr w:rsidR="000F3C29" w:rsidRPr="000F3C29" w14:paraId="15D58DB9" w14:textId="77777777" w:rsidTr="002F63B8">
        <w:trPr>
          <w:cantSplit/>
          <w:jc w:val="center"/>
        </w:trPr>
        <w:tc>
          <w:tcPr>
            <w:tcW w:w="1255" w:type="dxa"/>
            <w:tcBorders>
              <w:bottom w:val="single" w:sz="4" w:space="0" w:color="auto"/>
            </w:tcBorders>
            <w:shd w:val="clear" w:color="auto" w:fill="FFFFFF"/>
            <w:vAlign w:val="center"/>
          </w:tcPr>
          <w:p w14:paraId="653FF9B2"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61 - 79 years</w:t>
            </w:r>
          </w:p>
        </w:tc>
        <w:tc>
          <w:tcPr>
            <w:tcW w:w="1147" w:type="dxa"/>
            <w:tcBorders>
              <w:bottom w:val="single" w:sz="4" w:space="0" w:color="auto"/>
            </w:tcBorders>
            <w:shd w:val="clear" w:color="auto" w:fill="FFFFFF"/>
            <w:vAlign w:val="center"/>
          </w:tcPr>
          <w:p w14:paraId="625B131B"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3</w:t>
            </w:r>
          </w:p>
        </w:tc>
        <w:tc>
          <w:tcPr>
            <w:tcW w:w="1009" w:type="dxa"/>
            <w:tcBorders>
              <w:bottom w:val="single" w:sz="4" w:space="0" w:color="auto"/>
            </w:tcBorders>
            <w:shd w:val="clear" w:color="auto" w:fill="FFFFFF"/>
            <w:vAlign w:val="center"/>
          </w:tcPr>
          <w:p w14:paraId="5AF8CCCC"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3.0</w:t>
            </w:r>
          </w:p>
        </w:tc>
      </w:tr>
      <w:tr w:rsidR="000F3C29" w:rsidRPr="000F3C29" w14:paraId="1B9BD893" w14:textId="77777777" w:rsidTr="002F63B8">
        <w:trPr>
          <w:cantSplit/>
          <w:jc w:val="center"/>
        </w:trPr>
        <w:tc>
          <w:tcPr>
            <w:tcW w:w="1255" w:type="dxa"/>
            <w:tcBorders>
              <w:top w:val="single" w:sz="4" w:space="0" w:color="auto"/>
              <w:bottom w:val="single" w:sz="4" w:space="0" w:color="auto"/>
            </w:tcBorders>
            <w:shd w:val="clear" w:color="auto" w:fill="FFFFFF"/>
            <w:vAlign w:val="center"/>
          </w:tcPr>
          <w:p w14:paraId="3CAA9CFE" w14:textId="77777777" w:rsidR="000F3C29" w:rsidRPr="00D2077A" w:rsidRDefault="000F3C29" w:rsidP="000F3C29">
            <w:pPr>
              <w:autoSpaceDE w:val="0"/>
              <w:autoSpaceDN w:val="0"/>
              <w:adjustRightInd w:val="0"/>
              <w:ind w:left="60" w:right="60"/>
              <w:jc w:val="center"/>
              <w:rPr>
                <w:rFonts w:ascii="Arial" w:hAnsi="Arial" w:cs="Arial"/>
                <w:color w:val="000000"/>
                <w:szCs w:val="18"/>
              </w:rPr>
            </w:pPr>
            <w:r w:rsidRPr="00D2077A">
              <w:rPr>
                <w:rFonts w:ascii="Arial" w:hAnsi="Arial" w:cs="Arial"/>
                <w:color w:val="000000"/>
                <w:szCs w:val="18"/>
              </w:rPr>
              <w:t>Total</w:t>
            </w:r>
          </w:p>
        </w:tc>
        <w:tc>
          <w:tcPr>
            <w:tcW w:w="1147" w:type="dxa"/>
            <w:tcBorders>
              <w:top w:val="single" w:sz="4" w:space="0" w:color="auto"/>
              <w:bottom w:val="single" w:sz="4" w:space="0" w:color="auto"/>
            </w:tcBorders>
            <w:shd w:val="clear" w:color="auto" w:fill="FFFFFF"/>
            <w:vAlign w:val="center"/>
          </w:tcPr>
          <w:p w14:paraId="78558B3F"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101</w:t>
            </w:r>
          </w:p>
        </w:tc>
        <w:tc>
          <w:tcPr>
            <w:tcW w:w="1009" w:type="dxa"/>
            <w:tcBorders>
              <w:top w:val="single" w:sz="4" w:space="0" w:color="auto"/>
              <w:bottom w:val="single" w:sz="4" w:space="0" w:color="auto"/>
            </w:tcBorders>
            <w:shd w:val="clear" w:color="auto" w:fill="FFFFFF"/>
            <w:vAlign w:val="center"/>
          </w:tcPr>
          <w:p w14:paraId="04CBDAF7"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100.0</w:t>
            </w:r>
          </w:p>
        </w:tc>
      </w:tr>
      <w:tr w:rsidR="002F63B8" w:rsidRPr="000F3C29" w14:paraId="04E5F4C4" w14:textId="77777777" w:rsidTr="002F63B8">
        <w:trPr>
          <w:cantSplit/>
          <w:jc w:val="center"/>
        </w:trPr>
        <w:tc>
          <w:tcPr>
            <w:tcW w:w="3411" w:type="dxa"/>
            <w:gridSpan w:val="3"/>
            <w:tcBorders>
              <w:top w:val="single" w:sz="4" w:space="0" w:color="auto"/>
              <w:bottom w:val="nil"/>
            </w:tcBorders>
            <w:shd w:val="clear" w:color="auto" w:fill="FFFFFF"/>
            <w:vAlign w:val="center"/>
          </w:tcPr>
          <w:p w14:paraId="44D044A3" w14:textId="77777777" w:rsidR="002F63B8" w:rsidRPr="00D2077A" w:rsidRDefault="002F63B8" w:rsidP="00F624AA">
            <w:pPr>
              <w:autoSpaceDE w:val="0"/>
              <w:autoSpaceDN w:val="0"/>
              <w:adjustRightInd w:val="0"/>
              <w:ind w:left="60" w:right="60"/>
              <w:jc w:val="right"/>
              <w:rPr>
                <w:rFonts w:ascii="Arial" w:hAnsi="Arial" w:cs="Arial"/>
                <w:color w:val="000000"/>
                <w:szCs w:val="18"/>
              </w:rPr>
            </w:pPr>
            <w:proofErr w:type="gramStart"/>
            <w:r w:rsidRPr="002F63B8">
              <w:rPr>
                <w:rFonts w:ascii="Arial" w:hAnsi="Arial" w:cs="Arial"/>
                <w:color w:val="000000"/>
                <w:szCs w:val="18"/>
              </w:rPr>
              <w:t>Source :</w:t>
            </w:r>
            <w:proofErr w:type="gramEnd"/>
            <w:r w:rsidRPr="002F63B8">
              <w:rPr>
                <w:rFonts w:ascii="Arial" w:hAnsi="Arial" w:cs="Arial"/>
                <w:color w:val="000000"/>
                <w:szCs w:val="18"/>
              </w:rPr>
              <w:t xml:space="preserve"> (researcher data, 2025)</w:t>
            </w:r>
          </w:p>
        </w:tc>
      </w:tr>
    </w:tbl>
    <w:p w14:paraId="04EBA4A0" w14:textId="77777777" w:rsidR="00D60459" w:rsidRDefault="002F63B8" w:rsidP="00094CD4">
      <w:pPr>
        <w:autoSpaceDE w:val="0"/>
        <w:autoSpaceDN w:val="0"/>
        <w:adjustRightInd w:val="0"/>
        <w:jc w:val="both"/>
        <w:rPr>
          <w:rFonts w:ascii="Arial" w:hAnsi="Arial" w:cs="Arial"/>
          <w:szCs w:val="24"/>
        </w:rPr>
      </w:pPr>
      <w:r w:rsidRPr="002F63B8">
        <w:rPr>
          <w:rFonts w:ascii="Arial" w:hAnsi="Arial" w:cs="Arial"/>
          <w:szCs w:val="24"/>
        </w:rPr>
        <w:t>Age data shows that the majority of respondents are in the age range of 29 - 44 years (40.6%) and 45 - 60 years (40.6%). These age groups, often referred to as young adults and middle adults, play a central role in the use of the service</w:t>
      </w:r>
      <w:r w:rsidR="00094CD4">
        <w:rPr>
          <w:rFonts w:ascii="Arial" w:hAnsi="Arial" w:cs="Arial"/>
          <w:szCs w:val="24"/>
        </w:rPr>
        <w:t xml:space="preserve">. </w:t>
      </w:r>
      <w:sdt>
        <w:sdtPr>
          <w:rPr>
            <w:rFonts w:ascii="Arial" w:hAnsi="Arial" w:cs="Arial"/>
            <w:szCs w:val="24"/>
          </w:rPr>
          <w:id w:val="-230702235"/>
          <w:citation/>
        </w:sdtPr>
        <w:sdtEndPr/>
        <w:sdtContent>
          <w:r w:rsidR="00A87441" w:rsidRPr="00A87441">
            <w:rPr>
              <w:rFonts w:ascii="Arial" w:hAnsi="Arial" w:cs="Arial"/>
              <w:noProof/>
              <w:szCs w:val="24"/>
            </w:rPr>
            <w:t xml:space="preserve">(Rymar &amp; Zaletska, 2024) . </w:t>
          </w:r>
        </w:sdtContent>
      </w:sdt>
      <w:r w:rsidR="00094CD4" w:rsidRPr="00094CD4">
        <w:rPr>
          <w:rFonts w:ascii="Arial" w:hAnsi="Arial" w:cs="Arial"/>
          <w:szCs w:val="24"/>
        </w:rPr>
        <w:t xml:space="preserve">The 29-44 age </w:t>
      </w:r>
      <w:r w:rsidR="00094CD4">
        <w:rPr>
          <w:rFonts w:ascii="Arial" w:hAnsi="Arial" w:cs="Arial"/>
          <w:szCs w:val="24"/>
        </w:rPr>
        <w:t xml:space="preserve">group </w:t>
      </w:r>
      <w:r w:rsidR="00094CD4" w:rsidRPr="00094CD4">
        <w:rPr>
          <w:rFonts w:ascii="Arial" w:hAnsi="Arial" w:cs="Arial"/>
          <w:szCs w:val="24"/>
        </w:rPr>
        <w:t xml:space="preserve">is motivated by the need for work-life balance, often leading to stress and a desire to relax </w:t>
      </w:r>
      <w:r w:rsidR="00094CD4">
        <w:rPr>
          <w:rFonts w:ascii="Arial" w:hAnsi="Arial" w:cs="Arial"/>
          <w:szCs w:val="24"/>
        </w:rPr>
        <w:t xml:space="preserve">  </w:t>
      </w:r>
      <w:sdt>
        <w:sdtPr>
          <w:rPr>
            <w:rFonts w:ascii="Arial" w:hAnsi="Arial" w:cs="Arial"/>
            <w:szCs w:val="24"/>
          </w:rPr>
          <w:id w:val="-1039664545"/>
          <w:citation/>
        </w:sdtPr>
        <w:sdtEndPr/>
        <w:sdtContent>
          <w:r w:rsidR="00A87441" w:rsidRPr="00A87441">
            <w:rPr>
              <w:rFonts w:ascii="Arial" w:hAnsi="Arial" w:cs="Arial"/>
              <w:noProof/>
              <w:szCs w:val="24"/>
            </w:rPr>
            <w:t xml:space="preserve">(Brown &amp; Jaffe, 2020) . </w:t>
          </w:r>
        </w:sdtContent>
      </w:sdt>
      <w:proofErr w:type="gramStart"/>
      <w:r w:rsidR="00094CD4" w:rsidRPr="00094CD4">
        <w:rPr>
          <w:rFonts w:ascii="Arial" w:hAnsi="Arial" w:cs="Arial"/>
          <w:szCs w:val="24"/>
        </w:rPr>
        <w:t xml:space="preserve">45-60 </w:t>
      </w:r>
      <w:r w:rsidR="00094CD4">
        <w:rPr>
          <w:rFonts w:ascii="Arial" w:hAnsi="Arial" w:cs="Arial"/>
          <w:szCs w:val="24"/>
        </w:rPr>
        <w:t>year</w:t>
      </w:r>
      <w:proofErr w:type="gramEnd"/>
      <w:r w:rsidR="00094CD4">
        <w:rPr>
          <w:rFonts w:ascii="Arial" w:hAnsi="Arial" w:cs="Arial"/>
          <w:szCs w:val="24"/>
        </w:rPr>
        <w:t xml:space="preserve"> </w:t>
      </w:r>
      <w:proofErr w:type="spellStart"/>
      <w:r w:rsidR="00094CD4">
        <w:rPr>
          <w:rFonts w:ascii="Arial" w:hAnsi="Arial" w:cs="Arial"/>
          <w:szCs w:val="24"/>
        </w:rPr>
        <w:t>olds</w:t>
      </w:r>
      <w:proofErr w:type="spellEnd"/>
      <w:r w:rsidR="00094CD4">
        <w:rPr>
          <w:rFonts w:ascii="Arial" w:hAnsi="Arial" w:cs="Arial"/>
          <w:szCs w:val="24"/>
        </w:rPr>
        <w:t xml:space="preserve"> </w:t>
      </w:r>
      <w:r w:rsidR="00094CD4" w:rsidRPr="00094CD4">
        <w:rPr>
          <w:rFonts w:ascii="Arial" w:hAnsi="Arial" w:cs="Arial"/>
          <w:szCs w:val="24"/>
        </w:rPr>
        <w:t xml:space="preserve">generally have greater financial stability, allowing for increased participation in social and leisure activities </w:t>
      </w:r>
    </w:p>
    <w:p w14:paraId="5F17420C" w14:textId="77777777" w:rsidR="000F3C29" w:rsidRDefault="000F3C29" w:rsidP="000F3C29">
      <w:pPr>
        <w:pStyle w:val="Body"/>
        <w:spacing w:after="0"/>
        <w:rPr>
          <w:rFonts w:ascii="Arial" w:hAnsi="Arial" w:cs="Arial"/>
        </w:rPr>
      </w:pPr>
      <w:r w:rsidRPr="00FF2AA1">
        <w:rPr>
          <w:rFonts w:ascii="Arial" w:hAnsi="Arial" w:cs="Arial"/>
          <w:b/>
          <w:u w:val="single"/>
        </w:rPr>
        <w:t>3.1.</w:t>
      </w:r>
      <w:r>
        <w:rPr>
          <w:rFonts w:ascii="Arial" w:hAnsi="Arial" w:cs="Arial"/>
          <w:b/>
          <w:u w:val="single"/>
        </w:rPr>
        <w:t xml:space="preserve">3 Profession </w:t>
      </w:r>
    </w:p>
    <w:p w14:paraId="1A4DC1D8" w14:textId="77777777" w:rsidR="000F3C29" w:rsidRDefault="005E047A" w:rsidP="000F3C29">
      <w:pPr>
        <w:pStyle w:val="Body"/>
        <w:spacing w:after="0"/>
        <w:rPr>
          <w:rFonts w:ascii="Arial" w:hAnsi="Arial" w:cs="Arial"/>
        </w:rPr>
      </w:pPr>
      <w:r w:rsidRPr="005E047A">
        <w:rPr>
          <w:rFonts w:ascii="Arial" w:hAnsi="Arial" w:cs="Arial"/>
        </w:rPr>
        <w:t xml:space="preserve">The following is complete data on the profile of respondents based on </w:t>
      </w:r>
      <w:r w:rsidR="00085BD1">
        <w:rPr>
          <w:rFonts w:ascii="Arial" w:hAnsi="Arial" w:cs="Arial"/>
        </w:rPr>
        <w:t xml:space="preserve">profession to complete the characteristics of </w:t>
      </w:r>
      <w:proofErr w:type="spellStart"/>
      <w:r w:rsidR="00085BD1">
        <w:rPr>
          <w:rFonts w:ascii="Arial" w:hAnsi="Arial" w:cs="Arial"/>
        </w:rPr>
        <w:t>Siaga</w:t>
      </w:r>
      <w:proofErr w:type="spellEnd"/>
      <w:r w:rsidR="00085BD1">
        <w:rPr>
          <w:rFonts w:ascii="Arial" w:hAnsi="Arial" w:cs="Arial"/>
        </w:rPr>
        <w:t xml:space="preserve"> Tour consumers</w:t>
      </w:r>
      <w:r w:rsidRPr="005E047A">
        <w:rPr>
          <w:rFonts w:ascii="Arial" w:hAnsi="Arial" w:cs="Arial"/>
        </w:rPr>
        <w:t>;</w:t>
      </w:r>
    </w:p>
    <w:p w14:paraId="34123C22" w14:textId="26FAFC78" w:rsidR="000F3C29" w:rsidRPr="00D2077A" w:rsidRDefault="001853F0" w:rsidP="000F3C29">
      <w:pPr>
        <w:autoSpaceDE w:val="0"/>
        <w:autoSpaceDN w:val="0"/>
        <w:adjustRightInd w:val="0"/>
        <w:jc w:val="center"/>
        <w:rPr>
          <w:rFonts w:ascii="Arial" w:hAnsi="Arial" w:cs="Arial"/>
          <w:b/>
          <w:szCs w:val="24"/>
        </w:rPr>
      </w:pPr>
      <w:r>
        <w:rPr>
          <w:rFonts w:ascii="Arial" w:hAnsi="Arial" w:cs="Arial"/>
          <w:b/>
          <w:szCs w:val="24"/>
        </w:rPr>
        <w:lastRenderedPageBreak/>
        <w:t>Table 3.</w:t>
      </w:r>
      <w:r w:rsidR="000F3C29" w:rsidRPr="000F3C29">
        <w:rPr>
          <w:rFonts w:ascii="Arial" w:hAnsi="Arial" w:cs="Arial"/>
          <w:b/>
          <w:szCs w:val="24"/>
        </w:rPr>
        <w:t xml:space="preserve">  Profession</w:t>
      </w:r>
    </w:p>
    <w:tbl>
      <w:tblPr>
        <w:tblW w:w="3885"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729"/>
        <w:gridCol w:w="1147"/>
        <w:gridCol w:w="1009"/>
      </w:tblGrid>
      <w:tr w:rsidR="000F3C29" w:rsidRPr="000F3C29" w14:paraId="09E41137" w14:textId="77777777" w:rsidTr="000F3C29">
        <w:trPr>
          <w:cantSplit/>
          <w:jc w:val="center"/>
        </w:trPr>
        <w:tc>
          <w:tcPr>
            <w:tcW w:w="1729" w:type="dxa"/>
            <w:tcBorders>
              <w:top w:val="single" w:sz="4" w:space="0" w:color="auto"/>
              <w:bottom w:val="single" w:sz="4" w:space="0" w:color="auto"/>
            </w:tcBorders>
            <w:shd w:val="clear" w:color="auto" w:fill="FFFFFF"/>
            <w:vAlign w:val="center"/>
          </w:tcPr>
          <w:p w14:paraId="3A99B4D3" w14:textId="77777777" w:rsidR="000F3C29" w:rsidRPr="000F3C29" w:rsidRDefault="000F3C29" w:rsidP="00F624AA">
            <w:pPr>
              <w:autoSpaceDE w:val="0"/>
              <w:autoSpaceDN w:val="0"/>
              <w:adjustRightInd w:val="0"/>
              <w:ind w:left="60" w:right="60"/>
              <w:rPr>
                <w:rFonts w:ascii="Arial" w:hAnsi="Arial" w:cs="Arial"/>
                <w:color w:val="000000"/>
                <w:szCs w:val="18"/>
              </w:rPr>
            </w:pPr>
          </w:p>
        </w:tc>
        <w:tc>
          <w:tcPr>
            <w:tcW w:w="1147" w:type="dxa"/>
            <w:tcBorders>
              <w:top w:val="single" w:sz="4" w:space="0" w:color="auto"/>
              <w:bottom w:val="single" w:sz="4" w:space="0" w:color="auto"/>
            </w:tcBorders>
            <w:shd w:val="clear" w:color="auto" w:fill="FFFFFF"/>
            <w:vAlign w:val="center"/>
          </w:tcPr>
          <w:p w14:paraId="35BADFA4" w14:textId="77777777" w:rsidR="000F3C29" w:rsidRPr="000F3C29"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Frequency</w:t>
            </w:r>
          </w:p>
        </w:tc>
        <w:tc>
          <w:tcPr>
            <w:tcW w:w="1009" w:type="dxa"/>
            <w:tcBorders>
              <w:top w:val="single" w:sz="4" w:space="0" w:color="auto"/>
              <w:bottom w:val="single" w:sz="4" w:space="0" w:color="auto"/>
            </w:tcBorders>
            <w:shd w:val="clear" w:color="auto" w:fill="FFFFFF"/>
            <w:vAlign w:val="center"/>
          </w:tcPr>
          <w:p w14:paraId="5D225A03" w14:textId="77777777" w:rsidR="000F3C29" w:rsidRPr="000F3C29"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Percent</w:t>
            </w:r>
          </w:p>
        </w:tc>
      </w:tr>
      <w:tr w:rsidR="000F3C29" w:rsidRPr="000F3C29" w14:paraId="65167709" w14:textId="77777777" w:rsidTr="000F3C29">
        <w:trPr>
          <w:cantSplit/>
          <w:jc w:val="center"/>
        </w:trPr>
        <w:tc>
          <w:tcPr>
            <w:tcW w:w="1729" w:type="dxa"/>
            <w:tcBorders>
              <w:top w:val="single" w:sz="4" w:space="0" w:color="auto"/>
            </w:tcBorders>
            <w:shd w:val="clear" w:color="auto" w:fill="FFFFFF"/>
            <w:vAlign w:val="center"/>
          </w:tcPr>
          <w:p w14:paraId="0D752295"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Civil Servant</w:t>
            </w:r>
          </w:p>
        </w:tc>
        <w:tc>
          <w:tcPr>
            <w:tcW w:w="1147" w:type="dxa"/>
            <w:tcBorders>
              <w:top w:val="single" w:sz="4" w:space="0" w:color="auto"/>
            </w:tcBorders>
            <w:shd w:val="clear" w:color="auto" w:fill="FFFFFF"/>
            <w:vAlign w:val="center"/>
          </w:tcPr>
          <w:p w14:paraId="61BC5910"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4</w:t>
            </w:r>
          </w:p>
        </w:tc>
        <w:tc>
          <w:tcPr>
            <w:tcW w:w="1009" w:type="dxa"/>
            <w:tcBorders>
              <w:top w:val="single" w:sz="4" w:space="0" w:color="auto"/>
            </w:tcBorders>
            <w:shd w:val="clear" w:color="auto" w:fill="FFFFFF"/>
            <w:vAlign w:val="center"/>
          </w:tcPr>
          <w:p w14:paraId="11B197BA"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4.0</w:t>
            </w:r>
          </w:p>
        </w:tc>
      </w:tr>
      <w:tr w:rsidR="000F3C29" w:rsidRPr="000F3C29" w14:paraId="30CFEEC7" w14:textId="77777777" w:rsidTr="000F3C29">
        <w:trPr>
          <w:cantSplit/>
          <w:jc w:val="center"/>
        </w:trPr>
        <w:tc>
          <w:tcPr>
            <w:tcW w:w="1729" w:type="dxa"/>
            <w:shd w:val="clear" w:color="auto" w:fill="FFFFFF"/>
            <w:vAlign w:val="center"/>
          </w:tcPr>
          <w:p w14:paraId="29E18484"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Private Employee</w:t>
            </w:r>
          </w:p>
        </w:tc>
        <w:tc>
          <w:tcPr>
            <w:tcW w:w="1147" w:type="dxa"/>
            <w:shd w:val="clear" w:color="auto" w:fill="FFFFFF"/>
            <w:vAlign w:val="center"/>
          </w:tcPr>
          <w:p w14:paraId="4BA5732D"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38</w:t>
            </w:r>
          </w:p>
        </w:tc>
        <w:tc>
          <w:tcPr>
            <w:tcW w:w="1009" w:type="dxa"/>
            <w:shd w:val="clear" w:color="auto" w:fill="FFFFFF"/>
            <w:vAlign w:val="center"/>
          </w:tcPr>
          <w:p w14:paraId="25405A2B"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37.6</w:t>
            </w:r>
          </w:p>
        </w:tc>
      </w:tr>
      <w:tr w:rsidR="000F3C29" w:rsidRPr="000F3C29" w14:paraId="0FB7D1B7" w14:textId="77777777" w:rsidTr="000F3C29">
        <w:trPr>
          <w:cantSplit/>
          <w:jc w:val="center"/>
        </w:trPr>
        <w:tc>
          <w:tcPr>
            <w:tcW w:w="1729" w:type="dxa"/>
            <w:shd w:val="clear" w:color="auto" w:fill="FFFFFF"/>
            <w:vAlign w:val="center"/>
          </w:tcPr>
          <w:p w14:paraId="340802E3"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Entrepreneur</w:t>
            </w:r>
          </w:p>
        </w:tc>
        <w:tc>
          <w:tcPr>
            <w:tcW w:w="1147" w:type="dxa"/>
            <w:shd w:val="clear" w:color="auto" w:fill="FFFFFF"/>
            <w:vAlign w:val="center"/>
          </w:tcPr>
          <w:p w14:paraId="326399F4"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16</w:t>
            </w:r>
          </w:p>
        </w:tc>
        <w:tc>
          <w:tcPr>
            <w:tcW w:w="1009" w:type="dxa"/>
            <w:shd w:val="clear" w:color="auto" w:fill="FFFFFF"/>
            <w:vAlign w:val="center"/>
          </w:tcPr>
          <w:p w14:paraId="3215F72A"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15.8</w:t>
            </w:r>
          </w:p>
        </w:tc>
      </w:tr>
      <w:tr w:rsidR="000F3C29" w:rsidRPr="000F3C29" w14:paraId="5F9ACB42" w14:textId="77777777" w:rsidTr="000F3C29">
        <w:trPr>
          <w:cantSplit/>
          <w:jc w:val="center"/>
        </w:trPr>
        <w:tc>
          <w:tcPr>
            <w:tcW w:w="1729" w:type="dxa"/>
            <w:shd w:val="clear" w:color="auto" w:fill="FFFFFF"/>
            <w:vAlign w:val="center"/>
          </w:tcPr>
          <w:p w14:paraId="19F50996"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Freelancer</w:t>
            </w:r>
          </w:p>
        </w:tc>
        <w:tc>
          <w:tcPr>
            <w:tcW w:w="1147" w:type="dxa"/>
            <w:shd w:val="clear" w:color="auto" w:fill="FFFFFF"/>
            <w:vAlign w:val="center"/>
          </w:tcPr>
          <w:p w14:paraId="687D8A7E"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13</w:t>
            </w:r>
          </w:p>
        </w:tc>
        <w:tc>
          <w:tcPr>
            <w:tcW w:w="1009" w:type="dxa"/>
            <w:shd w:val="clear" w:color="auto" w:fill="FFFFFF"/>
            <w:vAlign w:val="center"/>
          </w:tcPr>
          <w:p w14:paraId="3336FD29"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12.9</w:t>
            </w:r>
          </w:p>
        </w:tc>
      </w:tr>
      <w:tr w:rsidR="000F3C29" w:rsidRPr="000F3C29" w14:paraId="1FC872F7" w14:textId="77777777" w:rsidTr="000F3C29">
        <w:trPr>
          <w:cantSplit/>
          <w:jc w:val="center"/>
        </w:trPr>
        <w:tc>
          <w:tcPr>
            <w:tcW w:w="1729" w:type="dxa"/>
            <w:shd w:val="clear" w:color="auto" w:fill="FFFFFF"/>
            <w:vAlign w:val="center"/>
          </w:tcPr>
          <w:p w14:paraId="50749A1D"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Retired</w:t>
            </w:r>
          </w:p>
        </w:tc>
        <w:tc>
          <w:tcPr>
            <w:tcW w:w="1147" w:type="dxa"/>
            <w:shd w:val="clear" w:color="auto" w:fill="FFFFFF"/>
            <w:vAlign w:val="center"/>
          </w:tcPr>
          <w:p w14:paraId="24491D09"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w:t>
            </w:r>
          </w:p>
        </w:tc>
        <w:tc>
          <w:tcPr>
            <w:tcW w:w="1009" w:type="dxa"/>
            <w:shd w:val="clear" w:color="auto" w:fill="FFFFFF"/>
            <w:vAlign w:val="center"/>
          </w:tcPr>
          <w:p w14:paraId="23EB9539"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w:t>
            </w:r>
          </w:p>
        </w:tc>
      </w:tr>
      <w:tr w:rsidR="000F3C29" w:rsidRPr="000F3C29" w14:paraId="6C74067B" w14:textId="77777777" w:rsidTr="000F3C29">
        <w:trPr>
          <w:cantSplit/>
          <w:jc w:val="center"/>
        </w:trPr>
        <w:tc>
          <w:tcPr>
            <w:tcW w:w="1729" w:type="dxa"/>
            <w:shd w:val="clear" w:color="auto" w:fill="FFFFFF"/>
            <w:vAlign w:val="center"/>
          </w:tcPr>
          <w:p w14:paraId="67EF3D9A"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Housewife</w:t>
            </w:r>
          </w:p>
        </w:tc>
        <w:tc>
          <w:tcPr>
            <w:tcW w:w="1147" w:type="dxa"/>
            <w:shd w:val="clear" w:color="auto" w:fill="FFFFFF"/>
            <w:vAlign w:val="center"/>
          </w:tcPr>
          <w:p w14:paraId="601B2EE9"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24</w:t>
            </w:r>
          </w:p>
        </w:tc>
        <w:tc>
          <w:tcPr>
            <w:tcW w:w="1009" w:type="dxa"/>
            <w:shd w:val="clear" w:color="auto" w:fill="FFFFFF"/>
            <w:vAlign w:val="center"/>
          </w:tcPr>
          <w:p w14:paraId="0DE3850D"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23.8</w:t>
            </w:r>
          </w:p>
        </w:tc>
      </w:tr>
      <w:tr w:rsidR="000F3C29" w:rsidRPr="000F3C29" w14:paraId="400F1764" w14:textId="77777777" w:rsidTr="000F3C29">
        <w:trPr>
          <w:cantSplit/>
          <w:jc w:val="center"/>
        </w:trPr>
        <w:tc>
          <w:tcPr>
            <w:tcW w:w="1729" w:type="dxa"/>
            <w:tcBorders>
              <w:bottom w:val="single" w:sz="4" w:space="0" w:color="auto"/>
            </w:tcBorders>
            <w:shd w:val="clear" w:color="auto" w:fill="FFFFFF"/>
            <w:vAlign w:val="center"/>
          </w:tcPr>
          <w:p w14:paraId="3A2996D1"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Student</w:t>
            </w:r>
          </w:p>
        </w:tc>
        <w:tc>
          <w:tcPr>
            <w:tcW w:w="1147" w:type="dxa"/>
            <w:tcBorders>
              <w:bottom w:val="single" w:sz="4" w:space="0" w:color="auto"/>
            </w:tcBorders>
            <w:shd w:val="clear" w:color="auto" w:fill="FFFFFF"/>
            <w:vAlign w:val="center"/>
          </w:tcPr>
          <w:p w14:paraId="688BACC3"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5</w:t>
            </w:r>
          </w:p>
        </w:tc>
        <w:tc>
          <w:tcPr>
            <w:tcW w:w="1009" w:type="dxa"/>
            <w:tcBorders>
              <w:bottom w:val="single" w:sz="4" w:space="0" w:color="auto"/>
            </w:tcBorders>
            <w:shd w:val="clear" w:color="auto" w:fill="FFFFFF"/>
            <w:vAlign w:val="center"/>
          </w:tcPr>
          <w:p w14:paraId="516F90B4"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5.0</w:t>
            </w:r>
          </w:p>
        </w:tc>
      </w:tr>
      <w:tr w:rsidR="000F3C29" w:rsidRPr="000F3C29" w14:paraId="7977E290" w14:textId="77777777" w:rsidTr="000F3C29">
        <w:trPr>
          <w:cantSplit/>
          <w:jc w:val="center"/>
        </w:trPr>
        <w:tc>
          <w:tcPr>
            <w:tcW w:w="1729" w:type="dxa"/>
            <w:tcBorders>
              <w:top w:val="single" w:sz="4" w:space="0" w:color="auto"/>
              <w:bottom w:val="single" w:sz="4" w:space="0" w:color="auto"/>
            </w:tcBorders>
            <w:shd w:val="clear" w:color="auto" w:fill="FFFFFF"/>
            <w:vAlign w:val="center"/>
          </w:tcPr>
          <w:p w14:paraId="1E01348B" w14:textId="77777777" w:rsidR="000F3C29" w:rsidRPr="00D2077A" w:rsidRDefault="000F3C29" w:rsidP="000F3C29">
            <w:pPr>
              <w:autoSpaceDE w:val="0"/>
              <w:autoSpaceDN w:val="0"/>
              <w:adjustRightInd w:val="0"/>
              <w:ind w:left="60" w:right="60"/>
              <w:jc w:val="center"/>
              <w:rPr>
                <w:rFonts w:ascii="Arial" w:hAnsi="Arial" w:cs="Arial"/>
                <w:color w:val="000000"/>
                <w:szCs w:val="18"/>
              </w:rPr>
            </w:pPr>
            <w:r w:rsidRPr="00D2077A">
              <w:rPr>
                <w:rFonts w:ascii="Arial" w:hAnsi="Arial" w:cs="Arial"/>
                <w:color w:val="000000"/>
                <w:szCs w:val="18"/>
              </w:rPr>
              <w:t>Total</w:t>
            </w:r>
          </w:p>
        </w:tc>
        <w:tc>
          <w:tcPr>
            <w:tcW w:w="1147" w:type="dxa"/>
            <w:tcBorders>
              <w:top w:val="single" w:sz="4" w:space="0" w:color="auto"/>
              <w:bottom w:val="single" w:sz="4" w:space="0" w:color="auto"/>
            </w:tcBorders>
            <w:shd w:val="clear" w:color="auto" w:fill="FFFFFF"/>
            <w:vAlign w:val="center"/>
          </w:tcPr>
          <w:p w14:paraId="2F496A7A"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101</w:t>
            </w:r>
          </w:p>
        </w:tc>
        <w:tc>
          <w:tcPr>
            <w:tcW w:w="1009" w:type="dxa"/>
            <w:tcBorders>
              <w:top w:val="single" w:sz="4" w:space="0" w:color="auto"/>
              <w:bottom w:val="single" w:sz="4" w:space="0" w:color="auto"/>
            </w:tcBorders>
            <w:shd w:val="clear" w:color="auto" w:fill="FFFFFF"/>
            <w:vAlign w:val="center"/>
          </w:tcPr>
          <w:p w14:paraId="2E8683B7"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100.0</w:t>
            </w:r>
          </w:p>
        </w:tc>
      </w:tr>
    </w:tbl>
    <w:p w14:paraId="073B9B69" w14:textId="77777777" w:rsidR="000F3C29" w:rsidRDefault="00085BD1" w:rsidP="00085BD1">
      <w:pPr>
        <w:pStyle w:val="Body"/>
        <w:spacing w:after="0"/>
        <w:jc w:val="center"/>
        <w:rPr>
          <w:rFonts w:ascii="Arial" w:hAnsi="Arial" w:cs="Arial"/>
          <w:b/>
          <w:u w:val="single"/>
        </w:rPr>
      </w:pPr>
      <w:proofErr w:type="gramStart"/>
      <w:r w:rsidRPr="002F63B8">
        <w:rPr>
          <w:rFonts w:ascii="Arial" w:hAnsi="Arial" w:cs="Arial"/>
          <w:color w:val="000000"/>
          <w:szCs w:val="18"/>
        </w:rPr>
        <w:t>Source :</w:t>
      </w:r>
      <w:proofErr w:type="gramEnd"/>
      <w:r w:rsidRPr="002F63B8">
        <w:rPr>
          <w:rFonts w:ascii="Arial" w:hAnsi="Arial" w:cs="Arial"/>
          <w:color w:val="000000"/>
          <w:szCs w:val="18"/>
        </w:rPr>
        <w:t xml:space="preserve"> (researcher data, 2025)</w:t>
      </w:r>
    </w:p>
    <w:p w14:paraId="14C5D09B" w14:textId="77777777" w:rsidR="000F3C29" w:rsidRDefault="00085BD1" w:rsidP="00085BD1">
      <w:pPr>
        <w:pStyle w:val="Body"/>
        <w:rPr>
          <w:rFonts w:ascii="Arial" w:hAnsi="Arial" w:cs="Arial"/>
          <w:b/>
          <w:u w:val="single"/>
        </w:rPr>
      </w:pPr>
      <w:r w:rsidRPr="00085BD1">
        <w:rPr>
          <w:rFonts w:ascii="Arial" w:hAnsi="Arial" w:cs="Arial"/>
        </w:rPr>
        <w:t xml:space="preserve">The data shows a diverse occupational profile of the respondents, but a </w:t>
      </w:r>
      <w:r>
        <w:rPr>
          <w:rFonts w:ascii="Arial" w:hAnsi="Arial" w:cs="Arial"/>
        </w:rPr>
        <w:t xml:space="preserve">few key points stand out: </w:t>
      </w:r>
      <w:r w:rsidRPr="00085BD1">
        <w:rPr>
          <w:rFonts w:ascii="Arial" w:hAnsi="Arial" w:cs="Arial"/>
        </w:rPr>
        <w:t xml:space="preserve">most of the respondents (37.6%) were private sector employees. </w:t>
      </w:r>
      <w:r>
        <w:rPr>
          <w:rFonts w:ascii="Arial" w:hAnsi="Arial" w:cs="Arial"/>
        </w:rPr>
        <w:t xml:space="preserve">This </w:t>
      </w:r>
      <w:r w:rsidRPr="00085BD1">
        <w:rPr>
          <w:rFonts w:ascii="Arial" w:hAnsi="Arial" w:cs="Arial"/>
        </w:rPr>
        <w:t>indicates that the service or product is relevant to individuals working in the corporate sector. Housewives came in second with a significant percentage (23.8%). This is very much in line with the results of the previous gender analysis which showed the dominance of female users. Many women who take care of the household are also active in social and recreational activities.</w:t>
      </w:r>
    </w:p>
    <w:p w14:paraId="03E08C66" w14:textId="77777777" w:rsidR="000F3C29" w:rsidRDefault="000F3C29" w:rsidP="000F3C29">
      <w:pPr>
        <w:pStyle w:val="Body"/>
        <w:spacing w:after="0"/>
        <w:rPr>
          <w:rFonts w:ascii="Arial" w:hAnsi="Arial" w:cs="Arial"/>
        </w:rPr>
      </w:pPr>
      <w:r w:rsidRPr="00FF2AA1">
        <w:rPr>
          <w:rFonts w:ascii="Arial" w:hAnsi="Arial" w:cs="Arial"/>
          <w:b/>
          <w:u w:val="single"/>
        </w:rPr>
        <w:t>3.1.</w:t>
      </w:r>
      <w:r w:rsidR="00085BD1">
        <w:rPr>
          <w:rFonts w:ascii="Arial" w:hAnsi="Arial" w:cs="Arial"/>
          <w:b/>
          <w:u w:val="single"/>
        </w:rPr>
        <w:t xml:space="preserve">4 Times of Participation </w:t>
      </w:r>
    </w:p>
    <w:p w14:paraId="5876E079" w14:textId="77777777" w:rsidR="00D2077A" w:rsidRPr="00085BD1" w:rsidRDefault="00891BBD" w:rsidP="00891BBD">
      <w:pPr>
        <w:pStyle w:val="Body"/>
        <w:spacing w:after="0"/>
        <w:rPr>
          <w:rFonts w:ascii="Arial" w:hAnsi="Arial" w:cs="Arial"/>
          <w:bCs/>
          <w:color w:val="000000"/>
          <w:szCs w:val="18"/>
        </w:rPr>
      </w:pPr>
      <w:r w:rsidRPr="005E047A">
        <w:rPr>
          <w:rFonts w:ascii="Arial" w:hAnsi="Arial" w:cs="Arial"/>
        </w:rPr>
        <w:t xml:space="preserve">The following is complete data on the respondent profile based on the </w:t>
      </w:r>
      <w:r>
        <w:rPr>
          <w:rFonts w:ascii="Arial" w:hAnsi="Arial" w:cs="Arial"/>
        </w:rPr>
        <w:t xml:space="preserve">number of times the respondent </w:t>
      </w:r>
      <w:r w:rsidRPr="00085BD1">
        <w:rPr>
          <w:rFonts w:ascii="Arial" w:hAnsi="Arial" w:cs="Arial"/>
          <w:bCs/>
          <w:color w:val="000000"/>
          <w:szCs w:val="18"/>
        </w:rPr>
        <w:t xml:space="preserve">participated in the SIAGA TOUR trip (since January 2025) </w:t>
      </w:r>
      <w:r>
        <w:rPr>
          <w:rFonts w:ascii="Arial" w:hAnsi="Arial" w:cs="Arial"/>
        </w:rPr>
        <w:t xml:space="preserve">to complete the characteristics of </w:t>
      </w:r>
      <w:proofErr w:type="spellStart"/>
      <w:r>
        <w:rPr>
          <w:rFonts w:ascii="Arial" w:hAnsi="Arial" w:cs="Arial"/>
        </w:rPr>
        <w:t>Siaga</w:t>
      </w:r>
      <w:proofErr w:type="spellEnd"/>
      <w:r>
        <w:rPr>
          <w:rFonts w:ascii="Arial" w:hAnsi="Arial" w:cs="Arial"/>
        </w:rPr>
        <w:t xml:space="preserve"> Tour consumers</w:t>
      </w:r>
      <w:r w:rsidRPr="005E047A">
        <w:rPr>
          <w:rFonts w:ascii="Arial" w:hAnsi="Arial" w:cs="Arial"/>
        </w:rPr>
        <w:t xml:space="preserve">; </w:t>
      </w:r>
    </w:p>
    <w:p w14:paraId="638E5D5E" w14:textId="6B29EA57" w:rsidR="000F3C29" w:rsidRPr="00D2077A" w:rsidRDefault="001853F0" w:rsidP="000F3C29">
      <w:pPr>
        <w:autoSpaceDE w:val="0"/>
        <w:autoSpaceDN w:val="0"/>
        <w:adjustRightInd w:val="0"/>
        <w:jc w:val="center"/>
        <w:rPr>
          <w:rFonts w:ascii="Arial" w:hAnsi="Arial" w:cs="Arial"/>
          <w:b/>
          <w:szCs w:val="24"/>
        </w:rPr>
      </w:pPr>
      <w:r>
        <w:rPr>
          <w:rFonts w:ascii="Arial" w:hAnsi="Arial" w:cs="Arial"/>
          <w:b/>
          <w:szCs w:val="24"/>
        </w:rPr>
        <w:t xml:space="preserve">Table </w:t>
      </w:r>
      <w:r w:rsidR="000F3C29" w:rsidRPr="000F3C29">
        <w:rPr>
          <w:rFonts w:ascii="Arial" w:hAnsi="Arial" w:cs="Arial"/>
          <w:b/>
          <w:szCs w:val="24"/>
        </w:rPr>
        <w:t>4.  Times of participation</w:t>
      </w:r>
    </w:p>
    <w:tbl>
      <w:tblPr>
        <w:tblW w:w="3319"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163"/>
        <w:gridCol w:w="1147"/>
        <w:gridCol w:w="1009"/>
      </w:tblGrid>
      <w:tr w:rsidR="000F3C29" w:rsidRPr="000F3C29" w14:paraId="392DFEFF" w14:textId="77777777" w:rsidTr="000F3C29">
        <w:trPr>
          <w:cantSplit/>
          <w:jc w:val="center"/>
        </w:trPr>
        <w:tc>
          <w:tcPr>
            <w:tcW w:w="1163" w:type="dxa"/>
            <w:tcBorders>
              <w:top w:val="single" w:sz="4" w:space="0" w:color="auto"/>
              <w:bottom w:val="single" w:sz="4" w:space="0" w:color="auto"/>
            </w:tcBorders>
            <w:shd w:val="clear" w:color="auto" w:fill="FFFFFF"/>
            <w:vAlign w:val="center"/>
          </w:tcPr>
          <w:p w14:paraId="67A0D010" w14:textId="77777777" w:rsidR="000F3C29" w:rsidRPr="000F3C29" w:rsidRDefault="000F3C29" w:rsidP="000F3C29">
            <w:pPr>
              <w:autoSpaceDE w:val="0"/>
              <w:autoSpaceDN w:val="0"/>
              <w:adjustRightInd w:val="0"/>
              <w:ind w:left="60" w:right="60"/>
              <w:jc w:val="center"/>
              <w:rPr>
                <w:rFonts w:ascii="Arial" w:hAnsi="Arial" w:cs="Arial"/>
                <w:color w:val="000000"/>
                <w:szCs w:val="18"/>
              </w:rPr>
            </w:pPr>
          </w:p>
        </w:tc>
        <w:tc>
          <w:tcPr>
            <w:tcW w:w="1147" w:type="dxa"/>
            <w:tcBorders>
              <w:top w:val="single" w:sz="4" w:space="0" w:color="auto"/>
              <w:bottom w:val="single" w:sz="4" w:space="0" w:color="auto"/>
            </w:tcBorders>
            <w:shd w:val="clear" w:color="auto" w:fill="FFFFFF"/>
            <w:vAlign w:val="center"/>
          </w:tcPr>
          <w:p w14:paraId="1F5AEBC0" w14:textId="77777777" w:rsidR="000F3C29" w:rsidRPr="000F3C29"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Frequency</w:t>
            </w:r>
          </w:p>
        </w:tc>
        <w:tc>
          <w:tcPr>
            <w:tcW w:w="1009" w:type="dxa"/>
            <w:tcBorders>
              <w:top w:val="single" w:sz="4" w:space="0" w:color="auto"/>
              <w:bottom w:val="single" w:sz="4" w:space="0" w:color="auto"/>
            </w:tcBorders>
            <w:shd w:val="clear" w:color="auto" w:fill="FFFFFF"/>
            <w:vAlign w:val="center"/>
          </w:tcPr>
          <w:p w14:paraId="7E12FAD7" w14:textId="77777777" w:rsidR="000F3C29" w:rsidRPr="000F3C29"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Percent</w:t>
            </w:r>
          </w:p>
        </w:tc>
      </w:tr>
      <w:tr w:rsidR="000F3C29" w:rsidRPr="000F3C29" w14:paraId="4591797A" w14:textId="77777777" w:rsidTr="000F3C29">
        <w:trPr>
          <w:cantSplit/>
          <w:jc w:val="center"/>
        </w:trPr>
        <w:tc>
          <w:tcPr>
            <w:tcW w:w="1163" w:type="dxa"/>
            <w:tcBorders>
              <w:top w:val="single" w:sz="4" w:space="0" w:color="auto"/>
            </w:tcBorders>
            <w:shd w:val="clear" w:color="auto" w:fill="FFFFFF"/>
            <w:vAlign w:val="center"/>
          </w:tcPr>
          <w:p w14:paraId="349C3DE6"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1 - 2 times</w:t>
            </w:r>
          </w:p>
        </w:tc>
        <w:tc>
          <w:tcPr>
            <w:tcW w:w="1147" w:type="dxa"/>
            <w:tcBorders>
              <w:top w:val="single" w:sz="4" w:space="0" w:color="auto"/>
            </w:tcBorders>
            <w:shd w:val="clear" w:color="auto" w:fill="FFFFFF"/>
            <w:vAlign w:val="center"/>
          </w:tcPr>
          <w:p w14:paraId="68FF8269"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62</w:t>
            </w:r>
          </w:p>
        </w:tc>
        <w:tc>
          <w:tcPr>
            <w:tcW w:w="1009" w:type="dxa"/>
            <w:tcBorders>
              <w:top w:val="single" w:sz="4" w:space="0" w:color="auto"/>
            </w:tcBorders>
            <w:shd w:val="clear" w:color="auto" w:fill="FFFFFF"/>
            <w:vAlign w:val="center"/>
          </w:tcPr>
          <w:p w14:paraId="2D3AD887"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61.4</w:t>
            </w:r>
          </w:p>
        </w:tc>
      </w:tr>
      <w:tr w:rsidR="000F3C29" w:rsidRPr="000F3C29" w14:paraId="04631C62" w14:textId="77777777" w:rsidTr="000F3C29">
        <w:trPr>
          <w:cantSplit/>
          <w:jc w:val="center"/>
        </w:trPr>
        <w:tc>
          <w:tcPr>
            <w:tcW w:w="1163" w:type="dxa"/>
            <w:shd w:val="clear" w:color="auto" w:fill="FFFFFF"/>
            <w:vAlign w:val="center"/>
          </w:tcPr>
          <w:p w14:paraId="78EE0D44"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3 - 6 times</w:t>
            </w:r>
          </w:p>
        </w:tc>
        <w:tc>
          <w:tcPr>
            <w:tcW w:w="1147" w:type="dxa"/>
            <w:shd w:val="clear" w:color="auto" w:fill="FFFFFF"/>
            <w:vAlign w:val="center"/>
          </w:tcPr>
          <w:p w14:paraId="5F7FE2A3"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26</w:t>
            </w:r>
          </w:p>
        </w:tc>
        <w:tc>
          <w:tcPr>
            <w:tcW w:w="1009" w:type="dxa"/>
            <w:shd w:val="clear" w:color="auto" w:fill="FFFFFF"/>
            <w:vAlign w:val="center"/>
          </w:tcPr>
          <w:p w14:paraId="482667A6"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25.7</w:t>
            </w:r>
          </w:p>
        </w:tc>
      </w:tr>
      <w:tr w:rsidR="000F3C29" w:rsidRPr="000F3C29" w14:paraId="40D516BC" w14:textId="77777777" w:rsidTr="000F3C29">
        <w:trPr>
          <w:cantSplit/>
          <w:jc w:val="center"/>
        </w:trPr>
        <w:tc>
          <w:tcPr>
            <w:tcW w:w="1163" w:type="dxa"/>
            <w:tcBorders>
              <w:bottom w:val="single" w:sz="4" w:space="0" w:color="auto"/>
            </w:tcBorders>
            <w:shd w:val="clear" w:color="auto" w:fill="FFFFFF"/>
            <w:vAlign w:val="center"/>
          </w:tcPr>
          <w:p w14:paraId="69447D3E" w14:textId="77777777" w:rsidR="000F3C29" w:rsidRPr="00D2077A" w:rsidRDefault="000F3C29" w:rsidP="00F624AA">
            <w:pPr>
              <w:autoSpaceDE w:val="0"/>
              <w:autoSpaceDN w:val="0"/>
              <w:adjustRightInd w:val="0"/>
              <w:ind w:left="60" w:right="60"/>
              <w:rPr>
                <w:rFonts w:ascii="Arial" w:hAnsi="Arial" w:cs="Arial"/>
                <w:color w:val="000000"/>
                <w:szCs w:val="18"/>
              </w:rPr>
            </w:pPr>
            <w:r w:rsidRPr="00D2077A">
              <w:rPr>
                <w:rFonts w:ascii="Arial" w:hAnsi="Arial" w:cs="Arial"/>
                <w:color w:val="000000"/>
                <w:szCs w:val="18"/>
              </w:rPr>
              <w:t>&gt; 6 times</w:t>
            </w:r>
          </w:p>
        </w:tc>
        <w:tc>
          <w:tcPr>
            <w:tcW w:w="1147" w:type="dxa"/>
            <w:tcBorders>
              <w:bottom w:val="single" w:sz="4" w:space="0" w:color="auto"/>
            </w:tcBorders>
            <w:shd w:val="clear" w:color="auto" w:fill="FFFFFF"/>
            <w:vAlign w:val="center"/>
          </w:tcPr>
          <w:p w14:paraId="0385A2B9"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13</w:t>
            </w:r>
          </w:p>
        </w:tc>
        <w:tc>
          <w:tcPr>
            <w:tcW w:w="1009" w:type="dxa"/>
            <w:tcBorders>
              <w:bottom w:val="single" w:sz="4" w:space="0" w:color="auto"/>
            </w:tcBorders>
            <w:shd w:val="clear" w:color="auto" w:fill="FFFFFF"/>
            <w:vAlign w:val="center"/>
          </w:tcPr>
          <w:p w14:paraId="38C0359A"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12.9</w:t>
            </w:r>
          </w:p>
        </w:tc>
      </w:tr>
      <w:tr w:rsidR="000F3C29" w:rsidRPr="000F3C29" w14:paraId="1A24525A" w14:textId="77777777" w:rsidTr="000F3C29">
        <w:trPr>
          <w:cantSplit/>
          <w:jc w:val="center"/>
        </w:trPr>
        <w:tc>
          <w:tcPr>
            <w:tcW w:w="1163" w:type="dxa"/>
            <w:tcBorders>
              <w:top w:val="single" w:sz="4" w:space="0" w:color="auto"/>
              <w:bottom w:val="single" w:sz="4" w:space="0" w:color="auto"/>
            </w:tcBorders>
            <w:shd w:val="clear" w:color="auto" w:fill="FFFFFF"/>
            <w:vAlign w:val="center"/>
          </w:tcPr>
          <w:p w14:paraId="49D5F034" w14:textId="77777777" w:rsidR="000F3C29" w:rsidRPr="00D2077A" w:rsidRDefault="000F3C29" w:rsidP="000F3C29">
            <w:pPr>
              <w:autoSpaceDE w:val="0"/>
              <w:autoSpaceDN w:val="0"/>
              <w:adjustRightInd w:val="0"/>
              <w:ind w:left="60" w:right="60"/>
              <w:jc w:val="center"/>
              <w:rPr>
                <w:rFonts w:ascii="Arial" w:hAnsi="Arial" w:cs="Arial"/>
                <w:color w:val="000000"/>
                <w:szCs w:val="18"/>
              </w:rPr>
            </w:pPr>
            <w:r w:rsidRPr="00D2077A">
              <w:rPr>
                <w:rFonts w:ascii="Arial" w:hAnsi="Arial" w:cs="Arial"/>
                <w:color w:val="000000"/>
                <w:szCs w:val="18"/>
              </w:rPr>
              <w:t>Total</w:t>
            </w:r>
          </w:p>
        </w:tc>
        <w:tc>
          <w:tcPr>
            <w:tcW w:w="1147" w:type="dxa"/>
            <w:tcBorders>
              <w:top w:val="single" w:sz="4" w:space="0" w:color="auto"/>
              <w:bottom w:val="single" w:sz="4" w:space="0" w:color="auto"/>
            </w:tcBorders>
            <w:shd w:val="clear" w:color="auto" w:fill="FFFFFF"/>
            <w:vAlign w:val="center"/>
          </w:tcPr>
          <w:p w14:paraId="2F6CE6CA"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101</w:t>
            </w:r>
          </w:p>
        </w:tc>
        <w:tc>
          <w:tcPr>
            <w:tcW w:w="1009" w:type="dxa"/>
            <w:tcBorders>
              <w:top w:val="single" w:sz="4" w:space="0" w:color="auto"/>
              <w:bottom w:val="single" w:sz="4" w:space="0" w:color="auto"/>
            </w:tcBorders>
            <w:shd w:val="clear" w:color="auto" w:fill="FFFFFF"/>
            <w:vAlign w:val="center"/>
          </w:tcPr>
          <w:p w14:paraId="7FDE9C6F" w14:textId="77777777" w:rsidR="000F3C29" w:rsidRPr="00D2077A" w:rsidRDefault="000F3C29"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100.0</w:t>
            </w:r>
          </w:p>
        </w:tc>
      </w:tr>
    </w:tbl>
    <w:p w14:paraId="7E77FC44" w14:textId="77777777" w:rsidR="00085BD1" w:rsidRDefault="00085BD1" w:rsidP="00085BD1">
      <w:pPr>
        <w:pStyle w:val="Body"/>
        <w:spacing w:after="0"/>
        <w:jc w:val="center"/>
        <w:rPr>
          <w:rFonts w:ascii="Arial" w:hAnsi="Arial" w:cs="Arial"/>
          <w:b/>
          <w:u w:val="single"/>
        </w:rPr>
      </w:pPr>
      <w:proofErr w:type="gramStart"/>
      <w:r w:rsidRPr="002F63B8">
        <w:rPr>
          <w:rFonts w:ascii="Arial" w:hAnsi="Arial" w:cs="Arial"/>
          <w:color w:val="000000"/>
          <w:szCs w:val="18"/>
        </w:rPr>
        <w:t>Source :</w:t>
      </w:r>
      <w:proofErr w:type="gramEnd"/>
      <w:r w:rsidRPr="002F63B8">
        <w:rPr>
          <w:rFonts w:ascii="Arial" w:hAnsi="Arial" w:cs="Arial"/>
          <w:color w:val="000000"/>
          <w:szCs w:val="18"/>
        </w:rPr>
        <w:t xml:space="preserve"> (researcher data, 2025)</w:t>
      </w:r>
    </w:p>
    <w:p w14:paraId="5C15B809" w14:textId="77777777" w:rsidR="00891BBD" w:rsidRPr="00891BBD" w:rsidRDefault="00891BBD" w:rsidP="00891BBD">
      <w:pPr>
        <w:autoSpaceDE w:val="0"/>
        <w:autoSpaceDN w:val="0"/>
        <w:adjustRightInd w:val="0"/>
        <w:jc w:val="both"/>
        <w:rPr>
          <w:rFonts w:ascii="Arial" w:hAnsi="Arial" w:cs="Arial"/>
          <w:szCs w:val="24"/>
        </w:rPr>
      </w:pPr>
      <w:r w:rsidRPr="00891BBD">
        <w:rPr>
          <w:rFonts w:ascii="Arial" w:hAnsi="Arial" w:cs="Arial"/>
          <w:szCs w:val="24"/>
        </w:rPr>
        <w:t xml:space="preserve">Based on the frequency of service use table, most respondents are low frequency users at 61.4%, using the service only 1-2 times. </w:t>
      </w:r>
      <w:r w:rsidR="00B059C6">
        <w:rPr>
          <w:rFonts w:ascii="Arial" w:hAnsi="Arial" w:cs="Arial"/>
          <w:szCs w:val="24"/>
        </w:rPr>
        <w:t xml:space="preserve">This </w:t>
      </w:r>
      <w:r w:rsidRPr="00891BBD">
        <w:rPr>
          <w:rFonts w:ascii="Arial" w:hAnsi="Arial" w:cs="Arial"/>
          <w:szCs w:val="24"/>
        </w:rPr>
        <w:t xml:space="preserve">shows that the service has a wide but less loyal user base. Many customers may try the service once or twice, but not regularly. </w:t>
      </w:r>
      <w:r w:rsidR="00B059C6" w:rsidRPr="00B059C6">
        <w:rPr>
          <w:rFonts w:ascii="Arial" w:hAnsi="Arial" w:cs="Arial"/>
          <w:szCs w:val="24"/>
        </w:rPr>
        <w:t>Companies need to focus on strategies to encourage low-frequency users to become repeat users, for example with loyalty programs, special offers for returning customers, or improving service quality to create a memorable experience.</w:t>
      </w:r>
    </w:p>
    <w:p w14:paraId="48420A82" w14:textId="77777777" w:rsidR="000F3C29" w:rsidRPr="00891BBD" w:rsidRDefault="000F3C29" w:rsidP="00085BD1">
      <w:pPr>
        <w:autoSpaceDE w:val="0"/>
        <w:autoSpaceDN w:val="0"/>
        <w:adjustRightInd w:val="0"/>
        <w:rPr>
          <w:rFonts w:ascii="Arial" w:hAnsi="Arial" w:cs="Arial"/>
          <w:szCs w:val="24"/>
        </w:rPr>
      </w:pPr>
    </w:p>
    <w:p w14:paraId="289A03E1" w14:textId="77777777" w:rsidR="00D2077A" w:rsidRDefault="00D2077A" w:rsidP="00D2077A">
      <w:pPr>
        <w:pStyle w:val="Body"/>
        <w:spacing w:after="0"/>
        <w:rPr>
          <w:rFonts w:ascii="Arial" w:hAnsi="Arial" w:cs="Arial"/>
          <w:b/>
          <w:sz w:val="22"/>
        </w:rPr>
      </w:pPr>
      <w:r w:rsidRPr="00FF2AA1">
        <w:rPr>
          <w:rFonts w:ascii="Arial" w:hAnsi="Arial" w:cs="Arial"/>
          <w:b/>
          <w:caps/>
          <w:sz w:val="22"/>
        </w:rPr>
        <w:t>3.</w:t>
      </w:r>
      <w:r w:rsidR="00175991">
        <w:rPr>
          <w:rFonts w:ascii="Arial" w:hAnsi="Arial" w:cs="Arial"/>
          <w:b/>
          <w:caps/>
          <w:sz w:val="22"/>
        </w:rPr>
        <w:t xml:space="preserve">2 </w:t>
      </w:r>
      <w:r>
        <w:rPr>
          <w:rFonts w:ascii="Arial" w:hAnsi="Arial" w:cs="Arial"/>
          <w:b/>
          <w:sz w:val="22"/>
        </w:rPr>
        <w:t xml:space="preserve">Validity and Reliability Test </w:t>
      </w:r>
    </w:p>
    <w:p w14:paraId="3793A2BC" w14:textId="77777777" w:rsidR="00D2077A" w:rsidRDefault="00D2077A" w:rsidP="00D2077A">
      <w:pPr>
        <w:pStyle w:val="Body"/>
        <w:spacing w:after="0"/>
        <w:rPr>
          <w:rFonts w:ascii="Arial" w:hAnsi="Arial" w:cs="Arial"/>
          <w:b/>
          <w:sz w:val="22"/>
        </w:rPr>
      </w:pPr>
    </w:p>
    <w:p w14:paraId="35D6D187" w14:textId="77777777" w:rsidR="00E053D0" w:rsidRPr="002F16EC" w:rsidRDefault="00D2077A" w:rsidP="00441B6F">
      <w:pPr>
        <w:pStyle w:val="Body"/>
        <w:spacing w:after="0"/>
        <w:rPr>
          <w:rFonts w:ascii="Arial" w:hAnsi="Arial" w:cs="Arial"/>
          <w:u w:val="single"/>
        </w:rPr>
      </w:pPr>
      <w:r w:rsidRPr="002F16EC">
        <w:rPr>
          <w:rFonts w:ascii="Arial" w:hAnsi="Arial" w:cs="Arial"/>
          <w:b/>
          <w:u w:val="single"/>
        </w:rPr>
        <w:t>3.</w:t>
      </w:r>
      <w:r w:rsidR="002F16EC" w:rsidRPr="002F16EC">
        <w:rPr>
          <w:rFonts w:ascii="Arial" w:hAnsi="Arial" w:cs="Arial"/>
          <w:b/>
          <w:u w:val="single"/>
        </w:rPr>
        <w:t>2</w:t>
      </w:r>
      <w:r w:rsidRPr="002F16EC">
        <w:rPr>
          <w:rFonts w:ascii="Arial" w:hAnsi="Arial" w:cs="Arial"/>
          <w:b/>
          <w:u w:val="single"/>
        </w:rPr>
        <w:t xml:space="preserve">.1 Validity Test </w:t>
      </w:r>
    </w:p>
    <w:p w14:paraId="0D30E99C" w14:textId="77777777" w:rsidR="00D2077A" w:rsidRDefault="00B059C6" w:rsidP="00441B6F">
      <w:pPr>
        <w:pStyle w:val="Body"/>
        <w:spacing w:after="0"/>
        <w:rPr>
          <w:rFonts w:ascii="Arial" w:hAnsi="Arial" w:cs="Arial"/>
        </w:rPr>
      </w:pPr>
      <w:r>
        <w:rPr>
          <w:rFonts w:ascii="Arial" w:hAnsi="Arial" w:cs="Arial"/>
        </w:rPr>
        <w:t xml:space="preserve">The validity test results show that of the 17 attributes </w:t>
      </w:r>
      <w:r w:rsidRPr="00B059C6">
        <w:rPr>
          <w:rFonts w:ascii="Arial" w:hAnsi="Arial" w:cs="Arial"/>
        </w:rPr>
        <w:t xml:space="preserve">or dimensions of service that affect satisfaction according to the SERVQUAL dimensions, namely physical evidence, reliability, responsiveness, assurance, empathy, the </w:t>
      </w:r>
      <w:r w:rsidRPr="00B059C6">
        <w:t xml:space="preserve">significance </w:t>
      </w:r>
      <w:r>
        <w:t xml:space="preserve">value is </w:t>
      </w:r>
      <w:r w:rsidRPr="00B059C6">
        <w:rPr>
          <w:bCs/>
        </w:rPr>
        <w:t>&lt;0.05</w:t>
      </w:r>
      <w:r w:rsidRPr="00B059C6">
        <w:rPr>
          <w:rFonts w:ascii="Arial" w:hAnsi="Arial" w:cs="Arial"/>
        </w:rPr>
        <w:t xml:space="preserve">, it can be concluded that all research instruments consisting of 17 attributes are valid and can be used to continue further data analysis. </w:t>
      </w:r>
    </w:p>
    <w:p w14:paraId="287EB6AD" w14:textId="77777777" w:rsidR="00D2077A" w:rsidRDefault="00D2077A" w:rsidP="00441B6F">
      <w:pPr>
        <w:pStyle w:val="Body"/>
        <w:spacing w:after="0"/>
        <w:rPr>
          <w:rFonts w:ascii="Arial" w:hAnsi="Arial" w:cs="Arial"/>
        </w:rPr>
      </w:pPr>
    </w:p>
    <w:p w14:paraId="2032DCBF" w14:textId="77777777" w:rsidR="00D2077A" w:rsidRPr="002F16EC" w:rsidRDefault="00D2077A" w:rsidP="00D2077A">
      <w:pPr>
        <w:pStyle w:val="Body"/>
        <w:spacing w:after="0"/>
        <w:rPr>
          <w:rFonts w:ascii="Arial" w:hAnsi="Arial" w:cs="Arial"/>
          <w:u w:val="single"/>
        </w:rPr>
      </w:pPr>
      <w:r w:rsidRPr="002F16EC">
        <w:rPr>
          <w:rFonts w:ascii="Arial" w:hAnsi="Arial" w:cs="Arial"/>
          <w:b/>
          <w:u w:val="single"/>
        </w:rPr>
        <w:t>3.</w:t>
      </w:r>
      <w:r w:rsidR="002F16EC" w:rsidRPr="002F16EC">
        <w:rPr>
          <w:rFonts w:ascii="Arial" w:hAnsi="Arial" w:cs="Arial"/>
          <w:b/>
          <w:u w:val="single"/>
        </w:rPr>
        <w:t>2</w:t>
      </w:r>
      <w:r w:rsidRPr="002F16EC">
        <w:rPr>
          <w:rFonts w:ascii="Arial" w:hAnsi="Arial" w:cs="Arial"/>
          <w:b/>
          <w:u w:val="single"/>
        </w:rPr>
        <w:t>.</w:t>
      </w:r>
      <w:r w:rsidR="002F16EC" w:rsidRPr="002F16EC">
        <w:rPr>
          <w:rFonts w:ascii="Arial" w:hAnsi="Arial" w:cs="Arial"/>
          <w:b/>
          <w:u w:val="single"/>
        </w:rPr>
        <w:t xml:space="preserve">2 </w:t>
      </w:r>
      <w:r w:rsidRPr="002F16EC">
        <w:rPr>
          <w:rFonts w:ascii="Arial" w:hAnsi="Arial" w:cs="Arial"/>
          <w:b/>
          <w:u w:val="single"/>
        </w:rPr>
        <w:t xml:space="preserve">Reliability Test </w:t>
      </w:r>
    </w:p>
    <w:p w14:paraId="5A4B5351" w14:textId="77777777" w:rsidR="00D2077A" w:rsidRDefault="00B059C6" w:rsidP="00441B6F">
      <w:pPr>
        <w:pStyle w:val="Body"/>
        <w:spacing w:after="0"/>
        <w:rPr>
          <w:rFonts w:ascii="Arial" w:hAnsi="Arial" w:cs="Arial"/>
        </w:rPr>
      </w:pPr>
      <w:r>
        <w:rPr>
          <w:rFonts w:ascii="Arial" w:hAnsi="Arial" w:cs="Arial"/>
        </w:rPr>
        <w:t>The reliability test results of 17 attributes obtained the following details;</w:t>
      </w:r>
    </w:p>
    <w:p w14:paraId="16C832A7" w14:textId="77777777" w:rsidR="007F483E" w:rsidRDefault="007F483E" w:rsidP="00441B6F">
      <w:pPr>
        <w:pStyle w:val="Body"/>
        <w:spacing w:after="0"/>
        <w:rPr>
          <w:rFonts w:ascii="Arial" w:hAnsi="Arial" w:cs="Arial"/>
        </w:rPr>
      </w:pPr>
    </w:p>
    <w:p w14:paraId="194BFD8C" w14:textId="77777777" w:rsidR="007F483E" w:rsidRDefault="007F483E" w:rsidP="00441B6F">
      <w:pPr>
        <w:pStyle w:val="Body"/>
        <w:spacing w:after="0"/>
        <w:rPr>
          <w:rFonts w:ascii="Arial" w:hAnsi="Arial" w:cs="Arial"/>
        </w:rPr>
      </w:pPr>
    </w:p>
    <w:p w14:paraId="134AA546" w14:textId="1D574DAE" w:rsidR="000F3C29" w:rsidRPr="00D2077A" w:rsidRDefault="001853F0" w:rsidP="000F3C29">
      <w:pPr>
        <w:autoSpaceDE w:val="0"/>
        <w:autoSpaceDN w:val="0"/>
        <w:adjustRightInd w:val="0"/>
        <w:jc w:val="center"/>
        <w:rPr>
          <w:rFonts w:ascii="Arial" w:hAnsi="Arial" w:cs="Arial"/>
          <w:b/>
          <w:szCs w:val="24"/>
        </w:rPr>
      </w:pPr>
      <w:r>
        <w:rPr>
          <w:rFonts w:ascii="Arial" w:hAnsi="Arial" w:cs="Arial"/>
          <w:b/>
          <w:szCs w:val="24"/>
        </w:rPr>
        <w:t xml:space="preserve">  Table </w:t>
      </w:r>
      <w:r w:rsidR="000F3C29">
        <w:rPr>
          <w:rFonts w:ascii="Arial" w:hAnsi="Arial" w:cs="Arial"/>
          <w:b/>
          <w:szCs w:val="24"/>
        </w:rPr>
        <w:t>5</w:t>
      </w:r>
      <w:r w:rsidR="000F3C29" w:rsidRPr="000F3C29">
        <w:rPr>
          <w:rFonts w:ascii="Arial" w:hAnsi="Arial" w:cs="Arial"/>
          <w:b/>
          <w:szCs w:val="24"/>
        </w:rPr>
        <w:t xml:space="preserve">. </w:t>
      </w:r>
      <w:r w:rsidR="000F3C29" w:rsidRPr="00D2077A">
        <w:rPr>
          <w:rFonts w:ascii="Arial" w:hAnsi="Arial" w:cs="Arial"/>
          <w:b/>
          <w:bCs/>
          <w:color w:val="000000"/>
          <w:szCs w:val="18"/>
        </w:rPr>
        <w:t>Reliability Statistics</w:t>
      </w:r>
    </w:p>
    <w:tbl>
      <w:tblPr>
        <w:tblW w:w="2677" w:type="dxa"/>
        <w:jc w:val="center"/>
        <w:tblBorders>
          <w:insideH w:val="single" w:sz="4" w:space="0" w:color="auto"/>
        </w:tblBorders>
        <w:tblLayout w:type="fixed"/>
        <w:tblCellMar>
          <w:left w:w="0" w:type="dxa"/>
          <w:right w:w="0" w:type="dxa"/>
        </w:tblCellMar>
        <w:tblLook w:val="0000" w:firstRow="0" w:lastRow="0" w:firstColumn="0" w:lastColumn="0" w:noHBand="0" w:noVBand="0"/>
      </w:tblPr>
      <w:tblGrid>
        <w:gridCol w:w="1512"/>
        <w:gridCol w:w="1165"/>
      </w:tblGrid>
      <w:tr w:rsidR="00D2077A" w:rsidRPr="00D2077A" w14:paraId="2631A5FF" w14:textId="77777777" w:rsidTr="000F3C29">
        <w:trPr>
          <w:cantSplit/>
          <w:jc w:val="center"/>
        </w:trPr>
        <w:tc>
          <w:tcPr>
            <w:tcW w:w="1512" w:type="dxa"/>
            <w:tcBorders>
              <w:top w:val="single" w:sz="4" w:space="0" w:color="auto"/>
              <w:bottom w:val="single" w:sz="4" w:space="0" w:color="auto"/>
            </w:tcBorders>
            <w:shd w:val="clear" w:color="auto" w:fill="FFFFFF"/>
          </w:tcPr>
          <w:p w14:paraId="31B337DC" w14:textId="77777777" w:rsidR="00D2077A" w:rsidRPr="00D2077A" w:rsidRDefault="00D2077A" w:rsidP="00F624AA">
            <w:pPr>
              <w:autoSpaceDE w:val="0"/>
              <w:autoSpaceDN w:val="0"/>
              <w:adjustRightInd w:val="0"/>
              <w:ind w:left="60" w:right="60"/>
              <w:jc w:val="center"/>
              <w:rPr>
                <w:rFonts w:ascii="Arial" w:hAnsi="Arial" w:cs="Arial"/>
                <w:color w:val="000000"/>
                <w:szCs w:val="18"/>
              </w:rPr>
            </w:pPr>
            <w:r w:rsidRPr="00D2077A">
              <w:rPr>
                <w:rFonts w:ascii="Arial" w:hAnsi="Arial" w:cs="Arial"/>
                <w:color w:val="000000"/>
                <w:szCs w:val="18"/>
              </w:rPr>
              <w:t>Cronbach's Alpha</w:t>
            </w:r>
          </w:p>
        </w:tc>
        <w:tc>
          <w:tcPr>
            <w:tcW w:w="1165" w:type="dxa"/>
            <w:tcBorders>
              <w:top w:val="single" w:sz="4" w:space="0" w:color="auto"/>
              <w:bottom w:val="single" w:sz="4" w:space="0" w:color="auto"/>
            </w:tcBorders>
            <w:shd w:val="clear" w:color="auto" w:fill="FFFFFF"/>
          </w:tcPr>
          <w:p w14:paraId="4372CD10" w14:textId="77777777" w:rsidR="00D2077A" w:rsidRPr="00D2077A" w:rsidRDefault="00D2077A" w:rsidP="00F624AA">
            <w:pPr>
              <w:autoSpaceDE w:val="0"/>
              <w:autoSpaceDN w:val="0"/>
              <w:adjustRightInd w:val="0"/>
              <w:ind w:left="60" w:right="60"/>
              <w:jc w:val="center"/>
              <w:rPr>
                <w:rFonts w:ascii="Arial" w:hAnsi="Arial" w:cs="Arial"/>
                <w:color w:val="000000"/>
                <w:szCs w:val="18"/>
              </w:rPr>
            </w:pPr>
            <w:r w:rsidRPr="00D2077A">
              <w:rPr>
                <w:rFonts w:ascii="Arial" w:hAnsi="Arial" w:cs="Arial"/>
                <w:color w:val="000000"/>
                <w:szCs w:val="18"/>
              </w:rPr>
              <w:t>N of Items</w:t>
            </w:r>
          </w:p>
        </w:tc>
      </w:tr>
      <w:tr w:rsidR="00D2077A" w:rsidRPr="00D2077A" w14:paraId="3DD34C60" w14:textId="77777777" w:rsidTr="000F3C29">
        <w:trPr>
          <w:cantSplit/>
          <w:jc w:val="center"/>
        </w:trPr>
        <w:tc>
          <w:tcPr>
            <w:tcW w:w="1512" w:type="dxa"/>
            <w:tcBorders>
              <w:top w:val="single" w:sz="4" w:space="0" w:color="auto"/>
              <w:bottom w:val="single" w:sz="4" w:space="0" w:color="auto"/>
            </w:tcBorders>
            <w:shd w:val="clear" w:color="auto" w:fill="FFFFFF"/>
            <w:vAlign w:val="center"/>
          </w:tcPr>
          <w:p w14:paraId="59B9F08A" w14:textId="77777777" w:rsidR="00D2077A" w:rsidRPr="00D2077A" w:rsidRDefault="00D2077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lastRenderedPageBreak/>
              <w:t>.997</w:t>
            </w:r>
          </w:p>
        </w:tc>
        <w:tc>
          <w:tcPr>
            <w:tcW w:w="1165" w:type="dxa"/>
            <w:tcBorders>
              <w:top w:val="single" w:sz="4" w:space="0" w:color="auto"/>
              <w:bottom w:val="single" w:sz="4" w:space="0" w:color="auto"/>
            </w:tcBorders>
            <w:shd w:val="clear" w:color="auto" w:fill="FFFFFF"/>
            <w:vAlign w:val="center"/>
          </w:tcPr>
          <w:p w14:paraId="4D4DD438" w14:textId="77777777" w:rsidR="00D2077A" w:rsidRPr="00D2077A" w:rsidRDefault="00D2077A" w:rsidP="00F624AA">
            <w:pPr>
              <w:autoSpaceDE w:val="0"/>
              <w:autoSpaceDN w:val="0"/>
              <w:adjustRightInd w:val="0"/>
              <w:ind w:left="60" w:right="60"/>
              <w:jc w:val="right"/>
              <w:rPr>
                <w:rFonts w:ascii="Arial" w:hAnsi="Arial" w:cs="Arial"/>
                <w:color w:val="000000"/>
                <w:szCs w:val="18"/>
              </w:rPr>
            </w:pPr>
            <w:r w:rsidRPr="00D2077A">
              <w:rPr>
                <w:rFonts w:ascii="Arial" w:hAnsi="Arial" w:cs="Arial"/>
                <w:color w:val="000000"/>
                <w:szCs w:val="18"/>
              </w:rPr>
              <w:t>17</w:t>
            </w:r>
          </w:p>
        </w:tc>
      </w:tr>
    </w:tbl>
    <w:p w14:paraId="6E25C528" w14:textId="77777777" w:rsidR="00B059C6" w:rsidRDefault="00B059C6" w:rsidP="00B059C6">
      <w:pPr>
        <w:pStyle w:val="Body"/>
        <w:spacing w:after="0"/>
        <w:jc w:val="center"/>
        <w:rPr>
          <w:rFonts w:ascii="Arial" w:hAnsi="Arial" w:cs="Arial"/>
          <w:b/>
          <w:u w:val="single"/>
        </w:rPr>
      </w:pPr>
      <w:proofErr w:type="gramStart"/>
      <w:r w:rsidRPr="002F63B8">
        <w:rPr>
          <w:rFonts w:ascii="Arial" w:hAnsi="Arial" w:cs="Arial"/>
          <w:color w:val="000000"/>
          <w:szCs w:val="18"/>
        </w:rPr>
        <w:t>Source :</w:t>
      </w:r>
      <w:proofErr w:type="gramEnd"/>
      <w:r w:rsidRPr="002F63B8">
        <w:rPr>
          <w:rFonts w:ascii="Arial" w:hAnsi="Arial" w:cs="Arial"/>
          <w:color w:val="000000"/>
          <w:szCs w:val="18"/>
        </w:rPr>
        <w:t xml:space="preserve"> (researcher data, 2025)</w:t>
      </w:r>
    </w:p>
    <w:p w14:paraId="3A0977E8" w14:textId="77777777" w:rsidR="0062211D" w:rsidRPr="0062211D" w:rsidRDefault="0062211D" w:rsidP="0062211D">
      <w:pPr>
        <w:jc w:val="both"/>
        <w:rPr>
          <w:rFonts w:ascii="Arial" w:hAnsi="Arial" w:cs="Arial"/>
        </w:rPr>
      </w:pPr>
      <w:r w:rsidRPr="0062211D">
        <w:rPr>
          <w:rFonts w:ascii="Arial" w:hAnsi="Arial" w:cs="Arial"/>
        </w:rPr>
        <w:t xml:space="preserve">Based on the data above, the Cronbach's Alpha value of 0.997 (very close to 1), for 17 items, indicates that the level of instrument reliability is very high. The attributes used in this instrument are very consistent with each other. The measurement results of this instrument are reliable and stable. If the same instrument is reused on similar respondents, it is likely that the results will be consistent. </w:t>
      </w:r>
    </w:p>
    <w:p w14:paraId="1849DA2C" w14:textId="77777777" w:rsidR="00B059C6" w:rsidRPr="00D2077A" w:rsidRDefault="00B059C6" w:rsidP="00B059C6">
      <w:pPr>
        <w:autoSpaceDE w:val="0"/>
        <w:autoSpaceDN w:val="0"/>
        <w:adjustRightInd w:val="0"/>
        <w:rPr>
          <w:rFonts w:ascii="Times New Roman" w:hAnsi="Times New Roman"/>
          <w:sz w:val="24"/>
          <w:szCs w:val="24"/>
        </w:rPr>
      </w:pPr>
    </w:p>
    <w:p w14:paraId="64438A1F" w14:textId="77777777" w:rsidR="00175991" w:rsidRDefault="00175991" w:rsidP="00175991">
      <w:pPr>
        <w:pStyle w:val="Body"/>
        <w:spacing w:after="0"/>
        <w:rPr>
          <w:rFonts w:ascii="Arial" w:hAnsi="Arial" w:cs="Arial"/>
          <w:b/>
          <w:sz w:val="22"/>
        </w:rPr>
      </w:pPr>
      <w:r w:rsidRPr="00FF2AA1">
        <w:rPr>
          <w:rFonts w:ascii="Arial" w:hAnsi="Arial" w:cs="Arial"/>
          <w:b/>
          <w:caps/>
          <w:sz w:val="22"/>
        </w:rPr>
        <w:t>3.</w:t>
      </w:r>
      <w:r>
        <w:rPr>
          <w:rFonts w:ascii="Arial" w:hAnsi="Arial" w:cs="Arial"/>
          <w:b/>
          <w:caps/>
          <w:sz w:val="22"/>
        </w:rPr>
        <w:t xml:space="preserve">3 </w:t>
      </w:r>
      <w:r w:rsidR="004F7353" w:rsidRPr="004F7353">
        <w:rPr>
          <w:rFonts w:ascii="Arial" w:hAnsi="Arial" w:cs="Arial"/>
          <w:b/>
          <w:sz w:val="22"/>
        </w:rPr>
        <w:t>Calculation of Customer Satisfaction Index (CSI)</w:t>
      </w:r>
    </w:p>
    <w:p w14:paraId="0E16B3B0" w14:textId="77777777" w:rsidR="007E4A35" w:rsidRPr="0062211D" w:rsidRDefault="0062211D" w:rsidP="00175991">
      <w:pPr>
        <w:pStyle w:val="Body"/>
        <w:spacing w:after="0"/>
        <w:rPr>
          <w:rFonts w:ascii="Arial" w:hAnsi="Arial" w:cs="Arial"/>
        </w:rPr>
      </w:pPr>
      <w:r w:rsidRPr="0062211D">
        <w:rPr>
          <w:rFonts w:ascii="Arial" w:hAnsi="Arial" w:cs="Arial"/>
        </w:rPr>
        <w:t xml:space="preserve">The results of the Customer Satisfaction Index (CSI) analysis </w:t>
      </w:r>
      <w:r>
        <w:rPr>
          <w:rFonts w:ascii="Arial" w:hAnsi="Arial" w:cs="Arial"/>
        </w:rPr>
        <w:t xml:space="preserve">begins with the discussion of </w:t>
      </w:r>
      <w:r w:rsidRPr="0062211D">
        <w:rPr>
          <w:rFonts w:ascii="Arial" w:hAnsi="Arial" w:cs="Arial"/>
        </w:rPr>
        <w:t xml:space="preserve">Importance Score (IS) and Performance Score (PS) </w:t>
      </w:r>
      <w:r>
        <w:rPr>
          <w:rFonts w:ascii="Arial" w:hAnsi="Arial" w:cs="Arial"/>
        </w:rPr>
        <w:t xml:space="preserve">data analyzed </w:t>
      </w:r>
      <w:r w:rsidR="007E4A35">
        <w:rPr>
          <w:rFonts w:ascii="Arial" w:hAnsi="Arial" w:cs="Arial"/>
        </w:rPr>
        <w:t xml:space="preserve">to </w:t>
      </w:r>
      <w:r>
        <w:rPr>
          <w:rFonts w:ascii="Arial" w:hAnsi="Arial" w:cs="Arial"/>
        </w:rPr>
        <w:t xml:space="preserve">obtain </w:t>
      </w:r>
      <w:r w:rsidR="007E4A35" w:rsidRPr="007E4A35">
        <w:rPr>
          <w:rFonts w:ascii="Arial" w:hAnsi="Arial" w:cs="Arial"/>
        </w:rPr>
        <w:t xml:space="preserve">Mean Importance Score (MIS) </w:t>
      </w:r>
      <w:r w:rsidR="007E4A35">
        <w:rPr>
          <w:rFonts w:ascii="Arial" w:hAnsi="Arial" w:cs="Arial"/>
        </w:rPr>
        <w:t xml:space="preserve">and </w:t>
      </w:r>
      <w:r w:rsidR="007E4A35" w:rsidRPr="007E4A35">
        <w:rPr>
          <w:rFonts w:ascii="Arial" w:hAnsi="Arial" w:cs="Arial"/>
        </w:rPr>
        <w:t>Mean Performance Score (MPS) for each attribute</w:t>
      </w:r>
      <w:r w:rsidR="007E4A35">
        <w:rPr>
          <w:rFonts w:ascii="Arial" w:hAnsi="Arial" w:cs="Arial"/>
        </w:rPr>
        <w:t xml:space="preserve">, then proceed to </w:t>
      </w:r>
      <w:r w:rsidR="007E4A35" w:rsidRPr="007E4A35">
        <w:rPr>
          <w:rFonts w:ascii="Arial" w:hAnsi="Arial" w:cs="Arial"/>
        </w:rPr>
        <w:t xml:space="preserve">calculate </w:t>
      </w:r>
      <w:r w:rsidR="002A457E" w:rsidRPr="002A457E">
        <w:rPr>
          <w:rFonts w:ascii="Arial" w:hAnsi="Arial" w:cs="Arial"/>
        </w:rPr>
        <w:t xml:space="preserve">Weight Factor (WF) </w:t>
      </w:r>
      <w:r w:rsidR="002A457E">
        <w:rPr>
          <w:rFonts w:ascii="Arial" w:hAnsi="Arial" w:cs="Arial"/>
        </w:rPr>
        <w:t xml:space="preserve">and </w:t>
      </w:r>
      <w:r w:rsidR="002A457E" w:rsidRPr="002A457E">
        <w:rPr>
          <w:rFonts w:ascii="Arial" w:hAnsi="Arial" w:cs="Arial"/>
        </w:rPr>
        <w:t>Weighted Score (WS)</w:t>
      </w:r>
      <w:r w:rsidR="007E4A35">
        <w:rPr>
          <w:rFonts w:ascii="Arial" w:hAnsi="Arial" w:cs="Arial"/>
        </w:rPr>
        <w:t>. The following are the results of the attribute analysis</w:t>
      </w:r>
      <w:r w:rsidR="007E4A35" w:rsidRPr="007E4A35">
        <w:rPr>
          <w:rFonts w:ascii="Arial" w:hAnsi="Arial" w:cs="Arial"/>
        </w:rPr>
        <w:t xml:space="preserve">; </w:t>
      </w:r>
    </w:p>
    <w:p w14:paraId="17F8140C" w14:textId="6499101C" w:rsidR="00175991" w:rsidRDefault="001853F0" w:rsidP="000F3C29">
      <w:pPr>
        <w:pStyle w:val="Body"/>
        <w:spacing w:after="0"/>
        <w:jc w:val="center"/>
        <w:rPr>
          <w:rFonts w:ascii="Arial" w:hAnsi="Arial" w:cs="Arial"/>
        </w:rPr>
      </w:pPr>
      <w:r>
        <w:rPr>
          <w:rFonts w:ascii="Arial" w:hAnsi="Arial" w:cs="Arial"/>
          <w:b/>
          <w:szCs w:val="24"/>
        </w:rPr>
        <w:t xml:space="preserve">  Table </w:t>
      </w:r>
      <w:r w:rsidR="000F3C29">
        <w:rPr>
          <w:rFonts w:ascii="Arial" w:hAnsi="Arial" w:cs="Arial"/>
          <w:b/>
          <w:szCs w:val="24"/>
        </w:rPr>
        <w:t>6</w:t>
      </w:r>
      <w:r w:rsidR="000F3C29" w:rsidRPr="000F3C29">
        <w:rPr>
          <w:rFonts w:ascii="Arial" w:hAnsi="Arial" w:cs="Arial"/>
          <w:b/>
          <w:szCs w:val="24"/>
        </w:rPr>
        <w:t xml:space="preserve">. </w:t>
      </w:r>
      <w:r w:rsidR="000F3C29">
        <w:rPr>
          <w:rFonts w:ascii="Arial" w:hAnsi="Arial" w:cs="Arial"/>
          <w:b/>
          <w:bCs/>
          <w:color w:val="000000"/>
          <w:szCs w:val="18"/>
        </w:rPr>
        <w:t>Attribute Analysis</w:t>
      </w:r>
    </w:p>
    <w:tbl>
      <w:tblPr>
        <w:tblStyle w:val="LightShading"/>
        <w:tblW w:w="6750" w:type="dxa"/>
        <w:jc w:val="center"/>
        <w:tblLook w:val="04A0" w:firstRow="1" w:lastRow="0" w:firstColumn="1" w:lastColumn="0" w:noHBand="0" w:noVBand="1"/>
      </w:tblPr>
      <w:tblGrid>
        <w:gridCol w:w="2070"/>
        <w:gridCol w:w="1170"/>
        <w:gridCol w:w="1170"/>
        <w:gridCol w:w="1170"/>
        <w:gridCol w:w="1170"/>
      </w:tblGrid>
      <w:tr w:rsidR="00447162" w:rsidRPr="000F3C29" w14:paraId="2788F3D8" w14:textId="77777777" w:rsidTr="004471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2325D12D" w14:textId="77777777" w:rsidR="00447162" w:rsidRPr="000F3C29" w:rsidRDefault="00447162" w:rsidP="004F7353">
            <w:pPr>
              <w:pStyle w:val="Body"/>
              <w:spacing w:after="0"/>
              <w:jc w:val="center"/>
              <w:rPr>
                <w:rFonts w:ascii="Arial" w:hAnsi="Arial" w:cs="Arial"/>
              </w:rPr>
            </w:pPr>
            <w:proofErr w:type="spellStart"/>
            <w:r w:rsidRPr="000F3C29">
              <w:rPr>
                <w:rFonts w:ascii="Arial" w:hAnsi="Arial" w:cs="Arial"/>
              </w:rPr>
              <w:t>Atribute</w:t>
            </w:r>
            <w:proofErr w:type="spellEnd"/>
          </w:p>
          <w:p w14:paraId="7CD66364" w14:textId="77777777" w:rsidR="00447162" w:rsidRPr="000F3C29" w:rsidRDefault="00447162" w:rsidP="004F7353">
            <w:pPr>
              <w:pStyle w:val="Body"/>
              <w:spacing w:after="0"/>
              <w:jc w:val="center"/>
              <w:rPr>
                <w:rFonts w:ascii="Arial" w:hAnsi="Arial" w:cs="Arial"/>
              </w:rPr>
            </w:pPr>
            <w:r w:rsidRPr="000F3C29">
              <w:rPr>
                <w:rFonts w:ascii="Arial" w:hAnsi="Arial" w:cs="Arial"/>
              </w:rPr>
              <w:t>SERVQUAL</w:t>
            </w:r>
          </w:p>
        </w:tc>
        <w:tc>
          <w:tcPr>
            <w:tcW w:w="1170" w:type="dxa"/>
          </w:tcPr>
          <w:p w14:paraId="47AFEE6F" w14:textId="77777777" w:rsidR="00447162" w:rsidRPr="000F3C29" w:rsidRDefault="00447162" w:rsidP="00447162">
            <w:pPr>
              <w:pStyle w:val="Body"/>
              <w:spacing w:after="0"/>
              <w:jc w:val="right"/>
              <w:cnfStyle w:val="100000000000" w:firstRow="1" w:lastRow="0" w:firstColumn="0" w:lastColumn="0" w:oddVBand="0" w:evenVBand="0" w:oddHBand="0" w:evenHBand="0" w:firstRowFirstColumn="0" w:firstRowLastColumn="0" w:lastRowFirstColumn="0" w:lastRowLastColumn="0"/>
              <w:rPr>
                <w:rFonts w:ascii="Arial" w:hAnsi="Arial" w:cs="Arial"/>
              </w:rPr>
            </w:pPr>
            <w:r w:rsidRPr="000F3C29">
              <w:rPr>
                <w:rFonts w:ascii="Arial" w:hAnsi="Arial" w:cs="Arial"/>
              </w:rPr>
              <w:t>MIS</w:t>
            </w:r>
          </w:p>
        </w:tc>
        <w:tc>
          <w:tcPr>
            <w:tcW w:w="1170" w:type="dxa"/>
          </w:tcPr>
          <w:p w14:paraId="435B02F3" w14:textId="77777777" w:rsidR="00447162" w:rsidRPr="000F3C29" w:rsidRDefault="00447162" w:rsidP="00447162">
            <w:pPr>
              <w:pStyle w:val="Body"/>
              <w:spacing w:after="0"/>
              <w:jc w:val="right"/>
              <w:cnfStyle w:val="100000000000" w:firstRow="1" w:lastRow="0" w:firstColumn="0" w:lastColumn="0" w:oddVBand="0" w:evenVBand="0" w:oddHBand="0" w:evenHBand="0" w:firstRowFirstColumn="0" w:firstRowLastColumn="0" w:lastRowFirstColumn="0" w:lastRowLastColumn="0"/>
              <w:rPr>
                <w:rFonts w:ascii="Arial" w:hAnsi="Arial" w:cs="Arial"/>
              </w:rPr>
            </w:pPr>
            <w:r w:rsidRPr="000F3C29">
              <w:rPr>
                <w:rFonts w:ascii="Arial" w:hAnsi="Arial" w:cs="Arial"/>
              </w:rPr>
              <w:t>MPS</w:t>
            </w:r>
          </w:p>
        </w:tc>
        <w:tc>
          <w:tcPr>
            <w:tcW w:w="1170" w:type="dxa"/>
          </w:tcPr>
          <w:p w14:paraId="158CE9F7" w14:textId="77777777" w:rsidR="00447162" w:rsidRPr="000F3C29" w:rsidRDefault="00447162" w:rsidP="00447162">
            <w:pPr>
              <w:pStyle w:val="Body"/>
              <w:spacing w:after="0"/>
              <w:jc w:val="right"/>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WF</w:t>
            </w:r>
          </w:p>
        </w:tc>
        <w:tc>
          <w:tcPr>
            <w:tcW w:w="1170" w:type="dxa"/>
          </w:tcPr>
          <w:p w14:paraId="59F8595C" w14:textId="77777777" w:rsidR="00447162" w:rsidRPr="000F3C29" w:rsidRDefault="00447162" w:rsidP="00447162">
            <w:pPr>
              <w:pStyle w:val="Body"/>
              <w:spacing w:after="0"/>
              <w:jc w:val="right"/>
              <w:cnfStyle w:val="100000000000" w:firstRow="1" w:lastRow="0" w:firstColumn="0" w:lastColumn="0" w:oddVBand="0" w:evenVBand="0" w:oddHBand="0" w:evenHBand="0" w:firstRowFirstColumn="0" w:firstRowLastColumn="0" w:lastRowFirstColumn="0" w:lastRowLastColumn="0"/>
              <w:rPr>
                <w:rFonts w:ascii="Arial" w:hAnsi="Arial" w:cs="Arial"/>
              </w:rPr>
            </w:pPr>
            <w:r w:rsidRPr="000F3C29">
              <w:rPr>
                <w:rFonts w:ascii="Arial" w:hAnsi="Arial" w:cs="Arial"/>
              </w:rPr>
              <w:t>WS</w:t>
            </w:r>
          </w:p>
        </w:tc>
      </w:tr>
      <w:tr w:rsidR="00447162" w:rsidRPr="000F3C29" w14:paraId="52F06DC0"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4BFF5BA4" w14:textId="77777777" w:rsidR="00447162" w:rsidRPr="000F3C29" w:rsidRDefault="00447162" w:rsidP="004F7353">
            <w:pPr>
              <w:pStyle w:val="Body"/>
              <w:spacing w:after="0"/>
              <w:rPr>
                <w:rFonts w:ascii="Arial" w:hAnsi="Arial" w:cs="Arial"/>
                <w:b w:val="0"/>
              </w:rPr>
            </w:pPr>
            <w:r w:rsidRPr="000F3C29">
              <w:rPr>
                <w:rFonts w:ascii="Arial" w:hAnsi="Arial" w:cs="Arial"/>
                <w:b w:val="0"/>
              </w:rPr>
              <w:t>Promotion Media</w:t>
            </w:r>
          </w:p>
        </w:tc>
        <w:tc>
          <w:tcPr>
            <w:tcW w:w="1170" w:type="dxa"/>
            <w:vAlign w:val="center"/>
          </w:tcPr>
          <w:p w14:paraId="1E6B88EF"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4.22</w:t>
            </w:r>
          </w:p>
        </w:tc>
        <w:tc>
          <w:tcPr>
            <w:tcW w:w="1170" w:type="dxa"/>
            <w:vAlign w:val="center"/>
          </w:tcPr>
          <w:p w14:paraId="1E70F0F3"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3.</w:t>
            </w:r>
            <w:r w:rsidR="00F27AB1">
              <w:rPr>
                <w:rFonts w:ascii="Arial" w:hAnsi="Arial" w:cs="Arial"/>
                <w:bCs/>
                <w:color w:val="000000"/>
              </w:rPr>
              <w:t>80</w:t>
            </w:r>
          </w:p>
        </w:tc>
        <w:tc>
          <w:tcPr>
            <w:tcW w:w="1170" w:type="dxa"/>
            <w:vAlign w:val="bottom"/>
          </w:tcPr>
          <w:p w14:paraId="6DD84FA0"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5.80</w:t>
            </w:r>
          </w:p>
        </w:tc>
        <w:tc>
          <w:tcPr>
            <w:tcW w:w="1170" w:type="dxa"/>
            <w:vAlign w:val="bottom"/>
          </w:tcPr>
          <w:p w14:paraId="1E73938E"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22.05</w:t>
            </w:r>
          </w:p>
        </w:tc>
      </w:tr>
      <w:tr w:rsidR="00447162" w:rsidRPr="000F3C29" w14:paraId="4B3B041B" w14:textId="77777777" w:rsidTr="001F070D">
        <w:trPr>
          <w:jc w:val="center"/>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6CAF3D4F" w14:textId="77777777" w:rsidR="00447162" w:rsidRPr="000F3C29" w:rsidRDefault="00447162" w:rsidP="004F7353">
            <w:pPr>
              <w:pStyle w:val="Body"/>
              <w:spacing w:after="0"/>
              <w:rPr>
                <w:rFonts w:ascii="Arial" w:hAnsi="Arial" w:cs="Arial"/>
                <w:b w:val="0"/>
              </w:rPr>
            </w:pPr>
            <w:r w:rsidRPr="000F3C29">
              <w:rPr>
                <w:rFonts w:ascii="Arial" w:hAnsi="Arial" w:cs="Arial"/>
                <w:b w:val="0"/>
              </w:rPr>
              <w:t>Facility</w:t>
            </w:r>
          </w:p>
        </w:tc>
        <w:tc>
          <w:tcPr>
            <w:tcW w:w="1170" w:type="dxa"/>
            <w:tcBorders>
              <w:left w:val="nil"/>
              <w:right w:val="nil"/>
            </w:tcBorders>
            <w:vAlign w:val="center"/>
          </w:tcPr>
          <w:p w14:paraId="19CFE262"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447162">
              <w:rPr>
                <w:rFonts w:ascii="Arial" w:hAnsi="Arial" w:cs="Arial"/>
                <w:bCs/>
                <w:color w:val="000000"/>
              </w:rPr>
              <w:t>4.</w:t>
            </w:r>
            <w:r>
              <w:rPr>
                <w:rFonts w:ascii="Arial" w:hAnsi="Arial" w:cs="Arial"/>
                <w:bCs/>
                <w:color w:val="000000"/>
              </w:rPr>
              <w:t>40</w:t>
            </w:r>
          </w:p>
        </w:tc>
        <w:tc>
          <w:tcPr>
            <w:tcW w:w="1170" w:type="dxa"/>
            <w:tcBorders>
              <w:left w:val="nil"/>
            </w:tcBorders>
            <w:vAlign w:val="center"/>
          </w:tcPr>
          <w:p w14:paraId="572C859E"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3.98</w:t>
            </w:r>
          </w:p>
        </w:tc>
        <w:tc>
          <w:tcPr>
            <w:tcW w:w="1170" w:type="dxa"/>
            <w:tcBorders>
              <w:left w:val="nil"/>
              <w:right w:val="nil"/>
            </w:tcBorders>
            <w:vAlign w:val="bottom"/>
          </w:tcPr>
          <w:p w14:paraId="620EEB31"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6.05</w:t>
            </w:r>
          </w:p>
        </w:tc>
        <w:tc>
          <w:tcPr>
            <w:tcW w:w="1170" w:type="dxa"/>
            <w:tcBorders>
              <w:left w:val="nil"/>
            </w:tcBorders>
            <w:vAlign w:val="bottom"/>
          </w:tcPr>
          <w:p w14:paraId="7161AD1C"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24.08</w:t>
            </w:r>
          </w:p>
        </w:tc>
      </w:tr>
      <w:tr w:rsidR="00447162" w:rsidRPr="000F3C29" w14:paraId="54A4DB86"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3219603E" w14:textId="77777777" w:rsidR="00447162" w:rsidRPr="000F3C29" w:rsidRDefault="00447162" w:rsidP="004F7353">
            <w:pPr>
              <w:pStyle w:val="Body"/>
              <w:spacing w:after="0"/>
              <w:rPr>
                <w:rFonts w:ascii="Arial" w:hAnsi="Arial" w:cs="Arial"/>
                <w:b w:val="0"/>
              </w:rPr>
            </w:pPr>
            <w:r w:rsidRPr="000F3C29">
              <w:rPr>
                <w:rFonts w:ascii="Arial" w:hAnsi="Arial" w:cs="Arial"/>
                <w:b w:val="0"/>
              </w:rPr>
              <w:t>Time Management</w:t>
            </w:r>
          </w:p>
        </w:tc>
        <w:tc>
          <w:tcPr>
            <w:tcW w:w="1170" w:type="dxa"/>
            <w:vAlign w:val="center"/>
          </w:tcPr>
          <w:p w14:paraId="128DFB99"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4.22</w:t>
            </w:r>
          </w:p>
        </w:tc>
        <w:tc>
          <w:tcPr>
            <w:tcW w:w="1170" w:type="dxa"/>
            <w:vAlign w:val="center"/>
          </w:tcPr>
          <w:p w14:paraId="6BF9E496"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3.77</w:t>
            </w:r>
          </w:p>
        </w:tc>
        <w:tc>
          <w:tcPr>
            <w:tcW w:w="1170" w:type="dxa"/>
            <w:vAlign w:val="bottom"/>
          </w:tcPr>
          <w:p w14:paraId="6CC33DAF"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5.80</w:t>
            </w:r>
          </w:p>
        </w:tc>
        <w:tc>
          <w:tcPr>
            <w:tcW w:w="1170" w:type="dxa"/>
            <w:vAlign w:val="bottom"/>
          </w:tcPr>
          <w:p w14:paraId="192251B2"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21.88</w:t>
            </w:r>
          </w:p>
        </w:tc>
      </w:tr>
      <w:tr w:rsidR="00447162" w:rsidRPr="000F3C29" w14:paraId="69DF4E49" w14:textId="77777777" w:rsidTr="001F070D">
        <w:trPr>
          <w:jc w:val="center"/>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538696EB" w14:textId="77777777" w:rsidR="00447162" w:rsidRPr="000F3C29" w:rsidRDefault="00447162" w:rsidP="004F7353">
            <w:pPr>
              <w:pStyle w:val="Body"/>
              <w:spacing w:after="0"/>
              <w:rPr>
                <w:rFonts w:ascii="Arial" w:hAnsi="Arial" w:cs="Arial"/>
                <w:b w:val="0"/>
              </w:rPr>
            </w:pPr>
            <w:r w:rsidRPr="000F3C29">
              <w:rPr>
                <w:rFonts w:ascii="Arial" w:hAnsi="Arial" w:cs="Arial"/>
                <w:b w:val="0"/>
              </w:rPr>
              <w:t>Information</w:t>
            </w:r>
          </w:p>
        </w:tc>
        <w:tc>
          <w:tcPr>
            <w:tcW w:w="1170" w:type="dxa"/>
            <w:tcBorders>
              <w:left w:val="nil"/>
              <w:right w:val="nil"/>
            </w:tcBorders>
            <w:vAlign w:val="center"/>
          </w:tcPr>
          <w:p w14:paraId="6D589D25"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447162">
              <w:rPr>
                <w:rFonts w:ascii="Arial" w:hAnsi="Arial" w:cs="Arial"/>
                <w:bCs/>
                <w:color w:val="000000"/>
              </w:rPr>
              <w:t>4.38</w:t>
            </w:r>
          </w:p>
        </w:tc>
        <w:tc>
          <w:tcPr>
            <w:tcW w:w="1170" w:type="dxa"/>
            <w:tcBorders>
              <w:left w:val="nil"/>
            </w:tcBorders>
            <w:vAlign w:val="center"/>
          </w:tcPr>
          <w:p w14:paraId="7B91843B"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3.99</w:t>
            </w:r>
          </w:p>
        </w:tc>
        <w:tc>
          <w:tcPr>
            <w:tcW w:w="1170" w:type="dxa"/>
            <w:tcBorders>
              <w:left w:val="nil"/>
              <w:right w:val="nil"/>
            </w:tcBorders>
            <w:vAlign w:val="bottom"/>
          </w:tcPr>
          <w:p w14:paraId="188ACBF0"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6.02</w:t>
            </w:r>
          </w:p>
        </w:tc>
        <w:tc>
          <w:tcPr>
            <w:tcW w:w="1170" w:type="dxa"/>
            <w:tcBorders>
              <w:left w:val="nil"/>
            </w:tcBorders>
            <w:vAlign w:val="bottom"/>
          </w:tcPr>
          <w:p w14:paraId="1FBE7D72"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24.04</w:t>
            </w:r>
          </w:p>
        </w:tc>
      </w:tr>
      <w:tr w:rsidR="00447162" w:rsidRPr="000F3C29" w14:paraId="2E5A61CB"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36CB387D" w14:textId="77777777" w:rsidR="00447162" w:rsidRPr="000F3C29" w:rsidRDefault="00447162" w:rsidP="00085BD1">
            <w:pPr>
              <w:pStyle w:val="Body"/>
              <w:spacing w:after="0"/>
              <w:rPr>
                <w:rFonts w:ascii="Arial" w:hAnsi="Arial" w:cs="Arial"/>
                <w:b w:val="0"/>
              </w:rPr>
            </w:pPr>
            <w:r w:rsidRPr="000F3C29">
              <w:rPr>
                <w:rFonts w:ascii="Arial" w:hAnsi="Arial" w:cs="Arial"/>
                <w:b w:val="0"/>
              </w:rPr>
              <w:t>Problem Solving</w:t>
            </w:r>
          </w:p>
        </w:tc>
        <w:tc>
          <w:tcPr>
            <w:tcW w:w="1170" w:type="dxa"/>
            <w:vAlign w:val="center"/>
          </w:tcPr>
          <w:p w14:paraId="2D42D174"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4.22</w:t>
            </w:r>
          </w:p>
        </w:tc>
        <w:tc>
          <w:tcPr>
            <w:tcW w:w="1170" w:type="dxa"/>
            <w:vAlign w:val="center"/>
          </w:tcPr>
          <w:p w14:paraId="776A11E6"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3.97</w:t>
            </w:r>
          </w:p>
        </w:tc>
        <w:tc>
          <w:tcPr>
            <w:tcW w:w="1170" w:type="dxa"/>
            <w:vAlign w:val="bottom"/>
          </w:tcPr>
          <w:p w14:paraId="3B3D9EB0"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5.88</w:t>
            </w:r>
          </w:p>
        </w:tc>
        <w:tc>
          <w:tcPr>
            <w:tcW w:w="1170" w:type="dxa"/>
            <w:vAlign w:val="bottom"/>
          </w:tcPr>
          <w:p w14:paraId="45FDA2C6"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23.36</w:t>
            </w:r>
          </w:p>
        </w:tc>
      </w:tr>
      <w:tr w:rsidR="00447162" w:rsidRPr="000F3C29" w14:paraId="58FFB6A7" w14:textId="77777777" w:rsidTr="001F070D">
        <w:trPr>
          <w:jc w:val="center"/>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5C6676BF" w14:textId="77777777" w:rsidR="00447162" w:rsidRPr="000F3C29" w:rsidRDefault="00447162" w:rsidP="00085BD1">
            <w:pPr>
              <w:pStyle w:val="Body"/>
              <w:spacing w:after="0"/>
              <w:rPr>
                <w:rFonts w:ascii="Arial" w:hAnsi="Arial" w:cs="Arial"/>
                <w:b w:val="0"/>
              </w:rPr>
            </w:pPr>
            <w:r w:rsidRPr="000F3C29">
              <w:rPr>
                <w:rFonts w:ascii="Arial" w:hAnsi="Arial" w:cs="Arial"/>
                <w:b w:val="0"/>
              </w:rPr>
              <w:t>Services</w:t>
            </w:r>
          </w:p>
        </w:tc>
        <w:tc>
          <w:tcPr>
            <w:tcW w:w="1170" w:type="dxa"/>
            <w:tcBorders>
              <w:left w:val="nil"/>
              <w:right w:val="nil"/>
            </w:tcBorders>
            <w:vAlign w:val="center"/>
          </w:tcPr>
          <w:p w14:paraId="61E65A99"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447162">
              <w:rPr>
                <w:rFonts w:ascii="Arial" w:hAnsi="Arial" w:cs="Arial"/>
                <w:bCs/>
                <w:color w:val="000000"/>
              </w:rPr>
              <w:t>4.38</w:t>
            </w:r>
          </w:p>
        </w:tc>
        <w:tc>
          <w:tcPr>
            <w:tcW w:w="1170" w:type="dxa"/>
            <w:tcBorders>
              <w:left w:val="nil"/>
            </w:tcBorders>
            <w:vAlign w:val="center"/>
          </w:tcPr>
          <w:p w14:paraId="5D2E77EC"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4</w:t>
            </w:r>
            <w:r>
              <w:rPr>
                <w:rFonts w:ascii="Arial" w:hAnsi="Arial" w:cs="Arial"/>
                <w:color w:val="000000"/>
              </w:rPr>
              <w:t>.00</w:t>
            </w:r>
          </w:p>
        </w:tc>
        <w:tc>
          <w:tcPr>
            <w:tcW w:w="1170" w:type="dxa"/>
            <w:tcBorders>
              <w:left w:val="nil"/>
              <w:right w:val="nil"/>
            </w:tcBorders>
            <w:vAlign w:val="bottom"/>
          </w:tcPr>
          <w:p w14:paraId="5ABB787E"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6.11</w:t>
            </w:r>
          </w:p>
        </w:tc>
        <w:tc>
          <w:tcPr>
            <w:tcW w:w="1170" w:type="dxa"/>
            <w:tcBorders>
              <w:left w:val="nil"/>
            </w:tcBorders>
            <w:vAlign w:val="bottom"/>
          </w:tcPr>
          <w:p w14:paraId="650A58DB"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24.43</w:t>
            </w:r>
          </w:p>
        </w:tc>
      </w:tr>
      <w:tr w:rsidR="00447162" w:rsidRPr="000F3C29" w14:paraId="4D5FC4FA"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650F107D" w14:textId="77777777" w:rsidR="00447162" w:rsidRPr="000F3C29" w:rsidRDefault="00447162" w:rsidP="00085BD1">
            <w:pPr>
              <w:pStyle w:val="Body"/>
              <w:spacing w:after="0"/>
              <w:rPr>
                <w:rFonts w:ascii="Arial" w:hAnsi="Arial" w:cs="Arial"/>
                <w:b w:val="0"/>
              </w:rPr>
            </w:pPr>
            <w:r w:rsidRPr="000F3C29">
              <w:rPr>
                <w:rFonts w:ascii="Arial" w:hAnsi="Arial" w:cs="Arial"/>
                <w:b w:val="0"/>
              </w:rPr>
              <w:t>Competence</w:t>
            </w:r>
          </w:p>
        </w:tc>
        <w:tc>
          <w:tcPr>
            <w:tcW w:w="1170" w:type="dxa"/>
            <w:vAlign w:val="center"/>
          </w:tcPr>
          <w:p w14:paraId="0DF873DD"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4.22</w:t>
            </w:r>
          </w:p>
        </w:tc>
        <w:tc>
          <w:tcPr>
            <w:tcW w:w="1170" w:type="dxa"/>
            <w:vAlign w:val="center"/>
          </w:tcPr>
          <w:p w14:paraId="0F81A0B5"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3.98</w:t>
            </w:r>
          </w:p>
        </w:tc>
        <w:tc>
          <w:tcPr>
            <w:tcW w:w="1170" w:type="dxa"/>
            <w:vAlign w:val="bottom"/>
          </w:tcPr>
          <w:p w14:paraId="7AFEF4CD"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5.88</w:t>
            </w:r>
          </w:p>
        </w:tc>
        <w:tc>
          <w:tcPr>
            <w:tcW w:w="1170" w:type="dxa"/>
            <w:vAlign w:val="bottom"/>
          </w:tcPr>
          <w:p w14:paraId="22024D64"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23.42</w:t>
            </w:r>
          </w:p>
        </w:tc>
      </w:tr>
      <w:tr w:rsidR="00447162" w:rsidRPr="000F3C29" w14:paraId="181E6EA5" w14:textId="77777777" w:rsidTr="001F070D">
        <w:trPr>
          <w:jc w:val="center"/>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6E1487E1" w14:textId="77777777" w:rsidR="00447162" w:rsidRPr="000F3C29" w:rsidRDefault="00447162" w:rsidP="00085BD1">
            <w:pPr>
              <w:pStyle w:val="Body"/>
              <w:spacing w:after="0"/>
              <w:rPr>
                <w:rFonts w:ascii="Arial" w:hAnsi="Arial" w:cs="Arial"/>
                <w:b w:val="0"/>
              </w:rPr>
            </w:pPr>
            <w:r w:rsidRPr="000F3C29">
              <w:rPr>
                <w:rFonts w:ascii="Arial" w:hAnsi="Arial" w:cs="Arial"/>
                <w:b w:val="0"/>
              </w:rPr>
              <w:t>Safety</w:t>
            </w:r>
          </w:p>
        </w:tc>
        <w:tc>
          <w:tcPr>
            <w:tcW w:w="1170" w:type="dxa"/>
            <w:tcBorders>
              <w:left w:val="nil"/>
              <w:right w:val="nil"/>
            </w:tcBorders>
            <w:vAlign w:val="center"/>
          </w:tcPr>
          <w:p w14:paraId="24ADB382"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447162">
              <w:rPr>
                <w:rFonts w:ascii="Arial" w:hAnsi="Arial" w:cs="Arial"/>
                <w:bCs/>
                <w:color w:val="000000"/>
              </w:rPr>
              <w:t>4.22</w:t>
            </w:r>
          </w:p>
        </w:tc>
        <w:tc>
          <w:tcPr>
            <w:tcW w:w="1170" w:type="dxa"/>
            <w:tcBorders>
              <w:left w:val="nil"/>
            </w:tcBorders>
            <w:vAlign w:val="center"/>
          </w:tcPr>
          <w:p w14:paraId="36CC43F1"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3.92</w:t>
            </w:r>
          </w:p>
        </w:tc>
        <w:tc>
          <w:tcPr>
            <w:tcW w:w="1170" w:type="dxa"/>
            <w:tcBorders>
              <w:left w:val="nil"/>
              <w:right w:val="nil"/>
            </w:tcBorders>
            <w:vAlign w:val="bottom"/>
          </w:tcPr>
          <w:p w14:paraId="5557337D"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5.88</w:t>
            </w:r>
          </w:p>
        </w:tc>
        <w:tc>
          <w:tcPr>
            <w:tcW w:w="1170" w:type="dxa"/>
            <w:tcBorders>
              <w:left w:val="nil"/>
            </w:tcBorders>
            <w:vAlign w:val="bottom"/>
          </w:tcPr>
          <w:p w14:paraId="0D5F326E"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23.07</w:t>
            </w:r>
          </w:p>
        </w:tc>
      </w:tr>
      <w:tr w:rsidR="00447162" w:rsidRPr="000F3C29" w14:paraId="78A0585B"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62876AC2" w14:textId="77777777" w:rsidR="00447162" w:rsidRPr="000F3C29" w:rsidRDefault="00447162" w:rsidP="00085BD1">
            <w:pPr>
              <w:pStyle w:val="Body"/>
              <w:spacing w:after="0"/>
              <w:rPr>
                <w:rFonts w:ascii="Arial" w:hAnsi="Arial" w:cs="Arial"/>
                <w:b w:val="0"/>
              </w:rPr>
            </w:pPr>
            <w:r w:rsidRPr="000F3C29">
              <w:rPr>
                <w:rFonts w:ascii="Arial" w:hAnsi="Arial" w:cs="Arial"/>
                <w:b w:val="0"/>
              </w:rPr>
              <w:t>Readiness</w:t>
            </w:r>
          </w:p>
        </w:tc>
        <w:tc>
          <w:tcPr>
            <w:tcW w:w="1170" w:type="dxa"/>
            <w:vAlign w:val="center"/>
          </w:tcPr>
          <w:p w14:paraId="001784E0"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4.39</w:t>
            </w:r>
          </w:p>
        </w:tc>
        <w:tc>
          <w:tcPr>
            <w:tcW w:w="1170" w:type="dxa"/>
            <w:vAlign w:val="center"/>
          </w:tcPr>
          <w:p w14:paraId="2151242C"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4</w:t>
            </w:r>
            <w:r>
              <w:rPr>
                <w:rFonts w:ascii="Arial" w:hAnsi="Arial" w:cs="Arial"/>
                <w:color w:val="000000"/>
              </w:rPr>
              <w:t>.00</w:t>
            </w:r>
          </w:p>
        </w:tc>
        <w:tc>
          <w:tcPr>
            <w:tcW w:w="1170" w:type="dxa"/>
            <w:vAlign w:val="bottom"/>
          </w:tcPr>
          <w:p w14:paraId="40E57890"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6.12</w:t>
            </w:r>
          </w:p>
        </w:tc>
        <w:tc>
          <w:tcPr>
            <w:tcW w:w="1170" w:type="dxa"/>
            <w:vAlign w:val="bottom"/>
          </w:tcPr>
          <w:p w14:paraId="3E4F05DA"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24.49</w:t>
            </w:r>
          </w:p>
        </w:tc>
      </w:tr>
      <w:tr w:rsidR="00447162" w:rsidRPr="000F3C29" w14:paraId="0633DB6F" w14:textId="77777777" w:rsidTr="001F070D">
        <w:trPr>
          <w:jc w:val="center"/>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3A6A84EF" w14:textId="77777777" w:rsidR="00447162" w:rsidRPr="000F3C29" w:rsidRDefault="00447162" w:rsidP="00085BD1">
            <w:pPr>
              <w:pStyle w:val="Body"/>
              <w:spacing w:after="0"/>
              <w:rPr>
                <w:rFonts w:ascii="Arial" w:hAnsi="Arial" w:cs="Arial"/>
                <w:b w:val="0"/>
              </w:rPr>
            </w:pPr>
            <w:r w:rsidRPr="000F3C29">
              <w:rPr>
                <w:rFonts w:ascii="Arial" w:hAnsi="Arial" w:cs="Arial"/>
                <w:b w:val="0"/>
              </w:rPr>
              <w:t>Politeness</w:t>
            </w:r>
          </w:p>
        </w:tc>
        <w:tc>
          <w:tcPr>
            <w:tcW w:w="1170" w:type="dxa"/>
            <w:tcBorders>
              <w:left w:val="nil"/>
              <w:right w:val="nil"/>
            </w:tcBorders>
            <w:vAlign w:val="center"/>
          </w:tcPr>
          <w:p w14:paraId="237A91A1"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447162">
              <w:rPr>
                <w:rFonts w:ascii="Arial" w:hAnsi="Arial" w:cs="Arial"/>
                <w:bCs/>
                <w:color w:val="000000"/>
              </w:rPr>
              <w:t>4.23</w:t>
            </w:r>
          </w:p>
        </w:tc>
        <w:tc>
          <w:tcPr>
            <w:tcW w:w="1170" w:type="dxa"/>
            <w:tcBorders>
              <w:left w:val="nil"/>
            </w:tcBorders>
            <w:vAlign w:val="center"/>
          </w:tcPr>
          <w:p w14:paraId="303187EF"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4.01</w:t>
            </w:r>
          </w:p>
        </w:tc>
        <w:tc>
          <w:tcPr>
            <w:tcW w:w="1170" w:type="dxa"/>
            <w:tcBorders>
              <w:left w:val="nil"/>
              <w:right w:val="nil"/>
            </w:tcBorders>
            <w:vAlign w:val="bottom"/>
          </w:tcPr>
          <w:p w14:paraId="7738A95F"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5.90</w:t>
            </w:r>
          </w:p>
        </w:tc>
        <w:tc>
          <w:tcPr>
            <w:tcW w:w="1170" w:type="dxa"/>
            <w:tcBorders>
              <w:left w:val="nil"/>
            </w:tcBorders>
            <w:vAlign w:val="bottom"/>
          </w:tcPr>
          <w:p w14:paraId="53C6A1A3"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23.65</w:t>
            </w:r>
          </w:p>
        </w:tc>
      </w:tr>
      <w:tr w:rsidR="00447162" w:rsidRPr="000F3C29" w14:paraId="5ABCBDF4"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0E75F669" w14:textId="77777777" w:rsidR="00447162" w:rsidRPr="000F3C29" w:rsidRDefault="00447162" w:rsidP="00085BD1">
            <w:pPr>
              <w:pStyle w:val="Body"/>
              <w:spacing w:after="0"/>
              <w:rPr>
                <w:rFonts w:ascii="Arial" w:hAnsi="Arial" w:cs="Arial"/>
                <w:b w:val="0"/>
              </w:rPr>
            </w:pPr>
            <w:r w:rsidRPr="000F3C29">
              <w:rPr>
                <w:rFonts w:ascii="Arial" w:hAnsi="Arial" w:cs="Arial"/>
                <w:b w:val="0"/>
              </w:rPr>
              <w:t>Understand</w:t>
            </w:r>
          </w:p>
        </w:tc>
        <w:tc>
          <w:tcPr>
            <w:tcW w:w="1170" w:type="dxa"/>
            <w:vAlign w:val="center"/>
          </w:tcPr>
          <w:p w14:paraId="5E7ADFC0"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4.38</w:t>
            </w:r>
          </w:p>
        </w:tc>
        <w:tc>
          <w:tcPr>
            <w:tcW w:w="1170" w:type="dxa"/>
            <w:vAlign w:val="center"/>
          </w:tcPr>
          <w:p w14:paraId="2AE6BF23"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3.96</w:t>
            </w:r>
          </w:p>
        </w:tc>
        <w:tc>
          <w:tcPr>
            <w:tcW w:w="1170" w:type="dxa"/>
            <w:vAlign w:val="bottom"/>
          </w:tcPr>
          <w:p w14:paraId="713F7B40"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6.11</w:t>
            </w:r>
          </w:p>
        </w:tc>
        <w:tc>
          <w:tcPr>
            <w:tcW w:w="1170" w:type="dxa"/>
            <w:vAlign w:val="bottom"/>
          </w:tcPr>
          <w:p w14:paraId="2B6848C7"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24.19</w:t>
            </w:r>
          </w:p>
        </w:tc>
      </w:tr>
      <w:tr w:rsidR="00447162" w:rsidRPr="000F3C29" w14:paraId="724B31D8" w14:textId="77777777" w:rsidTr="001F070D">
        <w:trPr>
          <w:jc w:val="center"/>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15D0144F" w14:textId="77777777" w:rsidR="00447162" w:rsidRPr="000F3C29" w:rsidRDefault="00447162" w:rsidP="00085BD1">
            <w:pPr>
              <w:pStyle w:val="Body"/>
              <w:spacing w:after="0"/>
              <w:rPr>
                <w:rFonts w:ascii="Arial" w:hAnsi="Arial" w:cs="Arial"/>
                <w:b w:val="0"/>
              </w:rPr>
            </w:pPr>
            <w:r w:rsidRPr="000F3C29">
              <w:rPr>
                <w:rFonts w:ascii="Arial" w:hAnsi="Arial" w:cs="Arial"/>
                <w:b w:val="0"/>
              </w:rPr>
              <w:t>Pleasant</w:t>
            </w:r>
          </w:p>
        </w:tc>
        <w:tc>
          <w:tcPr>
            <w:tcW w:w="1170" w:type="dxa"/>
            <w:tcBorders>
              <w:left w:val="nil"/>
              <w:right w:val="nil"/>
            </w:tcBorders>
            <w:vAlign w:val="center"/>
          </w:tcPr>
          <w:p w14:paraId="6AA7C5EE"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447162">
              <w:rPr>
                <w:rFonts w:ascii="Arial" w:hAnsi="Arial" w:cs="Arial"/>
                <w:bCs/>
                <w:color w:val="000000"/>
              </w:rPr>
              <w:t>4.13</w:t>
            </w:r>
          </w:p>
        </w:tc>
        <w:tc>
          <w:tcPr>
            <w:tcW w:w="1170" w:type="dxa"/>
            <w:tcBorders>
              <w:left w:val="nil"/>
            </w:tcBorders>
            <w:vAlign w:val="center"/>
          </w:tcPr>
          <w:p w14:paraId="4161343F"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3.97</w:t>
            </w:r>
          </w:p>
        </w:tc>
        <w:tc>
          <w:tcPr>
            <w:tcW w:w="1170" w:type="dxa"/>
            <w:tcBorders>
              <w:left w:val="nil"/>
              <w:right w:val="nil"/>
            </w:tcBorders>
            <w:vAlign w:val="bottom"/>
          </w:tcPr>
          <w:p w14:paraId="491E273C"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5.76</w:t>
            </w:r>
          </w:p>
        </w:tc>
        <w:tc>
          <w:tcPr>
            <w:tcW w:w="1170" w:type="dxa"/>
            <w:tcBorders>
              <w:left w:val="nil"/>
            </w:tcBorders>
            <w:vAlign w:val="bottom"/>
          </w:tcPr>
          <w:p w14:paraId="24D3F42D"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22.86</w:t>
            </w:r>
          </w:p>
        </w:tc>
      </w:tr>
      <w:tr w:rsidR="00447162" w:rsidRPr="000F3C29" w14:paraId="21D6337E"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49C420F5" w14:textId="77777777" w:rsidR="00447162" w:rsidRPr="000F3C29" w:rsidRDefault="00447162" w:rsidP="00085BD1">
            <w:pPr>
              <w:pStyle w:val="Body"/>
              <w:spacing w:after="0"/>
              <w:rPr>
                <w:rFonts w:ascii="Arial" w:hAnsi="Arial" w:cs="Arial"/>
                <w:b w:val="0"/>
              </w:rPr>
            </w:pPr>
            <w:r w:rsidRPr="000F3C29">
              <w:rPr>
                <w:rFonts w:ascii="Arial" w:hAnsi="Arial" w:cs="Arial"/>
                <w:b w:val="0"/>
              </w:rPr>
              <w:t>Caring</w:t>
            </w:r>
          </w:p>
        </w:tc>
        <w:tc>
          <w:tcPr>
            <w:tcW w:w="1170" w:type="dxa"/>
            <w:vAlign w:val="center"/>
          </w:tcPr>
          <w:p w14:paraId="043129A7"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4.11</w:t>
            </w:r>
          </w:p>
        </w:tc>
        <w:tc>
          <w:tcPr>
            <w:tcW w:w="1170" w:type="dxa"/>
            <w:vAlign w:val="center"/>
          </w:tcPr>
          <w:p w14:paraId="6D17AC8E"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3.93</w:t>
            </w:r>
          </w:p>
        </w:tc>
        <w:tc>
          <w:tcPr>
            <w:tcW w:w="1170" w:type="dxa"/>
            <w:vAlign w:val="bottom"/>
          </w:tcPr>
          <w:p w14:paraId="4043A8F7"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5.73</w:t>
            </w:r>
          </w:p>
        </w:tc>
        <w:tc>
          <w:tcPr>
            <w:tcW w:w="1170" w:type="dxa"/>
            <w:vAlign w:val="bottom"/>
          </w:tcPr>
          <w:p w14:paraId="7EB5DC6D"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22.52</w:t>
            </w:r>
          </w:p>
        </w:tc>
      </w:tr>
      <w:tr w:rsidR="00447162" w:rsidRPr="000F3C29" w14:paraId="463BA7C4" w14:textId="77777777" w:rsidTr="001F070D">
        <w:trPr>
          <w:jc w:val="center"/>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31821FD9" w14:textId="77777777" w:rsidR="00447162" w:rsidRPr="000F3C29" w:rsidRDefault="00447162" w:rsidP="00085BD1">
            <w:pPr>
              <w:pStyle w:val="Body"/>
              <w:spacing w:after="0"/>
              <w:rPr>
                <w:rFonts w:ascii="Arial" w:hAnsi="Arial" w:cs="Arial"/>
                <w:b w:val="0"/>
              </w:rPr>
            </w:pPr>
            <w:r w:rsidRPr="000F3C29">
              <w:rPr>
                <w:rFonts w:ascii="Arial" w:hAnsi="Arial" w:cs="Arial"/>
                <w:b w:val="0"/>
              </w:rPr>
              <w:t>Fast</w:t>
            </w:r>
          </w:p>
        </w:tc>
        <w:tc>
          <w:tcPr>
            <w:tcW w:w="1170" w:type="dxa"/>
            <w:tcBorders>
              <w:left w:val="nil"/>
              <w:right w:val="nil"/>
            </w:tcBorders>
            <w:vAlign w:val="center"/>
          </w:tcPr>
          <w:p w14:paraId="680C8EB6"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447162">
              <w:rPr>
                <w:rFonts w:ascii="Arial" w:hAnsi="Arial" w:cs="Arial"/>
                <w:bCs/>
                <w:color w:val="000000"/>
              </w:rPr>
              <w:t>4.23</w:t>
            </w:r>
          </w:p>
        </w:tc>
        <w:tc>
          <w:tcPr>
            <w:tcW w:w="1170" w:type="dxa"/>
            <w:tcBorders>
              <w:left w:val="nil"/>
            </w:tcBorders>
            <w:vAlign w:val="center"/>
          </w:tcPr>
          <w:p w14:paraId="44CBD5E0"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3.99</w:t>
            </w:r>
          </w:p>
        </w:tc>
        <w:tc>
          <w:tcPr>
            <w:tcW w:w="1170" w:type="dxa"/>
            <w:tcBorders>
              <w:left w:val="nil"/>
              <w:right w:val="nil"/>
            </w:tcBorders>
            <w:vAlign w:val="bottom"/>
          </w:tcPr>
          <w:p w14:paraId="5AD8D295"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5.90</w:t>
            </w:r>
          </w:p>
        </w:tc>
        <w:tc>
          <w:tcPr>
            <w:tcW w:w="1170" w:type="dxa"/>
            <w:tcBorders>
              <w:left w:val="nil"/>
            </w:tcBorders>
            <w:vAlign w:val="bottom"/>
          </w:tcPr>
          <w:p w14:paraId="4B1380A9"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23.54</w:t>
            </w:r>
          </w:p>
        </w:tc>
      </w:tr>
      <w:tr w:rsidR="00447162" w:rsidRPr="000F3C29" w14:paraId="3F1E4013"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Pr>
          <w:p w14:paraId="799FD1E8" w14:textId="77777777" w:rsidR="00447162" w:rsidRPr="000F3C29" w:rsidRDefault="00447162" w:rsidP="00085BD1">
            <w:pPr>
              <w:pStyle w:val="Body"/>
              <w:spacing w:after="0"/>
              <w:rPr>
                <w:rFonts w:ascii="Arial" w:hAnsi="Arial" w:cs="Arial"/>
                <w:b w:val="0"/>
              </w:rPr>
            </w:pPr>
            <w:r w:rsidRPr="000F3C29">
              <w:rPr>
                <w:rFonts w:ascii="Arial" w:hAnsi="Arial" w:cs="Arial"/>
                <w:b w:val="0"/>
              </w:rPr>
              <w:t>Comfortable</w:t>
            </w:r>
          </w:p>
        </w:tc>
        <w:tc>
          <w:tcPr>
            <w:tcW w:w="1170" w:type="dxa"/>
            <w:vAlign w:val="center"/>
          </w:tcPr>
          <w:p w14:paraId="0344AAF8"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4.38</w:t>
            </w:r>
          </w:p>
        </w:tc>
        <w:tc>
          <w:tcPr>
            <w:tcW w:w="1170" w:type="dxa"/>
            <w:vAlign w:val="center"/>
          </w:tcPr>
          <w:p w14:paraId="7C5F9EF7"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3.94</w:t>
            </w:r>
          </w:p>
        </w:tc>
        <w:tc>
          <w:tcPr>
            <w:tcW w:w="1170" w:type="dxa"/>
            <w:vAlign w:val="bottom"/>
          </w:tcPr>
          <w:p w14:paraId="7B6276BF"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6.11</w:t>
            </w:r>
          </w:p>
        </w:tc>
        <w:tc>
          <w:tcPr>
            <w:tcW w:w="1170" w:type="dxa"/>
            <w:vAlign w:val="bottom"/>
          </w:tcPr>
          <w:p w14:paraId="0B726876"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24.07</w:t>
            </w:r>
          </w:p>
        </w:tc>
      </w:tr>
      <w:tr w:rsidR="00447162" w:rsidRPr="000F3C29" w14:paraId="656657A1" w14:textId="77777777" w:rsidTr="001F070D">
        <w:trPr>
          <w:jc w:val="center"/>
        </w:trPr>
        <w:tc>
          <w:tcPr>
            <w:cnfStyle w:val="001000000000" w:firstRow="0" w:lastRow="0" w:firstColumn="1" w:lastColumn="0" w:oddVBand="0" w:evenVBand="0" w:oddHBand="0" w:evenHBand="0" w:firstRowFirstColumn="0" w:firstRowLastColumn="0" w:lastRowFirstColumn="0" w:lastRowLastColumn="0"/>
            <w:tcW w:w="2070" w:type="dxa"/>
            <w:tcBorders>
              <w:bottom w:val="nil"/>
              <w:right w:val="nil"/>
            </w:tcBorders>
          </w:tcPr>
          <w:p w14:paraId="068CDE24" w14:textId="77777777" w:rsidR="00447162" w:rsidRPr="000F3C29" w:rsidRDefault="00447162" w:rsidP="00085BD1">
            <w:pPr>
              <w:pStyle w:val="Body"/>
              <w:spacing w:after="0"/>
              <w:rPr>
                <w:rFonts w:ascii="Arial" w:hAnsi="Arial" w:cs="Arial"/>
                <w:b w:val="0"/>
              </w:rPr>
            </w:pPr>
            <w:r w:rsidRPr="000F3C29">
              <w:rPr>
                <w:rFonts w:ascii="Arial" w:hAnsi="Arial" w:cs="Arial"/>
                <w:b w:val="0"/>
              </w:rPr>
              <w:t>Complaint Handling</w:t>
            </w:r>
          </w:p>
        </w:tc>
        <w:tc>
          <w:tcPr>
            <w:tcW w:w="1170" w:type="dxa"/>
            <w:tcBorders>
              <w:left w:val="nil"/>
              <w:bottom w:val="nil"/>
              <w:right w:val="nil"/>
            </w:tcBorders>
            <w:vAlign w:val="center"/>
          </w:tcPr>
          <w:p w14:paraId="6532B842"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sidRPr="00447162">
              <w:rPr>
                <w:rFonts w:ascii="Arial" w:hAnsi="Arial" w:cs="Arial"/>
                <w:bCs/>
                <w:color w:val="000000"/>
              </w:rPr>
              <w:t>4.22</w:t>
            </w:r>
          </w:p>
        </w:tc>
        <w:tc>
          <w:tcPr>
            <w:tcW w:w="1170" w:type="dxa"/>
            <w:tcBorders>
              <w:left w:val="nil"/>
              <w:bottom w:val="nil"/>
            </w:tcBorders>
            <w:vAlign w:val="center"/>
          </w:tcPr>
          <w:p w14:paraId="65D3AA1F"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3.91</w:t>
            </w:r>
          </w:p>
        </w:tc>
        <w:tc>
          <w:tcPr>
            <w:tcW w:w="1170" w:type="dxa"/>
            <w:tcBorders>
              <w:left w:val="nil"/>
              <w:bottom w:val="nil"/>
              <w:right w:val="nil"/>
            </w:tcBorders>
            <w:vAlign w:val="bottom"/>
          </w:tcPr>
          <w:p w14:paraId="0432418E"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5.88</w:t>
            </w:r>
          </w:p>
        </w:tc>
        <w:tc>
          <w:tcPr>
            <w:tcW w:w="1170" w:type="dxa"/>
            <w:tcBorders>
              <w:left w:val="nil"/>
              <w:bottom w:val="nil"/>
            </w:tcBorders>
            <w:vAlign w:val="bottom"/>
          </w:tcPr>
          <w:p w14:paraId="17099358"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23.01</w:t>
            </w:r>
          </w:p>
        </w:tc>
      </w:tr>
      <w:tr w:rsidR="00447162" w:rsidRPr="000F3C29" w14:paraId="52CB0890" w14:textId="77777777" w:rsidTr="001F07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0" w:type="dxa"/>
            <w:tcBorders>
              <w:top w:val="nil"/>
              <w:bottom w:val="single" w:sz="4" w:space="0" w:color="auto"/>
            </w:tcBorders>
          </w:tcPr>
          <w:p w14:paraId="223CB254" w14:textId="77777777" w:rsidR="00447162" w:rsidRPr="000F3C29" w:rsidRDefault="00447162" w:rsidP="00085BD1">
            <w:pPr>
              <w:pStyle w:val="Body"/>
              <w:spacing w:after="0"/>
              <w:rPr>
                <w:rFonts w:ascii="Arial" w:hAnsi="Arial" w:cs="Arial"/>
                <w:b w:val="0"/>
              </w:rPr>
            </w:pPr>
            <w:r w:rsidRPr="000F3C29">
              <w:rPr>
                <w:rFonts w:ascii="Arial" w:hAnsi="Arial" w:cs="Arial"/>
                <w:b w:val="0"/>
              </w:rPr>
              <w:t>Reputation</w:t>
            </w:r>
          </w:p>
        </w:tc>
        <w:tc>
          <w:tcPr>
            <w:tcW w:w="1170" w:type="dxa"/>
            <w:tcBorders>
              <w:top w:val="nil"/>
              <w:bottom w:val="single" w:sz="4" w:space="0" w:color="auto"/>
            </w:tcBorders>
            <w:vAlign w:val="center"/>
          </w:tcPr>
          <w:p w14:paraId="0D91F724"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sidRPr="00447162">
              <w:rPr>
                <w:rFonts w:ascii="Arial" w:hAnsi="Arial" w:cs="Arial"/>
                <w:bCs/>
                <w:color w:val="000000"/>
              </w:rPr>
              <w:t>4.38</w:t>
            </w:r>
          </w:p>
        </w:tc>
        <w:tc>
          <w:tcPr>
            <w:tcW w:w="1170" w:type="dxa"/>
            <w:tcBorders>
              <w:top w:val="nil"/>
              <w:bottom w:val="single" w:sz="4" w:space="0" w:color="auto"/>
            </w:tcBorders>
            <w:vAlign w:val="center"/>
          </w:tcPr>
          <w:p w14:paraId="33C2E384"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3.94</w:t>
            </w:r>
          </w:p>
        </w:tc>
        <w:tc>
          <w:tcPr>
            <w:tcW w:w="1170" w:type="dxa"/>
            <w:tcBorders>
              <w:top w:val="nil"/>
              <w:bottom w:val="single" w:sz="4" w:space="0" w:color="auto"/>
            </w:tcBorders>
            <w:vAlign w:val="bottom"/>
          </w:tcPr>
          <w:p w14:paraId="569F04B6"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6.11</w:t>
            </w:r>
          </w:p>
        </w:tc>
        <w:tc>
          <w:tcPr>
            <w:tcW w:w="1170" w:type="dxa"/>
            <w:tcBorders>
              <w:top w:val="nil"/>
              <w:bottom w:val="single" w:sz="4" w:space="0" w:color="auto"/>
            </w:tcBorders>
            <w:vAlign w:val="bottom"/>
          </w:tcPr>
          <w:p w14:paraId="2D849814" w14:textId="77777777" w:rsidR="00447162" w:rsidRPr="00447162" w:rsidRDefault="00447162" w:rsidP="0044716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447162">
              <w:rPr>
                <w:rFonts w:ascii="Arial" w:hAnsi="Arial" w:cs="Arial"/>
                <w:color w:val="000000"/>
              </w:rPr>
              <w:t>24.07</w:t>
            </w:r>
          </w:p>
        </w:tc>
      </w:tr>
      <w:tr w:rsidR="00447162" w:rsidRPr="000F3C29" w14:paraId="33E6C5ED" w14:textId="77777777" w:rsidTr="00AC3135">
        <w:trPr>
          <w:jc w:val="center"/>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right w:val="nil"/>
            </w:tcBorders>
          </w:tcPr>
          <w:p w14:paraId="52145939" w14:textId="77777777" w:rsidR="00447162" w:rsidRPr="000F3C29" w:rsidRDefault="00447162" w:rsidP="00085BD1">
            <w:pPr>
              <w:pStyle w:val="Body"/>
              <w:spacing w:after="0"/>
              <w:rPr>
                <w:rFonts w:ascii="Arial" w:hAnsi="Arial" w:cs="Arial"/>
                <w:b w:val="0"/>
              </w:rPr>
            </w:pPr>
            <w:r w:rsidRPr="000F3C29">
              <w:rPr>
                <w:rFonts w:ascii="Arial" w:hAnsi="Arial" w:cs="Arial"/>
                <w:b w:val="0"/>
              </w:rPr>
              <w:t xml:space="preserve">TOTAL </w:t>
            </w:r>
          </w:p>
        </w:tc>
        <w:tc>
          <w:tcPr>
            <w:tcW w:w="1170" w:type="dxa"/>
            <w:tcBorders>
              <w:top w:val="single" w:sz="4" w:space="0" w:color="auto"/>
              <w:left w:val="nil"/>
              <w:right w:val="nil"/>
            </w:tcBorders>
            <w:vAlign w:val="bottom"/>
          </w:tcPr>
          <w:p w14:paraId="71AFC289"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72.71</w:t>
            </w:r>
          </w:p>
        </w:tc>
        <w:tc>
          <w:tcPr>
            <w:tcW w:w="1170" w:type="dxa"/>
            <w:tcBorders>
              <w:top w:val="single" w:sz="4" w:space="0" w:color="auto"/>
              <w:left w:val="nil"/>
            </w:tcBorders>
            <w:vAlign w:val="bottom"/>
          </w:tcPr>
          <w:p w14:paraId="7EC6F202"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67.06</w:t>
            </w:r>
          </w:p>
        </w:tc>
        <w:tc>
          <w:tcPr>
            <w:tcW w:w="1170" w:type="dxa"/>
            <w:tcBorders>
              <w:top w:val="single" w:sz="4" w:space="0" w:color="auto"/>
              <w:left w:val="nil"/>
              <w:right w:val="nil"/>
            </w:tcBorders>
            <w:vAlign w:val="bottom"/>
          </w:tcPr>
          <w:p w14:paraId="313F3AD4"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1170" w:type="dxa"/>
            <w:tcBorders>
              <w:top w:val="single" w:sz="4" w:space="0" w:color="auto"/>
              <w:left w:val="nil"/>
            </w:tcBorders>
            <w:vAlign w:val="bottom"/>
          </w:tcPr>
          <w:p w14:paraId="61C0937B" w14:textId="77777777" w:rsidR="00447162" w:rsidRPr="00447162" w:rsidRDefault="00447162" w:rsidP="0044716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447162">
              <w:rPr>
                <w:rFonts w:ascii="Arial" w:hAnsi="Arial" w:cs="Arial"/>
                <w:color w:val="000000"/>
              </w:rPr>
              <w:t>398.73</w:t>
            </w:r>
          </w:p>
        </w:tc>
      </w:tr>
    </w:tbl>
    <w:p w14:paraId="3743F2AF" w14:textId="77777777" w:rsidR="007E4A35" w:rsidRDefault="007E4A35" w:rsidP="007E4A35">
      <w:pPr>
        <w:pStyle w:val="Body"/>
        <w:spacing w:after="0"/>
        <w:jc w:val="center"/>
        <w:rPr>
          <w:rFonts w:ascii="Arial" w:hAnsi="Arial" w:cs="Arial"/>
          <w:b/>
          <w:u w:val="single"/>
        </w:rPr>
      </w:pPr>
      <w:proofErr w:type="gramStart"/>
      <w:r w:rsidRPr="002F63B8">
        <w:rPr>
          <w:rFonts w:ascii="Arial" w:hAnsi="Arial" w:cs="Arial"/>
          <w:color w:val="000000"/>
          <w:szCs w:val="18"/>
        </w:rPr>
        <w:t>Source :</w:t>
      </w:r>
      <w:proofErr w:type="gramEnd"/>
      <w:r w:rsidRPr="002F63B8">
        <w:rPr>
          <w:rFonts w:ascii="Arial" w:hAnsi="Arial" w:cs="Arial"/>
          <w:color w:val="000000"/>
          <w:szCs w:val="18"/>
        </w:rPr>
        <w:t xml:space="preserve"> (researcher data, 2025)</w:t>
      </w:r>
    </w:p>
    <w:p w14:paraId="44C1F865" w14:textId="77777777" w:rsidR="004F7353" w:rsidRDefault="002A457E" w:rsidP="004F7353">
      <w:pPr>
        <w:pStyle w:val="Body"/>
        <w:spacing w:after="0"/>
        <w:rPr>
          <w:rFonts w:ascii="Arial" w:hAnsi="Arial" w:cs="Arial"/>
        </w:rPr>
      </w:pPr>
      <w:r w:rsidRPr="002A457E">
        <w:rPr>
          <w:rFonts w:ascii="Arial" w:hAnsi="Arial" w:cs="Arial"/>
        </w:rPr>
        <w:t xml:space="preserve">Customer Satisfaction Index (CSI) with the formula total WS </w:t>
      </w:r>
      <w:r>
        <w:rPr>
          <w:rFonts w:ascii="Arial" w:hAnsi="Arial" w:cs="Arial"/>
        </w:rPr>
        <w:t xml:space="preserve">(398.73) </w:t>
      </w:r>
      <w:r w:rsidRPr="002A457E">
        <w:rPr>
          <w:rFonts w:ascii="Arial" w:hAnsi="Arial" w:cs="Arial"/>
        </w:rPr>
        <w:t xml:space="preserve">divided by the </w:t>
      </w:r>
      <w:r>
        <w:rPr>
          <w:rFonts w:ascii="Arial" w:hAnsi="Arial" w:cs="Arial"/>
        </w:rPr>
        <w:t>maximum scale of assessment (</w:t>
      </w:r>
      <w:r w:rsidRPr="002A457E">
        <w:rPr>
          <w:rFonts w:ascii="Arial" w:hAnsi="Arial" w:cs="Arial"/>
        </w:rPr>
        <w:t>5</w:t>
      </w:r>
      <w:r>
        <w:rPr>
          <w:rFonts w:ascii="Arial" w:hAnsi="Arial" w:cs="Arial"/>
        </w:rPr>
        <w:t>) obtained 79.75%</w:t>
      </w:r>
      <w:r w:rsidRPr="002A457E">
        <w:rPr>
          <w:rFonts w:ascii="Arial" w:hAnsi="Arial" w:cs="Arial"/>
        </w:rPr>
        <w:t xml:space="preserve">. The results compared to the standard interpretation value </w:t>
      </w:r>
      <w:r>
        <w:rPr>
          <w:rFonts w:ascii="Arial" w:hAnsi="Arial" w:cs="Arial"/>
        </w:rPr>
        <w:t xml:space="preserve">fall within the CSI value range of </w:t>
      </w:r>
      <w:r w:rsidRPr="002A457E">
        <w:rPr>
          <w:rFonts w:ascii="Arial" w:hAnsi="Arial" w:cs="Arial"/>
        </w:rPr>
        <w:t xml:space="preserve">70.01-90% </w:t>
      </w:r>
      <w:r>
        <w:rPr>
          <w:rFonts w:ascii="Arial" w:hAnsi="Arial" w:cs="Arial"/>
        </w:rPr>
        <w:t xml:space="preserve">which means </w:t>
      </w:r>
      <w:r w:rsidRPr="002A457E">
        <w:rPr>
          <w:rFonts w:ascii="Arial" w:hAnsi="Arial" w:cs="Arial"/>
        </w:rPr>
        <w:t>Satisfied (</w:t>
      </w:r>
      <w:proofErr w:type="spellStart"/>
      <w:r w:rsidRPr="002A457E">
        <w:rPr>
          <w:rFonts w:ascii="Arial" w:hAnsi="Arial" w:cs="Arial"/>
        </w:rPr>
        <w:t>Wardhana</w:t>
      </w:r>
      <w:proofErr w:type="spellEnd"/>
      <w:r w:rsidRPr="002A457E">
        <w:rPr>
          <w:rFonts w:ascii="Arial" w:hAnsi="Arial" w:cs="Arial"/>
        </w:rPr>
        <w:t>, 2024)</w:t>
      </w:r>
      <w:r>
        <w:rPr>
          <w:rFonts w:ascii="Arial" w:hAnsi="Arial" w:cs="Arial"/>
        </w:rPr>
        <w:t xml:space="preserve">. </w:t>
      </w:r>
    </w:p>
    <w:p w14:paraId="606305D8" w14:textId="77777777" w:rsidR="002A457E" w:rsidRDefault="002A457E" w:rsidP="004F7353">
      <w:pPr>
        <w:pStyle w:val="Body"/>
        <w:spacing w:after="0"/>
        <w:rPr>
          <w:rFonts w:ascii="Arial" w:hAnsi="Arial" w:cs="Arial"/>
          <w:b/>
        </w:rPr>
      </w:pPr>
    </w:p>
    <w:p w14:paraId="51E4106D" w14:textId="77777777" w:rsidR="003A4F17" w:rsidRDefault="00F27AB1" w:rsidP="003A4F17">
      <w:pPr>
        <w:pStyle w:val="Body"/>
        <w:rPr>
          <w:rFonts w:ascii="Arial" w:hAnsi="Arial" w:cs="Arial"/>
        </w:rPr>
      </w:pPr>
      <w:r w:rsidRPr="00F27AB1">
        <w:rPr>
          <w:rFonts w:ascii="Arial" w:hAnsi="Arial" w:cs="Arial"/>
        </w:rPr>
        <w:t xml:space="preserve">The CSI value of 79.75% indicates that the overall level of customer satisfaction is in the Satisfied category. </w:t>
      </w:r>
      <w:r w:rsidR="003A4F17" w:rsidRPr="003A4F17">
        <w:rPr>
          <w:rFonts w:ascii="Arial" w:hAnsi="Arial" w:cs="Arial"/>
        </w:rPr>
        <w:t xml:space="preserve">But the attribute data shows that this figure can be improved further. This score is an average of all attributes, which masks the fact that some areas are performing exceptionally, while others are still lagging behind. </w:t>
      </w:r>
    </w:p>
    <w:p w14:paraId="35570116" w14:textId="77777777" w:rsidR="003A4F17" w:rsidRDefault="003A4F17" w:rsidP="00173612">
      <w:pPr>
        <w:pStyle w:val="Body"/>
        <w:rPr>
          <w:rFonts w:ascii="Arial" w:hAnsi="Arial" w:cs="Arial"/>
        </w:rPr>
      </w:pPr>
      <w:r w:rsidRPr="00F27AB1">
        <w:rPr>
          <w:rFonts w:ascii="Arial" w:hAnsi="Arial" w:cs="Arial"/>
        </w:rPr>
        <w:t xml:space="preserve">Attributes that show that the performance perceived by customers is close to or </w:t>
      </w:r>
      <w:r>
        <w:rPr>
          <w:rFonts w:ascii="Arial" w:hAnsi="Arial" w:cs="Arial"/>
        </w:rPr>
        <w:t xml:space="preserve">even meets consumer expectations are the </w:t>
      </w:r>
      <w:r w:rsidRPr="00F27AB1">
        <w:rPr>
          <w:rFonts w:ascii="Arial" w:hAnsi="Arial" w:cs="Arial"/>
        </w:rPr>
        <w:t xml:space="preserve">strengths of the company. Politeness: </w:t>
      </w:r>
      <w:r>
        <w:rPr>
          <w:rFonts w:ascii="Arial" w:hAnsi="Arial" w:cs="Arial"/>
        </w:rPr>
        <w:t xml:space="preserve">MIS </w:t>
      </w:r>
      <w:r w:rsidRPr="00F27AB1">
        <w:rPr>
          <w:rFonts w:ascii="Arial" w:hAnsi="Arial" w:cs="Arial"/>
        </w:rPr>
        <w:t xml:space="preserve">4.23 - MPS 4.01 = 0.22. </w:t>
      </w:r>
      <w:r>
        <w:rPr>
          <w:rFonts w:ascii="Arial" w:hAnsi="Arial" w:cs="Arial"/>
        </w:rPr>
        <w:t xml:space="preserve">This gap value </w:t>
      </w:r>
      <w:r w:rsidRPr="00F27AB1">
        <w:rPr>
          <w:rFonts w:ascii="Arial" w:hAnsi="Arial" w:cs="Arial"/>
        </w:rPr>
        <w:t xml:space="preserve">is one of the smallest gaps. </w:t>
      </w:r>
      <w:r>
        <w:rPr>
          <w:rFonts w:ascii="Arial" w:hAnsi="Arial" w:cs="Arial"/>
        </w:rPr>
        <w:t xml:space="preserve">This shows that </w:t>
      </w:r>
      <w:r w:rsidRPr="00F27AB1">
        <w:rPr>
          <w:rFonts w:ascii="Arial" w:hAnsi="Arial" w:cs="Arial"/>
        </w:rPr>
        <w:t xml:space="preserve">customers rate the staff as very polite, and this performance almost meets </w:t>
      </w:r>
      <w:r>
        <w:rPr>
          <w:rFonts w:ascii="Arial" w:hAnsi="Arial" w:cs="Arial"/>
        </w:rPr>
        <w:t>consumer</w:t>
      </w:r>
      <w:r w:rsidRPr="00F27AB1">
        <w:rPr>
          <w:rFonts w:ascii="Arial" w:hAnsi="Arial" w:cs="Arial"/>
        </w:rPr>
        <w:t xml:space="preserve"> expectations and is one of the main advantages. </w:t>
      </w:r>
      <w:r w:rsidRPr="003A4F17">
        <w:rPr>
          <w:rFonts w:ascii="Arial" w:hAnsi="Arial" w:cs="Arial"/>
        </w:rPr>
        <w:t xml:space="preserve">This is crucial given that the majority of their customers are domestic travelers, including groups such as </w:t>
      </w:r>
      <w:proofErr w:type="spellStart"/>
      <w:r w:rsidRPr="003A4F17">
        <w:rPr>
          <w:rFonts w:ascii="Arial" w:hAnsi="Arial" w:cs="Arial"/>
        </w:rPr>
        <w:t>arisan</w:t>
      </w:r>
      <w:proofErr w:type="spellEnd"/>
      <w:r w:rsidRPr="003A4F17">
        <w:rPr>
          <w:rFonts w:ascii="Arial" w:hAnsi="Arial" w:cs="Arial"/>
        </w:rPr>
        <w:t xml:space="preserve"> mothers, recitations, and school alumni, who tend to value personal and friendly interactions during the trip. </w:t>
      </w:r>
      <w:sdt>
        <w:sdtPr>
          <w:rPr>
            <w:rFonts w:ascii="Arial" w:hAnsi="Arial" w:cs="Arial"/>
          </w:rPr>
          <w:id w:val="32550379"/>
          <w:citation/>
        </w:sdtPr>
        <w:sdtEndPr/>
        <w:sdtContent>
          <w:r w:rsidR="00A87441" w:rsidRPr="00A87441">
            <w:rPr>
              <w:rFonts w:ascii="Arial" w:hAnsi="Arial" w:cs="Arial"/>
              <w:noProof/>
            </w:rPr>
            <w:t xml:space="preserve">(Pratama, 2024) ; </w:t>
          </w:r>
        </w:sdtContent>
      </w:sdt>
      <w:sdt>
        <w:sdtPr>
          <w:rPr>
            <w:rFonts w:ascii="Arial" w:hAnsi="Arial" w:cs="Arial"/>
          </w:rPr>
          <w:id w:val="-1144187036"/>
          <w:citation/>
        </w:sdtPr>
        <w:sdtEndPr/>
        <w:sdtContent>
          <w:r w:rsidR="00A87441" w:rsidRPr="00A87441">
            <w:rPr>
              <w:rFonts w:ascii="Arial" w:hAnsi="Arial" w:cs="Arial"/>
              <w:noProof/>
            </w:rPr>
            <w:t xml:space="preserve">(Saragih, </w:t>
          </w:r>
          <w:r w:rsidR="00A87441" w:rsidRPr="00A87441">
            <w:rPr>
              <w:rFonts w:ascii="Arial" w:hAnsi="Arial" w:cs="Arial"/>
              <w:noProof/>
            </w:rPr>
            <w:lastRenderedPageBreak/>
            <w:t xml:space="preserve">Mulyadi, Nasution, &amp; Pujiono, 2023) </w:t>
          </w:r>
        </w:sdtContent>
      </w:sdt>
      <w:r w:rsidR="00274B7E">
        <w:rPr>
          <w:rFonts w:ascii="Arial" w:hAnsi="Arial" w:cs="Arial"/>
        </w:rPr>
        <w:t xml:space="preserve">Female </w:t>
      </w:r>
      <w:r w:rsidR="00274B7E" w:rsidRPr="00274B7E">
        <w:rPr>
          <w:rFonts w:ascii="Arial" w:hAnsi="Arial" w:cs="Arial"/>
        </w:rPr>
        <w:t xml:space="preserve">tourists </w:t>
      </w:r>
      <w:r w:rsidR="00274B7E">
        <w:rPr>
          <w:rFonts w:ascii="Arial" w:hAnsi="Arial" w:cs="Arial"/>
        </w:rPr>
        <w:t xml:space="preserve">who dominate </w:t>
      </w:r>
      <w:proofErr w:type="spellStart"/>
      <w:r w:rsidR="00274B7E">
        <w:rPr>
          <w:rFonts w:ascii="Arial" w:hAnsi="Arial" w:cs="Arial"/>
        </w:rPr>
        <w:t>Siaga</w:t>
      </w:r>
      <w:proofErr w:type="spellEnd"/>
      <w:r w:rsidR="00274B7E">
        <w:rPr>
          <w:rFonts w:ascii="Arial" w:hAnsi="Arial" w:cs="Arial"/>
        </w:rPr>
        <w:t xml:space="preserve"> Tour consumers prioritize politeness, supported by the statements of where </w:t>
      </w:r>
      <w:r w:rsidR="00274B7E" w:rsidRPr="00274B7E">
        <w:rPr>
          <w:rFonts w:ascii="Arial" w:hAnsi="Arial" w:cs="Arial"/>
        </w:rPr>
        <w:t>female tourists tend to value friendly and respectful interactions, encouraging service providers to use positive politeness strategies, such as showing sympathy and familiarity</w:t>
      </w:r>
      <w:r w:rsidR="00274B7E">
        <w:rPr>
          <w:rFonts w:ascii="Arial" w:hAnsi="Arial" w:cs="Arial"/>
        </w:rPr>
        <w:t xml:space="preserve">. </w:t>
      </w:r>
    </w:p>
    <w:p w14:paraId="65D17A83" w14:textId="77777777" w:rsidR="00173612" w:rsidRPr="00F27AB1" w:rsidRDefault="00A87441" w:rsidP="00173612">
      <w:pPr>
        <w:pStyle w:val="Body"/>
        <w:rPr>
          <w:rFonts w:ascii="Arial" w:hAnsi="Arial" w:cs="Arial"/>
        </w:rPr>
      </w:pPr>
      <w:r>
        <w:rPr>
          <w:rFonts w:ascii="Arial" w:hAnsi="Arial" w:cs="Arial"/>
        </w:rPr>
        <w:t xml:space="preserve"> However, there are attributes that need to be improved.  </w:t>
      </w:r>
      <w:r w:rsidR="00173612" w:rsidRPr="00F27AB1">
        <w:rPr>
          <w:rFonts w:ascii="Arial" w:hAnsi="Arial" w:cs="Arial"/>
        </w:rPr>
        <w:t xml:space="preserve">The </w:t>
      </w:r>
      <w:r w:rsidR="00F27AB1" w:rsidRPr="00F27AB1">
        <w:rPr>
          <w:rFonts w:ascii="Arial" w:hAnsi="Arial" w:cs="Arial"/>
        </w:rPr>
        <w:t xml:space="preserve">attribute </w:t>
      </w:r>
      <w:r w:rsidR="00173612" w:rsidRPr="00F27AB1">
        <w:rPr>
          <w:rFonts w:ascii="Arial" w:hAnsi="Arial" w:cs="Arial"/>
        </w:rPr>
        <w:t>with the largest gap (area for improvement</w:t>
      </w:r>
      <w:r w:rsidR="00F27AB1" w:rsidRPr="00F27AB1">
        <w:rPr>
          <w:rFonts w:ascii="Arial" w:hAnsi="Arial" w:cs="Arial"/>
        </w:rPr>
        <w:t xml:space="preserve">) has the largest difference between </w:t>
      </w:r>
      <w:r w:rsidR="00173612" w:rsidRPr="00F27AB1">
        <w:rPr>
          <w:rFonts w:ascii="Arial" w:hAnsi="Arial" w:cs="Arial"/>
        </w:rPr>
        <w:t xml:space="preserve">expectations </w:t>
      </w:r>
      <w:r w:rsidR="00F27AB1" w:rsidRPr="00F27AB1">
        <w:rPr>
          <w:rFonts w:ascii="Arial" w:hAnsi="Arial" w:cs="Arial"/>
        </w:rPr>
        <w:t>(</w:t>
      </w:r>
      <w:r w:rsidR="00173612">
        <w:rPr>
          <w:rFonts w:ascii="Arial" w:hAnsi="Arial" w:cs="Arial"/>
        </w:rPr>
        <w:t>MIS</w:t>
      </w:r>
      <w:r w:rsidR="00F27AB1" w:rsidRPr="00F27AB1">
        <w:rPr>
          <w:rFonts w:ascii="Arial" w:hAnsi="Arial" w:cs="Arial"/>
        </w:rPr>
        <w:t xml:space="preserve">) and performance (MPS), which means that customers feel that the services provided have not </w:t>
      </w:r>
      <w:r w:rsidR="00173612">
        <w:rPr>
          <w:rFonts w:ascii="Arial" w:hAnsi="Arial" w:cs="Arial"/>
        </w:rPr>
        <w:t>fully met consumer expectations</w:t>
      </w:r>
      <w:r w:rsidR="00173612" w:rsidRPr="00F27AB1">
        <w:rPr>
          <w:rFonts w:ascii="Arial" w:hAnsi="Arial" w:cs="Arial"/>
        </w:rPr>
        <w:t>,</w:t>
      </w:r>
      <w:r w:rsidR="00173612">
        <w:rPr>
          <w:rFonts w:ascii="Arial" w:hAnsi="Arial" w:cs="Arial"/>
        </w:rPr>
        <w:t xml:space="preserve"> namely the </w:t>
      </w:r>
      <w:r w:rsidR="00173612" w:rsidRPr="00F27AB1">
        <w:rPr>
          <w:rFonts w:ascii="Arial" w:hAnsi="Arial" w:cs="Arial"/>
        </w:rPr>
        <w:t xml:space="preserve">time management </w:t>
      </w:r>
      <w:r w:rsidR="00173612">
        <w:rPr>
          <w:rFonts w:ascii="Arial" w:hAnsi="Arial" w:cs="Arial"/>
        </w:rPr>
        <w:t xml:space="preserve">attribute: MIS </w:t>
      </w:r>
      <w:r w:rsidR="00173612" w:rsidRPr="00F27AB1">
        <w:rPr>
          <w:rFonts w:ascii="Arial" w:hAnsi="Arial" w:cs="Arial"/>
        </w:rPr>
        <w:t xml:space="preserve">4.22 - MPS 3.77 = 0.45. </w:t>
      </w:r>
      <w:r w:rsidR="00173612">
        <w:rPr>
          <w:rFonts w:ascii="Arial" w:hAnsi="Arial" w:cs="Arial"/>
        </w:rPr>
        <w:t xml:space="preserve">This gap value is </w:t>
      </w:r>
      <w:r w:rsidR="00173612" w:rsidRPr="00F27AB1">
        <w:rPr>
          <w:rFonts w:ascii="Arial" w:hAnsi="Arial" w:cs="Arial"/>
        </w:rPr>
        <w:t xml:space="preserve">one of the largest gaps. Customers really expect good time management, but feel that the company's performance </w:t>
      </w:r>
      <w:r w:rsidR="003A4F17">
        <w:rPr>
          <w:rFonts w:ascii="Arial" w:hAnsi="Arial" w:cs="Arial"/>
        </w:rPr>
        <w:t xml:space="preserve">in </w:t>
      </w:r>
      <w:r w:rsidR="003A4F17" w:rsidRPr="003A4F17">
        <w:rPr>
          <w:rFonts w:ascii="Arial" w:hAnsi="Arial" w:cs="Arial"/>
        </w:rPr>
        <w:t xml:space="preserve">travel time management is still lacking even though they have high expectations. Considering that </w:t>
      </w:r>
      <w:proofErr w:type="spellStart"/>
      <w:r w:rsidR="003A4F17" w:rsidRPr="003A4F17">
        <w:rPr>
          <w:rFonts w:ascii="Arial" w:hAnsi="Arial" w:cs="Arial"/>
        </w:rPr>
        <w:t>Siaga</w:t>
      </w:r>
      <w:proofErr w:type="spellEnd"/>
      <w:r w:rsidR="003A4F17" w:rsidRPr="003A4F17">
        <w:rPr>
          <w:rFonts w:ascii="Arial" w:hAnsi="Arial" w:cs="Arial"/>
        </w:rPr>
        <w:t xml:space="preserve"> Tour offers a variety of services such as Domestic Tour (Study Tour, Religious Tour, Company Gathering, Agency Outing), tour bus rental, and employee shuttle, punctuality is a key factor for the smooth running of all these types of trips. </w:t>
      </w:r>
      <w:r w:rsidR="00173612">
        <w:rPr>
          <w:rFonts w:ascii="Arial" w:hAnsi="Arial" w:cs="Arial"/>
        </w:rPr>
        <w:t xml:space="preserve">In addition to the </w:t>
      </w:r>
      <w:r w:rsidR="00173612" w:rsidRPr="00F27AB1">
        <w:rPr>
          <w:rFonts w:ascii="Arial" w:hAnsi="Arial" w:cs="Arial"/>
        </w:rPr>
        <w:t xml:space="preserve">Comfortable </w:t>
      </w:r>
      <w:r w:rsidR="00173612">
        <w:rPr>
          <w:rFonts w:ascii="Arial" w:hAnsi="Arial" w:cs="Arial"/>
        </w:rPr>
        <w:t>attribute</w:t>
      </w:r>
      <w:r w:rsidR="00173612" w:rsidRPr="00F27AB1">
        <w:rPr>
          <w:rFonts w:ascii="Arial" w:hAnsi="Arial" w:cs="Arial"/>
        </w:rPr>
        <w:t xml:space="preserve">: </w:t>
      </w:r>
      <w:r w:rsidR="00173612">
        <w:rPr>
          <w:rFonts w:ascii="Arial" w:hAnsi="Arial" w:cs="Arial"/>
        </w:rPr>
        <w:t xml:space="preserve">MIS </w:t>
      </w:r>
      <w:r w:rsidR="00173612" w:rsidRPr="00F27AB1">
        <w:rPr>
          <w:rFonts w:ascii="Arial" w:hAnsi="Arial" w:cs="Arial"/>
        </w:rPr>
        <w:t xml:space="preserve">4.38 - MPS 3.94 = 0.44. Customers expect high comfort, but the services provided have not fully met these expectations. </w:t>
      </w:r>
      <w:r w:rsidR="00173612">
        <w:rPr>
          <w:rFonts w:ascii="Arial" w:hAnsi="Arial" w:cs="Arial"/>
        </w:rPr>
        <w:t xml:space="preserve">As well as the </w:t>
      </w:r>
      <w:r w:rsidR="00173612" w:rsidRPr="00F27AB1">
        <w:rPr>
          <w:rFonts w:ascii="Arial" w:hAnsi="Arial" w:cs="Arial"/>
        </w:rPr>
        <w:t>reputation</w:t>
      </w:r>
      <w:r w:rsidR="00173612">
        <w:rPr>
          <w:rFonts w:ascii="Arial" w:hAnsi="Arial" w:cs="Arial"/>
        </w:rPr>
        <w:t xml:space="preserve"> attribute</w:t>
      </w:r>
      <w:r w:rsidR="00173612" w:rsidRPr="00F27AB1">
        <w:rPr>
          <w:rFonts w:ascii="Arial" w:hAnsi="Arial" w:cs="Arial"/>
        </w:rPr>
        <w:t xml:space="preserve">: </w:t>
      </w:r>
      <w:r w:rsidR="00173612">
        <w:rPr>
          <w:rFonts w:ascii="Arial" w:hAnsi="Arial" w:cs="Arial"/>
        </w:rPr>
        <w:t xml:space="preserve">MIS </w:t>
      </w:r>
      <w:r w:rsidR="00173612" w:rsidRPr="00F27AB1">
        <w:rPr>
          <w:rFonts w:ascii="Arial" w:hAnsi="Arial" w:cs="Arial"/>
        </w:rPr>
        <w:t xml:space="preserve">4.38 - MPS 3.94 = 0.44. The large gap here indicates that although the company has a good reputation (high expectations), the perceived performance has not fully supported the reputation. </w:t>
      </w:r>
      <w:r w:rsidR="00274B7E">
        <w:rPr>
          <w:rFonts w:ascii="Arial" w:hAnsi="Arial" w:cs="Arial"/>
        </w:rPr>
        <w:t xml:space="preserve">This </w:t>
      </w:r>
      <w:r w:rsidR="00274B7E" w:rsidRPr="00274B7E">
        <w:rPr>
          <w:rFonts w:ascii="Arial" w:hAnsi="Arial" w:cs="Arial"/>
        </w:rPr>
        <w:t xml:space="preserve">could relate to the quality of transportation, accommodation, or even sub-optimal itinerary management, all of which are important to their customer segments, especially the dominant middle segment, who may demand a comfortable and quality travel experience. </w:t>
      </w:r>
      <w:proofErr w:type="spellStart"/>
      <w:r w:rsidRPr="00A87441">
        <w:rPr>
          <w:rFonts w:ascii="Arial" w:hAnsi="Arial" w:cs="Arial"/>
        </w:rPr>
        <w:t>Siaga</w:t>
      </w:r>
      <w:proofErr w:type="spellEnd"/>
      <w:r w:rsidRPr="00A87441">
        <w:rPr>
          <w:rFonts w:ascii="Arial" w:hAnsi="Arial" w:cs="Arial"/>
        </w:rPr>
        <w:t xml:space="preserve"> Tour's digital evidence shows the company is active on social media such as Instagram, Facebook, and </w:t>
      </w:r>
      <w:proofErr w:type="spellStart"/>
      <w:r w:rsidRPr="00A87441">
        <w:rPr>
          <w:rFonts w:ascii="Arial" w:hAnsi="Arial" w:cs="Arial"/>
        </w:rPr>
        <w:t>TikTok</w:t>
      </w:r>
      <w:proofErr w:type="spellEnd"/>
      <w:r w:rsidRPr="00A87441">
        <w:rPr>
          <w:rFonts w:ascii="Arial" w:hAnsi="Arial" w:cs="Arial"/>
        </w:rPr>
        <w:t xml:space="preserve">. With more than 840 followers on Instagram and 1.2K+ followers on </w:t>
      </w:r>
      <w:proofErr w:type="spellStart"/>
      <w:r w:rsidRPr="00A87441">
        <w:rPr>
          <w:rFonts w:ascii="Arial" w:hAnsi="Arial" w:cs="Arial"/>
        </w:rPr>
        <w:t>TikTok</w:t>
      </w:r>
      <w:proofErr w:type="spellEnd"/>
      <w:r w:rsidRPr="00A87441">
        <w:rPr>
          <w:rFonts w:ascii="Arial" w:hAnsi="Arial" w:cs="Arial"/>
        </w:rPr>
        <w:t xml:space="preserve">, </w:t>
      </w:r>
      <w:proofErr w:type="spellStart"/>
      <w:r w:rsidRPr="00A87441">
        <w:rPr>
          <w:rFonts w:ascii="Arial" w:hAnsi="Arial" w:cs="Arial"/>
        </w:rPr>
        <w:t>Siaga</w:t>
      </w:r>
      <w:proofErr w:type="spellEnd"/>
      <w:r w:rsidRPr="00A87441">
        <w:rPr>
          <w:rFonts w:ascii="Arial" w:hAnsi="Arial" w:cs="Arial"/>
        </w:rPr>
        <w:t xml:space="preserve"> Tour has a good reach on these platforms. This can be an effective tool to build and improve the company's reputation. By utilizing social media, </w:t>
      </w:r>
      <w:proofErr w:type="spellStart"/>
      <w:r w:rsidRPr="00A87441">
        <w:rPr>
          <w:rFonts w:ascii="Arial" w:hAnsi="Arial" w:cs="Arial"/>
        </w:rPr>
        <w:t>Siaga</w:t>
      </w:r>
      <w:proofErr w:type="spellEnd"/>
      <w:r w:rsidRPr="00A87441">
        <w:rPr>
          <w:rFonts w:ascii="Arial" w:hAnsi="Arial" w:cs="Arial"/>
        </w:rPr>
        <w:t xml:space="preserve"> Tour can proactively showcase their strengths, such as staff friendliness and positive testimonials, and provide better information about their services to address information gaps. In addition, they can use these platforms to directly interact with customers and manage complaints, which can help improve the perception of complaint handling and ultimately increase overall customer satisfaction.</w:t>
      </w:r>
    </w:p>
    <w:p w14:paraId="3055E56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4E9D3F" w14:textId="77777777" w:rsidR="00790ADA" w:rsidRPr="00FB3A86" w:rsidRDefault="00790ADA" w:rsidP="00441B6F">
      <w:pPr>
        <w:pStyle w:val="ConcHead"/>
        <w:spacing w:after="0"/>
        <w:jc w:val="both"/>
        <w:rPr>
          <w:rFonts w:ascii="Arial" w:hAnsi="Arial" w:cs="Arial"/>
        </w:rPr>
      </w:pPr>
    </w:p>
    <w:p w14:paraId="64F36B40" w14:textId="77777777" w:rsidR="00A87441" w:rsidRPr="00A87441" w:rsidRDefault="00A87441" w:rsidP="00A87441">
      <w:pPr>
        <w:pStyle w:val="Body"/>
        <w:spacing w:after="0"/>
        <w:rPr>
          <w:rFonts w:ascii="Arial" w:hAnsi="Arial" w:cs="Arial"/>
        </w:rPr>
      </w:pPr>
      <w:r w:rsidRPr="00A87441">
        <w:rPr>
          <w:rFonts w:ascii="Arial" w:hAnsi="Arial" w:cs="Arial"/>
        </w:rPr>
        <w:t xml:space="preserve">Conclusions from the analysis of respondent profiles and </w:t>
      </w:r>
      <w:proofErr w:type="spellStart"/>
      <w:r w:rsidRPr="00A87441">
        <w:rPr>
          <w:rFonts w:ascii="Arial" w:hAnsi="Arial" w:cs="Arial"/>
        </w:rPr>
        <w:t>Siaga</w:t>
      </w:r>
      <w:proofErr w:type="spellEnd"/>
      <w:r w:rsidRPr="00A87441">
        <w:rPr>
          <w:rFonts w:ascii="Arial" w:hAnsi="Arial" w:cs="Arial"/>
        </w:rPr>
        <w:t xml:space="preserve"> Tour customer satisfaction data indicate that the company has a strong but vulnerable customer base, with a good CSI but significant room for improvement. The majority of </w:t>
      </w:r>
      <w:proofErr w:type="spellStart"/>
      <w:r w:rsidRPr="00A87441">
        <w:rPr>
          <w:rFonts w:ascii="Arial" w:hAnsi="Arial" w:cs="Arial"/>
        </w:rPr>
        <w:t>Siaga</w:t>
      </w:r>
      <w:proofErr w:type="spellEnd"/>
      <w:r w:rsidRPr="00A87441">
        <w:rPr>
          <w:rFonts w:ascii="Arial" w:hAnsi="Arial" w:cs="Arial"/>
        </w:rPr>
        <w:t xml:space="preserve"> Tour customers are women (71%) from the young and middle adult age group (29-60 years old), with dominant occupations as private employees and housewives. These customers often travel in groups for domestic tours. Although the overall satisfaction level is satisfactory (CSI 79.75%), the majority of customers are low-frequency users (1-2 times), indicating a challenge in building loyalty.</w:t>
      </w:r>
    </w:p>
    <w:p w14:paraId="69666FA2" w14:textId="70386B27" w:rsidR="00790ADA" w:rsidRDefault="00A87441" w:rsidP="00A87441">
      <w:pPr>
        <w:pStyle w:val="Body"/>
        <w:rPr>
          <w:rFonts w:ascii="Arial" w:hAnsi="Arial" w:cs="Arial"/>
        </w:rPr>
      </w:pPr>
      <w:r w:rsidRPr="00A87441">
        <w:rPr>
          <w:rFonts w:ascii="Arial" w:hAnsi="Arial" w:cs="Arial"/>
        </w:rPr>
        <w:t xml:space="preserve">The gap analysis of customer satisfaction attributes shows "politeness" as the company's main advantage, with the smallest gap (0.22).   This is in line with the characteristics of the majority of female customers who value friendly and respectful interactions. However, there are three critical areas that show the largest gaps between expectations and performance, namely time management with a gap of 0.45, comfort with a gap of 0.44, and reputation with a gap of 0.44. These gaps indicate that although customers are satisfied overall, they feel </w:t>
      </w:r>
      <w:proofErr w:type="spellStart"/>
      <w:r w:rsidRPr="00A87441">
        <w:rPr>
          <w:rFonts w:ascii="Arial" w:hAnsi="Arial" w:cs="Arial"/>
        </w:rPr>
        <w:t>Siaga</w:t>
      </w:r>
      <w:proofErr w:type="spellEnd"/>
      <w:r w:rsidRPr="00A87441">
        <w:rPr>
          <w:rFonts w:ascii="Arial" w:hAnsi="Arial" w:cs="Arial"/>
        </w:rPr>
        <w:t xml:space="preserve"> Tour's performance in these areas still does not fully meet their high expectations. </w:t>
      </w:r>
      <w:r>
        <w:rPr>
          <w:rFonts w:ascii="Arial" w:hAnsi="Arial" w:cs="Arial"/>
        </w:rPr>
        <w:t xml:space="preserve">Suggestions that can be given to </w:t>
      </w:r>
      <w:r w:rsidRPr="00A87441">
        <w:rPr>
          <w:rFonts w:ascii="Arial" w:hAnsi="Arial" w:cs="Arial"/>
        </w:rPr>
        <w:t xml:space="preserve">increase customer loyalty and CSI, </w:t>
      </w:r>
      <w:proofErr w:type="spellStart"/>
      <w:r w:rsidRPr="00A87441">
        <w:rPr>
          <w:rFonts w:ascii="Arial" w:hAnsi="Arial" w:cs="Arial"/>
        </w:rPr>
        <w:t>Siaga</w:t>
      </w:r>
      <w:proofErr w:type="spellEnd"/>
      <w:r w:rsidRPr="00A87441">
        <w:rPr>
          <w:rFonts w:ascii="Arial" w:hAnsi="Arial" w:cs="Arial"/>
        </w:rPr>
        <w:t xml:space="preserve"> Tour needs to focus on improving these areas of weakness. The company can leverage its digital presence on social media (Instagram and </w:t>
      </w:r>
      <w:proofErr w:type="spellStart"/>
      <w:r w:rsidRPr="00A87441">
        <w:rPr>
          <w:rFonts w:ascii="Arial" w:hAnsi="Arial" w:cs="Arial"/>
        </w:rPr>
        <w:t>TikTok</w:t>
      </w:r>
      <w:proofErr w:type="spellEnd"/>
      <w:r w:rsidRPr="00A87441">
        <w:rPr>
          <w:rFonts w:ascii="Arial" w:hAnsi="Arial" w:cs="Arial"/>
        </w:rPr>
        <w:t xml:space="preserve">) to build a better reputation by promoting service excellence, such as staff friendliness and positive testimonials. In addition, these platforms </w:t>
      </w:r>
      <w:r w:rsidRPr="00A87441">
        <w:rPr>
          <w:rFonts w:ascii="Arial" w:hAnsi="Arial" w:cs="Arial"/>
        </w:rPr>
        <w:lastRenderedPageBreak/>
        <w:t xml:space="preserve">can be used to communicate more effectively with customers, which can help address time management issues, provide better information, and create a more comfortable and memorable travel experience. With this strategy, </w:t>
      </w:r>
      <w:proofErr w:type="spellStart"/>
      <w:r w:rsidRPr="00A87441">
        <w:rPr>
          <w:rFonts w:ascii="Arial" w:hAnsi="Arial" w:cs="Arial"/>
        </w:rPr>
        <w:t>Siaga</w:t>
      </w:r>
      <w:proofErr w:type="spellEnd"/>
      <w:r w:rsidRPr="00A87441">
        <w:rPr>
          <w:rFonts w:ascii="Arial" w:hAnsi="Arial" w:cs="Arial"/>
        </w:rPr>
        <w:t xml:space="preserve"> Tour has the potential to turn low-frequency users into more loyal customers.</w:t>
      </w:r>
    </w:p>
    <w:p w14:paraId="1F8ED074" w14:textId="40AC9A8F" w:rsidR="00D977AA" w:rsidRPr="00D977AA" w:rsidRDefault="00D977AA" w:rsidP="00D977AA">
      <w:pPr>
        <w:pStyle w:val="Body"/>
        <w:rPr>
          <w:rFonts w:ascii="Arial" w:hAnsi="Arial" w:cs="Arial"/>
        </w:rPr>
      </w:pPr>
    </w:p>
    <w:p w14:paraId="104E47EF" w14:textId="77777777" w:rsidR="00D977AA" w:rsidRPr="00FB3A86" w:rsidRDefault="00D977AA" w:rsidP="00A87441">
      <w:pPr>
        <w:pStyle w:val="Body"/>
        <w:rPr>
          <w:rFonts w:ascii="Arial" w:hAnsi="Arial" w:cs="Arial"/>
        </w:rPr>
      </w:pPr>
    </w:p>
    <w:p w14:paraId="2B01DDD1"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01A76C01" w14:textId="77777777" w:rsidR="00B01FCD" w:rsidRDefault="00B01FCD" w:rsidP="00441B6F">
      <w:pPr>
        <w:pStyle w:val="ReferHead"/>
        <w:spacing w:after="0"/>
        <w:jc w:val="both"/>
        <w:rPr>
          <w:rFonts w:ascii="Arial" w:hAnsi="Arial" w:cs="Arial"/>
        </w:rPr>
      </w:pPr>
      <w:r w:rsidRPr="00FB3A86">
        <w:rPr>
          <w:rFonts w:ascii="Arial" w:hAnsi="Arial" w:cs="Arial"/>
        </w:rPr>
        <w:t>References</w:t>
      </w:r>
    </w:p>
    <w:sdt>
      <w:sdtPr>
        <w:rPr>
          <w:rFonts w:ascii="Helvetica" w:hAnsi="Helvetica"/>
          <w:b w:val="0"/>
          <w:kern w:val="0"/>
          <w:sz w:val="20"/>
        </w:rPr>
        <w:id w:val="-302620423"/>
        <w:docPartObj>
          <w:docPartGallery w:val="Bibliographies"/>
          <w:docPartUnique/>
        </w:docPartObj>
      </w:sdtPr>
      <w:sdtEndPr/>
      <w:sdtContent>
        <w:p w14:paraId="0EE70402" w14:textId="77777777" w:rsidR="00370A5F" w:rsidRDefault="00370A5F">
          <w:pPr>
            <w:pStyle w:val="Heading1"/>
          </w:pPr>
        </w:p>
        <w:sdt>
          <w:sdtPr>
            <w:id w:val="111145805"/>
            <w:bibliography/>
          </w:sdtPr>
          <w:sdtEndPr/>
          <w:sdtContent>
            <w:p w14:paraId="4F91898F" w14:textId="77777777" w:rsidR="00A87441" w:rsidRDefault="00370A5F" w:rsidP="00A87441">
              <w:pPr>
                <w:pStyle w:val="Bibliography"/>
                <w:ind w:left="720" w:hanging="720"/>
                <w:rPr>
                  <w:noProof/>
                </w:rPr>
              </w:pPr>
              <w:r>
                <w:fldChar w:fldCharType="begin"/>
              </w:r>
              <w:r>
                <w:instrText xml:space="preserve"> BIBLIOGRAPHY </w:instrText>
              </w:r>
              <w:r>
                <w:fldChar w:fldCharType="separate"/>
              </w:r>
              <w:r w:rsidR="00A87441">
                <w:rPr>
                  <w:noProof/>
                </w:rPr>
                <w:t xml:space="preserve">Agoes, A., &amp; Firdaus, A. (2024). The Role of Travel Consultants in the Sale of Domestic Travel Tickets at Anta Express. </w:t>
              </w:r>
              <w:r w:rsidR="00A87441">
                <w:rPr>
                  <w:i/>
                  <w:iCs/>
                  <w:noProof/>
                </w:rPr>
                <w:t>Management and Tourism</w:t>
              </w:r>
              <w:r w:rsidR="00A87441">
                <w:rPr>
                  <w:noProof/>
                </w:rPr>
                <w:t>, 227-235.</w:t>
              </w:r>
            </w:p>
            <w:p w14:paraId="1D570735" w14:textId="77777777" w:rsidR="00A87441" w:rsidRDefault="00A87441" w:rsidP="00A87441">
              <w:pPr>
                <w:pStyle w:val="Bibliography"/>
                <w:ind w:left="720" w:hanging="720"/>
                <w:rPr>
                  <w:noProof/>
                </w:rPr>
              </w:pPr>
              <w:r>
                <w:rPr>
                  <w:noProof/>
                </w:rPr>
                <w:t xml:space="preserve">Brown, F. H., &amp; Jaffe, D. T. (2020). The Life Journey of Wealthy Women: Evolving Experiences Around Money, Work, Family, and Life Choices of Ultrawealthy Women. </w:t>
              </w:r>
              <w:r>
                <w:rPr>
                  <w:i/>
                  <w:iCs/>
                  <w:noProof/>
                </w:rPr>
                <w:t xml:space="preserve">The Journal of Wealth Management, 23(3), 8-27. </w:t>
              </w:r>
              <w:r>
                <w:rPr>
                  <w:noProof/>
                </w:rPr>
                <w:t>https://doi.org/10.3905/JWM.2020.1.113.</w:t>
              </w:r>
            </w:p>
            <w:p w14:paraId="2EBC4CBA" w14:textId="77777777" w:rsidR="00A87441" w:rsidRDefault="00A87441" w:rsidP="00A87441">
              <w:pPr>
                <w:pStyle w:val="Bibliography"/>
                <w:ind w:left="720" w:hanging="720"/>
                <w:rPr>
                  <w:noProof/>
                </w:rPr>
              </w:pPr>
              <w:r>
                <w:rPr>
                  <w:noProof/>
                </w:rPr>
                <w:t xml:space="preserve">Damanik, R. R., Belferik, R., Chandra, W., Rosyadi, M. D., &amp; Asegaff, A. R. (2024). (CSI): Case Study of Users in Indonesia. </w:t>
              </w:r>
              <w:r>
                <w:rPr>
                  <w:i/>
                  <w:iCs/>
                  <w:noProof/>
                </w:rPr>
                <w:t>Journal of Science Technology and Information Systems, 4(2)</w:t>
              </w:r>
              <w:r>
                <w:rPr>
                  <w:noProof/>
                </w:rPr>
                <w:t>, 133–138.</w:t>
              </w:r>
            </w:p>
            <w:p w14:paraId="08D8588F" w14:textId="77777777" w:rsidR="00A87441" w:rsidRDefault="00A87441" w:rsidP="00A87441">
              <w:pPr>
                <w:pStyle w:val="Bibliography"/>
                <w:ind w:left="720" w:hanging="720"/>
                <w:rPr>
                  <w:noProof/>
                </w:rPr>
              </w:pPr>
              <w:r>
                <w:rPr>
                  <w:noProof/>
                </w:rPr>
                <w:t xml:space="preserve">Karima, H. Q., Rachmawaty, D., &amp; Sidik, E. F. (2022). Analysis of Customer Satisfaction Level Using the Customer Satisfaction Index Method for Coffee Shop X in Tasikmalaya Regency. </w:t>
              </w:r>
              <w:r>
                <w:rPr>
                  <w:i/>
                  <w:iCs/>
                  <w:noProof/>
                </w:rPr>
                <w:t>Journal of Industrial Engineering (JURTI), 1(2), http://dx.doi.org/10.30659/jurti.1.2</w:t>
              </w:r>
              <w:r>
                <w:rPr>
                  <w:noProof/>
                </w:rPr>
                <w:t>, 94-102.</w:t>
              </w:r>
            </w:p>
            <w:p w14:paraId="6ECA2962" w14:textId="77777777" w:rsidR="00A87441" w:rsidRDefault="00A87441" w:rsidP="00A87441">
              <w:pPr>
                <w:pStyle w:val="Bibliography"/>
                <w:ind w:left="720" w:hanging="720"/>
                <w:rPr>
                  <w:noProof/>
                </w:rPr>
              </w:pPr>
              <w:r>
                <w:rPr>
                  <w:noProof/>
                </w:rPr>
                <w:t xml:space="preserve">Khaksar, M. R., &amp; Amir, E. (2025). The Contribution of Tourism to the Economic Growth of a Country. </w:t>
              </w:r>
              <w:r>
                <w:rPr>
                  <w:i/>
                  <w:iCs/>
                  <w:noProof/>
                </w:rPr>
                <w:t>International Journal of Current Science Research and Review, 06(07), https://doi.org/10.47191/ijcsrr/v6-i7-107</w:t>
              </w:r>
              <w:r>
                <w:rPr>
                  <w:noProof/>
                </w:rPr>
                <w:t>, 4917-4921.</w:t>
              </w:r>
            </w:p>
            <w:p w14:paraId="5CA280B9" w14:textId="77777777" w:rsidR="00A87441" w:rsidRDefault="00A87441" w:rsidP="00A87441">
              <w:pPr>
                <w:pStyle w:val="Bibliography"/>
                <w:ind w:left="720" w:hanging="720"/>
                <w:rPr>
                  <w:noProof/>
                </w:rPr>
              </w:pPr>
              <w:r>
                <w:rPr>
                  <w:noProof/>
                </w:rPr>
                <w:t xml:space="preserve">Kurniadjaya, M., Cantona, C. F., Wijaya, A., Chandra, D. R., Setiawan, B., &amp; Anggawijaya, A. (2024). Planning and Development of Souvenir Brands for MSMEs in Angsana Tourism Village. </w:t>
              </w:r>
              <w:r>
                <w:rPr>
                  <w:i/>
                  <w:iCs/>
                  <w:noProof/>
                </w:rPr>
                <w:t xml:space="preserve">Journal of IKRAITH-ABDIMAS Vol 8 No 1 </w:t>
              </w:r>
              <w:r>
                <w:rPr>
                  <w:noProof/>
                </w:rPr>
                <w:t>, 34-42.</w:t>
              </w:r>
            </w:p>
            <w:p w14:paraId="6131173E" w14:textId="77777777" w:rsidR="00A87441" w:rsidRDefault="00A87441" w:rsidP="00A87441">
              <w:pPr>
                <w:pStyle w:val="Bibliography"/>
                <w:ind w:left="720" w:hanging="720"/>
                <w:rPr>
                  <w:noProof/>
                </w:rPr>
              </w:pPr>
              <w:r>
                <w:rPr>
                  <w:noProof/>
                </w:rPr>
                <w:t xml:space="preserve">Kusumaningrum, D. A., Wachyuni, S. S., Ritasari, R., &amp; Kusumaningsih, R. (2019). The Influence of Customer. Satisfaction and Brand Image on Brand Loyalty at Sentosa Beach. Restaurant Jakarta. </w:t>
              </w:r>
              <w:r>
                <w:rPr>
                  <w:i/>
                  <w:iCs/>
                  <w:noProof/>
                </w:rPr>
                <w:t>Journal of Applied Science in Tourism, 4(1)</w:t>
              </w:r>
              <w:r>
                <w:rPr>
                  <w:noProof/>
                </w:rPr>
                <w:t>, 129–143.</w:t>
              </w:r>
            </w:p>
            <w:p w14:paraId="33557DCA" w14:textId="77777777" w:rsidR="00A87441" w:rsidRDefault="00A87441" w:rsidP="00A87441">
              <w:pPr>
                <w:pStyle w:val="Bibliography"/>
                <w:ind w:left="720" w:hanging="720"/>
                <w:rPr>
                  <w:noProof/>
                </w:rPr>
              </w:pPr>
              <w:r>
                <w:rPr>
                  <w:noProof/>
                </w:rPr>
                <w:t xml:space="preserve">Marpaung, M. M., &amp; Kusumah, L. H. (2022). Systematic Literature Review: Identification of Service Attributes Servqual that Affect Customer Satisfaction in Distribution Companies. </w:t>
              </w:r>
              <w:r>
                <w:rPr>
                  <w:i/>
                  <w:iCs/>
                  <w:noProof/>
                </w:rPr>
                <w:t>3rd Asia Pacific International Conference on Industrial Engineering and Operations Management.</w:t>
              </w:r>
              <w:r>
                <w:rPr>
                  <w:noProof/>
                </w:rPr>
                <w:t xml:space="preserve"> Johor Bahru: IEOM Society International.</w:t>
              </w:r>
            </w:p>
            <w:p w14:paraId="71C7872C" w14:textId="77777777" w:rsidR="00A87441" w:rsidRDefault="00A87441" w:rsidP="00A87441">
              <w:pPr>
                <w:pStyle w:val="Bibliography"/>
                <w:ind w:left="720" w:hanging="720"/>
                <w:rPr>
                  <w:noProof/>
                </w:rPr>
              </w:pPr>
              <w:r>
                <w:rPr>
                  <w:noProof/>
                </w:rPr>
                <w:t xml:space="preserve">McNamee, T., &amp; Sachs, D. (2015). Tourism and Travel. In </w:t>
              </w:r>
              <w:r>
                <w:rPr>
                  <w:i/>
                  <w:iCs/>
                  <w:noProof/>
                </w:rPr>
                <w:t xml:space="preserve">Africans Investing in Africa </w:t>
              </w:r>
              <w:r>
                <w:rPr>
                  <w:noProof/>
                </w:rPr>
                <w:t>(pp. 309-326). London: Palgrave Macmillan, https://doi.org/10.1057/9781137542809_17.</w:t>
              </w:r>
            </w:p>
            <w:p w14:paraId="0E998631" w14:textId="77777777" w:rsidR="00A87441" w:rsidRDefault="00A87441" w:rsidP="00A87441">
              <w:pPr>
                <w:pStyle w:val="Bibliography"/>
                <w:ind w:left="720" w:hanging="720"/>
                <w:rPr>
                  <w:noProof/>
                </w:rPr>
              </w:pPr>
              <w:r>
                <w:rPr>
                  <w:noProof/>
                </w:rPr>
                <w:t xml:space="preserve">Mun'im, A. (2022). Measuring The Economic Contribution of Tourism: An Improvement in Indonesia. </w:t>
              </w:r>
              <w:r>
                <w:rPr>
                  <w:i/>
                  <w:iCs/>
                  <w:noProof/>
                </w:rPr>
                <w:t xml:space="preserve">PROCEEDINGS OF 2021 INTERNATIONAL CONFERENCE ON DATA SCIENCE AND OFFICIAL STATISTICS (ICDSOS) </w:t>
              </w:r>
              <w:r>
                <w:rPr>
                  <w:noProof/>
                </w:rPr>
                <w:t>(pp. 559-567). Jakarta: STIS Polytechnic of Statistics.</w:t>
              </w:r>
            </w:p>
            <w:p w14:paraId="32BDCC29" w14:textId="77777777" w:rsidR="00A87441" w:rsidRDefault="00A87441" w:rsidP="00A87441">
              <w:pPr>
                <w:pStyle w:val="Bibliography"/>
                <w:ind w:left="720" w:hanging="720"/>
                <w:rPr>
                  <w:noProof/>
                </w:rPr>
              </w:pPr>
              <w:r>
                <w:rPr>
                  <w:noProof/>
                </w:rPr>
                <w:t xml:space="preserve">Pratama, Y. (2024). Politeness strategies used in conversation of Balinese in tourism sector to foreign tourists at Canggu, Bali. </w:t>
              </w:r>
              <w:r>
                <w:rPr>
                  <w:i/>
                  <w:iCs/>
                  <w:noProof/>
                </w:rPr>
                <w:t xml:space="preserve">Journal of Language, Literature and American Studies, 30(2), 6. </w:t>
              </w:r>
              <w:r>
                <w:rPr>
                  <w:noProof/>
                </w:rPr>
                <w:t>https://doi.org/10.20961/jbssa.v30i2.93327.</w:t>
              </w:r>
            </w:p>
            <w:p w14:paraId="364E09E0" w14:textId="77777777" w:rsidR="00A87441" w:rsidRDefault="00A87441" w:rsidP="00A87441">
              <w:pPr>
                <w:pStyle w:val="Bibliography"/>
                <w:ind w:left="720" w:hanging="720"/>
                <w:rPr>
                  <w:noProof/>
                </w:rPr>
              </w:pPr>
              <w:r>
                <w:rPr>
                  <w:noProof/>
                </w:rPr>
                <w:t xml:space="preserve">Ratnaningtyas, H., Aditya, M. K., &amp; Sakti, P. J. (2025). The Role of MSMEs in Increasing Visits in Cisoka Blue Lake, Tangerang Regency, Banten Province, Indonesia. . </w:t>
              </w:r>
              <w:r>
                <w:rPr>
                  <w:i/>
                  <w:iCs/>
                  <w:noProof/>
                </w:rPr>
                <w:t>International Journal of Manangement and Economics Invention, 11(01). https://doi.org/10.47</w:t>
              </w:r>
              <w:r>
                <w:rPr>
                  <w:noProof/>
                </w:rPr>
                <w:t>, 3813–3818.</w:t>
              </w:r>
            </w:p>
            <w:p w14:paraId="6ADDAD11" w14:textId="77777777" w:rsidR="00A87441" w:rsidRDefault="00A87441" w:rsidP="00A87441">
              <w:pPr>
                <w:pStyle w:val="Bibliography"/>
                <w:ind w:left="720" w:hanging="720"/>
                <w:rPr>
                  <w:noProof/>
                </w:rPr>
              </w:pPr>
              <w:r>
                <w:rPr>
                  <w:noProof/>
                </w:rPr>
                <w:lastRenderedPageBreak/>
                <w:t xml:space="preserve">Rymar, O., &amp; Zaletska, A. (2024). Study of Motives and Needs for Regular Fitness Training Among 35- 45-Year-Old Women. </w:t>
              </w:r>
              <w:r>
                <w:rPr>
                  <w:i/>
                  <w:iCs/>
                  <w:noProof/>
                </w:rPr>
                <w:t xml:space="preserve">Physical Education, Sport and Health Culture in Modern Society, 2(66), 23-29. </w:t>
              </w:r>
              <w:r>
                <w:rPr>
                  <w:noProof/>
                </w:rPr>
                <w:t>https://doi.org/10.29038/2220-7481-2024-02-23-29.</w:t>
              </w:r>
            </w:p>
            <w:p w14:paraId="55454515" w14:textId="77777777" w:rsidR="00A87441" w:rsidRDefault="00A87441" w:rsidP="00A87441">
              <w:pPr>
                <w:pStyle w:val="Bibliography"/>
                <w:ind w:left="720" w:hanging="720"/>
                <w:rPr>
                  <w:noProof/>
                </w:rPr>
              </w:pPr>
              <w:r>
                <w:rPr>
                  <w:noProof/>
                </w:rPr>
                <w:t xml:space="preserve">Salleh, M. M., Yunus, M. Y., Ghani, A. N., Bahry, N. S., &amp; Ali, M. A. (2024). Exploring E-Customer Satisfaction Using e-SERVQUAL Among Online Shoppers. </w:t>
              </w:r>
              <w:r>
                <w:rPr>
                  <w:i/>
                  <w:iCs/>
                  <w:noProof/>
                </w:rPr>
                <w:t>Information Management and Business Review, 16(3S(I)a).</w:t>
              </w:r>
              <w:r>
                <w:rPr>
                  <w:noProof/>
                </w:rPr>
                <w:t>, 1004–1012.</w:t>
              </w:r>
            </w:p>
            <w:p w14:paraId="5D7823A6" w14:textId="77777777" w:rsidR="00A87441" w:rsidRDefault="00A87441" w:rsidP="00A87441">
              <w:pPr>
                <w:pStyle w:val="Bibliography"/>
                <w:ind w:left="720" w:hanging="720"/>
                <w:rPr>
                  <w:noProof/>
                </w:rPr>
              </w:pPr>
              <w:r>
                <w:rPr>
                  <w:noProof/>
                </w:rPr>
                <w:t xml:space="preserve">Santoso, A. (2023). The Slovin Formula: The Panacea of Sample Size Problems? </w:t>
              </w:r>
              <w:r>
                <w:rPr>
                  <w:i/>
                  <w:iCs/>
                  <w:noProof/>
                </w:rPr>
                <w:t>Suksma, 4(2)</w:t>
              </w:r>
              <w:r>
                <w:rPr>
                  <w:noProof/>
                </w:rPr>
                <w:t>, 24-43.</w:t>
              </w:r>
            </w:p>
            <w:p w14:paraId="64FC7C28" w14:textId="77777777" w:rsidR="00A87441" w:rsidRDefault="00A87441" w:rsidP="00A87441">
              <w:pPr>
                <w:pStyle w:val="Bibliography"/>
                <w:ind w:left="720" w:hanging="720"/>
                <w:rPr>
                  <w:noProof/>
                </w:rPr>
              </w:pPr>
              <w:r>
                <w:rPr>
                  <w:noProof/>
                </w:rPr>
                <w:t xml:space="preserve">Sapna, Raheja, S., Malik, S., &amp; Dighliya, B. (2023). Exploring Female Travelers' Satisfaction in North Indian Destinations: an Empirical Study. </w:t>
              </w:r>
              <w:r>
                <w:rPr>
                  <w:i/>
                  <w:iCs/>
                  <w:noProof/>
                </w:rPr>
                <w:t xml:space="preserve">Journal of Social Responsibility, Tourism and Hospitality, 3(01), 22-33. </w:t>
              </w:r>
              <w:r>
                <w:rPr>
                  <w:noProof/>
                </w:rPr>
                <w:t>https://doi.org/10.55529/jsrth.31.22.33.</w:t>
              </w:r>
            </w:p>
            <w:p w14:paraId="4533F71A" w14:textId="77777777" w:rsidR="00A87441" w:rsidRDefault="00A87441" w:rsidP="00A87441">
              <w:pPr>
                <w:pStyle w:val="Bibliography"/>
                <w:ind w:left="720" w:hanging="720"/>
                <w:rPr>
                  <w:noProof/>
                </w:rPr>
              </w:pPr>
              <w:r>
                <w:rPr>
                  <w:noProof/>
                </w:rPr>
                <w:t xml:space="preserve">Saragih, E. L., Mulyadi, M., Nasution, K., &amp; Pujiono, M. (2023). Positive strategies of language politeness across tourism service actors: A cross-cultural socio-pragmatic study. </w:t>
              </w:r>
              <w:r>
                <w:rPr>
                  <w:i/>
                  <w:iCs/>
                  <w:noProof/>
                </w:rPr>
                <w:t xml:space="preserve">Research Journal in Advanced Humanities, 4(3). </w:t>
              </w:r>
              <w:r>
                <w:rPr>
                  <w:noProof/>
                </w:rPr>
                <w:t>https://doi.org/10.58256/wzav3v64.</w:t>
              </w:r>
            </w:p>
            <w:p w14:paraId="759B81D9" w14:textId="77777777" w:rsidR="00A87441" w:rsidRDefault="00A87441" w:rsidP="00A87441">
              <w:pPr>
                <w:pStyle w:val="Bibliography"/>
                <w:ind w:left="720" w:hanging="720"/>
                <w:rPr>
                  <w:noProof/>
                </w:rPr>
              </w:pPr>
              <w:r>
                <w:rPr>
                  <w:noProof/>
                </w:rPr>
                <w:t xml:space="preserve">Setiawan, B. (2024). A Touch of Artificial Intelligence in Digital Promotion of Tourism Villages in Indonesia. </w:t>
              </w:r>
              <w:r>
                <w:rPr>
                  <w:i/>
                  <w:iCs/>
                  <w:noProof/>
                </w:rPr>
                <w:t>IKRAITH-HUMANIORA VOL 8 NO 3</w:t>
              </w:r>
              <w:r>
                <w:rPr>
                  <w:noProof/>
                </w:rPr>
                <w:t>, 90-100.</w:t>
              </w:r>
            </w:p>
            <w:p w14:paraId="69D16721" w14:textId="77777777" w:rsidR="00A87441" w:rsidRDefault="00A87441" w:rsidP="00A87441">
              <w:pPr>
                <w:pStyle w:val="Bibliography"/>
                <w:ind w:left="720" w:hanging="720"/>
                <w:rPr>
                  <w:noProof/>
                </w:rPr>
              </w:pPr>
              <w:r>
                <w:rPr>
                  <w:noProof/>
                </w:rPr>
                <w:t xml:space="preserve">Sofronov, B. (2018). The development of the travel and tourism industry in the world. </w:t>
              </w:r>
              <w:r>
                <w:rPr>
                  <w:i/>
                  <w:iCs/>
                  <w:noProof/>
                </w:rPr>
                <w:t>Annals of Spiru Haret University Economic Series, 18(4), https://doi.org/10.26458/1847</w:t>
              </w:r>
              <w:r>
                <w:rPr>
                  <w:noProof/>
                </w:rPr>
                <w:t>, 123–137.</w:t>
              </w:r>
            </w:p>
            <w:p w14:paraId="216E3C39" w14:textId="77777777" w:rsidR="00A87441" w:rsidRDefault="00A87441" w:rsidP="00A87441">
              <w:pPr>
                <w:pStyle w:val="Bibliography"/>
                <w:ind w:left="720" w:hanging="720"/>
                <w:rPr>
                  <w:noProof/>
                </w:rPr>
              </w:pPr>
              <w:r>
                <w:rPr>
                  <w:noProof/>
                </w:rPr>
                <w:t xml:space="preserve">Sugiyono. (2019). </w:t>
              </w:r>
              <w:r>
                <w:rPr>
                  <w:i/>
                  <w:iCs/>
                  <w:noProof/>
                </w:rPr>
                <w:t>Quantitative, Qualitative and R &amp;D Research Methods.</w:t>
              </w:r>
              <w:r>
                <w:rPr>
                  <w:noProof/>
                </w:rPr>
                <w:t xml:space="preserve"> Bandung: Alfabeta.</w:t>
              </w:r>
            </w:p>
            <w:p w14:paraId="1D092B61" w14:textId="77777777" w:rsidR="00A87441" w:rsidRDefault="00A87441" w:rsidP="00A87441">
              <w:pPr>
                <w:pStyle w:val="Bibliography"/>
                <w:ind w:left="720" w:hanging="720"/>
                <w:rPr>
                  <w:noProof/>
                </w:rPr>
              </w:pPr>
              <w:r>
                <w:rPr>
                  <w:noProof/>
                </w:rPr>
                <w:t xml:space="preserve">Wardhana, A. (2024). </w:t>
              </w:r>
              <w:r>
                <w:rPr>
                  <w:i/>
                  <w:iCs/>
                  <w:noProof/>
                </w:rPr>
                <w:t>CONSUMER SATISFACTION IN THE DIGITAL EDGE - INDONESIAN EDITION.</w:t>
              </w:r>
              <w:r>
                <w:rPr>
                  <w:noProof/>
                </w:rPr>
                <w:t xml:space="preserve"> Purbalingga: EUREKA MEDIA AKSARA.</w:t>
              </w:r>
            </w:p>
            <w:p w14:paraId="03D1E575" w14:textId="77777777" w:rsidR="00A87441" w:rsidRDefault="00A87441" w:rsidP="00A87441">
              <w:pPr>
                <w:pStyle w:val="Bibliography"/>
                <w:ind w:left="720" w:hanging="720"/>
                <w:rPr>
                  <w:noProof/>
                </w:rPr>
              </w:pPr>
              <w:r>
                <w:rPr>
                  <w:noProof/>
                </w:rPr>
                <w:t xml:space="preserve">Yulianto, A., &amp; Brahmanto, E. (2023). Favorite Photo Spot for Models of Tourist Destinations and Trends for Tourist Selfies in Special Region of Yogyakarta. </w:t>
              </w:r>
              <w:r>
                <w:rPr>
                  <w:i/>
                  <w:iCs/>
                  <w:noProof/>
                </w:rPr>
                <w:t xml:space="preserve">TRJ (Tourism Research Journal), 7(1), 51. </w:t>
              </w:r>
              <w:r>
                <w:rPr>
                  <w:noProof/>
                </w:rPr>
                <w:t>https://doi.org/10.30647/trj.v7i1.206.</w:t>
              </w:r>
            </w:p>
            <w:p w14:paraId="265C7C58" w14:textId="77777777" w:rsidR="00370A5F" w:rsidRDefault="00370A5F" w:rsidP="00A87441">
              <w:r>
                <w:rPr>
                  <w:b/>
                  <w:bCs/>
                  <w:noProof/>
                </w:rPr>
                <w:fldChar w:fldCharType="end"/>
              </w:r>
            </w:p>
          </w:sdtContent>
        </w:sdt>
      </w:sdtContent>
    </w:sdt>
    <w:p w14:paraId="451AF058" w14:textId="77777777" w:rsidR="00790ADA" w:rsidRPr="00FB3A86" w:rsidRDefault="00790ADA" w:rsidP="00441B6F">
      <w:pPr>
        <w:pStyle w:val="ReferHead"/>
        <w:spacing w:after="0"/>
        <w:jc w:val="both"/>
        <w:rPr>
          <w:rFonts w:ascii="Arial" w:hAnsi="Arial" w:cs="Arial"/>
        </w:rPr>
      </w:pPr>
    </w:p>
    <w:sectPr w:rsidR="00790ADA" w:rsidRPr="00FB3A86" w:rsidSect="00C4546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EE3F6" w14:textId="77777777" w:rsidR="00A743E2" w:rsidRDefault="00A743E2" w:rsidP="00C37E61">
      <w:r>
        <w:separator/>
      </w:r>
    </w:p>
  </w:endnote>
  <w:endnote w:type="continuationSeparator" w:id="0">
    <w:p w14:paraId="35CEA579" w14:textId="77777777" w:rsidR="00A743E2" w:rsidRDefault="00A743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B856" w14:textId="77777777" w:rsidR="00C45460" w:rsidRDefault="00C45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D63E2" w14:textId="77777777" w:rsidR="00C45460" w:rsidRDefault="00C45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913B6" w14:textId="77777777" w:rsidR="00085BD1" w:rsidRDefault="00085BD1">
    <w:pPr>
      <w:pStyle w:val="Footer"/>
      <w:rPr>
        <w:rFonts w:ascii="Arial" w:hAnsi="Arial" w:cs="Arial"/>
        <w:sz w:val="16"/>
      </w:rPr>
    </w:pPr>
  </w:p>
  <w:p w14:paraId="0105DA3A" w14:textId="77777777" w:rsidR="00085BD1" w:rsidRDefault="00085BD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891A3E2" w14:textId="77777777" w:rsidR="00085BD1" w:rsidRDefault="00085BD1">
    <w:pPr>
      <w:pStyle w:val="Footer"/>
      <w:rPr>
        <w:rFonts w:ascii="Arial" w:hAnsi="Arial" w:cs="Arial"/>
        <w:sz w:val="16"/>
      </w:rPr>
    </w:pPr>
  </w:p>
  <w:p w14:paraId="6648F383" w14:textId="77777777" w:rsidR="00085BD1" w:rsidRPr="009E048A" w:rsidRDefault="00085BD1">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835E4" w14:textId="77777777" w:rsidR="00A743E2" w:rsidRDefault="00A743E2" w:rsidP="00C37E61">
      <w:r>
        <w:separator/>
      </w:r>
    </w:p>
  </w:footnote>
  <w:footnote w:type="continuationSeparator" w:id="0">
    <w:p w14:paraId="75CB8D40" w14:textId="77777777" w:rsidR="00A743E2" w:rsidRDefault="00A743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0AE36" w14:textId="5CC4A392" w:rsidR="00C45460" w:rsidRDefault="00C45460">
    <w:pPr>
      <w:pStyle w:val="Header"/>
    </w:pPr>
    <w:r>
      <w:rPr>
        <w:noProof/>
      </w:rPr>
      <w:pict w14:anchorId="1DBFA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8908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2CFC7" w14:textId="0C13EAEB" w:rsidR="00C45460" w:rsidRDefault="00C45460">
    <w:pPr>
      <w:pStyle w:val="Header"/>
    </w:pPr>
    <w:r>
      <w:rPr>
        <w:noProof/>
      </w:rPr>
      <w:pict w14:anchorId="14A15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8908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213B" w14:textId="46991883" w:rsidR="00085BD1" w:rsidRPr="00296529" w:rsidRDefault="00C45460" w:rsidP="00296529">
    <w:pPr>
      <w:ind w:left="2160"/>
      <w:jc w:val="center"/>
      <w:rPr>
        <w:rFonts w:ascii="Times New Roman" w:eastAsia="Calibri" w:hAnsi="Times New Roman"/>
        <w:i/>
        <w:sz w:val="18"/>
        <w:szCs w:val="22"/>
      </w:rPr>
    </w:pPr>
    <w:r>
      <w:rPr>
        <w:noProof/>
      </w:rPr>
      <w:pict w14:anchorId="4C327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8908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D0A6DB" w14:textId="77777777" w:rsidR="00085BD1" w:rsidRPr="00296529" w:rsidRDefault="00085BD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19DF1E8" w14:textId="77777777" w:rsidR="00085BD1" w:rsidRPr="00296529" w:rsidRDefault="00085BD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561CA9" w14:textId="77777777" w:rsidR="00085BD1" w:rsidRPr="00296529" w:rsidRDefault="00085BD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59964EE4" w14:textId="77777777" w:rsidR="00085BD1" w:rsidRDefault="00085BD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5D7650" w14:textId="77777777" w:rsidR="00085BD1" w:rsidRDefault="00085BD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90D412" w14:textId="77777777" w:rsidR="00085BD1" w:rsidRDefault="00085BD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90C34"/>
    <w:multiLevelType w:val="multilevel"/>
    <w:tmpl w:val="9460C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B31FB1"/>
    <w:multiLevelType w:val="multilevel"/>
    <w:tmpl w:val="E6062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8EE5055"/>
    <w:multiLevelType w:val="multilevel"/>
    <w:tmpl w:val="1E24C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D8398F"/>
    <w:multiLevelType w:val="hybridMultilevel"/>
    <w:tmpl w:val="BDE48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40010CB"/>
    <w:multiLevelType w:val="multilevel"/>
    <w:tmpl w:val="CC02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13C54"/>
    <w:multiLevelType w:val="multilevel"/>
    <w:tmpl w:val="4250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BE60E8"/>
    <w:multiLevelType w:val="multilevel"/>
    <w:tmpl w:val="E35A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4F5D4F"/>
    <w:multiLevelType w:val="multilevel"/>
    <w:tmpl w:val="B2ECA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60221EC"/>
    <w:multiLevelType w:val="multilevel"/>
    <w:tmpl w:val="09A4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657C4B"/>
    <w:multiLevelType w:val="hybridMultilevel"/>
    <w:tmpl w:val="E958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0239D"/>
    <w:multiLevelType w:val="multilevel"/>
    <w:tmpl w:val="1144D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5"/>
  </w:num>
  <w:num w:numId="9">
    <w:abstractNumId w:val="35"/>
  </w:num>
  <w:num w:numId="10">
    <w:abstractNumId w:val="3"/>
  </w:num>
  <w:num w:numId="11">
    <w:abstractNumId w:val="28"/>
  </w:num>
  <w:num w:numId="12">
    <w:abstractNumId w:val="5"/>
  </w:num>
  <w:num w:numId="13">
    <w:abstractNumId w:val="25"/>
  </w:num>
  <w:num w:numId="14">
    <w:abstractNumId w:val="11"/>
  </w:num>
  <w:num w:numId="15">
    <w:abstractNumId w:val="31"/>
  </w:num>
  <w:num w:numId="16">
    <w:abstractNumId w:val="7"/>
  </w:num>
  <w:num w:numId="17">
    <w:abstractNumId w:val="32"/>
  </w:num>
  <w:num w:numId="18">
    <w:abstractNumId w:val="18"/>
  </w:num>
  <w:num w:numId="19">
    <w:abstractNumId w:val="39"/>
  </w:num>
  <w:num w:numId="20">
    <w:abstractNumId w:val="14"/>
  </w:num>
  <w:num w:numId="21">
    <w:abstractNumId w:val="12"/>
  </w:num>
  <w:num w:numId="22">
    <w:abstractNumId w:val="16"/>
  </w:num>
  <w:num w:numId="23">
    <w:abstractNumId w:val="29"/>
  </w:num>
  <w:num w:numId="24">
    <w:abstractNumId w:val="36"/>
  </w:num>
  <w:num w:numId="25">
    <w:abstractNumId w:val="6"/>
  </w:num>
  <w:num w:numId="26">
    <w:abstractNumId w:val="21"/>
  </w:num>
  <w:num w:numId="27">
    <w:abstractNumId w:val="30"/>
  </w:num>
  <w:num w:numId="28">
    <w:abstractNumId w:val="37"/>
  </w:num>
  <w:num w:numId="29">
    <w:abstractNumId w:val="34"/>
  </w:num>
  <w:num w:numId="30">
    <w:abstractNumId w:val="13"/>
  </w:num>
  <w:num w:numId="31">
    <w:abstractNumId w:val="24"/>
  </w:num>
  <w:num w:numId="32">
    <w:abstractNumId w:val="1"/>
  </w:num>
  <w:num w:numId="33">
    <w:abstractNumId w:val="23"/>
  </w:num>
  <w:num w:numId="34">
    <w:abstractNumId w:val="38"/>
  </w:num>
  <w:num w:numId="35">
    <w:abstractNumId w:val="22"/>
  </w:num>
  <w:num w:numId="36">
    <w:abstractNumId w:val="4"/>
  </w:num>
  <w:num w:numId="37">
    <w:abstractNumId w:val="19"/>
  </w:num>
  <w:num w:numId="38">
    <w:abstractNumId w:val="8"/>
  </w:num>
  <w:num w:numId="39">
    <w:abstractNumId w:val="17"/>
  </w:num>
  <w:num w:numId="40">
    <w:abstractNumId w:val="2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5BD1"/>
    <w:rsid w:val="00094CD4"/>
    <w:rsid w:val="000A47FA"/>
    <w:rsid w:val="000A65D3"/>
    <w:rsid w:val="000B1E33"/>
    <w:rsid w:val="000D689F"/>
    <w:rsid w:val="000E7B7B"/>
    <w:rsid w:val="000E7D62"/>
    <w:rsid w:val="000F3C29"/>
    <w:rsid w:val="00103357"/>
    <w:rsid w:val="00123C9F"/>
    <w:rsid w:val="00126190"/>
    <w:rsid w:val="00130F17"/>
    <w:rsid w:val="001320BF"/>
    <w:rsid w:val="0013461E"/>
    <w:rsid w:val="0014330C"/>
    <w:rsid w:val="00163BC4"/>
    <w:rsid w:val="00173612"/>
    <w:rsid w:val="00175991"/>
    <w:rsid w:val="001853F0"/>
    <w:rsid w:val="00191062"/>
    <w:rsid w:val="00192B72"/>
    <w:rsid w:val="001A29D8"/>
    <w:rsid w:val="001A5CAA"/>
    <w:rsid w:val="001B0427"/>
    <w:rsid w:val="001D3A51"/>
    <w:rsid w:val="001E10D2"/>
    <w:rsid w:val="001E25B4"/>
    <w:rsid w:val="001E39AC"/>
    <w:rsid w:val="001E44FE"/>
    <w:rsid w:val="001E5E74"/>
    <w:rsid w:val="00200595"/>
    <w:rsid w:val="00204835"/>
    <w:rsid w:val="00231920"/>
    <w:rsid w:val="0023195C"/>
    <w:rsid w:val="0024282C"/>
    <w:rsid w:val="002460DC"/>
    <w:rsid w:val="00250985"/>
    <w:rsid w:val="002556F6"/>
    <w:rsid w:val="00274B7E"/>
    <w:rsid w:val="00283105"/>
    <w:rsid w:val="00284C4C"/>
    <w:rsid w:val="00285D99"/>
    <w:rsid w:val="00287E68"/>
    <w:rsid w:val="00296529"/>
    <w:rsid w:val="002A457E"/>
    <w:rsid w:val="002B27FB"/>
    <w:rsid w:val="002B685A"/>
    <w:rsid w:val="002C0EDA"/>
    <w:rsid w:val="002C57D2"/>
    <w:rsid w:val="002E0D56"/>
    <w:rsid w:val="002F0730"/>
    <w:rsid w:val="002F16EC"/>
    <w:rsid w:val="002F63B8"/>
    <w:rsid w:val="00300926"/>
    <w:rsid w:val="00315186"/>
    <w:rsid w:val="00327ECB"/>
    <w:rsid w:val="0033343E"/>
    <w:rsid w:val="003512C2"/>
    <w:rsid w:val="00370A5F"/>
    <w:rsid w:val="00371FB6"/>
    <w:rsid w:val="003763C1"/>
    <w:rsid w:val="00376BBE"/>
    <w:rsid w:val="0039224F"/>
    <w:rsid w:val="003A43A4"/>
    <w:rsid w:val="003A4F17"/>
    <w:rsid w:val="003A7E18"/>
    <w:rsid w:val="003B3AD7"/>
    <w:rsid w:val="003C4C86"/>
    <w:rsid w:val="003C6258"/>
    <w:rsid w:val="003E2904"/>
    <w:rsid w:val="00401927"/>
    <w:rsid w:val="0041027F"/>
    <w:rsid w:val="00412475"/>
    <w:rsid w:val="00423789"/>
    <w:rsid w:val="00440F43"/>
    <w:rsid w:val="00441B6F"/>
    <w:rsid w:val="00446221"/>
    <w:rsid w:val="00447162"/>
    <w:rsid w:val="00450E62"/>
    <w:rsid w:val="004539DB"/>
    <w:rsid w:val="00471A80"/>
    <w:rsid w:val="004C6C9C"/>
    <w:rsid w:val="004D305E"/>
    <w:rsid w:val="004D4277"/>
    <w:rsid w:val="004D4C26"/>
    <w:rsid w:val="004F7353"/>
    <w:rsid w:val="00502516"/>
    <w:rsid w:val="00505F06"/>
    <w:rsid w:val="00506828"/>
    <w:rsid w:val="00521EEB"/>
    <w:rsid w:val="0053056E"/>
    <w:rsid w:val="00554FDA"/>
    <w:rsid w:val="00574E20"/>
    <w:rsid w:val="0059538E"/>
    <w:rsid w:val="005C784C"/>
    <w:rsid w:val="005D17F6"/>
    <w:rsid w:val="005D267E"/>
    <w:rsid w:val="005E047A"/>
    <w:rsid w:val="005E053D"/>
    <w:rsid w:val="005E5539"/>
    <w:rsid w:val="00602BF5"/>
    <w:rsid w:val="00615627"/>
    <w:rsid w:val="0061580D"/>
    <w:rsid w:val="00617FDD"/>
    <w:rsid w:val="0062211D"/>
    <w:rsid w:val="00633614"/>
    <w:rsid w:val="00633F68"/>
    <w:rsid w:val="00636EB2"/>
    <w:rsid w:val="006375B8"/>
    <w:rsid w:val="00656F97"/>
    <w:rsid w:val="0066510A"/>
    <w:rsid w:val="00673F9F"/>
    <w:rsid w:val="00686953"/>
    <w:rsid w:val="00687DEA"/>
    <w:rsid w:val="00687E67"/>
    <w:rsid w:val="006967F7"/>
    <w:rsid w:val="006A250C"/>
    <w:rsid w:val="006B21D3"/>
    <w:rsid w:val="006B57D0"/>
    <w:rsid w:val="006B73D3"/>
    <w:rsid w:val="006D30FF"/>
    <w:rsid w:val="006D6940"/>
    <w:rsid w:val="006E5CC1"/>
    <w:rsid w:val="006F11EC"/>
    <w:rsid w:val="0070082C"/>
    <w:rsid w:val="00714285"/>
    <w:rsid w:val="007369E6"/>
    <w:rsid w:val="00746E59"/>
    <w:rsid w:val="00754C9A"/>
    <w:rsid w:val="0075599A"/>
    <w:rsid w:val="00761D52"/>
    <w:rsid w:val="0077749E"/>
    <w:rsid w:val="00790ADA"/>
    <w:rsid w:val="00795D6A"/>
    <w:rsid w:val="007D2288"/>
    <w:rsid w:val="007E088F"/>
    <w:rsid w:val="007E4A35"/>
    <w:rsid w:val="007F2DD5"/>
    <w:rsid w:val="007F483E"/>
    <w:rsid w:val="007F7B32"/>
    <w:rsid w:val="00804BC2"/>
    <w:rsid w:val="0081431A"/>
    <w:rsid w:val="0083216F"/>
    <w:rsid w:val="00860000"/>
    <w:rsid w:val="00863BD3"/>
    <w:rsid w:val="008641ED"/>
    <w:rsid w:val="00866D66"/>
    <w:rsid w:val="008671C6"/>
    <w:rsid w:val="00875803"/>
    <w:rsid w:val="00891BBD"/>
    <w:rsid w:val="008B459E"/>
    <w:rsid w:val="008E13AE"/>
    <w:rsid w:val="008E1506"/>
    <w:rsid w:val="008E710C"/>
    <w:rsid w:val="008F69D6"/>
    <w:rsid w:val="00902823"/>
    <w:rsid w:val="00915CA6"/>
    <w:rsid w:val="00927834"/>
    <w:rsid w:val="00943C73"/>
    <w:rsid w:val="009500A6"/>
    <w:rsid w:val="00957C18"/>
    <w:rsid w:val="009659BA"/>
    <w:rsid w:val="00983040"/>
    <w:rsid w:val="00985B13"/>
    <w:rsid w:val="009B23FF"/>
    <w:rsid w:val="009B3FB9"/>
    <w:rsid w:val="009C2465"/>
    <w:rsid w:val="009D35A0"/>
    <w:rsid w:val="009D7EB7"/>
    <w:rsid w:val="009E048A"/>
    <w:rsid w:val="009E08E9"/>
    <w:rsid w:val="009E3DB9"/>
    <w:rsid w:val="009E52A2"/>
    <w:rsid w:val="009E6E35"/>
    <w:rsid w:val="009F0EDA"/>
    <w:rsid w:val="00A03B96"/>
    <w:rsid w:val="00A05B19"/>
    <w:rsid w:val="00A1134E"/>
    <w:rsid w:val="00A24E7E"/>
    <w:rsid w:val="00A258C3"/>
    <w:rsid w:val="00A347C0"/>
    <w:rsid w:val="00A44934"/>
    <w:rsid w:val="00A51431"/>
    <w:rsid w:val="00A539AD"/>
    <w:rsid w:val="00A5668A"/>
    <w:rsid w:val="00A743E2"/>
    <w:rsid w:val="00A83B2F"/>
    <w:rsid w:val="00A87441"/>
    <w:rsid w:val="00A94063"/>
    <w:rsid w:val="00AA6219"/>
    <w:rsid w:val="00AA74E0"/>
    <w:rsid w:val="00AB2BF1"/>
    <w:rsid w:val="00AB703F"/>
    <w:rsid w:val="00AC6BB8"/>
    <w:rsid w:val="00AE008F"/>
    <w:rsid w:val="00AE1EB6"/>
    <w:rsid w:val="00B01F53"/>
    <w:rsid w:val="00B01FCD"/>
    <w:rsid w:val="00B059C6"/>
    <w:rsid w:val="00B1776C"/>
    <w:rsid w:val="00B52583"/>
    <w:rsid w:val="00B52896"/>
    <w:rsid w:val="00B86C0A"/>
    <w:rsid w:val="00B95236"/>
    <w:rsid w:val="00B96BD9"/>
    <w:rsid w:val="00BA1B01"/>
    <w:rsid w:val="00BA2641"/>
    <w:rsid w:val="00BB1A96"/>
    <w:rsid w:val="00BB37AA"/>
    <w:rsid w:val="00BC53A0"/>
    <w:rsid w:val="00BE62AD"/>
    <w:rsid w:val="00BF121F"/>
    <w:rsid w:val="00BF1F80"/>
    <w:rsid w:val="00C166EF"/>
    <w:rsid w:val="00C17EB0"/>
    <w:rsid w:val="00C27F5F"/>
    <w:rsid w:val="00C30A0F"/>
    <w:rsid w:val="00C37E61"/>
    <w:rsid w:val="00C45460"/>
    <w:rsid w:val="00C504BC"/>
    <w:rsid w:val="00C70F1B"/>
    <w:rsid w:val="00C71A47"/>
    <w:rsid w:val="00C7464C"/>
    <w:rsid w:val="00C85588"/>
    <w:rsid w:val="00CD6238"/>
    <w:rsid w:val="00CD6755"/>
    <w:rsid w:val="00CD6856"/>
    <w:rsid w:val="00CE0089"/>
    <w:rsid w:val="00CE793C"/>
    <w:rsid w:val="00CF193C"/>
    <w:rsid w:val="00D02AEF"/>
    <w:rsid w:val="00D173F1"/>
    <w:rsid w:val="00D2077A"/>
    <w:rsid w:val="00D556CD"/>
    <w:rsid w:val="00D60459"/>
    <w:rsid w:val="00D63B15"/>
    <w:rsid w:val="00D74CB0"/>
    <w:rsid w:val="00D8295D"/>
    <w:rsid w:val="00D977AA"/>
    <w:rsid w:val="00DC2A65"/>
    <w:rsid w:val="00DE15F0"/>
    <w:rsid w:val="00DE564B"/>
    <w:rsid w:val="00DE5663"/>
    <w:rsid w:val="00DE78AA"/>
    <w:rsid w:val="00DF45BA"/>
    <w:rsid w:val="00E053D0"/>
    <w:rsid w:val="00E1218B"/>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5D43"/>
    <w:rsid w:val="00F27AB1"/>
    <w:rsid w:val="00F469F0"/>
    <w:rsid w:val="00F53273"/>
    <w:rsid w:val="00F539A0"/>
    <w:rsid w:val="00F624AA"/>
    <w:rsid w:val="00F755E4"/>
    <w:rsid w:val="00F77D02"/>
    <w:rsid w:val="00FA53B1"/>
    <w:rsid w:val="00FB3A86"/>
    <w:rsid w:val="00FB3EB2"/>
    <w:rsid w:val="00FD36C8"/>
    <w:rsid w:val="00FE6A3C"/>
    <w:rsid w:val="00FF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59198FB"/>
  <w15:docId w15:val="{FBD97553-74EE-4522-B8D4-95618DC0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4AA"/>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21E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21E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521EE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521EEB"/>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370A5F"/>
    <w:rPr>
      <w:rFonts w:ascii="Arial" w:hAnsi="Arial"/>
      <w:b/>
      <w:kern w:val="28"/>
      <w:sz w:val="28"/>
    </w:rPr>
  </w:style>
  <w:style w:type="paragraph" w:styleId="Bibliography">
    <w:name w:val="Bibliography"/>
    <w:basedOn w:val="Normal"/>
    <w:next w:val="Normal"/>
    <w:uiPriority w:val="37"/>
    <w:unhideWhenUsed/>
    <w:rsid w:val="00370A5F"/>
  </w:style>
  <w:style w:type="table" w:styleId="LightShading">
    <w:name w:val="Light Shading"/>
    <w:basedOn w:val="TableNormal"/>
    <w:uiPriority w:val="60"/>
    <w:rsid w:val="004F735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ord">
    <w:name w:val="mord"/>
    <w:basedOn w:val="DefaultParagraphFont"/>
    <w:rsid w:val="00FE6A3C"/>
  </w:style>
  <w:style w:type="character" w:customStyle="1" w:styleId="mrel">
    <w:name w:val="mrel"/>
    <w:basedOn w:val="DefaultParagraphFont"/>
    <w:rsid w:val="00FE6A3C"/>
  </w:style>
  <w:style w:type="character" w:customStyle="1" w:styleId="mopen">
    <w:name w:val="mopen"/>
    <w:basedOn w:val="DefaultParagraphFont"/>
    <w:rsid w:val="00FE6A3C"/>
  </w:style>
  <w:style w:type="character" w:customStyle="1" w:styleId="vlist-s">
    <w:name w:val="vlist-s"/>
    <w:basedOn w:val="DefaultParagraphFont"/>
    <w:rsid w:val="00FE6A3C"/>
  </w:style>
  <w:style w:type="character" w:customStyle="1" w:styleId="mclose">
    <w:name w:val="mclose"/>
    <w:basedOn w:val="DefaultParagraphFont"/>
    <w:rsid w:val="00FE6A3C"/>
  </w:style>
  <w:style w:type="character" w:customStyle="1" w:styleId="mbin">
    <w:name w:val="mbin"/>
    <w:basedOn w:val="DefaultParagraphFont"/>
    <w:rsid w:val="00FE6A3C"/>
  </w:style>
  <w:style w:type="paragraph" w:styleId="NormalWeb">
    <w:name w:val="Normal (Web)"/>
    <w:basedOn w:val="Normal"/>
    <w:uiPriority w:val="99"/>
    <w:unhideWhenUsed/>
    <w:rsid w:val="002F16E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4681490">
      <w:bodyDiv w:val="1"/>
      <w:marLeft w:val="0"/>
      <w:marRight w:val="0"/>
      <w:marTop w:val="0"/>
      <w:marBottom w:val="0"/>
      <w:divBdr>
        <w:top w:val="none" w:sz="0" w:space="0" w:color="auto"/>
        <w:left w:val="none" w:sz="0" w:space="0" w:color="auto"/>
        <w:bottom w:val="none" w:sz="0" w:space="0" w:color="auto"/>
        <w:right w:val="none" w:sz="0" w:space="0" w:color="auto"/>
      </w:divBdr>
    </w:div>
    <w:div w:id="53767049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5849435">
      <w:bodyDiv w:val="1"/>
      <w:marLeft w:val="0"/>
      <w:marRight w:val="0"/>
      <w:marTop w:val="0"/>
      <w:marBottom w:val="0"/>
      <w:divBdr>
        <w:top w:val="none" w:sz="0" w:space="0" w:color="auto"/>
        <w:left w:val="none" w:sz="0" w:space="0" w:color="auto"/>
        <w:bottom w:val="none" w:sz="0" w:space="0" w:color="auto"/>
        <w:right w:val="none" w:sz="0" w:space="0" w:color="auto"/>
      </w:divBdr>
    </w:div>
    <w:div w:id="840461973">
      <w:bodyDiv w:val="1"/>
      <w:marLeft w:val="0"/>
      <w:marRight w:val="0"/>
      <w:marTop w:val="0"/>
      <w:marBottom w:val="0"/>
      <w:divBdr>
        <w:top w:val="none" w:sz="0" w:space="0" w:color="auto"/>
        <w:left w:val="none" w:sz="0" w:space="0" w:color="auto"/>
        <w:bottom w:val="none" w:sz="0" w:space="0" w:color="auto"/>
        <w:right w:val="none" w:sz="0" w:space="0" w:color="auto"/>
      </w:divBdr>
    </w:div>
    <w:div w:id="98018673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020062">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44404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McN15</b:Tag>
    <b:SourceType>BookSection</b:SourceType>
    <b:Guid>{95EE0AD7-A27D-47D6-8B08-4D6336C63013}</b:Guid>
    <b:Title>Tourism and Travel </b:Title>
    <b:Year>2015</b:Year>
    <b:Pages>309–326</b:Pages>
    <b:Author>
      <b:Author>
        <b:NameList>
          <b:Person>
            <b:Last>McNamee</b:Last>
            <b:First>T.</b:First>
          </b:Person>
          <b:Person>
            <b:Last>Sachs</b:Last>
            <b:First>D</b:First>
          </b:Person>
        </b:NameList>
      </b:Author>
    </b:Author>
    <b:City>London</b:City>
    <b:Publisher>Palgrave Macmillan, https://doi.org/10.1057/9781137542809_17</b:Publisher>
    <b:BookTitle>Africans Investing in Africa</b:BookTitle>
    <b:RefOrder>1</b:RefOrder>
  </b:Source>
  <b:Source>
    <b:Tag>Kha25</b:Tag>
    <b:SourceType>JournalArticle</b:SourceType>
    <b:Guid>{3F6CE9EE-2606-421B-A3E0-0E125923EC66}</b:Guid>
    <b:Title>The Contribution of Tourism to the Economic Growth of a Country</b:Title>
    <b:Year>2025</b:Year>
    <b:Pages>4917-4921</b:Pages>
    <b:Author>
      <b:Author>
        <b:NameList>
          <b:Person>
            <b:Last>Khaksar</b:Last>
            <b:First>M.</b:First>
            <b:Middle>R.,</b:Middle>
          </b:Person>
          <b:Person>
            <b:Last>Amir</b:Last>
            <b:First>E.</b:First>
          </b:Person>
        </b:NameList>
      </b:Author>
    </b:Author>
    <b:JournalName>International Journal of Current Science Research and Review, 06(07), https://doi.org/10.47191/ijcsrr/v6-i7-107</b:JournalName>
    <b:RefOrder>2</b:RefOrder>
  </b:Source>
  <b:Source>
    <b:Tag>Sof18</b:Tag>
    <b:SourceType>JournalArticle</b:SourceType>
    <b:Guid>{B47F929A-595A-4A7D-9C74-87BC19FD8BB4}</b:Guid>
    <b:Author>
      <b:Author>
        <b:NameList>
          <b:Person>
            <b:Last>Sofronov</b:Last>
            <b:First>B.</b:First>
          </b:Person>
        </b:NameList>
      </b:Author>
    </b:Author>
    <b:Title> The development of the travel and tourism industry in the world</b:Title>
    <b:JournalName>Annals of Spiru Haret University Economic Series, 18(4), https://doi.org/10.26458/1847</b:JournalName>
    <b:Year>2018</b:Year>
    <b:Pages>123–137</b:Pages>
    <b:RefOrder>3</b:RefOrder>
  </b:Source>
  <b:Source>
    <b:Tag>Mun22</b:Tag>
    <b:SourceType>ConferenceProceedings</b:SourceType>
    <b:Guid>{98493CCE-1816-4D63-AF9A-D3AC5A35E335}</b:Guid>
    <b:Author>
      <b:Author>
        <b:NameList>
          <b:Person>
            <b:Last>Mun'im</b:Last>
            <b:First>Akhmad</b:First>
          </b:Person>
        </b:NameList>
      </b:Author>
    </b:Author>
    <b:Title>Measuring The Economic Contribution of Tourism: An Improvement in Indonesia</b:Title>
    <b:JournalName> . 2021(1), https://doi.org/10.34123/icdsos.v2021i1.187</b:JournalName>
    <b:Year>2022</b:Year>
    <b:Pages>559–567</b:Pages>
    <b:ConferenceName>PROCEEDINGS OF 2021 INTERNATIONAL CONFERENCE ON DATA SCIENCE AND OFFICIAL STATISTICS (ICDSOS)</b:ConferenceName>
    <b:City>Jakarta</b:City>
    <b:Publisher>Politeknik Statistika STIS</b:Publisher>
    <b:RefOrder>4</b:RefOrder>
  </b:Source>
  <b:Source>
    <b:Tag>Rat25</b:Tag>
    <b:SourceType>JournalArticle</b:SourceType>
    <b:Guid>{F515B837-C0BE-4B50-8BDE-0C77EAE8C195}</b:Guid>
    <b:Title>The Role of MSMEs in Increasing Visits in Cisoka Blue Lake, Tangerang Regency, Banten Province, Indonesia. </b:Title>
    <b:Pages>3813–3818</b:Pages>
    <b:Year>2025</b:Year>
    <b:Author>
      <b:Author>
        <b:NameList>
          <b:Person>
            <b:Last>Ratnaningtyas</b:Last>
            <b:First>H.</b:First>
          </b:Person>
          <b:Person>
            <b:Last>Aditya</b:Last>
            <b:First>M.</b:First>
            <b:Middle>K.</b:Middle>
          </b:Person>
          <b:Person>
            <b:Last>Sakti</b:Last>
            <b:First>P.</b:First>
            <b:Middle>J.</b:Middle>
          </b:Person>
        </b:NameList>
      </b:Author>
    </b:Author>
    <b:JournalName>International Journal of Manangement and Economics Invention, 11(01). https://doi.org/10.47</b:JournalName>
    <b:RefOrder>5</b:RefOrder>
  </b:Source>
  <b:Source>
    <b:Tag>Bud24</b:Tag>
    <b:SourceType>JournalArticle</b:SourceType>
    <b:Guid>{FD06C9EA-683D-440A-B206-2F096ADA44D7}</b:Guid>
    <b:Author>
      <b:Author>
        <b:NameList>
          <b:Person>
            <b:Last>Setiawan</b:Last>
            <b:First>Budi</b:First>
          </b:Person>
        </b:NameList>
      </b:Author>
    </b:Author>
    <b:Title>Sentuhan Artificial Intelligence dalam Promosi Digital pada Desa Wisata di Indonesia</b:Title>
    <b:JournalName>IKRAITH-HUMANIORA VOL 8 NO 3</b:JournalName>
    <b:Year>2024</b:Year>
    <b:Pages>90-100</b:Pages>
    <b:RefOrder>8</b:RefOrder>
  </b:Source>
  <b:Source>
    <b:Tag>Mor24</b:Tag>
    <b:SourceType>JournalArticle</b:SourceType>
    <b:Guid>{1D9B3173-A373-4AB7-BFE8-793DA138E7BE}</b:Guid>
    <b:Author>
      <b:Author>
        <b:NameList>
          <b:Person>
            <b:Last>Kurniadjaya</b:Last>
            <b:First>Morgan</b:First>
          </b:Person>
          <b:Person>
            <b:Last>Cantona</b:Last>
            <b:First>Calvin</b:First>
            <b:Middle>Feliks</b:Middle>
          </b:Person>
          <b:Person>
            <b:Last>Wijaya</b:Last>
            <b:First>Andre</b:First>
          </b:Person>
          <b:Person>
            <b:Last>Chandra</b:Last>
            <b:First>Dhamma</b:First>
            <b:Middle>Raynaldo</b:Middle>
          </b:Person>
          <b:Person>
            <b:Last>Setiawan</b:Last>
            <b:First>Budi</b:First>
          </b:Person>
          <b:Person>
            <b:Last>Anggawijaya</b:Last>
            <b:First>AlexanderJustin</b:First>
          </b:Person>
        </b:NameList>
      </b:Author>
    </b:Author>
    <b:Title>Perencanaan dan Pengembangan Brand Oleh-Oleh Untuk UMKM di Desa Wisata Angsana</b:Title>
    <b:JournalName>Jurnal IKRAITH-ABDIMAS Vol 8 No 1  </b:JournalName>
    <b:Year>2024</b:Year>
    <b:Pages>34-42</b:Pages>
    <b:RefOrder>6</b:RefOrder>
  </b:Source>
  <b:Source>
    <b:Tag>Dew19</b:Tag>
    <b:SourceType>JournalArticle</b:SourceType>
    <b:Guid>{D6693EFD-A344-4836-812D-3A9FB3B29FEC}</b:Guid>
    <b:Author>
      <b:Author>
        <b:NameList>
          <b:Person>
            <b:Last>Kusumaningrum</b:Last>
            <b:First>Dewi</b:First>
            <b:Middle>Ayu</b:Middle>
          </b:Person>
          <b:Person>
            <b:Last>Wachyuni</b:Last>
            <b:First>Suci</b:First>
            <b:Middle>Sandi</b:Middle>
          </b:Person>
          <b:Person>
            <b:Last>Ritasari</b:Last>
            <b:First>Rita</b:First>
          </b:Person>
          <b:Person>
            <b:Last>Kusumaningsih</b:Last>
            <b:First>Rany</b:First>
          </b:Person>
        </b:NameList>
      </b:Author>
    </b:Author>
    <b:Title>Pengaruh Customer. Satisfaction Dan Brand Image Terhadap Brand Loyalty Di Pantai Sentosa. Restaurant Jakarta</b:Title>
    <b:JournalName>Jurnal Sains Terapan Pariwisata, 4(1)</b:JournalName>
    <b:Year>2019</b:Year>
    <b:Pages>129–143</b:Pages>
    <b:RefOrder>10</b:RefOrder>
  </b:Source>
  <b:Source>
    <b:Tag>Moh24</b:Tag>
    <b:SourceType>JournalArticle</b:SourceType>
    <b:Guid>{16B18BF8-ED98-460F-A675-D1DC421E8568}</b:Guid>
    <b:Author>
      <b:Author>
        <b:NameList>
          <b:Person>
            <b:Last>Salleh</b:Last>
            <b:First>Mohd</b:First>
            <b:Middle>M. Z.</b:Middle>
          </b:Person>
          <b:Person>
            <b:Last>Yunus</b:Last>
            <b:First>Muhamad</b:First>
            <b:Middle>Yunus, N. S. N.</b:Middle>
          </b:Person>
          <b:Person>
            <b:Last>Ghani</b:Last>
            <b:First>Abdul</b:First>
            <b:Middle>N. M.</b:Middle>
          </b:Person>
          <b:Person>
            <b:Last>Bahry</b:Last>
            <b:First>N.</b:First>
            <b:Middle>S.,</b:Middle>
          </b:Person>
          <b:Person>
            <b:Last>Ali</b:Last>
            <b:First>Mohd</b:First>
            <b:Middle>A.</b:Middle>
          </b:Person>
        </b:NameList>
      </b:Author>
    </b:Author>
    <b:Title>Exploring E-Customer Satisfaction Using e-SERVQUAL Among Online Shoppers</b:Title>
    <b:JournalName>Information Management and Business Review, 16(3S(I)a)</b:JournalName>
    <b:Year>2024</b:Year>
    <b:Pages>1004–1012</b:Pages>
    <b:RefOrder>9</b:RefOrder>
  </b:Source>
  <b:Source>
    <b:Tag>Mar22</b:Tag>
    <b:SourceType>ConferenceProceedings</b:SourceType>
    <b:Guid>{FD2BBC19-BF53-4E40-984B-A504EC2989D3}</b:Guid>
    <b:Author>
      <b:Author>
        <b:NameList>
          <b:Person>
            <b:Last>Marpaung</b:Last>
            <b:First>Masda</b:First>
            <b:Middle>Megawati</b:Middle>
          </b:Person>
          <b:Person>
            <b:Last>Kusumah</b:Last>
            <b:First>Lien</b:First>
            <b:Middle>Herliani</b:Middle>
          </b:Person>
        </b:NameList>
      </b:Author>
    </b:Author>
    <b:Title>Systematic Literature Review: Identification of Service Attributes Servqual that Affect Customer Satisfaction in Distribution Companies</b:Title>
    <b:Year>2022</b:Year>
    <b:ConferenceName>3rd Asia Pacific International Conference on Industrial Engineering and Operations Management</b:ConferenceName>
    <b:City>Johor Bahru</b:City>
    <b:Publisher>IEOM Society International</b:Publisher>
    <b:RefOrder>11</b:RefOrder>
  </b:Source>
  <b:Source>
    <b:Tag>Dam24</b:Tag>
    <b:SourceType>JournalArticle</b:SourceType>
    <b:Guid>{873B499B-C1C2-48DA-A536-7AB35EC81EA9}</b:Guid>
    <b:Title> Evaluasi Kepuasan Pelanggan Aplikasi Spotify Berdasarkan Customer Satisfaction Index (CSI): Studi Kasus Pengguna di Indonesia</b:Title>
    <b:Pages>133–138</b:Pages>
    <b:Year>2024</b:Year>
    <b:Author>
      <b:Author>
        <b:NameList>
          <b:Person>
            <b:Last>Damanik</b:Last>
            <b:First>R.</b:First>
            <b:Middle>R.</b:Middle>
          </b:Person>
          <b:Person>
            <b:Last>Belferik</b:Last>
            <b:First>R.</b:First>
          </b:Person>
          <b:Person>
            <b:Last>Chandra</b:Last>
            <b:First>W.</b:First>
          </b:Person>
          <b:Person>
            <b:Last>Rosyadi</b:Last>
            <b:First>M.</b:First>
            <b:Middle>D.,</b:Middle>
          </b:Person>
          <b:Person>
            <b:Last>Asegaff</b:Last>
            <b:First>A.</b:First>
            <b:Middle>R. M. H.</b:Middle>
          </b:Person>
        </b:NameList>
      </b:Author>
    </b:Author>
    <b:JournalName>Jurnal Sains Teknologi Dan Sistem Informasi, 4(2)</b:JournalName>
    <b:RefOrder>12</b:RefOrder>
  </b:Source>
  <b:Source>
    <b:Tag>Agu231</b:Tag>
    <b:SourceType>JournalArticle</b:SourceType>
    <b:Guid>{5B0A9D0C-F7CF-4D86-95DF-44E409C0B959}</b:Guid>
    <b:Author>
      <b:Author>
        <b:NameList>
          <b:Person>
            <b:Last>Santoso</b:Last>
            <b:First>Agung</b:First>
          </b:Person>
        </b:NameList>
      </b:Author>
    </b:Author>
    <b:Title>Rumus Slovin : Panacea Masalah Ukuran Sampel ?</b:Title>
    <b:JournalName>Suksma, 4(2)</b:JournalName>
    <b:Year>2023</b:Year>
    <b:Pages>24-43</b:Pages>
    <b:RefOrder>13</b:RefOrder>
  </b:Source>
  <b:Source>
    <b:Tag>Adi24</b:Tag>
    <b:SourceType>Book</b:SourceType>
    <b:Guid>{651534D4-6017-42EC-92A7-A42BFB194CE1}</b:Guid>
    <b:Author>
      <b:Author>
        <b:NameList>
          <b:Person>
            <b:Last>Wardhana</b:Last>
            <b:First>Aditya</b:First>
          </b:Person>
        </b:NameList>
      </b:Author>
    </b:Author>
    <b:Title>CONSUMER SATISFACTION IN THE DIGITAL EDGE - EDISI INDONESIA </b:Title>
    <b:Year>2024 </b:Year>
    <b:City>Purbalingga</b:City>
    <b:Publisher>EUREKA MEDIA AKSARA</b:Publisher>
    <b:RefOrder>16</b:RefOrder>
  </b:Source>
  <b:Source>
    <b:Tag>Ago24</b:Tag>
    <b:SourceType>JournalArticle</b:SourceType>
    <b:Guid>{8E5034D9-9D3D-4085-AF88-AA34C3EA5851}</b:Guid>
    <b:Author>
      <b:Author>
        <b:NameList>
          <b:Person>
            <b:Last>Agoes</b:Last>
            <b:First>A.,</b:First>
          </b:Person>
          <b:Person>
            <b:Last>Firdaus</b:Last>
            <b:First>A.</b:First>
          </b:Person>
        </b:NameList>
      </b:Author>
    </b:Author>
    <b:Title>Peran Travel Consultant dalam Penjualan Tiket Perjalanan dalam Negeri di Anta Express</b:Title>
    <b:JournalName>Manajemen dan Pariwisata</b:JournalName>
    <b:Year>2024</b:Year>
    <b:Pages>227-235</b:Pages>
    <b:RefOrder>7</b:RefOrder>
  </b:Source>
  <b:Source>
    <b:Tag>Sap23</b:Tag>
    <b:SourceType>JournalArticle</b:SourceType>
    <b:Guid>{D108ED02-4F7B-4469-8CE3-B6BB7DA4B9FC}</b:Guid>
    <b:Title>Exploring Female Travellers’ Satisfaction in North Indian Destinations: an Empirical Study</b:Title>
    <b:Year>2023</b:Year>
    <b:Author>
      <b:Author>
        <b:NameList>
          <b:Person>
            <b:Last>Sapna</b:Last>
          </b:Person>
          <b:Person>
            <b:Last>Raheja</b:Last>
            <b:First>Sandeep</b:First>
          </b:Person>
          <b:Person>
            <b:Last>Malik</b:Last>
            <b:First>Sandeep</b:First>
          </b:Person>
          <b:Person>
            <b:Last>Dighliya</b:Last>
            <b:First>Bhupender</b:First>
          </b:Person>
        </b:NameList>
      </b:Author>
    </b:Author>
    <b:JournalName>Journal of Social Responsibility,Tourism and Hospitality, 3(01), 22–33. https://doi.org/10.55529/jsrth.31.22.33</b:JournalName>
    <b:RefOrder>17</b:RefOrder>
  </b:Source>
  <b:Source>
    <b:Tag>Yul23</b:Tag>
    <b:SourceType>JournalArticle</b:SourceType>
    <b:Guid>{4B8EB778-0DB0-4A05-847A-7D4488FDA789}</b:Guid>
    <b:Author>
      <b:Author>
        <b:NameList>
          <b:Person>
            <b:Last>Yulianto</b:Last>
            <b:First>A</b:First>
          </b:Person>
          <b:Person>
            <b:Last>Brahmanto</b:Last>
            <b:First>E</b:First>
          </b:Person>
        </b:NameList>
      </b:Author>
    </b:Author>
    <b:Title> Favorite Photo Spot for Models of Tourist Destinations and Trends for Tourist Selfies in Special Region of Yogyakarta</b:Title>
    <b:JournalName>TRJ (Tourism Research Journal), 7(1), 51. https://doi.org/10.30647/trj.v7i1.206</b:JournalName>
    <b:Year>2023</b:Year>
    <b:RefOrder>18</b:RefOrder>
  </b:Source>
  <b:Source>
    <b:Tag>Rym24</b:Tag>
    <b:SourceType>JournalArticle</b:SourceType>
    <b:Guid>{B29D61B9-9D86-4907-B3DB-D88AEA5DCDAB}</b:Guid>
    <b:Author>
      <b:Author>
        <b:NameList>
          <b:Person>
            <b:Last>Rymar</b:Last>
            <b:First>O.</b:First>
          </b:Person>
          <b:Person>
            <b:Last>Zaletska</b:Last>
            <b:First>A.</b:First>
          </b:Person>
        </b:NameList>
      </b:Author>
    </b:Author>
    <b:Title>Study of Motives and Needs for Regular Fitness Training Among 35– 45-Year-Old Women</b:Title>
    <b:JournalName>Physical Education, Sport and Health Culture in Modern Society, 2(66), 23-29. https://doi.org/10.29038/2220-7481-2024-02-23-29</b:JournalName>
    <b:Year>2024</b:Year>
    <b:RefOrder>19</b:RefOrder>
  </b:Source>
  <b:Source>
    <b:Tag>Bro20</b:Tag>
    <b:SourceType>JournalArticle</b:SourceType>
    <b:Guid>{6664B00F-094C-4DEC-A0A1-9602F8A58EAA}</b:Guid>
    <b:Author>
      <b:Author>
        <b:NameList>
          <b:Person>
            <b:Last>Brown</b:Last>
            <b:First>F.</b:First>
            <b:Middle>H.</b:Middle>
          </b:Person>
          <b:Person>
            <b:Last>Jaffe</b:Last>
            <b:First>D.</b:First>
            <b:Middle>T.</b:Middle>
          </b:Person>
        </b:NameList>
      </b:Author>
    </b:Author>
    <b:Title>The Life Journey of Wealthy Women: Evolving Experiences Around Money, Work, Family, and Life Choices of Ultrawealthy Women</b:Title>
    <b:JournalName>The Journal of Wealth Management, 23(3), 8–27. https://doi.org/10.3905/JWM.2020.1.113</b:JournalName>
    <b:Year>2020</b:Year>
    <b:RefOrder>20</b:RefOrder>
  </b:Source>
  <b:Source>
    <b:Tag>Sug19</b:Tag>
    <b:SourceType>Book</b:SourceType>
    <b:Guid>{BC9C4D74-0530-4754-AEE0-9470CEF887DD}</b:Guid>
    <b:Title>Metode Penelitian Kuantitatif, Kualitatif Dan R &amp;D</b:Title>
    <b:Year>2019</b:Year>
    <b:Author>
      <b:Author>
        <b:NameList>
          <b:Person>
            <b:Last>Sugiyono</b:Last>
          </b:Person>
        </b:NameList>
      </b:Author>
    </b:Author>
    <b:City>Bandung</b:City>
    <b:Publisher>Alfabeta</b:Publisher>
    <b:RefOrder>14</b:RefOrder>
  </b:Source>
  <b:Source>
    <b:Tag>Kar22</b:Tag>
    <b:SourceType>JournalArticle</b:SourceType>
    <b:Guid>{67DE7513-8448-489F-A033-1003B4EB7034}</b:Guid>
    <b:Author>
      <b:Author>
        <b:NameList>
          <b:Person>
            <b:Last>Karima</b:Last>
            <b:First>Halim</b:First>
            <b:Middle>Qista</b:Middle>
          </b:Person>
          <b:Person>
            <b:Last>Rachmawaty</b:Last>
            <b:First>Dina</b:First>
          </b:Person>
          <b:Person>
            <b:Last>Sidik</b:Last>
            <b:First>Encep</b:First>
            <b:Middle>Fauzi</b:Middle>
          </b:Person>
        </b:NameList>
      </b:Author>
    </b:Author>
    <b:Title>Analisis Tingkat Kepuasan Pelanggan Menggunakan Metode Customer Satisfaction Index Terhadap Kedai Kopi X di Kabupaten Tasikmalaya</b:Title>
    <b:Year>2022</b:Year>
    <b:JournalName>Jurnal Teknik Industri (JURTI), 1(2), http://dx.doi.org/10.30659/jurti.1.2</b:JournalName>
    <b:Pages>94-102</b:Pages>
    <b:RefOrder>15</b:RefOrder>
  </b:Source>
  <b:Source>
    <b:Tag>Pra24</b:Tag>
    <b:SourceType>JournalArticle</b:SourceType>
    <b:Guid>{3E63DDC4-256D-4C8F-BE01-67BEAB0A265C}</b:Guid>
    <b:Author>
      <b:Author>
        <b:NameList>
          <b:Person>
            <b:Last>Pratama</b:Last>
            <b:First>Y</b:First>
          </b:Person>
        </b:NameList>
      </b:Author>
    </b:Author>
    <b:Title>Politeness strategies used in conversation of balinese in tourism sector to foreign tourists at canggu, bali</b:Title>
    <b:JournalName>Jurnal Bahasa, Sastra Dan Studi Amerika, 30(2), 6. https://doi.org/10.20961/jbssa.v30i2.93327</b:JournalName>
    <b:Year>2024</b:Year>
    <b:RefOrder>21</b:RefOrder>
  </b:Source>
  <b:Source>
    <b:Tag>Elz23</b:Tag>
    <b:SourceType>JournalArticle</b:SourceType>
    <b:Guid>{E2F8BC5A-DF40-42EA-89E0-99D9AD876770}</b:Guid>
    <b:Author>
      <b:Author>
        <b:NameList>
          <b:Person>
            <b:Last>Saragih</b:Last>
            <b:First>Elza</b:First>
            <b:Middle>Leyli Lisnora</b:Middle>
          </b:Person>
          <b:Person>
            <b:Last>Mulyadi</b:Last>
            <b:First>Mulyadi</b:First>
          </b:Person>
          <b:Person>
            <b:Last>Nasution</b:Last>
            <b:First>Khairina</b:First>
          </b:Person>
          <b:Person>
            <b:Last>Pujiono</b:Last>
            <b:First>Mhd.</b:First>
          </b:Person>
        </b:NameList>
      </b:Author>
    </b:Author>
    <b:Title>Positive strategies of language politeness across tourism service actors: A cross-cultural socio-pragmatic study</b:Title>
    <b:JournalName>Research Journal in Advanced Humanities, 4(3). https://doi.org/10.58256/wzav3v64</b:JournalName>
    <b:Year>2023</b:Year>
    <b:RefOrder>22</b:RefOrder>
  </b:Source>
</b:Sources>
</file>

<file path=customXml/itemProps1.xml><?xml version="1.0" encoding="utf-8"?>
<ds:datastoreItem xmlns:ds="http://schemas.openxmlformats.org/officeDocument/2006/customXml" ds:itemID="{D3CC8EC7-96E3-463C-AE0F-BD2FBFFEE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1144</TotalTime>
  <Pages>10</Pages>
  <Words>4735</Words>
  <Characters>26993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31665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keywords>, docId:3529BACC4D9C37F232E6ACDCE7A191CD</cp:keywords>
  <cp:lastModifiedBy>SDI 1084</cp:lastModifiedBy>
  <cp:revision>30</cp:revision>
  <cp:lastPrinted>1999-07-06T11:00:00Z</cp:lastPrinted>
  <dcterms:created xsi:type="dcterms:W3CDTF">2014-10-25T14:34:00Z</dcterms:created>
  <dcterms:modified xsi:type="dcterms:W3CDTF">2025-08-19T07:21:00Z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