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ascii="Arial" w:hAnsi="Arial" w:cs="Arial"/>
          <w:sz w:val="36"/>
          <w:szCs w:val="36"/>
        </w:rPr>
      </w:pPr>
      <w:r>
        <w:rPr>
          <w:rFonts w:ascii="Arial" w:hAnsi="Arial" w:cs="Arial"/>
          <w:sz w:val="36"/>
          <w:szCs w:val="36"/>
        </w:rPr>
        <w:t>Original Research Article</w:t>
      </w:r>
    </w:p>
    <w:p>
      <w:pPr>
        <w:jc w:val="center"/>
        <w:rPr>
          <w:rFonts w:ascii="Arial" w:hAnsi="Arial" w:cs="Arial"/>
          <w:sz w:val="36"/>
          <w:szCs w:val="36"/>
        </w:rPr>
      </w:pPr>
    </w:p>
    <w:p>
      <w:pPr>
        <w:jc w:val="center"/>
        <w:rPr>
          <w:rFonts w:ascii="Arial" w:hAnsi="Arial" w:cs="Arial"/>
          <w:sz w:val="36"/>
          <w:szCs w:val="36"/>
        </w:rPr>
      </w:pPr>
      <w:r>
        <w:rPr>
          <w:rFonts w:ascii="Arial" w:hAnsi="Arial" w:cs="Arial"/>
          <w:sz w:val="36"/>
          <w:szCs w:val="36"/>
        </w:rPr>
        <w:t>India’s Uneven Growth Story: A Sectoral Lens on High vs Low-Income States</w:t>
      </w:r>
    </w:p>
    <w:p>
      <w:pPr>
        <w:spacing w:after="0"/>
        <w:rPr>
          <w:rFonts w:ascii="Times New Roman" w:hAnsi="Times New Roman" w:cs="Times New Roman"/>
          <w:u w:val="single"/>
        </w:rPr>
      </w:pPr>
      <w:r>
        <w:rPr>
          <w:rFonts w:ascii="Times New Roman" w:hAnsi="Times New Roman" w:cs="Times New Roman"/>
          <w:noProof/>
          <w:u w:val="single"/>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117475</wp:posOffset>
                </wp:positionV>
                <wp:extent cx="5875020" cy="68580"/>
                <wp:effectExtent l="0" t="0" r="30480" b="26670"/>
                <wp:wrapNone/>
                <wp:docPr id="1328234914" name="Straight Connector 1"/>
                <wp:cNvGraphicFramePr/>
                <a:graphic xmlns:a="http://schemas.openxmlformats.org/drawingml/2006/main">
                  <a:graphicData uri="http://schemas.microsoft.com/office/word/2010/wordprocessingShape">
                    <wps:wsp>
                      <wps:cNvCnPr/>
                      <wps:spPr>
                        <a:xfrm flipV="1">
                          <a:off x="0" y="0"/>
                          <a:ext cx="5875020" cy="68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C41CEDD"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9.25pt" to="465.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" strokecolor="black [3200]" strokeweight=".5pt">
                <v:stroke joinstyle="miter"/>
              </v:line>
            </w:pict>
          </mc:Fallback>
        </mc:AlternateContent>
      </w:r>
      <w:r>
        <w:rPr>
          <w:rFonts w:ascii="Times New Roman" w:hAnsi="Times New Roman" w:cs="Times New Roman"/>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tc>
          <w:tcPr>
            <w:tcW w:w="9576" w:type="dxa"/>
            <w:shd w:val="clear" w:color="auto" w:fill="F2F2F2"/>
          </w:tcPr>
          <w:p>
            <w:pPr>
              <w:pStyle w:val="Body"/>
              <w:spacing w:after="0"/>
              <w:jc w:val="center"/>
              <w:rPr>
                <w:rFonts w:ascii="Arial" w:eastAsia="Calibri" w:hAnsi="Arial" w:cs="Arial"/>
                <w:b/>
                <w:bCs/>
                <w:szCs w:val="22"/>
              </w:rPr>
            </w:pPr>
            <w:bookmarkStart w:id="0" w:name="_Hlk204255711"/>
            <w:r>
              <w:rPr>
                <w:rFonts w:ascii="Arial" w:eastAsia="Calibri" w:hAnsi="Arial" w:cs="Arial"/>
                <w:b/>
                <w:bCs/>
                <w:szCs w:val="22"/>
              </w:rPr>
              <w:t>ABSTRACT</w:t>
            </w:r>
          </w:p>
          <w:p>
            <w:pPr>
              <w:pStyle w:val="Body"/>
              <w:spacing w:after="0"/>
              <w:rPr>
                <w:rFonts w:ascii="Arial" w:eastAsia="Calibri" w:hAnsi="Arial" w:cs="Arial"/>
                <w:b/>
                <w:bCs/>
                <w:sz w:val="22"/>
                <w:szCs w:val="22"/>
              </w:rPr>
            </w:pPr>
            <w:r>
              <w:rPr>
                <w:rFonts w:ascii="Arial" w:eastAsia="Calibri" w:hAnsi="Arial" w:cs="Arial"/>
                <w:b/>
                <w:bCs/>
                <w:sz w:val="22"/>
                <w:szCs w:val="22"/>
              </w:rPr>
              <w:t>Aims</w:t>
            </w:r>
          </w:p>
          <w:p>
            <w:pPr>
              <w:pStyle w:val="Body"/>
              <w:spacing w:after="0"/>
              <w:rPr>
                <w:rFonts w:ascii="Arial" w:eastAsia="Calibri" w:hAnsi="Arial" w:cs="Arial"/>
                <w:sz w:val="22"/>
                <w:szCs w:val="22"/>
              </w:rPr>
            </w:pPr>
            <w:r>
              <w:rPr>
                <w:rFonts w:ascii="Arial" w:eastAsia="Calibri" w:hAnsi="Arial" w:cs="Arial"/>
                <w:sz w:val="22"/>
                <w:szCs w:val="22"/>
              </w:rPr>
              <w:t>This study aims to examine the structural and sectoral factors contributing to inter-state disparities in Net Domestic Product (NDP</w:t>
            </w:r>
            <w:bookmarkStart w:id="1" w:name="_GoBack"/>
            <w:bookmarkEnd w:id="1"/>
            <w:r>
              <w:rPr>
                <w:rFonts w:ascii="Arial" w:eastAsia="Calibri" w:hAnsi="Arial" w:cs="Arial"/>
                <w:sz w:val="22"/>
                <w:szCs w:val="22"/>
              </w:rPr>
              <w:t>) growth across Indian states. It specifically investigates the sectoral contributions—agriculture, industry, and services—in shaping economic performance within high- and low-income state categories.</w:t>
            </w:r>
          </w:p>
          <w:p>
            <w:pPr>
              <w:pStyle w:val="Body"/>
              <w:spacing w:after="0"/>
              <w:rPr>
                <w:rFonts w:ascii="Arial" w:eastAsia="Calibri" w:hAnsi="Arial" w:cs="Arial"/>
                <w:b/>
                <w:bCs/>
                <w:sz w:val="22"/>
                <w:szCs w:val="22"/>
              </w:rPr>
            </w:pPr>
            <w:r>
              <w:rPr>
                <w:rFonts w:ascii="Arial" w:eastAsia="Calibri" w:hAnsi="Arial" w:cs="Arial"/>
                <w:b/>
                <w:bCs/>
                <w:sz w:val="22"/>
                <w:szCs w:val="22"/>
              </w:rPr>
              <w:t>Study Design</w:t>
            </w:r>
          </w:p>
          <w:p>
            <w:pPr>
              <w:pStyle w:val="Body"/>
              <w:spacing w:after="0"/>
              <w:rPr>
                <w:rFonts w:ascii="Arial" w:eastAsia="Calibri" w:hAnsi="Arial" w:cs="Arial"/>
                <w:sz w:val="22"/>
                <w:szCs w:val="22"/>
              </w:rPr>
            </w:pPr>
            <w:r>
              <w:rPr>
                <w:rFonts w:ascii="Arial" w:eastAsia="Calibri" w:hAnsi="Arial" w:cs="Arial"/>
                <w:sz w:val="22"/>
                <w:szCs w:val="22"/>
              </w:rPr>
              <w:t>The research adopts a comparative analytical design, classifying Indian states into low-income and high-income groups based on their Per Capita Net State Domestic Product (NSDP), and comparing sectoral growth patterns within and between these groups.</w:t>
            </w:r>
          </w:p>
          <w:p>
            <w:pPr>
              <w:pStyle w:val="Body"/>
              <w:spacing w:after="0"/>
              <w:rPr>
                <w:rFonts w:ascii="Arial" w:eastAsia="Calibri" w:hAnsi="Arial" w:cs="Arial"/>
                <w:b/>
                <w:bCs/>
                <w:sz w:val="22"/>
                <w:szCs w:val="22"/>
              </w:rPr>
            </w:pPr>
            <w:r>
              <w:rPr>
                <w:rFonts w:ascii="Arial" w:eastAsia="Calibri" w:hAnsi="Arial" w:cs="Arial"/>
                <w:b/>
                <w:bCs/>
                <w:sz w:val="22"/>
                <w:szCs w:val="22"/>
              </w:rPr>
              <w:t>Place and Duration of Study</w:t>
            </w:r>
          </w:p>
          <w:p>
            <w:pPr>
              <w:pStyle w:val="Body"/>
              <w:spacing w:after="0"/>
              <w:rPr>
                <w:rFonts w:ascii="Arial" w:eastAsia="Calibri" w:hAnsi="Arial" w:cs="Arial"/>
                <w:sz w:val="22"/>
                <w:szCs w:val="22"/>
              </w:rPr>
            </w:pPr>
            <w:r>
              <w:rPr>
                <w:rFonts w:ascii="Arial" w:eastAsia="Calibri" w:hAnsi="Arial" w:cs="Arial"/>
                <w:sz w:val="22"/>
                <w:szCs w:val="22"/>
              </w:rPr>
              <w:t xml:space="preserve">The study focuses on all Indian states, grouped by income level, using data collected over the period </w:t>
            </w:r>
            <w:r>
              <w:rPr>
                <w:rFonts w:ascii="Arial" w:eastAsia="Calibri" w:hAnsi="Arial" w:cs="Arial"/>
                <w:b/>
                <w:bCs/>
                <w:sz w:val="22"/>
                <w:szCs w:val="22"/>
              </w:rPr>
              <w:t>2011–12 to 2023–24</w:t>
            </w:r>
            <w:r>
              <w:rPr>
                <w:rFonts w:ascii="Arial" w:eastAsia="Calibri" w:hAnsi="Arial" w:cs="Arial"/>
                <w:sz w:val="22"/>
                <w:szCs w:val="22"/>
              </w:rPr>
              <w:t>.</w:t>
            </w:r>
          </w:p>
          <w:p>
            <w:pPr>
              <w:pStyle w:val="Body"/>
              <w:spacing w:after="0"/>
              <w:rPr>
                <w:rFonts w:ascii="Arial" w:eastAsia="Calibri" w:hAnsi="Arial" w:cs="Arial"/>
                <w:b/>
                <w:bCs/>
                <w:sz w:val="22"/>
                <w:szCs w:val="22"/>
              </w:rPr>
            </w:pPr>
            <w:r>
              <w:rPr>
                <w:rFonts w:ascii="Arial" w:eastAsia="Calibri" w:hAnsi="Arial" w:cs="Arial"/>
                <w:b/>
                <w:bCs/>
                <w:sz w:val="22"/>
                <w:szCs w:val="22"/>
              </w:rPr>
              <w:t>Methodology</w:t>
            </w:r>
          </w:p>
          <w:p>
            <w:pPr>
              <w:pStyle w:val="Body"/>
              <w:spacing w:after="0"/>
              <w:rPr>
                <w:rFonts w:ascii="Arial" w:eastAsia="Calibri" w:hAnsi="Arial" w:cs="Arial"/>
                <w:sz w:val="22"/>
                <w:szCs w:val="22"/>
              </w:rPr>
            </w:pPr>
            <w:r>
              <w:rPr>
                <w:rFonts w:ascii="Arial" w:eastAsia="Calibri" w:hAnsi="Arial" w:cs="Arial"/>
                <w:sz w:val="22"/>
                <w:szCs w:val="22"/>
              </w:rPr>
              <w:t>This study is based entirely on secondary data drawn from official government sources, including the Directorate of Economics &amp; Statistics of individual states and the RBI Handbook on Indian States. Analytical techniques include descriptive statistics, and multiple regression analysis to evaluate sectoral contributions to NDP growth across the two income categories.</w:t>
            </w:r>
          </w:p>
          <w:p>
            <w:pPr>
              <w:pStyle w:val="Body"/>
              <w:spacing w:after="0"/>
              <w:rPr>
                <w:rFonts w:ascii="Arial" w:eastAsia="Calibri" w:hAnsi="Arial" w:cs="Arial"/>
                <w:b/>
                <w:bCs/>
                <w:sz w:val="22"/>
                <w:szCs w:val="22"/>
              </w:rPr>
            </w:pPr>
            <w:r>
              <w:rPr>
                <w:rFonts w:ascii="Arial" w:eastAsia="Calibri" w:hAnsi="Arial" w:cs="Arial"/>
                <w:b/>
                <w:bCs/>
                <w:sz w:val="22"/>
                <w:szCs w:val="22"/>
              </w:rPr>
              <w:t>Results</w:t>
            </w:r>
          </w:p>
          <w:p>
            <w:pPr>
              <w:pStyle w:val="Body"/>
              <w:spacing w:after="0"/>
              <w:rPr>
                <w:rFonts w:ascii="Arial" w:eastAsia="Calibri" w:hAnsi="Arial" w:cs="Arial"/>
                <w:sz w:val="22"/>
                <w:szCs w:val="22"/>
              </w:rPr>
            </w:pPr>
            <w:r>
              <w:rPr>
                <w:rFonts w:ascii="Arial" w:eastAsia="Calibri" w:hAnsi="Arial" w:cs="Arial"/>
                <w:sz w:val="22"/>
                <w:szCs w:val="22"/>
              </w:rPr>
              <w:t>The analysis reveals a distinct divergence in sectoral growth patterns between low- and high-income states. In low-income states, industrial growth is the primary and statistically significant driver of NDP growth, while agriculture has no meaningful contribution and services are underdeveloped. In contrast, high-income states show a service-led growth pattern, with services having the strongest impact on NDP, followed by industry and a modest but significant role of agriculture.</w:t>
            </w:r>
          </w:p>
          <w:p>
            <w:pPr>
              <w:pStyle w:val="Body"/>
              <w:spacing w:after="0"/>
              <w:rPr>
                <w:rFonts w:ascii="Arial" w:eastAsia="Calibri" w:hAnsi="Arial" w:cs="Arial"/>
                <w:b/>
                <w:bCs/>
                <w:sz w:val="22"/>
                <w:szCs w:val="22"/>
              </w:rPr>
            </w:pPr>
            <w:r>
              <w:rPr>
                <w:rFonts w:ascii="Arial" w:eastAsia="Calibri" w:hAnsi="Arial" w:cs="Arial"/>
                <w:b/>
                <w:bCs/>
                <w:sz w:val="22"/>
                <w:szCs w:val="22"/>
              </w:rPr>
              <w:t>Conclusion</w:t>
            </w:r>
          </w:p>
          <w:p>
            <w:pPr>
              <w:pStyle w:val="Body"/>
              <w:spacing w:after="0"/>
              <w:rPr>
                <w:rFonts w:ascii="Arial" w:eastAsia="Calibri" w:hAnsi="Arial" w:cs="Arial"/>
                <w:sz w:val="22"/>
                <w:szCs w:val="22"/>
              </w:rPr>
            </w:pPr>
            <w:r>
              <w:rPr>
                <w:rFonts w:ascii="Arial" w:eastAsia="Calibri" w:hAnsi="Arial" w:cs="Arial"/>
                <w:sz w:val="22"/>
                <w:szCs w:val="22"/>
              </w:rPr>
              <w:t xml:space="preserve">The findings are consistent with classical development theories such as Kuznets’ structural transformation, Hirschman’s industrial linkages, and Myrdal’s cumulative causation. The study underscores the need for region-specific development strategies, particularly those that support </w:t>
            </w:r>
            <w:proofErr w:type="spellStart"/>
            <w:r>
              <w:rPr>
                <w:rFonts w:ascii="Arial" w:eastAsia="Calibri" w:hAnsi="Arial" w:cs="Arial"/>
                <w:sz w:val="22"/>
                <w:szCs w:val="22"/>
              </w:rPr>
              <w:t>industrialisation</w:t>
            </w:r>
            <w:proofErr w:type="spellEnd"/>
            <w:r>
              <w:rPr>
                <w:rFonts w:ascii="Arial" w:eastAsia="Calibri" w:hAnsi="Arial" w:cs="Arial"/>
                <w:sz w:val="22"/>
                <w:szCs w:val="22"/>
              </w:rPr>
              <w:t xml:space="preserve"> and service sector development in low-income states. Such targeted interventions are essential for reducing regional disparities and fostering inclusive, balanced national growth.</w:t>
            </w:r>
          </w:p>
          <w:bookmarkEnd w:id="0"/>
          <w:p>
            <w:pPr>
              <w:pStyle w:val="Body"/>
              <w:spacing w:after="0"/>
              <w:rPr>
                <w:rFonts w:ascii="Arial" w:eastAsia="Calibri" w:hAnsi="Arial" w:cs="Arial"/>
                <w:szCs w:val="22"/>
              </w:rPr>
            </w:pPr>
          </w:p>
        </w:tc>
      </w:tr>
    </w:tbl>
    <w:p>
      <w:pPr>
        <w:spacing w:after="0"/>
        <w:rPr>
          <w:rFonts w:ascii="Times New Roman" w:hAnsi="Times New Roman" w:cs="Times New Roman"/>
          <w:b/>
          <w:bCs/>
        </w:rPr>
      </w:pPr>
    </w:p>
    <w:p>
      <w:pPr>
        <w:spacing w:after="0"/>
        <w:jc w:val="both"/>
        <w:rPr>
          <w:rFonts w:ascii="Times New Roman" w:hAnsi="Times New Roman" w:cs="Times New Roman"/>
          <w:b/>
          <w:bCs/>
        </w:rPr>
      </w:pPr>
      <w:r>
        <w:rPr>
          <w:rFonts w:ascii="Arial" w:hAnsi="Arial" w:cs="Arial"/>
          <w:sz w:val="20"/>
          <w:szCs w:val="20"/>
        </w:rPr>
        <w:t>Keywords:  Inter-state Economic Disparities, Sectoral Growth, Net Domestic Product (NDP), Regional Development</w:t>
      </w:r>
    </w:p>
    <w:p>
      <w:pPr>
        <w:spacing w:after="0"/>
        <w:rPr>
          <w:rFonts w:ascii="Times New Roman" w:hAnsi="Times New Roman" w:cs="Times New Roman"/>
          <w:b/>
          <w:bCs/>
        </w:rPr>
      </w:pPr>
    </w:p>
    <w:p>
      <w:pPr>
        <w:spacing w:after="0"/>
        <w:rPr>
          <w:rFonts w:ascii="Arial" w:hAnsi="Arial" w:cs="Arial"/>
          <w:b/>
          <w:bCs/>
          <w:sz w:val="22"/>
          <w:szCs w:val="22"/>
        </w:rPr>
      </w:pPr>
      <w:r>
        <w:rPr>
          <w:rFonts w:ascii="Arial" w:hAnsi="Arial" w:cs="Arial"/>
          <w:b/>
          <w:bCs/>
          <w:sz w:val="22"/>
          <w:szCs w:val="22"/>
        </w:rPr>
        <w:t>1. INTRODUCTION</w:t>
      </w:r>
    </w:p>
    <w:p>
      <w:pPr>
        <w:spacing w:after="0" w:line="240" w:lineRule="auto"/>
        <w:jc w:val="both"/>
        <w:rPr>
          <w:rFonts w:ascii="Arial" w:hAnsi="Arial" w:cs="Arial"/>
          <w:sz w:val="20"/>
          <w:szCs w:val="20"/>
        </w:rPr>
      </w:pPr>
    </w:p>
    <w:p>
      <w:pPr>
        <w:spacing w:after="0" w:line="240" w:lineRule="auto"/>
        <w:jc w:val="both"/>
        <w:rPr>
          <w:rFonts w:ascii="Arial" w:hAnsi="Arial" w:cs="Arial"/>
          <w:sz w:val="20"/>
          <w:szCs w:val="20"/>
        </w:rPr>
      </w:pPr>
      <w:r>
        <w:rPr>
          <w:rFonts w:ascii="Arial" w:hAnsi="Arial" w:cs="Arial"/>
          <w:sz w:val="20"/>
          <w:szCs w:val="20"/>
        </w:rPr>
        <w:t xml:space="preserve">The growing income gap between Indian states represents a major obstacle to achieving balanced and inclusive economic growth. This disparity negatively influences the overall socio-economic development of the country. Higher inequality tends to suppress national growth by restricting the development potential of lower-income states, while simultaneously enabling higher-income states to grow more </w:t>
      </w:r>
      <w:r>
        <w:rPr>
          <w:rFonts w:ascii="Arial" w:hAnsi="Arial" w:cs="Arial"/>
          <w:sz w:val="20"/>
          <w:szCs w:val="20"/>
        </w:rPr>
        <w:lastRenderedPageBreak/>
        <w:t xml:space="preserve">rapidly through greater accumulation of both physical and human capital (Aghion et al., 1999; </w:t>
      </w:r>
      <w:proofErr w:type="spellStart"/>
      <w:r>
        <w:rPr>
          <w:rFonts w:ascii="Arial" w:hAnsi="Arial" w:cs="Arial"/>
          <w:sz w:val="20"/>
          <w:szCs w:val="20"/>
        </w:rPr>
        <w:t>Galor</w:t>
      </w:r>
      <w:proofErr w:type="spellEnd"/>
      <w:r>
        <w:rPr>
          <w:rFonts w:ascii="Arial" w:hAnsi="Arial" w:cs="Arial"/>
          <w:sz w:val="20"/>
          <w:szCs w:val="20"/>
        </w:rPr>
        <w:t xml:space="preserve"> &amp; </w:t>
      </w:r>
      <w:proofErr w:type="spellStart"/>
      <w:r>
        <w:rPr>
          <w:rFonts w:ascii="Arial" w:hAnsi="Arial" w:cs="Arial"/>
          <w:sz w:val="20"/>
          <w:szCs w:val="20"/>
        </w:rPr>
        <w:t>Moav</w:t>
      </w:r>
      <w:proofErr w:type="spellEnd"/>
      <w:r>
        <w:rPr>
          <w:rFonts w:ascii="Arial" w:hAnsi="Arial" w:cs="Arial"/>
          <w:sz w:val="20"/>
          <w:szCs w:val="20"/>
        </w:rPr>
        <w:t>, 2004).</w:t>
      </w:r>
    </w:p>
    <w:p>
      <w:pPr>
        <w:spacing w:after="0" w:line="240" w:lineRule="auto"/>
        <w:jc w:val="both"/>
        <w:rPr>
          <w:rFonts w:ascii="Arial" w:hAnsi="Arial" w:cs="Arial"/>
          <w:sz w:val="20"/>
          <w:szCs w:val="20"/>
        </w:rPr>
      </w:pPr>
    </w:p>
    <w:p>
      <w:pPr>
        <w:spacing w:after="0" w:line="240" w:lineRule="auto"/>
        <w:jc w:val="both"/>
        <w:rPr>
          <w:rFonts w:ascii="Arial" w:hAnsi="Arial" w:cs="Arial"/>
          <w:sz w:val="20"/>
          <w:szCs w:val="20"/>
        </w:rPr>
      </w:pPr>
      <w:r>
        <w:rPr>
          <w:rFonts w:ascii="Arial" w:hAnsi="Arial" w:cs="Arial"/>
          <w:sz w:val="20"/>
          <w:szCs w:val="20"/>
        </w:rPr>
        <w:t>The widening economic divide between states can be largely attributed to structural differences in their economies. Backward states continue to rely heavily on the agricultural sector, while more advanced states have transitioned towards the secondary and tertiary sectors. For example, in Bihar, agriculture accounts for employment of nearly 70% of the workforce, and around 90% of the population resides in rural areas (</w:t>
      </w:r>
      <w:proofErr w:type="spellStart"/>
      <w:r>
        <w:rPr>
          <w:rFonts w:ascii="Arial" w:hAnsi="Arial" w:cs="Arial"/>
          <w:sz w:val="20"/>
          <w:szCs w:val="20"/>
        </w:rPr>
        <w:t>Tsujita</w:t>
      </w:r>
      <w:proofErr w:type="spellEnd"/>
      <w:r>
        <w:rPr>
          <w:rFonts w:ascii="Arial" w:hAnsi="Arial" w:cs="Arial"/>
          <w:sz w:val="20"/>
          <w:szCs w:val="20"/>
        </w:rPr>
        <w:t xml:space="preserve"> et al., 2010). In contrast, in Goa, only 22% of the population depends on agriculture for their livelihood. Although poverty rates have declined since the economic </w:t>
      </w:r>
      <w:proofErr w:type="spellStart"/>
      <w:r>
        <w:rPr>
          <w:rFonts w:ascii="Arial" w:hAnsi="Arial" w:cs="Arial"/>
          <w:sz w:val="20"/>
          <w:szCs w:val="20"/>
        </w:rPr>
        <w:t>liberalisation</w:t>
      </w:r>
      <w:proofErr w:type="spellEnd"/>
      <w:r>
        <w:rPr>
          <w:rFonts w:ascii="Arial" w:hAnsi="Arial" w:cs="Arial"/>
          <w:sz w:val="20"/>
          <w:szCs w:val="20"/>
        </w:rPr>
        <w:t xml:space="preserve"> reforms initiated in 1991, regional inequality has continued to rise.</w:t>
      </w:r>
    </w:p>
    <w:p>
      <w:pPr>
        <w:spacing w:after="0" w:line="240" w:lineRule="auto"/>
        <w:jc w:val="both"/>
        <w:rPr>
          <w:rFonts w:ascii="Arial" w:hAnsi="Arial" w:cs="Arial"/>
          <w:sz w:val="20"/>
          <w:szCs w:val="20"/>
        </w:rPr>
      </w:pPr>
    </w:p>
    <w:p>
      <w:pPr>
        <w:spacing w:after="0" w:line="240" w:lineRule="auto"/>
        <w:jc w:val="both"/>
        <w:rPr>
          <w:rFonts w:ascii="Arial" w:hAnsi="Arial" w:cs="Arial"/>
          <w:sz w:val="20"/>
          <w:szCs w:val="20"/>
        </w:rPr>
      </w:pPr>
      <w:r>
        <w:rPr>
          <w:rFonts w:ascii="Arial" w:hAnsi="Arial" w:cs="Arial"/>
          <w:sz w:val="20"/>
          <w:szCs w:val="20"/>
        </w:rPr>
        <w:t xml:space="preserve">The pattern of economic development in India has resulted in a clear bifurcation of states into two distinct groups: high-income and low-income states. High-income states such as Gujarat and Maharashtra have developed as major industrial </w:t>
      </w:r>
      <w:proofErr w:type="spellStart"/>
      <w:r>
        <w:rPr>
          <w:rFonts w:ascii="Arial" w:hAnsi="Arial" w:cs="Arial"/>
          <w:sz w:val="20"/>
          <w:szCs w:val="20"/>
        </w:rPr>
        <w:t>centres</w:t>
      </w:r>
      <w:proofErr w:type="spellEnd"/>
      <w:r>
        <w:rPr>
          <w:rFonts w:ascii="Arial" w:hAnsi="Arial" w:cs="Arial"/>
          <w:sz w:val="20"/>
          <w:szCs w:val="20"/>
        </w:rPr>
        <w:t>, while Punjab and Haryana remain leading agricultural producers. Tamil Nadu has made significant progress in the manufacturing sector, and Karnataka has emerged as a hub for finance and information technology. On the other hand, low-income states like Uttar Pradesh, Rajasthan, Madhya Pradesh, Bihar, Jharkhand, and Odisha remain predominantly agriculture-dependent. These states face additional challenges such as natural disasters and low contributions to the national Gross Domestic Product (GDP).</w:t>
      </w:r>
    </w:p>
    <w:p>
      <w:pPr>
        <w:spacing w:after="0" w:line="240" w:lineRule="auto"/>
        <w:jc w:val="both"/>
        <w:rPr>
          <w:rFonts w:ascii="Arial" w:hAnsi="Arial" w:cs="Arial"/>
          <w:sz w:val="20"/>
          <w:szCs w:val="20"/>
        </w:rPr>
      </w:pPr>
    </w:p>
    <w:p>
      <w:pPr>
        <w:spacing w:after="0" w:line="240" w:lineRule="auto"/>
        <w:jc w:val="both"/>
        <w:rPr>
          <w:rFonts w:ascii="Arial" w:hAnsi="Arial" w:cs="Arial"/>
          <w:sz w:val="20"/>
          <w:szCs w:val="20"/>
        </w:rPr>
      </w:pPr>
      <w:r>
        <w:rPr>
          <w:rFonts w:ascii="Arial" w:hAnsi="Arial" w:cs="Arial"/>
          <w:sz w:val="20"/>
          <w:szCs w:val="20"/>
        </w:rPr>
        <w:t>The theoretical underpinnings of these disparities can be traced to Simon Kuznets’ "Inverted U" hypothesis. Kuznets (1955–1963) postulated that in a two-sector economy with initially equal sectoral incomes, a gradual shift of the population from one sector to another would lead to an initial increase in income inequality, followed eventually by a decline. This progression, known as the "Inverted U" or Kuznets Curve, suggests that inequality is a transitional feature of economic development.</w:t>
      </w:r>
    </w:p>
    <w:p>
      <w:pPr>
        <w:spacing w:after="0" w:line="240" w:lineRule="auto"/>
        <w:jc w:val="both"/>
        <w:rPr>
          <w:rFonts w:ascii="Arial" w:hAnsi="Arial" w:cs="Arial"/>
          <w:sz w:val="20"/>
          <w:szCs w:val="20"/>
        </w:rPr>
      </w:pPr>
    </w:p>
    <w:p>
      <w:pPr>
        <w:spacing w:after="0" w:line="240" w:lineRule="auto"/>
        <w:jc w:val="both"/>
        <w:rPr>
          <w:rFonts w:ascii="Arial" w:hAnsi="Arial" w:cs="Arial"/>
          <w:sz w:val="20"/>
          <w:szCs w:val="20"/>
        </w:rPr>
      </w:pPr>
      <w:r>
        <w:rPr>
          <w:rFonts w:ascii="Arial" w:hAnsi="Arial" w:cs="Arial"/>
          <w:sz w:val="20"/>
          <w:szCs w:val="20"/>
        </w:rPr>
        <w:t>Additionally, regional economic trends have been examined through the lens of the "convergence hypothesis," rooted in the endogenous growth theories developed by Romer (1986–1993) and Lucas (1988). According to this hypothesis, income disparities between regions are expected to diminish over time, provided they share similar technologies, consumer preferences, and population growth rates. However, more recent theoretical developments and empirical evidence indicate a trend towards increasing divergence in income levels across states, rather than convergence.</w:t>
      </w:r>
    </w:p>
    <w:p>
      <w:pPr>
        <w:spacing w:after="0" w:line="240" w:lineRule="auto"/>
        <w:jc w:val="both"/>
        <w:rPr>
          <w:rFonts w:ascii="Arial" w:hAnsi="Arial" w:cs="Arial"/>
          <w:sz w:val="20"/>
          <w:szCs w:val="20"/>
        </w:rPr>
      </w:pPr>
    </w:p>
    <w:p>
      <w:pPr>
        <w:spacing w:after="0" w:line="240" w:lineRule="auto"/>
        <w:jc w:val="both"/>
        <w:rPr>
          <w:rFonts w:ascii="Arial" w:hAnsi="Arial" w:cs="Arial"/>
          <w:sz w:val="20"/>
          <w:szCs w:val="20"/>
        </w:rPr>
      </w:pPr>
      <w:r>
        <w:rPr>
          <w:rFonts w:ascii="Arial" w:hAnsi="Arial" w:cs="Arial"/>
          <w:sz w:val="20"/>
          <w:szCs w:val="20"/>
        </w:rPr>
        <w:t xml:space="preserve">India has undergone substantial structural transformation over the decades, evolving from an agrarian economy into one dominated by the service sector. In the 1970s, agriculture was the principal contributor to India’s GDP and the primary source of employment. However, by the 1990s, the services sector had taken the lead, driven by the forces of </w:t>
      </w:r>
      <w:proofErr w:type="spellStart"/>
      <w:r>
        <w:rPr>
          <w:rFonts w:ascii="Arial" w:hAnsi="Arial" w:cs="Arial"/>
          <w:sz w:val="20"/>
          <w:szCs w:val="20"/>
        </w:rPr>
        <w:t>liberalisation</w:t>
      </w:r>
      <w:proofErr w:type="spellEnd"/>
      <w:r>
        <w:rPr>
          <w:rFonts w:ascii="Arial" w:hAnsi="Arial" w:cs="Arial"/>
          <w:sz w:val="20"/>
          <w:szCs w:val="20"/>
        </w:rPr>
        <w:t xml:space="preserve">, </w:t>
      </w:r>
      <w:proofErr w:type="spellStart"/>
      <w:r>
        <w:rPr>
          <w:rFonts w:ascii="Arial" w:hAnsi="Arial" w:cs="Arial"/>
          <w:sz w:val="20"/>
          <w:szCs w:val="20"/>
        </w:rPr>
        <w:t>globalisation</w:t>
      </w:r>
      <w:proofErr w:type="spellEnd"/>
      <w:r>
        <w:rPr>
          <w:rFonts w:ascii="Arial" w:hAnsi="Arial" w:cs="Arial"/>
          <w:sz w:val="20"/>
          <w:szCs w:val="20"/>
        </w:rPr>
        <w:t>, and rapid technological advancement.</w:t>
      </w:r>
    </w:p>
    <w:p>
      <w:pPr>
        <w:spacing w:after="0" w:line="240" w:lineRule="auto"/>
        <w:jc w:val="both"/>
        <w:rPr>
          <w:rFonts w:ascii="Arial" w:hAnsi="Arial" w:cs="Arial"/>
          <w:sz w:val="20"/>
          <w:szCs w:val="20"/>
        </w:rPr>
      </w:pPr>
      <w:r>
        <w:rPr>
          <w:rFonts w:ascii="Arial" w:hAnsi="Arial" w:cs="Arial"/>
          <w:sz w:val="20"/>
          <w:szCs w:val="20"/>
        </w:rPr>
        <w:t xml:space="preserve">Despite economic growth, interstate inequality continues to pose a significant concern for policymakers. Before independence, sharp infrastructural gaps between urban and rural areas contributed to uneven regional development. Post-independence, India’s Five-Year Plans have consistently </w:t>
      </w:r>
      <w:proofErr w:type="spellStart"/>
      <w:r>
        <w:rPr>
          <w:rFonts w:ascii="Arial" w:hAnsi="Arial" w:cs="Arial"/>
          <w:sz w:val="20"/>
          <w:szCs w:val="20"/>
        </w:rPr>
        <w:t>emphasised</w:t>
      </w:r>
      <w:proofErr w:type="spellEnd"/>
      <w:r>
        <w:rPr>
          <w:rFonts w:ascii="Arial" w:hAnsi="Arial" w:cs="Arial"/>
          <w:sz w:val="20"/>
          <w:szCs w:val="20"/>
        </w:rPr>
        <w:t xml:space="preserve"> the reduction of such disparities, yet they persist to this day.</w:t>
      </w:r>
    </w:p>
    <w:p>
      <w:pPr>
        <w:spacing w:after="0" w:line="240" w:lineRule="auto"/>
        <w:jc w:val="both"/>
        <w:rPr>
          <w:rFonts w:ascii="Arial" w:hAnsi="Arial" w:cs="Arial"/>
          <w:sz w:val="20"/>
          <w:szCs w:val="20"/>
        </w:rPr>
      </w:pPr>
    </w:p>
    <w:p>
      <w:pPr>
        <w:spacing w:after="0" w:line="240" w:lineRule="auto"/>
        <w:jc w:val="both"/>
        <w:rPr>
          <w:rFonts w:ascii="Arial" w:hAnsi="Arial" w:cs="Arial"/>
          <w:sz w:val="20"/>
          <w:szCs w:val="20"/>
        </w:rPr>
      </w:pPr>
      <w:r>
        <w:rPr>
          <w:rFonts w:ascii="Arial" w:hAnsi="Arial" w:cs="Arial"/>
          <w:sz w:val="20"/>
          <w:szCs w:val="20"/>
        </w:rPr>
        <w:t xml:space="preserve">The present study aims to </w:t>
      </w:r>
      <w:proofErr w:type="spellStart"/>
      <w:r>
        <w:rPr>
          <w:rFonts w:ascii="Arial" w:hAnsi="Arial" w:cs="Arial"/>
          <w:sz w:val="20"/>
          <w:szCs w:val="20"/>
        </w:rPr>
        <w:t>analyse</w:t>
      </w:r>
      <w:proofErr w:type="spellEnd"/>
      <w:r>
        <w:rPr>
          <w:rFonts w:ascii="Arial" w:hAnsi="Arial" w:cs="Arial"/>
          <w:sz w:val="20"/>
          <w:szCs w:val="20"/>
        </w:rPr>
        <w:t xml:space="preserve"> the economic growth disparities across 28 Indian states by broadly </w:t>
      </w:r>
      <w:proofErr w:type="spellStart"/>
      <w:r>
        <w:rPr>
          <w:rFonts w:ascii="Arial" w:hAnsi="Arial" w:cs="Arial"/>
          <w:sz w:val="20"/>
          <w:szCs w:val="20"/>
        </w:rPr>
        <w:t>categorising</w:t>
      </w:r>
      <w:proofErr w:type="spellEnd"/>
      <w:r>
        <w:rPr>
          <w:rFonts w:ascii="Arial" w:hAnsi="Arial" w:cs="Arial"/>
          <w:sz w:val="20"/>
          <w:szCs w:val="20"/>
        </w:rPr>
        <w:t xml:space="preserve"> them into high-income and low-income groups based on per capita Net State Domestic Product (NSDP). It further evaluates their relative economic performance across three major sectors—agriculture, industry, and services—in order to identify structural constraints and policy priorities for reducing regional imbalances and promoting more inclusive growth.</w:t>
      </w:r>
    </w:p>
    <w:p>
      <w:pPr>
        <w:spacing w:after="0" w:line="240" w:lineRule="auto"/>
        <w:jc w:val="both"/>
        <w:rPr>
          <w:rFonts w:ascii="Arial" w:hAnsi="Arial" w:cs="Arial"/>
          <w:sz w:val="20"/>
          <w:szCs w:val="20"/>
        </w:rPr>
      </w:pPr>
    </w:p>
    <w:p>
      <w:pPr>
        <w:spacing w:after="0" w:line="276" w:lineRule="auto"/>
        <w:jc w:val="both"/>
        <w:rPr>
          <w:rFonts w:ascii="Arial" w:hAnsi="Arial" w:cs="Arial"/>
          <w:b/>
          <w:bCs/>
          <w:sz w:val="20"/>
          <w:szCs w:val="20"/>
        </w:rPr>
      </w:pPr>
      <w:r>
        <w:rPr>
          <w:rFonts w:ascii="Arial" w:hAnsi="Arial" w:cs="Arial"/>
          <w:b/>
          <w:bCs/>
          <w:sz w:val="20"/>
          <w:szCs w:val="20"/>
        </w:rPr>
        <w:t>2. MATERIAL AND METHODS</w:t>
      </w:r>
    </w:p>
    <w:p>
      <w:pPr>
        <w:spacing w:after="0" w:line="276" w:lineRule="auto"/>
        <w:jc w:val="both"/>
        <w:rPr>
          <w:rFonts w:ascii="Arial" w:hAnsi="Arial" w:cs="Arial"/>
          <w:b/>
          <w:bCs/>
          <w:sz w:val="20"/>
          <w:szCs w:val="20"/>
        </w:rPr>
      </w:pPr>
      <w:r>
        <w:rPr>
          <w:rFonts w:ascii="Arial" w:hAnsi="Arial" w:cs="Arial"/>
          <w:b/>
          <w:bCs/>
          <w:sz w:val="20"/>
          <w:szCs w:val="20"/>
        </w:rPr>
        <w:t>2.1 Research Problem</w:t>
      </w:r>
    </w:p>
    <w:p>
      <w:pPr>
        <w:spacing w:after="0" w:line="240" w:lineRule="auto"/>
        <w:jc w:val="both"/>
        <w:rPr>
          <w:rFonts w:ascii="Arial" w:hAnsi="Arial" w:cs="Arial"/>
          <w:sz w:val="20"/>
          <w:szCs w:val="20"/>
        </w:rPr>
      </w:pPr>
      <w:r>
        <w:rPr>
          <w:rFonts w:ascii="Arial" w:hAnsi="Arial" w:cs="Arial"/>
          <w:sz w:val="20"/>
          <w:szCs w:val="20"/>
        </w:rPr>
        <w:t>India’s economic trajectory over recent decades has been marked by overall national growth; however, this growth has not been evenly distributed across its states. A persistent and growing disparity in economic performance has emerged between high-income and low-income states. High-income states have advanced at a significantly faster pace, contributing disproportionately to the country’s Gross Domestic Product (GDP), while low-income states have lagged, leading to a shrinking share in national output. This widening economic divide poses serious concerns for regional development, income distribution, and long-term national cohesion.</w:t>
      </w:r>
    </w:p>
    <w:p>
      <w:pPr>
        <w:spacing w:after="0" w:line="240" w:lineRule="auto"/>
        <w:jc w:val="both"/>
        <w:rPr>
          <w:rFonts w:ascii="Arial" w:hAnsi="Arial" w:cs="Arial"/>
          <w:sz w:val="20"/>
          <w:szCs w:val="20"/>
        </w:rPr>
      </w:pPr>
    </w:p>
    <w:p>
      <w:pPr>
        <w:spacing w:after="0" w:line="240" w:lineRule="auto"/>
        <w:jc w:val="both"/>
        <w:rPr>
          <w:rFonts w:ascii="Arial" w:hAnsi="Arial" w:cs="Arial"/>
          <w:sz w:val="20"/>
          <w:szCs w:val="20"/>
        </w:rPr>
      </w:pPr>
      <w:r>
        <w:rPr>
          <w:rFonts w:ascii="Arial" w:hAnsi="Arial" w:cs="Arial"/>
          <w:sz w:val="20"/>
          <w:szCs w:val="20"/>
        </w:rPr>
        <w:lastRenderedPageBreak/>
        <w:t>A case in point is the economic reversal between West Bengal and Karnataka. In 1981, West Bengal’s per capita income was approximately 16% higher than Karnataka’s, suggesting a relatively balanced economic position between the two. However, by 2021, Karnataka’s per capita income had surged to 111% higher than that of West Bengal. This dramatic shift illustrates not only Karnataka’s economic transformation into one of India’s leading high-income states, but also the deepening economic gulf between states, entrenching socio-economic inequalities.</w:t>
      </w:r>
    </w:p>
    <w:p>
      <w:pPr>
        <w:spacing w:after="0" w:line="240" w:lineRule="auto"/>
        <w:jc w:val="both"/>
        <w:rPr>
          <w:rFonts w:ascii="Arial" w:hAnsi="Arial" w:cs="Arial"/>
          <w:sz w:val="20"/>
          <w:szCs w:val="20"/>
        </w:rPr>
      </w:pPr>
    </w:p>
    <w:p>
      <w:pPr>
        <w:spacing w:after="0" w:line="240" w:lineRule="auto"/>
        <w:jc w:val="both"/>
        <w:rPr>
          <w:rFonts w:ascii="Times New Roman" w:hAnsi="Times New Roman" w:cs="Times New Roman"/>
        </w:rPr>
      </w:pPr>
      <w:r>
        <w:rPr>
          <w:rFonts w:ascii="Arial" w:hAnsi="Arial" w:cs="Arial"/>
          <w:sz w:val="20"/>
          <w:szCs w:val="20"/>
        </w:rPr>
        <w:t>Against this backdrop, the present study seeks to explore the structural and sectoral factors underlying these inter-state disparities. The research intends to generate insights that can inform policy frameworks aimed at promoting balanced regional development. It aspires to shed light on the unique challenges confronting low-income states and to propose evidence-based strategies to narrow the inter-state income divide.</w:t>
      </w:r>
    </w:p>
    <w:p>
      <w:pPr>
        <w:spacing w:after="0" w:line="276" w:lineRule="auto"/>
        <w:jc w:val="both"/>
        <w:rPr>
          <w:rFonts w:ascii="Arial" w:hAnsi="Arial" w:cs="Arial"/>
          <w:b/>
          <w:bCs/>
          <w:sz w:val="22"/>
          <w:szCs w:val="22"/>
        </w:rPr>
      </w:pPr>
      <w:r>
        <w:rPr>
          <w:rFonts w:ascii="Arial" w:hAnsi="Arial" w:cs="Arial"/>
          <w:b/>
          <w:bCs/>
          <w:sz w:val="22"/>
          <w:szCs w:val="22"/>
        </w:rPr>
        <w:t>2.2 Objectives of the Study</w:t>
      </w:r>
    </w:p>
    <w:p>
      <w:pPr>
        <w:numPr>
          <w:ilvl w:val="0"/>
          <w:numId w:val="1"/>
        </w:numPr>
        <w:spacing w:after="0" w:line="240" w:lineRule="auto"/>
        <w:jc w:val="both"/>
        <w:rPr>
          <w:rFonts w:ascii="Arial" w:hAnsi="Arial" w:cs="Arial"/>
          <w:sz w:val="20"/>
          <w:szCs w:val="20"/>
        </w:rPr>
      </w:pPr>
      <w:r>
        <w:rPr>
          <w:rFonts w:ascii="Arial" w:hAnsi="Arial" w:cs="Arial"/>
          <w:sz w:val="20"/>
          <w:szCs w:val="20"/>
        </w:rPr>
        <w:t>To classify Indian states into low-income and high-income groups based on their Per Capita Net State Domestic Product (Per Capita NSDP) and to evaluate the overall growth performance of these categories.</w:t>
      </w:r>
    </w:p>
    <w:p>
      <w:pPr>
        <w:numPr>
          <w:ilvl w:val="0"/>
          <w:numId w:val="1"/>
        </w:numPr>
        <w:spacing w:after="0" w:line="240" w:lineRule="auto"/>
        <w:jc w:val="both"/>
        <w:rPr>
          <w:rFonts w:ascii="Arial" w:hAnsi="Arial" w:cs="Arial"/>
          <w:sz w:val="20"/>
          <w:szCs w:val="20"/>
        </w:rPr>
      </w:pPr>
      <w:r>
        <w:rPr>
          <w:rFonts w:ascii="Arial" w:hAnsi="Arial" w:cs="Arial"/>
          <w:sz w:val="20"/>
          <w:szCs w:val="20"/>
        </w:rPr>
        <w:t xml:space="preserve">To </w:t>
      </w:r>
      <w:proofErr w:type="spellStart"/>
      <w:r>
        <w:rPr>
          <w:rFonts w:ascii="Arial" w:hAnsi="Arial" w:cs="Arial"/>
          <w:sz w:val="20"/>
          <w:szCs w:val="20"/>
        </w:rPr>
        <w:t>analyse</w:t>
      </w:r>
      <w:proofErr w:type="spellEnd"/>
      <w:r>
        <w:rPr>
          <w:rFonts w:ascii="Arial" w:hAnsi="Arial" w:cs="Arial"/>
          <w:sz w:val="20"/>
          <w:szCs w:val="20"/>
        </w:rPr>
        <w:t xml:space="preserve"> the sectoral development patterns—in agriculture, industry, and services—of both low-income and high-income states over a defined period.</w:t>
      </w:r>
    </w:p>
    <w:p>
      <w:pPr>
        <w:numPr>
          <w:ilvl w:val="0"/>
          <w:numId w:val="1"/>
        </w:numPr>
        <w:spacing w:after="0" w:line="240" w:lineRule="auto"/>
        <w:jc w:val="both"/>
        <w:rPr>
          <w:rFonts w:ascii="Arial" w:hAnsi="Arial" w:cs="Arial"/>
          <w:sz w:val="20"/>
          <w:szCs w:val="20"/>
        </w:rPr>
      </w:pPr>
      <w:r>
        <w:rPr>
          <w:rFonts w:ascii="Arial" w:hAnsi="Arial" w:cs="Arial"/>
          <w:sz w:val="20"/>
          <w:szCs w:val="20"/>
        </w:rPr>
        <w:t>To compare growth rates across sectors and income groups, assessing whether high-income states have experienced faster growth in agriculture, industry, services, and NSDP relative to low-income states.</w:t>
      </w:r>
    </w:p>
    <w:p>
      <w:pPr>
        <w:spacing w:after="0" w:line="240" w:lineRule="auto"/>
        <w:ind w:left="720"/>
        <w:jc w:val="both"/>
        <w:rPr>
          <w:rFonts w:ascii="Arial" w:hAnsi="Arial" w:cs="Arial"/>
          <w:sz w:val="20"/>
          <w:szCs w:val="20"/>
        </w:rPr>
      </w:pPr>
    </w:p>
    <w:p>
      <w:pPr>
        <w:spacing w:after="0" w:line="276" w:lineRule="auto"/>
        <w:jc w:val="both"/>
        <w:rPr>
          <w:rFonts w:ascii="Arial" w:hAnsi="Arial" w:cs="Arial"/>
          <w:b/>
          <w:bCs/>
          <w:sz w:val="22"/>
          <w:szCs w:val="22"/>
        </w:rPr>
      </w:pPr>
      <w:r>
        <w:rPr>
          <w:rFonts w:ascii="Arial" w:hAnsi="Arial" w:cs="Arial"/>
          <w:b/>
          <w:bCs/>
          <w:sz w:val="22"/>
          <w:szCs w:val="22"/>
        </w:rPr>
        <w:t>2.3 Methodology</w:t>
      </w:r>
    </w:p>
    <w:p>
      <w:pPr>
        <w:spacing w:after="0" w:line="240" w:lineRule="auto"/>
        <w:jc w:val="both"/>
        <w:rPr>
          <w:rFonts w:ascii="Arial" w:hAnsi="Arial" w:cs="Arial"/>
          <w:sz w:val="20"/>
          <w:szCs w:val="20"/>
        </w:rPr>
      </w:pPr>
      <w:r>
        <w:rPr>
          <w:rFonts w:ascii="Arial" w:hAnsi="Arial" w:cs="Arial"/>
          <w:sz w:val="20"/>
          <w:szCs w:val="20"/>
        </w:rPr>
        <w:t xml:space="preserve">This study relies entirely on secondary data sourced from a variety of credible sources, including academic articles, peer-reviewed journals, research papers, and official government websites. This data collection serves the dual purpose of providing a comprehensive overview of the research problem and laying a strong theoretical foundation for the subsequent analysis. Specifically, the study </w:t>
      </w:r>
      <w:proofErr w:type="spellStart"/>
      <w:r>
        <w:rPr>
          <w:rFonts w:ascii="Arial" w:hAnsi="Arial" w:cs="Arial"/>
          <w:sz w:val="20"/>
          <w:szCs w:val="20"/>
        </w:rPr>
        <w:t>utilises</w:t>
      </w:r>
      <w:proofErr w:type="spellEnd"/>
      <w:r>
        <w:rPr>
          <w:rFonts w:ascii="Arial" w:hAnsi="Arial" w:cs="Arial"/>
          <w:sz w:val="20"/>
          <w:szCs w:val="20"/>
        </w:rPr>
        <w:t xml:space="preserve"> Net State Domestic Product (NSDP) data and Per Capita Net State Domestic Product (Per capita NSDP) sourced directly from the "Directorate of Economics &amp; Statistics" of each respective state government. Furthermore, to gain insight into sectoral contributions, the study incorporates Net Value Added (NVA) data for agriculture, industry, and the service sectors, obtained from the reputable "RBI Handbook on Indian States". This comprehensive dataset forms the strong foundation for the subsequent analysis, enabling rigorous statistical inferences through the application of appropriate statistical techniques such as Descriptive statistics and Regression analysis.</w:t>
      </w:r>
    </w:p>
    <w:p>
      <w:pPr>
        <w:spacing w:after="0" w:line="276" w:lineRule="auto"/>
        <w:jc w:val="both"/>
        <w:rPr>
          <w:rFonts w:ascii="Arial" w:hAnsi="Arial" w:cs="Arial"/>
          <w:sz w:val="20"/>
          <w:szCs w:val="20"/>
        </w:rPr>
      </w:pPr>
    </w:p>
    <w:p>
      <w:pPr>
        <w:spacing w:after="0" w:line="276" w:lineRule="auto"/>
        <w:jc w:val="both"/>
        <w:rPr>
          <w:rFonts w:ascii="Arial" w:hAnsi="Arial" w:cs="Arial"/>
          <w:b/>
          <w:bCs/>
          <w:sz w:val="22"/>
          <w:szCs w:val="22"/>
        </w:rPr>
      </w:pPr>
      <w:r>
        <w:rPr>
          <w:rFonts w:ascii="Arial" w:hAnsi="Arial" w:cs="Arial"/>
          <w:b/>
          <w:bCs/>
          <w:sz w:val="22"/>
          <w:szCs w:val="22"/>
        </w:rPr>
        <w:t>2.4 Hypotheses of the Study</w:t>
      </w:r>
    </w:p>
    <w:p>
      <w:pPr>
        <w:spacing w:after="0" w:line="240" w:lineRule="auto"/>
        <w:ind w:left="720" w:hanging="360"/>
        <w:jc w:val="both"/>
        <w:rPr>
          <w:rFonts w:ascii="Arial" w:hAnsi="Arial" w:cs="Arial"/>
          <w:sz w:val="20"/>
          <w:szCs w:val="20"/>
        </w:rPr>
      </w:pPr>
      <w:r>
        <w:rPr>
          <w:rFonts w:ascii="Arial" w:hAnsi="Arial" w:cs="Arial"/>
          <w:b/>
          <w:bCs/>
          <w:sz w:val="20"/>
          <w:szCs w:val="20"/>
        </w:rPr>
        <w:t>1</w:t>
      </w:r>
      <w:r>
        <w:rPr>
          <w:rFonts w:ascii="Arial" w:hAnsi="Arial" w:cs="Arial"/>
          <w:sz w:val="20"/>
          <w:szCs w:val="20"/>
        </w:rPr>
        <w:t>. H</w:t>
      </w:r>
      <w:r>
        <w:rPr>
          <w:rFonts w:ascii="Cambria Math" w:hAnsi="Cambria Math" w:cs="Cambria Math"/>
          <w:sz w:val="20"/>
          <w:szCs w:val="20"/>
        </w:rPr>
        <w:t>₁</w:t>
      </w:r>
      <w:r>
        <w:rPr>
          <w:rFonts w:ascii="Arial" w:hAnsi="Arial" w:cs="Arial"/>
          <w:sz w:val="20"/>
          <w:szCs w:val="20"/>
        </w:rPr>
        <w:t>: There is a statistically significant difference in the growth rate of per capita Net State Domestic Product (NSDP) between low-income and high-income states in India.</w:t>
      </w:r>
    </w:p>
    <w:p>
      <w:pPr>
        <w:pStyle w:val="ListParagraph"/>
        <w:numPr>
          <w:ilvl w:val="0"/>
          <w:numId w:val="21"/>
        </w:numPr>
        <w:spacing w:after="0" w:line="240" w:lineRule="auto"/>
        <w:jc w:val="both"/>
        <w:rPr>
          <w:rFonts w:ascii="Arial" w:hAnsi="Arial" w:cs="Arial"/>
          <w:sz w:val="20"/>
          <w:szCs w:val="20"/>
        </w:rPr>
      </w:pPr>
      <w:r>
        <w:rPr>
          <w:rFonts w:ascii="Arial" w:hAnsi="Arial" w:cs="Arial"/>
          <w:sz w:val="20"/>
          <w:szCs w:val="20"/>
        </w:rPr>
        <w:t>H</w:t>
      </w:r>
      <w:r>
        <w:rPr>
          <w:rFonts w:ascii="Cambria Math" w:hAnsi="Cambria Math" w:cs="Cambria Math"/>
          <w:sz w:val="20"/>
          <w:szCs w:val="20"/>
        </w:rPr>
        <w:t>₂</w:t>
      </w:r>
      <w:r>
        <w:rPr>
          <w:rFonts w:ascii="Arial" w:hAnsi="Arial" w:cs="Arial"/>
          <w:sz w:val="20"/>
          <w:szCs w:val="20"/>
        </w:rPr>
        <w:t>: There is a statistically significant difference in agricultural sector growth rates between low-income and high-income states.</w:t>
      </w:r>
    </w:p>
    <w:p>
      <w:pPr>
        <w:pStyle w:val="ListParagraph"/>
        <w:numPr>
          <w:ilvl w:val="0"/>
          <w:numId w:val="21"/>
        </w:numPr>
        <w:spacing w:after="0" w:line="240" w:lineRule="auto"/>
        <w:jc w:val="both"/>
        <w:rPr>
          <w:rFonts w:ascii="Arial" w:hAnsi="Arial" w:cs="Arial"/>
          <w:sz w:val="20"/>
          <w:szCs w:val="20"/>
        </w:rPr>
      </w:pPr>
      <w:r>
        <w:rPr>
          <w:rFonts w:ascii="Arial" w:hAnsi="Arial" w:cs="Arial"/>
          <w:sz w:val="20"/>
          <w:szCs w:val="20"/>
        </w:rPr>
        <w:t>H</w:t>
      </w:r>
      <w:r>
        <w:rPr>
          <w:rFonts w:ascii="Cambria Math" w:hAnsi="Cambria Math" w:cs="Cambria Math"/>
          <w:sz w:val="20"/>
          <w:szCs w:val="20"/>
        </w:rPr>
        <w:t>₃</w:t>
      </w:r>
      <w:r>
        <w:rPr>
          <w:rFonts w:ascii="Arial" w:hAnsi="Arial" w:cs="Arial"/>
          <w:sz w:val="20"/>
          <w:szCs w:val="20"/>
        </w:rPr>
        <w:t>: There is a statistically significant difference in industrial sector growth rates between low-income and high-income states.</w:t>
      </w:r>
    </w:p>
    <w:p>
      <w:pPr>
        <w:numPr>
          <w:ilvl w:val="0"/>
          <w:numId w:val="21"/>
        </w:numPr>
        <w:spacing w:after="0" w:line="240" w:lineRule="auto"/>
        <w:jc w:val="both"/>
        <w:rPr>
          <w:rFonts w:ascii="Arial" w:hAnsi="Arial" w:cs="Arial"/>
          <w:sz w:val="20"/>
          <w:szCs w:val="20"/>
        </w:rPr>
      </w:pPr>
      <w:r>
        <w:rPr>
          <w:rFonts w:ascii="Arial" w:hAnsi="Arial" w:cs="Arial"/>
          <w:sz w:val="20"/>
          <w:szCs w:val="20"/>
        </w:rPr>
        <w:t>H</w:t>
      </w:r>
      <w:r>
        <w:rPr>
          <w:rFonts w:ascii="Cambria Math" w:hAnsi="Cambria Math" w:cs="Cambria Math"/>
          <w:sz w:val="20"/>
          <w:szCs w:val="20"/>
        </w:rPr>
        <w:t>₄</w:t>
      </w:r>
      <w:r>
        <w:rPr>
          <w:rFonts w:ascii="Arial" w:hAnsi="Arial" w:cs="Arial"/>
          <w:sz w:val="20"/>
          <w:szCs w:val="20"/>
        </w:rPr>
        <w:t>: There is a statistically significant difference in service sector growth rates between low-income and high-income states.</w:t>
      </w:r>
    </w:p>
    <w:p>
      <w:pPr>
        <w:spacing w:after="0" w:line="276" w:lineRule="auto"/>
        <w:ind w:left="720"/>
        <w:jc w:val="both"/>
        <w:rPr>
          <w:rFonts w:ascii="Arial" w:hAnsi="Arial" w:cs="Arial"/>
          <w:sz w:val="20"/>
          <w:szCs w:val="20"/>
        </w:rPr>
      </w:pPr>
    </w:p>
    <w:p>
      <w:pPr>
        <w:spacing w:after="0" w:line="276" w:lineRule="auto"/>
        <w:jc w:val="both"/>
        <w:rPr>
          <w:rFonts w:ascii="Times New Roman" w:hAnsi="Times New Roman" w:cs="Times New Roman"/>
          <w:b/>
          <w:bCs/>
        </w:rPr>
      </w:pPr>
      <w:r>
        <w:rPr>
          <w:rFonts w:ascii="Arial" w:hAnsi="Arial" w:cs="Arial"/>
          <w:b/>
          <w:bCs/>
          <w:sz w:val="22"/>
          <w:szCs w:val="22"/>
        </w:rPr>
        <w:t>3. RESULTS AND DISCUSSION</w:t>
      </w:r>
    </w:p>
    <w:p>
      <w:pPr>
        <w:spacing w:after="0" w:line="276" w:lineRule="auto"/>
        <w:jc w:val="both"/>
        <w:rPr>
          <w:rFonts w:ascii="Arial" w:hAnsi="Arial" w:cs="Arial"/>
          <w:b/>
          <w:bCs/>
          <w:sz w:val="22"/>
          <w:szCs w:val="22"/>
        </w:rPr>
      </w:pPr>
      <w:r>
        <w:rPr>
          <w:rFonts w:ascii="Arial" w:hAnsi="Arial" w:cs="Arial"/>
          <w:b/>
          <w:bCs/>
          <w:sz w:val="22"/>
          <w:szCs w:val="22"/>
        </w:rPr>
        <w:t>3.1 Classification of Indian States by Income Categories</w:t>
      </w:r>
    </w:p>
    <w:p>
      <w:pPr>
        <w:spacing w:after="0" w:line="240" w:lineRule="auto"/>
        <w:jc w:val="both"/>
        <w:rPr>
          <w:rFonts w:ascii="Arial" w:hAnsi="Arial" w:cs="Arial"/>
          <w:sz w:val="20"/>
          <w:szCs w:val="20"/>
        </w:rPr>
      </w:pPr>
      <w:r>
        <w:rPr>
          <w:rFonts w:ascii="Arial" w:hAnsi="Arial" w:cs="Arial"/>
          <w:sz w:val="20"/>
          <w:szCs w:val="20"/>
        </w:rPr>
        <w:t>Table 1 illustrates the average per capita Net State Domestic Product (NSDP) across all 28 Indian states, calculated at constant prices with 2011–12 as the base year. This indicator represents the average income generated per person within a state during a given period, offering a clear snapshot of regional economic performance. It serves as a critical tool for assessing income disparities and enables the classification of states into higher-income and lower-income groups, based on whether their per capita NSDP exceeds or falls below the national average benchmark of ₹1,15,512. This classification underpins the subsequent analysis of sectoral growth patterns and regional development trajectories across India.</w:t>
      </w:r>
    </w:p>
    <w:p>
      <w:pPr>
        <w:spacing w:after="0" w:line="240" w:lineRule="auto"/>
        <w:jc w:val="both"/>
        <w:rPr>
          <w:rFonts w:ascii="Times New Roman" w:hAnsi="Times New Roman" w:cs="Times New Roman"/>
        </w:rPr>
      </w:pPr>
    </w:p>
    <w:p>
      <w:pPr>
        <w:spacing w:after="0" w:line="240" w:lineRule="auto"/>
        <w:jc w:val="center"/>
        <w:rPr>
          <w:rFonts w:ascii="Arial" w:hAnsi="Arial" w:cs="Arial"/>
          <w:b/>
          <w:bCs/>
          <w:sz w:val="20"/>
          <w:szCs w:val="20"/>
        </w:rPr>
      </w:pPr>
    </w:p>
    <w:p>
      <w:pPr>
        <w:spacing w:after="0" w:line="240" w:lineRule="auto"/>
        <w:jc w:val="center"/>
        <w:rPr>
          <w:rFonts w:ascii="Arial" w:hAnsi="Arial" w:cs="Arial"/>
          <w:b/>
          <w:bCs/>
          <w:sz w:val="20"/>
          <w:szCs w:val="20"/>
        </w:rPr>
      </w:pPr>
    </w:p>
    <w:p>
      <w:pPr>
        <w:spacing w:after="0" w:line="240" w:lineRule="auto"/>
        <w:jc w:val="center"/>
        <w:rPr>
          <w:rFonts w:ascii="Arial" w:hAnsi="Arial" w:cs="Arial"/>
          <w:b/>
          <w:bCs/>
          <w:sz w:val="20"/>
          <w:szCs w:val="20"/>
        </w:rPr>
      </w:pPr>
      <w:r>
        <w:rPr>
          <w:rFonts w:ascii="Arial" w:hAnsi="Arial" w:cs="Arial"/>
          <w:b/>
          <w:bCs/>
          <w:sz w:val="20"/>
          <w:szCs w:val="20"/>
        </w:rPr>
        <w:lastRenderedPageBreak/>
        <w:t>Table 1. Per Capita NSDP at Constant Prices (Rs) in 2022-23</w:t>
      </w:r>
    </w:p>
    <w:p>
      <w:pPr>
        <w:spacing w:after="0" w:line="240" w:lineRule="auto"/>
        <w:jc w:val="center"/>
        <w:rPr>
          <w:rFonts w:ascii="Arial" w:hAnsi="Arial" w:cs="Arial"/>
          <w:b/>
          <w:bCs/>
          <w:sz w:val="20"/>
          <w:szCs w:val="20"/>
        </w:rPr>
      </w:pPr>
    </w:p>
    <w:tbl>
      <w:tblPr>
        <w:tblW w:w="8194" w:type="dxa"/>
        <w:jc w:val="center"/>
        <w:tblLook w:val="04A0" w:firstRow="1" w:lastRow="0" w:firstColumn="1" w:lastColumn="0" w:noHBand="0" w:noVBand="1"/>
      </w:tblPr>
      <w:tblGrid>
        <w:gridCol w:w="2785"/>
        <w:gridCol w:w="1595"/>
        <w:gridCol w:w="2275"/>
        <w:gridCol w:w="1539"/>
      </w:tblGrid>
      <w:tr>
        <w:trPr>
          <w:trHeight w:val="293"/>
          <w:jc w:val="center"/>
        </w:trPr>
        <w:tc>
          <w:tcPr>
            <w:tcW w:w="4380" w:type="dxa"/>
            <w:gridSpan w:val="2"/>
            <w:noWrap/>
            <w:vAlign w:val="bottom"/>
            <w:hideMark/>
          </w:tcPr>
          <w:p>
            <w:pPr>
              <w:spacing w:after="0" w:line="240" w:lineRule="auto"/>
              <w:jc w:val="center"/>
              <w:rPr>
                <w:rFonts w:ascii="Arial" w:eastAsia="Times New Roman" w:hAnsi="Arial" w:cs="Arial"/>
                <w:b/>
                <w:bCs/>
                <w:color w:val="000000"/>
                <w:kern w:val="0"/>
                <w:sz w:val="20"/>
                <w:szCs w:val="20"/>
                <w:lang w:bidi="ml-IN"/>
                <w14:ligatures w14:val="none"/>
              </w:rPr>
            </w:pPr>
            <w:r>
              <w:rPr>
                <w:rFonts w:ascii="Arial" w:eastAsia="Times New Roman" w:hAnsi="Arial" w:cs="Arial"/>
                <w:b/>
                <w:bCs/>
                <w:color w:val="000000"/>
                <w:kern w:val="0"/>
                <w:sz w:val="20"/>
                <w:szCs w:val="20"/>
                <w:lang w:bidi="ml-IN"/>
                <w14:ligatures w14:val="none"/>
              </w:rPr>
              <w:t>Low-Income States</w:t>
            </w:r>
          </w:p>
        </w:tc>
        <w:tc>
          <w:tcPr>
            <w:tcW w:w="3814" w:type="dxa"/>
            <w:gridSpan w:val="2"/>
            <w:noWrap/>
            <w:vAlign w:val="bottom"/>
            <w:hideMark/>
          </w:tcPr>
          <w:p>
            <w:pPr>
              <w:spacing w:after="0" w:line="240" w:lineRule="auto"/>
              <w:jc w:val="center"/>
              <w:rPr>
                <w:rFonts w:ascii="Arial" w:eastAsia="Times New Roman" w:hAnsi="Arial" w:cs="Arial"/>
                <w:b/>
                <w:bCs/>
                <w:color w:val="000000"/>
                <w:kern w:val="0"/>
                <w:sz w:val="20"/>
                <w:szCs w:val="20"/>
                <w:lang w:bidi="ml-IN"/>
                <w14:ligatures w14:val="none"/>
              </w:rPr>
            </w:pPr>
            <w:r>
              <w:rPr>
                <w:rFonts w:ascii="Arial" w:eastAsia="Times New Roman" w:hAnsi="Arial" w:cs="Arial"/>
                <w:b/>
                <w:bCs/>
                <w:color w:val="000000"/>
                <w:kern w:val="0"/>
                <w:sz w:val="20"/>
                <w:szCs w:val="20"/>
                <w:lang w:bidi="ml-IN"/>
                <w14:ligatures w14:val="none"/>
              </w:rPr>
              <w:t>High-Income States</w:t>
            </w:r>
          </w:p>
        </w:tc>
      </w:tr>
      <w:tr>
        <w:trPr>
          <w:trHeight w:val="293"/>
          <w:jc w:val="center"/>
        </w:trPr>
        <w:tc>
          <w:tcPr>
            <w:tcW w:w="2785" w:type="dxa"/>
            <w:noWrap/>
            <w:vAlign w:val="bottom"/>
            <w:hideMark/>
          </w:tcPr>
          <w:p>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Bihar</w:t>
            </w:r>
          </w:p>
        </w:tc>
        <w:tc>
          <w:tcPr>
            <w:tcW w:w="1595" w:type="dxa"/>
            <w:noWrap/>
            <w:vAlign w:val="bottom"/>
            <w:hideMark/>
          </w:tcPr>
          <w:p>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29909</w:t>
            </w:r>
          </w:p>
        </w:tc>
        <w:tc>
          <w:tcPr>
            <w:tcW w:w="2275" w:type="dxa"/>
            <w:noWrap/>
            <w:vAlign w:val="bottom"/>
            <w:hideMark/>
          </w:tcPr>
          <w:p>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Punjab</w:t>
            </w:r>
          </w:p>
        </w:tc>
        <w:tc>
          <w:tcPr>
            <w:tcW w:w="1539" w:type="dxa"/>
            <w:noWrap/>
            <w:vAlign w:val="bottom"/>
            <w:hideMark/>
          </w:tcPr>
          <w:p>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123874</w:t>
            </w:r>
          </w:p>
        </w:tc>
      </w:tr>
      <w:tr>
        <w:trPr>
          <w:trHeight w:val="293"/>
          <w:jc w:val="center"/>
        </w:trPr>
        <w:tc>
          <w:tcPr>
            <w:tcW w:w="2785" w:type="dxa"/>
            <w:noWrap/>
            <w:vAlign w:val="bottom"/>
            <w:hideMark/>
          </w:tcPr>
          <w:p>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Uttar Pradesh</w:t>
            </w:r>
          </w:p>
        </w:tc>
        <w:tc>
          <w:tcPr>
            <w:tcW w:w="1595" w:type="dxa"/>
            <w:noWrap/>
            <w:vAlign w:val="bottom"/>
            <w:hideMark/>
          </w:tcPr>
          <w:p>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47808</w:t>
            </w:r>
          </w:p>
        </w:tc>
        <w:tc>
          <w:tcPr>
            <w:tcW w:w="2275" w:type="dxa"/>
            <w:noWrap/>
            <w:vAlign w:val="bottom"/>
            <w:hideMark/>
          </w:tcPr>
          <w:p>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 xml:space="preserve">Andhra Pradesh </w:t>
            </w:r>
          </w:p>
        </w:tc>
        <w:tc>
          <w:tcPr>
            <w:tcW w:w="1539" w:type="dxa"/>
            <w:noWrap/>
            <w:vAlign w:val="bottom"/>
            <w:hideMark/>
          </w:tcPr>
          <w:p>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126690</w:t>
            </w:r>
          </w:p>
        </w:tc>
      </w:tr>
      <w:tr>
        <w:trPr>
          <w:trHeight w:val="293"/>
          <w:jc w:val="center"/>
        </w:trPr>
        <w:tc>
          <w:tcPr>
            <w:tcW w:w="2785" w:type="dxa"/>
            <w:noWrap/>
            <w:vAlign w:val="bottom"/>
            <w:hideMark/>
          </w:tcPr>
          <w:p>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Manipur</w:t>
            </w:r>
          </w:p>
        </w:tc>
        <w:tc>
          <w:tcPr>
            <w:tcW w:w="1595" w:type="dxa"/>
            <w:noWrap/>
            <w:vAlign w:val="bottom"/>
            <w:hideMark/>
          </w:tcPr>
          <w:p>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60204</w:t>
            </w:r>
          </w:p>
        </w:tc>
        <w:tc>
          <w:tcPr>
            <w:tcW w:w="2275" w:type="dxa"/>
            <w:noWrap/>
            <w:vAlign w:val="bottom"/>
            <w:hideMark/>
          </w:tcPr>
          <w:p>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Mizoram</w:t>
            </w:r>
          </w:p>
        </w:tc>
        <w:tc>
          <w:tcPr>
            <w:tcW w:w="1539" w:type="dxa"/>
            <w:noWrap/>
            <w:vAlign w:val="bottom"/>
            <w:hideMark/>
          </w:tcPr>
          <w:p>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140016</w:t>
            </w:r>
          </w:p>
        </w:tc>
      </w:tr>
      <w:tr>
        <w:trPr>
          <w:trHeight w:val="293"/>
          <w:jc w:val="center"/>
        </w:trPr>
        <w:tc>
          <w:tcPr>
            <w:tcW w:w="2785" w:type="dxa"/>
            <w:noWrap/>
            <w:vAlign w:val="bottom"/>
            <w:hideMark/>
          </w:tcPr>
          <w:p>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Jharkhand</w:t>
            </w:r>
          </w:p>
        </w:tc>
        <w:tc>
          <w:tcPr>
            <w:tcW w:w="1595" w:type="dxa"/>
            <w:noWrap/>
            <w:vAlign w:val="bottom"/>
            <w:hideMark/>
          </w:tcPr>
          <w:p>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60938</w:t>
            </w:r>
          </w:p>
        </w:tc>
        <w:tc>
          <w:tcPr>
            <w:tcW w:w="2275" w:type="dxa"/>
            <w:noWrap/>
            <w:vAlign w:val="bottom"/>
            <w:hideMark/>
          </w:tcPr>
          <w:p>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Uttarakhand</w:t>
            </w:r>
          </w:p>
        </w:tc>
        <w:tc>
          <w:tcPr>
            <w:tcW w:w="1539" w:type="dxa"/>
            <w:noWrap/>
            <w:vAlign w:val="bottom"/>
            <w:hideMark/>
          </w:tcPr>
          <w:p>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149547</w:t>
            </w:r>
          </w:p>
        </w:tc>
      </w:tr>
      <w:tr>
        <w:trPr>
          <w:trHeight w:val="293"/>
          <w:jc w:val="center"/>
        </w:trPr>
        <w:tc>
          <w:tcPr>
            <w:tcW w:w="2785" w:type="dxa"/>
            <w:noWrap/>
            <w:vAlign w:val="bottom"/>
            <w:hideMark/>
          </w:tcPr>
          <w:p>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Madhya Pradesh</w:t>
            </w:r>
          </w:p>
        </w:tc>
        <w:tc>
          <w:tcPr>
            <w:tcW w:w="1595" w:type="dxa"/>
            <w:noWrap/>
            <w:vAlign w:val="bottom"/>
            <w:hideMark/>
          </w:tcPr>
          <w:p>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63379</w:t>
            </w:r>
          </w:p>
        </w:tc>
        <w:tc>
          <w:tcPr>
            <w:tcW w:w="2275" w:type="dxa"/>
            <w:noWrap/>
            <w:vAlign w:val="bottom"/>
            <w:hideMark/>
          </w:tcPr>
          <w:p>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Himachal Pradesh</w:t>
            </w:r>
          </w:p>
        </w:tc>
        <w:tc>
          <w:tcPr>
            <w:tcW w:w="1539" w:type="dxa"/>
            <w:noWrap/>
            <w:vAlign w:val="bottom"/>
            <w:hideMark/>
          </w:tcPr>
          <w:p>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151124</w:t>
            </w:r>
          </w:p>
        </w:tc>
      </w:tr>
      <w:tr>
        <w:trPr>
          <w:trHeight w:val="293"/>
          <w:jc w:val="center"/>
        </w:trPr>
        <w:tc>
          <w:tcPr>
            <w:tcW w:w="2785" w:type="dxa"/>
            <w:noWrap/>
            <w:vAlign w:val="bottom"/>
            <w:hideMark/>
          </w:tcPr>
          <w:p>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Assam</w:t>
            </w:r>
          </w:p>
        </w:tc>
        <w:tc>
          <w:tcPr>
            <w:tcW w:w="1595" w:type="dxa"/>
            <w:noWrap/>
            <w:vAlign w:val="bottom"/>
            <w:hideMark/>
          </w:tcPr>
          <w:p>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68813</w:t>
            </w:r>
          </w:p>
        </w:tc>
        <w:tc>
          <w:tcPr>
            <w:tcW w:w="2275" w:type="dxa"/>
            <w:noWrap/>
            <w:vAlign w:val="bottom"/>
            <w:hideMark/>
          </w:tcPr>
          <w:p>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Kerala</w:t>
            </w:r>
          </w:p>
        </w:tc>
        <w:tc>
          <w:tcPr>
            <w:tcW w:w="1539" w:type="dxa"/>
            <w:noWrap/>
            <w:vAlign w:val="bottom"/>
            <w:hideMark/>
          </w:tcPr>
          <w:p>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152870</w:t>
            </w:r>
          </w:p>
        </w:tc>
      </w:tr>
      <w:tr>
        <w:trPr>
          <w:trHeight w:val="293"/>
          <w:jc w:val="center"/>
        </w:trPr>
        <w:tc>
          <w:tcPr>
            <w:tcW w:w="2785" w:type="dxa"/>
            <w:noWrap/>
            <w:vAlign w:val="bottom"/>
            <w:hideMark/>
          </w:tcPr>
          <w:p>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Meghalaya</w:t>
            </w:r>
          </w:p>
        </w:tc>
        <w:tc>
          <w:tcPr>
            <w:tcW w:w="1595" w:type="dxa"/>
            <w:noWrap/>
            <w:vAlign w:val="bottom"/>
            <w:hideMark/>
          </w:tcPr>
          <w:p>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69997</w:t>
            </w:r>
          </w:p>
        </w:tc>
        <w:tc>
          <w:tcPr>
            <w:tcW w:w="2275" w:type="dxa"/>
            <w:noWrap/>
            <w:vAlign w:val="bottom"/>
            <w:hideMark/>
          </w:tcPr>
          <w:p>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Maharashtra</w:t>
            </w:r>
          </w:p>
        </w:tc>
        <w:tc>
          <w:tcPr>
            <w:tcW w:w="1539" w:type="dxa"/>
            <w:noWrap/>
            <w:vAlign w:val="bottom"/>
            <w:hideMark/>
          </w:tcPr>
          <w:p>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153664</w:t>
            </w:r>
          </w:p>
        </w:tc>
      </w:tr>
      <w:tr>
        <w:trPr>
          <w:trHeight w:val="293"/>
          <w:jc w:val="center"/>
        </w:trPr>
        <w:tc>
          <w:tcPr>
            <w:tcW w:w="2785" w:type="dxa"/>
            <w:noWrap/>
            <w:vAlign w:val="bottom"/>
            <w:hideMark/>
          </w:tcPr>
          <w:p>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West Bengal</w:t>
            </w:r>
          </w:p>
        </w:tc>
        <w:tc>
          <w:tcPr>
            <w:tcW w:w="1595" w:type="dxa"/>
            <w:noWrap/>
            <w:vAlign w:val="bottom"/>
            <w:hideMark/>
          </w:tcPr>
          <w:p>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74334</w:t>
            </w:r>
          </w:p>
        </w:tc>
        <w:tc>
          <w:tcPr>
            <w:tcW w:w="2275" w:type="dxa"/>
            <w:noWrap/>
            <w:vAlign w:val="bottom"/>
            <w:hideMark/>
          </w:tcPr>
          <w:p>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Tamil Nadu</w:t>
            </w:r>
          </w:p>
        </w:tc>
        <w:tc>
          <w:tcPr>
            <w:tcW w:w="1539" w:type="dxa"/>
            <w:noWrap/>
            <w:vAlign w:val="bottom"/>
            <w:hideMark/>
          </w:tcPr>
          <w:p>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166590</w:t>
            </w:r>
          </w:p>
        </w:tc>
      </w:tr>
      <w:tr>
        <w:trPr>
          <w:trHeight w:val="293"/>
          <w:jc w:val="center"/>
        </w:trPr>
        <w:tc>
          <w:tcPr>
            <w:tcW w:w="2785" w:type="dxa"/>
            <w:noWrap/>
            <w:vAlign w:val="bottom"/>
            <w:hideMark/>
          </w:tcPr>
          <w:p>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Nagaland</w:t>
            </w:r>
          </w:p>
        </w:tc>
        <w:tc>
          <w:tcPr>
            <w:tcW w:w="1595" w:type="dxa"/>
            <w:noWrap/>
            <w:vAlign w:val="bottom"/>
            <w:hideMark/>
          </w:tcPr>
          <w:p>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76462</w:t>
            </w:r>
          </w:p>
        </w:tc>
        <w:tc>
          <w:tcPr>
            <w:tcW w:w="2275" w:type="dxa"/>
            <w:noWrap/>
            <w:vAlign w:val="bottom"/>
            <w:hideMark/>
          </w:tcPr>
          <w:p>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Telangana</w:t>
            </w:r>
          </w:p>
        </w:tc>
        <w:tc>
          <w:tcPr>
            <w:tcW w:w="1539" w:type="dxa"/>
            <w:noWrap/>
            <w:vAlign w:val="bottom"/>
            <w:hideMark/>
          </w:tcPr>
          <w:p>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169354</w:t>
            </w:r>
          </w:p>
        </w:tc>
      </w:tr>
      <w:tr>
        <w:trPr>
          <w:trHeight w:val="293"/>
          <w:jc w:val="center"/>
        </w:trPr>
        <w:tc>
          <w:tcPr>
            <w:tcW w:w="2785" w:type="dxa"/>
            <w:noWrap/>
            <w:vAlign w:val="bottom"/>
            <w:hideMark/>
          </w:tcPr>
          <w:p>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Rajasthan</w:t>
            </w:r>
          </w:p>
        </w:tc>
        <w:tc>
          <w:tcPr>
            <w:tcW w:w="1595" w:type="dxa"/>
            <w:noWrap/>
            <w:vAlign w:val="bottom"/>
            <w:hideMark/>
          </w:tcPr>
          <w:p>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84935</w:t>
            </w:r>
          </w:p>
        </w:tc>
        <w:tc>
          <w:tcPr>
            <w:tcW w:w="2275" w:type="dxa"/>
            <w:noWrap/>
            <w:vAlign w:val="bottom"/>
            <w:hideMark/>
          </w:tcPr>
          <w:p>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Haryana</w:t>
            </w:r>
          </w:p>
        </w:tc>
        <w:tc>
          <w:tcPr>
            <w:tcW w:w="1539" w:type="dxa"/>
            <w:noWrap/>
            <w:vAlign w:val="bottom"/>
            <w:hideMark/>
          </w:tcPr>
          <w:p>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173973</w:t>
            </w:r>
          </w:p>
        </w:tc>
      </w:tr>
      <w:tr>
        <w:trPr>
          <w:trHeight w:val="293"/>
          <w:jc w:val="center"/>
        </w:trPr>
        <w:tc>
          <w:tcPr>
            <w:tcW w:w="2785" w:type="dxa"/>
            <w:noWrap/>
            <w:vAlign w:val="bottom"/>
            <w:hideMark/>
          </w:tcPr>
          <w:p>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Chhattisgarh</w:t>
            </w:r>
          </w:p>
        </w:tc>
        <w:tc>
          <w:tcPr>
            <w:tcW w:w="1595" w:type="dxa"/>
            <w:noWrap/>
            <w:vAlign w:val="bottom"/>
            <w:hideMark/>
          </w:tcPr>
          <w:p>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87838</w:t>
            </w:r>
          </w:p>
        </w:tc>
        <w:tc>
          <w:tcPr>
            <w:tcW w:w="2275" w:type="dxa"/>
            <w:noWrap/>
            <w:vAlign w:val="bottom"/>
            <w:hideMark/>
          </w:tcPr>
          <w:p>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Karnataka</w:t>
            </w:r>
          </w:p>
        </w:tc>
        <w:tc>
          <w:tcPr>
            <w:tcW w:w="1539" w:type="dxa"/>
            <w:noWrap/>
            <w:vAlign w:val="bottom"/>
            <w:hideMark/>
          </w:tcPr>
          <w:p>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175895</w:t>
            </w:r>
          </w:p>
        </w:tc>
      </w:tr>
      <w:tr>
        <w:trPr>
          <w:trHeight w:val="293"/>
          <w:jc w:val="center"/>
        </w:trPr>
        <w:tc>
          <w:tcPr>
            <w:tcW w:w="2785" w:type="dxa"/>
            <w:noWrap/>
            <w:vAlign w:val="bottom"/>
            <w:hideMark/>
          </w:tcPr>
          <w:p>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Odisha</w:t>
            </w:r>
          </w:p>
        </w:tc>
        <w:tc>
          <w:tcPr>
            <w:tcW w:w="1595" w:type="dxa"/>
            <w:noWrap/>
            <w:vAlign w:val="bottom"/>
            <w:hideMark/>
          </w:tcPr>
          <w:p>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90172</w:t>
            </w:r>
          </w:p>
        </w:tc>
        <w:tc>
          <w:tcPr>
            <w:tcW w:w="2275" w:type="dxa"/>
            <w:noWrap/>
            <w:vAlign w:val="bottom"/>
            <w:hideMark/>
          </w:tcPr>
          <w:p>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Gujarat</w:t>
            </w:r>
          </w:p>
        </w:tc>
        <w:tc>
          <w:tcPr>
            <w:tcW w:w="1539" w:type="dxa"/>
            <w:noWrap/>
            <w:vAlign w:val="bottom"/>
            <w:hideMark/>
          </w:tcPr>
          <w:p>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181963</w:t>
            </w:r>
          </w:p>
        </w:tc>
      </w:tr>
      <w:tr>
        <w:trPr>
          <w:trHeight w:val="293"/>
          <w:jc w:val="center"/>
        </w:trPr>
        <w:tc>
          <w:tcPr>
            <w:tcW w:w="2785" w:type="dxa"/>
            <w:noWrap/>
            <w:vAlign w:val="bottom"/>
            <w:hideMark/>
          </w:tcPr>
          <w:p>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Tripura</w:t>
            </w:r>
          </w:p>
        </w:tc>
        <w:tc>
          <w:tcPr>
            <w:tcW w:w="1595" w:type="dxa"/>
            <w:noWrap/>
            <w:vAlign w:val="bottom"/>
            <w:hideMark/>
          </w:tcPr>
          <w:p>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91455</w:t>
            </w:r>
          </w:p>
        </w:tc>
        <w:tc>
          <w:tcPr>
            <w:tcW w:w="2275" w:type="dxa"/>
            <w:noWrap/>
            <w:vAlign w:val="bottom"/>
            <w:hideMark/>
          </w:tcPr>
          <w:p>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Sikkim</w:t>
            </w:r>
          </w:p>
        </w:tc>
        <w:tc>
          <w:tcPr>
            <w:tcW w:w="1539" w:type="dxa"/>
            <w:noWrap/>
            <w:vAlign w:val="bottom"/>
            <w:hideMark/>
          </w:tcPr>
          <w:p>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273145</w:t>
            </w:r>
          </w:p>
        </w:tc>
      </w:tr>
      <w:tr>
        <w:trPr>
          <w:trHeight w:val="293"/>
          <w:jc w:val="center"/>
        </w:trPr>
        <w:tc>
          <w:tcPr>
            <w:tcW w:w="2785" w:type="dxa"/>
            <w:noWrap/>
            <w:vAlign w:val="bottom"/>
            <w:hideMark/>
          </w:tcPr>
          <w:p>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Arunachal Pradesh</w:t>
            </w:r>
          </w:p>
        </w:tc>
        <w:tc>
          <w:tcPr>
            <w:tcW w:w="1595" w:type="dxa"/>
            <w:noWrap/>
            <w:vAlign w:val="bottom"/>
            <w:hideMark/>
          </w:tcPr>
          <w:p>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102870</w:t>
            </w:r>
          </w:p>
        </w:tc>
        <w:tc>
          <w:tcPr>
            <w:tcW w:w="2275" w:type="dxa"/>
            <w:noWrap/>
            <w:vAlign w:val="bottom"/>
            <w:hideMark/>
          </w:tcPr>
          <w:p>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Goa</w:t>
            </w:r>
          </w:p>
        </w:tc>
        <w:tc>
          <w:tcPr>
            <w:tcW w:w="1539" w:type="dxa"/>
            <w:noWrap/>
            <w:vAlign w:val="bottom"/>
            <w:hideMark/>
          </w:tcPr>
          <w:p>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295114</w:t>
            </w:r>
          </w:p>
        </w:tc>
      </w:tr>
    </w:tbl>
    <w:p>
      <w:pPr>
        <w:spacing w:after="0" w:line="240" w:lineRule="auto"/>
        <w:jc w:val="both"/>
        <w:rPr>
          <w:rFonts w:ascii="Times New Roman" w:hAnsi="Times New Roman" w:cs="Times New Roman"/>
        </w:rPr>
      </w:pPr>
      <w:r>
        <w:rPr>
          <w:rFonts w:ascii="Times New Roman" w:hAnsi="Times New Roman" w:cs="Times New Roman"/>
        </w:rPr>
        <w:tab/>
      </w:r>
    </w:p>
    <w:p>
      <w:pPr>
        <w:spacing w:after="0" w:line="240" w:lineRule="auto"/>
        <w:ind w:firstLine="720"/>
        <w:jc w:val="both"/>
        <w:rPr>
          <w:rFonts w:ascii="Arial" w:hAnsi="Arial" w:cs="Arial"/>
          <w:sz w:val="20"/>
          <w:szCs w:val="20"/>
        </w:rPr>
      </w:pPr>
      <w:r>
        <w:rPr>
          <w:rFonts w:ascii="Arial" w:hAnsi="Arial" w:cs="Arial"/>
          <w:sz w:val="20"/>
          <w:szCs w:val="20"/>
        </w:rPr>
        <w:t>Source: Reserve Bank of India (2024). Handbook of statistics on Indian states.</w:t>
      </w:r>
    </w:p>
    <w:p>
      <w:pPr>
        <w:spacing w:after="0" w:line="276" w:lineRule="auto"/>
        <w:jc w:val="both"/>
        <w:rPr>
          <w:rFonts w:ascii="Times New Roman" w:hAnsi="Times New Roman" w:cs="Times New Roman"/>
        </w:rPr>
      </w:pPr>
    </w:p>
    <w:p>
      <w:pPr>
        <w:spacing w:after="0" w:line="240" w:lineRule="auto"/>
        <w:jc w:val="both"/>
        <w:rPr>
          <w:rFonts w:ascii="Arial" w:hAnsi="Arial" w:cs="Arial"/>
          <w:sz w:val="20"/>
          <w:szCs w:val="20"/>
        </w:rPr>
      </w:pPr>
      <w:r>
        <w:rPr>
          <w:rFonts w:ascii="Arial" w:hAnsi="Arial" w:cs="Arial"/>
          <w:sz w:val="20"/>
          <w:szCs w:val="20"/>
        </w:rPr>
        <w:t xml:space="preserve">As shown in Table 1, states such as Maharashtra, Tamil Nadu, Gujarat, Karnataka, and Haryana are classified as higher-income states, largely due to their robust industrial and service sectors. In contrast, states like Bihar, Uttar Pradesh, Jharkhand, Madhya Pradesh, and Odisha are </w:t>
      </w:r>
      <w:proofErr w:type="spellStart"/>
      <w:r>
        <w:rPr>
          <w:rFonts w:ascii="Arial" w:hAnsi="Arial" w:cs="Arial"/>
          <w:sz w:val="20"/>
          <w:szCs w:val="20"/>
        </w:rPr>
        <w:t>categorised</w:t>
      </w:r>
      <w:proofErr w:type="spellEnd"/>
      <w:r>
        <w:rPr>
          <w:rFonts w:ascii="Arial" w:hAnsi="Arial" w:cs="Arial"/>
          <w:sz w:val="20"/>
          <w:szCs w:val="20"/>
        </w:rPr>
        <w:t xml:space="preserve"> as lower-income, often </w:t>
      </w:r>
      <w:proofErr w:type="spellStart"/>
      <w:r>
        <w:rPr>
          <w:rFonts w:ascii="Arial" w:hAnsi="Arial" w:cs="Arial"/>
          <w:sz w:val="20"/>
          <w:szCs w:val="20"/>
        </w:rPr>
        <w:t>characterised</w:t>
      </w:r>
      <w:proofErr w:type="spellEnd"/>
      <w:r>
        <w:rPr>
          <w:rFonts w:ascii="Arial" w:hAnsi="Arial" w:cs="Arial"/>
          <w:sz w:val="20"/>
          <w:szCs w:val="20"/>
        </w:rPr>
        <w:t xml:space="preserve"> by limited industrial development and a greater reliance on agriculture. The stark contrast in income levels underscores the persistent economic disparities among Indian states, which are closely intertwined with broader socio-economic indicators such as poverty, education, and healthcare. This classification is essential for </w:t>
      </w:r>
      <w:proofErr w:type="spellStart"/>
      <w:r>
        <w:rPr>
          <w:rFonts w:ascii="Arial" w:hAnsi="Arial" w:cs="Arial"/>
          <w:sz w:val="20"/>
          <w:szCs w:val="20"/>
        </w:rPr>
        <w:t>analysing</w:t>
      </w:r>
      <w:proofErr w:type="spellEnd"/>
      <w:r>
        <w:rPr>
          <w:rFonts w:ascii="Arial" w:hAnsi="Arial" w:cs="Arial"/>
          <w:sz w:val="20"/>
          <w:szCs w:val="20"/>
        </w:rPr>
        <w:t xml:space="preserve"> sectoral growth patterns and assessing the regional impact of economic policies across India’s diverse and uneven economic landscape.</w:t>
      </w:r>
    </w:p>
    <w:p>
      <w:pPr>
        <w:spacing w:after="0" w:line="240" w:lineRule="auto"/>
        <w:jc w:val="both"/>
        <w:rPr>
          <w:rFonts w:ascii="Arial" w:hAnsi="Arial" w:cs="Arial"/>
          <w:sz w:val="20"/>
          <w:szCs w:val="20"/>
        </w:rPr>
      </w:pPr>
    </w:p>
    <w:p>
      <w:pPr>
        <w:spacing w:after="0" w:line="276" w:lineRule="auto"/>
        <w:jc w:val="both"/>
        <w:rPr>
          <w:rFonts w:ascii="Arial" w:hAnsi="Arial" w:cs="Arial"/>
          <w:b/>
          <w:bCs/>
          <w:sz w:val="22"/>
          <w:szCs w:val="22"/>
        </w:rPr>
      </w:pPr>
      <w:r>
        <w:rPr>
          <w:rFonts w:ascii="Arial" w:hAnsi="Arial" w:cs="Arial"/>
          <w:b/>
          <w:bCs/>
          <w:sz w:val="22"/>
          <w:szCs w:val="22"/>
        </w:rPr>
        <w:t>3.2 Sector-wise Performance of State Categories</w:t>
      </w:r>
    </w:p>
    <w:p>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India’s economic landscape is </w:t>
      </w:r>
      <w:proofErr w:type="spellStart"/>
      <w:r>
        <w:rPr>
          <w:rFonts w:ascii="Arial" w:eastAsia="Times New Roman" w:hAnsi="Arial" w:cs="Arial"/>
          <w:kern w:val="0"/>
          <w:sz w:val="20"/>
          <w:szCs w:val="20"/>
          <w:lang w:bidi="ml-IN"/>
          <w14:ligatures w14:val="none"/>
        </w:rPr>
        <w:t>characterised</w:t>
      </w:r>
      <w:proofErr w:type="spellEnd"/>
      <w:r>
        <w:rPr>
          <w:rFonts w:ascii="Arial" w:eastAsia="Times New Roman" w:hAnsi="Arial" w:cs="Arial"/>
          <w:kern w:val="0"/>
          <w:sz w:val="20"/>
          <w:szCs w:val="20"/>
          <w:lang w:bidi="ml-IN"/>
          <w14:ligatures w14:val="none"/>
        </w:rPr>
        <w:t xml:space="preserve"> by significant regional disparities, which are prominently reflected in the varying levels of income across states. To better understand these developmental differences, Indian states can be broadly classified into high-income and low-income categories based on indicators such as per capita Net State Domestic Product (NSDP). This classification provides a useful analytical lens to examine sector-wise economic performance across the three major sectors—agriculture, industry, and services—which are central to structural transformation as outlined in Lewis’s Dual Sector Model and Kuznets’ theory of structural change (Lewis 1954 &amp; Kuznets 1973). </w:t>
      </w:r>
    </w:p>
    <w:p>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This section explores the sector-wise growth performance of states within these two income categories, drawing on empirical patterns and theoretical insights. According to structural transformation theory, economic development typically involves a gradual shift from a primarily agrarian base to increased </w:t>
      </w:r>
      <w:proofErr w:type="spellStart"/>
      <w:r>
        <w:rPr>
          <w:rFonts w:ascii="Arial" w:eastAsia="Times New Roman" w:hAnsi="Arial" w:cs="Arial"/>
          <w:kern w:val="0"/>
          <w:sz w:val="20"/>
          <w:szCs w:val="20"/>
          <w:lang w:bidi="ml-IN"/>
          <w14:ligatures w14:val="none"/>
        </w:rPr>
        <w:t>industrialisation</w:t>
      </w:r>
      <w:proofErr w:type="spellEnd"/>
      <w:r>
        <w:rPr>
          <w:rFonts w:ascii="Arial" w:eastAsia="Times New Roman" w:hAnsi="Arial" w:cs="Arial"/>
          <w:kern w:val="0"/>
          <w:sz w:val="20"/>
          <w:szCs w:val="20"/>
          <w:lang w:bidi="ml-IN"/>
          <w14:ligatures w14:val="none"/>
        </w:rPr>
        <w:t xml:space="preserve"> and, eventually, a services-led economy. High-income states such as Maharashtra, Tamil Nadu, and Gujarat exemplify this trajectory, showing robust growth in industrial and service sectors, reflecting both higher levels of </w:t>
      </w:r>
      <w:proofErr w:type="spellStart"/>
      <w:r>
        <w:rPr>
          <w:rFonts w:ascii="Arial" w:eastAsia="Times New Roman" w:hAnsi="Arial" w:cs="Arial"/>
          <w:kern w:val="0"/>
          <w:sz w:val="20"/>
          <w:szCs w:val="20"/>
          <w:lang w:bidi="ml-IN"/>
          <w14:ligatures w14:val="none"/>
        </w:rPr>
        <w:t>urbanisation</w:t>
      </w:r>
      <w:proofErr w:type="spellEnd"/>
      <w:r>
        <w:rPr>
          <w:rFonts w:ascii="Arial" w:eastAsia="Times New Roman" w:hAnsi="Arial" w:cs="Arial"/>
          <w:kern w:val="0"/>
          <w:sz w:val="20"/>
          <w:szCs w:val="20"/>
          <w:lang w:bidi="ml-IN"/>
          <w14:ligatures w14:val="none"/>
        </w:rPr>
        <w:t xml:space="preserve"> and better integration with global value chains. In contrast, low-income states like Bihar, Uttar Pradesh, and Odisha tend to lag behind, often remaining dependent on agriculture, which aligns with the vicious cycle of poverty model and the low-level equilibrium trap described in development economics.</w:t>
      </w:r>
    </w:p>
    <w:p>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By comparing trends in sectoral growth across these state categories, the structural characteristics and divergent development trajectories of high- and low-income states are examined. The analysis also reflects cumulative causation theory, where more developed states benefit from increasing returns and better infrastructure, reinforcing their growth advantages, while underdeveloped regions struggle to catch up (Myrdal, 1957).</w:t>
      </w:r>
    </w:p>
    <w:p>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lastRenderedPageBreak/>
        <w:t>Ultimately, this examination provides key insights into the regional economic dynamics shaping India’s growth process and highlights the urgent need for targeted, inclusive policy interventions. By understanding the sectoral strengths and constraints of different state groups, policymakers can formulate more balanced strategies for regional development, reduce inter-state disparities, and promote equitable economic transformation across the country (</w:t>
      </w:r>
      <w:proofErr w:type="spellStart"/>
      <w:r>
        <w:rPr>
          <w:rFonts w:ascii="Arial" w:eastAsia="Times New Roman" w:hAnsi="Arial" w:cs="Arial"/>
          <w:kern w:val="0"/>
          <w:sz w:val="20"/>
          <w:szCs w:val="20"/>
          <w:lang w:bidi="ml-IN"/>
          <w14:ligatures w14:val="none"/>
        </w:rPr>
        <w:t>Nurkse</w:t>
      </w:r>
      <w:proofErr w:type="spellEnd"/>
      <w:r>
        <w:rPr>
          <w:rFonts w:ascii="Arial" w:eastAsia="Times New Roman" w:hAnsi="Arial" w:cs="Arial"/>
          <w:kern w:val="0"/>
          <w:sz w:val="20"/>
          <w:szCs w:val="20"/>
          <w:lang w:bidi="ml-IN"/>
          <w14:ligatures w14:val="none"/>
        </w:rPr>
        <w:t>, 1953 &amp; Nelson, 1956).</w:t>
      </w:r>
    </w:p>
    <w:p>
      <w:pPr>
        <w:spacing w:after="0" w:line="276" w:lineRule="auto"/>
        <w:jc w:val="both"/>
        <w:rPr>
          <w:rFonts w:ascii="Arial" w:hAnsi="Arial" w:cs="Arial"/>
          <w:b/>
          <w:bCs/>
          <w:sz w:val="22"/>
          <w:szCs w:val="22"/>
        </w:rPr>
      </w:pPr>
      <w:r>
        <w:rPr>
          <w:rFonts w:ascii="Arial" w:hAnsi="Arial" w:cs="Arial"/>
          <w:b/>
          <w:bCs/>
          <w:sz w:val="22"/>
          <w:szCs w:val="22"/>
        </w:rPr>
        <w:t>3.3 Agricultural Growth Rates of Higher and Lower Income States</w:t>
      </w:r>
    </w:p>
    <w:p>
      <w:pPr>
        <w:spacing w:after="0" w:line="240" w:lineRule="auto"/>
        <w:jc w:val="both"/>
        <w:rPr>
          <w:rFonts w:ascii="Arial" w:eastAsia="Times New Roman" w:hAnsi="Arial" w:cs="Arial"/>
          <w:color w:val="000000"/>
          <w:kern w:val="0"/>
          <w:sz w:val="20"/>
          <w:szCs w:val="20"/>
          <w:lang w:bidi="ml-IN"/>
          <w14:ligatures w14:val="none"/>
        </w:rPr>
      </w:pPr>
      <w:r>
        <w:rPr>
          <w:rFonts w:ascii="Arial" w:hAnsi="Arial" w:cs="Arial"/>
          <w:sz w:val="20"/>
          <w:szCs w:val="20"/>
        </w:rPr>
        <w:t>The agricultural sector remains a vital component of India's economy, particularly for rural livelihoods and food security. However, the performance of agriculture varies considerably across states, reflecting broader regional and income disparities. Interestingly, recent trends indicate that lower-income states have achieved higher rates of agricultural growth compared to higher-income states. While wealthier states have gradually transitioned towards industrial and service-oriented economies, agriculture has retained a central role in the economic structure of poorer states, driving more focused policy attention and resource allocation in that sector. This divergence offers important insights into the development trajectory of Indian states and calls for a closer examination of the factors influencing agricultural performance across different income groups. Table 2 illustrates the agricultural sector growth performance of high- and low-income states.</w:t>
      </w:r>
      <w:r>
        <w:rPr>
          <w:rFonts w:ascii="Arial" w:eastAsia="Times New Roman" w:hAnsi="Arial" w:cs="Arial"/>
          <w:color w:val="000000"/>
          <w:kern w:val="0"/>
          <w:sz w:val="20"/>
          <w:szCs w:val="20"/>
          <w:lang w:bidi="ml-IN"/>
          <w14:ligatures w14:val="none"/>
        </w:rPr>
        <w:t xml:space="preserve"> </w:t>
      </w:r>
    </w:p>
    <w:p>
      <w:pPr>
        <w:spacing w:after="0" w:line="240" w:lineRule="auto"/>
        <w:jc w:val="both"/>
        <w:rPr>
          <w:rFonts w:ascii="Arial" w:eastAsia="Times New Roman" w:hAnsi="Arial" w:cs="Arial"/>
          <w:color w:val="000000"/>
          <w:kern w:val="0"/>
          <w:sz w:val="20"/>
          <w:szCs w:val="20"/>
          <w:lang w:bidi="ml-IN"/>
          <w14:ligatures w14:val="none"/>
        </w:rPr>
      </w:pPr>
    </w:p>
    <w:p>
      <w:pPr>
        <w:spacing w:line="240" w:lineRule="auto"/>
        <w:jc w:val="center"/>
        <w:rPr>
          <w:rFonts w:ascii="Arial" w:hAnsi="Arial" w:cs="Arial"/>
          <w:b/>
          <w:bCs/>
          <w:sz w:val="20"/>
          <w:szCs w:val="20"/>
        </w:rPr>
      </w:pPr>
      <w:r>
        <w:rPr>
          <w:rFonts w:ascii="Arial" w:eastAsia="Times New Roman" w:hAnsi="Arial" w:cs="Arial"/>
          <w:b/>
          <w:bCs/>
          <w:color w:val="000000"/>
          <w:kern w:val="0"/>
          <w:sz w:val="20"/>
          <w:szCs w:val="20"/>
          <w:lang w:bidi="ml-IN"/>
          <w14:ligatures w14:val="none"/>
        </w:rPr>
        <w:t>Table 2. Agricultural Growth Rates of Higher and Lower Income States</w:t>
      </w:r>
    </w:p>
    <w:tbl>
      <w:tblPr>
        <w:tblW w:w="0" w:type="auto"/>
        <w:jc w:val="center"/>
        <w:tblCellMar>
          <w:top w:w="15" w:type="dxa"/>
          <w:left w:w="15" w:type="dxa"/>
          <w:bottom w:w="15" w:type="dxa"/>
          <w:right w:w="15" w:type="dxa"/>
        </w:tblCellMar>
        <w:tblLook w:val="04A0" w:firstRow="1" w:lastRow="0" w:firstColumn="1" w:lastColumn="0" w:noHBand="0" w:noVBand="1"/>
      </w:tblPr>
      <w:tblGrid>
        <w:gridCol w:w="2120"/>
        <w:gridCol w:w="1108"/>
        <w:gridCol w:w="1286"/>
        <w:gridCol w:w="1042"/>
        <w:gridCol w:w="2031"/>
      </w:tblGrid>
      <w:tr>
        <w:trPr>
          <w:jc w:val="center"/>
        </w:trPr>
        <w:tc>
          <w:tcPr>
            <w:tcW w:w="0" w:type="auto"/>
            <w:tcMar>
              <w:top w:w="0" w:type="dxa"/>
              <w:left w:w="115" w:type="dxa"/>
              <w:bottom w:w="0" w:type="dxa"/>
              <w:right w:w="115" w:type="dxa"/>
            </w:tcMar>
            <w:hideMark/>
          </w:tcPr>
          <w:p>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Category of states</w:t>
            </w:r>
          </w:p>
        </w:tc>
        <w:tc>
          <w:tcPr>
            <w:tcW w:w="0" w:type="auto"/>
            <w:tcMar>
              <w:top w:w="0" w:type="dxa"/>
              <w:left w:w="115" w:type="dxa"/>
              <w:bottom w:w="0" w:type="dxa"/>
              <w:right w:w="115" w:type="dxa"/>
            </w:tcMar>
            <w:hideMark/>
          </w:tcPr>
          <w:p>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Mean (%)</w:t>
            </w:r>
          </w:p>
        </w:tc>
        <w:tc>
          <w:tcPr>
            <w:tcW w:w="0" w:type="auto"/>
            <w:tcMar>
              <w:top w:w="0" w:type="dxa"/>
              <w:left w:w="115" w:type="dxa"/>
              <w:bottom w:w="0" w:type="dxa"/>
              <w:right w:w="115" w:type="dxa"/>
            </w:tcMar>
            <w:hideMark/>
          </w:tcPr>
          <w:p>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Median (%)</w:t>
            </w:r>
          </w:p>
        </w:tc>
        <w:tc>
          <w:tcPr>
            <w:tcW w:w="0" w:type="auto"/>
            <w:tcMar>
              <w:top w:w="0" w:type="dxa"/>
              <w:left w:w="115" w:type="dxa"/>
              <w:bottom w:w="0" w:type="dxa"/>
              <w:right w:w="115" w:type="dxa"/>
            </w:tcMar>
            <w:hideMark/>
          </w:tcPr>
          <w:p>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variance</w:t>
            </w:r>
          </w:p>
        </w:tc>
        <w:tc>
          <w:tcPr>
            <w:tcW w:w="0" w:type="auto"/>
            <w:tcMar>
              <w:top w:w="0" w:type="dxa"/>
              <w:left w:w="115" w:type="dxa"/>
              <w:bottom w:w="0" w:type="dxa"/>
              <w:right w:w="115" w:type="dxa"/>
            </w:tcMar>
            <w:hideMark/>
          </w:tcPr>
          <w:p>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Standard deviation</w:t>
            </w:r>
          </w:p>
        </w:tc>
      </w:tr>
      <w:tr>
        <w:trPr>
          <w:jc w:val="center"/>
        </w:trPr>
        <w:tc>
          <w:tcPr>
            <w:tcW w:w="0" w:type="auto"/>
            <w:tcMar>
              <w:top w:w="0" w:type="dxa"/>
              <w:left w:w="115" w:type="dxa"/>
              <w:bottom w:w="0" w:type="dxa"/>
              <w:right w:w="115" w:type="dxa"/>
            </w:tcMar>
            <w:hideMark/>
          </w:tcPr>
          <w:p>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Lower-income states</w:t>
            </w:r>
          </w:p>
        </w:tc>
        <w:tc>
          <w:tcPr>
            <w:tcW w:w="0" w:type="auto"/>
            <w:tcMar>
              <w:top w:w="0" w:type="dxa"/>
              <w:left w:w="115" w:type="dxa"/>
              <w:bottom w:w="0" w:type="dxa"/>
              <w:right w:w="115" w:type="dxa"/>
            </w:tcMar>
            <w:hideMark/>
          </w:tcPr>
          <w:p>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3.43</w:t>
            </w:r>
          </w:p>
          <w:p>
            <w:pPr>
              <w:spacing w:before="100" w:beforeAutospacing="1" w:after="100" w:afterAutospacing="1"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hideMark/>
          </w:tcPr>
          <w:p>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2.29</w:t>
            </w:r>
          </w:p>
          <w:p>
            <w:pPr>
              <w:spacing w:before="100" w:beforeAutospacing="1" w:after="100" w:afterAutospacing="1"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hideMark/>
          </w:tcPr>
          <w:p>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239.57</w:t>
            </w:r>
          </w:p>
        </w:tc>
        <w:tc>
          <w:tcPr>
            <w:tcW w:w="0" w:type="auto"/>
            <w:tcMar>
              <w:top w:w="0" w:type="dxa"/>
              <w:left w:w="115" w:type="dxa"/>
              <w:bottom w:w="0" w:type="dxa"/>
              <w:right w:w="115" w:type="dxa"/>
            </w:tcMar>
            <w:hideMark/>
          </w:tcPr>
          <w:p>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15.48</w:t>
            </w:r>
          </w:p>
          <w:p>
            <w:pPr>
              <w:spacing w:before="100" w:beforeAutospacing="1" w:after="100" w:afterAutospacing="1" w:line="240" w:lineRule="auto"/>
              <w:jc w:val="both"/>
              <w:rPr>
                <w:rFonts w:ascii="Arial" w:eastAsia="Times New Roman" w:hAnsi="Arial" w:cs="Arial"/>
                <w:kern w:val="0"/>
                <w:sz w:val="20"/>
                <w:szCs w:val="20"/>
                <w:lang w:bidi="ml-IN"/>
                <w14:ligatures w14:val="none"/>
              </w:rPr>
            </w:pPr>
          </w:p>
        </w:tc>
      </w:tr>
      <w:tr>
        <w:trPr>
          <w:jc w:val="center"/>
        </w:trPr>
        <w:tc>
          <w:tcPr>
            <w:tcW w:w="0" w:type="auto"/>
            <w:tcMar>
              <w:top w:w="0" w:type="dxa"/>
              <w:left w:w="115" w:type="dxa"/>
              <w:bottom w:w="0" w:type="dxa"/>
              <w:right w:w="115" w:type="dxa"/>
            </w:tcMar>
            <w:hideMark/>
          </w:tcPr>
          <w:p>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Higher-income states</w:t>
            </w:r>
          </w:p>
        </w:tc>
        <w:tc>
          <w:tcPr>
            <w:tcW w:w="0" w:type="auto"/>
            <w:tcMar>
              <w:top w:w="0" w:type="dxa"/>
              <w:left w:w="115" w:type="dxa"/>
              <w:bottom w:w="0" w:type="dxa"/>
              <w:right w:w="115" w:type="dxa"/>
            </w:tcMar>
            <w:hideMark/>
          </w:tcPr>
          <w:p>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1.74</w:t>
            </w:r>
          </w:p>
          <w:p>
            <w:pPr>
              <w:spacing w:after="0"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hideMark/>
          </w:tcPr>
          <w:p>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0.90</w:t>
            </w:r>
          </w:p>
          <w:p>
            <w:pPr>
              <w:spacing w:after="0"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hideMark/>
          </w:tcPr>
          <w:p>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148.26</w:t>
            </w:r>
          </w:p>
          <w:p>
            <w:pPr>
              <w:spacing w:after="0"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hideMark/>
          </w:tcPr>
          <w:p>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12.18</w:t>
            </w:r>
          </w:p>
        </w:tc>
      </w:tr>
    </w:tbl>
    <w:p>
      <w:pPr>
        <w:spacing w:before="100" w:beforeAutospacing="1" w:after="100" w:afterAutospacing="1" w:line="240" w:lineRule="auto"/>
        <w:ind w:firstLine="720"/>
        <w:jc w:val="both"/>
        <w:rPr>
          <w:rFonts w:ascii="Arial" w:hAnsi="Arial" w:cs="Arial"/>
          <w:sz w:val="20"/>
          <w:szCs w:val="20"/>
        </w:rPr>
      </w:pPr>
      <w:r>
        <w:rPr>
          <w:rFonts w:ascii="Arial" w:hAnsi="Arial" w:cs="Arial"/>
          <w:sz w:val="20"/>
          <w:szCs w:val="20"/>
        </w:rPr>
        <w:t>Source: RBI Handbook of Statistics (2024); State Directorates of Economics &amp; Statistics.</w:t>
      </w:r>
    </w:p>
    <w:p>
      <w:pPr>
        <w:spacing w:before="100" w:beforeAutospacing="1" w:after="100" w:afterAutospacing="1" w:line="240" w:lineRule="auto"/>
        <w:jc w:val="both"/>
        <w:rPr>
          <w:rFonts w:ascii="Arial" w:hAnsi="Arial" w:cs="Arial"/>
          <w:sz w:val="20"/>
          <w:szCs w:val="20"/>
        </w:rPr>
      </w:pPr>
      <w:r>
        <w:rPr>
          <w:rFonts w:ascii="Arial" w:hAnsi="Arial" w:cs="Arial"/>
          <w:sz w:val="20"/>
          <w:szCs w:val="20"/>
        </w:rPr>
        <w:t xml:space="preserve">Table 2 presents a statistical comparison of agricultural growth rates between higher- and lower-income states in India, using four key measures: mean, median, variance, and standard deviation. The mean agricultural growth rate for </w:t>
      </w:r>
      <w:r>
        <w:rPr>
          <w:rStyle w:val="Strong"/>
          <w:rFonts w:ascii="Arial" w:hAnsi="Arial" w:cs="Arial"/>
          <w:b w:val="0"/>
          <w:bCs w:val="0"/>
          <w:sz w:val="20"/>
          <w:szCs w:val="20"/>
        </w:rPr>
        <w:t>lower-income states</w:t>
      </w:r>
      <w:r>
        <w:rPr>
          <w:rFonts w:ascii="Arial" w:hAnsi="Arial" w:cs="Arial"/>
          <w:sz w:val="20"/>
          <w:szCs w:val="20"/>
        </w:rPr>
        <w:t xml:space="preserve"> is </w:t>
      </w:r>
      <w:r>
        <w:rPr>
          <w:rStyle w:val="Strong"/>
          <w:rFonts w:ascii="Arial" w:hAnsi="Arial" w:cs="Arial"/>
          <w:b w:val="0"/>
          <w:bCs w:val="0"/>
          <w:sz w:val="20"/>
          <w:szCs w:val="20"/>
        </w:rPr>
        <w:t>3.43%</w:t>
      </w:r>
      <w:r>
        <w:rPr>
          <w:rFonts w:ascii="Arial" w:hAnsi="Arial" w:cs="Arial"/>
          <w:b/>
          <w:bCs/>
          <w:sz w:val="20"/>
          <w:szCs w:val="20"/>
        </w:rPr>
        <w:t>,</w:t>
      </w:r>
      <w:r>
        <w:rPr>
          <w:rFonts w:ascii="Arial" w:hAnsi="Arial" w:cs="Arial"/>
          <w:sz w:val="20"/>
          <w:szCs w:val="20"/>
        </w:rPr>
        <w:t xml:space="preserve"> which is significantly higher than the </w:t>
      </w:r>
      <w:r>
        <w:rPr>
          <w:rStyle w:val="Strong"/>
          <w:rFonts w:ascii="Arial" w:hAnsi="Arial" w:cs="Arial"/>
          <w:b w:val="0"/>
          <w:bCs w:val="0"/>
          <w:sz w:val="20"/>
          <w:szCs w:val="20"/>
        </w:rPr>
        <w:t>1.74%</w:t>
      </w:r>
      <w:r>
        <w:rPr>
          <w:rFonts w:ascii="Arial" w:hAnsi="Arial" w:cs="Arial"/>
          <w:sz w:val="20"/>
          <w:szCs w:val="20"/>
        </w:rPr>
        <w:t xml:space="preserve"> observed in </w:t>
      </w:r>
      <w:r>
        <w:rPr>
          <w:rStyle w:val="Strong"/>
          <w:rFonts w:ascii="Arial" w:hAnsi="Arial" w:cs="Arial"/>
          <w:b w:val="0"/>
          <w:bCs w:val="0"/>
          <w:sz w:val="20"/>
          <w:szCs w:val="20"/>
        </w:rPr>
        <w:t>higher-income states</w:t>
      </w:r>
      <w:r>
        <w:rPr>
          <w:rFonts w:ascii="Arial" w:hAnsi="Arial" w:cs="Arial"/>
          <w:sz w:val="20"/>
          <w:szCs w:val="20"/>
        </w:rPr>
        <w:t xml:space="preserve">.  Additionally, the median growth rate, which represents the middle value in the distribution, is also higher for </w:t>
      </w:r>
      <w:r>
        <w:rPr>
          <w:rStyle w:val="Strong"/>
          <w:rFonts w:ascii="Arial" w:hAnsi="Arial" w:cs="Arial"/>
          <w:b w:val="0"/>
          <w:bCs w:val="0"/>
          <w:sz w:val="20"/>
          <w:szCs w:val="20"/>
        </w:rPr>
        <w:t>lower-income states</w:t>
      </w:r>
      <w:r>
        <w:rPr>
          <w:rStyle w:val="Strong"/>
          <w:rFonts w:ascii="Arial" w:hAnsi="Arial" w:cs="Arial"/>
          <w:sz w:val="20"/>
          <w:szCs w:val="20"/>
        </w:rPr>
        <w:t xml:space="preserve"> </w:t>
      </w:r>
      <w:r>
        <w:rPr>
          <w:rStyle w:val="Strong"/>
          <w:rFonts w:ascii="Arial" w:hAnsi="Arial" w:cs="Arial"/>
          <w:b w:val="0"/>
          <w:bCs w:val="0"/>
          <w:sz w:val="20"/>
          <w:szCs w:val="20"/>
        </w:rPr>
        <w:t>(2.29%)</w:t>
      </w:r>
      <w:r>
        <w:rPr>
          <w:rFonts w:ascii="Arial" w:hAnsi="Arial" w:cs="Arial"/>
          <w:sz w:val="20"/>
          <w:szCs w:val="20"/>
        </w:rPr>
        <w:t xml:space="preserve"> compared to </w:t>
      </w:r>
      <w:r>
        <w:rPr>
          <w:rStyle w:val="Strong"/>
          <w:rFonts w:ascii="Arial" w:hAnsi="Arial" w:cs="Arial"/>
          <w:b w:val="0"/>
          <w:bCs w:val="0"/>
          <w:sz w:val="20"/>
          <w:szCs w:val="20"/>
        </w:rPr>
        <w:t>higher-income states (0.90%)</w:t>
      </w:r>
      <w:r>
        <w:rPr>
          <w:rFonts w:ascii="Arial" w:hAnsi="Arial" w:cs="Arial"/>
          <w:b/>
          <w:bCs/>
          <w:sz w:val="20"/>
          <w:szCs w:val="20"/>
        </w:rPr>
        <w:t>.</w:t>
      </w:r>
      <w:r>
        <w:rPr>
          <w:rFonts w:ascii="Arial" w:hAnsi="Arial" w:cs="Arial"/>
          <w:sz w:val="20"/>
          <w:szCs w:val="20"/>
        </w:rPr>
        <w:t xml:space="preserve"> This reinforces the finding that lower-income states generally perform better in terms of agricultural growth. The </w:t>
      </w:r>
      <w:r>
        <w:rPr>
          <w:rStyle w:val="Strong"/>
          <w:rFonts w:ascii="Arial" w:hAnsi="Arial" w:cs="Arial"/>
          <w:b w:val="0"/>
          <w:bCs w:val="0"/>
          <w:sz w:val="20"/>
          <w:szCs w:val="20"/>
        </w:rPr>
        <w:t>variance</w:t>
      </w:r>
      <w:r>
        <w:rPr>
          <w:rFonts w:ascii="Arial" w:hAnsi="Arial" w:cs="Arial"/>
          <w:b/>
          <w:bCs/>
          <w:sz w:val="20"/>
          <w:szCs w:val="20"/>
        </w:rPr>
        <w:t xml:space="preserve"> </w:t>
      </w:r>
      <w:r>
        <w:rPr>
          <w:rFonts w:ascii="Arial" w:hAnsi="Arial" w:cs="Arial"/>
          <w:sz w:val="20"/>
          <w:szCs w:val="20"/>
        </w:rPr>
        <w:t>and</w:t>
      </w:r>
      <w:r>
        <w:rPr>
          <w:rFonts w:ascii="Arial" w:hAnsi="Arial" w:cs="Arial"/>
          <w:b/>
          <w:bCs/>
          <w:sz w:val="20"/>
          <w:szCs w:val="20"/>
        </w:rPr>
        <w:t xml:space="preserve"> </w:t>
      </w:r>
      <w:r>
        <w:rPr>
          <w:rStyle w:val="Strong"/>
          <w:rFonts w:ascii="Arial" w:hAnsi="Arial" w:cs="Arial"/>
          <w:b w:val="0"/>
          <w:bCs w:val="0"/>
          <w:sz w:val="20"/>
          <w:szCs w:val="20"/>
        </w:rPr>
        <w:t>standard deviation</w:t>
      </w:r>
      <w:r>
        <w:rPr>
          <w:rFonts w:ascii="Arial" w:hAnsi="Arial" w:cs="Arial"/>
          <w:sz w:val="20"/>
          <w:szCs w:val="20"/>
        </w:rPr>
        <w:t xml:space="preserve"> are both higher for </w:t>
      </w:r>
      <w:r>
        <w:rPr>
          <w:rStyle w:val="Strong"/>
          <w:rFonts w:ascii="Arial" w:hAnsi="Arial" w:cs="Arial"/>
          <w:b w:val="0"/>
          <w:bCs w:val="0"/>
          <w:sz w:val="20"/>
          <w:szCs w:val="20"/>
        </w:rPr>
        <w:t>lower-income states</w:t>
      </w:r>
      <w:r>
        <w:rPr>
          <w:rFonts w:ascii="Arial" w:hAnsi="Arial" w:cs="Arial"/>
          <w:sz w:val="20"/>
          <w:szCs w:val="20"/>
        </w:rPr>
        <w:t xml:space="preserve"> (239.57 and 15.48, respectively) than for </w:t>
      </w:r>
      <w:r>
        <w:rPr>
          <w:rStyle w:val="Strong"/>
          <w:rFonts w:ascii="Arial" w:hAnsi="Arial" w:cs="Arial"/>
          <w:b w:val="0"/>
          <w:bCs w:val="0"/>
          <w:sz w:val="20"/>
          <w:szCs w:val="20"/>
        </w:rPr>
        <w:t>higher-income states</w:t>
      </w:r>
      <w:r>
        <w:rPr>
          <w:rFonts w:ascii="Arial" w:hAnsi="Arial" w:cs="Arial"/>
          <w:sz w:val="20"/>
          <w:szCs w:val="20"/>
        </w:rPr>
        <w:t xml:space="preserve"> (148.26 and 12.18, respectively). This suggests that while lower-income states show higher agricultural growth, their performance is more inconsistent, with greater fluctuations across states or over time. In contrast, higher-income states exhibit less variability, albeit at lower growth levels.</w:t>
      </w:r>
    </w:p>
    <w:p>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Agricultural growth patterns across Indian states reveal a surprising and insightful trend: lower-income states have often recorded stronger growth in agriculture compared to higher-income states. This observation challenges the traditional expectation that wealthier regions, with better infrastructure and resources, would lead in all sectors, including agriculture. In reality, high-income states such as Maharashtra, Gujarat, and Tamil Nadu have shifted their economic focus towards industry and services, in line with the structural transformation theory (Kuznets, 1955), which explains how economies transition from agriculture to more productive sectors as they develop. As a result, agriculture in these states has witnessed relatively slower growth.</w:t>
      </w:r>
    </w:p>
    <w:p>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On the other hand, many lower-income states like Bihar, Odisha, and Madhya Pradesh—where agriculture remains a central source of livelihood—have demonstrated higher agricultural growth rates in recent years. This trend can be explained using Lewis’s Dual Sector Model (Lewis, 1954), which highlights how underdeveloped economies with surplus </w:t>
      </w:r>
      <w:proofErr w:type="spellStart"/>
      <w:r>
        <w:rPr>
          <w:rFonts w:ascii="Arial" w:eastAsia="Times New Roman" w:hAnsi="Arial" w:cs="Arial"/>
          <w:kern w:val="0"/>
          <w:sz w:val="20"/>
          <w:szCs w:val="20"/>
          <w:lang w:bidi="ml-IN"/>
          <w14:ligatures w14:val="none"/>
        </w:rPr>
        <w:t>labour</w:t>
      </w:r>
      <w:proofErr w:type="spellEnd"/>
      <w:r>
        <w:rPr>
          <w:rFonts w:ascii="Arial" w:eastAsia="Times New Roman" w:hAnsi="Arial" w:cs="Arial"/>
          <w:kern w:val="0"/>
          <w:sz w:val="20"/>
          <w:szCs w:val="20"/>
          <w:lang w:bidi="ml-IN"/>
          <w14:ligatures w14:val="none"/>
        </w:rPr>
        <w:t xml:space="preserve"> in agriculture can achieve substantial gains through improved productivity and institutional support. Government schemes, rural employment programs, and investment in irrigation and technology have helped these states leverage their agricultural potential.</w:t>
      </w:r>
    </w:p>
    <w:p>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Moreover, this pattern reflects the principle of conditional convergence (Barro &amp; Sala-</w:t>
      </w:r>
      <w:proofErr w:type="spellStart"/>
      <w:r>
        <w:rPr>
          <w:rFonts w:ascii="Arial" w:eastAsia="Times New Roman" w:hAnsi="Arial" w:cs="Arial"/>
          <w:kern w:val="0"/>
          <w:sz w:val="20"/>
          <w:szCs w:val="20"/>
          <w:lang w:bidi="ml-IN"/>
          <w14:ligatures w14:val="none"/>
        </w:rPr>
        <w:t>i</w:t>
      </w:r>
      <w:proofErr w:type="spellEnd"/>
      <w:r>
        <w:rPr>
          <w:rFonts w:ascii="Arial" w:eastAsia="Times New Roman" w:hAnsi="Arial" w:cs="Arial"/>
          <w:kern w:val="0"/>
          <w:sz w:val="20"/>
          <w:szCs w:val="20"/>
          <w:lang w:bidi="ml-IN"/>
          <w14:ligatures w14:val="none"/>
        </w:rPr>
        <w:t xml:space="preserve">-Martin, 1992), which suggests that poorer regions can grow faster if they adopt the right policies and institutions. In this context, agricultural growth has become a critical driver for economic upliftment in lower-income </w:t>
      </w:r>
      <w:r>
        <w:rPr>
          <w:rFonts w:ascii="Arial" w:eastAsia="Times New Roman" w:hAnsi="Arial" w:cs="Arial"/>
          <w:kern w:val="0"/>
          <w:sz w:val="20"/>
          <w:szCs w:val="20"/>
          <w:lang w:bidi="ml-IN"/>
          <w14:ligatures w14:val="none"/>
        </w:rPr>
        <w:lastRenderedPageBreak/>
        <w:t xml:space="preserve">states, helping them narrow the development gap with more </w:t>
      </w:r>
      <w:proofErr w:type="spellStart"/>
      <w:r>
        <w:rPr>
          <w:rFonts w:ascii="Arial" w:eastAsia="Times New Roman" w:hAnsi="Arial" w:cs="Arial"/>
          <w:kern w:val="0"/>
          <w:sz w:val="20"/>
          <w:szCs w:val="20"/>
          <w:lang w:bidi="ml-IN"/>
          <w14:ligatures w14:val="none"/>
        </w:rPr>
        <w:t>industrialised</w:t>
      </w:r>
      <w:proofErr w:type="spellEnd"/>
      <w:r>
        <w:rPr>
          <w:rFonts w:ascii="Arial" w:eastAsia="Times New Roman" w:hAnsi="Arial" w:cs="Arial"/>
          <w:kern w:val="0"/>
          <w:sz w:val="20"/>
          <w:szCs w:val="20"/>
          <w:lang w:bidi="ml-IN"/>
          <w14:ligatures w14:val="none"/>
        </w:rPr>
        <w:t xml:space="preserve"> regions. Understanding this divergence is key to formulating targeted agricultural and regional development policies in India.</w:t>
      </w:r>
    </w:p>
    <w:p>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Additionally, this higher growth in agriculture may also reflect the focused policy interventions and increased public investment in rural and agricultural development, particularly in less-developed regions. Government schemes such as PM-KISAN, </w:t>
      </w:r>
      <w:proofErr w:type="spellStart"/>
      <w:r>
        <w:rPr>
          <w:rFonts w:ascii="Arial" w:eastAsia="Times New Roman" w:hAnsi="Arial" w:cs="Arial"/>
          <w:kern w:val="0"/>
          <w:sz w:val="20"/>
          <w:szCs w:val="20"/>
          <w:lang w:bidi="ml-IN"/>
          <w14:ligatures w14:val="none"/>
        </w:rPr>
        <w:t>Rashtriya</w:t>
      </w:r>
      <w:proofErr w:type="spellEnd"/>
      <w:r>
        <w:rPr>
          <w:rFonts w:ascii="Arial" w:eastAsia="Times New Roman" w:hAnsi="Arial" w:cs="Arial"/>
          <w:kern w:val="0"/>
          <w:sz w:val="20"/>
          <w:szCs w:val="20"/>
          <w:lang w:bidi="ml-IN"/>
          <w14:ligatures w14:val="none"/>
        </w:rPr>
        <w:t xml:space="preserve"> Krishi Vikas Yojana (RKVY), and soil health and irrigation programs might have contributed to enhanced agricultural performance in these states. However, it is also important to consider structural differences—higher-income states may have a more diversified economic base, with a greater emphasis on industry and services, which could explain their relatively slower agricultural growth.</w:t>
      </w:r>
    </w:p>
    <w:p>
      <w:pPr>
        <w:spacing w:after="0" w:line="276" w:lineRule="auto"/>
        <w:jc w:val="both"/>
        <w:rPr>
          <w:rFonts w:ascii="Arial" w:eastAsia="Times New Roman" w:hAnsi="Arial" w:cs="Arial"/>
          <w:b/>
          <w:bCs/>
          <w:kern w:val="0"/>
          <w:sz w:val="22"/>
          <w:szCs w:val="22"/>
          <w:lang w:bidi="ml-IN"/>
          <w14:ligatures w14:val="none"/>
        </w:rPr>
      </w:pPr>
      <w:r>
        <w:rPr>
          <w:rFonts w:ascii="Arial" w:eastAsia="Times New Roman" w:hAnsi="Arial" w:cs="Arial"/>
          <w:b/>
          <w:bCs/>
          <w:kern w:val="0"/>
          <w:sz w:val="22"/>
          <w:szCs w:val="22"/>
          <w:lang w:bidi="ml-IN"/>
          <w14:ligatures w14:val="none"/>
        </w:rPr>
        <w:t>3.4 Industrial Growth: Difference between Low-Income and High-Income States</w:t>
      </w:r>
    </w:p>
    <w:p>
      <w:pPr>
        <w:spacing w:after="0" w:line="240" w:lineRule="auto"/>
        <w:jc w:val="both"/>
        <w:rPr>
          <w:rFonts w:ascii="Arial" w:hAnsi="Arial" w:cs="Arial"/>
          <w:sz w:val="20"/>
          <w:szCs w:val="20"/>
        </w:rPr>
      </w:pPr>
      <w:r>
        <w:rPr>
          <w:rFonts w:ascii="Arial" w:hAnsi="Arial" w:cs="Arial"/>
          <w:sz w:val="20"/>
          <w:szCs w:val="20"/>
        </w:rPr>
        <w:t xml:space="preserve">The industrial sector plays a pivotal role in driving economic development by generating employment, increasing productivity, and contributing significantly to Gross State Domestic Product (GSDP). In the context of India's regional economic disparities, </w:t>
      </w:r>
      <w:proofErr w:type="spellStart"/>
      <w:r>
        <w:rPr>
          <w:rFonts w:ascii="Arial" w:hAnsi="Arial" w:cs="Arial"/>
          <w:sz w:val="20"/>
          <w:szCs w:val="20"/>
        </w:rPr>
        <w:t>analysing</w:t>
      </w:r>
      <w:proofErr w:type="spellEnd"/>
      <w:r>
        <w:rPr>
          <w:rFonts w:ascii="Arial" w:hAnsi="Arial" w:cs="Arial"/>
          <w:sz w:val="20"/>
          <w:szCs w:val="20"/>
        </w:rPr>
        <w:t xml:space="preserve"> the performance of the industrial sector across lower- and higher-income states provides valuable insights into structural imbalances and policy impacts. This section presents the descriptive statistics on the growth rate of Net Value Added (NVA) by industry across Indian states, classified by income levels, over the period from 2011–12 to 2023–24. The data, measured at constant prices with the 2011–12 base year, highlights variations in industrial growth that reflect broader patterns of economic divergence. Such disparities often stem from differences in infrastructure, investment climates, and access to capital and skilled </w:t>
      </w:r>
      <w:proofErr w:type="spellStart"/>
      <w:r>
        <w:rPr>
          <w:rFonts w:ascii="Arial" w:hAnsi="Arial" w:cs="Arial"/>
          <w:sz w:val="20"/>
          <w:szCs w:val="20"/>
        </w:rPr>
        <w:t>labour</w:t>
      </w:r>
      <w:proofErr w:type="spellEnd"/>
      <w:r>
        <w:rPr>
          <w:rFonts w:ascii="Arial" w:hAnsi="Arial" w:cs="Arial"/>
          <w:sz w:val="20"/>
          <w:szCs w:val="20"/>
        </w:rPr>
        <w:t xml:space="preserve"> (Ahluwalia, 2000; Ghosh, 2020). Table 3 offers a comparative perspective on the industrial growth performance of higher and lower income states.</w:t>
      </w:r>
    </w:p>
    <w:p>
      <w:pPr>
        <w:spacing w:after="0" w:line="240" w:lineRule="auto"/>
        <w:jc w:val="center"/>
        <w:rPr>
          <w:rFonts w:ascii="Arial" w:eastAsia="Times New Roman" w:hAnsi="Arial" w:cs="Arial"/>
          <w:b/>
          <w:bCs/>
          <w:kern w:val="0"/>
          <w:sz w:val="20"/>
          <w:szCs w:val="20"/>
          <w:lang w:bidi="ml-IN"/>
          <w14:ligatures w14:val="none"/>
        </w:rPr>
      </w:pPr>
    </w:p>
    <w:p>
      <w:pPr>
        <w:spacing w:after="0" w:line="240" w:lineRule="auto"/>
        <w:jc w:val="center"/>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Table 3. Industrial Growth Rates of Higher and Lower Income States</w:t>
      </w:r>
    </w:p>
    <w:p>
      <w:pPr>
        <w:spacing w:after="0" w:line="240" w:lineRule="auto"/>
        <w:jc w:val="center"/>
        <w:rPr>
          <w:rFonts w:ascii="Arial" w:eastAsia="Times New Roman" w:hAnsi="Arial" w:cs="Arial"/>
          <w:kern w:val="0"/>
          <w:sz w:val="20"/>
          <w:szCs w:val="20"/>
          <w:lang w:bidi="ml-IN"/>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120"/>
        <w:gridCol w:w="1108"/>
        <w:gridCol w:w="1286"/>
        <w:gridCol w:w="1042"/>
        <w:gridCol w:w="2031"/>
      </w:tblGrid>
      <w:tr>
        <w:trPr>
          <w:trHeight w:val="773"/>
          <w:jc w:val="center"/>
        </w:trPr>
        <w:tc>
          <w:tcPr>
            <w:tcW w:w="0" w:type="auto"/>
            <w:tcMar>
              <w:top w:w="0" w:type="dxa"/>
              <w:left w:w="115" w:type="dxa"/>
              <w:bottom w:w="0" w:type="dxa"/>
              <w:right w:w="115" w:type="dxa"/>
            </w:tcMar>
            <w:hideMark/>
          </w:tcPr>
          <w:p>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Category of states</w:t>
            </w:r>
          </w:p>
        </w:tc>
        <w:tc>
          <w:tcPr>
            <w:tcW w:w="0" w:type="auto"/>
            <w:tcMar>
              <w:top w:w="0" w:type="dxa"/>
              <w:left w:w="115" w:type="dxa"/>
              <w:bottom w:w="0" w:type="dxa"/>
              <w:right w:w="115" w:type="dxa"/>
            </w:tcMar>
            <w:hideMark/>
          </w:tcPr>
          <w:p>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Mean (%)</w:t>
            </w:r>
          </w:p>
        </w:tc>
        <w:tc>
          <w:tcPr>
            <w:tcW w:w="0" w:type="auto"/>
            <w:tcMar>
              <w:top w:w="0" w:type="dxa"/>
              <w:left w:w="115" w:type="dxa"/>
              <w:bottom w:w="0" w:type="dxa"/>
              <w:right w:w="115" w:type="dxa"/>
            </w:tcMar>
            <w:hideMark/>
          </w:tcPr>
          <w:p>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Median (%)</w:t>
            </w:r>
          </w:p>
        </w:tc>
        <w:tc>
          <w:tcPr>
            <w:tcW w:w="0" w:type="auto"/>
            <w:tcMar>
              <w:top w:w="0" w:type="dxa"/>
              <w:left w:w="115" w:type="dxa"/>
              <w:bottom w:w="0" w:type="dxa"/>
              <w:right w:w="115" w:type="dxa"/>
            </w:tcMar>
            <w:hideMark/>
          </w:tcPr>
          <w:p>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variance</w:t>
            </w:r>
          </w:p>
        </w:tc>
        <w:tc>
          <w:tcPr>
            <w:tcW w:w="0" w:type="auto"/>
            <w:tcMar>
              <w:top w:w="0" w:type="dxa"/>
              <w:left w:w="115" w:type="dxa"/>
              <w:bottom w:w="0" w:type="dxa"/>
              <w:right w:w="115" w:type="dxa"/>
            </w:tcMar>
            <w:hideMark/>
          </w:tcPr>
          <w:p>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Standard deviation</w:t>
            </w:r>
          </w:p>
        </w:tc>
      </w:tr>
      <w:tr>
        <w:trPr>
          <w:trHeight w:val="700"/>
          <w:jc w:val="center"/>
        </w:trPr>
        <w:tc>
          <w:tcPr>
            <w:tcW w:w="0" w:type="auto"/>
            <w:tcMar>
              <w:top w:w="0" w:type="dxa"/>
              <w:left w:w="115" w:type="dxa"/>
              <w:bottom w:w="0" w:type="dxa"/>
              <w:right w:w="115" w:type="dxa"/>
            </w:tcMar>
            <w:hideMark/>
          </w:tcPr>
          <w:p>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Lower-income states</w:t>
            </w:r>
          </w:p>
        </w:tc>
        <w:tc>
          <w:tcPr>
            <w:tcW w:w="0" w:type="auto"/>
            <w:tcMar>
              <w:top w:w="0" w:type="dxa"/>
              <w:left w:w="115" w:type="dxa"/>
              <w:bottom w:w="0" w:type="dxa"/>
              <w:right w:w="115" w:type="dxa"/>
            </w:tcMar>
            <w:hideMark/>
          </w:tcPr>
          <w:p>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5.99</w:t>
            </w:r>
          </w:p>
          <w:p>
            <w:pPr>
              <w:spacing w:before="100" w:beforeAutospacing="1" w:after="100" w:afterAutospacing="1"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hideMark/>
          </w:tcPr>
          <w:p>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5.87</w:t>
            </w:r>
          </w:p>
          <w:p>
            <w:pPr>
              <w:spacing w:before="100" w:beforeAutospacing="1" w:after="100" w:afterAutospacing="1"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hideMark/>
          </w:tcPr>
          <w:p>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190.56</w:t>
            </w:r>
          </w:p>
          <w:p>
            <w:pPr>
              <w:spacing w:before="100" w:beforeAutospacing="1" w:after="100" w:afterAutospacing="1"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hideMark/>
          </w:tcPr>
          <w:p>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13.80</w:t>
            </w:r>
          </w:p>
          <w:p>
            <w:pPr>
              <w:spacing w:before="100" w:beforeAutospacing="1" w:after="100" w:afterAutospacing="1" w:line="240" w:lineRule="auto"/>
              <w:jc w:val="both"/>
              <w:rPr>
                <w:rFonts w:ascii="Arial" w:eastAsia="Times New Roman" w:hAnsi="Arial" w:cs="Arial"/>
                <w:kern w:val="0"/>
                <w:sz w:val="20"/>
                <w:szCs w:val="20"/>
                <w:lang w:bidi="ml-IN"/>
                <w14:ligatures w14:val="none"/>
              </w:rPr>
            </w:pPr>
          </w:p>
        </w:tc>
      </w:tr>
      <w:tr>
        <w:trPr>
          <w:trHeight w:val="554"/>
          <w:jc w:val="center"/>
        </w:trPr>
        <w:tc>
          <w:tcPr>
            <w:tcW w:w="0" w:type="auto"/>
            <w:tcMar>
              <w:top w:w="0" w:type="dxa"/>
              <w:left w:w="115" w:type="dxa"/>
              <w:bottom w:w="0" w:type="dxa"/>
              <w:right w:w="115" w:type="dxa"/>
            </w:tcMar>
            <w:hideMark/>
          </w:tcPr>
          <w:p>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Higher-income states</w:t>
            </w:r>
          </w:p>
        </w:tc>
        <w:tc>
          <w:tcPr>
            <w:tcW w:w="0" w:type="auto"/>
            <w:tcMar>
              <w:top w:w="0" w:type="dxa"/>
              <w:left w:w="115" w:type="dxa"/>
              <w:bottom w:w="0" w:type="dxa"/>
              <w:right w:w="115" w:type="dxa"/>
            </w:tcMar>
            <w:hideMark/>
          </w:tcPr>
          <w:p>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6.11</w:t>
            </w:r>
          </w:p>
          <w:p>
            <w:pPr>
              <w:spacing w:before="100" w:beforeAutospacing="1" w:after="100" w:afterAutospacing="1"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hideMark/>
          </w:tcPr>
          <w:p>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6.84</w:t>
            </w:r>
          </w:p>
          <w:p>
            <w:pPr>
              <w:spacing w:before="100" w:beforeAutospacing="1" w:after="100" w:afterAutospacing="1"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hideMark/>
          </w:tcPr>
          <w:p>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112.08</w:t>
            </w:r>
          </w:p>
          <w:p>
            <w:pPr>
              <w:spacing w:before="100" w:beforeAutospacing="1" w:after="100" w:afterAutospacing="1"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hideMark/>
          </w:tcPr>
          <w:p>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10.59</w:t>
            </w:r>
          </w:p>
          <w:p>
            <w:pPr>
              <w:spacing w:before="100" w:beforeAutospacing="1" w:after="100" w:afterAutospacing="1" w:line="240" w:lineRule="auto"/>
              <w:jc w:val="both"/>
              <w:rPr>
                <w:rFonts w:ascii="Arial" w:eastAsia="Times New Roman" w:hAnsi="Arial" w:cs="Arial"/>
                <w:kern w:val="0"/>
                <w:sz w:val="20"/>
                <w:szCs w:val="20"/>
                <w:lang w:bidi="ml-IN"/>
                <w14:ligatures w14:val="none"/>
              </w:rPr>
            </w:pPr>
          </w:p>
        </w:tc>
      </w:tr>
    </w:tbl>
    <w:p>
      <w:pPr>
        <w:spacing w:after="0" w:line="240" w:lineRule="auto"/>
        <w:ind w:left="720"/>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Source: Source: RBI Handbook of Statistics (2024); State Directorates of Economics &amp; Statistics.</w:t>
      </w:r>
    </w:p>
    <w:p>
      <w:pPr>
        <w:spacing w:after="0" w:line="240" w:lineRule="auto"/>
        <w:jc w:val="both"/>
        <w:rPr>
          <w:rFonts w:ascii="Arial" w:eastAsia="Times New Roman" w:hAnsi="Arial" w:cs="Arial"/>
          <w:kern w:val="0"/>
          <w:sz w:val="20"/>
          <w:szCs w:val="20"/>
          <w:lang w:bidi="ml-IN"/>
          <w14:ligatures w14:val="none"/>
        </w:rPr>
      </w:pPr>
    </w:p>
    <w:p>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Table 3 presents the descriptive statistics of industrial growth rates—measured in terms of Net Value Added (NVA) at constant 2011–12 prices—for lower and higher income Indian states over the period 2011–12 to 2023–24. The data, compiled from RBI (2024) and state-level Directorate of Economics and Statistics, highlights both central tendencies and dispersion measures across income-based categories.</w:t>
      </w:r>
    </w:p>
    <w:p>
      <w:pPr>
        <w:spacing w:after="0" w:line="240" w:lineRule="auto"/>
        <w:jc w:val="both"/>
        <w:rPr>
          <w:rFonts w:ascii="Arial" w:eastAsia="Times New Roman" w:hAnsi="Arial" w:cs="Arial"/>
          <w:kern w:val="0"/>
          <w:sz w:val="20"/>
          <w:szCs w:val="20"/>
          <w:lang w:bidi="ml-IN"/>
          <w14:ligatures w14:val="none"/>
        </w:rPr>
      </w:pPr>
    </w:p>
    <w:p>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mean industrial growth rate is slightly higher in higher-income states (6.11%) compared to lower-income states (5.99%). However, the median growth rate of higher-income states (6.84%) significantly exceeds that of lower-income states (5.87%), suggesting that a few states with slower growth may be dragging down the average among high-income states. This reflects the notion of convergence failure, where poorer regions do not necessarily catch up with wealthier ones in industrial development, despite overall national growth (Barro &amp; Sala-</w:t>
      </w:r>
      <w:proofErr w:type="spellStart"/>
      <w:r>
        <w:rPr>
          <w:rFonts w:ascii="Arial" w:eastAsia="Times New Roman" w:hAnsi="Arial" w:cs="Arial"/>
          <w:kern w:val="0"/>
          <w:sz w:val="20"/>
          <w:szCs w:val="20"/>
          <w:lang w:bidi="ml-IN"/>
          <w14:ligatures w14:val="none"/>
        </w:rPr>
        <w:t>i</w:t>
      </w:r>
      <w:proofErr w:type="spellEnd"/>
      <w:r>
        <w:rPr>
          <w:rFonts w:ascii="Arial" w:eastAsia="Times New Roman" w:hAnsi="Arial" w:cs="Arial"/>
          <w:kern w:val="0"/>
          <w:sz w:val="20"/>
          <w:szCs w:val="20"/>
          <w:lang w:bidi="ml-IN"/>
          <w14:ligatures w14:val="none"/>
        </w:rPr>
        <w:t xml:space="preserve">-Martin, 1992). </w:t>
      </w:r>
    </w:p>
    <w:p>
      <w:pPr>
        <w:spacing w:after="0" w:line="240" w:lineRule="auto"/>
        <w:jc w:val="both"/>
        <w:rPr>
          <w:rFonts w:ascii="Arial" w:eastAsia="Times New Roman" w:hAnsi="Arial" w:cs="Arial"/>
          <w:kern w:val="0"/>
          <w:sz w:val="20"/>
          <w:szCs w:val="20"/>
          <w:lang w:bidi="ml-IN"/>
          <w14:ligatures w14:val="none"/>
        </w:rPr>
      </w:pPr>
    </w:p>
    <w:p>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The variance (190.56) and standard deviation (13.80) of lower-income states are substantially higher than those of higher-income states (variance: 112.08; SD: 10.59). This indicates that industrial growth is more volatile and uneven in lower-income states. According to structuralist perspectives (Hirschman, 1958), such disparities may arise due to uneven access to infrastructure, capital, skilled </w:t>
      </w:r>
      <w:proofErr w:type="spellStart"/>
      <w:r>
        <w:rPr>
          <w:rFonts w:ascii="Arial" w:eastAsia="Times New Roman" w:hAnsi="Arial" w:cs="Arial"/>
          <w:kern w:val="0"/>
          <w:sz w:val="20"/>
          <w:szCs w:val="20"/>
          <w:lang w:bidi="ml-IN"/>
          <w14:ligatures w14:val="none"/>
        </w:rPr>
        <w:t>labour</w:t>
      </w:r>
      <w:proofErr w:type="spellEnd"/>
      <w:r>
        <w:rPr>
          <w:rFonts w:ascii="Arial" w:eastAsia="Times New Roman" w:hAnsi="Arial" w:cs="Arial"/>
          <w:kern w:val="0"/>
          <w:sz w:val="20"/>
          <w:szCs w:val="20"/>
          <w:lang w:bidi="ml-IN"/>
          <w14:ligatures w14:val="none"/>
        </w:rPr>
        <w:t>, and institutional support, which are often concentrated in economically advanced regions.</w:t>
      </w:r>
    </w:p>
    <w:p>
      <w:pPr>
        <w:spacing w:after="0" w:line="240" w:lineRule="auto"/>
        <w:jc w:val="both"/>
        <w:rPr>
          <w:rFonts w:ascii="Arial" w:eastAsia="Times New Roman" w:hAnsi="Arial" w:cs="Arial"/>
          <w:kern w:val="0"/>
          <w:sz w:val="20"/>
          <w:szCs w:val="20"/>
          <w:lang w:bidi="ml-IN"/>
          <w14:ligatures w14:val="none"/>
        </w:rPr>
      </w:pPr>
    </w:p>
    <w:p>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Moreover, empirical evidence supports this heterogeneity. For instance, Ghosh (2020) found that industrial growth in lagging states such as Bihar and Odisha </w:t>
      </w:r>
      <w:proofErr w:type="gramStart"/>
      <w:r>
        <w:rPr>
          <w:rFonts w:ascii="Arial" w:eastAsia="Times New Roman" w:hAnsi="Arial" w:cs="Arial"/>
          <w:kern w:val="0"/>
          <w:sz w:val="20"/>
          <w:szCs w:val="20"/>
          <w:lang w:bidi="ml-IN"/>
          <w14:ligatures w14:val="none"/>
        </w:rPr>
        <w:t>fluctuates</w:t>
      </w:r>
      <w:proofErr w:type="gramEnd"/>
      <w:r>
        <w:rPr>
          <w:rFonts w:ascii="Arial" w:eastAsia="Times New Roman" w:hAnsi="Arial" w:cs="Arial"/>
          <w:kern w:val="0"/>
          <w:sz w:val="20"/>
          <w:szCs w:val="20"/>
          <w:lang w:bidi="ml-IN"/>
          <w14:ligatures w14:val="none"/>
        </w:rPr>
        <w:t xml:space="preserve"> significantly due to inadequate investment and poor logistical support. Conversely, states like Gujarat and Tamil Nadu maintain </w:t>
      </w:r>
      <w:r>
        <w:rPr>
          <w:rFonts w:ascii="Arial" w:eastAsia="Times New Roman" w:hAnsi="Arial" w:cs="Arial"/>
          <w:kern w:val="0"/>
          <w:sz w:val="20"/>
          <w:szCs w:val="20"/>
          <w:lang w:bidi="ml-IN"/>
          <w14:ligatures w14:val="none"/>
        </w:rPr>
        <w:lastRenderedPageBreak/>
        <w:t xml:space="preserve">relatively stable growth due to industrial clusters, </w:t>
      </w:r>
      <w:proofErr w:type="spellStart"/>
      <w:r>
        <w:rPr>
          <w:rFonts w:ascii="Arial" w:eastAsia="Times New Roman" w:hAnsi="Arial" w:cs="Arial"/>
          <w:kern w:val="0"/>
          <w:sz w:val="20"/>
          <w:szCs w:val="20"/>
          <w:lang w:bidi="ml-IN"/>
          <w14:ligatures w14:val="none"/>
        </w:rPr>
        <w:t>favourable</w:t>
      </w:r>
      <w:proofErr w:type="spellEnd"/>
      <w:r>
        <w:rPr>
          <w:rFonts w:ascii="Arial" w:eastAsia="Times New Roman" w:hAnsi="Arial" w:cs="Arial"/>
          <w:kern w:val="0"/>
          <w:sz w:val="20"/>
          <w:szCs w:val="20"/>
          <w:lang w:bidi="ml-IN"/>
          <w14:ligatures w14:val="none"/>
        </w:rPr>
        <w:t xml:space="preserve"> policies, and better governance structures (Mukherji, 2013).</w:t>
      </w:r>
    </w:p>
    <w:p>
      <w:pPr>
        <w:spacing w:after="0" w:line="240" w:lineRule="auto"/>
        <w:jc w:val="both"/>
        <w:rPr>
          <w:rFonts w:ascii="Arial" w:eastAsia="Times New Roman" w:hAnsi="Arial" w:cs="Arial"/>
          <w:kern w:val="0"/>
          <w:sz w:val="20"/>
          <w:szCs w:val="20"/>
          <w:lang w:bidi="ml-IN"/>
          <w14:ligatures w14:val="none"/>
        </w:rPr>
      </w:pPr>
    </w:p>
    <w:p>
      <w:pPr>
        <w:spacing w:after="0" w:line="240" w:lineRule="auto"/>
        <w:jc w:val="both"/>
        <w:rPr>
          <w:rFonts w:ascii="Arial" w:eastAsia="Times New Roman" w:hAnsi="Arial" w:cs="Arial"/>
          <w:kern w:val="0"/>
          <w:sz w:val="20"/>
          <w:szCs w:val="20"/>
          <w:lang w:bidi="ml-IN"/>
          <w14:ligatures w14:val="none"/>
        </w:rPr>
      </w:pPr>
      <w:bookmarkStart w:id="2" w:name="_Hlk204253886"/>
      <w:r>
        <w:rPr>
          <w:rFonts w:ascii="Arial" w:eastAsia="Times New Roman" w:hAnsi="Arial" w:cs="Arial"/>
          <w:kern w:val="0"/>
          <w:sz w:val="20"/>
          <w:szCs w:val="20"/>
          <w:lang w:bidi="ml-IN"/>
          <w14:ligatures w14:val="none"/>
        </w:rPr>
        <w:t>The findings from this table underscore persistent interstate disparities in industrial performance. They highlight the need for region-specific industrial policies tailored to local conditions, as advocated in the Balanced Regional Development theory (Myrdal, 1957). Targeted infrastructure development, fiscal incentives, and skill enhancement programs in lower-income states could help reduce volatility and stimulate sustained industrial growth.</w:t>
      </w:r>
    </w:p>
    <w:p>
      <w:pPr>
        <w:spacing w:after="0" w:line="240" w:lineRule="auto"/>
        <w:jc w:val="both"/>
        <w:rPr>
          <w:rFonts w:ascii="Arial" w:eastAsia="Times New Roman" w:hAnsi="Arial" w:cs="Arial"/>
          <w:kern w:val="0"/>
          <w:sz w:val="20"/>
          <w:szCs w:val="20"/>
          <w:lang w:bidi="ml-IN"/>
          <w14:ligatures w14:val="none"/>
        </w:rPr>
      </w:pPr>
    </w:p>
    <w:bookmarkEnd w:id="2"/>
    <w:p>
      <w:pPr>
        <w:spacing w:after="0" w:line="276" w:lineRule="auto"/>
        <w:jc w:val="both"/>
        <w:rPr>
          <w:rFonts w:ascii="Arial" w:eastAsia="Times New Roman" w:hAnsi="Arial" w:cs="Arial"/>
          <w:b/>
          <w:bCs/>
          <w:kern w:val="0"/>
          <w:sz w:val="22"/>
          <w:szCs w:val="22"/>
          <w:lang w:bidi="ml-IN"/>
          <w14:ligatures w14:val="none"/>
        </w:rPr>
      </w:pPr>
      <w:r>
        <w:rPr>
          <w:rFonts w:ascii="Arial" w:eastAsia="Times New Roman" w:hAnsi="Arial" w:cs="Arial"/>
          <w:b/>
          <w:bCs/>
          <w:kern w:val="0"/>
          <w:sz w:val="22"/>
          <w:szCs w:val="22"/>
          <w:lang w:bidi="ml-IN"/>
          <w14:ligatures w14:val="none"/>
        </w:rPr>
        <w:t>3.5 Service Sector Growth: Difference between Low-Income and High-Income States</w:t>
      </w:r>
    </w:p>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Accounting for over 50% of India’s Gross Domestic Product (GDP), the services sector has emerged as the dominant driver of national economic growth, supporting </w:t>
      </w:r>
      <w:proofErr w:type="spellStart"/>
      <w:r>
        <w:rPr>
          <w:rFonts w:ascii="Arial" w:eastAsia="Times New Roman" w:hAnsi="Arial" w:cs="Arial"/>
          <w:kern w:val="0"/>
          <w:sz w:val="20"/>
          <w:szCs w:val="20"/>
          <w:lang w:bidi="ml-IN"/>
          <w14:ligatures w14:val="none"/>
        </w:rPr>
        <w:t>urbanisation</w:t>
      </w:r>
      <w:proofErr w:type="spellEnd"/>
      <w:r>
        <w:rPr>
          <w:rFonts w:ascii="Arial" w:eastAsia="Times New Roman" w:hAnsi="Arial" w:cs="Arial"/>
          <w:kern w:val="0"/>
          <w:sz w:val="20"/>
          <w:szCs w:val="20"/>
          <w:lang w:bidi="ml-IN"/>
          <w14:ligatures w14:val="none"/>
        </w:rPr>
        <w:t>, employment generation, and digital advancement (Government of India, 2023). Nonetheless, growth within this sector has been highly uneven across Indian states. From 2011–12 to 2023–24, variations in the growth of Net Value Added (NVA) by the services sector—measured at constant 2011–12 prices—reflect deeper structural inequalities and differences in governance quality, human capital, digital infrastructure, and urban development (Ghosh, 2019). These disparities raise important questions about whether the services sector is promoting convergence or reinforcing divergence among regions. Table 4 presents descriptive statistics detailing the differences in services sector growth across states grouped by income levels.</w:t>
      </w:r>
    </w:p>
    <w:p>
      <w:pPr>
        <w:spacing w:before="240" w:after="0" w:line="240" w:lineRule="auto"/>
        <w:jc w:val="both"/>
        <w:rPr>
          <w:rFonts w:ascii="Arial" w:eastAsia="Times New Roman" w:hAnsi="Arial" w:cs="Arial"/>
          <w:kern w:val="0"/>
          <w:sz w:val="20"/>
          <w:szCs w:val="20"/>
          <w:lang w:bidi="ml-IN"/>
          <w14:ligatures w14:val="none"/>
        </w:rPr>
      </w:pPr>
    </w:p>
    <w:p>
      <w:pPr>
        <w:spacing w:after="0" w:line="240" w:lineRule="auto"/>
        <w:jc w:val="center"/>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Table 4. Service Sector Growth Rates of Higher and Lower Income States</w:t>
      </w:r>
    </w:p>
    <w:p>
      <w:pPr>
        <w:spacing w:after="0" w:line="240" w:lineRule="auto"/>
        <w:jc w:val="center"/>
        <w:rPr>
          <w:rFonts w:ascii="Times New Roman" w:eastAsia="Times New Roman" w:hAnsi="Times New Roman" w:cs="Times New Roman"/>
          <w:b/>
          <w:bCs/>
          <w:kern w:val="0"/>
          <w:lang w:bidi="ml-IN"/>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120"/>
        <w:gridCol w:w="1108"/>
        <w:gridCol w:w="1286"/>
        <w:gridCol w:w="1064"/>
        <w:gridCol w:w="1564"/>
      </w:tblGrid>
      <w:tr>
        <w:trPr>
          <w:trHeight w:hRule="exact" w:val="505"/>
          <w:jc w:val="center"/>
        </w:trPr>
        <w:tc>
          <w:tcPr>
            <w:tcW w:w="0" w:type="auto"/>
            <w:tcMar>
              <w:top w:w="0" w:type="dxa"/>
              <w:left w:w="115" w:type="dxa"/>
              <w:bottom w:w="0" w:type="dxa"/>
              <w:right w:w="115" w:type="dxa"/>
            </w:tcMar>
            <w:hideMark/>
          </w:tcPr>
          <w:p>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Category of States </w:t>
            </w:r>
          </w:p>
        </w:tc>
        <w:tc>
          <w:tcPr>
            <w:tcW w:w="0" w:type="auto"/>
            <w:tcMar>
              <w:top w:w="0" w:type="dxa"/>
              <w:left w:w="115" w:type="dxa"/>
              <w:bottom w:w="0" w:type="dxa"/>
              <w:right w:w="115" w:type="dxa"/>
            </w:tcMar>
            <w:hideMark/>
          </w:tcPr>
          <w:p>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Mean (%)</w:t>
            </w:r>
          </w:p>
        </w:tc>
        <w:tc>
          <w:tcPr>
            <w:tcW w:w="0" w:type="auto"/>
            <w:tcMar>
              <w:top w:w="0" w:type="dxa"/>
              <w:left w:w="115" w:type="dxa"/>
              <w:bottom w:w="0" w:type="dxa"/>
              <w:right w:w="115" w:type="dxa"/>
            </w:tcMar>
            <w:hideMark/>
          </w:tcPr>
          <w:p>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Median (%)</w:t>
            </w:r>
          </w:p>
        </w:tc>
        <w:tc>
          <w:tcPr>
            <w:tcW w:w="0" w:type="auto"/>
            <w:tcMar>
              <w:top w:w="0" w:type="dxa"/>
              <w:left w:w="115" w:type="dxa"/>
              <w:bottom w:w="0" w:type="dxa"/>
              <w:right w:w="115" w:type="dxa"/>
            </w:tcMar>
            <w:hideMark/>
          </w:tcPr>
          <w:p>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Variance</w:t>
            </w:r>
          </w:p>
        </w:tc>
        <w:tc>
          <w:tcPr>
            <w:tcW w:w="0" w:type="auto"/>
            <w:tcMar>
              <w:top w:w="0" w:type="dxa"/>
              <w:left w:w="115" w:type="dxa"/>
              <w:bottom w:w="0" w:type="dxa"/>
              <w:right w:w="115" w:type="dxa"/>
            </w:tcMar>
            <w:hideMark/>
          </w:tcPr>
          <w:p>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Std. Deviation</w:t>
            </w:r>
          </w:p>
        </w:tc>
      </w:tr>
      <w:tr>
        <w:trPr>
          <w:trHeight w:hRule="exact" w:val="658"/>
          <w:jc w:val="center"/>
        </w:trPr>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lower-income states </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5.27</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6.97</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111.10</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10.54</w:t>
            </w:r>
          </w:p>
        </w:tc>
      </w:tr>
      <w:tr>
        <w:trPr>
          <w:trHeight w:hRule="exact" w:val="631"/>
          <w:jc w:val="center"/>
        </w:trPr>
        <w:tc>
          <w:tcPr>
            <w:tcW w:w="0" w:type="auto"/>
            <w:tcMar>
              <w:top w:w="0" w:type="dxa"/>
              <w:left w:w="115" w:type="dxa"/>
              <w:bottom w:w="0" w:type="dxa"/>
              <w:right w:w="115" w:type="dxa"/>
            </w:tcMar>
            <w:hideMark/>
          </w:tcPr>
          <w:p>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Higher-income states</w:t>
            </w:r>
          </w:p>
        </w:tc>
        <w:tc>
          <w:tcPr>
            <w:tcW w:w="0" w:type="auto"/>
            <w:tcMar>
              <w:top w:w="0" w:type="dxa"/>
              <w:left w:w="115" w:type="dxa"/>
              <w:bottom w:w="0" w:type="dxa"/>
              <w:right w:w="115" w:type="dxa"/>
            </w:tcMar>
            <w:hideMark/>
          </w:tcPr>
          <w:p>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6.60</w:t>
            </w:r>
          </w:p>
        </w:tc>
        <w:tc>
          <w:tcPr>
            <w:tcW w:w="0" w:type="auto"/>
            <w:tcMar>
              <w:top w:w="0" w:type="dxa"/>
              <w:left w:w="115" w:type="dxa"/>
              <w:bottom w:w="0" w:type="dxa"/>
              <w:right w:w="115" w:type="dxa"/>
            </w:tcMar>
            <w:hideMark/>
          </w:tcPr>
          <w:p>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7.43</w:t>
            </w:r>
          </w:p>
        </w:tc>
        <w:tc>
          <w:tcPr>
            <w:tcW w:w="0" w:type="auto"/>
            <w:tcMar>
              <w:top w:w="0" w:type="dxa"/>
              <w:left w:w="115" w:type="dxa"/>
              <w:bottom w:w="0" w:type="dxa"/>
              <w:right w:w="115" w:type="dxa"/>
            </w:tcMar>
            <w:hideMark/>
          </w:tcPr>
          <w:p>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38.92</w:t>
            </w:r>
          </w:p>
        </w:tc>
        <w:tc>
          <w:tcPr>
            <w:tcW w:w="0" w:type="auto"/>
            <w:tcMar>
              <w:top w:w="0" w:type="dxa"/>
              <w:left w:w="115" w:type="dxa"/>
              <w:bottom w:w="0" w:type="dxa"/>
              <w:right w:w="115" w:type="dxa"/>
            </w:tcMar>
            <w:hideMark/>
          </w:tcPr>
          <w:p>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6.24</w:t>
            </w:r>
          </w:p>
        </w:tc>
      </w:tr>
    </w:tbl>
    <w:p>
      <w:pPr>
        <w:spacing w:after="0" w:line="240" w:lineRule="auto"/>
        <w:ind w:left="720"/>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Source: RBI Handbook of Statistics (2024); State Directorates of Economics &amp; Statistics.</w:t>
      </w:r>
    </w:p>
    <w:p>
      <w:pPr>
        <w:spacing w:after="0" w:line="240" w:lineRule="auto"/>
        <w:ind w:left="720"/>
        <w:jc w:val="both"/>
        <w:rPr>
          <w:rFonts w:ascii="Arial" w:eastAsia="Times New Roman" w:hAnsi="Arial" w:cs="Arial"/>
          <w:kern w:val="0"/>
          <w:sz w:val="20"/>
          <w:szCs w:val="20"/>
          <w:lang w:bidi="ml-IN"/>
          <w14:ligatures w14:val="none"/>
        </w:rPr>
      </w:pPr>
    </w:p>
    <w:p>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Table 4 presents the descriptive statistics on the growth rate of Net Value Added (NVA) in the service sector across lower- and higher-income Indian states from 2011–12 to 2023–24, measured at constant 2011–12 prices. The data reveals clear differences in the magnitude and consistency of service sector growth across the two income groups, offering important insights into regional development dynamics.</w:t>
      </w:r>
    </w:p>
    <w:p>
      <w:pPr>
        <w:spacing w:after="0" w:line="240" w:lineRule="auto"/>
        <w:jc w:val="both"/>
        <w:rPr>
          <w:rFonts w:ascii="Arial" w:eastAsia="Times New Roman" w:hAnsi="Arial" w:cs="Arial"/>
          <w:kern w:val="0"/>
          <w:sz w:val="20"/>
          <w:szCs w:val="20"/>
          <w:lang w:bidi="ml-IN"/>
          <w14:ligatures w14:val="none"/>
        </w:rPr>
      </w:pPr>
    </w:p>
    <w:p>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mean service sector growth rate in higher-income states stands at 6.60%, which is substantially higher than the 5.27% recorded in lower-income states. Similarly, the median growth is also higher in the richer states (7.43%) compared to the poorer ones (6.97%). This confirms the observation that service sector expansion is more prominent in states with higher per capita income, aligning with the theory of structural transformation, which suggests that economies tend to shift from agriculture to industry and subsequently to services as they develop (Kuznets, 1971).</w:t>
      </w:r>
    </w:p>
    <w:p>
      <w:pPr>
        <w:spacing w:after="0" w:line="240" w:lineRule="auto"/>
        <w:jc w:val="both"/>
        <w:rPr>
          <w:rFonts w:ascii="Arial" w:eastAsia="Times New Roman" w:hAnsi="Arial" w:cs="Arial"/>
          <w:kern w:val="0"/>
          <w:sz w:val="20"/>
          <w:szCs w:val="20"/>
          <w:lang w:bidi="ml-IN"/>
          <w14:ligatures w14:val="none"/>
        </w:rPr>
      </w:pPr>
    </w:p>
    <w:p>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This trend also reflects the “services-led growth” hypothesis, where services—not industry—have become the primary engine of growth in developing economies like India (Gordon &amp; Gupta, 2004). In states such as Maharashtra, Karnataka, and Tamil Nadu, the presence of well-established urban </w:t>
      </w:r>
      <w:proofErr w:type="spellStart"/>
      <w:r>
        <w:rPr>
          <w:rFonts w:ascii="Arial" w:eastAsia="Times New Roman" w:hAnsi="Arial" w:cs="Arial"/>
          <w:kern w:val="0"/>
          <w:sz w:val="20"/>
          <w:szCs w:val="20"/>
          <w:lang w:bidi="ml-IN"/>
          <w14:ligatures w14:val="none"/>
        </w:rPr>
        <w:t>centres</w:t>
      </w:r>
      <w:proofErr w:type="spellEnd"/>
      <w:r>
        <w:rPr>
          <w:rFonts w:ascii="Arial" w:eastAsia="Times New Roman" w:hAnsi="Arial" w:cs="Arial"/>
          <w:kern w:val="0"/>
          <w:sz w:val="20"/>
          <w:szCs w:val="20"/>
          <w:lang w:bidi="ml-IN"/>
          <w14:ligatures w14:val="none"/>
        </w:rPr>
        <w:t>, IT hubs, financial institutions, and higher educational infrastructure has enabled sustained growth in high-value services such as IT, finance, and professional services (Mukherji, 2013).</w:t>
      </w:r>
    </w:p>
    <w:p>
      <w:pPr>
        <w:spacing w:after="0" w:line="240" w:lineRule="auto"/>
        <w:jc w:val="both"/>
        <w:rPr>
          <w:rFonts w:ascii="Arial" w:eastAsia="Times New Roman" w:hAnsi="Arial" w:cs="Arial"/>
          <w:kern w:val="0"/>
          <w:sz w:val="20"/>
          <w:szCs w:val="20"/>
          <w:lang w:bidi="ml-IN"/>
          <w14:ligatures w14:val="none"/>
        </w:rPr>
      </w:pPr>
    </w:p>
    <w:p>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variance (111.10) and standard deviation (10.54) in lower-income states are significantly higher than those in higher-income states (variance: 38.92; SD: 6.24). This indicates that service sector growth is more volatile and uneven among poorer states. This instability may stem from weaker infrastructure, lower digital penetration, inadequate human capital, and poor governance, which limit the expansion of modern service industries (Ghosh, 2019).</w:t>
      </w:r>
    </w:p>
    <w:p>
      <w:pPr>
        <w:spacing w:after="0" w:line="240" w:lineRule="auto"/>
        <w:jc w:val="both"/>
        <w:rPr>
          <w:rFonts w:ascii="Arial" w:eastAsia="Times New Roman" w:hAnsi="Arial" w:cs="Arial"/>
          <w:kern w:val="0"/>
          <w:sz w:val="20"/>
          <w:szCs w:val="20"/>
          <w:lang w:bidi="ml-IN"/>
          <w14:ligatures w14:val="none"/>
        </w:rPr>
      </w:pPr>
    </w:p>
    <w:p>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The relatively stable and less dispersed growth in higher-income states suggests the presence of institutional continuity and policy support that allows consistent development in service-oriented </w:t>
      </w:r>
      <w:r>
        <w:rPr>
          <w:rFonts w:ascii="Arial" w:eastAsia="Times New Roman" w:hAnsi="Arial" w:cs="Arial"/>
          <w:kern w:val="0"/>
          <w:sz w:val="20"/>
          <w:szCs w:val="20"/>
          <w:lang w:bidi="ml-IN"/>
          <w14:ligatures w14:val="none"/>
        </w:rPr>
        <w:lastRenderedPageBreak/>
        <w:t xml:space="preserve">sectors. Empirical studies have shown that service sector development is closely linked with </w:t>
      </w:r>
      <w:proofErr w:type="spellStart"/>
      <w:r>
        <w:rPr>
          <w:rFonts w:ascii="Arial" w:eastAsia="Times New Roman" w:hAnsi="Arial" w:cs="Arial"/>
          <w:kern w:val="0"/>
          <w:sz w:val="20"/>
          <w:szCs w:val="20"/>
          <w:lang w:bidi="ml-IN"/>
          <w14:ligatures w14:val="none"/>
        </w:rPr>
        <w:t>urbanisation</w:t>
      </w:r>
      <w:proofErr w:type="spellEnd"/>
      <w:r>
        <w:rPr>
          <w:rFonts w:ascii="Arial" w:eastAsia="Times New Roman" w:hAnsi="Arial" w:cs="Arial"/>
          <w:kern w:val="0"/>
          <w:sz w:val="20"/>
          <w:szCs w:val="20"/>
          <w:lang w:bidi="ml-IN"/>
          <w14:ligatures w14:val="none"/>
        </w:rPr>
        <w:t>, literacy, internet access, and entrepreneurial ecosystems, all of which are more advanced in richer states (Bhattacharya &amp; Sakthivel, 2008).</w:t>
      </w:r>
    </w:p>
    <w:p>
      <w:pPr>
        <w:spacing w:after="0" w:line="240" w:lineRule="auto"/>
        <w:jc w:val="both"/>
        <w:rPr>
          <w:rFonts w:ascii="Arial" w:eastAsia="Times New Roman" w:hAnsi="Arial" w:cs="Arial"/>
          <w:kern w:val="0"/>
          <w:sz w:val="20"/>
          <w:szCs w:val="20"/>
          <w:lang w:bidi="ml-IN"/>
          <w14:ligatures w14:val="none"/>
        </w:rPr>
      </w:pPr>
    </w:p>
    <w:p>
      <w:pPr>
        <w:spacing w:after="0" w:line="240" w:lineRule="auto"/>
        <w:jc w:val="both"/>
        <w:rPr>
          <w:rFonts w:ascii="Arial" w:eastAsia="Times New Roman" w:hAnsi="Arial" w:cs="Arial"/>
          <w:kern w:val="0"/>
          <w:sz w:val="20"/>
          <w:szCs w:val="20"/>
          <w:lang w:bidi="ml-IN"/>
          <w14:ligatures w14:val="none"/>
        </w:rPr>
      </w:pPr>
      <w:bookmarkStart w:id="3" w:name="_Hlk204253906"/>
      <w:r>
        <w:rPr>
          <w:rFonts w:ascii="Arial" w:eastAsia="Times New Roman" w:hAnsi="Arial" w:cs="Arial"/>
          <w:kern w:val="0"/>
          <w:sz w:val="20"/>
          <w:szCs w:val="20"/>
          <w:lang w:bidi="ml-IN"/>
          <w14:ligatures w14:val="none"/>
        </w:rPr>
        <w:t>The data reinforces the need for targeted regional service sector policies aimed at reducing disparities. Initiatives such as digital infrastructure development, skill training, urban planning, and investment in health and education can help poorer states better leverage the potential of service-led growth. As Myrdal’s (1957) cumulative causation theory suggests, without proactive interventions, economic advantages will continue to accumulate in already developed regions, widening the gap.</w:t>
      </w:r>
    </w:p>
    <w:p>
      <w:pPr>
        <w:spacing w:after="0" w:line="240" w:lineRule="auto"/>
        <w:jc w:val="both"/>
        <w:rPr>
          <w:rFonts w:ascii="Arial" w:eastAsia="Times New Roman" w:hAnsi="Arial" w:cs="Arial"/>
          <w:kern w:val="0"/>
          <w:sz w:val="20"/>
          <w:szCs w:val="20"/>
          <w:lang w:bidi="ml-IN"/>
          <w14:ligatures w14:val="none"/>
        </w:rPr>
      </w:pPr>
    </w:p>
    <w:bookmarkEnd w:id="3"/>
    <w:p>
      <w:pPr>
        <w:spacing w:after="0" w:line="276" w:lineRule="auto"/>
        <w:jc w:val="both"/>
        <w:rPr>
          <w:rFonts w:ascii="Arial" w:eastAsia="Times New Roman" w:hAnsi="Arial" w:cs="Arial"/>
          <w:b/>
          <w:bCs/>
          <w:kern w:val="0"/>
          <w:sz w:val="22"/>
          <w:szCs w:val="22"/>
          <w:lang w:bidi="ml-IN"/>
          <w14:ligatures w14:val="none"/>
        </w:rPr>
      </w:pPr>
      <w:r>
        <w:rPr>
          <w:rFonts w:ascii="Arial" w:eastAsia="Times New Roman" w:hAnsi="Arial" w:cs="Arial"/>
          <w:b/>
          <w:bCs/>
          <w:kern w:val="0"/>
          <w:sz w:val="22"/>
          <w:szCs w:val="22"/>
          <w:lang w:bidi="ml-IN"/>
          <w14:ligatures w14:val="none"/>
        </w:rPr>
        <w:t>3.6 Sectoral Contribution to NDP Growth in Low-Income States</w:t>
      </w:r>
    </w:p>
    <w:p>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kern w:val="0"/>
          <w:sz w:val="20"/>
          <w:szCs w:val="20"/>
          <w:lang w:bidi="ml-IN"/>
          <w14:ligatures w14:val="none"/>
        </w:rPr>
        <w:t>This section employs regression analysis to examine the relative contributions of agriculture, industry, and services to the growth of Net Domestic Product (NDP) in lower-income Indian states. The objective is to identify the primary sector driving economic performance within this income category. In the analysis, the growth rates of Net Sectoral Value Added (NSVA) from agriculture, industry, and services serve as the independent variables, while the growth rate of NDP functions as the dependent variable. To maintain analytical clarity and ensure contextual relevance, the focus is restricted exclusively to lower-income states, deliberately excluding higher-income states. This approach allows for a more nuanced understanding of sectoral dynamics and their influence on economic growth within the lower-income group.</w:t>
      </w:r>
    </w:p>
    <w:p>
      <w:pPr>
        <w:spacing w:before="240" w:after="0" w:line="240" w:lineRule="auto"/>
        <w:jc w:val="center"/>
        <w:rPr>
          <w:rFonts w:ascii="Arial" w:eastAsia="Times New Roman" w:hAnsi="Arial" w:cs="Arial"/>
          <w:kern w:val="0"/>
          <w:sz w:val="20"/>
          <w:szCs w:val="20"/>
          <w:lang w:bidi="ml-IN"/>
          <w14:ligatures w14:val="none"/>
        </w:rPr>
      </w:pPr>
      <w:r>
        <w:rPr>
          <w:rFonts w:ascii="Arial" w:eastAsia="Times New Roman" w:hAnsi="Arial" w:cs="Arial"/>
          <w:b/>
          <w:bCs/>
          <w:kern w:val="0"/>
          <w:sz w:val="20"/>
          <w:szCs w:val="20"/>
          <w:lang w:bidi="ml-IN"/>
          <w14:ligatures w14:val="none"/>
        </w:rPr>
        <w:t>Table 5. Sectoral Impact on Net Domestic Product Growth in Low-Income States: Regression Coefficient Estimates</w:t>
      </w:r>
    </w:p>
    <w:tbl>
      <w:tblPr>
        <w:tblW w:w="0" w:type="auto"/>
        <w:jc w:val="center"/>
        <w:tblCellMar>
          <w:top w:w="15" w:type="dxa"/>
          <w:left w:w="15" w:type="dxa"/>
          <w:bottom w:w="15" w:type="dxa"/>
          <w:right w:w="15" w:type="dxa"/>
        </w:tblCellMar>
        <w:tblLook w:val="04A0" w:firstRow="1" w:lastRow="0" w:firstColumn="1" w:lastColumn="0" w:noHBand="0" w:noVBand="1"/>
      </w:tblPr>
      <w:tblGrid>
        <w:gridCol w:w="2605"/>
        <w:gridCol w:w="1015"/>
        <w:gridCol w:w="1596"/>
        <w:gridCol w:w="1486"/>
        <w:gridCol w:w="731"/>
        <w:gridCol w:w="620"/>
      </w:tblGrid>
      <w:tr>
        <w:trPr>
          <w:trHeight w:val="698"/>
          <w:jc w:val="center"/>
        </w:trPr>
        <w:tc>
          <w:tcPr>
            <w:tcW w:w="2605" w:type="dxa"/>
            <w:vMerge w:val="restart"/>
            <w:tcMar>
              <w:top w:w="0" w:type="dxa"/>
              <w:left w:w="115" w:type="dxa"/>
              <w:bottom w:w="0" w:type="dxa"/>
              <w:right w:w="115" w:type="dxa"/>
            </w:tcMar>
            <w:hideMark/>
          </w:tcPr>
          <w:p>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Model</w:t>
            </w:r>
          </w:p>
        </w:tc>
        <w:tc>
          <w:tcPr>
            <w:tcW w:w="2611" w:type="dxa"/>
            <w:gridSpan w:val="2"/>
            <w:tcMar>
              <w:top w:w="0" w:type="dxa"/>
              <w:left w:w="115" w:type="dxa"/>
              <w:bottom w:w="0" w:type="dxa"/>
              <w:right w:w="115" w:type="dxa"/>
            </w:tcMar>
            <w:hideMark/>
          </w:tcPr>
          <w:p>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Unstandardized Coefficients</w:t>
            </w:r>
          </w:p>
        </w:tc>
        <w:tc>
          <w:tcPr>
            <w:tcW w:w="0" w:type="auto"/>
            <w:tcMar>
              <w:top w:w="0" w:type="dxa"/>
              <w:left w:w="115" w:type="dxa"/>
              <w:bottom w:w="0" w:type="dxa"/>
              <w:right w:w="115" w:type="dxa"/>
            </w:tcMar>
            <w:hideMark/>
          </w:tcPr>
          <w:p>
            <w:pPr>
              <w:spacing w:after="0" w:line="240" w:lineRule="auto"/>
              <w:jc w:val="both"/>
              <w:rPr>
                <w:rFonts w:ascii="Arial" w:eastAsia="Times New Roman" w:hAnsi="Arial" w:cs="Arial"/>
                <w:b/>
                <w:bCs/>
                <w:kern w:val="0"/>
                <w:sz w:val="20"/>
                <w:szCs w:val="20"/>
                <w:lang w:bidi="ml-IN"/>
                <w14:ligatures w14:val="none"/>
              </w:rPr>
            </w:pPr>
          </w:p>
          <w:p>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 xml:space="preserve">Standardized </w:t>
            </w:r>
          </w:p>
          <w:p>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Coefficients</w:t>
            </w:r>
          </w:p>
        </w:tc>
        <w:tc>
          <w:tcPr>
            <w:tcW w:w="0" w:type="auto"/>
            <w:vMerge w:val="restart"/>
            <w:tcMar>
              <w:top w:w="0" w:type="dxa"/>
              <w:left w:w="115" w:type="dxa"/>
              <w:bottom w:w="0" w:type="dxa"/>
              <w:right w:w="115" w:type="dxa"/>
            </w:tcMar>
            <w:hideMark/>
          </w:tcPr>
          <w:p>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t</w:t>
            </w:r>
          </w:p>
        </w:tc>
        <w:tc>
          <w:tcPr>
            <w:tcW w:w="0" w:type="auto"/>
            <w:vMerge w:val="restart"/>
            <w:tcMar>
              <w:top w:w="0" w:type="dxa"/>
              <w:left w:w="115" w:type="dxa"/>
              <w:bottom w:w="0" w:type="dxa"/>
              <w:right w:w="115" w:type="dxa"/>
            </w:tcMar>
            <w:hideMark/>
          </w:tcPr>
          <w:p>
            <w:pPr>
              <w:spacing w:before="240" w:after="0" w:line="240" w:lineRule="auto"/>
              <w:jc w:val="both"/>
              <w:rPr>
                <w:rFonts w:ascii="Arial" w:eastAsia="Times New Roman" w:hAnsi="Arial" w:cs="Arial"/>
                <w:b/>
                <w:bCs/>
                <w:i/>
                <w:iCs/>
                <w:kern w:val="0"/>
                <w:sz w:val="20"/>
                <w:szCs w:val="20"/>
                <w:lang w:bidi="ml-IN"/>
                <w14:ligatures w14:val="none"/>
              </w:rPr>
            </w:pPr>
            <w:r>
              <w:rPr>
                <w:rFonts w:ascii="Arial" w:eastAsia="Times New Roman" w:hAnsi="Arial" w:cs="Arial"/>
                <w:b/>
                <w:bCs/>
                <w:i/>
                <w:iCs/>
                <w:kern w:val="0"/>
                <w:sz w:val="20"/>
                <w:szCs w:val="20"/>
                <w:lang w:bidi="ml-IN"/>
                <w14:ligatures w14:val="none"/>
              </w:rPr>
              <w:t>p</w:t>
            </w:r>
          </w:p>
        </w:tc>
      </w:tr>
      <w:tr>
        <w:trPr>
          <w:trHeight w:val="215"/>
          <w:jc w:val="center"/>
        </w:trPr>
        <w:tc>
          <w:tcPr>
            <w:tcW w:w="2605" w:type="dxa"/>
            <w:vMerge/>
            <w:vAlign w:val="center"/>
            <w:hideMark/>
          </w:tcPr>
          <w:p>
            <w:pPr>
              <w:spacing w:before="240" w:after="0" w:line="240" w:lineRule="auto"/>
              <w:jc w:val="both"/>
              <w:rPr>
                <w:rFonts w:ascii="Arial" w:eastAsia="Times New Roman" w:hAnsi="Arial" w:cs="Arial"/>
                <w:b/>
                <w:bCs/>
                <w:kern w:val="0"/>
                <w:sz w:val="20"/>
                <w:szCs w:val="20"/>
                <w:lang w:bidi="ml-IN"/>
                <w14:ligatures w14:val="none"/>
              </w:rPr>
            </w:pPr>
          </w:p>
        </w:tc>
        <w:tc>
          <w:tcPr>
            <w:tcW w:w="1015" w:type="dxa"/>
            <w:tcMar>
              <w:top w:w="0" w:type="dxa"/>
              <w:left w:w="115" w:type="dxa"/>
              <w:bottom w:w="0" w:type="dxa"/>
              <w:right w:w="115" w:type="dxa"/>
            </w:tcMar>
            <w:hideMark/>
          </w:tcPr>
          <w:p>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B</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Std. Error</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Beta</w:t>
            </w:r>
          </w:p>
        </w:tc>
        <w:tc>
          <w:tcPr>
            <w:tcW w:w="0" w:type="auto"/>
            <w:vMerge/>
            <w:vAlign w:val="center"/>
            <w:hideMark/>
          </w:tcPr>
          <w:p>
            <w:pPr>
              <w:spacing w:before="240" w:after="0" w:line="240" w:lineRule="auto"/>
              <w:jc w:val="both"/>
              <w:rPr>
                <w:rFonts w:ascii="Arial" w:eastAsia="Times New Roman" w:hAnsi="Arial" w:cs="Arial"/>
                <w:kern w:val="0"/>
                <w:sz w:val="20"/>
                <w:szCs w:val="20"/>
                <w:lang w:bidi="ml-IN"/>
                <w14:ligatures w14:val="none"/>
              </w:rPr>
            </w:pPr>
          </w:p>
        </w:tc>
        <w:tc>
          <w:tcPr>
            <w:tcW w:w="0" w:type="auto"/>
            <w:vMerge/>
            <w:vAlign w:val="center"/>
            <w:hideMark/>
          </w:tcPr>
          <w:p>
            <w:pPr>
              <w:spacing w:before="240" w:after="0" w:line="240" w:lineRule="auto"/>
              <w:jc w:val="both"/>
              <w:rPr>
                <w:rFonts w:ascii="Arial" w:eastAsia="Times New Roman" w:hAnsi="Arial" w:cs="Arial"/>
                <w:kern w:val="0"/>
                <w:sz w:val="20"/>
                <w:szCs w:val="20"/>
                <w:lang w:bidi="ml-IN"/>
                <w14:ligatures w14:val="none"/>
              </w:rPr>
            </w:pPr>
          </w:p>
        </w:tc>
      </w:tr>
      <w:tr>
        <w:trPr>
          <w:trHeight w:val="215"/>
          <w:jc w:val="center"/>
        </w:trPr>
        <w:tc>
          <w:tcPr>
            <w:tcW w:w="2605" w:type="dxa"/>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(Constant)</w:t>
            </w:r>
          </w:p>
        </w:tc>
        <w:tc>
          <w:tcPr>
            <w:tcW w:w="1015" w:type="dxa"/>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2.545</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1.334</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1.908</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.098</w:t>
            </w:r>
          </w:p>
        </w:tc>
      </w:tr>
      <w:tr>
        <w:trPr>
          <w:trHeight w:val="692"/>
          <w:jc w:val="center"/>
        </w:trPr>
        <w:tc>
          <w:tcPr>
            <w:tcW w:w="2605" w:type="dxa"/>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Agricultural growth rate </w:t>
            </w:r>
          </w:p>
        </w:tc>
        <w:tc>
          <w:tcPr>
            <w:tcW w:w="1015" w:type="dxa"/>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-.037</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.183</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-.045</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-.203</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.845</w:t>
            </w:r>
          </w:p>
        </w:tc>
      </w:tr>
      <w:tr>
        <w:trPr>
          <w:trHeight w:val="620"/>
          <w:jc w:val="center"/>
        </w:trPr>
        <w:tc>
          <w:tcPr>
            <w:tcW w:w="2605" w:type="dxa"/>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 Industry growth rate </w:t>
            </w:r>
          </w:p>
        </w:tc>
        <w:tc>
          <w:tcPr>
            <w:tcW w:w="1015" w:type="dxa"/>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.409</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.151</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.619</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2.713</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.030</w:t>
            </w:r>
          </w:p>
        </w:tc>
      </w:tr>
      <w:tr>
        <w:trPr>
          <w:trHeight w:val="530"/>
          <w:jc w:val="center"/>
        </w:trPr>
        <w:tc>
          <w:tcPr>
            <w:tcW w:w="2605" w:type="dxa"/>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 Service growth rate </w:t>
            </w:r>
          </w:p>
        </w:tc>
        <w:tc>
          <w:tcPr>
            <w:tcW w:w="1015" w:type="dxa"/>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.196</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.115</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.392</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1.705</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.132</w:t>
            </w:r>
          </w:p>
        </w:tc>
      </w:tr>
      <w:tr>
        <w:trPr>
          <w:trHeight w:val="740"/>
          <w:jc w:val="center"/>
        </w:trPr>
        <w:tc>
          <w:tcPr>
            <w:tcW w:w="0" w:type="auto"/>
            <w:gridSpan w:val="6"/>
            <w:tcMar>
              <w:top w:w="0" w:type="dxa"/>
              <w:left w:w="115" w:type="dxa"/>
              <w:bottom w:w="0" w:type="dxa"/>
              <w:right w:w="115" w:type="dxa"/>
            </w:tcMar>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Adjusted R Square: </w:t>
            </w:r>
            <w:r>
              <w:rPr>
                <w:rFonts w:ascii="Arial" w:hAnsi="Arial" w:cs="Arial"/>
                <w:color w:val="000000"/>
                <w:sz w:val="20"/>
                <w:szCs w:val="20"/>
              </w:rPr>
              <w:t>0.532 and Std. Error of the Estimate: 3.07</w:t>
            </w:r>
          </w:p>
        </w:tc>
      </w:tr>
    </w:tbl>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Table 5 presents the results of a multiple linear regression analysis conducted to examine how the growth rates of the agriculture, industry, and service sectors affect the Net Domestic Product (NDP) growth in lower-income Indian states.</w:t>
      </w:r>
    </w:p>
    <w:p>
      <w:pPr>
        <w:numPr>
          <w:ilvl w:val="0"/>
          <w:numId w:val="6"/>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constant value (B = 2.545) represents the estimated NDP growth rate when all sectoral growth rates are zero. Although this is not directly meaningful in practice, it serves as the baseline of the regression model. It is not statistically significant (</w:t>
      </w:r>
      <w:r>
        <w:rPr>
          <w:rFonts w:ascii="Arial" w:eastAsia="Times New Roman" w:hAnsi="Arial" w:cs="Arial"/>
          <w:i/>
          <w:iCs/>
          <w:kern w:val="0"/>
          <w:sz w:val="20"/>
          <w:szCs w:val="20"/>
          <w:lang w:bidi="ml-IN"/>
          <w14:ligatures w14:val="none"/>
        </w:rPr>
        <w:t>p = .098</w:t>
      </w:r>
      <w:r>
        <w:rPr>
          <w:rFonts w:ascii="Arial" w:eastAsia="Times New Roman" w:hAnsi="Arial" w:cs="Arial"/>
          <w:kern w:val="0"/>
          <w:sz w:val="20"/>
          <w:szCs w:val="20"/>
          <w:lang w:bidi="ml-IN"/>
          <w14:ligatures w14:val="none"/>
        </w:rPr>
        <w:t>), as the p-value exceeds the common threshold of 0.05.</w:t>
      </w:r>
    </w:p>
    <w:p>
      <w:pPr>
        <w:numPr>
          <w:ilvl w:val="0"/>
          <w:numId w:val="7"/>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coefficient for agriculture is -.037, (</w:t>
      </w:r>
      <w:r>
        <w:rPr>
          <w:rFonts w:ascii="Arial" w:eastAsia="Times New Roman" w:hAnsi="Arial" w:cs="Arial"/>
          <w:i/>
          <w:iCs/>
          <w:kern w:val="0"/>
          <w:sz w:val="20"/>
          <w:szCs w:val="20"/>
          <w:lang w:bidi="ml-IN"/>
          <w14:ligatures w14:val="none"/>
        </w:rPr>
        <w:t>p= .845</w:t>
      </w:r>
      <w:r>
        <w:rPr>
          <w:rFonts w:ascii="Arial" w:eastAsia="Times New Roman" w:hAnsi="Arial" w:cs="Arial"/>
          <w:kern w:val="0"/>
          <w:sz w:val="20"/>
          <w:szCs w:val="20"/>
          <w:lang w:bidi="ml-IN"/>
          <w14:ligatures w14:val="none"/>
        </w:rPr>
        <w:t>), indicating no significant relationship between agricultural growth and NDP growth in lower-income states. The negative sign suggests a very slight inverse relationship, but this is statistically insignificant and could be due to random variation.</w:t>
      </w:r>
    </w:p>
    <w:p>
      <w:pPr>
        <w:numPr>
          <w:ilvl w:val="0"/>
          <w:numId w:val="8"/>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industry growth rate shows a positive and statistically significant effect on NDP growth, with a coefficient of 0.409 (</w:t>
      </w:r>
      <w:r>
        <w:rPr>
          <w:rFonts w:ascii="Arial" w:eastAsia="Times New Roman" w:hAnsi="Arial" w:cs="Arial"/>
          <w:i/>
          <w:iCs/>
          <w:kern w:val="0"/>
          <w:sz w:val="20"/>
          <w:szCs w:val="20"/>
          <w:lang w:bidi="ml-IN"/>
          <w14:ligatures w14:val="none"/>
        </w:rPr>
        <w:t>p = .030</w:t>
      </w:r>
      <w:r>
        <w:rPr>
          <w:rFonts w:ascii="Arial" w:eastAsia="Times New Roman" w:hAnsi="Arial" w:cs="Arial"/>
          <w:kern w:val="0"/>
          <w:sz w:val="20"/>
          <w:szCs w:val="20"/>
          <w:lang w:bidi="ml-IN"/>
          <w14:ligatures w14:val="none"/>
        </w:rPr>
        <w:t xml:space="preserve">). The </w:t>
      </w:r>
      <w:proofErr w:type="spellStart"/>
      <w:r>
        <w:rPr>
          <w:rFonts w:ascii="Arial" w:eastAsia="Times New Roman" w:hAnsi="Arial" w:cs="Arial"/>
          <w:kern w:val="0"/>
          <w:sz w:val="20"/>
          <w:szCs w:val="20"/>
          <w:lang w:bidi="ml-IN"/>
          <w14:ligatures w14:val="none"/>
        </w:rPr>
        <w:t>standardised</w:t>
      </w:r>
      <w:proofErr w:type="spellEnd"/>
      <w:r>
        <w:rPr>
          <w:rFonts w:ascii="Arial" w:eastAsia="Times New Roman" w:hAnsi="Arial" w:cs="Arial"/>
          <w:kern w:val="0"/>
          <w:sz w:val="20"/>
          <w:szCs w:val="20"/>
          <w:lang w:bidi="ml-IN"/>
          <w14:ligatures w14:val="none"/>
        </w:rPr>
        <w:t xml:space="preserve"> beta coefficient (0.619) indicates that among the three sectors, industry has the strongest influence on NDP growth in lower-income </w:t>
      </w:r>
      <w:r>
        <w:rPr>
          <w:rFonts w:ascii="Arial" w:eastAsia="Times New Roman" w:hAnsi="Arial" w:cs="Arial"/>
          <w:kern w:val="0"/>
          <w:sz w:val="20"/>
          <w:szCs w:val="20"/>
          <w:lang w:bidi="ml-IN"/>
          <w14:ligatures w14:val="none"/>
        </w:rPr>
        <w:lastRenderedPageBreak/>
        <w:t>states. A one-per cent increase in industry growth rate is associated with a 0.409 percentage point increase in NDP growth, holding other variables constant.</w:t>
      </w:r>
    </w:p>
    <w:p>
      <w:pPr>
        <w:numPr>
          <w:ilvl w:val="0"/>
          <w:numId w:val="9"/>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services sector also shows a positive relationship with NDP growth (coefficient = 0.196), but it is not statistically significant (</w:t>
      </w:r>
      <w:r>
        <w:rPr>
          <w:rFonts w:ascii="Arial" w:eastAsia="Times New Roman" w:hAnsi="Arial" w:cs="Arial"/>
          <w:i/>
          <w:iCs/>
          <w:kern w:val="0"/>
          <w:sz w:val="20"/>
          <w:szCs w:val="20"/>
          <w:lang w:bidi="ml-IN"/>
          <w14:ligatures w14:val="none"/>
        </w:rPr>
        <w:t>p = .132</w:t>
      </w:r>
      <w:r>
        <w:rPr>
          <w:rFonts w:ascii="Arial" w:eastAsia="Times New Roman" w:hAnsi="Arial" w:cs="Arial"/>
          <w:kern w:val="0"/>
          <w:sz w:val="20"/>
          <w:szCs w:val="20"/>
          <w:lang w:bidi="ml-IN"/>
          <w14:ligatures w14:val="none"/>
        </w:rPr>
        <w:t>). The beta value of 0.392 suggests a moderate influence, though not strong enough to be deemed statistically reliable in this sample.</w:t>
      </w:r>
    </w:p>
    <w:p>
      <w:pPr>
        <w:numPr>
          <w:ilvl w:val="0"/>
          <w:numId w:val="9"/>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The Adjusted </w:t>
      </w:r>
      <w:r>
        <w:rPr>
          <w:rFonts w:ascii="Arial" w:eastAsia="Times New Roman" w:hAnsi="Arial" w:cs="Arial"/>
          <w:i/>
          <w:iCs/>
          <w:kern w:val="0"/>
          <w:sz w:val="20"/>
          <w:szCs w:val="20"/>
          <w:lang w:bidi="ml-IN"/>
          <w14:ligatures w14:val="none"/>
        </w:rPr>
        <w:t>R²</w:t>
      </w:r>
      <w:r>
        <w:rPr>
          <w:rFonts w:ascii="Arial" w:eastAsia="Times New Roman" w:hAnsi="Arial" w:cs="Arial"/>
          <w:kern w:val="0"/>
          <w:sz w:val="20"/>
          <w:szCs w:val="20"/>
          <w:lang w:bidi="ml-IN"/>
          <w14:ligatures w14:val="none"/>
        </w:rPr>
        <w:t xml:space="preserve"> value of 0.532 indicates that approximately 53.2% of the variation in the NDP growth rate of lower-income states is explained by the combined effects of the three independent variables: agricultural, industrial, and service sector growth rates. Given that only industry growth was statistically significant, this relatively high adjusted </w:t>
      </w:r>
      <w:r>
        <w:rPr>
          <w:rFonts w:ascii="Arial" w:eastAsia="Times New Roman" w:hAnsi="Arial" w:cs="Arial"/>
          <w:i/>
          <w:iCs/>
          <w:kern w:val="0"/>
          <w:sz w:val="20"/>
          <w:szCs w:val="20"/>
          <w:lang w:bidi="ml-IN"/>
          <w14:ligatures w14:val="none"/>
        </w:rPr>
        <w:t>R²</w:t>
      </w:r>
      <w:r>
        <w:rPr>
          <w:rFonts w:ascii="Arial" w:eastAsia="Times New Roman" w:hAnsi="Arial" w:cs="Arial"/>
          <w:kern w:val="0"/>
          <w:sz w:val="20"/>
          <w:szCs w:val="20"/>
          <w:lang w:bidi="ml-IN"/>
          <w14:ligatures w14:val="none"/>
        </w:rPr>
        <w:t xml:space="preserve"> implies that industry is playing a dominant role in explaining the overall variation in NDP growth. A Standard Error of 3.07 suggests that, on average, the model's predictions deviate from the actual values by around 3.07 percentage points.</w:t>
      </w:r>
      <w:r>
        <w:rPr>
          <w:rFonts w:ascii="Arial" w:hAnsi="Arial" w:cs="Arial"/>
          <w:sz w:val="20"/>
          <w:szCs w:val="20"/>
        </w:rPr>
        <w:t xml:space="preserve"> </w:t>
      </w:r>
      <w:r>
        <w:rPr>
          <w:rFonts w:ascii="Arial" w:eastAsia="Times New Roman" w:hAnsi="Arial" w:cs="Arial"/>
          <w:kern w:val="0"/>
          <w:sz w:val="20"/>
          <w:szCs w:val="20"/>
          <w:lang w:bidi="ml-IN"/>
          <w14:ligatures w14:val="none"/>
        </w:rPr>
        <w:t>While not extremely high, this error indicates some level of unexplained variability, possibly due to other factors not included in the model, such as government spending, infrastructure, education, or external economic shocks.</w:t>
      </w:r>
    </w:p>
    <w:p>
      <w:pPr>
        <w:spacing w:before="240" w:after="0" w:line="240" w:lineRule="auto"/>
        <w:jc w:val="both"/>
        <w:rPr>
          <w:rFonts w:ascii="Arial" w:eastAsia="Times New Roman" w:hAnsi="Arial" w:cs="Arial"/>
          <w:kern w:val="0"/>
          <w:sz w:val="20"/>
          <w:szCs w:val="20"/>
          <w:lang w:bidi="ml-IN"/>
          <w14:ligatures w14:val="none"/>
        </w:rPr>
      </w:pPr>
      <w:bookmarkStart w:id="4" w:name="_Hlk204253928"/>
      <w:r>
        <w:rPr>
          <w:rFonts w:ascii="Arial" w:eastAsia="Times New Roman" w:hAnsi="Arial" w:cs="Arial"/>
          <w:kern w:val="0"/>
          <w:sz w:val="20"/>
          <w:szCs w:val="20"/>
          <w:lang w:bidi="ml-IN"/>
          <w14:ligatures w14:val="none"/>
        </w:rPr>
        <w:t xml:space="preserve">In summary, Industry is the only sector with a statistically significant and strong positive impact on NDP growth in lower-income states. Agriculture has no meaningful contribution in this model. Services show a positive trend, but the effect is not statistically significant. This suggests that industrial development is the key driver of economic growth in lower-income states, at least within the time frame and data </w:t>
      </w:r>
      <w:proofErr w:type="spellStart"/>
      <w:r>
        <w:rPr>
          <w:rFonts w:ascii="Arial" w:eastAsia="Times New Roman" w:hAnsi="Arial" w:cs="Arial"/>
          <w:kern w:val="0"/>
          <w:sz w:val="20"/>
          <w:szCs w:val="20"/>
          <w:lang w:bidi="ml-IN"/>
          <w14:ligatures w14:val="none"/>
        </w:rPr>
        <w:t>analysed</w:t>
      </w:r>
      <w:proofErr w:type="spellEnd"/>
      <w:r>
        <w:rPr>
          <w:rFonts w:ascii="Arial" w:eastAsia="Times New Roman" w:hAnsi="Arial" w:cs="Arial"/>
          <w:kern w:val="0"/>
          <w:sz w:val="20"/>
          <w:szCs w:val="20"/>
          <w:lang w:bidi="ml-IN"/>
          <w14:ligatures w14:val="none"/>
        </w:rPr>
        <w:t>.</w:t>
      </w:r>
    </w:p>
    <w:bookmarkEnd w:id="4"/>
    <w:p>
      <w:pPr>
        <w:spacing w:after="0" w:line="276" w:lineRule="auto"/>
        <w:jc w:val="both"/>
        <w:rPr>
          <w:rFonts w:ascii="Arial" w:eastAsia="Times New Roman" w:hAnsi="Arial" w:cs="Arial"/>
          <w:b/>
          <w:bCs/>
          <w:kern w:val="0"/>
          <w:sz w:val="22"/>
          <w:szCs w:val="22"/>
          <w:lang w:bidi="ml-IN"/>
          <w14:ligatures w14:val="none"/>
        </w:rPr>
      </w:pPr>
    </w:p>
    <w:p>
      <w:pPr>
        <w:spacing w:after="0" w:line="276" w:lineRule="auto"/>
        <w:jc w:val="both"/>
        <w:rPr>
          <w:rFonts w:ascii="Arial" w:eastAsia="Times New Roman" w:hAnsi="Arial" w:cs="Arial"/>
          <w:b/>
          <w:bCs/>
          <w:kern w:val="0"/>
          <w:sz w:val="22"/>
          <w:szCs w:val="22"/>
          <w:lang w:bidi="ml-IN"/>
          <w14:ligatures w14:val="none"/>
        </w:rPr>
      </w:pPr>
      <w:r>
        <w:rPr>
          <w:rFonts w:ascii="Arial" w:eastAsia="Times New Roman" w:hAnsi="Arial" w:cs="Arial"/>
          <w:b/>
          <w:bCs/>
          <w:kern w:val="0"/>
          <w:sz w:val="22"/>
          <w:szCs w:val="22"/>
          <w:lang w:bidi="ml-IN"/>
          <w14:ligatures w14:val="none"/>
        </w:rPr>
        <w:t>3.7 Sectoral Contribution to NDP Growth in High-Income States</w:t>
      </w:r>
    </w:p>
    <w:p>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Regression analysis is employed to examine which sector—agriculture, industry, or services—most significantly contributes to the growth rate of Net Domestic Product (NDP) in higher-income Indian states. The objective is to identify the primary growth-driving sector within this income category. The analysis considers only higher-income states, deliberately excluding lower-income states to ensure contextual accuracy and avoid cross-group interference. The independent variables are the growth rates of Net Sectoral Value Added (NSVA) in agriculture, industry, and services, while the dependent variable is the growth rate of NDP. This approach facilitates a focused understanding of sectoral influences on economic performance in more developed regional economies.</w:t>
      </w:r>
    </w:p>
    <w:p>
      <w:pPr>
        <w:spacing w:before="240" w:after="0" w:line="240" w:lineRule="auto"/>
        <w:jc w:val="center"/>
        <w:rPr>
          <w:rFonts w:ascii="Arial" w:eastAsia="Times New Roman" w:hAnsi="Arial" w:cs="Arial"/>
          <w:kern w:val="0"/>
          <w:sz w:val="20"/>
          <w:szCs w:val="20"/>
          <w:lang w:bidi="ml-IN"/>
          <w14:ligatures w14:val="none"/>
        </w:rPr>
      </w:pPr>
      <w:r>
        <w:rPr>
          <w:rFonts w:ascii="Arial" w:eastAsia="Times New Roman" w:hAnsi="Arial" w:cs="Arial"/>
          <w:b/>
          <w:bCs/>
          <w:kern w:val="0"/>
          <w:sz w:val="20"/>
          <w:szCs w:val="20"/>
          <w:lang w:bidi="ml-IN"/>
          <w14:ligatures w14:val="none"/>
        </w:rPr>
        <w:t>Table 6. Sectoral Impact on Net Domestic Product Growth in Higher-Income States: Regression Coefficient Estimates</w:t>
      </w:r>
    </w:p>
    <w:tbl>
      <w:tblPr>
        <w:tblW w:w="0" w:type="auto"/>
        <w:jc w:val="center"/>
        <w:tblCellMar>
          <w:top w:w="15" w:type="dxa"/>
          <w:left w:w="15" w:type="dxa"/>
          <w:bottom w:w="15" w:type="dxa"/>
          <w:right w:w="15" w:type="dxa"/>
        </w:tblCellMar>
        <w:tblLook w:val="04A0" w:firstRow="1" w:lastRow="0" w:firstColumn="1" w:lastColumn="0" w:noHBand="0" w:noVBand="1"/>
      </w:tblPr>
      <w:tblGrid>
        <w:gridCol w:w="2169"/>
        <w:gridCol w:w="843"/>
        <w:gridCol w:w="1147"/>
        <w:gridCol w:w="1671"/>
        <w:gridCol w:w="1076"/>
        <w:gridCol w:w="1189"/>
      </w:tblGrid>
      <w:tr>
        <w:trPr>
          <w:trHeight w:val="959"/>
          <w:jc w:val="center"/>
        </w:trPr>
        <w:tc>
          <w:tcPr>
            <w:tcW w:w="0" w:type="auto"/>
            <w:vMerge w:val="restart"/>
            <w:tcMar>
              <w:top w:w="0" w:type="dxa"/>
              <w:left w:w="115" w:type="dxa"/>
              <w:bottom w:w="0" w:type="dxa"/>
              <w:right w:w="115" w:type="dxa"/>
            </w:tcMar>
            <w:hideMark/>
          </w:tcPr>
          <w:p>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Model</w:t>
            </w:r>
          </w:p>
        </w:tc>
        <w:tc>
          <w:tcPr>
            <w:tcW w:w="0" w:type="auto"/>
            <w:gridSpan w:val="2"/>
            <w:tcMar>
              <w:top w:w="0" w:type="dxa"/>
              <w:left w:w="115" w:type="dxa"/>
              <w:bottom w:w="0" w:type="dxa"/>
              <w:right w:w="115" w:type="dxa"/>
            </w:tcMar>
            <w:hideMark/>
          </w:tcPr>
          <w:p>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 xml:space="preserve">Unstandardized </w:t>
            </w:r>
          </w:p>
          <w:p>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Coefficients</w:t>
            </w:r>
          </w:p>
        </w:tc>
        <w:tc>
          <w:tcPr>
            <w:tcW w:w="1582" w:type="dxa"/>
            <w:tcMar>
              <w:top w:w="0" w:type="dxa"/>
              <w:left w:w="115" w:type="dxa"/>
              <w:bottom w:w="0" w:type="dxa"/>
              <w:right w:w="115" w:type="dxa"/>
            </w:tcMar>
            <w:hideMark/>
          </w:tcPr>
          <w:p>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Standardized Coefficients</w:t>
            </w:r>
          </w:p>
        </w:tc>
        <w:tc>
          <w:tcPr>
            <w:tcW w:w="1019" w:type="dxa"/>
            <w:vMerge w:val="restart"/>
            <w:tcMar>
              <w:top w:w="0" w:type="dxa"/>
              <w:left w:w="115" w:type="dxa"/>
              <w:bottom w:w="0" w:type="dxa"/>
              <w:right w:w="115" w:type="dxa"/>
            </w:tcMar>
            <w:hideMark/>
          </w:tcPr>
          <w:p>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t</w:t>
            </w:r>
          </w:p>
        </w:tc>
        <w:tc>
          <w:tcPr>
            <w:tcW w:w="1126" w:type="dxa"/>
            <w:vMerge w:val="restart"/>
            <w:tcMar>
              <w:top w:w="0" w:type="dxa"/>
              <w:left w:w="115" w:type="dxa"/>
              <w:bottom w:w="0" w:type="dxa"/>
              <w:right w:w="115" w:type="dxa"/>
            </w:tcMar>
            <w:hideMark/>
          </w:tcPr>
          <w:p>
            <w:pPr>
              <w:spacing w:before="240" w:after="0" w:line="240" w:lineRule="auto"/>
              <w:jc w:val="both"/>
              <w:rPr>
                <w:rFonts w:ascii="Arial" w:eastAsia="Times New Roman" w:hAnsi="Arial" w:cs="Arial"/>
                <w:b/>
                <w:bCs/>
                <w:i/>
                <w:iCs/>
                <w:kern w:val="0"/>
                <w:sz w:val="20"/>
                <w:szCs w:val="20"/>
                <w:lang w:bidi="ml-IN"/>
                <w14:ligatures w14:val="none"/>
              </w:rPr>
            </w:pPr>
            <w:r>
              <w:rPr>
                <w:rFonts w:ascii="Arial" w:eastAsia="Times New Roman" w:hAnsi="Arial" w:cs="Arial"/>
                <w:b/>
                <w:bCs/>
                <w:i/>
                <w:iCs/>
                <w:kern w:val="0"/>
                <w:sz w:val="20"/>
                <w:szCs w:val="20"/>
                <w:lang w:bidi="ml-IN"/>
                <w14:ligatures w14:val="none"/>
              </w:rPr>
              <w:t>p</w:t>
            </w:r>
          </w:p>
        </w:tc>
      </w:tr>
      <w:tr>
        <w:trPr>
          <w:trHeight w:val="295"/>
          <w:jc w:val="center"/>
        </w:trPr>
        <w:tc>
          <w:tcPr>
            <w:tcW w:w="0" w:type="auto"/>
            <w:vMerge/>
            <w:vAlign w:val="center"/>
            <w:hideMark/>
          </w:tcPr>
          <w:p>
            <w:pPr>
              <w:spacing w:before="240" w:after="0"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B</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Std. Error</w:t>
            </w:r>
          </w:p>
        </w:tc>
        <w:tc>
          <w:tcPr>
            <w:tcW w:w="1582" w:type="dxa"/>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Beta</w:t>
            </w:r>
          </w:p>
        </w:tc>
        <w:tc>
          <w:tcPr>
            <w:tcW w:w="1019" w:type="dxa"/>
            <w:vMerge/>
            <w:vAlign w:val="center"/>
            <w:hideMark/>
          </w:tcPr>
          <w:p>
            <w:pPr>
              <w:spacing w:before="240" w:after="0" w:line="240" w:lineRule="auto"/>
              <w:jc w:val="both"/>
              <w:rPr>
                <w:rFonts w:ascii="Arial" w:eastAsia="Times New Roman" w:hAnsi="Arial" w:cs="Arial"/>
                <w:kern w:val="0"/>
                <w:sz w:val="20"/>
                <w:szCs w:val="20"/>
                <w:lang w:bidi="ml-IN"/>
                <w14:ligatures w14:val="none"/>
              </w:rPr>
            </w:pPr>
          </w:p>
        </w:tc>
        <w:tc>
          <w:tcPr>
            <w:tcW w:w="1126" w:type="dxa"/>
            <w:vMerge/>
            <w:vAlign w:val="center"/>
            <w:hideMark/>
          </w:tcPr>
          <w:p>
            <w:pPr>
              <w:spacing w:before="240" w:after="0" w:line="240" w:lineRule="auto"/>
              <w:jc w:val="both"/>
              <w:rPr>
                <w:rFonts w:ascii="Arial" w:eastAsia="Times New Roman" w:hAnsi="Arial" w:cs="Arial"/>
                <w:kern w:val="0"/>
                <w:sz w:val="20"/>
                <w:szCs w:val="20"/>
                <w:lang w:bidi="ml-IN"/>
                <w14:ligatures w14:val="none"/>
              </w:rPr>
            </w:pPr>
          </w:p>
        </w:tc>
      </w:tr>
      <w:tr>
        <w:trPr>
          <w:trHeight w:val="295"/>
          <w:jc w:val="center"/>
        </w:trPr>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(Constant)</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-0.597</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0.341</w:t>
            </w:r>
          </w:p>
        </w:tc>
        <w:tc>
          <w:tcPr>
            <w:tcW w:w="1582" w:type="dxa"/>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w:t>
            </w:r>
          </w:p>
        </w:tc>
        <w:tc>
          <w:tcPr>
            <w:tcW w:w="1019" w:type="dxa"/>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-1.753</w:t>
            </w:r>
          </w:p>
        </w:tc>
        <w:tc>
          <w:tcPr>
            <w:tcW w:w="1126" w:type="dxa"/>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0.123</w:t>
            </w:r>
          </w:p>
        </w:tc>
      </w:tr>
      <w:tr>
        <w:trPr>
          <w:trHeight w:val="510"/>
          <w:jc w:val="center"/>
        </w:trPr>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Agricultural growth </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0.111</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0.026</w:t>
            </w:r>
          </w:p>
        </w:tc>
        <w:tc>
          <w:tcPr>
            <w:tcW w:w="1582" w:type="dxa"/>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0.215</w:t>
            </w:r>
          </w:p>
        </w:tc>
        <w:tc>
          <w:tcPr>
            <w:tcW w:w="1019" w:type="dxa"/>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4.290</w:t>
            </w:r>
          </w:p>
        </w:tc>
        <w:tc>
          <w:tcPr>
            <w:tcW w:w="1126" w:type="dxa"/>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0.004</w:t>
            </w:r>
          </w:p>
        </w:tc>
      </w:tr>
      <w:tr>
        <w:trPr>
          <w:trHeight w:val="495"/>
          <w:jc w:val="center"/>
        </w:trPr>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Industry growth rate </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0.406</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0.055</w:t>
            </w:r>
          </w:p>
        </w:tc>
        <w:tc>
          <w:tcPr>
            <w:tcW w:w="1582" w:type="dxa"/>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0.466</w:t>
            </w:r>
          </w:p>
        </w:tc>
        <w:tc>
          <w:tcPr>
            <w:tcW w:w="1019" w:type="dxa"/>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7.450</w:t>
            </w:r>
          </w:p>
        </w:tc>
        <w:tc>
          <w:tcPr>
            <w:tcW w:w="1126" w:type="dxa"/>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0.000</w:t>
            </w:r>
          </w:p>
        </w:tc>
      </w:tr>
      <w:tr>
        <w:trPr>
          <w:trHeight w:val="705"/>
          <w:jc w:val="center"/>
        </w:trPr>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Service growth rate </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0.536</w:t>
            </w:r>
          </w:p>
        </w:tc>
        <w:tc>
          <w:tcPr>
            <w:tcW w:w="0" w:type="auto"/>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0.044</w:t>
            </w:r>
          </w:p>
        </w:tc>
        <w:tc>
          <w:tcPr>
            <w:tcW w:w="1582" w:type="dxa"/>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0.684</w:t>
            </w:r>
          </w:p>
        </w:tc>
        <w:tc>
          <w:tcPr>
            <w:tcW w:w="1019" w:type="dxa"/>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12.217</w:t>
            </w:r>
          </w:p>
        </w:tc>
        <w:tc>
          <w:tcPr>
            <w:tcW w:w="1126" w:type="dxa"/>
            <w:tcMar>
              <w:top w:w="0" w:type="dxa"/>
              <w:left w:w="115" w:type="dxa"/>
              <w:bottom w:w="0" w:type="dxa"/>
              <w:right w:w="115" w:type="dxa"/>
            </w:tcMar>
            <w:hideMark/>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0.000</w:t>
            </w:r>
          </w:p>
        </w:tc>
      </w:tr>
      <w:tr>
        <w:trPr>
          <w:trHeight w:val="705"/>
          <w:jc w:val="center"/>
        </w:trPr>
        <w:tc>
          <w:tcPr>
            <w:tcW w:w="8095" w:type="dxa"/>
            <w:gridSpan w:val="6"/>
            <w:tcMar>
              <w:top w:w="0" w:type="dxa"/>
              <w:left w:w="115" w:type="dxa"/>
              <w:bottom w:w="0" w:type="dxa"/>
              <w:right w:w="115" w:type="dxa"/>
            </w:tcMar>
          </w:tcPr>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Adjusted R Square: 0.981 and Std. Error of the Estimate: 0.62</w:t>
            </w:r>
          </w:p>
        </w:tc>
      </w:tr>
    </w:tbl>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Table 6 presents the results of a multiple linear regression analysis that evaluates the impact of sectoral growth—agriculture, industry, and services—on the Net Domestic Product (NDP) growth rate in higher-income Indian states.</w:t>
      </w:r>
    </w:p>
    <w:p>
      <w:pPr>
        <w:numPr>
          <w:ilvl w:val="0"/>
          <w:numId w:val="11"/>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lastRenderedPageBreak/>
        <w:t>The regression model has an adjusted R</w:t>
      </w:r>
      <w:r>
        <w:rPr>
          <w:rFonts w:ascii="Arial" w:eastAsia="Times New Roman" w:hAnsi="Arial" w:cs="Arial"/>
          <w:kern w:val="0"/>
          <w:sz w:val="20"/>
          <w:szCs w:val="20"/>
          <w:vertAlign w:val="superscript"/>
          <w:lang w:bidi="ml-IN"/>
          <w14:ligatures w14:val="none"/>
        </w:rPr>
        <w:t>2</w:t>
      </w:r>
      <w:r>
        <w:rPr>
          <w:rFonts w:ascii="Arial" w:eastAsia="Times New Roman" w:hAnsi="Arial" w:cs="Arial"/>
          <w:kern w:val="0"/>
          <w:sz w:val="20"/>
          <w:szCs w:val="20"/>
          <w:lang w:bidi="ml-IN"/>
          <w14:ligatures w14:val="none"/>
        </w:rPr>
        <w:t xml:space="preserve"> of 0.981, meaning that 98.1% of the variation in NDP growth is explained by the combined growth rates of the three sectors. The Standard Error of the Estimate is 0.62, indicating a very small average prediction error, which reflects high model accuracy.</w:t>
      </w:r>
    </w:p>
    <w:p>
      <w:pPr>
        <w:numPr>
          <w:ilvl w:val="0"/>
          <w:numId w:val="12"/>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constant value (B = -0.597) represents the estimated NDP growth when all sectoral growth rates are zero. While this value is not statistically significant (</w:t>
      </w:r>
      <w:r>
        <w:rPr>
          <w:rFonts w:ascii="Arial" w:eastAsia="Times New Roman" w:hAnsi="Arial" w:cs="Arial"/>
          <w:i/>
          <w:iCs/>
          <w:kern w:val="0"/>
          <w:sz w:val="20"/>
          <w:szCs w:val="20"/>
          <w:lang w:bidi="ml-IN"/>
          <w14:ligatures w14:val="none"/>
        </w:rPr>
        <w:t>p = .123</w:t>
      </w:r>
      <w:r>
        <w:rPr>
          <w:rFonts w:ascii="Arial" w:eastAsia="Times New Roman" w:hAnsi="Arial" w:cs="Arial"/>
          <w:kern w:val="0"/>
          <w:sz w:val="20"/>
          <w:szCs w:val="20"/>
          <w:lang w:bidi="ml-IN"/>
          <w14:ligatures w14:val="none"/>
        </w:rPr>
        <w:t>), it is less important than the individual sector coefficients in this context.</w:t>
      </w:r>
    </w:p>
    <w:p>
      <w:pPr>
        <w:numPr>
          <w:ilvl w:val="0"/>
          <w:numId w:val="13"/>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coefficient for agricultural growth is 0.111 and statistically significant (</w:t>
      </w:r>
      <w:r>
        <w:rPr>
          <w:rFonts w:ascii="Arial" w:eastAsia="Times New Roman" w:hAnsi="Arial" w:cs="Arial"/>
          <w:i/>
          <w:iCs/>
          <w:kern w:val="0"/>
          <w:sz w:val="20"/>
          <w:szCs w:val="20"/>
          <w:lang w:bidi="ml-IN"/>
          <w14:ligatures w14:val="none"/>
        </w:rPr>
        <w:t>p = .004</w:t>
      </w:r>
      <w:r>
        <w:rPr>
          <w:rFonts w:ascii="Arial" w:eastAsia="Times New Roman" w:hAnsi="Arial" w:cs="Arial"/>
          <w:kern w:val="0"/>
          <w:sz w:val="20"/>
          <w:szCs w:val="20"/>
          <w:lang w:bidi="ml-IN"/>
          <w14:ligatures w14:val="none"/>
        </w:rPr>
        <w:t xml:space="preserve">), indicating that a one-unit increase in agricultural growth is associated with a 0.111 percentage point increase in NDP growth. The </w:t>
      </w:r>
      <w:proofErr w:type="spellStart"/>
      <w:r>
        <w:rPr>
          <w:rFonts w:ascii="Arial" w:eastAsia="Times New Roman" w:hAnsi="Arial" w:cs="Arial"/>
          <w:kern w:val="0"/>
          <w:sz w:val="20"/>
          <w:szCs w:val="20"/>
          <w:lang w:bidi="ml-IN"/>
          <w14:ligatures w14:val="none"/>
        </w:rPr>
        <w:t>standardised</w:t>
      </w:r>
      <w:proofErr w:type="spellEnd"/>
      <w:r>
        <w:rPr>
          <w:rFonts w:ascii="Arial" w:eastAsia="Times New Roman" w:hAnsi="Arial" w:cs="Arial"/>
          <w:kern w:val="0"/>
          <w:sz w:val="20"/>
          <w:szCs w:val="20"/>
          <w:lang w:bidi="ml-IN"/>
          <w14:ligatures w14:val="none"/>
        </w:rPr>
        <w:t xml:space="preserve"> beta (0.215) shows that agriculture has a modest but significant influence on overall growth in higher-income states.</w:t>
      </w:r>
    </w:p>
    <w:p>
      <w:pPr>
        <w:numPr>
          <w:ilvl w:val="0"/>
          <w:numId w:val="14"/>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industry growth rate has a coefficient of 0.406 (</w:t>
      </w:r>
      <w:r>
        <w:rPr>
          <w:rFonts w:ascii="Arial" w:eastAsia="Times New Roman" w:hAnsi="Arial" w:cs="Arial"/>
          <w:i/>
          <w:iCs/>
          <w:kern w:val="0"/>
          <w:sz w:val="20"/>
          <w:szCs w:val="20"/>
          <w:lang w:bidi="ml-IN"/>
          <w14:ligatures w14:val="none"/>
        </w:rPr>
        <w:t>p= 0.000</w:t>
      </w:r>
      <w:r>
        <w:rPr>
          <w:rFonts w:ascii="Arial" w:eastAsia="Times New Roman" w:hAnsi="Arial" w:cs="Arial"/>
          <w:kern w:val="0"/>
          <w:sz w:val="20"/>
          <w:szCs w:val="20"/>
          <w:lang w:bidi="ml-IN"/>
          <w14:ligatures w14:val="none"/>
        </w:rPr>
        <w:t>), indicating a strong positive effect on NDP growth. The beta value of 0.466 suggests that industry has a substantial influence, more than agriculture but less than services.</w:t>
      </w:r>
    </w:p>
    <w:p>
      <w:pPr>
        <w:numPr>
          <w:ilvl w:val="0"/>
          <w:numId w:val="15"/>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The services sector has the largest unstandardized coefficient (0.536) and highest </w:t>
      </w:r>
      <w:proofErr w:type="spellStart"/>
      <w:r>
        <w:rPr>
          <w:rFonts w:ascii="Arial" w:eastAsia="Times New Roman" w:hAnsi="Arial" w:cs="Arial"/>
          <w:kern w:val="0"/>
          <w:sz w:val="20"/>
          <w:szCs w:val="20"/>
          <w:lang w:bidi="ml-IN"/>
          <w14:ligatures w14:val="none"/>
        </w:rPr>
        <w:t>standardised</w:t>
      </w:r>
      <w:proofErr w:type="spellEnd"/>
      <w:r>
        <w:rPr>
          <w:rFonts w:ascii="Arial" w:eastAsia="Times New Roman" w:hAnsi="Arial" w:cs="Arial"/>
          <w:kern w:val="0"/>
          <w:sz w:val="20"/>
          <w:szCs w:val="20"/>
          <w:lang w:bidi="ml-IN"/>
          <w14:ligatures w14:val="none"/>
        </w:rPr>
        <w:t xml:space="preserve"> beta (0.684), indicating it is the most influential sector in explaining NDP growth in higher-income states. The effect is also highly significant (</w:t>
      </w:r>
      <w:r>
        <w:rPr>
          <w:rFonts w:ascii="Arial" w:eastAsia="Times New Roman" w:hAnsi="Arial" w:cs="Arial"/>
          <w:i/>
          <w:iCs/>
          <w:kern w:val="0"/>
          <w:sz w:val="20"/>
          <w:szCs w:val="20"/>
          <w:lang w:bidi="ml-IN"/>
          <w14:ligatures w14:val="none"/>
        </w:rPr>
        <w:t>p = .000</w:t>
      </w:r>
      <w:r>
        <w:rPr>
          <w:rFonts w:ascii="Arial" w:eastAsia="Times New Roman" w:hAnsi="Arial" w:cs="Arial"/>
          <w:kern w:val="0"/>
          <w:sz w:val="20"/>
          <w:szCs w:val="20"/>
          <w:lang w:bidi="ml-IN"/>
          <w14:ligatures w14:val="none"/>
        </w:rPr>
        <w:t>), reinforcing the dominant role of services in driving economic performance in developed regions.</w:t>
      </w:r>
    </w:p>
    <w:p>
      <w:pPr>
        <w:numPr>
          <w:ilvl w:val="0"/>
          <w:numId w:val="16"/>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All three sectors contribute positively and significantly to NDP growth in higher-income states. Services have the strongest influence, followed by industry, and then agriculture. The model explains nearly all the variation (98.1%) in NDP growth, suggesting that sectoral performance is a key determinant of economic growth in wealthier states.</w:t>
      </w:r>
    </w:p>
    <w:p>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 xml:space="preserve">3.8 </w:t>
      </w:r>
      <w:bookmarkStart w:id="5" w:name="_Hlk204253983"/>
      <w:r>
        <w:rPr>
          <w:rFonts w:ascii="Arial" w:eastAsia="Times New Roman" w:hAnsi="Arial" w:cs="Arial"/>
          <w:b/>
          <w:bCs/>
          <w:kern w:val="0"/>
          <w:sz w:val="20"/>
          <w:szCs w:val="20"/>
          <w:lang w:bidi="ml-IN"/>
          <w14:ligatures w14:val="none"/>
        </w:rPr>
        <w:t>Comparative Analysis of Sectoral Contributions to NDP in Low- and High-Income States</w:t>
      </w:r>
    </w:p>
    <w:p>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Regression analyses reveal striking differences in the sectoral drivers of Net Domestic Product (NDP) growth between lower- and higher-income Indian states, reflecting distinct stages of economic development and structural transformation.</w:t>
      </w:r>
    </w:p>
    <w:p>
      <w:pPr>
        <w:spacing w:after="0" w:line="240" w:lineRule="auto"/>
        <w:jc w:val="both"/>
        <w:rPr>
          <w:rFonts w:ascii="Arial" w:eastAsia="Times New Roman" w:hAnsi="Arial" w:cs="Arial"/>
          <w:kern w:val="0"/>
          <w:sz w:val="20"/>
          <w:szCs w:val="20"/>
          <w:lang w:bidi="ml-IN"/>
          <w14:ligatures w14:val="none"/>
        </w:rPr>
      </w:pPr>
    </w:p>
    <w:p>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3.8.1 Agriculture</w:t>
      </w:r>
    </w:p>
    <w:p>
      <w:pPr>
        <w:numPr>
          <w:ilvl w:val="0"/>
          <w:numId w:val="17"/>
        </w:num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In lower-income states, agriculture's contribution to NDP growth is statistically insignificant (</w:t>
      </w:r>
      <w:r>
        <w:rPr>
          <w:rFonts w:ascii="Arial" w:eastAsia="Times New Roman" w:hAnsi="Arial" w:cs="Arial"/>
          <w:i/>
          <w:iCs/>
          <w:kern w:val="0"/>
          <w:sz w:val="20"/>
          <w:szCs w:val="20"/>
          <w:lang w:bidi="ml-IN"/>
          <w14:ligatures w14:val="none"/>
        </w:rPr>
        <w:t>β = -0.045</w:t>
      </w:r>
      <w:r>
        <w:rPr>
          <w:rFonts w:ascii="Arial" w:eastAsia="Times New Roman" w:hAnsi="Arial" w:cs="Arial"/>
          <w:kern w:val="0"/>
          <w:sz w:val="20"/>
          <w:szCs w:val="20"/>
          <w:lang w:bidi="ml-IN"/>
          <w14:ligatures w14:val="none"/>
        </w:rPr>
        <w:t xml:space="preserve">, </w:t>
      </w:r>
      <w:r>
        <w:rPr>
          <w:rFonts w:ascii="Arial" w:eastAsia="Times New Roman" w:hAnsi="Arial" w:cs="Arial"/>
          <w:i/>
          <w:iCs/>
          <w:kern w:val="0"/>
          <w:sz w:val="20"/>
          <w:szCs w:val="20"/>
          <w:lang w:bidi="ml-IN"/>
          <w14:ligatures w14:val="none"/>
        </w:rPr>
        <w:t>p = .845</w:t>
      </w:r>
      <w:r>
        <w:rPr>
          <w:rFonts w:ascii="Arial" w:eastAsia="Times New Roman" w:hAnsi="Arial" w:cs="Arial"/>
          <w:kern w:val="0"/>
          <w:sz w:val="20"/>
          <w:szCs w:val="20"/>
          <w:lang w:bidi="ml-IN"/>
          <w14:ligatures w14:val="none"/>
        </w:rPr>
        <w:t>), indicating a minimal or even negative role in driving economic growth.</w:t>
      </w:r>
    </w:p>
    <w:p>
      <w:pPr>
        <w:numPr>
          <w:ilvl w:val="0"/>
          <w:numId w:val="17"/>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In contrast, in higher-income states, agriculture shows a significant and positive, though modest impact (</w:t>
      </w:r>
      <w:r>
        <w:rPr>
          <w:rFonts w:ascii="Arial" w:eastAsia="Times New Roman" w:hAnsi="Arial" w:cs="Arial"/>
          <w:i/>
          <w:iCs/>
          <w:kern w:val="0"/>
          <w:sz w:val="20"/>
          <w:szCs w:val="20"/>
          <w:lang w:bidi="ml-IN"/>
          <w14:ligatures w14:val="none"/>
        </w:rPr>
        <w:t>β = 0.215</w:t>
      </w:r>
      <w:r>
        <w:rPr>
          <w:rFonts w:ascii="Arial" w:eastAsia="Times New Roman" w:hAnsi="Arial" w:cs="Arial"/>
          <w:kern w:val="0"/>
          <w:sz w:val="20"/>
          <w:szCs w:val="20"/>
          <w:lang w:bidi="ml-IN"/>
          <w14:ligatures w14:val="none"/>
        </w:rPr>
        <w:t xml:space="preserve">, </w:t>
      </w:r>
      <w:r>
        <w:rPr>
          <w:rFonts w:ascii="Arial" w:eastAsia="Times New Roman" w:hAnsi="Arial" w:cs="Arial"/>
          <w:i/>
          <w:iCs/>
          <w:kern w:val="0"/>
          <w:sz w:val="20"/>
          <w:szCs w:val="20"/>
          <w:lang w:bidi="ml-IN"/>
          <w14:ligatures w14:val="none"/>
        </w:rPr>
        <w:t>p = .004</w:t>
      </w:r>
      <w:r>
        <w:rPr>
          <w:rFonts w:ascii="Arial" w:eastAsia="Times New Roman" w:hAnsi="Arial" w:cs="Arial"/>
          <w:kern w:val="0"/>
          <w:sz w:val="20"/>
          <w:szCs w:val="20"/>
          <w:lang w:bidi="ml-IN"/>
          <w14:ligatures w14:val="none"/>
        </w:rPr>
        <w:t>), suggesting a supportive role despite its declining share in the economy.</w:t>
      </w:r>
    </w:p>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This divergence aligns with Kuznets' theory of structural transformation, which posits that as economies grow, the share of agriculture declines in </w:t>
      </w:r>
      <w:proofErr w:type="spellStart"/>
      <w:r>
        <w:rPr>
          <w:rFonts w:ascii="Arial" w:eastAsia="Times New Roman" w:hAnsi="Arial" w:cs="Arial"/>
          <w:kern w:val="0"/>
          <w:sz w:val="20"/>
          <w:szCs w:val="20"/>
          <w:lang w:bidi="ml-IN"/>
          <w14:ligatures w14:val="none"/>
        </w:rPr>
        <w:t>favour</w:t>
      </w:r>
      <w:proofErr w:type="spellEnd"/>
      <w:r>
        <w:rPr>
          <w:rFonts w:ascii="Arial" w:eastAsia="Times New Roman" w:hAnsi="Arial" w:cs="Arial"/>
          <w:kern w:val="0"/>
          <w:sz w:val="20"/>
          <w:szCs w:val="20"/>
          <w:lang w:bidi="ml-IN"/>
          <w14:ligatures w14:val="none"/>
        </w:rPr>
        <w:t xml:space="preserve"> of industry and services (Kuznets, 1971). In poorer states, low productivity and subsistence farming limit agriculture’s growth contribution, while in wealthier states, </w:t>
      </w:r>
      <w:proofErr w:type="spellStart"/>
      <w:r>
        <w:rPr>
          <w:rFonts w:ascii="Arial" w:eastAsia="Times New Roman" w:hAnsi="Arial" w:cs="Arial"/>
          <w:kern w:val="0"/>
          <w:sz w:val="20"/>
          <w:szCs w:val="20"/>
          <w:lang w:bidi="ml-IN"/>
          <w14:ligatures w14:val="none"/>
        </w:rPr>
        <w:t>modernisation</w:t>
      </w:r>
      <w:proofErr w:type="spellEnd"/>
      <w:r>
        <w:rPr>
          <w:rFonts w:ascii="Arial" w:eastAsia="Times New Roman" w:hAnsi="Arial" w:cs="Arial"/>
          <w:kern w:val="0"/>
          <w:sz w:val="20"/>
          <w:szCs w:val="20"/>
          <w:lang w:bidi="ml-IN"/>
          <w14:ligatures w14:val="none"/>
        </w:rPr>
        <w:t xml:space="preserve"> and diversification enhance its economic role (Ghosh, 2019).</w:t>
      </w:r>
    </w:p>
    <w:p>
      <w:pPr>
        <w:spacing w:after="0" w:line="240" w:lineRule="auto"/>
        <w:jc w:val="both"/>
        <w:rPr>
          <w:rFonts w:ascii="Arial" w:eastAsia="Times New Roman" w:hAnsi="Arial" w:cs="Arial"/>
          <w:b/>
          <w:bCs/>
          <w:kern w:val="0"/>
          <w:sz w:val="20"/>
          <w:szCs w:val="20"/>
          <w:lang w:bidi="ml-IN"/>
          <w14:ligatures w14:val="none"/>
        </w:rPr>
      </w:pPr>
    </w:p>
    <w:p>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3.8.2 Industry</w:t>
      </w:r>
    </w:p>
    <w:p>
      <w:pPr>
        <w:numPr>
          <w:ilvl w:val="0"/>
          <w:numId w:val="18"/>
        </w:num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In low-income states, industry is the most significant driver of NDP growth (</w:t>
      </w:r>
      <w:r>
        <w:rPr>
          <w:rFonts w:ascii="Arial" w:eastAsia="Times New Roman" w:hAnsi="Arial" w:cs="Arial"/>
          <w:i/>
          <w:iCs/>
          <w:kern w:val="0"/>
          <w:sz w:val="20"/>
          <w:szCs w:val="20"/>
          <w:lang w:bidi="ml-IN"/>
          <w14:ligatures w14:val="none"/>
        </w:rPr>
        <w:t>β = 0.619</w:t>
      </w:r>
      <w:r>
        <w:rPr>
          <w:rFonts w:ascii="Arial" w:eastAsia="Times New Roman" w:hAnsi="Arial" w:cs="Arial"/>
          <w:kern w:val="0"/>
          <w:sz w:val="20"/>
          <w:szCs w:val="20"/>
          <w:lang w:bidi="ml-IN"/>
          <w14:ligatures w14:val="none"/>
        </w:rPr>
        <w:t xml:space="preserve">, </w:t>
      </w:r>
      <w:r>
        <w:rPr>
          <w:rFonts w:ascii="Arial" w:eastAsia="Times New Roman" w:hAnsi="Arial" w:cs="Arial"/>
          <w:i/>
          <w:iCs/>
          <w:kern w:val="0"/>
          <w:sz w:val="20"/>
          <w:szCs w:val="20"/>
          <w:lang w:bidi="ml-IN"/>
          <w14:ligatures w14:val="none"/>
        </w:rPr>
        <w:t>p = .030</w:t>
      </w:r>
      <w:r>
        <w:rPr>
          <w:rFonts w:ascii="Arial" w:eastAsia="Times New Roman" w:hAnsi="Arial" w:cs="Arial"/>
          <w:kern w:val="0"/>
          <w:sz w:val="20"/>
          <w:szCs w:val="20"/>
          <w:lang w:bidi="ml-IN"/>
          <w14:ligatures w14:val="none"/>
        </w:rPr>
        <w:t>), highlighting the importance of industrial development in transitioning from agrarian to semi-industrial economies.</w:t>
      </w:r>
    </w:p>
    <w:p>
      <w:pPr>
        <w:numPr>
          <w:ilvl w:val="0"/>
          <w:numId w:val="18"/>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In high-income states, industry also contributes strongly (</w:t>
      </w:r>
      <w:r>
        <w:rPr>
          <w:rFonts w:ascii="Arial" w:eastAsia="Times New Roman" w:hAnsi="Arial" w:cs="Arial"/>
          <w:i/>
          <w:iCs/>
          <w:kern w:val="0"/>
          <w:sz w:val="20"/>
          <w:szCs w:val="20"/>
          <w:lang w:bidi="ml-IN"/>
          <w14:ligatures w14:val="none"/>
        </w:rPr>
        <w:t>β = 0.466</w:t>
      </w:r>
      <w:r>
        <w:rPr>
          <w:rFonts w:ascii="Arial" w:eastAsia="Times New Roman" w:hAnsi="Arial" w:cs="Arial"/>
          <w:kern w:val="0"/>
          <w:sz w:val="20"/>
          <w:szCs w:val="20"/>
          <w:lang w:bidi="ml-IN"/>
          <w14:ligatures w14:val="none"/>
        </w:rPr>
        <w:t xml:space="preserve">, </w:t>
      </w:r>
      <w:r>
        <w:rPr>
          <w:rFonts w:ascii="Arial" w:eastAsia="Times New Roman" w:hAnsi="Arial" w:cs="Arial"/>
          <w:i/>
          <w:iCs/>
          <w:kern w:val="0"/>
          <w:sz w:val="20"/>
          <w:szCs w:val="20"/>
          <w:lang w:bidi="ml-IN"/>
          <w14:ligatures w14:val="none"/>
        </w:rPr>
        <w:t>p &lt; 0.001</w:t>
      </w:r>
      <w:r>
        <w:rPr>
          <w:rFonts w:ascii="Arial" w:eastAsia="Times New Roman" w:hAnsi="Arial" w:cs="Arial"/>
          <w:kern w:val="0"/>
          <w:sz w:val="20"/>
          <w:szCs w:val="20"/>
          <w:lang w:bidi="ml-IN"/>
          <w14:ligatures w14:val="none"/>
        </w:rPr>
        <w:t>), but its role is relatively less dominant than services.</w:t>
      </w:r>
    </w:p>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This supports Hirschman’s linkages theory (1958), which argues that industry has strong backward and forward linkages, making it critical in the early stages of development. In lower-income regions, strengthening industrial capacity is vital for </w:t>
      </w:r>
      <w:proofErr w:type="spellStart"/>
      <w:r>
        <w:rPr>
          <w:rFonts w:ascii="Arial" w:eastAsia="Times New Roman" w:hAnsi="Arial" w:cs="Arial"/>
          <w:kern w:val="0"/>
          <w:sz w:val="20"/>
          <w:szCs w:val="20"/>
          <w:lang w:bidi="ml-IN"/>
          <w14:ligatures w14:val="none"/>
        </w:rPr>
        <w:t>catalysing</w:t>
      </w:r>
      <w:proofErr w:type="spellEnd"/>
      <w:r>
        <w:rPr>
          <w:rFonts w:ascii="Arial" w:eastAsia="Times New Roman" w:hAnsi="Arial" w:cs="Arial"/>
          <w:kern w:val="0"/>
          <w:sz w:val="20"/>
          <w:szCs w:val="20"/>
          <w:lang w:bidi="ml-IN"/>
          <w14:ligatures w14:val="none"/>
        </w:rPr>
        <w:t xml:space="preserve"> broader economic growth and reducing unemployment.</w:t>
      </w:r>
    </w:p>
    <w:p>
      <w:pPr>
        <w:spacing w:after="0" w:line="240" w:lineRule="auto"/>
        <w:jc w:val="both"/>
        <w:rPr>
          <w:rFonts w:ascii="Arial" w:eastAsia="Times New Roman" w:hAnsi="Arial" w:cs="Arial"/>
          <w:b/>
          <w:bCs/>
          <w:kern w:val="0"/>
          <w:sz w:val="20"/>
          <w:szCs w:val="20"/>
          <w:lang w:bidi="ml-IN"/>
          <w14:ligatures w14:val="none"/>
        </w:rPr>
      </w:pPr>
    </w:p>
    <w:p>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lastRenderedPageBreak/>
        <w:t>3.8.3 Services</w:t>
      </w:r>
    </w:p>
    <w:p>
      <w:pPr>
        <w:numPr>
          <w:ilvl w:val="0"/>
          <w:numId w:val="19"/>
        </w:num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service sector in low-income states, while showing a positive effect, is not statistically significant (</w:t>
      </w:r>
      <w:r>
        <w:rPr>
          <w:rFonts w:ascii="Arial" w:eastAsia="Times New Roman" w:hAnsi="Arial" w:cs="Arial"/>
          <w:i/>
          <w:iCs/>
          <w:kern w:val="0"/>
          <w:sz w:val="20"/>
          <w:szCs w:val="20"/>
          <w:lang w:bidi="ml-IN"/>
          <w14:ligatures w14:val="none"/>
        </w:rPr>
        <w:t>β = 0.392</w:t>
      </w:r>
      <w:r>
        <w:rPr>
          <w:rFonts w:ascii="Arial" w:eastAsia="Times New Roman" w:hAnsi="Arial" w:cs="Arial"/>
          <w:kern w:val="0"/>
          <w:sz w:val="20"/>
          <w:szCs w:val="20"/>
          <w:lang w:bidi="ml-IN"/>
          <w14:ligatures w14:val="none"/>
        </w:rPr>
        <w:t xml:space="preserve">, </w:t>
      </w:r>
      <w:r>
        <w:rPr>
          <w:rFonts w:ascii="Arial" w:eastAsia="Times New Roman" w:hAnsi="Arial" w:cs="Arial"/>
          <w:i/>
          <w:iCs/>
          <w:kern w:val="0"/>
          <w:sz w:val="20"/>
          <w:szCs w:val="20"/>
          <w:lang w:bidi="ml-IN"/>
          <w14:ligatures w14:val="none"/>
        </w:rPr>
        <w:t>p = 0.132</w:t>
      </w:r>
      <w:r>
        <w:rPr>
          <w:rFonts w:ascii="Arial" w:eastAsia="Times New Roman" w:hAnsi="Arial" w:cs="Arial"/>
          <w:kern w:val="0"/>
          <w:sz w:val="20"/>
          <w:szCs w:val="20"/>
          <w:lang w:bidi="ml-IN"/>
          <w14:ligatures w14:val="none"/>
        </w:rPr>
        <w:t>), reflecting the underdevelopment of modern services due to poor infrastructure, low human capital, and limited digital access.</w:t>
      </w:r>
    </w:p>
    <w:p>
      <w:pPr>
        <w:numPr>
          <w:ilvl w:val="0"/>
          <w:numId w:val="19"/>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In high-income states, services are the dominant contributor to NDP growth (</w:t>
      </w:r>
      <w:r>
        <w:rPr>
          <w:rFonts w:ascii="Arial" w:eastAsia="Times New Roman" w:hAnsi="Arial" w:cs="Arial"/>
          <w:i/>
          <w:iCs/>
          <w:kern w:val="0"/>
          <w:sz w:val="20"/>
          <w:szCs w:val="20"/>
          <w:lang w:bidi="ml-IN"/>
          <w14:ligatures w14:val="none"/>
        </w:rPr>
        <w:t>β = 0.684</w:t>
      </w:r>
      <w:r>
        <w:rPr>
          <w:rFonts w:ascii="Arial" w:eastAsia="Times New Roman" w:hAnsi="Arial" w:cs="Arial"/>
          <w:kern w:val="0"/>
          <w:sz w:val="20"/>
          <w:szCs w:val="20"/>
          <w:lang w:bidi="ml-IN"/>
          <w14:ligatures w14:val="none"/>
        </w:rPr>
        <w:t xml:space="preserve">, </w:t>
      </w:r>
      <w:r>
        <w:rPr>
          <w:rFonts w:ascii="Arial" w:eastAsia="Times New Roman" w:hAnsi="Arial" w:cs="Arial"/>
          <w:i/>
          <w:iCs/>
          <w:kern w:val="0"/>
          <w:sz w:val="20"/>
          <w:szCs w:val="20"/>
          <w:lang w:bidi="ml-IN"/>
          <w14:ligatures w14:val="none"/>
        </w:rPr>
        <w:t>p &lt; 0.001</w:t>
      </w:r>
      <w:r>
        <w:rPr>
          <w:rFonts w:ascii="Arial" w:eastAsia="Times New Roman" w:hAnsi="Arial" w:cs="Arial"/>
          <w:kern w:val="0"/>
          <w:sz w:val="20"/>
          <w:szCs w:val="20"/>
          <w:lang w:bidi="ml-IN"/>
          <w14:ligatures w14:val="none"/>
        </w:rPr>
        <w:t>), highlighting a mature, service-led growth pattern.</w:t>
      </w:r>
    </w:p>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This confirms the “services-led growth hypothesis” for advanced regions (Gordon &amp; Gupta, 2004), where high-value services like IT, finance, and communications drive growth, supported by </w:t>
      </w:r>
      <w:proofErr w:type="spellStart"/>
      <w:r>
        <w:rPr>
          <w:rFonts w:ascii="Arial" w:eastAsia="Times New Roman" w:hAnsi="Arial" w:cs="Arial"/>
          <w:kern w:val="0"/>
          <w:sz w:val="20"/>
          <w:szCs w:val="20"/>
          <w:lang w:bidi="ml-IN"/>
          <w14:ligatures w14:val="none"/>
        </w:rPr>
        <w:t>urbanisation</w:t>
      </w:r>
      <w:proofErr w:type="spellEnd"/>
      <w:r>
        <w:rPr>
          <w:rFonts w:ascii="Arial" w:eastAsia="Times New Roman" w:hAnsi="Arial" w:cs="Arial"/>
          <w:kern w:val="0"/>
          <w:sz w:val="20"/>
          <w:szCs w:val="20"/>
          <w:lang w:bidi="ml-IN"/>
          <w14:ligatures w14:val="none"/>
        </w:rPr>
        <w:t xml:space="preserve">, skilled </w:t>
      </w:r>
      <w:proofErr w:type="spellStart"/>
      <w:r>
        <w:rPr>
          <w:rFonts w:ascii="Arial" w:eastAsia="Times New Roman" w:hAnsi="Arial" w:cs="Arial"/>
          <w:kern w:val="0"/>
          <w:sz w:val="20"/>
          <w:szCs w:val="20"/>
          <w:lang w:bidi="ml-IN"/>
          <w14:ligatures w14:val="none"/>
        </w:rPr>
        <w:t>labour</w:t>
      </w:r>
      <w:proofErr w:type="spellEnd"/>
      <w:r>
        <w:rPr>
          <w:rFonts w:ascii="Arial" w:eastAsia="Times New Roman" w:hAnsi="Arial" w:cs="Arial"/>
          <w:kern w:val="0"/>
          <w:sz w:val="20"/>
          <w:szCs w:val="20"/>
          <w:lang w:bidi="ml-IN"/>
          <w14:ligatures w14:val="none"/>
        </w:rPr>
        <w:t>, and technology.</w:t>
      </w:r>
    </w:p>
    <w:bookmarkEnd w:id="5"/>
    <w:p>
      <w:pPr>
        <w:spacing w:after="0" w:line="240" w:lineRule="auto"/>
        <w:jc w:val="both"/>
        <w:rPr>
          <w:rFonts w:ascii="Arial" w:eastAsia="Times New Roman" w:hAnsi="Arial" w:cs="Arial"/>
          <w:b/>
          <w:bCs/>
          <w:kern w:val="0"/>
          <w:sz w:val="22"/>
          <w:szCs w:val="22"/>
          <w:lang w:bidi="ml-IN"/>
          <w14:ligatures w14:val="none"/>
        </w:rPr>
      </w:pPr>
    </w:p>
    <w:p>
      <w:pPr>
        <w:spacing w:after="0" w:line="240" w:lineRule="auto"/>
        <w:jc w:val="both"/>
        <w:rPr>
          <w:rFonts w:ascii="Arial" w:eastAsia="Times New Roman" w:hAnsi="Arial" w:cs="Arial"/>
          <w:b/>
          <w:bCs/>
          <w:kern w:val="0"/>
          <w:sz w:val="22"/>
          <w:szCs w:val="22"/>
          <w:lang w:bidi="ml-IN"/>
          <w14:ligatures w14:val="none"/>
        </w:rPr>
      </w:pPr>
      <w:r>
        <w:rPr>
          <w:rFonts w:ascii="Arial" w:eastAsia="Times New Roman" w:hAnsi="Arial" w:cs="Arial"/>
          <w:b/>
          <w:bCs/>
          <w:kern w:val="0"/>
          <w:sz w:val="22"/>
          <w:szCs w:val="22"/>
          <w:lang w:bidi="ml-IN"/>
          <w14:ligatures w14:val="none"/>
        </w:rPr>
        <w:t>4. CONCLUSION</w:t>
      </w:r>
    </w:p>
    <w:p>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This study highlights the deepening economic divide between India’s high- and low-income states, driven by differential sectoral contributions to NDP growth. Regression analysis demonstrates that industry is the only sector with a statistically significant and strong positive impact on NDP growth in lower-income states, underlining its importance as a vehicle for structural transformation. Agriculture plays a negligible or even negative role in these regions, constrained by low productivity and subsistence-level practices. The services sector, though showing a positive trend, lacks statistical significance, pointing to an underdeveloped service ecosystem in poorer states.</w:t>
      </w:r>
    </w:p>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In contrast, high-income states exhibit a more advanced growth structure, with services emerging as the dominant sector, supported by robust industry and a moderately contributing agriculture sector. These patterns reflect distinct stages of development, confirming theoretical expectations from Kuznets (1971) on sectoral transition, Hirschman (1958) on industrial linkages, and Myrdal (1957) on the cumulative advantages that </w:t>
      </w:r>
      <w:proofErr w:type="spellStart"/>
      <w:r>
        <w:rPr>
          <w:rFonts w:ascii="Arial" w:eastAsia="Times New Roman" w:hAnsi="Arial" w:cs="Arial"/>
          <w:kern w:val="0"/>
          <w:sz w:val="20"/>
          <w:szCs w:val="20"/>
          <w:lang w:bidi="ml-IN"/>
          <w14:ligatures w14:val="none"/>
        </w:rPr>
        <w:t>favour</w:t>
      </w:r>
      <w:proofErr w:type="spellEnd"/>
      <w:r>
        <w:rPr>
          <w:rFonts w:ascii="Arial" w:eastAsia="Times New Roman" w:hAnsi="Arial" w:cs="Arial"/>
          <w:kern w:val="0"/>
          <w:sz w:val="20"/>
          <w:szCs w:val="20"/>
          <w:lang w:bidi="ml-IN"/>
          <w14:ligatures w14:val="none"/>
        </w:rPr>
        <w:t xml:space="preserve"> developed regions.</w:t>
      </w:r>
    </w:p>
    <w:p>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The findings underscore the necessity for targeted, state-specific policy interventions. For low-income states, industrial promotion through infrastructure development, fiscal incentives, and skill training must be </w:t>
      </w:r>
      <w:proofErr w:type="spellStart"/>
      <w:r>
        <w:rPr>
          <w:rFonts w:ascii="Arial" w:eastAsia="Times New Roman" w:hAnsi="Arial" w:cs="Arial"/>
          <w:kern w:val="0"/>
          <w:sz w:val="20"/>
          <w:szCs w:val="20"/>
          <w:lang w:bidi="ml-IN"/>
          <w14:ligatures w14:val="none"/>
        </w:rPr>
        <w:t>prioritised</w:t>
      </w:r>
      <w:proofErr w:type="spellEnd"/>
      <w:r>
        <w:rPr>
          <w:rFonts w:ascii="Arial" w:eastAsia="Times New Roman" w:hAnsi="Arial" w:cs="Arial"/>
          <w:kern w:val="0"/>
          <w:sz w:val="20"/>
          <w:szCs w:val="20"/>
          <w:lang w:bidi="ml-IN"/>
          <w14:ligatures w14:val="none"/>
        </w:rPr>
        <w:t>. Simultaneously, service sector capacity must be enhanced through investments in education, health, and digital infrastructure. Without such measures, economic growth will continue to be concentrated in already-developed regions, exacerbating regional inequalities and undermining long-term national cohesion. Therefore, this study advocates for a balanced regional development approach, grounded in empirical evidence and aligned with inclusive growth strategies.</w:t>
      </w:r>
    </w:p>
    <w:p>
      <w:pPr>
        <w:spacing w:after="0" w:line="240" w:lineRule="auto"/>
        <w:jc w:val="both"/>
        <w:rPr>
          <w:rFonts w:ascii="Arial" w:eastAsia="Times New Roman" w:hAnsi="Arial" w:cs="Arial"/>
          <w:b/>
          <w:bCs/>
          <w:kern w:val="0"/>
          <w:sz w:val="20"/>
          <w:szCs w:val="20"/>
          <w:lang w:bidi="ml-IN"/>
          <w14:ligatures w14:val="none"/>
        </w:rPr>
      </w:pPr>
    </w:p>
    <w:p>
      <w:pPr>
        <w:spacing w:before="240" w:after="0" w:line="276" w:lineRule="auto"/>
        <w:jc w:val="both"/>
        <w:rPr>
          <w:rFonts w:ascii="Arial" w:hAnsi="Arial" w:cs="Arial"/>
          <w:b/>
          <w:bCs/>
          <w:sz w:val="22"/>
          <w:szCs w:val="22"/>
        </w:rPr>
      </w:pPr>
    </w:p>
    <w:p>
      <w:pPr>
        <w:spacing w:before="240" w:after="0" w:line="276" w:lineRule="auto"/>
        <w:jc w:val="both"/>
      </w:pPr>
      <w:r>
        <w:rPr>
          <w:rFonts w:ascii="Arial" w:hAnsi="Arial" w:cs="Arial"/>
          <w:b/>
          <w:bCs/>
          <w:sz w:val="22"/>
          <w:szCs w:val="22"/>
        </w:rPr>
        <w:t>5. REFERENCES</w:t>
      </w:r>
    </w:p>
    <w:p>
      <w:pPr>
        <w:spacing w:before="240" w:after="0" w:line="240" w:lineRule="auto"/>
        <w:jc w:val="both"/>
        <w:rPr>
          <w:rFonts w:ascii="Arial" w:hAnsi="Arial" w:cs="Arial"/>
          <w:sz w:val="20"/>
          <w:szCs w:val="20"/>
        </w:rPr>
      </w:pPr>
      <w:r>
        <w:rPr>
          <w:rFonts w:ascii="Arial" w:hAnsi="Arial" w:cs="Arial"/>
          <w:sz w:val="20"/>
          <w:szCs w:val="20"/>
        </w:rPr>
        <w:t xml:space="preserve">1. Aghion, P., </w:t>
      </w:r>
      <w:proofErr w:type="spellStart"/>
      <w:r>
        <w:rPr>
          <w:rFonts w:ascii="Arial" w:hAnsi="Arial" w:cs="Arial"/>
          <w:sz w:val="20"/>
          <w:szCs w:val="20"/>
        </w:rPr>
        <w:t>Caroli</w:t>
      </w:r>
      <w:proofErr w:type="spellEnd"/>
      <w:r>
        <w:rPr>
          <w:rFonts w:ascii="Arial" w:hAnsi="Arial" w:cs="Arial"/>
          <w:sz w:val="20"/>
          <w:szCs w:val="20"/>
        </w:rPr>
        <w:t>, E., &amp; García-</w:t>
      </w:r>
      <w:proofErr w:type="spellStart"/>
      <w:r>
        <w:rPr>
          <w:rFonts w:ascii="Arial" w:hAnsi="Arial" w:cs="Arial"/>
          <w:sz w:val="20"/>
          <w:szCs w:val="20"/>
        </w:rPr>
        <w:t>Peñalosa</w:t>
      </w:r>
      <w:proofErr w:type="spellEnd"/>
      <w:r>
        <w:rPr>
          <w:rFonts w:ascii="Arial" w:hAnsi="Arial" w:cs="Arial"/>
          <w:sz w:val="20"/>
          <w:szCs w:val="20"/>
        </w:rPr>
        <w:t xml:space="preserve">, C. (1999). Inequality and economic growth: The perspective of the new growth theories. </w:t>
      </w:r>
      <w:r>
        <w:rPr>
          <w:rFonts w:ascii="Arial" w:hAnsi="Arial" w:cs="Arial"/>
          <w:i/>
          <w:iCs/>
          <w:sz w:val="20"/>
          <w:szCs w:val="20"/>
        </w:rPr>
        <w:t>Journal of Economic Literature, 37</w:t>
      </w:r>
      <w:r>
        <w:rPr>
          <w:rFonts w:ascii="Arial" w:hAnsi="Arial" w:cs="Arial"/>
          <w:sz w:val="20"/>
          <w:szCs w:val="20"/>
        </w:rPr>
        <w:t xml:space="preserve">(4), 1615–1660. </w:t>
      </w:r>
      <w:hyperlink r:id="rId7" w:history="1">
        <w:r>
          <w:rPr>
            <w:rStyle w:val="Hyperlink"/>
            <w:rFonts w:ascii="Arial" w:hAnsi="Arial" w:cs="Arial"/>
            <w:sz w:val="20"/>
            <w:szCs w:val="20"/>
          </w:rPr>
          <w:t>https://doi.org/10.1257/jel.37.4.1615</w:t>
        </w:r>
      </w:hyperlink>
      <w:r>
        <w:rPr>
          <w:rFonts w:ascii="Arial" w:hAnsi="Arial" w:cs="Arial"/>
          <w:sz w:val="20"/>
          <w:szCs w:val="20"/>
        </w:rPr>
        <w:t xml:space="preserve">. </w:t>
      </w:r>
    </w:p>
    <w:p>
      <w:pPr>
        <w:spacing w:after="0" w:line="240" w:lineRule="auto"/>
        <w:jc w:val="both"/>
        <w:rPr>
          <w:rFonts w:ascii="Arial" w:hAnsi="Arial" w:cs="Arial"/>
          <w:sz w:val="20"/>
          <w:szCs w:val="20"/>
        </w:rPr>
      </w:pPr>
    </w:p>
    <w:p>
      <w:pPr>
        <w:spacing w:after="0" w:line="240" w:lineRule="auto"/>
        <w:jc w:val="both"/>
        <w:rPr>
          <w:rFonts w:ascii="Arial" w:hAnsi="Arial" w:cs="Arial"/>
          <w:sz w:val="20"/>
          <w:szCs w:val="20"/>
        </w:rPr>
      </w:pPr>
      <w:r>
        <w:rPr>
          <w:rFonts w:ascii="Arial" w:hAnsi="Arial" w:cs="Arial"/>
          <w:sz w:val="20"/>
          <w:szCs w:val="20"/>
        </w:rPr>
        <w:t xml:space="preserve">2. </w:t>
      </w:r>
      <w:proofErr w:type="spellStart"/>
      <w:r>
        <w:rPr>
          <w:rFonts w:ascii="Arial" w:hAnsi="Arial" w:cs="Arial"/>
          <w:sz w:val="20"/>
          <w:szCs w:val="20"/>
        </w:rPr>
        <w:t>Galor</w:t>
      </w:r>
      <w:proofErr w:type="spellEnd"/>
      <w:r>
        <w:rPr>
          <w:rFonts w:ascii="Arial" w:hAnsi="Arial" w:cs="Arial"/>
          <w:sz w:val="20"/>
          <w:szCs w:val="20"/>
        </w:rPr>
        <w:t xml:space="preserve">, O., &amp; </w:t>
      </w:r>
      <w:proofErr w:type="spellStart"/>
      <w:r>
        <w:rPr>
          <w:rFonts w:ascii="Arial" w:hAnsi="Arial" w:cs="Arial"/>
          <w:sz w:val="20"/>
          <w:szCs w:val="20"/>
        </w:rPr>
        <w:t>Moav</w:t>
      </w:r>
      <w:proofErr w:type="spellEnd"/>
      <w:r>
        <w:rPr>
          <w:rFonts w:ascii="Arial" w:hAnsi="Arial" w:cs="Arial"/>
          <w:sz w:val="20"/>
          <w:szCs w:val="20"/>
        </w:rPr>
        <w:t xml:space="preserve">, O. (2004). From physical to human capital accumulation: Inequality and the process of development. </w:t>
      </w:r>
      <w:r>
        <w:rPr>
          <w:rFonts w:ascii="Arial" w:hAnsi="Arial" w:cs="Arial"/>
          <w:i/>
          <w:iCs/>
          <w:sz w:val="20"/>
          <w:szCs w:val="20"/>
        </w:rPr>
        <w:t>Review of Economic Studies, 71</w:t>
      </w:r>
      <w:r>
        <w:rPr>
          <w:rFonts w:ascii="Arial" w:hAnsi="Arial" w:cs="Arial"/>
          <w:sz w:val="20"/>
          <w:szCs w:val="20"/>
        </w:rPr>
        <w:t xml:space="preserve">(4), 1001–1026. </w:t>
      </w:r>
      <w:hyperlink r:id="rId8" w:history="1">
        <w:r>
          <w:rPr>
            <w:rStyle w:val="Hyperlink"/>
            <w:rFonts w:ascii="Arial" w:hAnsi="Arial" w:cs="Arial"/>
            <w:sz w:val="20"/>
            <w:szCs w:val="20"/>
          </w:rPr>
          <w:t>https://doi.org/10.1111/j.1467-937X.2004.00311.x</w:t>
        </w:r>
      </w:hyperlink>
      <w:r>
        <w:rPr>
          <w:rFonts w:ascii="Arial" w:hAnsi="Arial" w:cs="Arial"/>
          <w:sz w:val="20"/>
          <w:szCs w:val="20"/>
        </w:rPr>
        <w:t xml:space="preserve">.  </w:t>
      </w:r>
    </w:p>
    <w:p>
      <w:pPr>
        <w:spacing w:after="0" w:line="240" w:lineRule="auto"/>
        <w:jc w:val="both"/>
        <w:rPr>
          <w:rFonts w:ascii="Arial" w:hAnsi="Arial" w:cs="Arial"/>
          <w:sz w:val="20"/>
          <w:szCs w:val="20"/>
        </w:rPr>
      </w:pPr>
    </w:p>
    <w:p>
      <w:pPr>
        <w:spacing w:after="0" w:line="240" w:lineRule="auto"/>
        <w:jc w:val="both"/>
        <w:rPr>
          <w:rFonts w:ascii="Arial" w:hAnsi="Arial" w:cs="Arial"/>
          <w:sz w:val="20"/>
          <w:szCs w:val="20"/>
        </w:rPr>
      </w:pPr>
      <w:r>
        <w:rPr>
          <w:rFonts w:ascii="Arial" w:hAnsi="Arial" w:cs="Arial"/>
          <w:sz w:val="20"/>
          <w:szCs w:val="20"/>
        </w:rPr>
        <w:t xml:space="preserve">3. </w:t>
      </w:r>
      <w:proofErr w:type="spellStart"/>
      <w:r>
        <w:rPr>
          <w:rFonts w:ascii="Arial" w:hAnsi="Arial" w:cs="Arial"/>
          <w:sz w:val="20"/>
          <w:szCs w:val="20"/>
        </w:rPr>
        <w:t>Tsujita</w:t>
      </w:r>
      <w:proofErr w:type="spellEnd"/>
      <w:r>
        <w:rPr>
          <w:rFonts w:ascii="Arial" w:hAnsi="Arial" w:cs="Arial"/>
          <w:sz w:val="20"/>
          <w:szCs w:val="20"/>
        </w:rPr>
        <w:t xml:space="preserve">, Y., Oda, H., &amp; Pandey, A. (2010). </w:t>
      </w:r>
      <w:r>
        <w:rPr>
          <w:rFonts w:ascii="Arial" w:hAnsi="Arial" w:cs="Arial"/>
          <w:i/>
          <w:iCs/>
          <w:sz w:val="20"/>
          <w:szCs w:val="20"/>
        </w:rPr>
        <w:t>The employment structure in rural Bihar: A study based on village-level surveys</w:t>
      </w:r>
      <w:r>
        <w:rPr>
          <w:rFonts w:ascii="Arial" w:hAnsi="Arial" w:cs="Arial"/>
          <w:sz w:val="20"/>
          <w:szCs w:val="20"/>
        </w:rPr>
        <w:t>. Institute of Developing Economies (IDE-JETRO). https://www.ide.go.jp/English/Publish/Download/Dp/pdf/258.pdf</w:t>
      </w:r>
    </w:p>
    <w:p>
      <w:pPr>
        <w:pStyle w:val="NormalWeb"/>
        <w:spacing w:before="100" w:beforeAutospacing="1" w:after="100" w:afterAutospacing="1" w:line="240" w:lineRule="auto"/>
        <w:rPr>
          <w:rFonts w:ascii="Arial" w:hAnsi="Arial" w:cs="Arial"/>
          <w:sz w:val="20"/>
          <w:szCs w:val="20"/>
        </w:rPr>
      </w:pPr>
      <w:r>
        <w:rPr>
          <w:rFonts w:ascii="Arial" w:hAnsi="Arial" w:cs="Arial"/>
          <w:sz w:val="20"/>
          <w:szCs w:val="20"/>
        </w:rPr>
        <w:t xml:space="preserve">4. Kuznets, S. (1955). </w:t>
      </w:r>
      <w:r>
        <w:rPr>
          <w:rFonts w:ascii="Arial" w:hAnsi="Arial" w:cs="Arial"/>
          <w:i/>
          <w:iCs/>
          <w:sz w:val="20"/>
          <w:szCs w:val="20"/>
        </w:rPr>
        <w:t>Economic growth and income inequality</w:t>
      </w:r>
      <w:r>
        <w:rPr>
          <w:rFonts w:ascii="Arial" w:hAnsi="Arial" w:cs="Arial"/>
          <w:sz w:val="20"/>
          <w:szCs w:val="20"/>
        </w:rPr>
        <w:t xml:space="preserve">. </w:t>
      </w:r>
      <w:r>
        <w:rPr>
          <w:rFonts w:ascii="Arial" w:hAnsi="Arial" w:cs="Arial"/>
          <w:i/>
          <w:iCs/>
          <w:sz w:val="20"/>
          <w:szCs w:val="20"/>
        </w:rPr>
        <w:t>The American Economic Review</w:t>
      </w:r>
      <w:r>
        <w:rPr>
          <w:rFonts w:ascii="Arial" w:hAnsi="Arial" w:cs="Arial"/>
          <w:sz w:val="20"/>
          <w:szCs w:val="20"/>
        </w:rPr>
        <w:t>, 45(1), 1–28.</w:t>
      </w:r>
    </w:p>
    <w:p>
      <w:pPr>
        <w:pStyle w:val="NormalWeb"/>
        <w:spacing w:before="100" w:beforeAutospacing="1" w:after="100" w:afterAutospacing="1" w:line="240" w:lineRule="auto"/>
        <w:rPr>
          <w:rFonts w:ascii="Arial" w:hAnsi="Arial" w:cs="Arial"/>
          <w:sz w:val="20"/>
          <w:szCs w:val="20"/>
        </w:rPr>
      </w:pPr>
      <w:r>
        <w:rPr>
          <w:rFonts w:ascii="Arial" w:hAnsi="Arial" w:cs="Arial"/>
          <w:sz w:val="20"/>
          <w:szCs w:val="20"/>
        </w:rPr>
        <w:t xml:space="preserve">5. Romer, P. M. (1990). Endogenous technological change. </w:t>
      </w:r>
      <w:r>
        <w:rPr>
          <w:rStyle w:val="Emphasis"/>
          <w:rFonts w:ascii="Arial" w:hAnsi="Arial" w:cs="Arial"/>
          <w:sz w:val="20"/>
          <w:szCs w:val="20"/>
        </w:rPr>
        <w:t>Journal of Political Economy, 98</w:t>
      </w:r>
      <w:r>
        <w:rPr>
          <w:rFonts w:ascii="Arial" w:hAnsi="Arial" w:cs="Arial"/>
          <w:sz w:val="20"/>
          <w:szCs w:val="20"/>
        </w:rPr>
        <w:t xml:space="preserve">(5, Part 2), S71–S102. </w:t>
      </w:r>
      <w:hyperlink r:id="rId9" w:history="1">
        <w:r>
          <w:rPr>
            <w:rStyle w:val="Hyperlink"/>
            <w:rFonts w:ascii="Arial" w:hAnsi="Arial" w:cs="Arial"/>
            <w:sz w:val="20"/>
            <w:szCs w:val="20"/>
          </w:rPr>
          <w:t>https://doi.org/10.1086/261725</w:t>
        </w:r>
      </w:hyperlink>
      <w:r>
        <w:rPr>
          <w:rFonts w:ascii="Arial" w:hAnsi="Arial" w:cs="Arial"/>
          <w:sz w:val="20"/>
          <w:szCs w:val="20"/>
        </w:rPr>
        <w:t xml:space="preserve">. </w:t>
      </w:r>
    </w:p>
    <w:p>
      <w:pPr>
        <w:pStyle w:val="NormalWeb"/>
        <w:spacing w:before="100" w:beforeAutospacing="1" w:after="100" w:afterAutospacing="1" w:line="240" w:lineRule="auto"/>
        <w:rPr>
          <w:rFonts w:ascii="Arial" w:hAnsi="Arial" w:cs="Arial"/>
          <w:sz w:val="20"/>
          <w:szCs w:val="20"/>
        </w:rPr>
      </w:pPr>
      <w:r>
        <w:rPr>
          <w:rFonts w:ascii="Arial" w:hAnsi="Arial" w:cs="Arial"/>
          <w:sz w:val="20"/>
          <w:szCs w:val="20"/>
        </w:rPr>
        <w:lastRenderedPageBreak/>
        <w:t xml:space="preserve">6. Lucas, R. E., Jr. (1988). On the mechanics of economic development. </w:t>
      </w:r>
      <w:r>
        <w:rPr>
          <w:rStyle w:val="Emphasis"/>
          <w:rFonts w:ascii="Arial" w:hAnsi="Arial" w:cs="Arial"/>
          <w:sz w:val="20"/>
          <w:szCs w:val="20"/>
        </w:rPr>
        <w:t>Journal of Monetary Economics, 22</w:t>
      </w:r>
      <w:r>
        <w:rPr>
          <w:rFonts w:ascii="Arial" w:hAnsi="Arial" w:cs="Arial"/>
          <w:sz w:val="20"/>
          <w:szCs w:val="20"/>
        </w:rPr>
        <w:t xml:space="preserve">(1), 3–42. </w:t>
      </w:r>
      <w:hyperlink r:id="rId10" w:history="1">
        <w:r>
          <w:rPr>
            <w:rStyle w:val="Hyperlink"/>
            <w:rFonts w:ascii="Arial" w:hAnsi="Arial" w:cs="Arial"/>
            <w:sz w:val="20"/>
            <w:szCs w:val="20"/>
          </w:rPr>
          <w:t>https://doi.org/10.1016/0304-3932(88)90168-7</w:t>
        </w:r>
      </w:hyperlink>
      <w:r>
        <w:rPr>
          <w:rFonts w:ascii="Arial" w:hAnsi="Arial" w:cs="Arial"/>
          <w:sz w:val="20"/>
          <w:szCs w:val="20"/>
        </w:rPr>
        <w:t xml:space="preserve">. </w:t>
      </w:r>
    </w:p>
    <w:p>
      <w:pPr>
        <w:pStyle w:val="NormalWeb"/>
        <w:spacing w:before="100" w:beforeAutospacing="1" w:after="100" w:afterAutospacing="1" w:line="240" w:lineRule="auto"/>
        <w:rPr>
          <w:rFonts w:ascii="Arial" w:eastAsia="Times New Roman" w:hAnsi="Arial" w:cs="Arial"/>
          <w:kern w:val="0"/>
          <w:sz w:val="20"/>
          <w:szCs w:val="20"/>
          <w:lang w:bidi="ml-IN"/>
          <w14:ligatures w14:val="none"/>
        </w:rPr>
      </w:pPr>
      <w:r>
        <w:rPr>
          <w:rFonts w:ascii="Arial" w:hAnsi="Arial" w:cs="Arial"/>
          <w:sz w:val="20"/>
          <w:szCs w:val="20"/>
        </w:rPr>
        <w:t xml:space="preserve">7. Lewis, W. A. (1954). </w:t>
      </w:r>
      <w:r>
        <w:rPr>
          <w:rStyle w:val="Emphasis"/>
          <w:rFonts w:ascii="Arial" w:hAnsi="Arial" w:cs="Arial"/>
          <w:sz w:val="20"/>
          <w:szCs w:val="20"/>
        </w:rPr>
        <w:t xml:space="preserve">Economic Development with Unlimited Supplies of </w:t>
      </w:r>
      <w:proofErr w:type="spellStart"/>
      <w:r>
        <w:rPr>
          <w:rStyle w:val="Emphasis"/>
          <w:rFonts w:ascii="Arial" w:hAnsi="Arial" w:cs="Arial"/>
          <w:sz w:val="20"/>
          <w:szCs w:val="20"/>
        </w:rPr>
        <w:t>Labour</w:t>
      </w:r>
      <w:proofErr w:type="spellEnd"/>
      <w:r>
        <w:rPr>
          <w:rFonts w:ascii="Arial" w:hAnsi="Arial" w:cs="Arial"/>
          <w:sz w:val="20"/>
          <w:szCs w:val="20"/>
        </w:rPr>
        <w:t xml:space="preserve">. The Manchester School, 22(2), 139–191. </w:t>
      </w:r>
      <w:hyperlink r:id="rId11" w:history="1">
        <w:r>
          <w:rPr>
            <w:rStyle w:val="Hyperlink"/>
            <w:rFonts w:ascii="Arial" w:eastAsia="Times New Roman" w:hAnsi="Arial" w:cs="Arial"/>
            <w:kern w:val="0"/>
            <w:sz w:val="20"/>
            <w:szCs w:val="20"/>
            <w:lang w:bidi="ml-IN"/>
            <w14:ligatures w14:val="none"/>
          </w:rPr>
          <w:t>https://doi.org/10.1111/j.1467-9957.1954.tb00021.x</w:t>
        </w:r>
      </w:hyperlink>
      <w:r>
        <w:rPr>
          <w:rFonts w:ascii="Arial" w:eastAsia="Times New Roman" w:hAnsi="Arial" w:cs="Arial"/>
          <w:kern w:val="0"/>
          <w:sz w:val="20"/>
          <w:szCs w:val="20"/>
          <w:lang w:bidi="ml-IN"/>
          <w14:ligatures w14:val="none"/>
        </w:rPr>
        <w:t xml:space="preserve"> </w:t>
      </w:r>
    </w:p>
    <w:p>
      <w:pPr>
        <w:pStyle w:val="NormalWeb"/>
        <w:spacing w:before="100" w:beforeAutospacing="1" w:after="100" w:afterAutospacing="1" w:line="240" w:lineRule="auto"/>
        <w:rPr>
          <w:rFonts w:ascii="Arial" w:hAnsi="Arial" w:cs="Arial"/>
          <w:sz w:val="20"/>
          <w:szCs w:val="20"/>
        </w:rPr>
      </w:pPr>
      <w:r>
        <w:rPr>
          <w:rFonts w:ascii="Arial" w:hAnsi="Arial" w:cs="Arial"/>
          <w:sz w:val="20"/>
          <w:szCs w:val="20"/>
        </w:rPr>
        <w:t xml:space="preserve">8. Kuznets, S. (1973). </w:t>
      </w:r>
      <w:r>
        <w:rPr>
          <w:rFonts w:ascii="Arial" w:hAnsi="Arial" w:cs="Arial"/>
          <w:i/>
          <w:iCs/>
          <w:sz w:val="20"/>
          <w:szCs w:val="20"/>
        </w:rPr>
        <w:t>Modern Economic Growth: Findings and Reflections</w:t>
      </w:r>
      <w:r>
        <w:rPr>
          <w:rFonts w:ascii="Arial" w:hAnsi="Arial" w:cs="Arial"/>
          <w:sz w:val="20"/>
          <w:szCs w:val="20"/>
        </w:rPr>
        <w:t>. The American Economic Review, 63(3), 247–258.</w:t>
      </w:r>
      <w:r>
        <w:rPr>
          <w:rFonts w:ascii="Arial" w:eastAsia="Times New Roman" w:hAnsi="Arial" w:cs="Arial"/>
          <w:kern w:val="0"/>
          <w:sz w:val="20"/>
          <w:szCs w:val="20"/>
          <w:lang w:bidi="ml-IN"/>
          <w14:ligatures w14:val="none"/>
        </w:rPr>
        <w:t xml:space="preserve"> </w:t>
      </w:r>
      <w:hyperlink r:id="rId12" w:history="1">
        <w:r>
          <w:rPr>
            <w:rStyle w:val="Hyperlink"/>
            <w:rFonts w:ascii="Arial" w:eastAsia="Times New Roman" w:hAnsi="Arial" w:cs="Arial"/>
            <w:kern w:val="0"/>
            <w:sz w:val="20"/>
            <w:szCs w:val="20"/>
            <w:lang w:bidi="ml-IN"/>
            <w14:ligatures w14:val="none"/>
          </w:rPr>
          <w:t>https://www.jstor.org/stable/1914258</w:t>
        </w:r>
      </w:hyperlink>
    </w:p>
    <w:p>
      <w:pPr>
        <w:spacing w:after="0" w:line="240" w:lineRule="auto"/>
        <w:jc w:val="both"/>
        <w:rPr>
          <w:rFonts w:ascii="Arial" w:eastAsia="Times New Roman" w:hAnsi="Arial" w:cs="Arial"/>
          <w:kern w:val="0"/>
          <w:sz w:val="20"/>
          <w:szCs w:val="20"/>
          <w:lang w:bidi="ml-IN"/>
          <w14:ligatures w14:val="none"/>
        </w:rPr>
      </w:pPr>
      <w:r>
        <w:rPr>
          <w:rFonts w:ascii="Arial" w:hAnsi="Arial" w:cs="Arial"/>
          <w:sz w:val="20"/>
          <w:szCs w:val="20"/>
        </w:rPr>
        <w:t xml:space="preserve">9. </w:t>
      </w:r>
      <w:r>
        <w:rPr>
          <w:rFonts w:ascii="Arial" w:eastAsia="Times New Roman" w:hAnsi="Arial" w:cs="Arial"/>
          <w:kern w:val="0"/>
          <w:sz w:val="20"/>
          <w:szCs w:val="20"/>
          <w:lang w:bidi="ml-IN"/>
          <w14:ligatures w14:val="none"/>
        </w:rPr>
        <w:t xml:space="preserve">Myrdal, G. (1957). </w:t>
      </w:r>
      <w:r>
        <w:rPr>
          <w:rFonts w:ascii="Arial" w:eastAsia="Times New Roman" w:hAnsi="Arial" w:cs="Arial"/>
          <w:i/>
          <w:iCs/>
          <w:kern w:val="0"/>
          <w:sz w:val="20"/>
          <w:szCs w:val="20"/>
          <w:lang w:bidi="ml-IN"/>
          <w14:ligatures w14:val="none"/>
        </w:rPr>
        <w:t>Economic Theory and Underdeveloped Regions</w:t>
      </w:r>
      <w:r>
        <w:rPr>
          <w:rFonts w:ascii="Arial" w:eastAsia="Times New Roman" w:hAnsi="Arial" w:cs="Arial"/>
          <w:kern w:val="0"/>
          <w:sz w:val="20"/>
          <w:szCs w:val="20"/>
          <w:lang w:bidi="ml-IN"/>
          <w14:ligatures w14:val="none"/>
        </w:rPr>
        <w:t xml:space="preserve">. London: Duckworth. </w:t>
      </w:r>
    </w:p>
    <w:p>
      <w:pPr>
        <w:spacing w:after="0" w:line="240" w:lineRule="auto"/>
        <w:jc w:val="both"/>
        <w:rPr>
          <w:rFonts w:ascii="Arial" w:hAnsi="Arial" w:cs="Arial"/>
          <w:sz w:val="20"/>
          <w:szCs w:val="20"/>
        </w:rPr>
      </w:pPr>
      <w:r>
        <w:rPr>
          <w:rFonts w:ascii="Arial" w:eastAsia="Times New Roman" w:hAnsi="Arial" w:cs="Arial"/>
          <w:kern w:val="0"/>
          <w:sz w:val="20"/>
          <w:szCs w:val="20"/>
          <w:lang w:bidi="ml-IN"/>
          <w14:ligatures w14:val="none"/>
        </w:rPr>
        <w:t xml:space="preserve">10. </w:t>
      </w:r>
      <w:proofErr w:type="spellStart"/>
      <w:r>
        <w:rPr>
          <w:rFonts w:ascii="Arial" w:hAnsi="Arial" w:cs="Arial"/>
          <w:sz w:val="20"/>
          <w:szCs w:val="20"/>
        </w:rPr>
        <w:t>Nurkse</w:t>
      </w:r>
      <w:proofErr w:type="spellEnd"/>
      <w:r>
        <w:rPr>
          <w:rFonts w:ascii="Arial" w:hAnsi="Arial" w:cs="Arial"/>
          <w:sz w:val="20"/>
          <w:szCs w:val="20"/>
        </w:rPr>
        <w:t xml:space="preserve">, R. (1953). </w:t>
      </w:r>
      <w:r>
        <w:rPr>
          <w:rStyle w:val="Emphasis"/>
          <w:rFonts w:ascii="Arial" w:hAnsi="Arial" w:cs="Arial"/>
          <w:sz w:val="20"/>
          <w:szCs w:val="20"/>
        </w:rPr>
        <w:t>Problems of Capital Formation in Underdeveloped Countries</w:t>
      </w:r>
      <w:r>
        <w:rPr>
          <w:rFonts w:ascii="Arial" w:hAnsi="Arial" w:cs="Arial"/>
          <w:sz w:val="20"/>
          <w:szCs w:val="20"/>
        </w:rPr>
        <w:t>. Oxford University Press.</w:t>
      </w:r>
    </w:p>
    <w:p>
      <w:pPr>
        <w:spacing w:after="0" w:line="240" w:lineRule="auto"/>
        <w:jc w:val="both"/>
        <w:rPr>
          <w:rFonts w:ascii="Arial" w:hAnsi="Arial" w:cs="Arial"/>
          <w:sz w:val="20"/>
          <w:szCs w:val="20"/>
        </w:rPr>
      </w:pPr>
      <w:r>
        <w:rPr>
          <w:rFonts w:ascii="Arial" w:hAnsi="Arial" w:cs="Arial"/>
          <w:sz w:val="20"/>
          <w:szCs w:val="20"/>
        </w:rPr>
        <w:t xml:space="preserve">11. Nelson, R. R. (1956). </w:t>
      </w:r>
      <w:r>
        <w:rPr>
          <w:rStyle w:val="Emphasis"/>
          <w:rFonts w:ascii="Arial" w:hAnsi="Arial" w:cs="Arial"/>
          <w:sz w:val="20"/>
          <w:szCs w:val="20"/>
        </w:rPr>
        <w:t>A Theory of the Low-Level Equilibrium Trap in Underdeveloped Economies</w:t>
      </w:r>
      <w:r>
        <w:rPr>
          <w:rFonts w:ascii="Arial" w:hAnsi="Arial" w:cs="Arial"/>
          <w:sz w:val="20"/>
          <w:szCs w:val="20"/>
        </w:rPr>
        <w:t xml:space="preserve">. The American Economic Review, 46(5), 894–908. </w:t>
      </w:r>
      <w:hyperlink r:id="rId13" w:history="1">
        <w:r>
          <w:rPr>
            <w:rStyle w:val="Hyperlink"/>
            <w:rFonts w:ascii="Arial" w:hAnsi="Arial" w:cs="Arial"/>
            <w:sz w:val="20"/>
            <w:szCs w:val="20"/>
          </w:rPr>
          <w:t>https://www.jstor.org/stable/1813828</w:t>
        </w:r>
      </w:hyperlink>
    </w:p>
    <w:p>
      <w:pPr>
        <w:spacing w:after="0" w:line="240" w:lineRule="auto"/>
        <w:jc w:val="both"/>
        <w:rPr>
          <w:rFonts w:ascii="Arial" w:hAnsi="Arial" w:cs="Arial"/>
          <w:sz w:val="20"/>
          <w:szCs w:val="20"/>
        </w:rPr>
      </w:pPr>
    </w:p>
    <w:p>
      <w:pPr>
        <w:spacing w:after="0" w:line="240" w:lineRule="auto"/>
        <w:jc w:val="both"/>
        <w:rPr>
          <w:rFonts w:ascii="Arial" w:hAnsi="Arial" w:cs="Arial"/>
          <w:sz w:val="20"/>
          <w:szCs w:val="20"/>
        </w:rPr>
      </w:pPr>
      <w:r>
        <w:rPr>
          <w:rFonts w:ascii="Arial" w:hAnsi="Arial" w:cs="Arial"/>
          <w:sz w:val="20"/>
          <w:szCs w:val="20"/>
        </w:rPr>
        <w:t>12. Barro, R. J., &amp; Sala-</w:t>
      </w:r>
      <w:proofErr w:type="spellStart"/>
      <w:r>
        <w:rPr>
          <w:rFonts w:ascii="Arial" w:hAnsi="Arial" w:cs="Arial"/>
          <w:sz w:val="20"/>
          <w:szCs w:val="20"/>
        </w:rPr>
        <w:t>i</w:t>
      </w:r>
      <w:proofErr w:type="spellEnd"/>
      <w:r>
        <w:rPr>
          <w:rFonts w:ascii="Arial" w:hAnsi="Arial" w:cs="Arial"/>
          <w:sz w:val="20"/>
          <w:szCs w:val="20"/>
        </w:rPr>
        <w:t xml:space="preserve">-Martin, X. (1992). </w:t>
      </w:r>
      <w:r>
        <w:rPr>
          <w:rStyle w:val="Emphasis"/>
          <w:rFonts w:ascii="Arial" w:hAnsi="Arial" w:cs="Arial"/>
          <w:sz w:val="20"/>
          <w:szCs w:val="20"/>
        </w:rPr>
        <w:t>Convergence</w:t>
      </w:r>
      <w:r>
        <w:rPr>
          <w:rFonts w:ascii="Arial" w:hAnsi="Arial" w:cs="Arial"/>
          <w:sz w:val="20"/>
          <w:szCs w:val="20"/>
        </w:rPr>
        <w:t xml:space="preserve">. </w:t>
      </w:r>
      <w:r>
        <w:rPr>
          <w:rStyle w:val="Emphasis"/>
          <w:rFonts w:ascii="Arial" w:hAnsi="Arial" w:cs="Arial"/>
          <w:sz w:val="20"/>
          <w:szCs w:val="20"/>
        </w:rPr>
        <w:t>Journal of Political Economy</w:t>
      </w:r>
      <w:r>
        <w:rPr>
          <w:rFonts w:ascii="Arial" w:hAnsi="Arial" w:cs="Arial"/>
          <w:sz w:val="20"/>
          <w:szCs w:val="20"/>
        </w:rPr>
        <w:t xml:space="preserve">, 100(2), 223–251. </w:t>
      </w:r>
      <w:hyperlink r:id="rId14" w:history="1">
        <w:r>
          <w:rPr>
            <w:rStyle w:val="Hyperlink"/>
            <w:rFonts w:ascii="Arial" w:hAnsi="Arial" w:cs="Arial"/>
            <w:sz w:val="20"/>
            <w:szCs w:val="20"/>
          </w:rPr>
          <w:t>https://doi.org/10.1086/261816</w:t>
        </w:r>
      </w:hyperlink>
    </w:p>
    <w:p>
      <w:pPr>
        <w:spacing w:after="0" w:line="240" w:lineRule="auto"/>
        <w:jc w:val="both"/>
        <w:rPr>
          <w:rFonts w:ascii="Arial" w:hAnsi="Arial" w:cs="Arial"/>
          <w:sz w:val="20"/>
          <w:szCs w:val="20"/>
        </w:rPr>
      </w:pPr>
      <w:r>
        <w:rPr>
          <w:rFonts w:ascii="Arial" w:hAnsi="Arial" w:cs="Arial"/>
          <w:sz w:val="20"/>
          <w:szCs w:val="20"/>
        </w:rPr>
        <w:t xml:space="preserve">13. Government of India. (2023). </w:t>
      </w:r>
      <w:r>
        <w:rPr>
          <w:rFonts w:ascii="Arial" w:hAnsi="Arial" w:cs="Arial"/>
          <w:i/>
          <w:iCs/>
          <w:sz w:val="20"/>
          <w:szCs w:val="20"/>
        </w:rPr>
        <w:t>Economic Survey 2022–23, Volume 1, Chapter 5: Services Sector</w:t>
      </w:r>
      <w:r>
        <w:rPr>
          <w:rFonts w:ascii="Arial" w:hAnsi="Arial" w:cs="Arial"/>
          <w:sz w:val="20"/>
          <w:szCs w:val="20"/>
        </w:rPr>
        <w:t>. Ministry of Finance, Department of Economic Affairs. https://www.indiabudget.gov.in/economicsurvey/</w:t>
      </w:r>
    </w:p>
    <w:p>
      <w:pPr>
        <w:spacing w:before="100" w:beforeAutospacing="1" w:after="100" w:afterAutospacing="1" w:line="240" w:lineRule="auto"/>
        <w:rPr>
          <w:rFonts w:ascii="Arial" w:eastAsia="Times New Roman" w:hAnsi="Arial" w:cs="Arial"/>
          <w:kern w:val="0"/>
          <w:sz w:val="20"/>
          <w:szCs w:val="20"/>
          <w:lang w:bidi="ml-IN"/>
          <w14:ligatures w14:val="none"/>
        </w:rPr>
      </w:pPr>
      <w:r>
        <w:rPr>
          <w:rFonts w:ascii="Arial" w:hAnsi="Arial" w:cs="Arial"/>
          <w:sz w:val="20"/>
          <w:szCs w:val="20"/>
        </w:rPr>
        <w:t xml:space="preserve">14. </w:t>
      </w:r>
      <w:r>
        <w:rPr>
          <w:rFonts w:ascii="Arial" w:eastAsia="Times New Roman" w:hAnsi="Arial" w:cs="Arial"/>
          <w:kern w:val="0"/>
          <w:sz w:val="20"/>
          <w:szCs w:val="20"/>
          <w:lang w:bidi="ml-IN"/>
          <w14:ligatures w14:val="none"/>
        </w:rPr>
        <w:t xml:space="preserve">Ghosh, M. (2020). </w:t>
      </w:r>
      <w:r>
        <w:rPr>
          <w:rFonts w:ascii="Arial" w:eastAsia="Times New Roman" w:hAnsi="Arial" w:cs="Arial"/>
          <w:i/>
          <w:iCs/>
          <w:kern w:val="0"/>
          <w:sz w:val="20"/>
          <w:szCs w:val="20"/>
          <w:lang w:bidi="ml-IN"/>
          <w14:ligatures w14:val="none"/>
        </w:rPr>
        <w:t>Regional disparities in India: A study of industrial growth</w:t>
      </w:r>
      <w:r>
        <w:rPr>
          <w:rFonts w:ascii="Arial" w:eastAsia="Times New Roman" w:hAnsi="Arial" w:cs="Arial"/>
          <w:kern w:val="0"/>
          <w:sz w:val="20"/>
          <w:szCs w:val="20"/>
          <w:lang w:bidi="ml-IN"/>
          <w14:ligatures w14:val="none"/>
        </w:rPr>
        <w:t>. Journal of Regional Development and Planning, 9(2), 51–67.</w:t>
      </w:r>
    </w:p>
    <w:p>
      <w:pPr>
        <w:spacing w:before="100" w:beforeAutospacing="1" w:after="100" w:afterAutospacing="1" w:line="240" w:lineRule="auto"/>
        <w:rPr>
          <w:rFonts w:ascii="Arial" w:eastAsia="Times New Roman" w:hAnsi="Arial" w:cs="Arial"/>
          <w:kern w:val="0"/>
          <w:sz w:val="20"/>
          <w:szCs w:val="20"/>
          <w:lang w:bidi="ml-IN"/>
          <w14:ligatures w14:val="none"/>
        </w:rPr>
      </w:pPr>
      <w:r>
        <w:rPr>
          <w:rFonts w:ascii="Arial" w:hAnsi="Arial" w:cs="Arial"/>
          <w:sz w:val="20"/>
          <w:szCs w:val="20"/>
        </w:rPr>
        <w:t xml:space="preserve">15. </w:t>
      </w:r>
      <w:r>
        <w:rPr>
          <w:rFonts w:ascii="Arial" w:eastAsia="Times New Roman" w:hAnsi="Arial" w:cs="Arial"/>
          <w:kern w:val="0"/>
          <w:sz w:val="20"/>
          <w:szCs w:val="20"/>
          <w:lang w:bidi="ml-IN"/>
          <w14:ligatures w14:val="none"/>
        </w:rPr>
        <w:t xml:space="preserve">Hirschman, A. O. (1958). </w:t>
      </w:r>
      <w:r>
        <w:rPr>
          <w:rFonts w:ascii="Arial" w:eastAsia="Times New Roman" w:hAnsi="Arial" w:cs="Arial"/>
          <w:i/>
          <w:iCs/>
          <w:kern w:val="0"/>
          <w:sz w:val="20"/>
          <w:szCs w:val="20"/>
          <w:lang w:bidi="ml-IN"/>
          <w14:ligatures w14:val="none"/>
        </w:rPr>
        <w:t>The Strategy of Economic Development</w:t>
      </w:r>
      <w:r>
        <w:rPr>
          <w:rFonts w:ascii="Arial" w:eastAsia="Times New Roman" w:hAnsi="Arial" w:cs="Arial"/>
          <w:kern w:val="0"/>
          <w:sz w:val="20"/>
          <w:szCs w:val="20"/>
          <w:lang w:bidi="ml-IN"/>
          <w14:ligatures w14:val="none"/>
        </w:rPr>
        <w:t>. Yale University Press.</w:t>
      </w:r>
    </w:p>
    <w:p>
      <w:pPr>
        <w:spacing w:before="100" w:beforeAutospacing="1" w:after="100" w:afterAutospacing="1" w:line="240" w:lineRule="auto"/>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16. Mukherji, R. (2013). </w:t>
      </w:r>
      <w:r>
        <w:rPr>
          <w:rFonts w:ascii="Arial" w:eastAsia="Times New Roman" w:hAnsi="Arial" w:cs="Arial"/>
          <w:i/>
          <w:iCs/>
          <w:kern w:val="0"/>
          <w:sz w:val="20"/>
          <w:szCs w:val="20"/>
          <w:lang w:bidi="ml-IN"/>
          <w14:ligatures w14:val="none"/>
        </w:rPr>
        <w:t>Political economy of reforms in India</w:t>
      </w:r>
      <w:r>
        <w:rPr>
          <w:rFonts w:ascii="Arial" w:eastAsia="Times New Roman" w:hAnsi="Arial" w:cs="Arial"/>
          <w:kern w:val="0"/>
          <w:sz w:val="20"/>
          <w:szCs w:val="20"/>
          <w:lang w:bidi="ml-IN"/>
          <w14:ligatures w14:val="none"/>
        </w:rPr>
        <w:t>. Oxford University Press.</w:t>
      </w:r>
    </w:p>
    <w:p>
      <w:pPr>
        <w:spacing w:before="100" w:beforeAutospacing="1" w:after="100" w:afterAutospacing="1" w:line="240" w:lineRule="auto"/>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17. Ghosh, M. (2019). </w:t>
      </w:r>
      <w:r>
        <w:rPr>
          <w:rFonts w:ascii="Arial" w:eastAsia="Times New Roman" w:hAnsi="Arial" w:cs="Arial"/>
          <w:i/>
          <w:iCs/>
          <w:kern w:val="0"/>
          <w:sz w:val="20"/>
          <w:szCs w:val="20"/>
          <w:lang w:bidi="ml-IN"/>
          <w14:ligatures w14:val="none"/>
        </w:rPr>
        <w:t>Services sector growth and regional disparity in India: A state-level analysis</w:t>
      </w:r>
      <w:r>
        <w:rPr>
          <w:rFonts w:ascii="Arial" w:eastAsia="Times New Roman" w:hAnsi="Arial" w:cs="Arial"/>
          <w:kern w:val="0"/>
          <w:sz w:val="20"/>
          <w:szCs w:val="20"/>
          <w:lang w:bidi="ml-IN"/>
          <w14:ligatures w14:val="none"/>
        </w:rPr>
        <w:t>. Journal of Indian Economic Development, 16(2), 34–52.</w:t>
      </w:r>
    </w:p>
    <w:p>
      <w:pPr>
        <w:spacing w:before="100" w:beforeAutospacing="1" w:after="100" w:afterAutospacing="1" w:line="240" w:lineRule="auto"/>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18. Kuznets, S. (1971). </w:t>
      </w:r>
      <w:r>
        <w:rPr>
          <w:rFonts w:ascii="Arial" w:eastAsia="Times New Roman" w:hAnsi="Arial" w:cs="Arial"/>
          <w:i/>
          <w:iCs/>
          <w:kern w:val="0"/>
          <w:sz w:val="20"/>
          <w:szCs w:val="20"/>
          <w:lang w:bidi="ml-IN"/>
          <w14:ligatures w14:val="none"/>
        </w:rPr>
        <w:t>Economic Growth of Nations: Total Output and Production Structure</w:t>
      </w:r>
      <w:r>
        <w:rPr>
          <w:rFonts w:ascii="Arial" w:eastAsia="Times New Roman" w:hAnsi="Arial" w:cs="Arial"/>
          <w:kern w:val="0"/>
          <w:sz w:val="20"/>
          <w:szCs w:val="20"/>
          <w:lang w:bidi="ml-IN"/>
          <w14:ligatures w14:val="none"/>
        </w:rPr>
        <w:t>. Harvard University Press.</w:t>
      </w:r>
    </w:p>
    <w:p>
      <w:pPr>
        <w:spacing w:before="100" w:beforeAutospacing="1" w:after="100" w:afterAutospacing="1" w:line="240" w:lineRule="auto"/>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19. Bhattacharya, B. B., &amp; Sakthivel, S. (2008). </w:t>
      </w:r>
      <w:r>
        <w:rPr>
          <w:rFonts w:ascii="Arial" w:eastAsia="Times New Roman" w:hAnsi="Arial" w:cs="Arial"/>
          <w:i/>
          <w:iCs/>
          <w:kern w:val="0"/>
          <w:sz w:val="20"/>
          <w:szCs w:val="20"/>
          <w:lang w:bidi="ml-IN"/>
          <w14:ligatures w14:val="none"/>
        </w:rPr>
        <w:t>Economic reforms and the services sector in India</w:t>
      </w:r>
      <w:r>
        <w:rPr>
          <w:rFonts w:ascii="Arial" w:eastAsia="Times New Roman" w:hAnsi="Arial" w:cs="Arial"/>
          <w:kern w:val="0"/>
          <w:sz w:val="20"/>
          <w:szCs w:val="20"/>
          <w:lang w:bidi="ml-IN"/>
          <w14:ligatures w14:val="none"/>
        </w:rPr>
        <w:t>. Economic and Political Weekly, 43(37), 74–78.</w:t>
      </w:r>
    </w:p>
    <w:p>
      <w:pPr>
        <w:spacing w:before="100" w:beforeAutospacing="1" w:after="100" w:afterAutospacing="1" w:line="240" w:lineRule="auto"/>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20. Gordon, J., &amp; Gupta, P. (2004). </w:t>
      </w:r>
      <w:r>
        <w:rPr>
          <w:rFonts w:ascii="Arial" w:eastAsia="Times New Roman" w:hAnsi="Arial" w:cs="Arial"/>
          <w:i/>
          <w:iCs/>
          <w:kern w:val="0"/>
          <w:sz w:val="20"/>
          <w:szCs w:val="20"/>
          <w:lang w:bidi="ml-IN"/>
          <w14:ligatures w14:val="none"/>
        </w:rPr>
        <w:t>Understanding India’s services revolution</w:t>
      </w:r>
      <w:r>
        <w:rPr>
          <w:rFonts w:ascii="Arial" w:eastAsia="Times New Roman" w:hAnsi="Arial" w:cs="Arial"/>
          <w:kern w:val="0"/>
          <w:sz w:val="20"/>
          <w:szCs w:val="20"/>
          <w:lang w:bidi="ml-IN"/>
          <w14:ligatures w14:val="none"/>
        </w:rPr>
        <w:t>. IMF Working Paper No. WP/04/</w:t>
      </w:r>
      <w:proofErr w:type="gramStart"/>
      <w:r>
        <w:rPr>
          <w:rFonts w:ascii="Arial" w:eastAsia="Times New Roman" w:hAnsi="Arial" w:cs="Arial"/>
          <w:kern w:val="0"/>
          <w:sz w:val="20"/>
          <w:szCs w:val="20"/>
          <w:lang w:bidi="ml-IN"/>
          <w14:ligatures w14:val="none"/>
        </w:rPr>
        <w:t>171..</w:t>
      </w:r>
      <w:proofErr w:type="gramEnd"/>
    </w:p>
    <w:p>
      <w:pPr>
        <w:spacing w:before="100" w:beforeAutospacing="1" w:after="100" w:afterAutospacing="1" w:line="240" w:lineRule="auto"/>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21. Ministry of Statistics and </w:t>
      </w:r>
      <w:proofErr w:type="spellStart"/>
      <w:r>
        <w:rPr>
          <w:rFonts w:ascii="Arial" w:eastAsia="Times New Roman" w:hAnsi="Arial" w:cs="Arial"/>
          <w:kern w:val="0"/>
          <w:sz w:val="20"/>
          <w:szCs w:val="20"/>
          <w:lang w:bidi="ml-IN"/>
          <w14:ligatures w14:val="none"/>
        </w:rPr>
        <w:t>Programme</w:t>
      </w:r>
      <w:proofErr w:type="spellEnd"/>
      <w:r>
        <w:rPr>
          <w:rFonts w:ascii="Arial" w:eastAsia="Times New Roman" w:hAnsi="Arial" w:cs="Arial"/>
          <w:kern w:val="0"/>
          <w:sz w:val="20"/>
          <w:szCs w:val="20"/>
          <w:lang w:bidi="ml-IN"/>
          <w14:ligatures w14:val="none"/>
        </w:rPr>
        <w:t xml:space="preserve"> Implementation (</w:t>
      </w:r>
      <w:proofErr w:type="spellStart"/>
      <w:r>
        <w:rPr>
          <w:rFonts w:ascii="Arial" w:eastAsia="Times New Roman" w:hAnsi="Arial" w:cs="Arial"/>
          <w:kern w:val="0"/>
          <w:sz w:val="20"/>
          <w:szCs w:val="20"/>
          <w:lang w:bidi="ml-IN"/>
          <w14:ligatures w14:val="none"/>
        </w:rPr>
        <w:t>MoSPI</w:t>
      </w:r>
      <w:proofErr w:type="spellEnd"/>
      <w:r>
        <w:rPr>
          <w:rFonts w:ascii="Arial" w:eastAsia="Times New Roman" w:hAnsi="Arial" w:cs="Arial"/>
          <w:kern w:val="0"/>
          <w:sz w:val="20"/>
          <w:szCs w:val="20"/>
          <w:lang w:bidi="ml-IN"/>
          <w14:ligatures w14:val="none"/>
        </w:rPr>
        <w:t xml:space="preserve">). (2024). </w:t>
      </w:r>
      <w:r>
        <w:rPr>
          <w:rFonts w:ascii="Arial" w:eastAsia="Times New Roman" w:hAnsi="Arial" w:cs="Arial"/>
          <w:i/>
          <w:iCs/>
          <w:kern w:val="0"/>
          <w:sz w:val="20"/>
          <w:szCs w:val="20"/>
          <w:lang w:bidi="ml-IN"/>
          <w14:ligatures w14:val="none"/>
        </w:rPr>
        <w:t>State-wise Net Value Added by Services Sector at Constant Prices (2011–12 Base Year)</w:t>
      </w:r>
      <w:r>
        <w:rPr>
          <w:rFonts w:ascii="Arial" w:eastAsia="Times New Roman" w:hAnsi="Arial" w:cs="Arial"/>
          <w:kern w:val="0"/>
          <w:sz w:val="20"/>
          <w:szCs w:val="20"/>
          <w:lang w:bidi="ml-IN"/>
          <w14:ligatures w14:val="none"/>
        </w:rPr>
        <w:t>. Government of India.</w:t>
      </w:r>
    </w:p>
    <w:p>
      <w:pPr>
        <w:spacing w:before="100" w:beforeAutospacing="1" w:after="100" w:afterAutospacing="1" w:line="240" w:lineRule="auto"/>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22. Ministry of Statistics and </w:t>
      </w:r>
      <w:proofErr w:type="spellStart"/>
      <w:r>
        <w:rPr>
          <w:rFonts w:ascii="Arial" w:eastAsia="Times New Roman" w:hAnsi="Arial" w:cs="Arial"/>
          <w:kern w:val="0"/>
          <w:sz w:val="20"/>
          <w:szCs w:val="20"/>
          <w:lang w:bidi="ml-IN"/>
          <w14:ligatures w14:val="none"/>
        </w:rPr>
        <w:t>Programme</w:t>
      </w:r>
      <w:proofErr w:type="spellEnd"/>
      <w:r>
        <w:rPr>
          <w:rFonts w:ascii="Arial" w:eastAsia="Times New Roman" w:hAnsi="Arial" w:cs="Arial"/>
          <w:kern w:val="0"/>
          <w:sz w:val="20"/>
          <w:szCs w:val="20"/>
          <w:lang w:bidi="ml-IN"/>
          <w14:ligatures w14:val="none"/>
        </w:rPr>
        <w:t xml:space="preserve"> Implementation (</w:t>
      </w:r>
      <w:proofErr w:type="spellStart"/>
      <w:r>
        <w:rPr>
          <w:rFonts w:ascii="Arial" w:eastAsia="Times New Roman" w:hAnsi="Arial" w:cs="Arial"/>
          <w:kern w:val="0"/>
          <w:sz w:val="20"/>
          <w:szCs w:val="20"/>
          <w:lang w:bidi="ml-IN"/>
          <w14:ligatures w14:val="none"/>
        </w:rPr>
        <w:t>MoSPI</w:t>
      </w:r>
      <w:proofErr w:type="spellEnd"/>
      <w:r>
        <w:rPr>
          <w:rFonts w:ascii="Arial" w:eastAsia="Times New Roman" w:hAnsi="Arial" w:cs="Arial"/>
          <w:kern w:val="0"/>
          <w:sz w:val="20"/>
          <w:szCs w:val="20"/>
          <w:lang w:bidi="ml-IN"/>
          <w14:ligatures w14:val="none"/>
        </w:rPr>
        <w:t xml:space="preserve">). (2024). </w:t>
      </w:r>
      <w:r>
        <w:rPr>
          <w:rFonts w:ascii="Arial" w:eastAsia="Times New Roman" w:hAnsi="Arial" w:cs="Arial"/>
          <w:i/>
          <w:iCs/>
          <w:kern w:val="0"/>
          <w:sz w:val="20"/>
          <w:szCs w:val="20"/>
          <w:lang w:bidi="ml-IN"/>
          <w14:ligatures w14:val="none"/>
        </w:rPr>
        <w:t>State-wise Net Value Added by Sector at Constant Prices (2011–12 Base Year)</w:t>
      </w:r>
      <w:r>
        <w:rPr>
          <w:rFonts w:ascii="Arial" w:eastAsia="Times New Roman" w:hAnsi="Arial" w:cs="Arial"/>
          <w:kern w:val="0"/>
          <w:sz w:val="20"/>
          <w:szCs w:val="20"/>
          <w:lang w:bidi="ml-IN"/>
          <w14:ligatures w14:val="none"/>
        </w:rPr>
        <w:t>. Government of India.</w:t>
      </w:r>
    </w:p>
    <w:p>
      <w:pPr>
        <w:spacing w:before="100" w:beforeAutospacing="1" w:after="100" w:afterAutospacing="1" w:line="240" w:lineRule="auto"/>
        <w:rPr>
          <w:rFonts w:ascii="Times New Roman" w:eastAsia="Times New Roman" w:hAnsi="Times New Roman" w:cs="Times New Roman"/>
          <w:kern w:val="0"/>
          <w:sz w:val="20"/>
          <w:szCs w:val="20"/>
          <w:lang w:bidi="ml-IN"/>
          <w14:ligatures w14:val="none"/>
        </w:rPr>
      </w:pPr>
    </w:p>
    <w:p>
      <w:pPr>
        <w:spacing w:after="0" w:line="276" w:lineRule="auto"/>
        <w:jc w:val="both"/>
        <w:rPr>
          <w:rFonts w:ascii="Times New Roman" w:eastAsia="Times New Roman" w:hAnsi="Times New Roman" w:cs="Times New Roman"/>
          <w:kern w:val="0"/>
          <w:lang w:bidi="ml-IN"/>
          <w14:ligatures w14:val="none"/>
        </w:rPr>
      </w:pPr>
    </w:p>
    <w:sectPr>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60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60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60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FC0"/>
    <w:multiLevelType w:val="multilevel"/>
    <w:tmpl w:val="D244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27AF5"/>
    <w:multiLevelType w:val="multilevel"/>
    <w:tmpl w:val="963A9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DE1ACC"/>
    <w:multiLevelType w:val="multilevel"/>
    <w:tmpl w:val="8E10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02B45"/>
    <w:multiLevelType w:val="hybridMultilevel"/>
    <w:tmpl w:val="2E0CE6B4"/>
    <w:lvl w:ilvl="0" w:tplc="0F0A53E6">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3652DE"/>
    <w:multiLevelType w:val="multilevel"/>
    <w:tmpl w:val="92F6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13E8D"/>
    <w:multiLevelType w:val="multilevel"/>
    <w:tmpl w:val="A7A86F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01CA5"/>
    <w:multiLevelType w:val="hybridMultilevel"/>
    <w:tmpl w:val="9E6E69A8"/>
    <w:lvl w:ilvl="0" w:tplc="4A48FBD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92925"/>
    <w:multiLevelType w:val="multilevel"/>
    <w:tmpl w:val="7068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72F79"/>
    <w:multiLevelType w:val="multilevel"/>
    <w:tmpl w:val="E86E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16878"/>
    <w:multiLevelType w:val="multilevel"/>
    <w:tmpl w:val="0EB6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940F7"/>
    <w:multiLevelType w:val="multilevel"/>
    <w:tmpl w:val="0F9A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590006"/>
    <w:multiLevelType w:val="multilevel"/>
    <w:tmpl w:val="3FF8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0E2F"/>
    <w:multiLevelType w:val="multilevel"/>
    <w:tmpl w:val="8D12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782FB6"/>
    <w:multiLevelType w:val="multilevel"/>
    <w:tmpl w:val="3EB6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52813"/>
    <w:multiLevelType w:val="multilevel"/>
    <w:tmpl w:val="2A22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367C82"/>
    <w:multiLevelType w:val="multilevel"/>
    <w:tmpl w:val="99D8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1C71A3"/>
    <w:multiLevelType w:val="multilevel"/>
    <w:tmpl w:val="9360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6B160A"/>
    <w:multiLevelType w:val="multilevel"/>
    <w:tmpl w:val="88A4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B1493E"/>
    <w:multiLevelType w:val="multilevel"/>
    <w:tmpl w:val="1DFA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0B56DA"/>
    <w:multiLevelType w:val="multilevel"/>
    <w:tmpl w:val="51A0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C10280"/>
    <w:multiLevelType w:val="multilevel"/>
    <w:tmpl w:val="453C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11"/>
  </w:num>
  <w:num w:numId="4">
    <w:abstractNumId w:val="12"/>
  </w:num>
  <w:num w:numId="5">
    <w:abstractNumId w:val="19"/>
  </w:num>
  <w:num w:numId="6">
    <w:abstractNumId w:val="13"/>
  </w:num>
  <w:num w:numId="7">
    <w:abstractNumId w:val="20"/>
  </w:num>
  <w:num w:numId="8">
    <w:abstractNumId w:val="14"/>
  </w:num>
  <w:num w:numId="9">
    <w:abstractNumId w:val="9"/>
  </w:num>
  <w:num w:numId="10">
    <w:abstractNumId w:val="2"/>
  </w:num>
  <w:num w:numId="11">
    <w:abstractNumId w:val="7"/>
  </w:num>
  <w:num w:numId="12">
    <w:abstractNumId w:val="10"/>
  </w:num>
  <w:num w:numId="13">
    <w:abstractNumId w:val="8"/>
  </w:num>
  <w:num w:numId="14">
    <w:abstractNumId w:val="15"/>
  </w:num>
  <w:num w:numId="15">
    <w:abstractNumId w:val="5"/>
  </w:num>
  <w:num w:numId="16">
    <w:abstractNumId w:val="0"/>
  </w:num>
  <w:num w:numId="17">
    <w:abstractNumId w:val="17"/>
  </w:num>
  <w:num w:numId="18">
    <w:abstractNumId w:val="18"/>
  </w:num>
  <w:num w:numId="19">
    <w:abstractNumId w:val="4"/>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5B0DF044-07A4-47B5-B133-4161D00D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NormalWeb">
    <w:name w:val="Normal (Web)"/>
    <w:basedOn w:val="Normal"/>
    <w:uiPriority w:val="99"/>
    <w:unhideWhenUsed/>
    <w:rPr>
      <w:rFonts w:ascii="Times New Roman" w:hAnsi="Times New Roman" w:cs="Times New Roman"/>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styleId="Strong">
    <w:name w:val="Strong"/>
    <w:basedOn w:val="DefaultParagraphFont"/>
    <w:uiPriority w:val="22"/>
    <w:qFormat/>
    <w:rPr>
      <w:b/>
      <w:bCs/>
    </w:rPr>
  </w:style>
  <w:style w:type="paragraph" w:customStyle="1" w:styleId="Body">
    <w:name w:val="Body"/>
    <w:basedOn w:val="Normal"/>
    <w:qFormat/>
    <w:pPr>
      <w:spacing w:after="240" w:line="240" w:lineRule="auto"/>
      <w:jc w:val="both"/>
    </w:pPr>
    <w:rPr>
      <w:rFonts w:ascii="Helvetica" w:eastAsia="Times New Roman" w:hAnsi="Helvetica" w:cs="Times New Roman"/>
      <w:kern w:val="0"/>
      <w:sz w:val="20"/>
      <w:szCs w:val="20"/>
      <w14:ligatures w14:val="non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44876">
      <w:bodyDiv w:val="1"/>
      <w:marLeft w:val="0"/>
      <w:marRight w:val="0"/>
      <w:marTop w:val="0"/>
      <w:marBottom w:val="0"/>
      <w:divBdr>
        <w:top w:val="none" w:sz="0" w:space="0" w:color="auto"/>
        <w:left w:val="none" w:sz="0" w:space="0" w:color="auto"/>
        <w:bottom w:val="none" w:sz="0" w:space="0" w:color="auto"/>
        <w:right w:val="none" w:sz="0" w:space="0" w:color="auto"/>
      </w:divBdr>
    </w:div>
    <w:div w:id="161311587">
      <w:bodyDiv w:val="1"/>
      <w:marLeft w:val="0"/>
      <w:marRight w:val="0"/>
      <w:marTop w:val="0"/>
      <w:marBottom w:val="0"/>
      <w:divBdr>
        <w:top w:val="none" w:sz="0" w:space="0" w:color="auto"/>
        <w:left w:val="none" w:sz="0" w:space="0" w:color="auto"/>
        <w:bottom w:val="none" w:sz="0" w:space="0" w:color="auto"/>
        <w:right w:val="none" w:sz="0" w:space="0" w:color="auto"/>
      </w:divBdr>
    </w:div>
    <w:div w:id="274407848">
      <w:bodyDiv w:val="1"/>
      <w:marLeft w:val="0"/>
      <w:marRight w:val="0"/>
      <w:marTop w:val="0"/>
      <w:marBottom w:val="0"/>
      <w:divBdr>
        <w:top w:val="none" w:sz="0" w:space="0" w:color="auto"/>
        <w:left w:val="none" w:sz="0" w:space="0" w:color="auto"/>
        <w:bottom w:val="none" w:sz="0" w:space="0" w:color="auto"/>
        <w:right w:val="none" w:sz="0" w:space="0" w:color="auto"/>
      </w:divBdr>
    </w:div>
    <w:div w:id="446581896">
      <w:bodyDiv w:val="1"/>
      <w:marLeft w:val="0"/>
      <w:marRight w:val="0"/>
      <w:marTop w:val="0"/>
      <w:marBottom w:val="0"/>
      <w:divBdr>
        <w:top w:val="none" w:sz="0" w:space="0" w:color="auto"/>
        <w:left w:val="none" w:sz="0" w:space="0" w:color="auto"/>
        <w:bottom w:val="none" w:sz="0" w:space="0" w:color="auto"/>
        <w:right w:val="none" w:sz="0" w:space="0" w:color="auto"/>
      </w:divBdr>
    </w:div>
    <w:div w:id="460805916">
      <w:bodyDiv w:val="1"/>
      <w:marLeft w:val="0"/>
      <w:marRight w:val="0"/>
      <w:marTop w:val="0"/>
      <w:marBottom w:val="0"/>
      <w:divBdr>
        <w:top w:val="none" w:sz="0" w:space="0" w:color="auto"/>
        <w:left w:val="none" w:sz="0" w:space="0" w:color="auto"/>
        <w:bottom w:val="none" w:sz="0" w:space="0" w:color="auto"/>
        <w:right w:val="none" w:sz="0" w:space="0" w:color="auto"/>
      </w:divBdr>
    </w:div>
    <w:div w:id="471677167">
      <w:bodyDiv w:val="1"/>
      <w:marLeft w:val="0"/>
      <w:marRight w:val="0"/>
      <w:marTop w:val="0"/>
      <w:marBottom w:val="0"/>
      <w:divBdr>
        <w:top w:val="none" w:sz="0" w:space="0" w:color="auto"/>
        <w:left w:val="none" w:sz="0" w:space="0" w:color="auto"/>
        <w:bottom w:val="none" w:sz="0" w:space="0" w:color="auto"/>
        <w:right w:val="none" w:sz="0" w:space="0" w:color="auto"/>
      </w:divBdr>
    </w:div>
    <w:div w:id="510608025">
      <w:bodyDiv w:val="1"/>
      <w:marLeft w:val="0"/>
      <w:marRight w:val="0"/>
      <w:marTop w:val="0"/>
      <w:marBottom w:val="0"/>
      <w:divBdr>
        <w:top w:val="none" w:sz="0" w:space="0" w:color="auto"/>
        <w:left w:val="none" w:sz="0" w:space="0" w:color="auto"/>
        <w:bottom w:val="none" w:sz="0" w:space="0" w:color="auto"/>
        <w:right w:val="none" w:sz="0" w:space="0" w:color="auto"/>
      </w:divBdr>
    </w:div>
    <w:div w:id="661739987">
      <w:bodyDiv w:val="1"/>
      <w:marLeft w:val="0"/>
      <w:marRight w:val="0"/>
      <w:marTop w:val="0"/>
      <w:marBottom w:val="0"/>
      <w:divBdr>
        <w:top w:val="none" w:sz="0" w:space="0" w:color="auto"/>
        <w:left w:val="none" w:sz="0" w:space="0" w:color="auto"/>
        <w:bottom w:val="none" w:sz="0" w:space="0" w:color="auto"/>
        <w:right w:val="none" w:sz="0" w:space="0" w:color="auto"/>
      </w:divBdr>
    </w:div>
    <w:div w:id="734861345">
      <w:bodyDiv w:val="1"/>
      <w:marLeft w:val="0"/>
      <w:marRight w:val="0"/>
      <w:marTop w:val="0"/>
      <w:marBottom w:val="0"/>
      <w:divBdr>
        <w:top w:val="none" w:sz="0" w:space="0" w:color="auto"/>
        <w:left w:val="none" w:sz="0" w:space="0" w:color="auto"/>
        <w:bottom w:val="none" w:sz="0" w:space="0" w:color="auto"/>
        <w:right w:val="none" w:sz="0" w:space="0" w:color="auto"/>
      </w:divBdr>
    </w:div>
    <w:div w:id="773212094">
      <w:bodyDiv w:val="1"/>
      <w:marLeft w:val="0"/>
      <w:marRight w:val="0"/>
      <w:marTop w:val="0"/>
      <w:marBottom w:val="0"/>
      <w:divBdr>
        <w:top w:val="none" w:sz="0" w:space="0" w:color="auto"/>
        <w:left w:val="none" w:sz="0" w:space="0" w:color="auto"/>
        <w:bottom w:val="none" w:sz="0" w:space="0" w:color="auto"/>
        <w:right w:val="none" w:sz="0" w:space="0" w:color="auto"/>
      </w:divBdr>
    </w:div>
    <w:div w:id="782960568">
      <w:bodyDiv w:val="1"/>
      <w:marLeft w:val="0"/>
      <w:marRight w:val="0"/>
      <w:marTop w:val="0"/>
      <w:marBottom w:val="0"/>
      <w:divBdr>
        <w:top w:val="none" w:sz="0" w:space="0" w:color="auto"/>
        <w:left w:val="none" w:sz="0" w:space="0" w:color="auto"/>
        <w:bottom w:val="none" w:sz="0" w:space="0" w:color="auto"/>
        <w:right w:val="none" w:sz="0" w:space="0" w:color="auto"/>
      </w:divBdr>
    </w:div>
    <w:div w:id="859470638">
      <w:bodyDiv w:val="1"/>
      <w:marLeft w:val="0"/>
      <w:marRight w:val="0"/>
      <w:marTop w:val="0"/>
      <w:marBottom w:val="0"/>
      <w:divBdr>
        <w:top w:val="none" w:sz="0" w:space="0" w:color="auto"/>
        <w:left w:val="none" w:sz="0" w:space="0" w:color="auto"/>
        <w:bottom w:val="none" w:sz="0" w:space="0" w:color="auto"/>
        <w:right w:val="none" w:sz="0" w:space="0" w:color="auto"/>
      </w:divBdr>
    </w:div>
    <w:div w:id="908727934">
      <w:bodyDiv w:val="1"/>
      <w:marLeft w:val="0"/>
      <w:marRight w:val="0"/>
      <w:marTop w:val="0"/>
      <w:marBottom w:val="0"/>
      <w:divBdr>
        <w:top w:val="none" w:sz="0" w:space="0" w:color="auto"/>
        <w:left w:val="none" w:sz="0" w:space="0" w:color="auto"/>
        <w:bottom w:val="none" w:sz="0" w:space="0" w:color="auto"/>
        <w:right w:val="none" w:sz="0" w:space="0" w:color="auto"/>
      </w:divBdr>
    </w:div>
    <w:div w:id="1010374725">
      <w:bodyDiv w:val="1"/>
      <w:marLeft w:val="0"/>
      <w:marRight w:val="0"/>
      <w:marTop w:val="0"/>
      <w:marBottom w:val="0"/>
      <w:divBdr>
        <w:top w:val="none" w:sz="0" w:space="0" w:color="auto"/>
        <w:left w:val="none" w:sz="0" w:space="0" w:color="auto"/>
        <w:bottom w:val="none" w:sz="0" w:space="0" w:color="auto"/>
        <w:right w:val="none" w:sz="0" w:space="0" w:color="auto"/>
      </w:divBdr>
    </w:div>
    <w:div w:id="1074081310">
      <w:bodyDiv w:val="1"/>
      <w:marLeft w:val="0"/>
      <w:marRight w:val="0"/>
      <w:marTop w:val="0"/>
      <w:marBottom w:val="0"/>
      <w:divBdr>
        <w:top w:val="none" w:sz="0" w:space="0" w:color="auto"/>
        <w:left w:val="none" w:sz="0" w:space="0" w:color="auto"/>
        <w:bottom w:val="none" w:sz="0" w:space="0" w:color="auto"/>
        <w:right w:val="none" w:sz="0" w:space="0" w:color="auto"/>
      </w:divBdr>
    </w:div>
    <w:div w:id="1228957637">
      <w:bodyDiv w:val="1"/>
      <w:marLeft w:val="0"/>
      <w:marRight w:val="0"/>
      <w:marTop w:val="0"/>
      <w:marBottom w:val="0"/>
      <w:divBdr>
        <w:top w:val="none" w:sz="0" w:space="0" w:color="auto"/>
        <w:left w:val="none" w:sz="0" w:space="0" w:color="auto"/>
        <w:bottom w:val="none" w:sz="0" w:space="0" w:color="auto"/>
        <w:right w:val="none" w:sz="0" w:space="0" w:color="auto"/>
      </w:divBdr>
    </w:div>
    <w:div w:id="1235238389">
      <w:bodyDiv w:val="1"/>
      <w:marLeft w:val="0"/>
      <w:marRight w:val="0"/>
      <w:marTop w:val="0"/>
      <w:marBottom w:val="0"/>
      <w:divBdr>
        <w:top w:val="none" w:sz="0" w:space="0" w:color="auto"/>
        <w:left w:val="none" w:sz="0" w:space="0" w:color="auto"/>
        <w:bottom w:val="none" w:sz="0" w:space="0" w:color="auto"/>
        <w:right w:val="none" w:sz="0" w:space="0" w:color="auto"/>
      </w:divBdr>
    </w:div>
    <w:div w:id="1274942591">
      <w:bodyDiv w:val="1"/>
      <w:marLeft w:val="0"/>
      <w:marRight w:val="0"/>
      <w:marTop w:val="0"/>
      <w:marBottom w:val="0"/>
      <w:divBdr>
        <w:top w:val="none" w:sz="0" w:space="0" w:color="auto"/>
        <w:left w:val="none" w:sz="0" w:space="0" w:color="auto"/>
        <w:bottom w:val="none" w:sz="0" w:space="0" w:color="auto"/>
        <w:right w:val="none" w:sz="0" w:space="0" w:color="auto"/>
      </w:divBdr>
    </w:div>
    <w:div w:id="1327241350">
      <w:bodyDiv w:val="1"/>
      <w:marLeft w:val="0"/>
      <w:marRight w:val="0"/>
      <w:marTop w:val="0"/>
      <w:marBottom w:val="0"/>
      <w:divBdr>
        <w:top w:val="none" w:sz="0" w:space="0" w:color="auto"/>
        <w:left w:val="none" w:sz="0" w:space="0" w:color="auto"/>
        <w:bottom w:val="none" w:sz="0" w:space="0" w:color="auto"/>
        <w:right w:val="none" w:sz="0" w:space="0" w:color="auto"/>
      </w:divBdr>
    </w:div>
    <w:div w:id="1392195783">
      <w:bodyDiv w:val="1"/>
      <w:marLeft w:val="0"/>
      <w:marRight w:val="0"/>
      <w:marTop w:val="0"/>
      <w:marBottom w:val="0"/>
      <w:divBdr>
        <w:top w:val="none" w:sz="0" w:space="0" w:color="auto"/>
        <w:left w:val="none" w:sz="0" w:space="0" w:color="auto"/>
        <w:bottom w:val="none" w:sz="0" w:space="0" w:color="auto"/>
        <w:right w:val="none" w:sz="0" w:space="0" w:color="auto"/>
      </w:divBdr>
    </w:div>
    <w:div w:id="1413621253">
      <w:bodyDiv w:val="1"/>
      <w:marLeft w:val="0"/>
      <w:marRight w:val="0"/>
      <w:marTop w:val="0"/>
      <w:marBottom w:val="0"/>
      <w:divBdr>
        <w:top w:val="none" w:sz="0" w:space="0" w:color="auto"/>
        <w:left w:val="none" w:sz="0" w:space="0" w:color="auto"/>
        <w:bottom w:val="none" w:sz="0" w:space="0" w:color="auto"/>
        <w:right w:val="none" w:sz="0" w:space="0" w:color="auto"/>
      </w:divBdr>
    </w:div>
    <w:div w:id="1473861337">
      <w:bodyDiv w:val="1"/>
      <w:marLeft w:val="0"/>
      <w:marRight w:val="0"/>
      <w:marTop w:val="0"/>
      <w:marBottom w:val="0"/>
      <w:divBdr>
        <w:top w:val="none" w:sz="0" w:space="0" w:color="auto"/>
        <w:left w:val="none" w:sz="0" w:space="0" w:color="auto"/>
        <w:bottom w:val="none" w:sz="0" w:space="0" w:color="auto"/>
        <w:right w:val="none" w:sz="0" w:space="0" w:color="auto"/>
      </w:divBdr>
    </w:div>
    <w:div w:id="1586525210">
      <w:bodyDiv w:val="1"/>
      <w:marLeft w:val="0"/>
      <w:marRight w:val="0"/>
      <w:marTop w:val="0"/>
      <w:marBottom w:val="0"/>
      <w:divBdr>
        <w:top w:val="none" w:sz="0" w:space="0" w:color="auto"/>
        <w:left w:val="none" w:sz="0" w:space="0" w:color="auto"/>
        <w:bottom w:val="none" w:sz="0" w:space="0" w:color="auto"/>
        <w:right w:val="none" w:sz="0" w:space="0" w:color="auto"/>
      </w:divBdr>
    </w:div>
    <w:div w:id="1628194887">
      <w:bodyDiv w:val="1"/>
      <w:marLeft w:val="0"/>
      <w:marRight w:val="0"/>
      <w:marTop w:val="0"/>
      <w:marBottom w:val="0"/>
      <w:divBdr>
        <w:top w:val="none" w:sz="0" w:space="0" w:color="auto"/>
        <w:left w:val="none" w:sz="0" w:space="0" w:color="auto"/>
        <w:bottom w:val="none" w:sz="0" w:space="0" w:color="auto"/>
        <w:right w:val="none" w:sz="0" w:space="0" w:color="auto"/>
      </w:divBdr>
    </w:div>
    <w:div w:id="1635401416">
      <w:bodyDiv w:val="1"/>
      <w:marLeft w:val="0"/>
      <w:marRight w:val="0"/>
      <w:marTop w:val="0"/>
      <w:marBottom w:val="0"/>
      <w:divBdr>
        <w:top w:val="none" w:sz="0" w:space="0" w:color="auto"/>
        <w:left w:val="none" w:sz="0" w:space="0" w:color="auto"/>
        <w:bottom w:val="none" w:sz="0" w:space="0" w:color="auto"/>
        <w:right w:val="none" w:sz="0" w:space="0" w:color="auto"/>
      </w:divBdr>
    </w:div>
    <w:div w:id="1866942547">
      <w:bodyDiv w:val="1"/>
      <w:marLeft w:val="0"/>
      <w:marRight w:val="0"/>
      <w:marTop w:val="0"/>
      <w:marBottom w:val="0"/>
      <w:divBdr>
        <w:top w:val="none" w:sz="0" w:space="0" w:color="auto"/>
        <w:left w:val="none" w:sz="0" w:space="0" w:color="auto"/>
        <w:bottom w:val="none" w:sz="0" w:space="0" w:color="auto"/>
        <w:right w:val="none" w:sz="0" w:space="0" w:color="auto"/>
      </w:divBdr>
    </w:div>
    <w:div w:id="1876382620">
      <w:bodyDiv w:val="1"/>
      <w:marLeft w:val="0"/>
      <w:marRight w:val="0"/>
      <w:marTop w:val="0"/>
      <w:marBottom w:val="0"/>
      <w:divBdr>
        <w:top w:val="none" w:sz="0" w:space="0" w:color="auto"/>
        <w:left w:val="none" w:sz="0" w:space="0" w:color="auto"/>
        <w:bottom w:val="none" w:sz="0" w:space="0" w:color="auto"/>
        <w:right w:val="none" w:sz="0" w:space="0" w:color="auto"/>
      </w:divBdr>
    </w:div>
    <w:div w:id="1885868697">
      <w:bodyDiv w:val="1"/>
      <w:marLeft w:val="0"/>
      <w:marRight w:val="0"/>
      <w:marTop w:val="0"/>
      <w:marBottom w:val="0"/>
      <w:divBdr>
        <w:top w:val="none" w:sz="0" w:space="0" w:color="auto"/>
        <w:left w:val="none" w:sz="0" w:space="0" w:color="auto"/>
        <w:bottom w:val="none" w:sz="0" w:space="0" w:color="auto"/>
        <w:right w:val="none" w:sz="0" w:space="0" w:color="auto"/>
      </w:divBdr>
    </w:div>
    <w:div w:id="1907378433">
      <w:bodyDiv w:val="1"/>
      <w:marLeft w:val="0"/>
      <w:marRight w:val="0"/>
      <w:marTop w:val="0"/>
      <w:marBottom w:val="0"/>
      <w:divBdr>
        <w:top w:val="none" w:sz="0" w:space="0" w:color="auto"/>
        <w:left w:val="none" w:sz="0" w:space="0" w:color="auto"/>
        <w:bottom w:val="none" w:sz="0" w:space="0" w:color="auto"/>
        <w:right w:val="none" w:sz="0" w:space="0" w:color="auto"/>
      </w:divBdr>
    </w:div>
    <w:div w:id="1946226404">
      <w:bodyDiv w:val="1"/>
      <w:marLeft w:val="0"/>
      <w:marRight w:val="0"/>
      <w:marTop w:val="0"/>
      <w:marBottom w:val="0"/>
      <w:divBdr>
        <w:top w:val="none" w:sz="0" w:space="0" w:color="auto"/>
        <w:left w:val="none" w:sz="0" w:space="0" w:color="auto"/>
        <w:bottom w:val="none" w:sz="0" w:space="0" w:color="auto"/>
        <w:right w:val="none" w:sz="0" w:space="0" w:color="auto"/>
      </w:divBdr>
    </w:div>
    <w:div w:id="2035377089">
      <w:bodyDiv w:val="1"/>
      <w:marLeft w:val="0"/>
      <w:marRight w:val="0"/>
      <w:marTop w:val="0"/>
      <w:marBottom w:val="0"/>
      <w:divBdr>
        <w:top w:val="none" w:sz="0" w:space="0" w:color="auto"/>
        <w:left w:val="none" w:sz="0" w:space="0" w:color="auto"/>
        <w:bottom w:val="none" w:sz="0" w:space="0" w:color="auto"/>
        <w:right w:val="none" w:sz="0" w:space="0" w:color="auto"/>
      </w:divBdr>
    </w:div>
    <w:div w:id="206814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467-937X.2004.00311.x" TargetMode="External"/><Relationship Id="rId13" Type="http://schemas.openxmlformats.org/officeDocument/2006/relationships/hyperlink" Target="https://www.jstor.org/stable/1813828"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257/jel.37.4.1615" TargetMode="External"/><Relationship Id="rId12" Type="http://schemas.openxmlformats.org/officeDocument/2006/relationships/hyperlink" Target="https://www.jstor.org/stable/191425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467-9957.1954.tb00021.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16/0304-3932(88)90168-7"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86/261725" TargetMode="External"/><Relationship Id="rId14" Type="http://schemas.openxmlformats.org/officeDocument/2006/relationships/hyperlink" Target="https://doi.org/10.1086/26181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12</Pages>
  <Words>6549</Words>
  <Characters>37332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Ashraf Panancheri</dc:creator>
  <cp:keywords/>
  <dc:description/>
  <cp:lastModifiedBy>SDI 1170</cp:lastModifiedBy>
  <cp:revision>17</cp:revision>
  <cp:lastPrinted>2025-07-26T06:04:00Z</cp:lastPrinted>
  <dcterms:created xsi:type="dcterms:W3CDTF">2025-07-24T07:29:00Z</dcterms:created>
  <dcterms:modified xsi:type="dcterms:W3CDTF">2025-07-28T09:33:00Z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d5fd05ad-ac69-49fc-9ef3-2326d7e61eee</vt:lpwstr>
  </property>
</Properties>
</file>