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E791" w14:textId="77777777" w:rsidR="00EA3C8B" w:rsidRPr="00CD2994" w:rsidRDefault="00CD2994" w:rsidP="00CD2994">
      <w:pPr>
        <w:spacing w:before="240" w:after="0" w:line="240" w:lineRule="auto"/>
        <w:jc w:val="center"/>
        <w:rPr>
          <w:rFonts w:ascii="Times New Roman" w:hAnsi="Times New Roman" w:cs="Times New Roman"/>
          <w:b/>
          <w:sz w:val="32"/>
          <w:szCs w:val="32"/>
        </w:rPr>
      </w:pPr>
      <w:r w:rsidRPr="00CD2994">
        <w:rPr>
          <w:rFonts w:ascii="Times New Roman" w:hAnsi="Times New Roman" w:cs="Times New Roman"/>
          <w:b/>
          <w:sz w:val="32"/>
          <w:szCs w:val="32"/>
        </w:rPr>
        <w:t xml:space="preserve">Private sector financing </w:t>
      </w:r>
      <w:r w:rsidR="0050385F">
        <w:rPr>
          <w:rFonts w:ascii="Times New Roman" w:hAnsi="Times New Roman" w:cs="Times New Roman"/>
          <w:b/>
          <w:sz w:val="32"/>
          <w:szCs w:val="32"/>
        </w:rPr>
        <w:t>of education</w:t>
      </w:r>
      <w:r w:rsidR="00F4100F">
        <w:rPr>
          <w:rFonts w:ascii="Times New Roman" w:hAnsi="Times New Roman" w:cs="Times New Roman"/>
          <w:b/>
          <w:sz w:val="32"/>
          <w:szCs w:val="32"/>
        </w:rPr>
        <w:t xml:space="preserve"> and</w:t>
      </w:r>
      <w:r w:rsidR="0050385F">
        <w:rPr>
          <w:rFonts w:ascii="Times New Roman" w:hAnsi="Times New Roman" w:cs="Times New Roman"/>
          <w:b/>
          <w:sz w:val="32"/>
          <w:szCs w:val="32"/>
        </w:rPr>
        <w:t xml:space="preserve"> government capital and recurrent </w:t>
      </w:r>
      <w:r w:rsidR="00F4100F">
        <w:rPr>
          <w:rFonts w:ascii="Times New Roman" w:hAnsi="Times New Roman" w:cs="Times New Roman"/>
          <w:b/>
          <w:sz w:val="32"/>
          <w:szCs w:val="32"/>
        </w:rPr>
        <w:t xml:space="preserve">education </w:t>
      </w:r>
      <w:r w:rsidR="0050385F">
        <w:rPr>
          <w:rFonts w:ascii="Times New Roman" w:hAnsi="Times New Roman" w:cs="Times New Roman"/>
          <w:b/>
          <w:sz w:val="32"/>
          <w:szCs w:val="32"/>
        </w:rPr>
        <w:t xml:space="preserve">expenditure </w:t>
      </w:r>
      <w:r w:rsidR="00F4100F">
        <w:rPr>
          <w:rFonts w:ascii="Times New Roman" w:hAnsi="Times New Roman" w:cs="Times New Roman"/>
          <w:b/>
          <w:sz w:val="32"/>
          <w:szCs w:val="32"/>
        </w:rPr>
        <w:t xml:space="preserve">influence </w:t>
      </w:r>
      <w:r w:rsidR="0050385F">
        <w:rPr>
          <w:rFonts w:ascii="Times New Roman" w:hAnsi="Times New Roman" w:cs="Times New Roman"/>
          <w:b/>
          <w:sz w:val="32"/>
          <w:szCs w:val="32"/>
        </w:rPr>
        <w:t xml:space="preserve">on </w:t>
      </w:r>
      <w:r w:rsidRPr="00CD2994">
        <w:rPr>
          <w:rFonts w:ascii="Times New Roman" w:hAnsi="Times New Roman" w:cs="Times New Roman"/>
          <w:b/>
          <w:sz w:val="32"/>
          <w:szCs w:val="32"/>
        </w:rPr>
        <w:t xml:space="preserve">technical </w:t>
      </w:r>
      <w:r w:rsidR="00F4100F">
        <w:rPr>
          <w:rFonts w:ascii="Times New Roman" w:hAnsi="Times New Roman" w:cs="Times New Roman"/>
          <w:b/>
          <w:sz w:val="32"/>
          <w:szCs w:val="32"/>
        </w:rPr>
        <w:t xml:space="preserve">and vocational </w:t>
      </w:r>
      <w:r w:rsidRPr="00CD2994">
        <w:rPr>
          <w:rFonts w:ascii="Times New Roman" w:hAnsi="Times New Roman" w:cs="Times New Roman"/>
          <w:b/>
          <w:sz w:val="32"/>
          <w:szCs w:val="32"/>
        </w:rPr>
        <w:t xml:space="preserve">education </w:t>
      </w:r>
      <w:r w:rsidR="00F4100F">
        <w:rPr>
          <w:rFonts w:ascii="Times New Roman" w:hAnsi="Times New Roman" w:cs="Times New Roman"/>
          <w:b/>
          <w:sz w:val="32"/>
          <w:szCs w:val="32"/>
        </w:rPr>
        <w:t>enrolment rate in Nigeria</w:t>
      </w:r>
    </w:p>
    <w:p w14:paraId="5276A32E" w14:textId="77777777" w:rsidR="00CD2994" w:rsidRDefault="00CD2994" w:rsidP="00CD2994">
      <w:pPr>
        <w:spacing w:after="0" w:line="240" w:lineRule="auto"/>
        <w:jc w:val="center"/>
        <w:rPr>
          <w:rFonts w:ascii="Times New Roman" w:hAnsi="Times New Roman" w:cs="Times New Roman"/>
          <w:sz w:val="24"/>
          <w:szCs w:val="24"/>
        </w:rPr>
      </w:pPr>
    </w:p>
    <w:p w14:paraId="2C5EFF24" w14:textId="77777777" w:rsidR="00CD2994" w:rsidRDefault="00CD2994" w:rsidP="00CD2994">
      <w:pPr>
        <w:spacing w:after="0" w:line="240" w:lineRule="auto"/>
        <w:jc w:val="center"/>
        <w:rPr>
          <w:rFonts w:ascii="Times New Roman" w:hAnsi="Times New Roman" w:cs="Times New Roman"/>
          <w:sz w:val="24"/>
          <w:szCs w:val="24"/>
        </w:rPr>
      </w:pPr>
    </w:p>
    <w:p w14:paraId="213CA6CA" w14:textId="77777777" w:rsidR="00CD2994" w:rsidRDefault="00CD2994" w:rsidP="00CD2994">
      <w:pPr>
        <w:spacing w:before="240" w:after="0" w:line="240" w:lineRule="auto"/>
        <w:jc w:val="both"/>
        <w:rPr>
          <w:rFonts w:ascii="Times New Roman" w:hAnsi="Times New Roman" w:cs="Times New Roman"/>
          <w:sz w:val="24"/>
          <w:szCs w:val="24"/>
        </w:rPr>
      </w:pPr>
    </w:p>
    <w:p w14:paraId="2ED74B21" w14:textId="77777777" w:rsidR="00652019" w:rsidRPr="005E5B2B" w:rsidRDefault="00CD2994" w:rsidP="00652019">
      <w:pPr>
        <w:spacing w:before="120" w:after="0" w:line="240" w:lineRule="auto"/>
        <w:jc w:val="both"/>
        <w:rPr>
          <w:rFonts w:ascii="Times New Roman" w:hAnsi="Times New Roman" w:cs="Times New Roman"/>
          <w:i/>
          <w:sz w:val="24"/>
          <w:szCs w:val="24"/>
        </w:rPr>
      </w:pPr>
      <w:r w:rsidRPr="00D33FAA">
        <w:rPr>
          <w:rFonts w:ascii="Times New Roman" w:hAnsi="Times New Roman" w:cs="Times New Roman"/>
          <w:b/>
          <w:sz w:val="24"/>
          <w:szCs w:val="24"/>
        </w:rPr>
        <w:t xml:space="preserve">Abstract – </w:t>
      </w:r>
      <w:r w:rsidR="003C52B0" w:rsidRPr="0079452F">
        <w:rPr>
          <w:rFonts w:ascii="Times New Roman" w:hAnsi="Times New Roman" w:cs="Times New Roman"/>
          <w:i/>
          <w:sz w:val="24"/>
          <w:szCs w:val="24"/>
        </w:rPr>
        <w:t xml:space="preserve">This study analyzed </w:t>
      </w:r>
      <w:r w:rsidR="00D70BC8">
        <w:rPr>
          <w:rFonts w:ascii="Times New Roman" w:hAnsi="Times New Roman" w:cs="Times New Roman"/>
          <w:i/>
          <w:sz w:val="24"/>
          <w:szCs w:val="24"/>
        </w:rPr>
        <w:t xml:space="preserve">the influence of </w:t>
      </w:r>
      <w:r w:rsidR="003C52B0" w:rsidRPr="0079452F">
        <w:rPr>
          <w:rFonts w:ascii="Times New Roman" w:hAnsi="Times New Roman" w:cs="Times New Roman"/>
          <w:i/>
          <w:sz w:val="24"/>
          <w:szCs w:val="24"/>
        </w:rPr>
        <w:t xml:space="preserve">private </w:t>
      </w:r>
      <w:r w:rsidR="00D70BC8" w:rsidRPr="00D70BC8">
        <w:rPr>
          <w:rFonts w:ascii="Times New Roman" w:hAnsi="Times New Roman" w:cs="Times New Roman"/>
          <w:i/>
          <w:sz w:val="24"/>
          <w:szCs w:val="24"/>
        </w:rPr>
        <w:t>sector financing of education and government capital and recurrent education expenditure on technical and vocational education enrolment rate in Nigeria</w:t>
      </w:r>
      <w:r w:rsidR="003C52B0" w:rsidRPr="0079452F">
        <w:rPr>
          <w:rFonts w:ascii="Times New Roman" w:hAnsi="Times New Roman" w:cs="Times New Roman"/>
          <w:i/>
          <w:sz w:val="24"/>
          <w:szCs w:val="24"/>
        </w:rPr>
        <w:t xml:space="preserve">. </w:t>
      </w:r>
      <w:r w:rsidR="00726472" w:rsidRPr="00726472">
        <w:rPr>
          <w:rFonts w:ascii="Times New Roman" w:hAnsi="Times New Roman" w:cs="Times New Roman"/>
          <w:i/>
          <w:sz w:val="24"/>
          <w:szCs w:val="24"/>
        </w:rPr>
        <w:t xml:space="preserve">Empirical </w:t>
      </w:r>
      <w:r w:rsidR="00726472">
        <w:rPr>
          <w:rFonts w:ascii="Times New Roman" w:hAnsi="Times New Roman" w:cs="Times New Roman"/>
          <w:i/>
          <w:sz w:val="24"/>
          <w:szCs w:val="24"/>
        </w:rPr>
        <w:t>research</w:t>
      </w:r>
      <w:r w:rsidR="00726472" w:rsidRPr="00726472">
        <w:rPr>
          <w:rFonts w:ascii="Times New Roman" w:hAnsi="Times New Roman" w:cs="Times New Roman"/>
          <w:i/>
          <w:sz w:val="24"/>
          <w:szCs w:val="24"/>
        </w:rPr>
        <w:t xml:space="preserve"> on how private sector education </w:t>
      </w:r>
      <w:r w:rsidR="00726472">
        <w:rPr>
          <w:rFonts w:ascii="Times New Roman" w:hAnsi="Times New Roman" w:cs="Times New Roman"/>
          <w:i/>
          <w:sz w:val="24"/>
          <w:szCs w:val="24"/>
        </w:rPr>
        <w:t>financing</w:t>
      </w:r>
      <w:r w:rsidR="00726472" w:rsidRPr="00726472">
        <w:rPr>
          <w:rFonts w:ascii="Times New Roman" w:hAnsi="Times New Roman" w:cs="Times New Roman"/>
          <w:i/>
          <w:sz w:val="24"/>
          <w:szCs w:val="24"/>
        </w:rPr>
        <w:t xml:space="preserve"> </w:t>
      </w:r>
      <w:r w:rsidR="00726472">
        <w:rPr>
          <w:rFonts w:ascii="Times New Roman" w:hAnsi="Times New Roman" w:cs="Times New Roman"/>
          <w:i/>
          <w:sz w:val="24"/>
          <w:szCs w:val="24"/>
        </w:rPr>
        <w:t xml:space="preserve">has affected </w:t>
      </w:r>
      <w:r w:rsidR="00726472" w:rsidRPr="00726472">
        <w:rPr>
          <w:rFonts w:ascii="Times New Roman" w:hAnsi="Times New Roman" w:cs="Times New Roman"/>
          <w:i/>
          <w:sz w:val="24"/>
          <w:szCs w:val="24"/>
        </w:rPr>
        <w:t xml:space="preserve">technical and vocational education enrolment </w:t>
      </w:r>
      <w:r w:rsidR="00726472">
        <w:rPr>
          <w:rFonts w:ascii="Times New Roman" w:hAnsi="Times New Roman" w:cs="Times New Roman"/>
          <w:i/>
          <w:sz w:val="24"/>
          <w:szCs w:val="24"/>
        </w:rPr>
        <w:t xml:space="preserve">from the secondary data perspective </w:t>
      </w:r>
      <w:r w:rsidR="00726472" w:rsidRPr="00726472">
        <w:rPr>
          <w:rFonts w:ascii="Times New Roman" w:hAnsi="Times New Roman" w:cs="Times New Roman"/>
          <w:i/>
          <w:sz w:val="24"/>
          <w:szCs w:val="24"/>
        </w:rPr>
        <w:t>remains under-researched in academic literature</w:t>
      </w:r>
      <w:r w:rsidR="00726472">
        <w:rPr>
          <w:rFonts w:ascii="Times New Roman" w:hAnsi="Times New Roman" w:cs="Times New Roman"/>
          <w:i/>
          <w:sz w:val="24"/>
          <w:szCs w:val="24"/>
        </w:rPr>
        <w:t xml:space="preserve"> and this serves as a motivation to this study. </w:t>
      </w:r>
      <w:r w:rsidR="00C57999">
        <w:rPr>
          <w:rFonts w:ascii="Times New Roman" w:hAnsi="Times New Roman" w:cs="Times New Roman"/>
          <w:i/>
          <w:sz w:val="24"/>
          <w:szCs w:val="24"/>
        </w:rPr>
        <w:t>The independent variable</w:t>
      </w:r>
      <w:r w:rsidR="00B539E8">
        <w:rPr>
          <w:rFonts w:ascii="Times New Roman" w:hAnsi="Times New Roman" w:cs="Times New Roman"/>
          <w:i/>
          <w:sz w:val="24"/>
          <w:szCs w:val="24"/>
        </w:rPr>
        <w:t>s</w:t>
      </w:r>
      <w:r w:rsidR="00C57999">
        <w:rPr>
          <w:rFonts w:ascii="Times New Roman" w:hAnsi="Times New Roman" w:cs="Times New Roman"/>
          <w:i/>
          <w:sz w:val="24"/>
          <w:szCs w:val="24"/>
        </w:rPr>
        <w:t xml:space="preserve"> </w:t>
      </w:r>
      <w:r w:rsidR="00B539E8">
        <w:rPr>
          <w:rFonts w:ascii="Times New Roman" w:hAnsi="Times New Roman" w:cs="Times New Roman"/>
          <w:i/>
          <w:sz w:val="24"/>
          <w:szCs w:val="24"/>
        </w:rPr>
        <w:t>included</w:t>
      </w:r>
      <w:r w:rsidR="00C57999">
        <w:rPr>
          <w:rFonts w:ascii="Times New Roman" w:hAnsi="Times New Roman" w:cs="Times New Roman"/>
          <w:i/>
          <w:sz w:val="24"/>
          <w:szCs w:val="24"/>
        </w:rPr>
        <w:t xml:space="preserve"> </w:t>
      </w:r>
      <w:r w:rsidR="0078041A" w:rsidRPr="0079452F">
        <w:rPr>
          <w:rFonts w:ascii="Times New Roman" w:hAnsi="Times New Roman" w:cs="Times New Roman"/>
          <w:i/>
          <w:sz w:val="24"/>
          <w:szCs w:val="24"/>
        </w:rPr>
        <w:t>private sector financing of education</w:t>
      </w:r>
      <w:r w:rsidR="00C57999">
        <w:rPr>
          <w:rFonts w:ascii="Times New Roman" w:hAnsi="Times New Roman" w:cs="Times New Roman"/>
          <w:i/>
          <w:sz w:val="24"/>
          <w:szCs w:val="24"/>
        </w:rPr>
        <w:t>, g</w:t>
      </w:r>
      <w:r w:rsidR="00C57999" w:rsidRPr="0079452F">
        <w:rPr>
          <w:rFonts w:ascii="Times New Roman" w:hAnsi="Times New Roman" w:cs="Times New Roman"/>
          <w:i/>
          <w:sz w:val="24"/>
          <w:szCs w:val="24"/>
        </w:rPr>
        <w:t xml:space="preserve">overnment capital </w:t>
      </w:r>
      <w:r w:rsidR="00B539E8" w:rsidRPr="0079452F">
        <w:rPr>
          <w:rFonts w:ascii="Times New Roman" w:hAnsi="Times New Roman" w:cs="Times New Roman"/>
          <w:i/>
          <w:sz w:val="24"/>
          <w:szCs w:val="24"/>
        </w:rPr>
        <w:t xml:space="preserve">expenditure </w:t>
      </w:r>
      <w:r w:rsidR="00C57999" w:rsidRPr="0079452F">
        <w:rPr>
          <w:rFonts w:ascii="Times New Roman" w:hAnsi="Times New Roman" w:cs="Times New Roman"/>
          <w:i/>
          <w:sz w:val="24"/>
          <w:szCs w:val="24"/>
        </w:rPr>
        <w:t xml:space="preserve">and </w:t>
      </w:r>
      <w:r w:rsidR="00B539E8">
        <w:rPr>
          <w:rFonts w:ascii="Times New Roman" w:hAnsi="Times New Roman" w:cs="Times New Roman"/>
          <w:i/>
          <w:sz w:val="24"/>
          <w:szCs w:val="24"/>
        </w:rPr>
        <w:t xml:space="preserve">government </w:t>
      </w:r>
      <w:r w:rsidR="00C57999" w:rsidRPr="0079452F">
        <w:rPr>
          <w:rFonts w:ascii="Times New Roman" w:hAnsi="Times New Roman" w:cs="Times New Roman"/>
          <w:i/>
          <w:sz w:val="24"/>
          <w:szCs w:val="24"/>
        </w:rPr>
        <w:t>recurrent expenditure on education</w:t>
      </w:r>
      <w:r w:rsidR="0078041A" w:rsidRPr="0079452F">
        <w:rPr>
          <w:rFonts w:ascii="Times New Roman" w:hAnsi="Times New Roman" w:cs="Times New Roman"/>
          <w:i/>
          <w:sz w:val="24"/>
          <w:szCs w:val="24"/>
        </w:rPr>
        <w:t xml:space="preserve">. The dependent variable was technical and vocational education enrolment rate in Nigeria. The data were time series data collected </w:t>
      </w:r>
      <w:r w:rsidR="005E5B2B">
        <w:rPr>
          <w:rFonts w:ascii="Times New Roman" w:hAnsi="Times New Roman" w:cs="Times New Roman"/>
          <w:i/>
          <w:sz w:val="24"/>
          <w:szCs w:val="24"/>
        </w:rPr>
        <w:t>from the Central Bank of Nigeria, National Bureau of Statistics and National Board for Technical Education (NBTE) for</w:t>
      </w:r>
      <w:r w:rsidR="0078041A" w:rsidRPr="0079452F">
        <w:rPr>
          <w:rFonts w:ascii="Times New Roman" w:hAnsi="Times New Roman" w:cs="Times New Roman"/>
          <w:i/>
          <w:sz w:val="24"/>
          <w:szCs w:val="24"/>
        </w:rPr>
        <w:t xml:space="preserve"> the </w:t>
      </w:r>
      <w:r w:rsidR="0078041A" w:rsidRPr="00652019">
        <w:rPr>
          <w:rFonts w:ascii="Times New Roman" w:hAnsi="Times New Roman" w:cs="Times New Roman"/>
          <w:i/>
          <w:sz w:val="24"/>
          <w:szCs w:val="24"/>
        </w:rPr>
        <w:t>period 1990 – 202</w:t>
      </w:r>
      <w:r w:rsidR="005E5B2B">
        <w:rPr>
          <w:rFonts w:ascii="Times New Roman" w:hAnsi="Times New Roman" w:cs="Times New Roman"/>
          <w:i/>
          <w:sz w:val="24"/>
          <w:szCs w:val="24"/>
        </w:rPr>
        <w:t>4</w:t>
      </w:r>
      <w:r w:rsidR="0078041A" w:rsidRPr="00652019">
        <w:rPr>
          <w:rFonts w:ascii="Times New Roman" w:hAnsi="Times New Roman" w:cs="Times New Roman"/>
          <w:i/>
          <w:sz w:val="24"/>
          <w:szCs w:val="24"/>
        </w:rPr>
        <w:t>. Auto regressive distributed lag (ARDL) model</w:t>
      </w:r>
      <w:r w:rsidR="00B539E8">
        <w:rPr>
          <w:rFonts w:ascii="Times New Roman" w:hAnsi="Times New Roman" w:cs="Times New Roman"/>
          <w:i/>
          <w:sz w:val="24"/>
          <w:szCs w:val="24"/>
        </w:rPr>
        <w:t xml:space="preserve"> was used in analyzing the data</w:t>
      </w:r>
      <w:r w:rsidR="005E5B2B">
        <w:rPr>
          <w:rFonts w:ascii="Times New Roman" w:hAnsi="Times New Roman" w:cs="Times New Roman"/>
          <w:i/>
          <w:sz w:val="24"/>
          <w:szCs w:val="24"/>
        </w:rPr>
        <w:t>. T</w:t>
      </w:r>
      <w:r w:rsidR="0078041A" w:rsidRPr="00652019">
        <w:rPr>
          <w:rFonts w:ascii="Times New Roman" w:hAnsi="Times New Roman" w:cs="Times New Roman"/>
          <w:i/>
          <w:sz w:val="24"/>
          <w:szCs w:val="24"/>
        </w:rPr>
        <w:t xml:space="preserve">he </w:t>
      </w:r>
      <w:r w:rsidR="005E5B2B">
        <w:rPr>
          <w:rFonts w:ascii="Times New Roman" w:hAnsi="Times New Roman" w:cs="Times New Roman"/>
          <w:i/>
          <w:sz w:val="24"/>
          <w:szCs w:val="24"/>
        </w:rPr>
        <w:t xml:space="preserve">three null hypotheses formulated were rejected which led to the conclusion that </w:t>
      </w:r>
      <w:r w:rsidR="005E5B2B" w:rsidRPr="005E5B2B">
        <w:rPr>
          <w:rFonts w:ascii="Times New Roman" w:hAnsi="Times New Roman" w:cs="Times New Roman"/>
          <w:i/>
          <w:sz w:val="24"/>
          <w:szCs w:val="24"/>
        </w:rPr>
        <w:t>private sector financing, government capital expenditure and government recurrent expenditure on education have significant effect</w:t>
      </w:r>
      <w:r w:rsidR="005E5B2B">
        <w:rPr>
          <w:rFonts w:ascii="Times New Roman" w:hAnsi="Times New Roman" w:cs="Times New Roman"/>
          <w:i/>
          <w:sz w:val="24"/>
          <w:szCs w:val="24"/>
        </w:rPr>
        <w:t>s</w:t>
      </w:r>
      <w:r w:rsidR="005E5B2B" w:rsidRPr="005E5B2B">
        <w:rPr>
          <w:rFonts w:ascii="Times New Roman" w:hAnsi="Times New Roman" w:cs="Times New Roman"/>
          <w:i/>
          <w:sz w:val="24"/>
          <w:szCs w:val="24"/>
        </w:rPr>
        <w:t xml:space="preserve"> on technical and vocational education enrolment rate in Nigeria</w:t>
      </w:r>
      <w:r w:rsidR="005E5B2B">
        <w:rPr>
          <w:rFonts w:ascii="Times New Roman" w:hAnsi="Times New Roman" w:cs="Times New Roman"/>
          <w:i/>
          <w:sz w:val="24"/>
          <w:szCs w:val="24"/>
        </w:rPr>
        <w:t>. While</w:t>
      </w:r>
      <w:r w:rsidR="005E5B2B" w:rsidRPr="005E5B2B">
        <w:rPr>
          <w:rFonts w:ascii="Times New Roman" w:hAnsi="Times New Roman" w:cs="Times New Roman"/>
          <w:i/>
          <w:sz w:val="24"/>
          <w:szCs w:val="24"/>
        </w:rPr>
        <w:t xml:space="preserve"> government capital expenditure</w:t>
      </w:r>
      <w:bookmarkStart w:id="0" w:name="_GoBack"/>
      <w:bookmarkEnd w:id="0"/>
      <w:r w:rsidR="005E5B2B" w:rsidRPr="005E5B2B">
        <w:rPr>
          <w:rFonts w:ascii="Times New Roman" w:hAnsi="Times New Roman" w:cs="Times New Roman"/>
          <w:i/>
          <w:sz w:val="24"/>
          <w:szCs w:val="24"/>
        </w:rPr>
        <w:t xml:space="preserve"> </w:t>
      </w:r>
      <w:r w:rsidR="005E5B2B">
        <w:rPr>
          <w:rFonts w:ascii="Times New Roman" w:hAnsi="Times New Roman" w:cs="Times New Roman"/>
          <w:i/>
          <w:sz w:val="24"/>
          <w:szCs w:val="24"/>
        </w:rPr>
        <w:t>exerted a significantly negative effect on</w:t>
      </w:r>
      <w:r w:rsidR="005E5B2B" w:rsidRPr="005E5B2B">
        <w:rPr>
          <w:rFonts w:ascii="Times New Roman" w:hAnsi="Times New Roman" w:cs="Times New Roman"/>
          <w:i/>
          <w:sz w:val="24"/>
          <w:szCs w:val="24"/>
        </w:rPr>
        <w:t xml:space="preserve"> technical and vocational education enrolment rate in Nigeria</w:t>
      </w:r>
      <w:r w:rsidR="005E5B2B">
        <w:rPr>
          <w:rFonts w:ascii="Times New Roman" w:hAnsi="Times New Roman" w:cs="Times New Roman"/>
          <w:i/>
          <w:sz w:val="24"/>
          <w:szCs w:val="24"/>
        </w:rPr>
        <w:t xml:space="preserve">, recurrent expenditure and private sector financing had significantly positive effect on technical and vocational education in Nigeria. </w:t>
      </w:r>
      <w:r w:rsidR="00652019" w:rsidRPr="00652019">
        <w:rPr>
          <w:rFonts w:ascii="Times New Roman" w:hAnsi="Times New Roman" w:cs="Times New Roman"/>
          <w:i/>
          <w:sz w:val="24"/>
          <w:szCs w:val="24"/>
        </w:rPr>
        <w:t xml:space="preserve">The </w:t>
      </w:r>
      <w:r w:rsidR="005E5B2B">
        <w:rPr>
          <w:rFonts w:ascii="Times New Roman" w:hAnsi="Times New Roman" w:cs="Times New Roman"/>
          <w:i/>
          <w:sz w:val="24"/>
          <w:szCs w:val="24"/>
        </w:rPr>
        <w:t xml:space="preserve">study </w:t>
      </w:r>
      <w:r w:rsidR="00652019" w:rsidRPr="00652019">
        <w:rPr>
          <w:rFonts w:ascii="Times New Roman" w:hAnsi="Times New Roman" w:cs="Times New Roman"/>
          <w:i/>
          <w:sz w:val="24"/>
          <w:szCs w:val="24"/>
        </w:rPr>
        <w:t>recommend</w:t>
      </w:r>
      <w:r w:rsidR="005E5B2B">
        <w:rPr>
          <w:rFonts w:ascii="Times New Roman" w:hAnsi="Times New Roman" w:cs="Times New Roman"/>
          <w:i/>
          <w:sz w:val="24"/>
          <w:szCs w:val="24"/>
        </w:rPr>
        <w:t>ed</w:t>
      </w:r>
      <w:r w:rsidR="00652019" w:rsidRPr="00652019">
        <w:rPr>
          <w:rFonts w:ascii="Times New Roman" w:hAnsi="Times New Roman" w:cs="Times New Roman"/>
          <w:i/>
          <w:sz w:val="24"/>
          <w:szCs w:val="24"/>
        </w:rPr>
        <w:t xml:space="preserve"> that since the private sector is profit oriented, liaising with government-owned technical and vocational institutions through the public-private partnership agreement will instill quality in TVET education, and when the private sector is encouraged to own technical and vocational training centers, it will ensure the sustainability of TVET education financing in Nigeria.</w:t>
      </w:r>
    </w:p>
    <w:p w14:paraId="146A103A" w14:textId="77777777" w:rsidR="0078041A" w:rsidRPr="00D33FAA" w:rsidRDefault="0078041A" w:rsidP="0078041A">
      <w:pPr>
        <w:spacing w:before="120" w:after="0" w:line="240" w:lineRule="auto"/>
        <w:jc w:val="both"/>
        <w:rPr>
          <w:rFonts w:ascii="Times New Roman" w:hAnsi="Times New Roman" w:cs="Times New Roman"/>
          <w:sz w:val="24"/>
          <w:szCs w:val="24"/>
        </w:rPr>
      </w:pPr>
      <w:r w:rsidRPr="0078041A">
        <w:rPr>
          <w:rFonts w:ascii="Times New Roman" w:hAnsi="Times New Roman" w:cs="Times New Roman"/>
          <w:b/>
          <w:sz w:val="24"/>
          <w:szCs w:val="24"/>
        </w:rPr>
        <w:t>Key words:</w:t>
      </w:r>
      <w:r>
        <w:rPr>
          <w:rFonts w:ascii="Times New Roman" w:hAnsi="Times New Roman" w:cs="Times New Roman"/>
          <w:sz w:val="24"/>
          <w:szCs w:val="24"/>
        </w:rPr>
        <w:t xml:space="preserve"> Financing, private sector financing, public-private partnership, sustainability, tech</w:t>
      </w:r>
      <w:r w:rsidR="00726472">
        <w:rPr>
          <w:rFonts w:ascii="Times New Roman" w:hAnsi="Times New Roman" w:cs="Times New Roman"/>
          <w:sz w:val="24"/>
          <w:szCs w:val="24"/>
        </w:rPr>
        <w:t>nical and vocational education</w:t>
      </w:r>
    </w:p>
    <w:p w14:paraId="43FD2F60" w14:textId="77777777" w:rsidR="00CD2994" w:rsidRPr="00422746" w:rsidRDefault="00726472"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INTRODUCTION</w:t>
      </w:r>
    </w:p>
    <w:p w14:paraId="630F5974" w14:textId="77777777" w:rsidR="00CD2994" w:rsidRDefault="0026750F" w:rsidP="007E47E3">
      <w:pPr>
        <w:spacing w:before="120" w:after="0" w:line="360" w:lineRule="auto"/>
        <w:jc w:val="both"/>
        <w:rPr>
          <w:rFonts w:ascii="Times New Roman" w:hAnsi="Times New Roman" w:cs="Times New Roman"/>
          <w:sz w:val="24"/>
          <w:szCs w:val="24"/>
        </w:rPr>
      </w:pPr>
      <w:r w:rsidRPr="00D33FAA">
        <w:rPr>
          <w:rFonts w:ascii="Times New Roman" w:hAnsi="Times New Roman" w:cs="Times New Roman"/>
          <w:sz w:val="24"/>
          <w:szCs w:val="24"/>
        </w:rPr>
        <w:t xml:space="preserve">The place of education in the development of the society cannot be over emphasized. Specifically, the focus on technical education has become an increasing trend world over as countries strive to go beyond the traditional theoretical knowledge towards practical knowledge which technical education offers. </w:t>
      </w:r>
      <w:r w:rsidR="004A6466" w:rsidRPr="004A6466">
        <w:rPr>
          <w:rFonts w:ascii="Times New Roman" w:hAnsi="Times New Roman" w:cs="Times New Roman"/>
          <w:sz w:val="24"/>
          <w:szCs w:val="24"/>
        </w:rPr>
        <w:t>Around the world, technical and vocational education and training (TVET) has been acknowledged as a means of enabling individuals, particularly the younger generation, to achieve sustainable livelihood and socio-economic advancement</w:t>
      </w:r>
      <w:r w:rsidR="00C57999">
        <w:rPr>
          <w:rFonts w:ascii="Times New Roman" w:hAnsi="Times New Roman" w:cs="Times New Roman"/>
          <w:sz w:val="24"/>
          <w:szCs w:val="24"/>
        </w:rPr>
        <w:t xml:space="preserve"> (</w:t>
      </w:r>
      <w:r w:rsidR="008F1F2E">
        <w:rPr>
          <w:rFonts w:ascii="Times New Roman" w:hAnsi="Times New Roman" w:cs="Times New Roman"/>
          <w:sz w:val="24"/>
          <w:szCs w:val="24"/>
        </w:rPr>
        <w:t>Akpan, 2023</w:t>
      </w:r>
      <w:r w:rsidR="00C57999">
        <w:rPr>
          <w:rFonts w:ascii="Times New Roman" w:hAnsi="Times New Roman" w:cs="Times New Roman"/>
          <w:sz w:val="24"/>
          <w:szCs w:val="24"/>
        </w:rPr>
        <w:t>)</w:t>
      </w:r>
      <w:r w:rsidR="004A6466" w:rsidRPr="004A6466">
        <w:rPr>
          <w:rFonts w:ascii="Times New Roman" w:hAnsi="Times New Roman" w:cs="Times New Roman"/>
          <w:sz w:val="24"/>
          <w:szCs w:val="24"/>
        </w:rPr>
        <w:t xml:space="preserve">. </w:t>
      </w:r>
      <w:r w:rsidR="00C0063F" w:rsidRPr="00C0063F">
        <w:rPr>
          <w:rFonts w:ascii="Times New Roman" w:hAnsi="Times New Roman" w:cs="Times New Roman"/>
          <w:sz w:val="24"/>
          <w:szCs w:val="24"/>
        </w:rPr>
        <w:t>Technical and vocational education and training refers to those parts of the educational process that include studying technologies and related sciences in addition to general education, as well as gaining knowledge, attitudes, and practical skills related to various economic and social sectors</w:t>
      </w:r>
      <w:r w:rsidR="008F1F2E">
        <w:rPr>
          <w:rFonts w:ascii="Times New Roman" w:hAnsi="Times New Roman" w:cs="Times New Roman"/>
          <w:sz w:val="24"/>
          <w:szCs w:val="24"/>
        </w:rPr>
        <w:t xml:space="preserve"> (</w:t>
      </w:r>
      <w:proofErr w:type="spellStart"/>
      <w:r w:rsidR="008F1F2E">
        <w:rPr>
          <w:rFonts w:ascii="Times New Roman" w:hAnsi="Times New Roman" w:cs="Times New Roman"/>
          <w:sz w:val="24"/>
          <w:szCs w:val="24"/>
        </w:rPr>
        <w:t>Afeti</w:t>
      </w:r>
      <w:proofErr w:type="spellEnd"/>
      <w:r w:rsidR="008F1F2E">
        <w:rPr>
          <w:rFonts w:ascii="Times New Roman" w:hAnsi="Times New Roman" w:cs="Times New Roman"/>
          <w:sz w:val="24"/>
          <w:szCs w:val="24"/>
        </w:rPr>
        <w:t>, 2022). Thi</w:t>
      </w:r>
      <w:r w:rsidR="00C0063F" w:rsidRPr="00C0063F">
        <w:rPr>
          <w:rFonts w:ascii="Times New Roman" w:hAnsi="Times New Roman" w:cs="Times New Roman"/>
          <w:sz w:val="24"/>
          <w:szCs w:val="24"/>
        </w:rPr>
        <w:t>s definition</w:t>
      </w:r>
      <w:r w:rsidR="008F1F2E">
        <w:rPr>
          <w:rFonts w:ascii="Times New Roman" w:hAnsi="Times New Roman" w:cs="Times New Roman"/>
          <w:sz w:val="24"/>
          <w:szCs w:val="24"/>
        </w:rPr>
        <w:t xml:space="preserve"> i</w:t>
      </w:r>
      <w:r w:rsidR="00C0063F" w:rsidRPr="00C0063F">
        <w:rPr>
          <w:rFonts w:ascii="Times New Roman" w:hAnsi="Times New Roman" w:cs="Times New Roman"/>
          <w:sz w:val="24"/>
          <w:szCs w:val="24"/>
        </w:rPr>
        <w:t xml:space="preserve">s based on </w:t>
      </w:r>
      <w:r w:rsidR="00C0063F" w:rsidRPr="00C0063F">
        <w:rPr>
          <w:rFonts w:ascii="Times New Roman" w:hAnsi="Times New Roman" w:cs="Times New Roman"/>
          <w:sz w:val="24"/>
          <w:szCs w:val="24"/>
        </w:rPr>
        <w:lastRenderedPageBreak/>
        <w:t>suggestions made by the United Nations Educational, Scientific, and Cultural Organization (UNESCO) and the International Labour Organization (ILO) in 2000 on technical and vocational education and trainin</w:t>
      </w:r>
      <w:r w:rsidR="00C0063F">
        <w:rPr>
          <w:rFonts w:ascii="Times New Roman" w:hAnsi="Times New Roman" w:cs="Times New Roman"/>
          <w:sz w:val="24"/>
          <w:szCs w:val="24"/>
        </w:rPr>
        <w:t xml:space="preserve">g for the twenty-first century </w:t>
      </w:r>
      <w:r w:rsidR="004A6466">
        <w:rPr>
          <w:rFonts w:ascii="Times New Roman" w:hAnsi="Times New Roman" w:cs="Times New Roman"/>
          <w:sz w:val="24"/>
          <w:szCs w:val="24"/>
        </w:rPr>
        <w:t>(UNESCO)</w:t>
      </w:r>
      <w:r w:rsidRPr="00D33FAA">
        <w:rPr>
          <w:rFonts w:ascii="Times New Roman" w:hAnsi="Times New Roman" w:cs="Times New Roman"/>
          <w:sz w:val="24"/>
          <w:szCs w:val="24"/>
        </w:rPr>
        <w:t xml:space="preserve">. </w:t>
      </w:r>
    </w:p>
    <w:p w14:paraId="5EE7A057" w14:textId="77777777" w:rsidR="00FE4A7D" w:rsidRPr="00D33FAA" w:rsidRDefault="00AA52A6" w:rsidP="007E47E3">
      <w:pPr>
        <w:spacing w:before="120" w:after="0" w:line="360" w:lineRule="auto"/>
        <w:jc w:val="both"/>
        <w:rPr>
          <w:rFonts w:ascii="Times New Roman" w:hAnsi="Times New Roman" w:cs="Times New Roman"/>
          <w:sz w:val="24"/>
          <w:szCs w:val="24"/>
        </w:rPr>
      </w:pPr>
      <w:r w:rsidRPr="00C0063F">
        <w:rPr>
          <w:rFonts w:ascii="Times New Roman" w:hAnsi="Times New Roman" w:cs="Times New Roman"/>
          <w:sz w:val="24"/>
          <w:szCs w:val="24"/>
        </w:rPr>
        <w:t>The Federal Republic of Nigeria (2004)</w:t>
      </w:r>
      <w:r>
        <w:rPr>
          <w:rFonts w:ascii="Times New Roman" w:hAnsi="Times New Roman" w:cs="Times New Roman"/>
          <w:sz w:val="24"/>
          <w:szCs w:val="24"/>
        </w:rPr>
        <w:t xml:space="preserve"> defined TVET a</w:t>
      </w:r>
      <w:r w:rsidRPr="00C0063F">
        <w:rPr>
          <w:rFonts w:ascii="Times New Roman" w:hAnsi="Times New Roman" w:cs="Times New Roman"/>
          <w:sz w:val="24"/>
          <w:szCs w:val="24"/>
        </w:rPr>
        <w:t xml:space="preserve">s a broad term that includes, beside general education, the study of technologies and related sciences as well as the acquisition of practical skills, attitudes, understanding, and knowledge related to occupations in various sectors of the economy and society. </w:t>
      </w:r>
      <w:r>
        <w:rPr>
          <w:rFonts w:ascii="Times New Roman" w:hAnsi="Times New Roman" w:cs="Times New Roman"/>
          <w:sz w:val="24"/>
          <w:szCs w:val="24"/>
        </w:rPr>
        <w:t>Notable from these definitions is the fact that technical and vocational education and training (TVET)</w:t>
      </w:r>
      <w:r w:rsidRPr="004A6466">
        <w:rPr>
          <w:rFonts w:ascii="Times New Roman" w:hAnsi="Times New Roman" w:cs="Times New Roman"/>
          <w:sz w:val="24"/>
          <w:szCs w:val="24"/>
        </w:rPr>
        <w:t xml:space="preserve"> is primarily associated with trade and industrial education, but it is also available at different levels in other occupational areas, including agriculture, home economics,</w:t>
      </w:r>
      <w:r>
        <w:rPr>
          <w:rFonts w:ascii="Times New Roman" w:hAnsi="Times New Roman" w:cs="Times New Roman"/>
          <w:sz w:val="24"/>
          <w:szCs w:val="24"/>
        </w:rPr>
        <w:t xml:space="preserve"> business, and office education. </w:t>
      </w:r>
      <w:r w:rsidRPr="004A6466">
        <w:rPr>
          <w:rFonts w:ascii="Times New Roman" w:hAnsi="Times New Roman" w:cs="Times New Roman"/>
          <w:sz w:val="24"/>
          <w:szCs w:val="24"/>
        </w:rPr>
        <w:t>TVET is offered at various levels in a variety of institutions</w:t>
      </w:r>
      <w:r>
        <w:rPr>
          <w:rFonts w:ascii="Times New Roman" w:hAnsi="Times New Roman" w:cs="Times New Roman"/>
          <w:sz w:val="24"/>
          <w:szCs w:val="24"/>
        </w:rPr>
        <w:t xml:space="preserve"> in Nigeria</w:t>
      </w:r>
      <w:r w:rsidRPr="004A6466">
        <w:rPr>
          <w:rFonts w:ascii="Times New Roman" w:hAnsi="Times New Roman" w:cs="Times New Roman"/>
          <w:sz w:val="24"/>
          <w:szCs w:val="24"/>
        </w:rPr>
        <w:t>, including polytechnics, businesses, apprenticeship training centers, and technical and vocational schools</w:t>
      </w:r>
      <w:r>
        <w:rPr>
          <w:rFonts w:ascii="Times New Roman" w:hAnsi="Times New Roman" w:cs="Times New Roman"/>
          <w:sz w:val="24"/>
          <w:szCs w:val="24"/>
        </w:rPr>
        <w:t xml:space="preserve"> (</w:t>
      </w:r>
      <w:r w:rsidRPr="004A6466">
        <w:rPr>
          <w:rFonts w:ascii="Times New Roman" w:hAnsi="Times New Roman" w:cs="Times New Roman"/>
          <w:sz w:val="24"/>
          <w:szCs w:val="24"/>
        </w:rPr>
        <w:t xml:space="preserve">Yusuf and </w:t>
      </w:r>
      <w:proofErr w:type="spellStart"/>
      <w:r w:rsidRPr="004A6466">
        <w:rPr>
          <w:rFonts w:ascii="Times New Roman" w:hAnsi="Times New Roman" w:cs="Times New Roman"/>
          <w:sz w:val="24"/>
          <w:szCs w:val="24"/>
        </w:rPr>
        <w:t>Soyemi</w:t>
      </w:r>
      <w:proofErr w:type="spellEnd"/>
      <w:r w:rsidRPr="004A6466">
        <w:rPr>
          <w:rFonts w:ascii="Times New Roman" w:hAnsi="Times New Roman" w:cs="Times New Roman"/>
          <w:sz w:val="24"/>
          <w:szCs w:val="24"/>
        </w:rPr>
        <w:t>, 2021</w:t>
      </w:r>
      <w:r>
        <w:rPr>
          <w:rFonts w:ascii="Times New Roman" w:hAnsi="Times New Roman" w:cs="Times New Roman"/>
          <w:sz w:val="24"/>
          <w:szCs w:val="24"/>
        </w:rPr>
        <w:t>).</w:t>
      </w:r>
      <w:r w:rsidR="00726472">
        <w:rPr>
          <w:rFonts w:ascii="Times New Roman" w:hAnsi="Times New Roman" w:cs="Times New Roman"/>
          <w:sz w:val="24"/>
          <w:szCs w:val="24"/>
        </w:rPr>
        <w:t xml:space="preserve"> </w:t>
      </w:r>
      <w:r w:rsidR="004A6466" w:rsidRPr="004A6466">
        <w:rPr>
          <w:rFonts w:ascii="Times New Roman" w:hAnsi="Times New Roman" w:cs="Times New Roman"/>
          <w:sz w:val="24"/>
          <w:szCs w:val="24"/>
        </w:rPr>
        <w:t>The question of funding is central to technical and vocational education. The core of the educational dilemma in many nations, including Nigeria, is the funding of education. There doesn't seem to be any clear institutions or plans in place for funding education in Nigeria, and there is a persistent funding crisis. Considering the current economic revolution brought about by the rapid advancements in information and communication technology (ICT), it is imperative that any nation seeking to make a significant impact in the global arena have exceptionally high le</w:t>
      </w:r>
      <w:r w:rsidR="004A6466">
        <w:rPr>
          <w:rFonts w:ascii="Times New Roman" w:hAnsi="Times New Roman" w:cs="Times New Roman"/>
          <w:sz w:val="24"/>
          <w:szCs w:val="24"/>
        </w:rPr>
        <w:t>vels of educational achievement</w:t>
      </w:r>
      <w:r w:rsidR="00D70BC8">
        <w:rPr>
          <w:rFonts w:ascii="Times New Roman" w:hAnsi="Times New Roman" w:cs="Times New Roman"/>
          <w:sz w:val="24"/>
          <w:szCs w:val="24"/>
        </w:rPr>
        <w:t xml:space="preserve"> especially in technical and vocational education</w:t>
      </w:r>
      <w:r w:rsidR="00FE4A7D" w:rsidRPr="00D33FAA">
        <w:rPr>
          <w:rFonts w:ascii="Times New Roman" w:hAnsi="Times New Roman" w:cs="Times New Roman"/>
          <w:sz w:val="24"/>
          <w:szCs w:val="24"/>
        </w:rPr>
        <w:t xml:space="preserve">. </w:t>
      </w:r>
    </w:p>
    <w:p w14:paraId="76FF0457" w14:textId="77777777" w:rsidR="0021654F" w:rsidRDefault="00C8005C"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Financing of education has always been the priority of government in both developed and developing nations as noted by UNESCO (2022). However, with the changes in modern enterprise, the private sector has been key player in the financing of education (</w:t>
      </w:r>
      <w:proofErr w:type="spellStart"/>
      <w:r w:rsidRPr="00C8005C">
        <w:rPr>
          <w:rFonts w:ascii="Times New Roman" w:hAnsi="Times New Roman" w:cs="Times New Roman"/>
          <w:sz w:val="24"/>
          <w:szCs w:val="24"/>
        </w:rPr>
        <w:t>Afieroho</w:t>
      </w:r>
      <w:proofErr w:type="spellEnd"/>
      <w:r>
        <w:rPr>
          <w:rFonts w:ascii="Times New Roman" w:hAnsi="Times New Roman" w:cs="Times New Roman"/>
          <w:sz w:val="24"/>
          <w:szCs w:val="24"/>
        </w:rPr>
        <w:t xml:space="preserve">, 2022). According to UNESCO (2022), government education financing has to do with the allocation of public funds from taxes especially to support educational institutions and initiatives. In Nigeria, Julia and </w:t>
      </w:r>
      <w:r w:rsidR="0021654F">
        <w:rPr>
          <w:rFonts w:ascii="Times New Roman" w:hAnsi="Times New Roman" w:cs="Times New Roman"/>
          <w:sz w:val="24"/>
          <w:szCs w:val="24"/>
        </w:rPr>
        <w:t xml:space="preserve">Alex (2017) observed that the </w:t>
      </w:r>
      <w:r>
        <w:rPr>
          <w:rFonts w:ascii="Times New Roman" w:hAnsi="Times New Roman" w:cs="Times New Roman"/>
          <w:sz w:val="24"/>
          <w:szCs w:val="24"/>
        </w:rPr>
        <w:t xml:space="preserve">government adopts three main methods in financing education and they include </w:t>
      </w:r>
      <w:r w:rsidR="0021654F">
        <w:rPr>
          <w:rFonts w:ascii="Times New Roman" w:hAnsi="Times New Roman" w:cs="Times New Roman"/>
          <w:sz w:val="24"/>
          <w:szCs w:val="24"/>
        </w:rPr>
        <w:t xml:space="preserve">debts, grants and subsidy. The Central Bank of Nigeria (CBN, 2024) clarified government education expenditure by stating that they are of two types namely capital and recurrent expenditure. Capital expenditure on education involves money spent on education infrastructure i.e. tangible education assets like school buildings, technology, etc. Recurrent expenditure on education refers to </w:t>
      </w:r>
      <w:r w:rsidR="00DB33C3">
        <w:rPr>
          <w:rFonts w:ascii="Times New Roman" w:hAnsi="Times New Roman" w:cs="Times New Roman"/>
          <w:sz w:val="24"/>
          <w:szCs w:val="24"/>
        </w:rPr>
        <w:t xml:space="preserve">all government spending on operational costs of running school such as salaries, pensions, facility maintenance, debt servicing (CBN, 2024). </w:t>
      </w:r>
    </w:p>
    <w:p w14:paraId="30567C89" w14:textId="77777777" w:rsidR="000751C2" w:rsidRPr="00D33FAA" w:rsidRDefault="00DB33C3"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follow-up to government education expenditure is p</w:t>
      </w:r>
      <w:r w:rsidR="0021654F">
        <w:rPr>
          <w:rFonts w:ascii="Times New Roman" w:hAnsi="Times New Roman" w:cs="Times New Roman"/>
          <w:sz w:val="24"/>
          <w:szCs w:val="24"/>
        </w:rPr>
        <w:t>rivate sector financing of education</w:t>
      </w:r>
      <w:r>
        <w:rPr>
          <w:rFonts w:ascii="Times New Roman" w:hAnsi="Times New Roman" w:cs="Times New Roman"/>
          <w:sz w:val="24"/>
          <w:szCs w:val="24"/>
        </w:rPr>
        <w:t xml:space="preserve">. This is defined by </w:t>
      </w:r>
      <w:proofErr w:type="spellStart"/>
      <w:r w:rsidR="004C435D" w:rsidRPr="004C435D">
        <w:rPr>
          <w:rFonts w:ascii="Times New Roman" w:hAnsi="Times New Roman" w:cs="Times New Roman"/>
          <w:sz w:val="24"/>
          <w:szCs w:val="24"/>
        </w:rPr>
        <w:t>Adegbenjo</w:t>
      </w:r>
      <w:proofErr w:type="spellEnd"/>
      <w:r w:rsidR="004C435D">
        <w:rPr>
          <w:rFonts w:ascii="Times New Roman" w:hAnsi="Times New Roman" w:cs="Times New Roman"/>
          <w:sz w:val="24"/>
          <w:szCs w:val="24"/>
        </w:rPr>
        <w:t xml:space="preserve"> and </w:t>
      </w:r>
      <w:proofErr w:type="spellStart"/>
      <w:r w:rsidR="004C435D" w:rsidRPr="004C435D">
        <w:rPr>
          <w:rFonts w:ascii="Times New Roman" w:hAnsi="Times New Roman" w:cs="Times New Roman"/>
          <w:sz w:val="24"/>
          <w:szCs w:val="24"/>
        </w:rPr>
        <w:t>Olubato</w:t>
      </w:r>
      <w:proofErr w:type="spellEnd"/>
      <w:r w:rsidR="004C435D" w:rsidRPr="004C435D">
        <w:rPr>
          <w:rFonts w:ascii="Times New Roman" w:hAnsi="Times New Roman" w:cs="Times New Roman"/>
          <w:sz w:val="24"/>
          <w:szCs w:val="24"/>
        </w:rPr>
        <w:t xml:space="preserve"> (2021</w:t>
      </w:r>
      <w:r w:rsidR="004C435D">
        <w:rPr>
          <w:rFonts w:ascii="Times New Roman" w:hAnsi="Times New Roman" w:cs="Times New Roman"/>
          <w:sz w:val="24"/>
          <w:szCs w:val="24"/>
        </w:rPr>
        <w:t xml:space="preserve">) as the funding of education through sources that are not from the government such as churches, individuals, private organizations and corporations. </w:t>
      </w:r>
      <w:r w:rsidR="009473A8">
        <w:rPr>
          <w:rFonts w:ascii="Times New Roman" w:hAnsi="Times New Roman" w:cs="Times New Roman"/>
          <w:sz w:val="24"/>
          <w:szCs w:val="24"/>
        </w:rPr>
        <w:t>This can come in the form of fees, donations, endowments and even building and acquisition of schools. In Nigeria, private sector plays a supplementary role in education financing especially in technical and vocational education mostly at the tertiary education level (</w:t>
      </w:r>
      <w:proofErr w:type="spellStart"/>
      <w:r w:rsidR="009473A8">
        <w:rPr>
          <w:rFonts w:ascii="Times New Roman" w:hAnsi="Times New Roman" w:cs="Times New Roman"/>
          <w:sz w:val="24"/>
          <w:szCs w:val="24"/>
        </w:rPr>
        <w:t>Aturu</w:t>
      </w:r>
      <w:proofErr w:type="spellEnd"/>
      <w:r w:rsidR="009473A8">
        <w:rPr>
          <w:rFonts w:ascii="Times New Roman" w:hAnsi="Times New Roman" w:cs="Times New Roman"/>
          <w:sz w:val="24"/>
          <w:szCs w:val="24"/>
        </w:rPr>
        <w:t>, 2011). Data from the Central Bank of Nigeria (CBN, 2024) puts the percentage of education allocation for Nigeria in 2024 at 1.4% of total annual budget. Technical and vocational education receives far less than this percentage estimated at 0.2% whi</w:t>
      </w:r>
      <w:r w:rsidR="00725E17">
        <w:rPr>
          <w:rFonts w:ascii="Times New Roman" w:hAnsi="Times New Roman" w:cs="Times New Roman"/>
          <w:sz w:val="24"/>
          <w:szCs w:val="24"/>
        </w:rPr>
        <w:t xml:space="preserve">ch is a far cry from the ideal. </w:t>
      </w:r>
      <w:r w:rsidR="004A6466" w:rsidRPr="004A6466">
        <w:rPr>
          <w:rFonts w:ascii="Times New Roman" w:hAnsi="Times New Roman" w:cs="Times New Roman"/>
          <w:sz w:val="24"/>
          <w:szCs w:val="24"/>
        </w:rPr>
        <w:t xml:space="preserve">Recurrent education spending amounted to </w:t>
      </w:r>
      <w:r w:rsidR="008F1F2E" w:rsidRPr="008F1F2E">
        <w:rPr>
          <w:rFonts w:ascii="Times New Roman" w:hAnsi="Times New Roman" w:cs="Times New Roman"/>
          <w:dstrike/>
          <w:sz w:val="24"/>
          <w:szCs w:val="24"/>
        </w:rPr>
        <w:t>N</w:t>
      </w:r>
      <w:r w:rsidR="004A6466" w:rsidRPr="004A6466">
        <w:rPr>
          <w:rFonts w:ascii="Times New Roman" w:hAnsi="Times New Roman" w:cs="Times New Roman"/>
          <w:sz w:val="24"/>
          <w:szCs w:val="24"/>
        </w:rPr>
        <w:t>7</w:t>
      </w:r>
      <w:r w:rsidR="00AE32DC">
        <w:rPr>
          <w:rFonts w:ascii="Times New Roman" w:hAnsi="Times New Roman" w:cs="Times New Roman"/>
          <w:sz w:val="24"/>
          <w:szCs w:val="24"/>
        </w:rPr>
        <w:t>81</w:t>
      </w:r>
      <w:r w:rsidR="004A6466" w:rsidRPr="004A6466">
        <w:rPr>
          <w:rFonts w:ascii="Times New Roman" w:hAnsi="Times New Roman" w:cs="Times New Roman"/>
          <w:sz w:val="24"/>
          <w:szCs w:val="24"/>
        </w:rPr>
        <w:t xml:space="preserve"> billion by the end of 202</w:t>
      </w:r>
      <w:r w:rsidR="00AE32DC">
        <w:rPr>
          <w:rFonts w:ascii="Times New Roman" w:hAnsi="Times New Roman" w:cs="Times New Roman"/>
          <w:sz w:val="24"/>
          <w:szCs w:val="24"/>
        </w:rPr>
        <w:t>4</w:t>
      </w:r>
      <w:r w:rsidR="004A6466" w:rsidRPr="004A6466">
        <w:rPr>
          <w:rFonts w:ascii="Times New Roman" w:hAnsi="Times New Roman" w:cs="Times New Roman"/>
          <w:sz w:val="24"/>
          <w:szCs w:val="24"/>
        </w:rPr>
        <w:t xml:space="preserve">, while capital spending reached </w:t>
      </w:r>
      <w:r w:rsidR="008F1F2E" w:rsidRPr="008F1F2E">
        <w:rPr>
          <w:rFonts w:ascii="Times New Roman" w:hAnsi="Times New Roman" w:cs="Times New Roman"/>
          <w:dstrike/>
          <w:sz w:val="24"/>
          <w:szCs w:val="24"/>
        </w:rPr>
        <w:t>N</w:t>
      </w:r>
      <w:r w:rsidR="004A6466" w:rsidRPr="004A6466">
        <w:rPr>
          <w:rFonts w:ascii="Times New Roman" w:hAnsi="Times New Roman" w:cs="Times New Roman"/>
          <w:sz w:val="24"/>
          <w:szCs w:val="24"/>
        </w:rPr>
        <w:t>377 billion (CBN, 202</w:t>
      </w:r>
      <w:r w:rsidR="00AE32DC">
        <w:rPr>
          <w:rFonts w:ascii="Times New Roman" w:hAnsi="Times New Roman" w:cs="Times New Roman"/>
          <w:sz w:val="24"/>
          <w:szCs w:val="24"/>
        </w:rPr>
        <w:t>4</w:t>
      </w:r>
      <w:r w:rsidR="004A6466" w:rsidRPr="004A6466">
        <w:rPr>
          <w:rFonts w:ascii="Times New Roman" w:hAnsi="Times New Roman" w:cs="Times New Roman"/>
          <w:sz w:val="24"/>
          <w:szCs w:val="24"/>
        </w:rPr>
        <w:t xml:space="preserve">). The fact that government spending on education has consistently been less than </w:t>
      </w:r>
      <w:r w:rsidR="00AE32DC">
        <w:rPr>
          <w:rFonts w:ascii="Times New Roman" w:hAnsi="Times New Roman" w:cs="Times New Roman"/>
          <w:sz w:val="24"/>
          <w:szCs w:val="24"/>
        </w:rPr>
        <w:t>5</w:t>
      </w:r>
      <w:r w:rsidR="004A6466" w:rsidRPr="004A6466">
        <w:rPr>
          <w:rFonts w:ascii="Times New Roman" w:hAnsi="Times New Roman" w:cs="Times New Roman"/>
          <w:sz w:val="24"/>
          <w:szCs w:val="24"/>
        </w:rPr>
        <w:t>% of tota</w:t>
      </w:r>
      <w:r w:rsidR="004A6466">
        <w:rPr>
          <w:rFonts w:ascii="Times New Roman" w:hAnsi="Times New Roman" w:cs="Times New Roman"/>
          <w:sz w:val="24"/>
          <w:szCs w:val="24"/>
        </w:rPr>
        <w:t xml:space="preserve">l spending is quite concerning </w:t>
      </w:r>
      <w:r w:rsidR="00105C6A" w:rsidRPr="00D33FAA">
        <w:rPr>
          <w:rFonts w:ascii="Times New Roman" w:hAnsi="Times New Roman" w:cs="Times New Roman"/>
          <w:sz w:val="24"/>
          <w:szCs w:val="24"/>
        </w:rPr>
        <w:t xml:space="preserve">(CBN, 2022). </w:t>
      </w:r>
      <w:r w:rsidR="00725E17">
        <w:rPr>
          <w:rFonts w:ascii="Times New Roman" w:hAnsi="Times New Roman" w:cs="Times New Roman"/>
          <w:sz w:val="24"/>
          <w:szCs w:val="24"/>
        </w:rPr>
        <w:t xml:space="preserve">UNESCO (2000) suggested </w:t>
      </w:r>
      <w:r w:rsidR="004A6466" w:rsidRPr="004A6466">
        <w:rPr>
          <w:rFonts w:ascii="Times New Roman" w:hAnsi="Times New Roman" w:cs="Times New Roman"/>
          <w:sz w:val="24"/>
          <w:szCs w:val="24"/>
        </w:rPr>
        <w:t>that government</w:t>
      </w:r>
      <w:r w:rsidR="00725E17">
        <w:rPr>
          <w:rFonts w:ascii="Times New Roman" w:hAnsi="Times New Roman" w:cs="Times New Roman"/>
          <w:sz w:val="24"/>
          <w:szCs w:val="24"/>
        </w:rPr>
        <w:t>s should</w:t>
      </w:r>
      <w:r w:rsidR="004A6466" w:rsidRPr="004A6466">
        <w:rPr>
          <w:rFonts w:ascii="Times New Roman" w:hAnsi="Times New Roman" w:cs="Times New Roman"/>
          <w:sz w:val="24"/>
          <w:szCs w:val="24"/>
        </w:rPr>
        <w:t xml:space="preserve"> allocate between 15 and 20 percent of the entire yearly budget to education, with technical and vocational education being a crucial and essential component of this. This begs the question of how the private sector has supplemented </w:t>
      </w:r>
      <w:r w:rsidR="00AE32DC">
        <w:rPr>
          <w:rFonts w:ascii="Times New Roman" w:hAnsi="Times New Roman" w:cs="Times New Roman"/>
          <w:sz w:val="24"/>
          <w:szCs w:val="24"/>
        </w:rPr>
        <w:t>government</w:t>
      </w:r>
      <w:r w:rsidR="004A6466" w:rsidRPr="004A6466">
        <w:rPr>
          <w:rFonts w:ascii="Times New Roman" w:hAnsi="Times New Roman" w:cs="Times New Roman"/>
          <w:sz w:val="24"/>
          <w:szCs w:val="24"/>
        </w:rPr>
        <w:t xml:space="preserve"> efforts </w:t>
      </w:r>
      <w:r w:rsidR="00AE32DC">
        <w:rPr>
          <w:rFonts w:ascii="Times New Roman" w:hAnsi="Times New Roman" w:cs="Times New Roman"/>
          <w:sz w:val="24"/>
          <w:szCs w:val="24"/>
        </w:rPr>
        <w:t>in the</w:t>
      </w:r>
      <w:r w:rsidR="004A6466" w:rsidRPr="004A6466">
        <w:rPr>
          <w:rFonts w:ascii="Times New Roman" w:hAnsi="Times New Roman" w:cs="Times New Roman"/>
          <w:sz w:val="24"/>
          <w:szCs w:val="24"/>
        </w:rPr>
        <w:t xml:space="preserve"> </w:t>
      </w:r>
      <w:r w:rsidR="004A6466">
        <w:rPr>
          <w:rFonts w:ascii="Times New Roman" w:hAnsi="Times New Roman" w:cs="Times New Roman"/>
          <w:sz w:val="24"/>
          <w:szCs w:val="24"/>
        </w:rPr>
        <w:t>fund</w:t>
      </w:r>
      <w:r w:rsidR="00AE32DC">
        <w:rPr>
          <w:rFonts w:ascii="Times New Roman" w:hAnsi="Times New Roman" w:cs="Times New Roman"/>
          <w:sz w:val="24"/>
          <w:szCs w:val="24"/>
        </w:rPr>
        <w:t>ing of</w:t>
      </w:r>
      <w:r w:rsidR="004A6466">
        <w:rPr>
          <w:rFonts w:ascii="Times New Roman" w:hAnsi="Times New Roman" w:cs="Times New Roman"/>
          <w:sz w:val="24"/>
          <w:szCs w:val="24"/>
        </w:rPr>
        <w:t xml:space="preserve"> Nigeria's </w:t>
      </w:r>
      <w:r w:rsidR="008F1F2E">
        <w:rPr>
          <w:rFonts w:ascii="Times New Roman" w:hAnsi="Times New Roman" w:cs="Times New Roman"/>
          <w:sz w:val="24"/>
          <w:szCs w:val="24"/>
        </w:rPr>
        <w:t xml:space="preserve">technical </w:t>
      </w:r>
      <w:r w:rsidR="004A6466">
        <w:rPr>
          <w:rFonts w:ascii="Times New Roman" w:hAnsi="Times New Roman" w:cs="Times New Roman"/>
          <w:sz w:val="24"/>
          <w:szCs w:val="24"/>
        </w:rPr>
        <w:t>education system</w:t>
      </w:r>
      <w:r w:rsidR="00AE32DC">
        <w:rPr>
          <w:rFonts w:ascii="Times New Roman" w:hAnsi="Times New Roman" w:cs="Times New Roman"/>
          <w:sz w:val="24"/>
          <w:szCs w:val="24"/>
        </w:rPr>
        <w:t>.</w:t>
      </w:r>
    </w:p>
    <w:p w14:paraId="00F46239" w14:textId="77777777" w:rsidR="00650862" w:rsidRDefault="00725E17"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4B3BF6" w:rsidRPr="00D33FAA">
        <w:rPr>
          <w:rFonts w:ascii="Times New Roman" w:hAnsi="Times New Roman" w:cs="Times New Roman"/>
          <w:sz w:val="24"/>
          <w:szCs w:val="24"/>
        </w:rPr>
        <w:t xml:space="preserve">t is important to state </w:t>
      </w:r>
      <w:r>
        <w:rPr>
          <w:rFonts w:ascii="Times New Roman" w:hAnsi="Times New Roman" w:cs="Times New Roman"/>
          <w:sz w:val="24"/>
          <w:szCs w:val="24"/>
        </w:rPr>
        <w:t xml:space="preserve">here </w:t>
      </w:r>
      <w:r w:rsidR="004B3BF6" w:rsidRPr="00D33FAA">
        <w:rPr>
          <w:rFonts w:ascii="Times New Roman" w:hAnsi="Times New Roman" w:cs="Times New Roman"/>
          <w:sz w:val="24"/>
          <w:szCs w:val="24"/>
        </w:rPr>
        <w:t xml:space="preserve">that empirical evidence on how private sector expenditure on education has affected technical and vocational education enrolment remains under-researched in academic literature. </w:t>
      </w:r>
      <w:r w:rsidR="00D70BC8">
        <w:rPr>
          <w:rFonts w:ascii="Times New Roman" w:hAnsi="Times New Roman" w:cs="Times New Roman"/>
          <w:sz w:val="24"/>
          <w:szCs w:val="24"/>
        </w:rPr>
        <w:t>S</w:t>
      </w:r>
      <w:r w:rsidR="008F1F2E">
        <w:rPr>
          <w:rFonts w:ascii="Times New Roman" w:hAnsi="Times New Roman" w:cs="Times New Roman"/>
          <w:sz w:val="24"/>
          <w:szCs w:val="24"/>
        </w:rPr>
        <w:t xml:space="preserve">tudies such as </w:t>
      </w:r>
      <w:proofErr w:type="spellStart"/>
      <w:r w:rsidR="008F1F2E">
        <w:rPr>
          <w:rFonts w:ascii="Times New Roman" w:hAnsi="Times New Roman" w:cs="Times New Roman"/>
          <w:sz w:val="24"/>
          <w:szCs w:val="24"/>
        </w:rPr>
        <w:t>Afieroho</w:t>
      </w:r>
      <w:proofErr w:type="spellEnd"/>
      <w:r w:rsidR="008F1F2E">
        <w:rPr>
          <w:rFonts w:ascii="Times New Roman" w:hAnsi="Times New Roman" w:cs="Times New Roman"/>
          <w:sz w:val="24"/>
          <w:szCs w:val="24"/>
        </w:rPr>
        <w:t xml:space="preserve"> (2022), </w:t>
      </w:r>
      <w:r w:rsidR="008F1F2E" w:rsidRPr="00672994">
        <w:rPr>
          <w:rFonts w:ascii="Times New Roman" w:hAnsi="Times New Roman" w:cs="Times New Roman"/>
          <w:sz w:val="24"/>
          <w:szCs w:val="24"/>
        </w:rPr>
        <w:t>Babalola</w:t>
      </w:r>
      <w:r w:rsidR="008F1F2E" w:rsidRPr="00D33FAA">
        <w:rPr>
          <w:rFonts w:ascii="Times New Roman" w:hAnsi="Times New Roman" w:cs="Times New Roman"/>
          <w:sz w:val="24"/>
          <w:szCs w:val="24"/>
        </w:rPr>
        <w:t xml:space="preserve"> </w:t>
      </w:r>
      <w:r w:rsidR="008F1F2E">
        <w:rPr>
          <w:rFonts w:ascii="Times New Roman" w:hAnsi="Times New Roman" w:cs="Times New Roman"/>
          <w:sz w:val="24"/>
          <w:szCs w:val="24"/>
        </w:rPr>
        <w:t xml:space="preserve">et al (2020), </w:t>
      </w:r>
      <w:r w:rsidR="008F1F2E" w:rsidRPr="00672994">
        <w:rPr>
          <w:rFonts w:ascii="Times New Roman" w:hAnsi="Times New Roman" w:cs="Times New Roman"/>
          <w:sz w:val="24"/>
          <w:szCs w:val="24"/>
        </w:rPr>
        <w:t>Nwachukwu</w:t>
      </w:r>
      <w:r w:rsidR="008F1F2E" w:rsidRPr="00D33FAA">
        <w:rPr>
          <w:rFonts w:ascii="Times New Roman" w:hAnsi="Times New Roman" w:cs="Times New Roman"/>
          <w:sz w:val="24"/>
          <w:szCs w:val="24"/>
        </w:rPr>
        <w:t xml:space="preserve"> </w:t>
      </w:r>
      <w:r w:rsidR="008F1F2E">
        <w:rPr>
          <w:rFonts w:ascii="Times New Roman" w:hAnsi="Times New Roman" w:cs="Times New Roman"/>
          <w:sz w:val="24"/>
          <w:szCs w:val="24"/>
        </w:rPr>
        <w:t>(2014), focused on private sector and how it has developed Nigerian education sector in general, little research have been carried out on private sector financing and its effect on technical and vocational education development in Nigeria. The few</w:t>
      </w:r>
      <w:r w:rsidR="004B3BF6" w:rsidRPr="00D33FAA">
        <w:rPr>
          <w:rFonts w:ascii="Times New Roman" w:hAnsi="Times New Roman" w:cs="Times New Roman"/>
          <w:sz w:val="24"/>
          <w:szCs w:val="24"/>
        </w:rPr>
        <w:t xml:space="preserve"> studies on funding of technical and vocational education have focused mainly on </w:t>
      </w:r>
      <w:r w:rsidR="004902C1">
        <w:rPr>
          <w:rFonts w:ascii="Times New Roman" w:hAnsi="Times New Roman" w:cs="Times New Roman"/>
          <w:sz w:val="24"/>
          <w:szCs w:val="24"/>
        </w:rPr>
        <w:t>redesigning technical education (</w:t>
      </w:r>
      <w:proofErr w:type="spellStart"/>
      <w:r w:rsidR="004902C1" w:rsidRPr="004902C1">
        <w:rPr>
          <w:rFonts w:ascii="Times New Roman" w:hAnsi="Times New Roman" w:cs="Times New Roman"/>
          <w:sz w:val="24"/>
          <w:szCs w:val="24"/>
        </w:rPr>
        <w:t>Muogahlu</w:t>
      </w:r>
      <w:proofErr w:type="spellEnd"/>
      <w:r w:rsidR="004902C1">
        <w:rPr>
          <w:rFonts w:ascii="Times New Roman" w:hAnsi="Times New Roman" w:cs="Times New Roman"/>
          <w:sz w:val="24"/>
          <w:szCs w:val="24"/>
        </w:rPr>
        <w:t xml:space="preserve"> and </w:t>
      </w:r>
      <w:r w:rsidR="004902C1" w:rsidRPr="004902C1">
        <w:rPr>
          <w:rFonts w:ascii="Times New Roman" w:hAnsi="Times New Roman" w:cs="Times New Roman"/>
          <w:sz w:val="24"/>
          <w:szCs w:val="24"/>
        </w:rPr>
        <w:t>Bin-Ahmad</w:t>
      </w:r>
      <w:r w:rsidR="004902C1">
        <w:rPr>
          <w:rFonts w:ascii="Times New Roman" w:hAnsi="Times New Roman" w:cs="Times New Roman"/>
          <w:sz w:val="24"/>
          <w:szCs w:val="24"/>
        </w:rPr>
        <w:t>, 2023), issues and challenges of technical education (</w:t>
      </w:r>
      <w:r w:rsidR="004902C1" w:rsidRPr="004902C1">
        <w:rPr>
          <w:rFonts w:ascii="Times New Roman" w:hAnsi="Times New Roman" w:cs="Times New Roman"/>
          <w:sz w:val="24"/>
          <w:szCs w:val="24"/>
        </w:rPr>
        <w:t>Okoye</w:t>
      </w:r>
      <w:r w:rsidR="004902C1">
        <w:rPr>
          <w:rFonts w:ascii="Times New Roman" w:hAnsi="Times New Roman" w:cs="Times New Roman"/>
          <w:sz w:val="24"/>
          <w:szCs w:val="24"/>
        </w:rPr>
        <w:t xml:space="preserve"> and</w:t>
      </w:r>
      <w:r w:rsidR="004902C1" w:rsidRPr="004902C1">
        <w:rPr>
          <w:rFonts w:ascii="Times New Roman" w:hAnsi="Times New Roman" w:cs="Times New Roman"/>
          <w:sz w:val="24"/>
          <w:szCs w:val="24"/>
        </w:rPr>
        <w:t xml:space="preserve"> </w:t>
      </w:r>
      <w:proofErr w:type="spellStart"/>
      <w:r w:rsidR="004902C1" w:rsidRPr="004902C1">
        <w:rPr>
          <w:rFonts w:ascii="Times New Roman" w:hAnsi="Times New Roman" w:cs="Times New Roman"/>
          <w:sz w:val="24"/>
          <w:szCs w:val="24"/>
        </w:rPr>
        <w:t>Arimonu</w:t>
      </w:r>
      <w:proofErr w:type="spellEnd"/>
      <w:r w:rsidR="004902C1">
        <w:rPr>
          <w:rFonts w:ascii="Times New Roman" w:hAnsi="Times New Roman" w:cs="Times New Roman"/>
          <w:sz w:val="24"/>
          <w:szCs w:val="24"/>
        </w:rPr>
        <w:t>, 2020), public-private partnership for technical education development (</w:t>
      </w:r>
      <w:proofErr w:type="spellStart"/>
      <w:r w:rsidR="004902C1">
        <w:rPr>
          <w:rFonts w:ascii="Times New Roman" w:hAnsi="Times New Roman" w:cs="Times New Roman"/>
          <w:sz w:val="24"/>
          <w:szCs w:val="24"/>
        </w:rPr>
        <w:t>Okpor</w:t>
      </w:r>
      <w:proofErr w:type="spellEnd"/>
      <w:r w:rsidR="004902C1">
        <w:rPr>
          <w:rFonts w:ascii="Times New Roman" w:hAnsi="Times New Roman" w:cs="Times New Roman"/>
          <w:sz w:val="24"/>
          <w:szCs w:val="24"/>
        </w:rPr>
        <w:t xml:space="preserve"> and Hassan, 2021), etc. Notably, most of these studies adopted the </w:t>
      </w:r>
      <w:r w:rsidR="004B3BF6" w:rsidRPr="00D33FAA">
        <w:rPr>
          <w:rFonts w:ascii="Times New Roman" w:hAnsi="Times New Roman" w:cs="Times New Roman"/>
          <w:sz w:val="24"/>
          <w:szCs w:val="24"/>
        </w:rPr>
        <w:t xml:space="preserve">discussion approach with very little or non-existent statistical and </w:t>
      </w:r>
      <w:r w:rsidR="004902C1">
        <w:rPr>
          <w:rFonts w:ascii="Times New Roman" w:hAnsi="Times New Roman" w:cs="Times New Roman"/>
          <w:sz w:val="24"/>
          <w:szCs w:val="24"/>
        </w:rPr>
        <w:t xml:space="preserve">empirical evidence to back-up their various conclusions </w:t>
      </w:r>
      <w:r w:rsidR="004B3BF6" w:rsidRPr="00D33FAA">
        <w:rPr>
          <w:rFonts w:ascii="Times New Roman" w:hAnsi="Times New Roman" w:cs="Times New Roman"/>
          <w:sz w:val="24"/>
          <w:szCs w:val="24"/>
        </w:rPr>
        <w:t xml:space="preserve">(Nwachukwu, 2014; Yusuf and </w:t>
      </w:r>
      <w:proofErr w:type="spellStart"/>
      <w:r w:rsidR="004B3BF6" w:rsidRPr="00D33FAA">
        <w:rPr>
          <w:rFonts w:ascii="Times New Roman" w:hAnsi="Times New Roman" w:cs="Times New Roman"/>
          <w:sz w:val="24"/>
          <w:szCs w:val="24"/>
        </w:rPr>
        <w:t>Soyemi</w:t>
      </w:r>
      <w:proofErr w:type="spellEnd"/>
      <w:r w:rsidR="004B3BF6" w:rsidRPr="00D33FAA">
        <w:rPr>
          <w:rFonts w:ascii="Times New Roman" w:hAnsi="Times New Roman" w:cs="Times New Roman"/>
          <w:sz w:val="24"/>
          <w:szCs w:val="24"/>
        </w:rPr>
        <w:t xml:space="preserve">, 2021; </w:t>
      </w:r>
      <w:proofErr w:type="spellStart"/>
      <w:r w:rsidR="004B3BF6" w:rsidRPr="00D33FAA">
        <w:rPr>
          <w:rFonts w:ascii="Times New Roman" w:hAnsi="Times New Roman" w:cs="Times New Roman"/>
          <w:sz w:val="24"/>
          <w:szCs w:val="24"/>
        </w:rPr>
        <w:t>Amadi</w:t>
      </w:r>
      <w:proofErr w:type="spellEnd"/>
      <w:r w:rsidR="004B3BF6" w:rsidRPr="00D33FAA">
        <w:rPr>
          <w:rFonts w:ascii="Times New Roman" w:hAnsi="Times New Roman" w:cs="Times New Roman"/>
          <w:sz w:val="24"/>
          <w:szCs w:val="24"/>
        </w:rPr>
        <w:t xml:space="preserve"> and </w:t>
      </w:r>
      <w:proofErr w:type="spellStart"/>
      <w:r w:rsidR="004B3BF6" w:rsidRPr="00D33FAA">
        <w:rPr>
          <w:rFonts w:ascii="Times New Roman" w:hAnsi="Times New Roman" w:cs="Times New Roman"/>
          <w:sz w:val="24"/>
          <w:szCs w:val="24"/>
        </w:rPr>
        <w:t>JohnWest</w:t>
      </w:r>
      <w:proofErr w:type="spellEnd"/>
      <w:r w:rsidR="004B3BF6" w:rsidRPr="00D33FAA">
        <w:rPr>
          <w:rFonts w:ascii="Times New Roman" w:hAnsi="Times New Roman" w:cs="Times New Roman"/>
          <w:sz w:val="24"/>
          <w:szCs w:val="24"/>
        </w:rPr>
        <w:t xml:space="preserve">, 2016; </w:t>
      </w:r>
      <w:proofErr w:type="spellStart"/>
      <w:r w:rsidR="004B3BF6" w:rsidRPr="00D33FAA">
        <w:rPr>
          <w:rFonts w:ascii="Times New Roman" w:hAnsi="Times New Roman" w:cs="Times New Roman"/>
          <w:sz w:val="24"/>
          <w:szCs w:val="24"/>
        </w:rPr>
        <w:t>Okpor</w:t>
      </w:r>
      <w:proofErr w:type="spellEnd"/>
      <w:r w:rsidR="004B3BF6" w:rsidRPr="00D33FAA">
        <w:rPr>
          <w:rFonts w:ascii="Times New Roman" w:hAnsi="Times New Roman" w:cs="Times New Roman"/>
          <w:sz w:val="24"/>
          <w:szCs w:val="24"/>
        </w:rPr>
        <w:t xml:space="preserve"> and Hassan, 2021; etc.). </w:t>
      </w:r>
      <w:r w:rsidR="006A3734" w:rsidRPr="00D33FAA">
        <w:rPr>
          <w:rFonts w:ascii="Times New Roman" w:hAnsi="Times New Roman" w:cs="Times New Roman"/>
          <w:sz w:val="24"/>
          <w:szCs w:val="24"/>
        </w:rPr>
        <w:t xml:space="preserve">This poses a </w:t>
      </w:r>
      <w:r w:rsidR="004902C1">
        <w:rPr>
          <w:rFonts w:ascii="Times New Roman" w:hAnsi="Times New Roman" w:cs="Times New Roman"/>
          <w:sz w:val="24"/>
          <w:szCs w:val="24"/>
        </w:rPr>
        <w:t xml:space="preserve">lingering </w:t>
      </w:r>
      <w:r w:rsidR="004902C1" w:rsidRPr="00D33FAA">
        <w:rPr>
          <w:rFonts w:ascii="Times New Roman" w:hAnsi="Times New Roman" w:cs="Times New Roman"/>
          <w:sz w:val="24"/>
          <w:szCs w:val="24"/>
        </w:rPr>
        <w:t xml:space="preserve">research </w:t>
      </w:r>
      <w:r w:rsidR="006A3734" w:rsidRPr="00D33FAA">
        <w:rPr>
          <w:rFonts w:ascii="Times New Roman" w:hAnsi="Times New Roman" w:cs="Times New Roman"/>
          <w:sz w:val="24"/>
          <w:szCs w:val="24"/>
        </w:rPr>
        <w:t xml:space="preserve">problem in </w:t>
      </w:r>
      <w:r w:rsidR="004902C1">
        <w:rPr>
          <w:rFonts w:ascii="Times New Roman" w:hAnsi="Times New Roman" w:cs="Times New Roman"/>
          <w:sz w:val="24"/>
          <w:szCs w:val="24"/>
        </w:rPr>
        <w:t>this area of study especially as Nigeria tries to increase TVET education development. Thus,</w:t>
      </w:r>
      <w:r w:rsidR="006A3734" w:rsidRPr="00D33FAA">
        <w:rPr>
          <w:rFonts w:ascii="Times New Roman" w:hAnsi="Times New Roman" w:cs="Times New Roman"/>
          <w:sz w:val="24"/>
          <w:szCs w:val="24"/>
        </w:rPr>
        <w:t xml:space="preserve"> a balanced analysis </w:t>
      </w:r>
      <w:r w:rsidR="004902C1">
        <w:rPr>
          <w:rFonts w:ascii="Times New Roman" w:hAnsi="Times New Roman" w:cs="Times New Roman"/>
          <w:sz w:val="24"/>
          <w:szCs w:val="24"/>
        </w:rPr>
        <w:t xml:space="preserve">using time series data </w:t>
      </w:r>
      <w:r w:rsidR="006A3734" w:rsidRPr="00D33FAA">
        <w:rPr>
          <w:rFonts w:ascii="Times New Roman" w:hAnsi="Times New Roman" w:cs="Times New Roman"/>
          <w:sz w:val="24"/>
          <w:szCs w:val="24"/>
        </w:rPr>
        <w:t xml:space="preserve">goes a very long way towards </w:t>
      </w:r>
      <w:r w:rsidR="004902C1">
        <w:rPr>
          <w:rFonts w:ascii="Times New Roman" w:hAnsi="Times New Roman" w:cs="Times New Roman"/>
          <w:sz w:val="24"/>
          <w:szCs w:val="24"/>
        </w:rPr>
        <w:t>identifying the existing trend so as to make predictive forecast on ways of improving TVET education in Nigeria.</w:t>
      </w:r>
    </w:p>
    <w:p w14:paraId="3A68DF00" w14:textId="77777777" w:rsidR="00FE4A7D" w:rsidRPr="00D33FAA" w:rsidRDefault="00606C04"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6A3734" w:rsidRPr="00D33FAA">
        <w:rPr>
          <w:rFonts w:ascii="Times New Roman" w:hAnsi="Times New Roman" w:cs="Times New Roman"/>
          <w:sz w:val="24"/>
          <w:szCs w:val="24"/>
        </w:rPr>
        <w:t xml:space="preserve">his study has the main objective of analyzing </w:t>
      </w:r>
      <w:r w:rsidR="00D70BC8">
        <w:rPr>
          <w:rFonts w:ascii="Times New Roman" w:hAnsi="Times New Roman" w:cs="Times New Roman"/>
          <w:sz w:val="24"/>
          <w:szCs w:val="24"/>
        </w:rPr>
        <w:t>how p</w:t>
      </w:r>
      <w:r w:rsidR="00D70BC8" w:rsidRPr="00D70BC8">
        <w:rPr>
          <w:rFonts w:ascii="Times New Roman" w:hAnsi="Times New Roman" w:cs="Times New Roman"/>
          <w:sz w:val="24"/>
          <w:szCs w:val="24"/>
        </w:rPr>
        <w:t xml:space="preserve">rivate sector financing of education and government capital and recurrent education expenditure </w:t>
      </w:r>
      <w:r w:rsidR="00D70BC8">
        <w:rPr>
          <w:rFonts w:ascii="Times New Roman" w:hAnsi="Times New Roman" w:cs="Times New Roman"/>
          <w:sz w:val="24"/>
          <w:szCs w:val="24"/>
        </w:rPr>
        <w:t>affect</w:t>
      </w:r>
      <w:r w:rsidR="00D70BC8" w:rsidRPr="00D70BC8">
        <w:rPr>
          <w:rFonts w:ascii="Times New Roman" w:hAnsi="Times New Roman" w:cs="Times New Roman"/>
          <w:sz w:val="24"/>
          <w:szCs w:val="24"/>
        </w:rPr>
        <w:t xml:space="preserve"> technical and vocational education enrolment rate in Nigeria</w:t>
      </w:r>
      <w:r w:rsidR="006A3734" w:rsidRPr="00D33FAA">
        <w:rPr>
          <w:rFonts w:ascii="Times New Roman" w:hAnsi="Times New Roman" w:cs="Times New Roman"/>
          <w:sz w:val="24"/>
          <w:szCs w:val="24"/>
        </w:rPr>
        <w:t>. Specifically, the study aims to:</w:t>
      </w:r>
    </w:p>
    <w:p w14:paraId="643FE8FA" w14:textId="77777777" w:rsidR="00606C04" w:rsidRPr="002C18E7" w:rsidRDefault="006A3734"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2C18E7">
        <w:rPr>
          <w:rFonts w:ascii="Times New Roman" w:hAnsi="Times New Roman" w:cs="Times New Roman"/>
          <w:sz w:val="24"/>
          <w:szCs w:val="24"/>
        </w:rPr>
        <w:t xml:space="preserve">Determine the </w:t>
      </w:r>
      <w:r w:rsidR="00606C04" w:rsidRPr="002C18E7">
        <w:rPr>
          <w:rFonts w:ascii="Times New Roman" w:hAnsi="Times New Roman" w:cs="Times New Roman"/>
          <w:sz w:val="24"/>
          <w:szCs w:val="24"/>
        </w:rPr>
        <w:t xml:space="preserve">effect of private sector financing on technical and vocational education </w:t>
      </w:r>
      <w:r w:rsidR="00A94880">
        <w:rPr>
          <w:rFonts w:ascii="Times New Roman" w:hAnsi="Times New Roman" w:cs="Times New Roman"/>
          <w:sz w:val="24"/>
          <w:szCs w:val="24"/>
        </w:rPr>
        <w:t>development</w:t>
      </w:r>
      <w:r w:rsidR="00A94880" w:rsidRPr="002C18E7">
        <w:rPr>
          <w:rFonts w:ascii="Times New Roman" w:hAnsi="Times New Roman" w:cs="Times New Roman"/>
          <w:sz w:val="24"/>
          <w:szCs w:val="24"/>
        </w:rPr>
        <w:t xml:space="preserve"> </w:t>
      </w:r>
      <w:r w:rsidR="00606C04" w:rsidRPr="002C18E7">
        <w:rPr>
          <w:rFonts w:ascii="Times New Roman" w:hAnsi="Times New Roman" w:cs="Times New Roman"/>
          <w:sz w:val="24"/>
          <w:szCs w:val="24"/>
        </w:rPr>
        <w:t>in Nigeria;</w:t>
      </w:r>
      <w:r w:rsidR="00A94880">
        <w:rPr>
          <w:rFonts w:ascii="Times New Roman" w:hAnsi="Times New Roman" w:cs="Times New Roman"/>
          <w:sz w:val="24"/>
          <w:szCs w:val="24"/>
        </w:rPr>
        <w:t xml:space="preserve"> </w:t>
      </w:r>
    </w:p>
    <w:p w14:paraId="02D9AC4B" w14:textId="77777777" w:rsidR="006A3734" w:rsidRDefault="00606C04"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2C18E7">
        <w:rPr>
          <w:rFonts w:ascii="Times New Roman" w:hAnsi="Times New Roman" w:cs="Times New Roman"/>
          <w:sz w:val="24"/>
          <w:szCs w:val="24"/>
        </w:rPr>
        <w:t xml:space="preserve">Analyze </w:t>
      </w:r>
      <w:r w:rsidR="00A94880">
        <w:rPr>
          <w:rFonts w:ascii="Times New Roman" w:hAnsi="Times New Roman" w:cs="Times New Roman"/>
          <w:sz w:val="24"/>
          <w:szCs w:val="24"/>
        </w:rPr>
        <w:t>the intervening effect of</w:t>
      </w:r>
      <w:r w:rsidRPr="002C18E7">
        <w:rPr>
          <w:rFonts w:ascii="Times New Roman" w:hAnsi="Times New Roman" w:cs="Times New Roman"/>
          <w:sz w:val="24"/>
          <w:szCs w:val="24"/>
        </w:rPr>
        <w:t xml:space="preserve"> government </w:t>
      </w:r>
      <w:r w:rsidR="00546E0D">
        <w:rPr>
          <w:rFonts w:ascii="Times New Roman" w:hAnsi="Times New Roman" w:cs="Times New Roman"/>
          <w:sz w:val="24"/>
          <w:szCs w:val="24"/>
        </w:rPr>
        <w:t xml:space="preserve">capital </w:t>
      </w:r>
      <w:r w:rsidR="00546E0D" w:rsidRPr="002C18E7">
        <w:rPr>
          <w:rFonts w:ascii="Times New Roman" w:hAnsi="Times New Roman" w:cs="Times New Roman"/>
          <w:sz w:val="24"/>
          <w:szCs w:val="24"/>
        </w:rPr>
        <w:t xml:space="preserve">expenditure </w:t>
      </w:r>
      <w:r w:rsidR="00546E0D">
        <w:rPr>
          <w:rFonts w:ascii="Times New Roman" w:hAnsi="Times New Roman" w:cs="Times New Roman"/>
          <w:sz w:val="24"/>
          <w:szCs w:val="24"/>
        </w:rPr>
        <w:t xml:space="preserve">on </w:t>
      </w:r>
      <w:r w:rsidR="00A94880" w:rsidRPr="002C18E7">
        <w:rPr>
          <w:rFonts w:ascii="Times New Roman" w:hAnsi="Times New Roman" w:cs="Times New Roman"/>
          <w:sz w:val="24"/>
          <w:szCs w:val="24"/>
        </w:rPr>
        <w:t xml:space="preserve">education </w:t>
      </w:r>
      <w:r w:rsidRPr="002C18E7">
        <w:rPr>
          <w:rFonts w:ascii="Times New Roman" w:hAnsi="Times New Roman" w:cs="Times New Roman"/>
          <w:sz w:val="24"/>
          <w:szCs w:val="24"/>
        </w:rPr>
        <w:t xml:space="preserve">on technical and vocational education </w:t>
      </w:r>
      <w:r w:rsidR="00A94880">
        <w:rPr>
          <w:rFonts w:ascii="Times New Roman" w:hAnsi="Times New Roman" w:cs="Times New Roman"/>
          <w:sz w:val="24"/>
          <w:szCs w:val="24"/>
        </w:rPr>
        <w:t>development</w:t>
      </w:r>
      <w:r w:rsidRPr="002C18E7">
        <w:rPr>
          <w:rFonts w:ascii="Times New Roman" w:hAnsi="Times New Roman" w:cs="Times New Roman"/>
          <w:sz w:val="24"/>
          <w:szCs w:val="24"/>
        </w:rPr>
        <w:t xml:space="preserve"> in Nigeria;</w:t>
      </w:r>
    </w:p>
    <w:p w14:paraId="73B37B2E" w14:textId="77777777" w:rsidR="00546E0D" w:rsidRPr="002C18E7" w:rsidRDefault="00546E0D" w:rsidP="0058204C">
      <w:pPr>
        <w:pStyle w:val="ListParagraph"/>
        <w:numPr>
          <w:ilvl w:val="0"/>
          <w:numId w:val="1"/>
        </w:numPr>
        <w:spacing w:after="0" w:line="360" w:lineRule="auto"/>
        <w:contextualSpacing w:val="0"/>
        <w:jc w:val="both"/>
        <w:rPr>
          <w:rFonts w:ascii="Times New Roman" w:hAnsi="Times New Roman" w:cs="Times New Roman"/>
          <w:sz w:val="24"/>
          <w:szCs w:val="24"/>
        </w:rPr>
      </w:pPr>
      <w:r w:rsidRPr="002C18E7">
        <w:rPr>
          <w:rFonts w:ascii="Times New Roman" w:hAnsi="Times New Roman" w:cs="Times New Roman"/>
          <w:sz w:val="24"/>
          <w:szCs w:val="24"/>
        </w:rPr>
        <w:t xml:space="preserve">Analyze </w:t>
      </w:r>
      <w:r>
        <w:rPr>
          <w:rFonts w:ascii="Times New Roman" w:hAnsi="Times New Roman" w:cs="Times New Roman"/>
          <w:sz w:val="24"/>
          <w:szCs w:val="24"/>
        </w:rPr>
        <w:t>the intervening effect of</w:t>
      </w:r>
      <w:r w:rsidRPr="002C18E7">
        <w:rPr>
          <w:rFonts w:ascii="Times New Roman" w:hAnsi="Times New Roman" w:cs="Times New Roman"/>
          <w:sz w:val="24"/>
          <w:szCs w:val="24"/>
        </w:rPr>
        <w:t xml:space="preserve"> government </w:t>
      </w:r>
      <w:r>
        <w:rPr>
          <w:rFonts w:ascii="Times New Roman" w:hAnsi="Times New Roman" w:cs="Times New Roman"/>
          <w:sz w:val="24"/>
          <w:szCs w:val="24"/>
        </w:rPr>
        <w:t xml:space="preserve">recurrent education </w:t>
      </w:r>
      <w:r w:rsidRPr="002C18E7">
        <w:rPr>
          <w:rFonts w:ascii="Times New Roman" w:hAnsi="Times New Roman" w:cs="Times New Roman"/>
          <w:sz w:val="24"/>
          <w:szCs w:val="24"/>
        </w:rPr>
        <w:t xml:space="preserve">expenditure on technical and vocational education </w:t>
      </w:r>
      <w:r>
        <w:rPr>
          <w:rFonts w:ascii="Times New Roman" w:hAnsi="Times New Roman" w:cs="Times New Roman"/>
          <w:sz w:val="24"/>
          <w:szCs w:val="24"/>
        </w:rPr>
        <w:t>development</w:t>
      </w:r>
      <w:r w:rsidRPr="002C18E7">
        <w:rPr>
          <w:rFonts w:ascii="Times New Roman" w:hAnsi="Times New Roman" w:cs="Times New Roman"/>
          <w:sz w:val="24"/>
          <w:szCs w:val="24"/>
        </w:rPr>
        <w:t xml:space="preserve"> in Nigeria</w:t>
      </w:r>
      <w:r w:rsidR="00AE6685">
        <w:rPr>
          <w:rFonts w:ascii="Times New Roman" w:hAnsi="Times New Roman" w:cs="Times New Roman"/>
          <w:sz w:val="24"/>
          <w:szCs w:val="24"/>
        </w:rPr>
        <w:t>.</w:t>
      </w:r>
    </w:p>
    <w:p w14:paraId="47898DEC" w14:textId="77777777" w:rsidR="0089682E" w:rsidRDefault="00D70BC8"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AE6685">
        <w:rPr>
          <w:rFonts w:ascii="Times New Roman" w:hAnsi="Times New Roman" w:cs="Times New Roman"/>
          <w:sz w:val="24"/>
          <w:szCs w:val="24"/>
        </w:rPr>
        <w:t>hree</w:t>
      </w:r>
      <w:r w:rsidR="0089682E">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0089682E">
        <w:rPr>
          <w:rFonts w:ascii="Times New Roman" w:hAnsi="Times New Roman" w:cs="Times New Roman"/>
          <w:sz w:val="24"/>
          <w:szCs w:val="24"/>
        </w:rPr>
        <w:t xml:space="preserve">hypotheses are formulated for the research. These are stated in their null forms </w:t>
      </w:r>
      <w:r>
        <w:rPr>
          <w:rFonts w:ascii="Times New Roman" w:hAnsi="Times New Roman" w:cs="Times New Roman"/>
          <w:sz w:val="24"/>
          <w:szCs w:val="24"/>
        </w:rPr>
        <w:t>as follows</w:t>
      </w:r>
      <w:r w:rsidR="0089682E">
        <w:rPr>
          <w:rFonts w:ascii="Times New Roman" w:hAnsi="Times New Roman" w:cs="Times New Roman"/>
          <w:sz w:val="24"/>
          <w:szCs w:val="24"/>
        </w:rPr>
        <w:t>:</w:t>
      </w:r>
    </w:p>
    <w:p w14:paraId="03166B08" w14:textId="77777777" w:rsidR="0089682E" w:rsidRPr="0089682E" w:rsidRDefault="0089682E" w:rsidP="0058204C">
      <w:pPr>
        <w:spacing w:after="0" w:line="360" w:lineRule="auto"/>
        <w:ind w:left="720" w:hanging="720"/>
        <w:jc w:val="both"/>
        <w:rPr>
          <w:rFonts w:ascii="Times New Roman" w:hAnsi="Times New Roman" w:cs="Times New Roman"/>
          <w:sz w:val="24"/>
          <w:szCs w:val="24"/>
        </w:rPr>
      </w:pPr>
      <w:r w:rsidRPr="0089682E">
        <w:rPr>
          <w:rFonts w:ascii="Times New Roman" w:hAnsi="Times New Roman" w:cs="Times New Roman"/>
          <w:sz w:val="24"/>
          <w:szCs w:val="24"/>
        </w:rPr>
        <w:t>H</w:t>
      </w:r>
      <w:r w:rsidRPr="0089682E">
        <w:rPr>
          <w:rFonts w:ascii="Times New Roman" w:hAnsi="Times New Roman" w:cs="Times New Roman"/>
          <w:sz w:val="24"/>
          <w:szCs w:val="24"/>
          <w:vertAlign w:val="subscript"/>
        </w:rPr>
        <w:t>01</w:t>
      </w:r>
      <w:r w:rsidRPr="0089682E">
        <w:rPr>
          <w:rFonts w:ascii="Times New Roman" w:hAnsi="Times New Roman" w:cs="Times New Roman"/>
          <w:sz w:val="24"/>
          <w:szCs w:val="24"/>
        </w:rPr>
        <w:t xml:space="preserve">: </w:t>
      </w:r>
      <w:r>
        <w:rPr>
          <w:rFonts w:ascii="Times New Roman" w:hAnsi="Times New Roman" w:cs="Times New Roman"/>
          <w:sz w:val="24"/>
          <w:szCs w:val="24"/>
        </w:rPr>
        <w:tab/>
        <w:t xml:space="preserve">There is no significant effect </w:t>
      </w:r>
      <w:r w:rsidRPr="0089682E">
        <w:rPr>
          <w:rFonts w:ascii="Times New Roman" w:hAnsi="Times New Roman" w:cs="Times New Roman"/>
          <w:sz w:val="24"/>
          <w:szCs w:val="24"/>
        </w:rPr>
        <w:t xml:space="preserve">of private sector financing on technical and vocational education development </w:t>
      </w:r>
      <w:r>
        <w:rPr>
          <w:rFonts w:ascii="Times New Roman" w:hAnsi="Times New Roman" w:cs="Times New Roman"/>
          <w:sz w:val="24"/>
          <w:szCs w:val="24"/>
        </w:rPr>
        <w:t>in Nigeria.</w:t>
      </w:r>
    </w:p>
    <w:p w14:paraId="0E14D2A6" w14:textId="77777777" w:rsidR="0089682E" w:rsidRDefault="0089682E" w:rsidP="0058204C">
      <w:pPr>
        <w:spacing w:after="0" w:line="360" w:lineRule="auto"/>
        <w:ind w:left="720" w:hanging="720"/>
        <w:jc w:val="both"/>
        <w:rPr>
          <w:rFonts w:ascii="Times New Roman" w:hAnsi="Times New Roman" w:cs="Times New Roman"/>
          <w:sz w:val="24"/>
          <w:szCs w:val="24"/>
        </w:rPr>
      </w:pPr>
      <w:r w:rsidRPr="0089682E">
        <w:rPr>
          <w:rFonts w:ascii="Times New Roman" w:hAnsi="Times New Roman" w:cs="Times New Roman"/>
          <w:sz w:val="24"/>
          <w:szCs w:val="24"/>
        </w:rPr>
        <w:t>H</w:t>
      </w:r>
      <w:r w:rsidRPr="0089682E">
        <w:rPr>
          <w:rFonts w:ascii="Times New Roman" w:hAnsi="Times New Roman" w:cs="Times New Roman"/>
          <w:sz w:val="24"/>
          <w:szCs w:val="24"/>
          <w:vertAlign w:val="subscript"/>
        </w:rPr>
        <w:t>0</w:t>
      </w:r>
      <w:r>
        <w:rPr>
          <w:rFonts w:ascii="Times New Roman" w:hAnsi="Times New Roman" w:cs="Times New Roman"/>
          <w:sz w:val="24"/>
          <w:szCs w:val="24"/>
          <w:vertAlign w:val="subscript"/>
        </w:rPr>
        <w:t>2</w:t>
      </w:r>
      <w:r w:rsidRPr="0089682E">
        <w:rPr>
          <w:rFonts w:ascii="Times New Roman" w:hAnsi="Times New Roman" w:cs="Times New Roman"/>
          <w:sz w:val="24"/>
          <w:szCs w:val="24"/>
        </w:rPr>
        <w:t xml:space="preserve">: </w:t>
      </w:r>
      <w:r>
        <w:rPr>
          <w:rFonts w:ascii="Times New Roman" w:hAnsi="Times New Roman" w:cs="Times New Roman"/>
          <w:sz w:val="24"/>
          <w:szCs w:val="24"/>
        </w:rPr>
        <w:tab/>
      </w:r>
      <w:r w:rsidR="00AE6685" w:rsidRPr="00AE6685">
        <w:rPr>
          <w:rFonts w:ascii="Times New Roman" w:hAnsi="Times New Roman" w:cs="Times New Roman"/>
          <w:sz w:val="24"/>
          <w:szCs w:val="24"/>
        </w:rPr>
        <w:t>Government capital expenditure on education has no significant effect on technical and vocational education development in Nigeria</w:t>
      </w:r>
      <w:r>
        <w:rPr>
          <w:rFonts w:ascii="Times New Roman" w:hAnsi="Times New Roman" w:cs="Times New Roman"/>
          <w:sz w:val="24"/>
          <w:szCs w:val="24"/>
        </w:rPr>
        <w:t>.</w:t>
      </w:r>
    </w:p>
    <w:p w14:paraId="4FE1DB62" w14:textId="77777777" w:rsidR="00AE6685" w:rsidRPr="0089682E" w:rsidRDefault="00AE6685" w:rsidP="0058204C">
      <w:pPr>
        <w:spacing w:after="0" w:line="360" w:lineRule="auto"/>
        <w:ind w:left="720" w:hanging="720"/>
        <w:jc w:val="both"/>
        <w:rPr>
          <w:rFonts w:ascii="Times New Roman" w:hAnsi="Times New Roman" w:cs="Times New Roman"/>
          <w:sz w:val="24"/>
          <w:szCs w:val="24"/>
        </w:rPr>
      </w:pPr>
      <w:r w:rsidRPr="00AE6685">
        <w:rPr>
          <w:rFonts w:ascii="Times New Roman" w:hAnsi="Times New Roman" w:cs="Times New Roman"/>
          <w:sz w:val="24"/>
          <w:szCs w:val="24"/>
        </w:rPr>
        <w:t>H</w:t>
      </w:r>
      <w:r w:rsidRPr="00AE6685">
        <w:rPr>
          <w:rFonts w:ascii="Times New Roman" w:hAnsi="Times New Roman" w:cs="Times New Roman"/>
          <w:sz w:val="24"/>
          <w:szCs w:val="24"/>
          <w:vertAlign w:val="subscript"/>
        </w:rPr>
        <w:t>03</w:t>
      </w:r>
      <w:r w:rsidRPr="00AE6685">
        <w:rPr>
          <w:rFonts w:ascii="Times New Roman" w:hAnsi="Times New Roman" w:cs="Times New Roman"/>
          <w:sz w:val="24"/>
          <w:szCs w:val="24"/>
        </w:rPr>
        <w:t>:</w:t>
      </w:r>
      <w:r>
        <w:rPr>
          <w:rFonts w:ascii="Times New Roman" w:hAnsi="Times New Roman" w:cs="Times New Roman"/>
          <w:sz w:val="24"/>
          <w:szCs w:val="24"/>
        </w:rPr>
        <w:tab/>
      </w:r>
      <w:r w:rsidRPr="00AE6685">
        <w:rPr>
          <w:rFonts w:ascii="Times New Roman" w:hAnsi="Times New Roman" w:cs="Times New Roman"/>
          <w:sz w:val="24"/>
          <w:szCs w:val="24"/>
        </w:rPr>
        <w:t>Government recurrent expenditure on education has no significant effect on technical and vocational education development in Nigeria</w:t>
      </w:r>
    </w:p>
    <w:p w14:paraId="26AA2E79" w14:textId="77777777" w:rsidR="00AE69CD" w:rsidRPr="00B84FE3" w:rsidRDefault="00ED00F4"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sidRPr="00B84FE3">
        <w:rPr>
          <w:rFonts w:ascii="Times New Roman" w:hAnsi="Times New Roman" w:cs="Times New Roman"/>
          <w:b/>
          <w:sz w:val="24"/>
          <w:szCs w:val="24"/>
        </w:rPr>
        <w:t>METHODOLOGY</w:t>
      </w:r>
    </w:p>
    <w:p w14:paraId="69C592B3" w14:textId="77777777" w:rsidR="00ED00F4" w:rsidRPr="00B84FE3" w:rsidRDefault="00502368" w:rsidP="007E47E3">
      <w:pPr>
        <w:spacing w:before="120" w:after="0" w:line="360" w:lineRule="auto"/>
        <w:jc w:val="both"/>
        <w:rPr>
          <w:rFonts w:ascii="Times New Roman" w:hAnsi="Times New Roman" w:cs="Times New Roman"/>
          <w:sz w:val="24"/>
          <w:szCs w:val="24"/>
        </w:rPr>
      </w:pPr>
      <w:r w:rsidRPr="00B84FE3">
        <w:rPr>
          <w:rFonts w:ascii="Times New Roman" w:hAnsi="Times New Roman" w:cs="Times New Roman"/>
          <w:sz w:val="24"/>
          <w:szCs w:val="24"/>
        </w:rPr>
        <w:t xml:space="preserve">This research is empirical and as such we adopt the </w:t>
      </w:r>
      <w:r w:rsidRPr="00350259">
        <w:rPr>
          <w:rFonts w:ascii="Times New Roman" w:hAnsi="Times New Roman" w:cs="Times New Roman"/>
          <w:i/>
          <w:sz w:val="24"/>
          <w:szCs w:val="24"/>
        </w:rPr>
        <w:t>ex-post-facto</w:t>
      </w:r>
      <w:r w:rsidRPr="00B84FE3">
        <w:rPr>
          <w:rFonts w:ascii="Times New Roman" w:hAnsi="Times New Roman" w:cs="Times New Roman"/>
          <w:sz w:val="24"/>
          <w:szCs w:val="24"/>
        </w:rPr>
        <w:t xml:space="preserve"> research design. This involves the use of secondary data to forecast and establish a linear relationship. </w:t>
      </w:r>
      <w:r w:rsidR="00350259">
        <w:rPr>
          <w:rFonts w:ascii="Times New Roman" w:hAnsi="Times New Roman" w:cs="Times New Roman"/>
          <w:sz w:val="24"/>
          <w:szCs w:val="24"/>
        </w:rPr>
        <w:t xml:space="preserve">The data are sourced from the </w:t>
      </w:r>
      <w:r w:rsidR="005E5B2B">
        <w:rPr>
          <w:rFonts w:ascii="Times New Roman" w:hAnsi="Times New Roman" w:cs="Times New Roman"/>
          <w:sz w:val="24"/>
          <w:szCs w:val="24"/>
        </w:rPr>
        <w:t xml:space="preserve">2024 publications of the </w:t>
      </w:r>
      <w:r w:rsidR="00350259">
        <w:rPr>
          <w:rFonts w:ascii="Times New Roman" w:hAnsi="Times New Roman" w:cs="Times New Roman"/>
          <w:sz w:val="24"/>
          <w:szCs w:val="24"/>
        </w:rPr>
        <w:t xml:space="preserve">Central </w:t>
      </w:r>
      <w:r w:rsidR="005E5B2B">
        <w:rPr>
          <w:rFonts w:ascii="Times New Roman" w:hAnsi="Times New Roman" w:cs="Times New Roman"/>
          <w:sz w:val="24"/>
          <w:szCs w:val="24"/>
        </w:rPr>
        <w:t xml:space="preserve">Bank </w:t>
      </w:r>
      <w:r w:rsidR="00350259">
        <w:rPr>
          <w:rFonts w:ascii="Times New Roman" w:hAnsi="Times New Roman" w:cs="Times New Roman"/>
          <w:sz w:val="24"/>
          <w:szCs w:val="24"/>
        </w:rPr>
        <w:t xml:space="preserve">of Nigeria </w:t>
      </w:r>
      <w:r w:rsidR="005E5B2B">
        <w:rPr>
          <w:rFonts w:ascii="Times New Roman" w:hAnsi="Times New Roman" w:cs="Times New Roman"/>
          <w:sz w:val="24"/>
          <w:szCs w:val="24"/>
        </w:rPr>
        <w:t>Statistical</w:t>
      </w:r>
      <w:r w:rsidR="00350259">
        <w:rPr>
          <w:rFonts w:ascii="Times New Roman" w:hAnsi="Times New Roman" w:cs="Times New Roman"/>
          <w:sz w:val="24"/>
          <w:szCs w:val="24"/>
        </w:rPr>
        <w:t xml:space="preserve"> Bulletin, National Bureau </w:t>
      </w:r>
      <w:r w:rsidR="005E5B2B">
        <w:rPr>
          <w:rFonts w:ascii="Times New Roman" w:hAnsi="Times New Roman" w:cs="Times New Roman"/>
          <w:sz w:val="24"/>
          <w:szCs w:val="24"/>
        </w:rPr>
        <w:t>of</w:t>
      </w:r>
      <w:r w:rsidR="00350259">
        <w:rPr>
          <w:rFonts w:ascii="Times New Roman" w:hAnsi="Times New Roman" w:cs="Times New Roman"/>
          <w:sz w:val="24"/>
          <w:szCs w:val="24"/>
        </w:rPr>
        <w:t xml:space="preserve"> Statistics </w:t>
      </w:r>
      <w:r w:rsidR="005E5B2B">
        <w:rPr>
          <w:rFonts w:ascii="Times New Roman" w:hAnsi="Times New Roman" w:cs="Times New Roman"/>
          <w:sz w:val="24"/>
          <w:szCs w:val="24"/>
        </w:rPr>
        <w:t xml:space="preserve">(NBS) </w:t>
      </w:r>
      <w:r w:rsidR="00350259">
        <w:rPr>
          <w:rFonts w:ascii="Times New Roman" w:hAnsi="Times New Roman" w:cs="Times New Roman"/>
          <w:sz w:val="24"/>
          <w:szCs w:val="24"/>
        </w:rPr>
        <w:t>and National Board for Technical Education (NBTE)</w:t>
      </w:r>
      <w:r w:rsidR="005E5B2B">
        <w:rPr>
          <w:rFonts w:ascii="Times New Roman" w:hAnsi="Times New Roman" w:cs="Times New Roman"/>
          <w:sz w:val="24"/>
          <w:szCs w:val="24"/>
        </w:rPr>
        <w:t xml:space="preserve">. </w:t>
      </w:r>
      <w:r w:rsidRPr="00B84FE3">
        <w:rPr>
          <w:rFonts w:ascii="Times New Roman" w:hAnsi="Times New Roman" w:cs="Times New Roman"/>
          <w:sz w:val="24"/>
          <w:szCs w:val="24"/>
        </w:rPr>
        <w:t xml:space="preserve">Since the data are time series, it </w:t>
      </w:r>
      <w:r w:rsidR="005E5B2B">
        <w:rPr>
          <w:rFonts w:ascii="Times New Roman" w:hAnsi="Times New Roman" w:cs="Times New Roman"/>
          <w:sz w:val="24"/>
          <w:szCs w:val="24"/>
        </w:rPr>
        <w:t>became</w:t>
      </w:r>
      <w:r w:rsidRPr="00B84FE3">
        <w:rPr>
          <w:rFonts w:ascii="Times New Roman" w:hAnsi="Times New Roman" w:cs="Times New Roman"/>
          <w:sz w:val="24"/>
          <w:szCs w:val="24"/>
        </w:rPr>
        <w:t xml:space="preserve"> pertinent to adopt econometric approach in the analysis. </w:t>
      </w:r>
      <w:r w:rsidR="007127D9">
        <w:rPr>
          <w:rFonts w:ascii="Times New Roman" w:hAnsi="Times New Roman" w:cs="Times New Roman"/>
          <w:sz w:val="24"/>
          <w:szCs w:val="24"/>
        </w:rPr>
        <w:t xml:space="preserve">The </w:t>
      </w:r>
      <w:r w:rsidR="007127D9" w:rsidRPr="00B84FE3">
        <w:rPr>
          <w:rFonts w:ascii="Times New Roman" w:hAnsi="Times New Roman" w:cs="Times New Roman"/>
          <w:sz w:val="24"/>
          <w:szCs w:val="24"/>
        </w:rPr>
        <w:t>data requirement for this study covers the period 1990 through 202</w:t>
      </w:r>
      <w:r w:rsidR="007127D9">
        <w:rPr>
          <w:rFonts w:ascii="Times New Roman" w:hAnsi="Times New Roman" w:cs="Times New Roman"/>
          <w:sz w:val="24"/>
          <w:szCs w:val="24"/>
        </w:rPr>
        <w:t>4. T</w:t>
      </w:r>
      <w:r w:rsidRPr="00B84FE3">
        <w:rPr>
          <w:rFonts w:ascii="Times New Roman" w:hAnsi="Times New Roman" w:cs="Times New Roman"/>
          <w:sz w:val="24"/>
          <w:szCs w:val="24"/>
        </w:rPr>
        <w:t xml:space="preserve">he analysis tests the statistical properties of the data </w:t>
      </w:r>
      <w:r w:rsidR="00DD1B1C">
        <w:rPr>
          <w:rFonts w:ascii="Times New Roman" w:hAnsi="Times New Roman" w:cs="Times New Roman"/>
          <w:sz w:val="24"/>
          <w:szCs w:val="24"/>
        </w:rPr>
        <w:t xml:space="preserve">using the Descriptive statistics before carrying out unit root and cointegration tests. </w:t>
      </w:r>
      <w:r w:rsidRPr="00B84FE3">
        <w:rPr>
          <w:rFonts w:ascii="Times New Roman" w:hAnsi="Times New Roman" w:cs="Times New Roman"/>
          <w:sz w:val="24"/>
          <w:szCs w:val="24"/>
        </w:rPr>
        <w:t xml:space="preserve">Specifically, the </w:t>
      </w:r>
      <w:r w:rsidR="00E65904" w:rsidRPr="00B84FE3">
        <w:rPr>
          <w:rFonts w:ascii="Times New Roman" w:hAnsi="Times New Roman" w:cs="Times New Roman"/>
          <w:sz w:val="24"/>
          <w:szCs w:val="24"/>
        </w:rPr>
        <w:t>Auto regressive distributed lag (ARDL)</w:t>
      </w:r>
      <w:r w:rsidRPr="00B84FE3">
        <w:rPr>
          <w:rFonts w:ascii="Times New Roman" w:hAnsi="Times New Roman" w:cs="Times New Roman"/>
          <w:sz w:val="24"/>
          <w:szCs w:val="24"/>
        </w:rPr>
        <w:t xml:space="preserve"> regression </w:t>
      </w:r>
      <w:r w:rsidR="00E65904" w:rsidRPr="00B84FE3">
        <w:rPr>
          <w:rFonts w:ascii="Times New Roman" w:hAnsi="Times New Roman" w:cs="Times New Roman"/>
          <w:sz w:val="24"/>
          <w:szCs w:val="24"/>
        </w:rPr>
        <w:t xml:space="preserve">model </w:t>
      </w:r>
      <w:r w:rsidRPr="00B84FE3">
        <w:rPr>
          <w:rFonts w:ascii="Times New Roman" w:hAnsi="Times New Roman" w:cs="Times New Roman"/>
          <w:sz w:val="24"/>
          <w:szCs w:val="24"/>
        </w:rPr>
        <w:t xml:space="preserve">is </w:t>
      </w:r>
      <w:r w:rsidR="00DD1B1C">
        <w:rPr>
          <w:rFonts w:ascii="Times New Roman" w:hAnsi="Times New Roman" w:cs="Times New Roman"/>
          <w:sz w:val="24"/>
          <w:szCs w:val="24"/>
        </w:rPr>
        <w:t>used</w:t>
      </w:r>
      <w:r w:rsidRPr="00B84FE3">
        <w:rPr>
          <w:rFonts w:ascii="Times New Roman" w:hAnsi="Times New Roman" w:cs="Times New Roman"/>
          <w:sz w:val="24"/>
          <w:szCs w:val="24"/>
        </w:rPr>
        <w:t xml:space="preserve"> in the estimation of the parameters of the OLS regression. The model specified is aptly captured below:</w:t>
      </w:r>
    </w:p>
    <w:p w14:paraId="5B99C673" w14:textId="77777777" w:rsidR="00422746" w:rsidRPr="00B84FE3" w:rsidRDefault="00422746" w:rsidP="007E47E3">
      <w:pPr>
        <w:spacing w:before="120" w:after="0" w:line="360" w:lineRule="auto"/>
        <w:jc w:val="both"/>
        <w:rPr>
          <w:rFonts w:ascii="Times New Roman" w:hAnsi="Times New Roman" w:cs="Times New Roman"/>
          <w:b/>
          <w:sz w:val="24"/>
          <w:szCs w:val="24"/>
        </w:rPr>
      </w:pPr>
      <w:r w:rsidRPr="00B84FE3">
        <w:rPr>
          <w:rFonts w:ascii="Times New Roman" w:hAnsi="Times New Roman" w:cs="Times New Roman"/>
          <w:b/>
          <w:sz w:val="24"/>
          <w:szCs w:val="24"/>
        </w:rPr>
        <w:t>Model Specification</w:t>
      </w:r>
    </w:p>
    <w:p w14:paraId="355F196C" w14:textId="77777777" w:rsidR="00C00692" w:rsidRDefault="00422746" w:rsidP="007E47E3">
      <w:pPr>
        <w:spacing w:before="120" w:after="0" w:line="360" w:lineRule="auto"/>
        <w:jc w:val="both"/>
        <w:rPr>
          <w:rFonts w:ascii="Times New Roman" w:hAnsi="Times New Roman" w:cs="Times New Roman"/>
          <w:sz w:val="24"/>
          <w:szCs w:val="24"/>
        </w:rPr>
      </w:pPr>
      <w:r w:rsidRPr="00B84FE3">
        <w:rPr>
          <w:rFonts w:ascii="Times New Roman" w:hAnsi="Times New Roman" w:cs="Times New Roman"/>
          <w:sz w:val="24"/>
          <w:szCs w:val="24"/>
        </w:rPr>
        <w:t xml:space="preserve">The model </w:t>
      </w:r>
      <w:r w:rsidR="00081001" w:rsidRPr="00B84FE3">
        <w:rPr>
          <w:rFonts w:ascii="Times New Roman" w:hAnsi="Times New Roman" w:cs="Times New Roman"/>
          <w:sz w:val="24"/>
          <w:szCs w:val="24"/>
        </w:rPr>
        <w:t>tries to capture the linear relationship between private sector financing and vocational/technical education development in Nigeria. Since previous studies did not follow econometric procedures in analyzing this relationship, this study pioneer</w:t>
      </w:r>
      <w:r w:rsidR="00630F59">
        <w:rPr>
          <w:rFonts w:ascii="Times New Roman" w:hAnsi="Times New Roman" w:cs="Times New Roman"/>
          <w:sz w:val="24"/>
          <w:szCs w:val="24"/>
        </w:rPr>
        <w:t>s</w:t>
      </w:r>
      <w:r w:rsidR="00081001" w:rsidRPr="00B84FE3">
        <w:rPr>
          <w:rFonts w:ascii="Times New Roman" w:hAnsi="Times New Roman" w:cs="Times New Roman"/>
          <w:sz w:val="24"/>
          <w:szCs w:val="24"/>
        </w:rPr>
        <w:t xml:space="preserve"> econometric </w:t>
      </w:r>
      <w:r w:rsidR="00081001" w:rsidRPr="00B84FE3">
        <w:rPr>
          <w:rFonts w:ascii="Times New Roman" w:hAnsi="Times New Roman" w:cs="Times New Roman"/>
          <w:sz w:val="24"/>
          <w:szCs w:val="24"/>
        </w:rPr>
        <w:lastRenderedPageBreak/>
        <w:t xml:space="preserve">models in this area of study.  </w:t>
      </w:r>
      <w:r w:rsidRPr="00B84FE3">
        <w:rPr>
          <w:rFonts w:ascii="Times New Roman" w:hAnsi="Times New Roman" w:cs="Times New Roman"/>
          <w:sz w:val="24"/>
          <w:szCs w:val="24"/>
        </w:rPr>
        <w:t xml:space="preserve">The </w:t>
      </w:r>
      <w:r w:rsidR="00081001" w:rsidRPr="00B84FE3">
        <w:rPr>
          <w:rFonts w:ascii="Times New Roman" w:hAnsi="Times New Roman" w:cs="Times New Roman"/>
          <w:sz w:val="24"/>
          <w:szCs w:val="24"/>
        </w:rPr>
        <w:t>specification</w:t>
      </w:r>
      <w:r w:rsidRPr="00B84FE3">
        <w:rPr>
          <w:rFonts w:ascii="Times New Roman" w:hAnsi="Times New Roman" w:cs="Times New Roman"/>
          <w:sz w:val="24"/>
          <w:szCs w:val="24"/>
        </w:rPr>
        <w:t xml:space="preserve"> </w:t>
      </w:r>
      <w:r w:rsidR="00081001" w:rsidRPr="00B84FE3">
        <w:rPr>
          <w:rFonts w:ascii="Times New Roman" w:hAnsi="Times New Roman" w:cs="Times New Roman"/>
          <w:sz w:val="24"/>
          <w:szCs w:val="24"/>
        </w:rPr>
        <w:t xml:space="preserve">is made to </w:t>
      </w:r>
      <w:r w:rsidRPr="00B84FE3">
        <w:rPr>
          <w:rFonts w:ascii="Times New Roman" w:hAnsi="Times New Roman" w:cs="Times New Roman"/>
          <w:sz w:val="24"/>
          <w:szCs w:val="24"/>
        </w:rPr>
        <w:t xml:space="preserve">suit our purpose by </w:t>
      </w:r>
      <w:r w:rsidR="00C00692">
        <w:rPr>
          <w:rFonts w:ascii="Times New Roman" w:hAnsi="Times New Roman" w:cs="Times New Roman"/>
          <w:sz w:val="24"/>
          <w:szCs w:val="24"/>
        </w:rPr>
        <w:t>formulating two functional models as follows:</w:t>
      </w:r>
    </w:p>
    <w:p w14:paraId="1C5F1070" w14:textId="77777777" w:rsidR="00C00692" w:rsidRPr="00B84FE3" w:rsidRDefault="00C00692" w:rsidP="007E47E3">
      <w:pPr>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i/>
          <w:color w:val="000000"/>
          <w:sz w:val="24"/>
          <w:szCs w:val="24"/>
        </w:rPr>
        <w:t xml:space="preserve">TVEE = </w:t>
      </w:r>
      <m:oMath>
        <m:r>
          <w:rPr>
            <w:rFonts w:ascii="Cambria Math" w:hAnsi="Cambria Math" w:cs="Times New Roman"/>
            <w:sz w:val="24"/>
            <w:szCs w:val="24"/>
          </w:rPr>
          <m:t>f</m:t>
        </m:r>
      </m:oMath>
      <w:r w:rsidRPr="00B84FE3">
        <w:rPr>
          <w:rFonts w:ascii="Times New Roman" w:hAnsi="Times New Roman" w:cs="Times New Roman"/>
          <w:i/>
          <w:color w:val="000000"/>
          <w:sz w:val="24"/>
          <w:szCs w:val="24"/>
        </w:rPr>
        <w:t>(PRIFI)</w:t>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Pr>
          <w:rFonts w:ascii="Times New Roman" w:hAnsi="Times New Roman" w:cs="Times New Roman"/>
          <w:i/>
          <w:color w:val="000000"/>
          <w:sz w:val="24"/>
          <w:szCs w:val="24"/>
        </w:rPr>
        <w:tab/>
      </w:r>
      <w:r w:rsidRPr="00B84FE3">
        <w:rPr>
          <w:rFonts w:ascii="Times New Roman" w:hAnsi="Times New Roman" w:cs="Times New Roman"/>
          <w:color w:val="000000"/>
          <w:sz w:val="24"/>
          <w:szCs w:val="24"/>
        </w:rPr>
        <w:t>[i]</w:t>
      </w:r>
    </w:p>
    <w:p w14:paraId="0606681E" w14:textId="77777777" w:rsidR="00081001" w:rsidRPr="00B84FE3" w:rsidRDefault="00C00692"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technical and vocational education enrolment rate (TVEE) is a function of </w:t>
      </w:r>
      <w:r>
        <w:rPr>
          <w:rFonts w:ascii="Times New Roman" w:hAnsi="Times New Roman" w:cs="Times New Roman"/>
          <w:color w:val="000000"/>
          <w:sz w:val="24"/>
          <w:szCs w:val="24"/>
        </w:rPr>
        <w:t>p</w:t>
      </w:r>
      <w:r w:rsidRPr="00B84FE3">
        <w:rPr>
          <w:rFonts w:ascii="Times New Roman" w:hAnsi="Times New Roman" w:cs="Times New Roman"/>
          <w:color w:val="000000"/>
          <w:sz w:val="24"/>
          <w:szCs w:val="24"/>
        </w:rPr>
        <w:t xml:space="preserve">rivate </w:t>
      </w:r>
      <w:r>
        <w:rPr>
          <w:rFonts w:ascii="Times New Roman" w:hAnsi="Times New Roman" w:cs="Times New Roman"/>
          <w:color w:val="000000"/>
          <w:sz w:val="24"/>
          <w:szCs w:val="24"/>
        </w:rPr>
        <w:t xml:space="preserve">sector </w:t>
      </w:r>
      <w:r w:rsidRPr="00B84FE3">
        <w:rPr>
          <w:rFonts w:ascii="Times New Roman" w:hAnsi="Times New Roman" w:cs="Times New Roman"/>
          <w:color w:val="000000"/>
          <w:sz w:val="24"/>
          <w:szCs w:val="24"/>
        </w:rPr>
        <w:t>financing of education sector</w:t>
      </w:r>
      <w:r>
        <w:rPr>
          <w:rFonts w:ascii="Times New Roman" w:hAnsi="Times New Roman" w:cs="Times New Roman"/>
          <w:color w:val="000000"/>
          <w:sz w:val="24"/>
          <w:szCs w:val="24"/>
        </w:rPr>
        <w:t xml:space="preserve"> in Nigeria (PRIFI). For the second model, we </w:t>
      </w:r>
      <w:r w:rsidR="00422746" w:rsidRPr="00B84FE3">
        <w:rPr>
          <w:rFonts w:ascii="Times New Roman" w:hAnsi="Times New Roman" w:cs="Times New Roman"/>
          <w:sz w:val="24"/>
          <w:szCs w:val="24"/>
        </w:rPr>
        <w:t>disaggregat</w:t>
      </w:r>
      <w:r>
        <w:rPr>
          <w:rFonts w:ascii="Times New Roman" w:hAnsi="Times New Roman" w:cs="Times New Roman"/>
          <w:sz w:val="24"/>
          <w:szCs w:val="24"/>
        </w:rPr>
        <w:t xml:space="preserve">e government </w:t>
      </w:r>
      <w:r w:rsidR="00081001" w:rsidRPr="00B84FE3">
        <w:rPr>
          <w:rFonts w:ascii="Times New Roman" w:hAnsi="Times New Roman" w:cs="Times New Roman"/>
          <w:sz w:val="24"/>
          <w:szCs w:val="24"/>
        </w:rPr>
        <w:t>education financing into private and public as follows:</w:t>
      </w:r>
    </w:p>
    <w:p w14:paraId="3ED4E8B1" w14:textId="77777777" w:rsidR="00422746" w:rsidRPr="00B84FE3" w:rsidRDefault="0052431A"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i/>
          <w:color w:val="000000"/>
          <w:sz w:val="24"/>
          <w:szCs w:val="24"/>
        </w:rPr>
        <w:t xml:space="preserve">TVEE = </w:t>
      </w:r>
      <m:oMath>
        <m:r>
          <w:rPr>
            <w:rFonts w:ascii="Cambria Math" w:hAnsi="Cambria Math" w:cs="Times New Roman"/>
            <w:sz w:val="24"/>
            <w:szCs w:val="24"/>
          </w:rPr>
          <m:t>f</m:t>
        </m:r>
      </m:oMath>
      <w:r w:rsidRPr="00B84FE3">
        <w:rPr>
          <w:rFonts w:ascii="Times New Roman" w:hAnsi="Times New Roman" w:cs="Times New Roman"/>
          <w:i/>
          <w:color w:val="000000"/>
          <w:sz w:val="24"/>
          <w:szCs w:val="24"/>
        </w:rPr>
        <w:t>(</w:t>
      </w:r>
      <w:r w:rsidR="00C00692" w:rsidRPr="00B84FE3">
        <w:rPr>
          <w:rFonts w:ascii="Times New Roman" w:hAnsi="Times New Roman" w:cs="Times New Roman"/>
          <w:i/>
          <w:color w:val="000000"/>
          <w:sz w:val="24"/>
          <w:szCs w:val="24"/>
        </w:rPr>
        <w:t>PRIFI</w:t>
      </w:r>
      <w:r w:rsidR="00C00692">
        <w:rPr>
          <w:rFonts w:ascii="Times New Roman" w:hAnsi="Times New Roman" w:cs="Times New Roman"/>
          <w:i/>
          <w:color w:val="000000"/>
          <w:sz w:val="24"/>
          <w:szCs w:val="24"/>
        </w:rPr>
        <w:t xml:space="preserve">, </w:t>
      </w:r>
      <w:r w:rsidRPr="00B84FE3">
        <w:rPr>
          <w:rFonts w:ascii="Times New Roman" w:hAnsi="Times New Roman" w:cs="Times New Roman"/>
          <w:i/>
          <w:color w:val="000000"/>
          <w:sz w:val="24"/>
          <w:szCs w:val="24"/>
        </w:rPr>
        <w:t>RECFI, CAPFI,)</w:t>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00422746"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ab/>
      </w:r>
      <w:r w:rsidRPr="00B84FE3">
        <w:rPr>
          <w:rFonts w:ascii="Times New Roman" w:hAnsi="Times New Roman" w:cs="Times New Roman"/>
          <w:color w:val="000000"/>
          <w:sz w:val="24"/>
          <w:szCs w:val="24"/>
        </w:rPr>
        <w:t>[</w:t>
      </w:r>
      <w:r w:rsidR="00422746" w:rsidRPr="00B84FE3">
        <w:rPr>
          <w:rFonts w:ascii="Times New Roman" w:hAnsi="Times New Roman" w:cs="Times New Roman"/>
          <w:color w:val="000000"/>
          <w:sz w:val="24"/>
          <w:szCs w:val="24"/>
        </w:rPr>
        <w:t>ii]</w:t>
      </w:r>
    </w:p>
    <w:p w14:paraId="08EFA512"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Where:</w:t>
      </w:r>
    </w:p>
    <w:p w14:paraId="6C9C640D" w14:textId="77777777" w:rsidR="00422746" w:rsidRPr="00B84FE3" w:rsidRDefault="0052431A"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RECFI</w:t>
      </w:r>
      <w:r w:rsidR="00422746" w:rsidRPr="00B84FE3">
        <w:rPr>
          <w:rFonts w:ascii="Times New Roman" w:hAnsi="Times New Roman" w:cs="Times New Roman"/>
          <w:color w:val="000000"/>
          <w:sz w:val="24"/>
          <w:szCs w:val="24"/>
        </w:rPr>
        <w:t xml:space="preserve"> = </w:t>
      </w:r>
      <w:r w:rsidRPr="00B84FE3">
        <w:rPr>
          <w:rFonts w:ascii="Times New Roman" w:hAnsi="Times New Roman" w:cs="Times New Roman"/>
          <w:color w:val="000000"/>
          <w:sz w:val="24"/>
          <w:szCs w:val="24"/>
        </w:rPr>
        <w:t>Recurrent expenditure on education sector</w:t>
      </w:r>
      <w:r w:rsidR="00422746" w:rsidRPr="00B84FE3">
        <w:rPr>
          <w:rFonts w:ascii="Times New Roman" w:hAnsi="Times New Roman" w:cs="Times New Roman"/>
          <w:color w:val="000000"/>
          <w:sz w:val="24"/>
          <w:szCs w:val="24"/>
        </w:rPr>
        <w:t xml:space="preserve"> </w:t>
      </w:r>
      <w:r w:rsidR="00F55B49" w:rsidRPr="00B84FE3">
        <w:rPr>
          <w:rFonts w:ascii="Times New Roman" w:hAnsi="Times New Roman" w:cs="Times New Roman"/>
          <w:color w:val="000000"/>
          <w:sz w:val="24"/>
          <w:szCs w:val="24"/>
        </w:rPr>
        <w:t xml:space="preserve">as % of total </w:t>
      </w:r>
      <w:r w:rsidR="001601BC" w:rsidRPr="00B84FE3">
        <w:rPr>
          <w:rFonts w:ascii="Times New Roman" w:hAnsi="Times New Roman" w:cs="Times New Roman"/>
          <w:color w:val="000000"/>
          <w:sz w:val="24"/>
          <w:szCs w:val="24"/>
        </w:rPr>
        <w:t xml:space="preserve">public </w:t>
      </w:r>
      <w:r w:rsidR="00F55B49" w:rsidRPr="00B84FE3">
        <w:rPr>
          <w:rFonts w:ascii="Times New Roman" w:hAnsi="Times New Roman" w:cs="Times New Roman"/>
          <w:color w:val="000000"/>
          <w:sz w:val="24"/>
          <w:szCs w:val="24"/>
        </w:rPr>
        <w:t>expenditure</w:t>
      </w:r>
    </w:p>
    <w:p w14:paraId="46B72F9F"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ab/>
      </w:r>
      <w:r w:rsidR="0052431A" w:rsidRPr="00B84FE3">
        <w:rPr>
          <w:rFonts w:ascii="Times New Roman" w:hAnsi="Times New Roman" w:cs="Times New Roman"/>
          <w:color w:val="000000"/>
          <w:sz w:val="24"/>
          <w:szCs w:val="24"/>
        </w:rPr>
        <w:t>CAPFI</w:t>
      </w:r>
      <w:r w:rsidRPr="00B84FE3">
        <w:rPr>
          <w:rFonts w:ascii="Times New Roman" w:hAnsi="Times New Roman" w:cs="Times New Roman"/>
          <w:color w:val="000000"/>
          <w:sz w:val="24"/>
          <w:szCs w:val="24"/>
        </w:rPr>
        <w:t xml:space="preserve"> = </w:t>
      </w:r>
      <w:r w:rsidR="0052431A" w:rsidRPr="00B84FE3">
        <w:rPr>
          <w:rFonts w:ascii="Times New Roman" w:hAnsi="Times New Roman" w:cs="Times New Roman"/>
          <w:color w:val="000000"/>
          <w:sz w:val="24"/>
          <w:szCs w:val="24"/>
        </w:rPr>
        <w:t>Capital expenditure on education sector</w:t>
      </w:r>
      <w:r w:rsidR="00F55B49" w:rsidRPr="00B84FE3">
        <w:rPr>
          <w:rFonts w:ascii="Times New Roman" w:hAnsi="Times New Roman" w:cs="Times New Roman"/>
          <w:color w:val="000000"/>
          <w:sz w:val="24"/>
          <w:szCs w:val="24"/>
        </w:rPr>
        <w:t xml:space="preserve"> as % of total </w:t>
      </w:r>
      <w:r w:rsidR="001601BC" w:rsidRPr="00B84FE3">
        <w:rPr>
          <w:rFonts w:ascii="Times New Roman" w:hAnsi="Times New Roman" w:cs="Times New Roman"/>
          <w:color w:val="000000"/>
          <w:sz w:val="24"/>
          <w:szCs w:val="24"/>
        </w:rPr>
        <w:t xml:space="preserve">public </w:t>
      </w:r>
      <w:r w:rsidR="00F55B49" w:rsidRPr="00B84FE3">
        <w:rPr>
          <w:rFonts w:ascii="Times New Roman" w:hAnsi="Times New Roman" w:cs="Times New Roman"/>
          <w:color w:val="000000"/>
          <w:sz w:val="24"/>
          <w:szCs w:val="24"/>
        </w:rPr>
        <w:t>expenditure</w:t>
      </w:r>
    </w:p>
    <w:p w14:paraId="7CAACBFD" w14:textId="77777777" w:rsidR="00422746" w:rsidRPr="00B84FE3" w:rsidRDefault="00C0063F" w:rsidP="007E47E3">
      <w:pPr>
        <w:shd w:val="clear" w:color="auto" w:fill="FFFFFF"/>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I</w:t>
      </w:r>
      <w:r w:rsidR="00422746" w:rsidRPr="00B84FE3">
        <w:rPr>
          <w:rFonts w:ascii="Times New Roman" w:hAnsi="Times New Roman" w:cs="Times New Roman"/>
          <w:bCs/>
          <w:color w:val="000000"/>
          <w:sz w:val="24"/>
          <w:szCs w:val="24"/>
        </w:rPr>
        <w:t>n a linear econometric form</w:t>
      </w:r>
      <w:r>
        <w:rPr>
          <w:rFonts w:ascii="Times New Roman" w:hAnsi="Times New Roman" w:cs="Times New Roman"/>
          <w:bCs/>
          <w:color w:val="000000"/>
          <w:sz w:val="24"/>
          <w:szCs w:val="24"/>
        </w:rPr>
        <w:t xml:space="preserve">, </w:t>
      </w:r>
      <w:r w:rsidR="00C00692">
        <w:rPr>
          <w:rFonts w:ascii="Times New Roman" w:hAnsi="Times New Roman" w:cs="Times New Roman"/>
          <w:bCs/>
          <w:color w:val="000000"/>
          <w:sz w:val="24"/>
          <w:szCs w:val="24"/>
        </w:rPr>
        <w:t>both</w:t>
      </w:r>
      <w:r>
        <w:rPr>
          <w:rFonts w:ascii="Times New Roman" w:hAnsi="Times New Roman" w:cs="Times New Roman"/>
          <w:bCs/>
          <w:color w:val="000000"/>
          <w:sz w:val="24"/>
          <w:szCs w:val="24"/>
        </w:rPr>
        <w:t xml:space="preserve"> mod</w:t>
      </w:r>
      <w:r w:rsidR="00522DD7">
        <w:rPr>
          <w:rFonts w:ascii="Times New Roman" w:hAnsi="Times New Roman" w:cs="Times New Roman"/>
          <w:bCs/>
          <w:color w:val="000000"/>
          <w:sz w:val="24"/>
          <w:szCs w:val="24"/>
        </w:rPr>
        <w:t>e</w:t>
      </w:r>
      <w:r>
        <w:rPr>
          <w:rFonts w:ascii="Times New Roman" w:hAnsi="Times New Roman" w:cs="Times New Roman"/>
          <w:bCs/>
          <w:color w:val="000000"/>
          <w:sz w:val="24"/>
          <w:szCs w:val="24"/>
        </w:rPr>
        <w:t>l</w:t>
      </w:r>
      <w:r w:rsidR="00C00692">
        <w:rPr>
          <w:rFonts w:ascii="Times New Roman" w:hAnsi="Times New Roman" w:cs="Times New Roman"/>
          <w:bCs/>
          <w:color w:val="000000"/>
          <w:sz w:val="24"/>
          <w:szCs w:val="24"/>
        </w:rPr>
        <w:t>s become</w:t>
      </w:r>
      <w:r w:rsidR="00422746" w:rsidRPr="00B84FE3">
        <w:rPr>
          <w:rFonts w:ascii="Times New Roman" w:hAnsi="Times New Roman" w:cs="Times New Roman"/>
          <w:bCs/>
          <w:color w:val="000000"/>
          <w:sz w:val="24"/>
          <w:szCs w:val="24"/>
        </w:rPr>
        <w:t>:</w:t>
      </w:r>
    </w:p>
    <w:p w14:paraId="3F6091F6" w14:textId="77777777" w:rsidR="00C00692" w:rsidRPr="00B84FE3" w:rsidRDefault="00C00692" w:rsidP="007E47E3">
      <w:pPr>
        <w:shd w:val="clear" w:color="auto" w:fill="FFFFFF"/>
        <w:autoSpaceDE w:val="0"/>
        <w:autoSpaceDN w:val="0"/>
        <w:adjustRightInd w:val="0"/>
        <w:spacing w:before="120" w:after="0" w:line="360" w:lineRule="auto"/>
        <w:jc w:val="both"/>
        <w:rPr>
          <w:rFonts w:ascii="Times New Roman" w:hAnsi="Times New Roman" w:cs="Times New Roman"/>
          <w:i/>
          <w:color w:val="000000"/>
          <w:sz w:val="24"/>
          <w:szCs w:val="24"/>
        </w:rPr>
      </w:pPr>
      <w:proofErr w:type="spellStart"/>
      <w:r w:rsidRPr="00B84FE3">
        <w:rPr>
          <w:rFonts w:ascii="Times New Roman" w:hAnsi="Times New Roman" w:cs="Times New Roman"/>
          <w:i/>
          <w:color w:val="000000"/>
          <w:sz w:val="24"/>
          <w:szCs w:val="24"/>
        </w:rPr>
        <w:t>TVEE</w:t>
      </w:r>
      <w:r w:rsidRPr="00B84FE3">
        <w:rPr>
          <w:rFonts w:ascii="Times New Roman" w:hAnsi="Times New Roman" w:cs="Times New Roman"/>
          <w:i/>
          <w:color w:val="000000"/>
          <w:sz w:val="24"/>
          <w:szCs w:val="24"/>
          <w:vertAlign w:val="subscript"/>
        </w:rPr>
        <w:t>t</w:t>
      </w:r>
      <w:proofErr w:type="spellEnd"/>
      <w:r w:rsidRPr="00B84FE3">
        <w:rPr>
          <w:rFonts w:ascii="Times New Roman" w:hAnsi="Times New Roman" w:cs="Times New Roman"/>
          <w:i/>
          <w:color w:val="000000"/>
          <w:sz w:val="24"/>
          <w:szCs w:val="24"/>
        </w:rPr>
        <w:t xml:space="preserve"> = </w:t>
      </w:r>
      <w:r>
        <w:rPr>
          <w:rFonts w:ascii="Times New Roman" w:hAnsi="Times New Roman" w:cs="Times New Roman"/>
          <w:i/>
          <w:color w:val="000000"/>
          <w:sz w:val="24"/>
          <w:szCs w:val="24"/>
        </w:rPr>
        <w:t>α</w:t>
      </w:r>
      <w:r w:rsidRPr="00B84FE3">
        <w:rPr>
          <w:rFonts w:ascii="Times New Roman" w:hAnsi="Times New Roman" w:cs="Times New Roman"/>
          <w:i/>
          <w:color w:val="000000"/>
          <w:sz w:val="24"/>
          <w:szCs w:val="24"/>
          <w:vertAlign w:val="subscript"/>
        </w:rPr>
        <w:t>0</w:t>
      </w:r>
      <w:r w:rsidRPr="00B84FE3">
        <w:rPr>
          <w:rFonts w:ascii="Times New Roman" w:hAnsi="Times New Roman" w:cs="Times New Roman"/>
          <w:i/>
          <w:color w:val="000000"/>
          <w:sz w:val="24"/>
          <w:szCs w:val="24"/>
        </w:rPr>
        <w:t xml:space="preserve"> + </w:t>
      </w:r>
      <w:r>
        <w:rPr>
          <w:rFonts w:ascii="Times New Roman" w:hAnsi="Times New Roman" w:cs="Times New Roman"/>
          <w:i/>
          <w:color w:val="000000"/>
          <w:sz w:val="24"/>
          <w:szCs w:val="24"/>
        </w:rPr>
        <w:t>α</w:t>
      </w:r>
      <w:r>
        <w:rPr>
          <w:rFonts w:ascii="Times New Roman" w:hAnsi="Times New Roman" w:cs="Times New Roman"/>
          <w:i/>
          <w:color w:val="000000"/>
          <w:sz w:val="24"/>
          <w:szCs w:val="24"/>
          <w:vertAlign w:val="subscript"/>
        </w:rPr>
        <w:t>1</w:t>
      </w:r>
      <w:r w:rsidRPr="00B84FE3">
        <w:rPr>
          <w:rFonts w:ascii="Times New Roman" w:hAnsi="Times New Roman" w:cs="Times New Roman"/>
          <w:i/>
          <w:color w:val="000000"/>
          <w:sz w:val="24"/>
          <w:szCs w:val="24"/>
        </w:rPr>
        <w:t>PRIFI</w:t>
      </w:r>
      <w:r w:rsidRPr="00B84FE3">
        <w:rPr>
          <w:rFonts w:ascii="Times New Roman" w:hAnsi="Times New Roman" w:cs="Times New Roman"/>
          <w:i/>
          <w:color w:val="000000"/>
          <w:sz w:val="24"/>
          <w:szCs w:val="24"/>
          <w:vertAlign w:val="subscript"/>
        </w:rPr>
        <w:t>t</w:t>
      </w:r>
      <w:r w:rsidRPr="00B84FE3">
        <w:rPr>
          <w:rFonts w:ascii="Times New Roman" w:hAnsi="Times New Roman" w:cs="Times New Roman"/>
          <w:i/>
          <w:color w:val="000000"/>
          <w:sz w:val="24"/>
          <w:szCs w:val="24"/>
        </w:rPr>
        <w:t xml:space="preserve"> + </w:t>
      </w:r>
      <w:proofErr w:type="spellStart"/>
      <w:r w:rsidRPr="00B84FE3">
        <w:rPr>
          <w:rFonts w:ascii="Times New Roman" w:hAnsi="Times New Roman" w:cs="Times New Roman"/>
          <w:i/>
          <w:color w:val="000000"/>
          <w:sz w:val="24"/>
          <w:szCs w:val="24"/>
        </w:rPr>
        <w:t>ε</w:t>
      </w:r>
      <w:r w:rsidRPr="00B84FE3">
        <w:rPr>
          <w:rFonts w:ascii="Times New Roman" w:hAnsi="Times New Roman" w:cs="Times New Roman"/>
          <w:i/>
          <w:color w:val="000000"/>
          <w:sz w:val="24"/>
          <w:szCs w:val="24"/>
          <w:vertAlign w:val="subscript"/>
        </w:rPr>
        <w:t>t</w:t>
      </w:r>
      <w:proofErr w:type="spellEnd"/>
      <w:r w:rsidRPr="00B84FE3">
        <w:rPr>
          <w:rFonts w:ascii="Times New Roman" w:hAnsi="Times New Roman" w:cs="Times New Roman"/>
          <w:i/>
          <w:color w:val="000000"/>
          <w:sz w:val="24"/>
          <w:szCs w:val="24"/>
        </w:rPr>
        <w:tab/>
        <w:t xml:space="preserve"> </w:t>
      </w:r>
      <w:r w:rsidRPr="00B84FE3">
        <w:rPr>
          <w:rFonts w:ascii="Times New Roman" w:hAnsi="Times New Roman" w:cs="Times New Roman"/>
          <w:color w:val="000000"/>
          <w:sz w:val="24"/>
          <w:szCs w:val="24"/>
        </w:rPr>
        <w:tab/>
      </w:r>
      <w:r w:rsidRPr="00B84FE3">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84FE3">
        <w:rPr>
          <w:rFonts w:ascii="Times New Roman" w:hAnsi="Times New Roman" w:cs="Times New Roman"/>
          <w:color w:val="000000"/>
          <w:sz w:val="24"/>
          <w:szCs w:val="24"/>
        </w:rPr>
        <w:t>[iii]</w:t>
      </w:r>
    </w:p>
    <w:p w14:paraId="76CC5751" w14:textId="77777777" w:rsidR="00422746" w:rsidRPr="00B84FE3" w:rsidRDefault="00847868" w:rsidP="007E47E3">
      <w:pPr>
        <w:shd w:val="clear" w:color="auto" w:fill="FFFFFF"/>
        <w:autoSpaceDE w:val="0"/>
        <w:autoSpaceDN w:val="0"/>
        <w:adjustRightInd w:val="0"/>
        <w:spacing w:before="120" w:after="0" w:line="360" w:lineRule="auto"/>
        <w:jc w:val="both"/>
        <w:rPr>
          <w:rFonts w:ascii="Times New Roman" w:hAnsi="Times New Roman" w:cs="Times New Roman"/>
          <w:i/>
          <w:color w:val="000000"/>
          <w:sz w:val="24"/>
          <w:szCs w:val="24"/>
        </w:rPr>
      </w:pPr>
      <w:proofErr w:type="spellStart"/>
      <w:r w:rsidRPr="00B84FE3">
        <w:rPr>
          <w:rFonts w:ascii="Times New Roman" w:hAnsi="Times New Roman" w:cs="Times New Roman"/>
          <w:i/>
          <w:color w:val="000000"/>
          <w:sz w:val="24"/>
          <w:szCs w:val="24"/>
        </w:rPr>
        <w:t>TVEE</w:t>
      </w:r>
      <w:r w:rsidR="00422746" w:rsidRPr="00B84FE3">
        <w:rPr>
          <w:rFonts w:ascii="Times New Roman" w:hAnsi="Times New Roman" w:cs="Times New Roman"/>
          <w:i/>
          <w:color w:val="000000"/>
          <w:sz w:val="24"/>
          <w:szCs w:val="24"/>
          <w:vertAlign w:val="subscript"/>
        </w:rPr>
        <w:t>t</w:t>
      </w:r>
      <w:proofErr w:type="spellEnd"/>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0</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1</w:t>
      </w:r>
      <w:r w:rsidR="00C00692">
        <w:rPr>
          <w:rFonts w:ascii="Times New Roman" w:hAnsi="Times New Roman" w:cs="Times New Roman"/>
          <w:i/>
          <w:color w:val="000000"/>
          <w:sz w:val="24"/>
          <w:szCs w:val="24"/>
        </w:rPr>
        <w:t>PRIVI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2</w:t>
      </w:r>
      <w:r w:rsidR="00C00692">
        <w:rPr>
          <w:rFonts w:ascii="Times New Roman" w:hAnsi="Times New Roman" w:cs="Times New Roman"/>
          <w:i/>
          <w:color w:val="000000"/>
          <w:sz w:val="24"/>
          <w:szCs w:val="24"/>
        </w:rPr>
        <w:t>RECFI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r w:rsidRPr="00B84FE3">
        <w:rPr>
          <w:rFonts w:ascii="Times New Roman" w:hAnsi="Times New Roman" w:cs="Times New Roman"/>
          <w:i/>
          <w:color w:val="000000"/>
          <w:sz w:val="24"/>
          <w:szCs w:val="24"/>
        </w:rPr>
        <w:t>λ</w:t>
      </w:r>
      <w:r w:rsidR="00422746" w:rsidRPr="00B84FE3">
        <w:rPr>
          <w:rFonts w:ascii="Times New Roman" w:hAnsi="Times New Roman" w:cs="Times New Roman"/>
          <w:i/>
          <w:color w:val="000000"/>
          <w:sz w:val="24"/>
          <w:szCs w:val="24"/>
          <w:vertAlign w:val="subscript"/>
        </w:rPr>
        <w:t>3</w:t>
      </w:r>
      <w:r w:rsidR="00C00692">
        <w:rPr>
          <w:rFonts w:ascii="Times New Roman" w:hAnsi="Times New Roman" w:cs="Times New Roman"/>
          <w:i/>
          <w:color w:val="000000"/>
          <w:sz w:val="24"/>
          <w:szCs w:val="24"/>
        </w:rPr>
        <w:t>CAPFI</w:t>
      </w:r>
      <w:r w:rsidR="00422746" w:rsidRPr="00B84FE3">
        <w:rPr>
          <w:rFonts w:ascii="Times New Roman" w:hAnsi="Times New Roman" w:cs="Times New Roman"/>
          <w:i/>
          <w:color w:val="000000"/>
          <w:sz w:val="24"/>
          <w:szCs w:val="24"/>
          <w:vertAlign w:val="subscript"/>
        </w:rPr>
        <w:t>t</w:t>
      </w:r>
      <w:r w:rsidR="00422746" w:rsidRPr="00B84FE3">
        <w:rPr>
          <w:rFonts w:ascii="Times New Roman" w:hAnsi="Times New Roman" w:cs="Times New Roman"/>
          <w:i/>
          <w:color w:val="000000"/>
          <w:sz w:val="24"/>
          <w:szCs w:val="24"/>
        </w:rPr>
        <w:t xml:space="preserve"> + </w:t>
      </w:r>
      <w:proofErr w:type="spellStart"/>
      <w:r w:rsidR="00422746" w:rsidRPr="00B84FE3">
        <w:rPr>
          <w:rFonts w:ascii="Times New Roman" w:hAnsi="Times New Roman" w:cs="Times New Roman"/>
          <w:i/>
          <w:color w:val="000000"/>
          <w:sz w:val="24"/>
          <w:szCs w:val="24"/>
        </w:rPr>
        <w:t>ε</w:t>
      </w:r>
      <w:r w:rsidR="00422746" w:rsidRPr="00B84FE3">
        <w:rPr>
          <w:rFonts w:ascii="Times New Roman" w:hAnsi="Times New Roman" w:cs="Times New Roman"/>
          <w:i/>
          <w:color w:val="000000"/>
          <w:sz w:val="24"/>
          <w:szCs w:val="24"/>
          <w:vertAlign w:val="subscript"/>
        </w:rPr>
        <w:t>t</w:t>
      </w:r>
      <w:proofErr w:type="spellEnd"/>
      <w:r w:rsidR="00422746" w:rsidRPr="00B84FE3">
        <w:rPr>
          <w:rFonts w:ascii="Times New Roman" w:hAnsi="Times New Roman" w:cs="Times New Roman"/>
          <w:i/>
          <w:color w:val="000000"/>
          <w:sz w:val="24"/>
          <w:szCs w:val="24"/>
        </w:rPr>
        <w:tab/>
      </w:r>
      <w:r w:rsidRPr="00B84FE3">
        <w:rPr>
          <w:rFonts w:ascii="Times New Roman" w:hAnsi="Times New Roman" w:cs="Times New Roman"/>
          <w:i/>
          <w:color w:val="000000"/>
          <w:sz w:val="24"/>
          <w:szCs w:val="24"/>
        </w:rPr>
        <w:t xml:space="preserve"> </w:t>
      </w:r>
      <w:r w:rsidRPr="00B84FE3">
        <w:rPr>
          <w:rFonts w:ascii="Times New Roman" w:hAnsi="Times New Roman" w:cs="Times New Roman"/>
          <w:color w:val="000000"/>
          <w:sz w:val="24"/>
          <w:szCs w:val="24"/>
        </w:rPr>
        <w:tab/>
      </w:r>
      <w:r w:rsidRPr="00B84FE3">
        <w:rPr>
          <w:rFonts w:ascii="Times New Roman" w:hAnsi="Times New Roman" w:cs="Times New Roman"/>
          <w:color w:val="000000"/>
          <w:sz w:val="24"/>
          <w:szCs w:val="24"/>
        </w:rPr>
        <w:tab/>
        <w:t>[</w:t>
      </w:r>
      <w:r w:rsidR="00C00692">
        <w:rPr>
          <w:rFonts w:ascii="Times New Roman" w:hAnsi="Times New Roman" w:cs="Times New Roman"/>
          <w:color w:val="000000"/>
          <w:sz w:val="24"/>
          <w:szCs w:val="24"/>
        </w:rPr>
        <w:t>iv</w:t>
      </w:r>
      <w:r w:rsidR="00422746" w:rsidRPr="00B84FE3">
        <w:rPr>
          <w:rFonts w:ascii="Times New Roman" w:hAnsi="Times New Roman" w:cs="Times New Roman"/>
          <w:color w:val="000000"/>
          <w:sz w:val="24"/>
          <w:szCs w:val="24"/>
        </w:rPr>
        <w:t>]</w:t>
      </w:r>
    </w:p>
    <w:p w14:paraId="183EAD2C"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Where:</w:t>
      </w:r>
    </w:p>
    <w:p w14:paraId="37863672" w14:textId="77777777" w:rsidR="00C00692" w:rsidRPr="00C00692" w:rsidRDefault="00C00692"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vertAlign w:val="subscript"/>
        </w:rPr>
      </w:pPr>
      <w:r>
        <w:rPr>
          <w:rFonts w:ascii="Times New Roman" w:hAnsi="Times New Roman" w:cs="Times New Roman"/>
          <w:i/>
          <w:color w:val="000000"/>
          <w:sz w:val="24"/>
          <w:szCs w:val="24"/>
        </w:rPr>
        <w:t>α</w:t>
      </w:r>
      <w:r w:rsidRPr="00B84FE3">
        <w:rPr>
          <w:rFonts w:ascii="Times New Roman" w:hAnsi="Times New Roman" w:cs="Times New Roman"/>
          <w:i/>
          <w:color w:val="000000"/>
          <w:sz w:val="24"/>
          <w:szCs w:val="24"/>
          <w:vertAlign w:val="subscript"/>
        </w:rPr>
        <w:t>0</w:t>
      </w:r>
      <w:r>
        <w:rPr>
          <w:rFonts w:ascii="Times New Roman" w:hAnsi="Times New Roman" w:cs="Times New Roman"/>
          <w:i/>
          <w:color w:val="000000"/>
          <w:sz w:val="24"/>
          <w:szCs w:val="24"/>
          <w:vertAlign w:val="subscript"/>
        </w:rPr>
        <w:t xml:space="preserve"> </w:t>
      </w:r>
      <w:r w:rsidRPr="00C00692">
        <w:rPr>
          <w:rFonts w:ascii="Times New Roman" w:hAnsi="Times New Roman" w:cs="Times New Roman"/>
          <w:i/>
          <w:color w:val="000000"/>
          <w:sz w:val="24"/>
          <w:szCs w:val="24"/>
        </w:rPr>
        <w:t>is th</w:t>
      </w:r>
      <w:r>
        <w:rPr>
          <w:rFonts w:ascii="Times New Roman" w:hAnsi="Times New Roman" w:cs="Times New Roman"/>
          <w:i/>
          <w:color w:val="000000"/>
          <w:sz w:val="24"/>
          <w:szCs w:val="24"/>
        </w:rPr>
        <w:t xml:space="preserve">e intercept of the first model, </w:t>
      </w:r>
      <w:r w:rsidRPr="00B84FE3">
        <w:rPr>
          <w:rFonts w:ascii="Times New Roman" w:hAnsi="Times New Roman" w:cs="Times New Roman"/>
          <w:i/>
          <w:color w:val="000000"/>
          <w:sz w:val="24"/>
          <w:szCs w:val="24"/>
        </w:rPr>
        <w:t>λ</w:t>
      </w:r>
      <w:r w:rsidRPr="00B84FE3">
        <w:rPr>
          <w:rFonts w:ascii="Times New Roman" w:hAnsi="Times New Roman" w:cs="Times New Roman"/>
          <w:i/>
          <w:color w:val="000000"/>
          <w:sz w:val="24"/>
          <w:szCs w:val="24"/>
          <w:vertAlign w:val="subscript"/>
        </w:rPr>
        <w:t>0</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is the intercept of the second model.</w:t>
      </w:r>
    </w:p>
    <w:p w14:paraId="32E37580" w14:textId="77777777" w:rsidR="00422746" w:rsidRPr="00B84FE3" w:rsidRDefault="00C00692" w:rsidP="007E47E3">
      <w:pPr>
        <w:shd w:val="clear" w:color="auto" w:fill="FFFFFF"/>
        <w:autoSpaceDE w:val="0"/>
        <w:autoSpaceDN w:val="0"/>
        <w:adjustRightInd w:val="0"/>
        <w:spacing w:before="120" w:after="0" w:line="360" w:lineRule="auto"/>
        <w:ind w:firstLine="720"/>
        <w:jc w:val="both"/>
        <w:rPr>
          <w:rFonts w:ascii="Times New Roman" w:hAnsi="Times New Roman" w:cs="Times New Roman"/>
          <w:sz w:val="24"/>
          <w:szCs w:val="24"/>
        </w:rPr>
      </w:pPr>
      <w:r w:rsidRPr="00C00692">
        <w:rPr>
          <w:rFonts w:ascii="Times New Roman" w:hAnsi="Times New Roman" w:cs="Times New Roman"/>
          <w:i/>
          <w:color w:val="000000"/>
          <w:sz w:val="24"/>
          <w:szCs w:val="24"/>
        </w:rPr>
        <w:t>α</w:t>
      </w:r>
      <w:r>
        <w:rPr>
          <w:rFonts w:ascii="Times New Roman" w:hAnsi="Times New Roman" w:cs="Times New Roman"/>
          <w:i/>
          <w:color w:val="000000"/>
          <w:sz w:val="24"/>
          <w:szCs w:val="24"/>
          <w:vertAlign w:val="subscript"/>
        </w:rPr>
        <w:t>1</w:t>
      </w:r>
      <w:r w:rsidR="00C935E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and </w:t>
      </w:r>
      <w:r w:rsidR="00E42AA1" w:rsidRPr="00C00692">
        <w:rPr>
          <w:rFonts w:ascii="Times New Roman" w:hAnsi="Times New Roman" w:cs="Times New Roman"/>
          <w:i/>
          <w:color w:val="000000"/>
          <w:sz w:val="24"/>
          <w:szCs w:val="24"/>
        </w:rPr>
        <w:t>λ</w:t>
      </w:r>
      <w:r w:rsidR="00422746" w:rsidRPr="00C00692">
        <w:rPr>
          <w:rFonts w:ascii="Times New Roman" w:hAnsi="Times New Roman" w:cs="Times New Roman"/>
          <w:color w:val="000000"/>
          <w:sz w:val="24"/>
          <w:szCs w:val="24"/>
          <w:vertAlign w:val="subscript"/>
        </w:rPr>
        <w:t>1</w:t>
      </w:r>
      <w:r w:rsidR="00422746" w:rsidRPr="00B84FE3">
        <w:rPr>
          <w:rFonts w:ascii="Times New Roman" w:hAnsi="Times New Roman" w:cs="Times New Roman"/>
          <w:color w:val="000000"/>
          <w:sz w:val="24"/>
          <w:szCs w:val="24"/>
        </w:rPr>
        <w:t xml:space="preserve"> – </w:t>
      </w:r>
      <w:r w:rsidR="00E42AA1" w:rsidRPr="00B84FE3">
        <w:rPr>
          <w:rFonts w:ascii="Times New Roman" w:hAnsi="Times New Roman" w:cs="Times New Roman"/>
          <w:i/>
          <w:color w:val="000000"/>
          <w:sz w:val="24"/>
          <w:szCs w:val="24"/>
        </w:rPr>
        <w:t>λ</w:t>
      </w:r>
      <w:r w:rsidR="00E42AA1" w:rsidRPr="00B84FE3">
        <w:rPr>
          <w:rFonts w:ascii="Times New Roman" w:hAnsi="Times New Roman" w:cs="Times New Roman"/>
          <w:color w:val="000000"/>
          <w:sz w:val="24"/>
          <w:szCs w:val="24"/>
          <w:vertAlign w:val="subscript"/>
        </w:rPr>
        <w:t>3</w:t>
      </w:r>
      <w:r w:rsidR="00422746" w:rsidRPr="00B84FE3">
        <w:rPr>
          <w:rFonts w:ascii="Times New Roman" w:hAnsi="Times New Roman" w:cs="Times New Roman"/>
          <w:color w:val="000000"/>
          <w:sz w:val="24"/>
          <w:szCs w:val="24"/>
        </w:rPr>
        <w:t xml:space="preserve"> = Unknown coefficients of the model to be estimated</w:t>
      </w:r>
      <w:r w:rsidR="00E42AA1" w:rsidRPr="00B84FE3">
        <w:rPr>
          <w:rFonts w:ascii="Times New Roman" w:hAnsi="Times New Roman" w:cs="Times New Roman"/>
          <w:color w:val="000000"/>
          <w:sz w:val="24"/>
          <w:szCs w:val="24"/>
        </w:rPr>
        <w:t xml:space="preserve">, </w:t>
      </w:r>
      <w:r w:rsidR="00E42AA1" w:rsidRPr="00B84FE3">
        <w:rPr>
          <w:rFonts w:ascii="Times New Roman" w:hAnsi="Times New Roman" w:cs="Times New Roman"/>
          <w:i/>
          <w:color w:val="000000"/>
          <w:sz w:val="24"/>
          <w:szCs w:val="24"/>
        </w:rPr>
        <w:t>λ</w:t>
      </w:r>
      <w:r w:rsidR="00E42AA1" w:rsidRPr="00B84FE3">
        <w:rPr>
          <w:rFonts w:ascii="Times New Roman" w:hAnsi="Times New Roman" w:cs="Times New Roman"/>
          <w:color w:val="000000"/>
          <w:sz w:val="24"/>
          <w:szCs w:val="24"/>
          <w:vertAlign w:val="subscript"/>
        </w:rPr>
        <w:t xml:space="preserve">0 </w:t>
      </w:r>
      <w:r w:rsidR="00E42AA1" w:rsidRPr="00B84FE3">
        <w:rPr>
          <w:rFonts w:ascii="Times New Roman" w:hAnsi="Times New Roman" w:cs="Times New Roman"/>
          <w:color w:val="000000"/>
          <w:sz w:val="24"/>
          <w:szCs w:val="24"/>
        </w:rPr>
        <w:t>is the intercept</w:t>
      </w:r>
    </w:p>
    <w:p w14:paraId="5B1F9148" w14:textId="77777777" w:rsidR="00422746" w:rsidRPr="00B84FE3" w:rsidRDefault="00422746" w:rsidP="007E47E3">
      <w:pPr>
        <w:shd w:val="clear" w:color="auto" w:fill="FFFFFF"/>
        <w:autoSpaceDE w:val="0"/>
        <w:autoSpaceDN w:val="0"/>
        <w:adjustRightInd w:val="0"/>
        <w:spacing w:before="120" w:after="0" w:line="360" w:lineRule="auto"/>
        <w:ind w:firstLine="720"/>
        <w:jc w:val="both"/>
        <w:rPr>
          <w:rFonts w:ascii="Times New Roman" w:hAnsi="Times New Roman" w:cs="Times New Roman"/>
          <w:color w:val="000000"/>
          <w:sz w:val="24"/>
          <w:szCs w:val="24"/>
        </w:rPr>
      </w:pPr>
      <w:proofErr w:type="spellStart"/>
      <w:r w:rsidRPr="00B84FE3">
        <w:rPr>
          <w:rFonts w:ascii="Times New Roman" w:hAnsi="Times New Roman" w:cs="Times New Roman"/>
          <w:color w:val="000000"/>
          <w:sz w:val="24"/>
          <w:szCs w:val="24"/>
        </w:rPr>
        <w:t>ε</w:t>
      </w:r>
      <w:r w:rsidRPr="00B84FE3">
        <w:rPr>
          <w:rFonts w:ascii="Times New Roman" w:hAnsi="Times New Roman" w:cs="Times New Roman"/>
          <w:color w:val="000000"/>
          <w:sz w:val="24"/>
          <w:szCs w:val="24"/>
          <w:vertAlign w:val="subscript"/>
        </w:rPr>
        <w:t>t</w:t>
      </w:r>
      <w:proofErr w:type="spellEnd"/>
      <w:r w:rsidRPr="00B84FE3">
        <w:rPr>
          <w:rFonts w:ascii="Times New Roman" w:hAnsi="Times New Roman" w:cs="Times New Roman"/>
          <w:color w:val="000000"/>
          <w:sz w:val="24"/>
          <w:szCs w:val="24"/>
        </w:rPr>
        <w:t xml:space="preserve"> = Stochastic error term, and </w:t>
      </w:r>
      <w:r w:rsidR="00E42AA1" w:rsidRPr="00B84FE3">
        <w:rPr>
          <w:rFonts w:ascii="Times New Roman" w:hAnsi="Times New Roman" w:cs="Times New Roman"/>
          <w:color w:val="000000"/>
          <w:sz w:val="24"/>
          <w:szCs w:val="24"/>
        </w:rPr>
        <w:t>‘t’</w:t>
      </w:r>
      <w:r w:rsidRPr="00B84FE3">
        <w:rPr>
          <w:rFonts w:ascii="Times New Roman" w:hAnsi="Times New Roman" w:cs="Times New Roman"/>
          <w:color w:val="000000"/>
          <w:sz w:val="24"/>
          <w:szCs w:val="24"/>
        </w:rPr>
        <w:t xml:space="preserve"> </w:t>
      </w:r>
      <w:r w:rsidR="00E42AA1" w:rsidRPr="00B84FE3">
        <w:rPr>
          <w:rFonts w:ascii="Times New Roman" w:hAnsi="Times New Roman" w:cs="Times New Roman"/>
          <w:color w:val="000000"/>
          <w:sz w:val="24"/>
          <w:szCs w:val="24"/>
        </w:rPr>
        <w:t>is the time period 1990-2022</w:t>
      </w:r>
      <w:r w:rsidRPr="00B84FE3">
        <w:rPr>
          <w:rFonts w:ascii="Times New Roman" w:hAnsi="Times New Roman" w:cs="Times New Roman"/>
          <w:color w:val="000000"/>
          <w:sz w:val="24"/>
          <w:szCs w:val="24"/>
        </w:rPr>
        <w:t>.</w:t>
      </w:r>
    </w:p>
    <w:p w14:paraId="65155291" w14:textId="77777777" w:rsidR="00422746" w:rsidRPr="00B84FE3" w:rsidRDefault="00422746"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 xml:space="preserve">The a-priori expectation is </w:t>
      </w:r>
      <w:r w:rsidR="00C00692" w:rsidRPr="00C00692">
        <w:rPr>
          <w:rFonts w:ascii="Times New Roman" w:hAnsi="Times New Roman" w:cs="Times New Roman"/>
          <w:i/>
          <w:color w:val="000000"/>
          <w:sz w:val="24"/>
          <w:szCs w:val="24"/>
        </w:rPr>
        <w:t>α</w:t>
      </w:r>
      <w:r w:rsidR="00C00692" w:rsidRPr="00C00692">
        <w:rPr>
          <w:rFonts w:ascii="Times New Roman" w:hAnsi="Times New Roman" w:cs="Times New Roman"/>
          <w:i/>
          <w:color w:val="000000"/>
          <w:sz w:val="24"/>
          <w:szCs w:val="24"/>
          <w:vertAlign w:val="subscript"/>
        </w:rPr>
        <w:t>1</w:t>
      </w:r>
      <w:r w:rsidR="00C00692">
        <w:rPr>
          <w:rFonts w:ascii="Times New Roman" w:hAnsi="Times New Roman" w:cs="Times New Roman"/>
          <w:i/>
          <w:color w:val="000000"/>
          <w:sz w:val="24"/>
          <w:szCs w:val="24"/>
        </w:rPr>
        <w:t xml:space="preserve"> &gt; 0; </w:t>
      </w:r>
      <w:r w:rsidR="00050174" w:rsidRPr="00C00692">
        <w:rPr>
          <w:rFonts w:ascii="Times New Roman" w:hAnsi="Times New Roman" w:cs="Times New Roman"/>
          <w:i/>
          <w:color w:val="000000"/>
          <w:sz w:val="24"/>
          <w:szCs w:val="24"/>
        </w:rPr>
        <w:t>λ</w:t>
      </w:r>
      <w:r w:rsidR="00050174" w:rsidRPr="00C00692">
        <w:rPr>
          <w:rFonts w:ascii="Times New Roman" w:hAnsi="Times New Roman" w:cs="Times New Roman"/>
          <w:color w:val="000000"/>
          <w:sz w:val="24"/>
          <w:szCs w:val="24"/>
          <w:vertAlign w:val="subscript"/>
        </w:rPr>
        <w:t>1</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w:t>
      </w:r>
      <w:r w:rsidR="00050174" w:rsidRPr="00B84FE3">
        <w:rPr>
          <w:rFonts w:ascii="Times New Roman" w:hAnsi="Times New Roman" w:cs="Times New Roman"/>
          <w:i/>
          <w:color w:val="000000"/>
          <w:sz w:val="24"/>
          <w:szCs w:val="24"/>
        </w:rPr>
        <w:t>λ</w:t>
      </w:r>
      <w:r w:rsidRPr="00B84FE3">
        <w:rPr>
          <w:rFonts w:ascii="Times New Roman" w:hAnsi="Times New Roman" w:cs="Times New Roman"/>
          <w:color w:val="000000"/>
          <w:sz w:val="24"/>
          <w:szCs w:val="24"/>
          <w:vertAlign w:val="subscript"/>
        </w:rPr>
        <w:t>2</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w:t>
      </w:r>
      <w:r w:rsidR="00050174" w:rsidRPr="00B84FE3">
        <w:rPr>
          <w:rFonts w:ascii="Times New Roman" w:hAnsi="Times New Roman" w:cs="Times New Roman"/>
          <w:i/>
          <w:color w:val="000000"/>
          <w:sz w:val="24"/>
          <w:szCs w:val="24"/>
        </w:rPr>
        <w:t>λ</w:t>
      </w:r>
      <w:r w:rsidRPr="00B84FE3">
        <w:rPr>
          <w:rFonts w:ascii="Times New Roman" w:hAnsi="Times New Roman" w:cs="Times New Roman"/>
          <w:color w:val="000000"/>
          <w:sz w:val="24"/>
          <w:szCs w:val="24"/>
          <w:vertAlign w:val="subscript"/>
        </w:rPr>
        <w:t>3</w:t>
      </w:r>
      <w:r w:rsidR="00050174" w:rsidRPr="00B84FE3">
        <w:rPr>
          <w:rFonts w:ascii="Times New Roman" w:hAnsi="Times New Roman" w:cs="Times New Roman"/>
          <w:color w:val="000000"/>
          <w:sz w:val="24"/>
          <w:szCs w:val="24"/>
        </w:rPr>
        <w:t xml:space="preserve"> </w:t>
      </w:r>
      <w:r w:rsidRPr="00B84FE3">
        <w:rPr>
          <w:rFonts w:ascii="Times New Roman" w:hAnsi="Times New Roman" w:cs="Times New Roman"/>
          <w:color w:val="000000"/>
          <w:sz w:val="24"/>
          <w:szCs w:val="24"/>
        </w:rPr>
        <w:t xml:space="preserve">&gt; 0, i.e. </w:t>
      </w:r>
      <w:r w:rsidR="00C00692">
        <w:rPr>
          <w:rFonts w:ascii="Times New Roman" w:hAnsi="Times New Roman" w:cs="Times New Roman"/>
          <w:color w:val="000000"/>
          <w:sz w:val="24"/>
          <w:szCs w:val="24"/>
        </w:rPr>
        <w:t>private sector financing is expected to exert positive effect on technical education enrolment rate. Recurrent and</w:t>
      </w:r>
      <w:r w:rsidR="00050174" w:rsidRPr="00B84FE3">
        <w:rPr>
          <w:rFonts w:ascii="Times New Roman" w:hAnsi="Times New Roman" w:cs="Times New Roman"/>
          <w:color w:val="000000"/>
          <w:sz w:val="24"/>
          <w:szCs w:val="24"/>
        </w:rPr>
        <w:t xml:space="preserve"> capital</w:t>
      </w:r>
      <w:r w:rsidRPr="00B84FE3">
        <w:rPr>
          <w:rFonts w:ascii="Times New Roman" w:hAnsi="Times New Roman" w:cs="Times New Roman"/>
          <w:color w:val="000000"/>
          <w:sz w:val="24"/>
          <w:szCs w:val="24"/>
        </w:rPr>
        <w:t xml:space="preserve"> </w:t>
      </w:r>
      <w:r w:rsidR="00C00692">
        <w:rPr>
          <w:rFonts w:ascii="Times New Roman" w:hAnsi="Times New Roman" w:cs="Times New Roman"/>
          <w:color w:val="000000"/>
          <w:sz w:val="24"/>
          <w:szCs w:val="24"/>
        </w:rPr>
        <w:t>expenditure on</w:t>
      </w:r>
      <w:r w:rsidR="00050174" w:rsidRPr="00B84FE3">
        <w:rPr>
          <w:rFonts w:ascii="Times New Roman" w:hAnsi="Times New Roman" w:cs="Times New Roman"/>
          <w:color w:val="000000"/>
          <w:sz w:val="24"/>
          <w:szCs w:val="24"/>
        </w:rPr>
        <w:t xml:space="preserve"> education </w:t>
      </w:r>
      <w:r w:rsidRPr="00B84FE3">
        <w:rPr>
          <w:rFonts w:ascii="Times New Roman" w:hAnsi="Times New Roman" w:cs="Times New Roman"/>
          <w:color w:val="000000"/>
          <w:sz w:val="24"/>
          <w:szCs w:val="24"/>
        </w:rPr>
        <w:t xml:space="preserve">are </w:t>
      </w:r>
      <w:r w:rsidR="00B54581">
        <w:rPr>
          <w:rFonts w:ascii="Times New Roman" w:hAnsi="Times New Roman" w:cs="Times New Roman"/>
          <w:color w:val="000000"/>
          <w:sz w:val="24"/>
          <w:szCs w:val="24"/>
        </w:rPr>
        <w:t>both</w:t>
      </w:r>
      <w:r w:rsidRPr="00B84FE3">
        <w:rPr>
          <w:rFonts w:ascii="Times New Roman" w:hAnsi="Times New Roman" w:cs="Times New Roman"/>
          <w:color w:val="000000"/>
          <w:sz w:val="24"/>
          <w:szCs w:val="24"/>
        </w:rPr>
        <w:t xml:space="preserve"> expected to have </w:t>
      </w:r>
      <w:r w:rsidR="00050174" w:rsidRPr="00B84FE3">
        <w:rPr>
          <w:rFonts w:ascii="Times New Roman" w:hAnsi="Times New Roman" w:cs="Times New Roman"/>
          <w:color w:val="000000"/>
          <w:sz w:val="24"/>
          <w:szCs w:val="24"/>
        </w:rPr>
        <w:t>positive and significant effects on technical and vocational education enrolment in Nigeria for the period under review</w:t>
      </w:r>
      <w:r w:rsidRPr="00B84FE3">
        <w:rPr>
          <w:rFonts w:ascii="Times New Roman" w:hAnsi="Times New Roman" w:cs="Times New Roman"/>
          <w:color w:val="000000"/>
          <w:sz w:val="24"/>
          <w:szCs w:val="24"/>
        </w:rPr>
        <w:t>.</w:t>
      </w:r>
    </w:p>
    <w:p w14:paraId="7E0D7597" w14:textId="77777777" w:rsidR="00ED00F4" w:rsidRPr="00B84FE3" w:rsidRDefault="007127D9"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RESULTS</w:t>
      </w:r>
    </w:p>
    <w:p w14:paraId="656517CA" w14:textId="77777777" w:rsidR="00D32C05" w:rsidRDefault="00D32C05" w:rsidP="007E47E3">
      <w:pPr>
        <w:shd w:val="clear" w:color="auto" w:fill="FFFFFF"/>
        <w:autoSpaceDE w:val="0"/>
        <w:autoSpaceDN w:val="0"/>
        <w:adjustRightInd w:val="0"/>
        <w:spacing w:before="120" w:after="0" w:line="360" w:lineRule="auto"/>
        <w:jc w:val="both"/>
        <w:rPr>
          <w:rFonts w:ascii="Times New Roman" w:hAnsi="Times New Roman" w:cs="Times New Roman"/>
          <w:color w:val="000000"/>
          <w:sz w:val="24"/>
          <w:szCs w:val="24"/>
        </w:rPr>
      </w:pPr>
      <w:r w:rsidRPr="00B84FE3">
        <w:rPr>
          <w:rFonts w:ascii="Times New Roman" w:hAnsi="Times New Roman" w:cs="Times New Roman"/>
          <w:color w:val="000000"/>
          <w:sz w:val="24"/>
          <w:szCs w:val="24"/>
        </w:rPr>
        <w:t xml:space="preserve">The analysis starts with the </w:t>
      </w:r>
      <w:r w:rsidR="00E65904" w:rsidRPr="00B84FE3">
        <w:rPr>
          <w:rFonts w:ascii="Times New Roman" w:hAnsi="Times New Roman" w:cs="Times New Roman"/>
          <w:color w:val="000000"/>
          <w:sz w:val="24"/>
          <w:szCs w:val="24"/>
        </w:rPr>
        <w:t xml:space="preserve">descriptive statistics before the </w:t>
      </w:r>
      <w:r w:rsidRPr="00B84FE3">
        <w:rPr>
          <w:rFonts w:ascii="Times New Roman" w:hAnsi="Times New Roman" w:cs="Times New Roman"/>
          <w:color w:val="000000"/>
          <w:sz w:val="24"/>
          <w:szCs w:val="24"/>
        </w:rPr>
        <w:t xml:space="preserve">test </w:t>
      </w:r>
      <w:r w:rsidR="00E65904" w:rsidRPr="00B84FE3">
        <w:rPr>
          <w:rFonts w:ascii="Times New Roman" w:hAnsi="Times New Roman" w:cs="Times New Roman"/>
          <w:color w:val="000000"/>
          <w:sz w:val="24"/>
          <w:szCs w:val="24"/>
        </w:rPr>
        <w:t>for</w:t>
      </w:r>
      <w:r w:rsidRPr="00B84FE3">
        <w:rPr>
          <w:rFonts w:ascii="Times New Roman" w:hAnsi="Times New Roman" w:cs="Times New Roman"/>
          <w:color w:val="000000"/>
          <w:sz w:val="24"/>
          <w:szCs w:val="24"/>
        </w:rPr>
        <w:t xml:space="preserve"> stationarity of the data using the Augmented Dick</w:t>
      </w:r>
      <w:r w:rsidR="00265774" w:rsidRPr="00B84FE3">
        <w:rPr>
          <w:rFonts w:ascii="Times New Roman" w:hAnsi="Times New Roman" w:cs="Times New Roman"/>
          <w:color w:val="000000"/>
          <w:sz w:val="24"/>
          <w:szCs w:val="24"/>
        </w:rPr>
        <w:t xml:space="preserve">ey Fuller (ADF) unit root test </w:t>
      </w:r>
      <w:r w:rsidRPr="00B84FE3">
        <w:rPr>
          <w:rFonts w:ascii="Times New Roman" w:hAnsi="Times New Roman" w:cs="Times New Roman"/>
          <w:color w:val="000000"/>
          <w:sz w:val="24"/>
          <w:szCs w:val="24"/>
        </w:rPr>
        <w:t xml:space="preserve">at </w:t>
      </w:r>
      <w:r w:rsidR="00265774" w:rsidRPr="00B84FE3">
        <w:rPr>
          <w:rFonts w:ascii="Times New Roman" w:hAnsi="Times New Roman" w:cs="Times New Roman"/>
          <w:color w:val="000000"/>
          <w:sz w:val="24"/>
          <w:szCs w:val="24"/>
        </w:rPr>
        <w:t>0.0</w:t>
      </w:r>
      <w:r w:rsidRPr="00B84FE3">
        <w:rPr>
          <w:rFonts w:ascii="Times New Roman" w:hAnsi="Times New Roman" w:cs="Times New Roman"/>
          <w:color w:val="000000"/>
          <w:sz w:val="24"/>
          <w:szCs w:val="24"/>
        </w:rPr>
        <w:t>5 critical value</w:t>
      </w:r>
      <w:r w:rsidR="00E65904" w:rsidRPr="00B84FE3">
        <w:rPr>
          <w:rFonts w:ascii="Times New Roman" w:hAnsi="Times New Roman" w:cs="Times New Roman"/>
          <w:color w:val="000000"/>
          <w:sz w:val="24"/>
          <w:szCs w:val="24"/>
        </w:rPr>
        <w:t>.</w:t>
      </w:r>
    </w:p>
    <w:p w14:paraId="724E9CFC" w14:textId="77777777" w:rsidR="002B70D4" w:rsidRDefault="00D32C05" w:rsidP="00D32C05">
      <w:pPr>
        <w:shd w:val="clear" w:color="auto" w:fill="FFFFFF"/>
        <w:autoSpaceDE w:val="0"/>
        <w:autoSpaceDN w:val="0"/>
        <w:adjustRightInd w:val="0"/>
        <w:spacing w:before="240" w:after="0" w:line="240" w:lineRule="auto"/>
        <w:jc w:val="both"/>
        <w:rPr>
          <w:rFonts w:ascii="Times New Roman" w:hAnsi="Times New Roman"/>
          <w:b/>
          <w:bCs/>
          <w:color w:val="000000"/>
          <w:sz w:val="24"/>
          <w:szCs w:val="24"/>
        </w:rPr>
      </w:pPr>
      <w:r w:rsidRPr="00915012">
        <w:rPr>
          <w:rFonts w:ascii="Times New Roman" w:hAnsi="Times New Roman"/>
          <w:color w:val="000000"/>
          <w:sz w:val="24"/>
          <w:szCs w:val="24"/>
        </w:rPr>
        <w:t>T</w:t>
      </w:r>
      <w:r w:rsidRPr="00915012">
        <w:rPr>
          <w:rFonts w:ascii="Times New Roman" w:hAnsi="Times New Roman"/>
          <w:b/>
          <w:bCs/>
          <w:color w:val="000000"/>
          <w:sz w:val="24"/>
          <w:szCs w:val="24"/>
        </w:rPr>
        <w:t xml:space="preserve">able </w:t>
      </w:r>
      <w:r w:rsidR="00DD1B1C">
        <w:rPr>
          <w:rFonts w:ascii="Times New Roman" w:hAnsi="Times New Roman"/>
          <w:b/>
          <w:bCs/>
          <w:color w:val="000000"/>
          <w:sz w:val="24"/>
          <w:szCs w:val="24"/>
        </w:rPr>
        <w:t>1</w:t>
      </w:r>
      <w:r w:rsidRPr="00915012">
        <w:rPr>
          <w:rFonts w:ascii="Times New Roman" w:hAnsi="Times New Roman"/>
          <w:b/>
          <w:bCs/>
          <w:color w:val="000000"/>
          <w:sz w:val="24"/>
          <w:szCs w:val="24"/>
        </w:rPr>
        <w:t xml:space="preserve">: </w:t>
      </w:r>
      <w:r w:rsidR="002B70D4">
        <w:rPr>
          <w:rFonts w:ascii="Times New Roman" w:hAnsi="Times New Roman"/>
          <w:b/>
          <w:bCs/>
          <w:color w:val="000000"/>
          <w:sz w:val="24"/>
          <w:szCs w:val="24"/>
        </w:rPr>
        <w:t>Descriptive Statistics</w:t>
      </w:r>
    </w:p>
    <w:tbl>
      <w:tblPr>
        <w:tblW w:w="0" w:type="auto"/>
        <w:tblInd w:w="30" w:type="dxa"/>
        <w:tblBorders>
          <w:top w:val="double" w:sz="4" w:space="0" w:color="auto"/>
          <w:bottom w:val="double" w:sz="4" w:space="0" w:color="auto"/>
        </w:tblBorders>
        <w:tblLayout w:type="fixed"/>
        <w:tblCellMar>
          <w:left w:w="0" w:type="dxa"/>
          <w:right w:w="0" w:type="dxa"/>
        </w:tblCellMar>
        <w:tblLook w:val="0000" w:firstRow="0" w:lastRow="0" w:firstColumn="0" w:lastColumn="0" w:noHBand="0" w:noVBand="0"/>
      </w:tblPr>
      <w:tblGrid>
        <w:gridCol w:w="1425"/>
        <w:gridCol w:w="1453"/>
        <w:gridCol w:w="1530"/>
        <w:gridCol w:w="1530"/>
        <w:gridCol w:w="1620"/>
      </w:tblGrid>
      <w:tr w:rsidR="00FB0D63" w:rsidRPr="00FB0D63" w14:paraId="27463E38" w14:textId="77777777" w:rsidTr="00AA52A6">
        <w:trPr>
          <w:trHeight w:val="225"/>
        </w:trPr>
        <w:tc>
          <w:tcPr>
            <w:tcW w:w="1425" w:type="dxa"/>
            <w:tcBorders>
              <w:top w:val="double" w:sz="4" w:space="0" w:color="auto"/>
              <w:bottom w:val="double" w:sz="4" w:space="0" w:color="auto"/>
            </w:tcBorders>
            <w:vAlign w:val="bottom"/>
          </w:tcPr>
          <w:p w14:paraId="4CE9725F"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p>
        </w:tc>
        <w:tc>
          <w:tcPr>
            <w:tcW w:w="1453" w:type="dxa"/>
            <w:tcBorders>
              <w:top w:val="double" w:sz="4" w:space="0" w:color="auto"/>
              <w:bottom w:val="double" w:sz="4" w:space="0" w:color="auto"/>
            </w:tcBorders>
            <w:vAlign w:val="bottom"/>
          </w:tcPr>
          <w:p w14:paraId="32D5860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TVEE</w:t>
            </w:r>
          </w:p>
        </w:tc>
        <w:tc>
          <w:tcPr>
            <w:tcW w:w="1530" w:type="dxa"/>
            <w:tcBorders>
              <w:top w:val="double" w:sz="4" w:space="0" w:color="auto"/>
              <w:bottom w:val="double" w:sz="4" w:space="0" w:color="auto"/>
            </w:tcBorders>
            <w:vAlign w:val="bottom"/>
          </w:tcPr>
          <w:p w14:paraId="4484448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RECFI</w:t>
            </w:r>
          </w:p>
        </w:tc>
        <w:tc>
          <w:tcPr>
            <w:tcW w:w="1530" w:type="dxa"/>
            <w:tcBorders>
              <w:top w:val="double" w:sz="4" w:space="0" w:color="auto"/>
              <w:bottom w:val="double" w:sz="4" w:space="0" w:color="auto"/>
            </w:tcBorders>
            <w:vAlign w:val="bottom"/>
          </w:tcPr>
          <w:p w14:paraId="2146353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CAPFI</w:t>
            </w:r>
          </w:p>
        </w:tc>
        <w:tc>
          <w:tcPr>
            <w:tcW w:w="1620" w:type="dxa"/>
            <w:tcBorders>
              <w:top w:val="double" w:sz="4" w:space="0" w:color="auto"/>
              <w:bottom w:val="double" w:sz="4" w:space="0" w:color="auto"/>
            </w:tcBorders>
            <w:vAlign w:val="bottom"/>
          </w:tcPr>
          <w:p w14:paraId="1D74DCC5"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b/>
                <w:color w:val="000000"/>
              </w:rPr>
            </w:pPr>
            <w:r w:rsidRPr="00FB0D63">
              <w:rPr>
                <w:rFonts w:ascii="Times New Roman" w:hAnsi="Times New Roman" w:cs="Times New Roman"/>
                <w:b/>
                <w:color w:val="000000"/>
              </w:rPr>
              <w:t>PRIFI</w:t>
            </w:r>
          </w:p>
        </w:tc>
      </w:tr>
      <w:tr w:rsidR="00FB0D63" w:rsidRPr="00FB0D63" w14:paraId="0DB8CA39" w14:textId="77777777" w:rsidTr="00AA52A6">
        <w:trPr>
          <w:trHeight w:val="225"/>
        </w:trPr>
        <w:tc>
          <w:tcPr>
            <w:tcW w:w="1425" w:type="dxa"/>
            <w:tcBorders>
              <w:top w:val="double" w:sz="4" w:space="0" w:color="auto"/>
            </w:tcBorders>
            <w:vAlign w:val="bottom"/>
          </w:tcPr>
          <w:p w14:paraId="4CCDBD37"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Mean</w:t>
            </w:r>
          </w:p>
        </w:tc>
        <w:tc>
          <w:tcPr>
            <w:tcW w:w="1453" w:type="dxa"/>
            <w:tcBorders>
              <w:top w:val="double" w:sz="4" w:space="0" w:color="auto"/>
            </w:tcBorders>
            <w:vAlign w:val="bottom"/>
          </w:tcPr>
          <w:p w14:paraId="0BE0BCC7"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19.12576</w:t>
            </w:r>
          </w:p>
        </w:tc>
        <w:tc>
          <w:tcPr>
            <w:tcW w:w="1530" w:type="dxa"/>
            <w:tcBorders>
              <w:top w:val="double" w:sz="4" w:space="0" w:color="auto"/>
            </w:tcBorders>
            <w:vAlign w:val="bottom"/>
          </w:tcPr>
          <w:p w14:paraId="47B6D0F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4.808181</w:t>
            </w:r>
          </w:p>
        </w:tc>
        <w:tc>
          <w:tcPr>
            <w:tcW w:w="1530" w:type="dxa"/>
            <w:tcBorders>
              <w:top w:val="double" w:sz="4" w:space="0" w:color="auto"/>
            </w:tcBorders>
            <w:vAlign w:val="bottom"/>
          </w:tcPr>
          <w:p w14:paraId="4B7AA5A9"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2.876683</w:t>
            </w:r>
          </w:p>
        </w:tc>
        <w:tc>
          <w:tcPr>
            <w:tcW w:w="1620" w:type="dxa"/>
            <w:tcBorders>
              <w:top w:val="double" w:sz="4" w:space="0" w:color="auto"/>
            </w:tcBorders>
            <w:vAlign w:val="bottom"/>
          </w:tcPr>
          <w:p w14:paraId="3B3224C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0.951484</w:t>
            </w:r>
          </w:p>
        </w:tc>
      </w:tr>
      <w:tr w:rsidR="00FB0D63" w:rsidRPr="00FB0D63" w14:paraId="6ADCD7CE" w14:textId="77777777" w:rsidTr="00AA52A6">
        <w:trPr>
          <w:trHeight w:val="225"/>
        </w:trPr>
        <w:tc>
          <w:tcPr>
            <w:tcW w:w="1425" w:type="dxa"/>
            <w:vAlign w:val="bottom"/>
          </w:tcPr>
          <w:p w14:paraId="0532927A"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Median</w:t>
            </w:r>
          </w:p>
        </w:tc>
        <w:tc>
          <w:tcPr>
            <w:tcW w:w="1453" w:type="dxa"/>
            <w:vAlign w:val="bottom"/>
          </w:tcPr>
          <w:p w14:paraId="0029F46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21.05000</w:t>
            </w:r>
          </w:p>
        </w:tc>
        <w:tc>
          <w:tcPr>
            <w:tcW w:w="1530" w:type="dxa"/>
            <w:vAlign w:val="bottom"/>
          </w:tcPr>
          <w:p w14:paraId="649252C8"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4.588404</w:t>
            </w:r>
          </w:p>
        </w:tc>
        <w:tc>
          <w:tcPr>
            <w:tcW w:w="1530" w:type="dxa"/>
            <w:vAlign w:val="bottom"/>
          </w:tcPr>
          <w:p w14:paraId="5C7EBF69"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2.567082</w:t>
            </w:r>
          </w:p>
        </w:tc>
        <w:tc>
          <w:tcPr>
            <w:tcW w:w="1620" w:type="dxa"/>
            <w:vAlign w:val="bottom"/>
          </w:tcPr>
          <w:p w14:paraId="058217EF"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0.855556</w:t>
            </w:r>
          </w:p>
        </w:tc>
      </w:tr>
      <w:tr w:rsidR="00FB0D63" w:rsidRPr="00FB0D63" w14:paraId="68FB060E" w14:textId="77777777" w:rsidTr="00AA52A6">
        <w:trPr>
          <w:trHeight w:val="225"/>
        </w:trPr>
        <w:tc>
          <w:tcPr>
            <w:tcW w:w="1425" w:type="dxa"/>
            <w:vAlign w:val="bottom"/>
          </w:tcPr>
          <w:p w14:paraId="354FEB94"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Maximum</w:t>
            </w:r>
          </w:p>
        </w:tc>
        <w:tc>
          <w:tcPr>
            <w:tcW w:w="1453" w:type="dxa"/>
            <w:vAlign w:val="bottom"/>
          </w:tcPr>
          <w:p w14:paraId="560D5C6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35.00000</w:t>
            </w:r>
          </w:p>
        </w:tc>
        <w:tc>
          <w:tcPr>
            <w:tcW w:w="1530" w:type="dxa"/>
            <w:vAlign w:val="bottom"/>
          </w:tcPr>
          <w:p w14:paraId="599F2B9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8.266530</w:t>
            </w:r>
          </w:p>
        </w:tc>
        <w:tc>
          <w:tcPr>
            <w:tcW w:w="1530" w:type="dxa"/>
            <w:vAlign w:val="bottom"/>
          </w:tcPr>
          <w:p w14:paraId="4A574A71"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6.156725</w:t>
            </w:r>
          </w:p>
        </w:tc>
        <w:tc>
          <w:tcPr>
            <w:tcW w:w="1620" w:type="dxa"/>
            <w:vAlign w:val="bottom"/>
          </w:tcPr>
          <w:p w14:paraId="11CFB90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3.403613</w:t>
            </w:r>
          </w:p>
        </w:tc>
      </w:tr>
      <w:tr w:rsidR="00FB0D63" w:rsidRPr="00FB0D63" w14:paraId="2E5D81D9" w14:textId="77777777" w:rsidTr="00AA52A6">
        <w:trPr>
          <w:trHeight w:val="225"/>
        </w:trPr>
        <w:tc>
          <w:tcPr>
            <w:tcW w:w="1425" w:type="dxa"/>
            <w:vAlign w:val="bottom"/>
          </w:tcPr>
          <w:p w14:paraId="01243B3B"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Minimum</w:t>
            </w:r>
          </w:p>
        </w:tc>
        <w:tc>
          <w:tcPr>
            <w:tcW w:w="1453" w:type="dxa"/>
            <w:vAlign w:val="bottom"/>
          </w:tcPr>
          <w:p w14:paraId="6600E860"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2.700000</w:t>
            </w:r>
          </w:p>
        </w:tc>
        <w:tc>
          <w:tcPr>
            <w:tcW w:w="1530" w:type="dxa"/>
            <w:vAlign w:val="bottom"/>
          </w:tcPr>
          <w:p w14:paraId="4BDF8F94"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0.313899</w:t>
            </w:r>
          </w:p>
        </w:tc>
        <w:tc>
          <w:tcPr>
            <w:tcW w:w="1530" w:type="dxa"/>
            <w:vAlign w:val="bottom"/>
          </w:tcPr>
          <w:p w14:paraId="5A940ADD"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1.063594</w:t>
            </w:r>
          </w:p>
        </w:tc>
        <w:tc>
          <w:tcPr>
            <w:tcW w:w="1620" w:type="dxa"/>
            <w:vAlign w:val="bottom"/>
          </w:tcPr>
          <w:p w14:paraId="7C71A1E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0.035793</w:t>
            </w:r>
          </w:p>
        </w:tc>
      </w:tr>
      <w:tr w:rsidR="00FB0D63" w:rsidRPr="00FB0D63" w14:paraId="5CFC77D8" w14:textId="77777777" w:rsidTr="00AA52A6">
        <w:trPr>
          <w:trHeight w:val="225"/>
        </w:trPr>
        <w:tc>
          <w:tcPr>
            <w:tcW w:w="1425" w:type="dxa"/>
            <w:vAlign w:val="bottom"/>
          </w:tcPr>
          <w:p w14:paraId="544B34C7"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lastRenderedPageBreak/>
              <w:t> Std. Dev.</w:t>
            </w:r>
          </w:p>
        </w:tc>
        <w:tc>
          <w:tcPr>
            <w:tcW w:w="1453" w:type="dxa"/>
            <w:vAlign w:val="bottom"/>
          </w:tcPr>
          <w:p w14:paraId="6434930D"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10.28856</w:t>
            </w:r>
          </w:p>
        </w:tc>
        <w:tc>
          <w:tcPr>
            <w:tcW w:w="1530" w:type="dxa"/>
            <w:vAlign w:val="bottom"/>
          </w:tcPr>
          <w:p w14:paraId="4FFA54F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1.850648</w:t>
            </w:r>
          </w:p>
        </w:tc>
        <w:tc>
          <w:tcPr>
            <w:tcW w:w="1530" w:type="dxa"/>
            <w:vAlign w:val="bottom"/>
          </w:tcPr>
          <w:p w14:paraId="519AF34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1.301031</w:t>
            </w:r>
          </w:p>
        </w:tc>
        <w:tc>
          <w:tcPr>
            <w:tcW w:w="1620" w:type="dxa"/>
            <w:vAlign w:val="bottom"/>
          </w:tcPr>
          <w:p w14:paraId="4074D42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0.691465</w:t>
            </w:r>
          </w:p>
        </w:tc>
      </w:tr>
      <w:tr w:rsidR="00FB0D63" w:rsidRPr="00FB0D63" w14:paraId="36053E06" w14:textId="77777777" w:rsidTr="00AA52A6">
        <w:trPr>
          <w:trHeight w:val="225"/>
        </w:trPr>
        <w:tc>
          <w:tcPr>
            <w:tcW w:w="1425" w:type="dxa"/>
            <w:vAlign w:val="bottom"/>
          </w:tcPr>
          <w:p w14:paraId="5C8E8DD5"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Skewness</w:t>
            </w:r>
          </w:p>
        </w:tc>
        <w:tc>
          <w:tcPr>
            <w:tcW w:w="1453" w:type="dxa"/>
            <w:vAlign w:val="bottom"/>
          </w:tcPr>
          <w:p w14:paraId="63E4019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-0.186234</w:t>
            </w:r>
          </w:p>
        </w:tc>
        <w:tc>
          <w:tcPr>
            <w:tcW w:w="1530" w:type="dxa"/>
            <w:vAlign w:val="bottom"/>
          </w:tcPr>
          <w:p w14:paraId="3D1DD63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0.037112</w:t>
            </w:r>
          </w:p>
        </w:tc>
        <w:tc>
          <w:tcPr>
            <w:tcW w:w="1530" w:type="dxa"/>
            <w:vAlign w:val="bottom"/>
          </w:tcPr>
          <w:p w14:paraId="3CAF1BE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0.635447</w:t>
            </w:r>
          </w:p>
        </w:tc>
        <w:tc>
          <w:tcPr>
            <w:tcW w:w="1620" w:type="dxa"/>
            <w:vAlign w:val="bottom"/>
          </w:tcPr>
          <w:p w14:paraId="24CF0BD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1.804576</w:t>
            </w:r>
          </w:p>
        </w:tc>
      </w:tr>
      <w:tr w:rsidR="00FB0D63" w:rsidRPr="00FB0D63" w14:paraId="528F2CC6" w14:textId="77777777" w:rsidTr="00AA52A6">
        <w:trPr>
          <w:trHeight w:val="225"/>
        </w:trPr>
        <w:tc>
          <w:tcPr>
            <w:tcW w:w="1425" w:type="dxa"/>
            <w:vAlign w:val="bottom"/>
          </w:tcPr>
          <w:p w14:paraId="022931A4"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Kurtosis</w:t>
            </w:r>
          </w:p>
        </w:tc>
        <w:tc>
          <w:tcPr>
            <w:tcW w:w="1453" w:type="dxa"/>
            <w:vAlign w:val="bottom"/>
          </w:tcPr>
          <w:p w14:paraId="016222A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1.749859</w:t>
            </w:r>
          </w:p>
        </w:tc>
        <w:tc>
          <w:tcPr>
            <w:tcW w:w="1530" w:type="dxa"/>
            <w:vAlign w:val="bottom"/>
          </w:tcPr>
          <w:p w14:paraId="2CD8B58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2.700336</w:t>
            </w:r>
          </w:p>
        </w:tc>
        <w:tc>
          <w:tcPr>
            <w:tcW w:w="1530" w:type="dxa"/>
            <w:vAlign w:val="bottom"/>
          </w:tcPr>
          <w:p w14:paraId="10B9618C"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2.548289</w:t>
            </w:r>
          </w:p>
        </w:tc>
        <w:tc>
          <w:tcPr>
            <w:tcW w:w="1620" w:type="dxa"/>
            <w:vAlign w:val="bottom"/>
          </w:tcPr>
          <w:p w14:paraId="32DFE634"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7.015015</w:t>
            </w:r>
          </w:p>
        </w:tc>
      </w:tr>
      <w:tr w:rsidR="00FB0D63" w:rsidRPr="00FB0D63" w14:paraId="3E8CABEA" w14:textId="77777777" w:rsidTr="00AA52A6">
        <w:trPr>
          <w:trHeight w:val="225"/>
        </w:trPr>
        <w:tc>
          <w:tcPr>
            <w:tcW w:w="1425" w:type="dxa"/>
            <w:vAlign w:val="bottom"/>
          </w:tcPr>
          <w:p w14:paraId="59B57BE3"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Jarque-Bera</w:t>
            </w:r>
          </w:p>
        </w:tc>
        <w:tc>
          <w:tcPr>
            <w:tcW w:w="1453" w:type="dxa"/>
            <w:vAlign w:val="bottom"/>
          </w:tcPr>
          <w:p w14:paraId="225E8E6E"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2.339678</w:t>
            </w:r>
          </w:p>
        </w:tc>
        <w:tc>
          <w:tcPr>
            <w:tcW w:w="1530" w:type="dxa"/>
            <w:vAlign w:val="bottom"/>
          </w:tcPr>
          <w:p w14:paraId="208AD91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0.131048</w:t>
            </w:r>
          </w:p>
        </w:tc>
        <w:tc>
          <w:tcPr>
            <w:tcW w:w="1530" w:type="dxa"/>
            <w:vAlign w:val="bottom"/>
          </w:tcPr>
          <w:p w14:paraId="09B6497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2.501417</w:t>
            </w:r>
          </w:p>
        </w:tc>
        <w:tc>
          <w:tcPr>
            <w:tcW w:w="1620" w:type="dxa"/>
            <w:vAlign w:val="bottom"/>
          </w:tcPr>
          <w:p w14:paraId="312DA12B"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40.07620</w:t>
            </w:r>
          </w:p>
        </w:tc>
      </w:tr>
      <w:tr w:rsidR="00FB0D63" w:rsidRPr="00FB0D63" w14:paraId="29DE80EC" w14:textId="77777777" w:rsidTr="00AA52A6">
        <w:trPr>
          <w:trHeight w:val="225"/>
        </w:trPr>
        <w:tc>
          <w:tcPr>
            <w:tcW w:w="1425" w:type="dxa"/>
            <w:vAlign w:val="bottom"/>
          </w:tcPr>
          <w:p w14:paraId="35ABF9D0"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Probability</w:t>
            </w:r>
          </w:p>
        </w:tc>
        <w:tc>
          <w:tcPr>
            <w:tcW w:w="1453" w:type="dxa"/>
            <w:vAlign w:val="bottom"/>
          </w:tcPr>
          <w:p w14:paraId="219B772F" w14:textId="77777777" w:rsidR="00FB0D63" w:rsidRPr="00FB0D63" w:rsidRDefault="005A1708" w:rsidP="00B34AC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0.0</w:t>
            </w:r>
            <w:r w:rsidR="00FB0D63" w:rsidRPr="00FB0D63">
              <w:rPr>
                <w:rFonts w:ascii="Times New Roman" w:hAnsi="Times New Roman" w:cs="Times New Roman"/>
                <w:color w:val="000000"/>
              </w:rPr>
              <w:t>10417</w:t>
            </w:r>
          </w:p>
        </w:tc>
        <w:tc>
          <w:tcPr>
            <w:tcW w:w="1530" w:type="dxa"/>
            <w:vAlign w:val="bottom"/>
          </w:tcPr>
          <w:p w14:paraId="6437F8A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0.936577</w:t>
            </w:r>
          </w:p>
        </w:tc>
        <w:tc>
          <w:tcPr>
            <w:tcW w:w="1530" w:type="dxa"/>
            <w:vAlign w:val="bottom"/>
          </w:tcPr>
          <w:p w14:paraId="524AE972"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0.286302</w:t>
            </w:r>
          </w:p>
        </w:tc>
        <w:tc>
          <w:tcPr>
            <w:tcW w:w="1620" w:type="dxa"/>
            <w:vAlign w:val="bottom"/>
          </w:tcPr>
          <w:p w14:paraId="1EEA9EE5" w14:textId="77777777" w:rsidR="00FB0D63" w:rsidRPr="00FB0D63" w:rsidRDefault="00FB0D63" w:rsidP="005A1708">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0.</w:t>
            </w:r>
            <w:r w:rsidR="005A1708">
              <w:rPr>
                <w:rFonts w:ascii="Times New Roman" w:hAnsi="Times New Roman" w:cs="Times New Roman"/>
                <w:color w:val="000000"/>
              </w:rPr>
              <w:t>236700</w:t>
            </w:r>
          </w:p>
        </w:tc>
      </w:tr>
      <w:tr w:rsidR="00FB0D63" w:rsidRPr="00FB0D63" w14:paraId="732050D1" w14:textId="77777777" w:rsidTr="00AA52A6">
        <w:trPr>
          <w:trHeight w:val="225"/>
        </w:trPr>
        <w:tc>
          <w:tcPr>
            <w:tcW w:w="1425" w:type="dxa"/>
            <w:vAlign w:val="bottom"/>
          </w:tcPr>
          <w:p w14:paraId="5804AD62" w14:textId="77777777" w:rsidR="00FB0D63" w:rsidRPr="00FB0D63" w:rsidRDefault="00FB0D63" w:rsidP="00B34ACC">
            <w:pPr>
              <w:autoSpaceDE w:val="0"/>
              <w:autoSpaceDN w:val="0"/>
              <w:adjustRightInd w:val="0"/>
              <w:spacing w:after="0" w:line="240" w:lineRule="auto"/>
              <w:rPr>
                <w:rFonts w:ascii="Times New Roman" w:hAnsi="Times New Roman" w:cs="Times New Roman"/>
                <w:b/>
                <w:color w:val="000000"/>
              </w:rPr>
            </w:pPr>
            <w:r w:rsidRPr="00FB0D63">
              <w:rPr>
                <w:rFonts w:ascii="Times New Roman" w:hAnsi="Times New Roman" w:cs="Times New Roman"/>
                <w:b/>
                <w:color w:val="000000"/>
              </w:rPr>
              <w:t> Observations</w:t>
            </w:r>
          </w:p>
        </w:tc>
        <w:tc>
          <w:tcPr>
            <w:tcW w:w="1453" w:type="dxa"/>
            <w:vAlign w:val="bottom"/>
          </w:tcPr>
          <w:p w14:paraId="467C65A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530" w:type="dxa"/>
            <w:vAlign w:val="bottom"/>
          </w:tcPr>
          <w:p w14:paraId="2D54F52A"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530" w:type="dxa"/>
            <w:vAlign w:val="bottom"/>
          </w:tcPr>
          <w:p w14:paraId="2F4E0DE5"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c>
          <w:tcPr>
            <w:tcW w:w="1620" w:type="dxa"/>
            <w:vAlign w:val="bottom"/>
          </w:tcPr>
          <w:p w14:paraId="6077E886" w14:textId="77777777" w:rsidR="00FB0D63" w:rsidRPr="00FB0D63" w:rsidRDefault="00FB0D63" w:rsidP="00B34ACC">
            <w:pPr>
              <w:autoSpaceDE w:val="0"/>
              <w:autoSpaceDN w:val="0"/>
              <w:adjustRightInd w:val="0"/>
              <w:spacing w:after="0" w:line="240" w:lineRule="auto"/>
              <w:jc w:val="center"/>
              <w:rPr>
                <w:rFonts w:ascii="Times New Roman" w:hAnsi="Times New Roman" w:cs="Times New Roman"/>
                <w:color w:val="000000"/>
              </w:rPr>
            </w:pPr>
            <w:r w:rsidRPr="00FB0D63">
              <w:rPr>
                <w:rFonts w:ascii="Times New Roman" w:hAnsi="Times New Roman" w:cs="Times New Roman"/>
                <w:color w:val="000000"/>
              </w:rPr>
              <w:t> 33</w:t>
            </w:r>
          </w:p>
        </w:tc>
      </w:tr>
    </w:tbl>
    <w:p w14:paraId="39C95098" w14:textId="77777777" w:rsidR="002B70D4" w:rsidRDefault="005A1708" w:rsidP="007E47E3">
      <w:pPr>
        <w:shd w:val="clear" w:color="auto" w:fill="FFFFFF"/>
        <w:autoSpaceDE w:val="0"/>
        <w:autoSpaceDN w:val="0"/>
        <w:adjustRightInd w:val="0"/>
        <w:spacing w:before="120" w:after="0" w:line="360" w:lineRule="auto"/>
        <w:jc w:val="both"/>
        <w:rPr>
          <w:rFonts w:ascii="Times New Roman" w:hAnsi="Times New Roman"/>
          <w:bCs/>
          <w:color w:val="000000"/>
          <w:sz w:val="24"/>
          <w:szCs w:val="24"/>
        </w:rPr>
      </w:pPr>
      <w:r w:rsidRPr="005A1708">
        <w:rPr>
          <w:rFonts w:ascii="Times New Roman" w:hAnsi="Times New Roman"/>
          <w:bCs/>
          <w:color w:val="000000"/>
          <w:sz w:val="24"/>
          <w:szCs w:val="24"/>
        </w:rPr>
        <w:t xml:space="preserve">The maximum </w:t>
      </w:r>
      <w:r>
        <w:rPr>
          <w:rFonts w:ascii="Times New Roman" w:hAnsi="Times New Roman"/>
          <w:bCs/>
          <w:color w:val="000000"/>
          <w:sz w:val="24"/>
          <w:szCs w:val="24"/>
        </w:rPr>
        <w:t>enrolment rate for technical and vocational education is 35 per cent of secondary school total enrolment while the minimum is 2.7 per cent. Government spent 8.3 per cent of total expenditure on recurrent education expenditure while 6.2 per cent was on capital expenditure on education. The data are positively skewed and are normally distributed except for TVEE that has negative skewness. The standard deviation of the data from the mean is not too high which confirms the suitability of the data.</w:t>
      </w:r>
    </w:p>
    <w:p w14:paraId="7B25BBFE" w14:textId="77777777" w:rsidR="00D32C05" w:rsidRPr="00915012" w:rsidRDefault="002B70D4" w:rsidP="00D32C05">
      <w:pPr>
        <w:shd w:val="clear" w:color="auto" w:fill="FFFFFF"/>
        <w:autoSpaceDE w:val="0"/>
        <w:autoSpaceDN w:val="0"/>
        <w:adjustRightInd w:val="0"/>
        <w:spacing w:before="240"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sidR="00DD1B1C">
        <w:rPr>
          <w:rFonts w:ascii="Times New Roman" w:hAnsi="Times New Roman"/>
          <w:b/>
          <w:bCs/>
          <w:color w:val="000000"/>
          <w:sz w:val="24"/>
          <w:szCs w:val="24"/>
        </w:rPr>
        <w:t>2</w:t>
      </w:r>
      <w:r>
        <w:rPr>
          <w:rFonts w:ascii="Times New Roman" w:hAnsi="Times New Roman"/>
          <w:b/>
          <w:bCs/>
          <w:color w:val="000000"/>
          <w:sz w:val="24"/>
          <w:szCs w:val="24"/>
        </w:rPr>
        <w:t xml:space="preserve">: </w:t>
      </w:r>
      <w:r w:rsidR="00D32C05" w:rsidRPr="00915012">
        <w:rPr>
          <w:rFonts w:ascii="Times New Roman" w:hAnsi="Times New Roman"/>
          <w:b/>
          <w:bCs/>
          <w:color w:val="000000"/>
          <w:sz w:val="24"/>
          <w:szCs w:val="24"/>
        </w:rPr>
        <w:t>Summary of Unit Root Test Result</w:t>
      </w:r>
    </w:p>
    <w:tbl>
      <w:tblPr>
        <w:tblW w:w="863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80"/>
        <w:gridCol w:w="1530"/>
        <w:gridCol w:w="2610"/>
        <w:gridCol w:w="2273"/>
      </w:tblGrid>
      <w:tr w:rsidR="00D32C05" w:rsidRPr="00915012" w14:paraId="2D7498B0" w14:textId="77777777" w:rsidTr="00AA52A6">
        <w:trPr>
          <w:trHeight w:val="260"/>
        </w:trPr>
        <w:tc>
          <w:tcPr>
            <w:tcW w:w="1145" w:type="dxa"/>
            <w:tcBorders>
              <w:left w:val="single" w:sz="4" w:space="0" w:color="auto"/>
            </w:tcBorders>
          </w:tcPr>
          <w:p w14:paraId="71AA0B3D" w14:textId="77777777" w:rsidR="00D32C05" w:rsidRPr="00915012" w:rsidRDefault="00D32C05" w:rsidP="000D5B59">
            <w:pPr>
              <w:autoSpaceDE w:val="0"/>
              <w:autoSpaceDN w:val="0"/>
              <w:adjustRightInd w:val="0"/>
              <w:spacing w:after="0" w:line="240" w:lineRule="auto"/>
              <w:jc w:val="both"/>
              <w:rPr>
                <w:rFonts w:ascii="Times New Roman" w:hAnsi="Times New Roman"/>
                <w:b/>
              </w:rPr>
            </w:pPr>
          </w:p>
        </w:tc>
        <w:tc>
          <w:tcPr>
            <w:tcW w:w="2610" w:type="dxa"/>
            <w:gridSpan w:val="2"/>
            <w:tcBorders>
              <w:left w:val="single" w:sz="4" w:space="0" w:color="auto"/>
            </w:tcBorders>
          </w:tcPr>
          <w:p w14:paraId="237E08B1"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ADF Test statistics</w:t>
            </w:r>
          </w:p>
        </w:tc>
        <w:tc>
          <w:tcPr>
            <w:tcW w:w="4883" w:type="dxa"/>
            <w:gridSpan w:val="2"/>
            <w:tcBorders>
              <w:left w:val="single" w:sz="4" w:space="0" w:color="auto"/>
            </w:tcBorders>
          </w:tcPr>
          <w:p w14:paraId="35202693" w14:textId="77777777" w:rsidR="00D32C05" w:rsidRPr="00915012" w:rsidRDefault="00D32C05" w:rsidP="000D5B59">
            <w:pPr>
              <w:autoSpaceDE w:val="0"/>
              <w:autoSpaceDN w:val="0"/>
              <w:adjustRightInd w:val="0"/>
              <w:spacing w:after="0" w:line="240" w:lineRule="auto"/>
              <w:jc w:val="both"/>
              <w:rPr>
                <w:rFonts w:ascii="Times New Roman" w:hAnsi="Times New Roman"/>
                <w:b/>
              </w:rPr>
            </w:pPr>
          </w:p>
        </w:tc>
      </w:tr>
      <w:tr w:rsidR="00D32C05" w:rsidRPr="00915012" w14:paraId="14B100B4" w14:textId="77777777" w:rsidTr="00AA52A6">
        <w:tc>
          <w:tcPr>
            <w:tcW w:w="1145" w:type="dxa"/>
          </w:tcPr>
          <w:p w14:paraId="6D12761F"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Variable</w:t>
            </w:r>
          </w:p>
        </w:tc>
        <w:tc>
          <w:tcPr>
            <w:tcW w:w="1080" w:type="dxa"/>
          </w:tcPr>
          <w:p w14:paraId="784A6976"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At Level</w:t>
            </w:r>
          </w:p>
        </w:tc>
        <w:tc>
          <w:tcPr>
            <w:tcW w:w="1530" w:type="dxa"/>
          </w:tcPr>
          <w:p w14:paraId="59BCCAC7"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1</w:t>
            </w:r>
            <w:r w:rsidRPr="00915012">
              <w:rPr>
                <w:rFonts w:ascii="Times New Roman" w:hAnsi="Times New Roman"/>
                <w:b/>
                <w:vertAlign w:val="superscript"/>
              </w:rPr>
              <w:t>st</w:t>
            </w:r>
            <w:r w:rsidRPr="00915012">
              <w:rPr>
                <w:rFonts w:ascii="Times New Roman" w:hAnsi="Times New Roman"/>
                <w:b/>
              </w:rPr>
              <w:t xml:space="preserve"> Difference</w:t>
            </w:r>
          </w:p>
        </w:tc>
        <w:tc>
          <w:tcPr>
            <w:tcW w:w="2610" w:type="dxa"/>
          </w:tcPr>
          <w:p w14:paraId="3ABC1853"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Decision</w:t>
            </w:r>
          </w:p>
        </w:tc>
        <w:tc>
          <w:tcPr>
            <w:tcW w:w="2273" w:type="dxa"/>
          </w:tcPr>
          <w:p w14:paraId="5CFDEE6F" w14:textId="77777777" w:rsidR="00D32C05" w:rsidRPr="00915012" w:rsidRDefault="00D32C05" w:rsidP="000D5B59">
            <w:pPr>
              <w:autoSpaceDE w:val="0"/>
              <w:autoSpaceDN w:val="0"/>
              <w:adjustRightInd w:val="0"/>
              <w:spacing w:after="0" w:line="240" w:lineRule="auto"/>
              <w:jc w:val="both"/>
              <w:rPr>
                <w:rFonts w:ascii="Times New Roman" w:hAnsi="Times New Roman"/>
                <w:b/>
              </w:rPr>
            </w:pPr>
            <w:r w:rsidRPr="00915012">
              <w:rPr>
                <w:rFonts w:ascii="Times New Roman" w:hAnsi="Times New Roman"/>
                <w:b/>
              </w:rPr>
              <w:t>Order of Integration</w:t>
            </w:r>
          </w:p>
        </w:tc>
      </w:tr>
      <w:tr w:rsidR="00D32C05" w:rsidRPr="00915012" w14:paraId="7AA6A59D" w14:textId="77777777" w:rsidTr="00AA52A6">
        <w:tc>
          <w:tcPr>
            <w:tcW w:w="1145" w:type="dxa"/>
          </w:tcPr>
          <w:p w14:paraId="6574ADD7"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TVEE</w:t>
            </w:r>
          </w:p>
        </w:tc>
        <w:tc>
          <w:tcPr>
            <w:tcW w:w="1080" w:type="dxa"/>
          </w:tcPr>
          <w:p w14:paraId="483DF0A4"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-0.</w:t>
            </w:r>
            <w:r w:rsidR="00CA2AE8">
              <w:rPr>
                <w:rFonts w:ascii="Times New Roman" w:hAnsi="Times New Roman"/>
              </w:rPr>
              <w:t>6007</w:t>
            </w:r>
          </w:p>
          <w:p w14:paraId="0B458DC3"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0.8568]</w:t>
            </w:r>
          </w:p>
        </w:tc>
        <w:tc>
          <w:tcPr>
            <w:tcW w:w="1530" w:type="dxa"/>
          </w:tcPr>
          <w:p w14:paraId="065C1E93"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6</w:t>
            </w:r>
            <w:r w:rsidRPr="00915012">
              <w:rPr>
                <w:rFonts w:ascii="Times New Roman" w:hAnsi="Times New Roman"/>
              </w:rPr>
              <w:t>.</w:t>
            </w:r>
            <w:r w:rsidR="00CA2AE8">
              <w:rPr>
                <w:rFonts w:ascii="Times New Roman" w:hAnsi="Times New Roman"/>
              </w:rPr>
              <w:t>2361</w:t>
            </w:r>
          </w:p>
          <w:p w14:paraId="170DB1BD"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0.0000]</w:t>
            </w:r>
          </w:p>
        </w:tc>
        <w:tc>
          <w:tcPr>
            <w:tcW w:w="2610" w:type="dxa"/>
          </w:tcPr>
          <w:p w14:paraId="03686C51"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Stationary at 1</w:t>
            </w:r>
            <w:r w:rsidRPr="00915012">
              <w:rPr>
                <w:rFonts w:ascii="Times New Roman" w:hAnsi="Times New Roman"/>
                <w:vertAlign w:val="superscript"/>
              </w:rPr>
              <w:t>st</w:t>
            </w:r>
            <w:r w:rsidRPr="00915012">
              <w:rPr>
                <w:rFonts w:ascii="Times New Roman" w:hAnsi="Times New Roman"/>
              </w:rPr>
              <w:t xml:space="preserve"> difference</w:t>
            </w:r>
          </w:p>
        </w:tc>
        <w:tc>
          <w:tcPr>
            <w:tcW w:w="2273" w:type="dxa"/>
          </w:tcPr>
          <w:p w14:paraId="58100BEF"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I(1)</w:t>
            </w:r>
          </w:p>
        </w:tc>
      </w:tr>
      <w:tr w:rsidR="00D32C05" w:rsidRPr="00915012" w14:paraId="1E846F42" w14:textId="77777777" w:rsidTr="00AA52A6">
        <w:tc>
          <w:tcPr>
            <w:tcW w:w="1145" w:type="dxa"/>
          </w:tcPr>
          <w:p w14:paraId="662C7769"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RECFI</w:t>
            </w:r>
          </w:p>
        </w:tc>
        <w:tc>
          <w:tcPr>
            <w:tcW w:w="1080" w:type="dxa"/>
          </w:tcPr>
          <w:p w14:paraId="52EDEF41"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3</w:t>
            </w:r>
            <w:r w:rsidRPr="00915012">
              <w:rPr>
                <w:rFonts w:ascii="Times New Roman" w:hAnsi="Times New Roman"/>
              </w:rPr>
              <w:t>.</w:t>
            </w:r>
            <w:r w:rsidR="00CA2AE8">
              <w:rPr>
                <w:rFonts w:ascii="Times New Roman" w:hAnsi="Times New Roman"/>
              </w:rPr>
              <w:t>1383</w:t>
            </w:r>
          </w:p>
          <w:p w14:paraId="0D0070F9"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0.0336]</w:t>
            </w:r>
          </w:p>
        </w:tc>
        <w:tc>
          <w:tcPr>
            <w:tcW w:w="1530" w:type="dxa"/>
          </w:tcPr>
          <w:p w14:paraId="64FACA8F" w14:textId="77777777" w:rsidR="00D32C05"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8</w:t>
            </w:r>
            <w:r w:rsidRPr="00915012">
              <w:rPr>
                <w:rFonts w:ascii="Times New Roman" w:hAnsi="Times New Roman"/>
              </w:rPr>
              <w:t>.</w:t>
            </w:r>
            <w:r w:rsidR="00CA2AE8">
              <w:rPr>
                <w:rFonts w:ascii="Times New Roman" w:hAnsi="Times New Roman"/>
              </w:rPr>
              <w:t>1735</w:t>
            </w:r>
          </w:p>
          <w:p w14:paraId="0439C272" w14:textId="77777777" w:rsidR="00265774"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w:t>
            </w:r>
            <w:r w:rsidR="00CA2AE8">
              <w:rPr>
                <w:rFonts w:ascii="Times New Roman" w:hAnsi="Times New Roman"/>
              </w:rPr>
              <w:t>0.0000]</w:t>
            </w:r>
          </w:p>
        </w:tc>
        <w:tc>
          <w:tcPr>
            <w:tcW w:w="2610" w:type="dxa"/>
          </w:tcPr>
          <w:p w14:paraId="36E53182"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 xml:space="preserve">Stationary at </w:t>
            </w:r>
            <w:r w:rsidR="002B70D4">
              <w:rPr>
                <w:rFonts w:ascii="Times New Roman" w:hAnsi="Times New Roman"/>
              </w:rPr>
              <w:t>Level</w:t>
            </w:r>
          </w:p>
        </w:tc>
        <w:tc>
          <w:tcPr>
            <w:tcW w:w="2273" w:type="dxa"/>
          </w:tcPr>
          <w:p w14:paraId="11A91482"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I(</w:t>
            </w:r>
            <w:r w:rsidR="002B70D4">
              <w:rPr>
                <w:rFonts w:ascii="Times New Roman" w:hAnsi="Times New Roman"/>
              </w:rPr>
              <w:t>0</w:t>
            </w:r>
            <w:r w:rsidRPr="00915012">
              <w:rPr>
                <w:rFonts w:ascii="Times New Roman" w:hAnsi="Times New Roman"/>
              </w:rPr>
              <w:t>)</w:t>
            </w:r>
          </w:p>
        </w:tc>
      </w:tr>
      <w:tr w:rsidR="00D32C05" w:rsidRPr="00915012" w14:paraId="2C017CEE" w14:textId="77777777" w:rsidTr="00AA52A6">
        <w:tc>
          <w:tcPr>
            <w:tcW w:w="1145" w:type="dxa"/>
          </w:tcPr>
          <w:p w14:paraId="59ACFB03"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CAPFI</w:t>
            </w:r>
          </w:p>
        </w:tc>
        <w:tc>
          <w:tcPr>
            <w:tcW w:w="1080" w:type="dxa"/>
          </w:tcPr>
          <w:p w14:paraId="5C26793B" w14:textId="77777777" w:rsidR="00D32C05" w:rsidRDefault="00D32C05" w:rsidP="00CA2AE8">
            <w:pPr>
              <w:autoSpaceDE w:val="0"/>
              <w:autoSpaceDN w:val="0"/>
              <w:adjustRightInd w:val="0"/>
              <w:spacing w:after="0" w:line="240" w:lineRule="auto"/>
              <w:jc w:val="both"/>
              <w:rPr>
                <w:rFonts w:ascii="Times New Roman" w:hAnsi="Times New Roman"/>
              </w:rPr>
            </w:pPr>
            <w:r w:rsidRPr="00915012">
              <w:rPr>
                <w:rFonts w:ascii="Times New Roman" w:hAnsi="Times New Roman"/>
              </w:rPr>
              <w:t>-1.</w:t>
            </w:r>
            <w:r w:rsidR="00CA2AE8">
              <w:rPr>
                <w:rFonts w:ascii="Times New Roman" w:hAnsi="Times New Roman"/>
              </w:rPr>
              <w:t>8903</w:t>
            </w:r>
          </w:p>
          <w:p w14:paraId="4B05AFCA" w14:textId="77777777" w:rsidR="00CA2AE8" w:rsidRPr="00915012" w:rsidRDefault="00CA2AE8" w:rsidP="00CA2AE8">
            <w:pPr>
              <w:autoSpaceDE w:val="0"/>
              <w:autoSpaceDN w:val="0"/>
              <w:adjustRightInd w:val="0"/>
              <w:spacing w:after="0" w:line="240" w:lineRule="auto"/>
              <w:jc w:val="both"/>
              <w:rPr>
                <w:rFonts w:ascii="Times New Roman" w:hAnsi="Times New Roman"/>
              </w:rPr>
            </w:pPr>
            <w:r>
              <w:rPr>
                <w:rFonts w:ascii="Times New Roman" w:hAnsi="Times New Roman"/>
              </w:rPr>
              <w:t>[0.3323]</w:t>
            </w:r>
          </w:p>
        </w:tc>
        <w:tc>
          <w:tcPr>
            <w:tcW w:w="1530" w:type="dxa"/>
          </w:tcPr>
          <w:p w14:paraId="3435ACAE" w14:textId="77777777" w:rsidR="00D32C05" w:rsidRDefault="00D32C05" w:rsidP="00CA2AE8">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CA2AE8">
              <w:rPr>
                <w:rFonts w:ascii="Times New Roman" w:hAnsi="Times New Roman"/>
              </w:rPr>
              <w:t>9</w:t>
            </w:r>
            <w:r w:rsidRPr="00915012">
              <w:rPr>
                <w:rFonts w:ascii="Times New Roman" w:hAnsi="Times New Roman"/>
              </w:rPr>
              <w:t>.</w:t>
            </w:r>
            <w:r w:rsidR="00CA2AE8">
              <w:rPr>
                <w:rFonts w:ascii="Times New Roman" w:hAnsi="Times New Roman"/>
              </w:rPr>
              <w:t>6884</w:t>
            </w:r>
          </w:p>
          <w:p w14:paraId="0A2E4FF4" w14:textId="77777777" w:rsidR="00CA2AE8" w:rsidRPr="00915012" w:rsidRDefault="00CA2AE8" w:rsidP="00CA2AE8">
            <w:pPr>
              <w:autoSpaceDE w:val="0"/>
              <w:autoSpaceDN w:val="0"/>
              <w:adjustRightInd w:val="0"/>
              <w:spacing w:after="0" w:line="240" w:lineRule="auto"/>
              <w:jc w:val="both"/>
              <w:rPr>
                <w:rFonts w:ascii="Times New Roman" w:hAnsi="Times New Roman"/>
              </w:rPr>
            </w:pPr>
            <w:r>
              <w:rPr>
                <w:rFonts w:ascii="Times New Roman" w:hAnsi="Times New Roman"/>
              </w:rPr>
              <w:t>[0.0000]</w:t>
            </w:r>
          </w:p>
        </w:tc>
        <w:tc>
          <w:tcPr>
            <w:tcW w:w="2610" w:type="dxa"/>
          </w:tcPr>
          <w:p w14:paraId="2DBDF4B8"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Stationary at 1</w:t>
            </w:r>
            <w:r w:rsidRPr="00915012">
              <w:rPr>
                <w:rFonts w:ascii="Times New Roman" w:hAnsi="Times New Roman"/>
                <w:vertAlign w:val="superscript"/>
              </w:rPr>
              <w:t>st</w:t>
            </w:r>
            <w:r w:rsidRPr="00915012">
              <w:rPr>
                <w:rFonts w:ascii="Times New Roman" w:hAnsi="Times New Roman"/>
              </w:rPr>
              <w:t xml:space="preserve"> difference</w:t>
            </w:r>
          </w:p>
        </w:tc>
        <w:tc>
          <w:tcPr>
            <w:tcW w:w="2273" w:type="dxa"/>
          </w:tcPr>
          <w:p w14:paraId="6B620FB5"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I(1)</w:t>
            </w:r>
          </w:p>
        </w:tc>
      </w:tr>
      <w:tr w:rsidR="00D32C05" w:rsidRPr="00915012" w14:paraId="0193ACDF" w14:textId="77777777" w:rsidTr="00AA52A6">
        <w:tc>
          <w:tcPr>
            <w:tcW w:w="1145" w:type="dxa"/>
          </w:tcPr>
          <w:p w14:paraId="502278C6" w14:textId="77777777" w:rsidR="00D32C05" w:rsidRPr="00915012" w:rsidRDefault="00265774" w:rsidP="000D5B59">
            <w:pPr>
              <w:autoSpaceDE w:val="0"/>
              <w:autoSpaceDN w:val="0"/>
              <w:adjustRightInd w:val="0"/>
              <w:spacing w:after="0" w:line="240" w:lineRule="auto"/>
              <w:jc w:val="both"/>
              <w:rPr>
                <w:rFonts w:ascii="Times New Roman" w:hAnsi="Times New Roman"/>
              </w:rPr>
            </w:pPr>
            <w:r>
              <w:rPr>
                <w:rFonts w:ascii="Times New Roman" w:hAnsi="Times New Roman"/>
              </w:rPr>
              <w:t>PRIFI</w:t>
            </w:r>
          </w:p>
        </w:tc>
        <w:tc>
          <w:tcPr>
            <w:tcW w:w="1080" w:type="dxa"/>
          </w:tcPr>
          <w:p w14:paraId="55801440" w14:textId="77777777" w:rsidR="00D32C05" w:rsidRDefault="00D32C05" w:rsidP="009E55A0">
            <w:pPr>
              <w:autoSpaceDE w:val="0"/>
              <w:autoSpaceDN w:val="0"/>
              <w:adjustRightInd w:val="0"/>
              <w:spacing w:after="0" w:line="240" w:lineRule="auto"/>
              <w:jc w:val="both"/>
              <w:rPr>
                <w:rFonts w:ascii="Times New Roman" w:hAnsi="Times New Roman"/>
              </w:rPr>
            </w:pPr>
            <w:r w:rsidRPr="00915012">
              <w:rPr>
                <w:rFonts w:ascii="Times New Roman" w:hAnsi="Times New Roman"/>
              </w:rPr>
              <w:t>-</w:t>
            </w:r>
            <w:r w:rsidR="009E55A0">
              <w:rPr>
                <w:rFonts w:ascii="Times New Roman" w:hAnsi="Times New Roman"/>
              </w:rPr>
              <w:t>4</w:t>
            </w:r>
            <w:r w:rsidRPr="00915012">
              <w:rPr>
                <w:rFonts w:ascii="Times New Roman" w:hAnsi="Times New Roman"/>
              </w:rPr>
              <w:t>.</w:t>
            </w:r>
            <w:r w:rsidR="009E55A0">
              <w:rPr>
                <w:rFonts w:ascii="Times New Roman" w:hAnsi="Times New Roman"/>
              </w:rPr>
              <w:t>1524</w:t>
            </w:r>
          </w:p>
          <w:p w14:paraId="2D95D0AA" w14:textId="77777777" w:rsidR="009E55A0" w:rsidRPr="00915012" w:rsidRDefault="009E55A0" w:rsidP="009E55A0">
            <w:pPr>
              <w:autoSpaceDE w:val="0"/>
              <w:autoSpaceDN w:val="0"/>
              <w:adjustRightInd w:val="0"/>
              <w:spacing w:after="0" w:line="240" w:lineRule="auto"/>
              <w:jc w:val="both"/>
              <w:rPr>
                <w:rFonts w:ascii="Times New Roman" w:hAnsi="Times New Roman"/>
              </w:rPr>
            </w:pPr>
            <w:r>
              <w:rPr>
                <w:rFonts w:ascii="Times New Roman" w:hAnsi="Times New Roman"/>
              </w:rPr>
              <w:t>[0.0029]</w:t>
            </w:r>
          </w:p>
        </w:tc>
        <w:tc>
          <w:tcPr>
            <w:tcW w:w="1530" w:type="dxa"/>
          </w:tcPr>
          <w:p w14:paraId="6772D56F" w14:textId="77777777" w:rsidR="00D32C05" w:rsidRDefault="00D32C05" w:rsidP="009E55A0">
            <w:pPr>
              <w:autoSpaceDE w:val="0"/>
              <w:autoSpaceDN w:val="0"/>
              <w:adjustRightInd w:val="0"/>
              <w:spacing w:after="0" w:line="240" w:lineRule="auto"/>
              <w:jc w:val="both"/>
              <w:rPr>
                <w:rFonts w:ascii="Times New Roman" w:hAnsi="Times New Roman"/>
              </w:rPr>
            </w:pPr>
            <w:r w:rsidRPr="00915012">
              <w:rPr>
                <w:rFonts w:ascii="Times New Roman" w:hAnsi="Times New Roman"/>
              </w:rPr>
              <w:t>-4.</w:t>
            </w:r>
            <w:r w:rsidR="009E55A0">
              <w:rPr>
                <w:rFonts w:ascii="Times New Roman" w:hAnsi="Times New Roman"/>
              </w:rPr>
              <w:t>4778</w:t>
            </w:r>
          </w:p>
          <w:p w14:paraId="3B72EEB2" w14:textId="77777777" w:rsidR="009E55A0" w:rsidRPr="00915012" w:rsidRDefault="009E55A0" w:rsidP="009E55A0">
            <w:pPr>
              <w:autoSpaceDE w:val="0"/>
              <w:autoSpaceDN w:val="0"/>
              <w:adjustRightInd w:val="0"/>
              <w:spacing w:after="0" w:line="240" w:lineRule="auto"/>
              <w:jc w:val="both"/>
              <w:rPr>
                <w:rFonts w:ascii="Times New Roman" w:hAnsi="Times New Roman"/>
              </w:rPr>
            </w:pPr>
            <w:r>
              <w:rPr>
                <w:rFonts w:ascii="Times New Roman" w:hAnsi="Times New Roman"/>
              </w:rPr>
              <w:t>[0.0013]</w:t>
            </w:r>
          </w:p>
        </w:tc>
        <w:tc>
          <w:tcPr>
            <w:tcW w:w="2610" w:type="dxa"/>
          </w:tcPr>
          <w:p w14:paraId="433C07AB" w14:textId="77777777" w:rsidR="00D32C05" w:rsidRPr="00915012" w:rsidRDefault="00D32C05" w:rsidP="000D5B59">
            <w:pPr>
              <w:autoSpaceDE w:val="0"/>
              <w:autoSpaceDN w:val="0"/>
              <w:adjustRightInd w:val="0"/>
              <w:spacing w:after="0" w:line="240" w:lineRule="auto"/>
              <w:jc w:val="both"/>
              <w:rPr>
                <w:rFonts w:ascii="Times New Roman" w:hAnsi="Times New Roman"/>
              </w:rPr>
            </w:pPr>
            <w:r w:rsidRPr="00915012">
              <w:rPr>
                <w:rFonts w:ascii="Times New Roman" w:hAnsi="Times New Roman"/>
              </w:rPr>
              <w:t xml:space="preserve">Stationary at </w:t>
            </w:r>
            <w:r w:rsidR="002B70D4">
              <w:rPr>
                <w:rFonts w:ascii="Times New Roman" w:hAnsi="Times New Roman"/>
              </w:rPr>
              <w:t>Level</w:t>
            </w:r>
          </w:p>
        </w:tc>
        <w:tc>
          <w:tcPr>
            <w:tcW w:w="2273" w:type="dxa"/>
          </w:tcPr>
          <w:p w14:paraId="70FEFF43" w14:textId="77777777" w:rsidR="00D32C05" w:rsidRPr="00915012" w:rsidRDefault="00D32C05" w:rsidP="002B70D4">
            <w:pPr>
              <w:autoSpaceDE w:val="0"/>
              <w:autoSpaceDN w:val="0"/>
              <w:adjustRightInd w:val="0"/>
              <w:spacing w:after="0" w:line="240" w:lineRule="auto"/>
              <w:jc w:val="both"/>
              <w:rPr>
                <w:rFonts w:ascii="Times New Roman" w:hAnsi="Times New Roman"/>
              </w:rPr>
            </w:pPr>
            <w:r w:rsidRPr="00915012">
              <w:rPr>
                <w:rFonts w:ascii="Times New Roman" w:hAnsi="Times New Roman"/>
              </w:rPr>
              <w:t>I(</w:t>
            </w:r>
            <w:r w:rsidR="002B70D4">
              <w:rPr>
                <w:rFonts w:ascii="Times New Roman" w:hAnsi="Times New Roman"/>
              </w:rPr>
              <w:t>0</w:t>
            </w:r>
            <w:r w:rsidRPr="00915012">
              <w:rPr>
                <w:rFonts w:ascii="Times New Roman" w:hAnsi="Times New Roman"/>
              </w:rPr>
              <w:t>)</w:t>
            </w:r>
          </w:p>
        </w:tc>
      </w:tr>
      <w:tr w:rsidR="00630F59" w:rsidRPr="00915012" w14:paraId="6B2874BC" w14:textId="77777777" w:rsidTr="00175F9E">
        <w:tc>
          <w:tcPr>
            <w:tcW w:w="8638" w:type="dxa"/>
            <w:gridSpan w:val="5"/>
          </w:tcPr>
          <w:p w14:paraId="195BA07C" w14:textId="77777777" w:rsidR="00630F59" w:rsidRPr="00915012" w:rsidRDefault="00630F59" w:rsidP="00630F59">
            <w:pPr>
              <w:autoSpaceDE w:val="0"/>
              <w:autoSpaceDN w:val="0"/>
              <w:adjustRightInd w:val="0"/>
              <w:spacing w:after="0" w:line="240" w:lineRule="auto"/>
              <w:jc w:val="both"/>
              <w:rPr>
                <w:rFonts w:ascii="Times New Roman" w:hAnsi="Times New Roman"/>
              </w:rPr>
            </w:pPr>
            <w:r>
              <w:rPr>
                <w:rFonts w:ascii="Times New Roman" w:hAnsi="Times New Roman" w:cs="Times New Roman"/>
                <w:color w:val="000000"/>
              </w:rPr>
              <w:t xml:space="preserve">ARDL Bounds </w:t>
            </w:r>
            <w:r w:rsidRPr="00D779F0">
              <w:rPr>
                <w:rFonts w:ascii="Times New Roman" w:hAnsi="Times New Roman" w:cs="Times New Roman"/>
                <w:color w:val="000000"/>
              </w:rPr>
              <w:t>F-statistic</w:t>
            </w:r>
            <w:r>
              <w:rPr>
                <w:rFonts w:ascii="Times New Roman" w:hAnsi="Times New Roman" w:cs="Times New Roman"/>
                <w:color w:val="000000"/>
              </w:rPr>
              <w:t xml:space="preserve"> = </w:t>
            </w:r>
            <w:r w:rsidRPr="00D779F0">
              <w:rPr>
                <w:rFonts w:ascii="Times New Roman" w:hAnsi="Times New Roman" w:cs="Times New Roman"/>
                <w:color w:val="000000"/>
              </w:rPr>
              <w:t>0.807834</w:t>
            </w:r>
            <w:r>
              <w:rPr>
                <w:rFonts w:ascii="Times New Roman" w:hAnsi="Times New Roman" w:cs="Times New Roman"/>
                <w:color w:val="000000"/>
              </w:rPr>
              <w:t xml:space="preserve">; 5% I(0) Bound = </w:t>
            </w:r>
            <w:r w:rsidRPr="00D779F0">
              <w:rPr>
                <w:rFonts w:ascii="Times New Roman" w:hAnsi="Times New Roman" w:cs="Times New Roman"/>
                <w:color w:val="000000"/>
              </w:rPr>
              <w:t>3.23</w:t>
            </w:r>
            <w:r>
              <w:rPr>
                <w:rFonts w:ascii="Times New Roman" w:hAnsi="Times New Roman" w:cs="Times New Roman"/>
                <w:color w:val="000000"/>
              </w:rPr>
              <w:t xml:space="preserve">; 5% I(1) Bound = </w:t>
            </w:r>
            <w:r w:rsidRPr="00D779F0">
              <w:rPr>
                <w:rFonts w:ascii="Times New Roman" w:hAnsi="Times New Roman" w:cs="Times New Roman"/>
                <w:color w:val="000000"/>
              </w:rPr>
              <w:t>4.35</w:t>
            </w:r>
          </w:p>
        </w:tc>
      </w:tr>
    </w:tbl>
    <w:p w14:paraId="0A1344C7" w14:textId="77777777" w:rsidR="00D32C05" w:rsidRPr="006E4A05" w:rsidRDefault="00D32C05" w:rsidP="00D32C05">
      <w:pPr>
        <w:shd w:val="clear" w:color="auto" w:fill="FFFFFF"/>
        <w:autoSpaceDE w:val="0"/>
        <w:autoSpaceDN w:val="0"/>
        <w:adjustRightInd w:val="0"/>
        <w:spacing w:after="0" w:line="240" w:lineRule="auto"/>
        <w:jc w:val="both"/>
        <w:rPr>
          <w:rFonts w:ascii="Times New Roman" w:hAnsi="Times New Roman"/>
          <w:i/>
          <w:sz w:val="24"/>
          <w:szCs w:val="24"/>
        </w:rPr>
      </w:pPr>
      <w:r w:rsidRPr="006E4A05">
        <w:rPr>
          <w:rFonts w:ascii="Times New Roman" w:hAnsi="Times New Roman"/>
          <w:i/>
          <w:color w:val="000000"/>
          <w:sz w:val="24"/>
          <w:szCs w:val="24"/>
        </w:rPr>
        <w:t>Source: Researchers’ Computation using E-Views 9.0</w:t>
      </w:r>
    </w:p>
    <w:p w14:paraId="20423487" w14:textId="77777777" w:rsidR="00D32C05" w:rsidRPr="00915012" w:rsidRDefault="00D32C05" w:rsidP="007E47E3">
      <w:pPr>
        <w:shd w:val="clear" w:color="auto" w:fill="FFFFFF"/>
        <w:autoSpaceDE w:val="0"/>
        <w:autoSpaceDN w:val="0"/>
        <w:adjustRightInd w:val="0"/>
        <w:spacing w:before="120" w:after="0" w:line="360" w:lineRule="auto"/>
        <w:jc w:val="both"/>
        <w:rPr>
          <w:rFonts w:ascii="Times New Roman" w:hAnsi="Times New Roman"/>
          <w:sz w:val="24"/>
          <w:szCs w:val="24"/>
        </w:rPr>
      </w:pPr>
      <w:r w:rsidRPr="00915012">
        <w:rPr>
          <w:rFonts w:ascii="Times New Roman" w:hAnsi="Times New Roman"/>
          <w:color w:val="000000"/>
          <w:sz w:val="24"/>
          <w:szCs w:val="24"/>
        </w:rPr>
        <w:t xml:space="preserve">The unit root test above reveals that </w:t>
      </w:r>
      <w:r w:rsidR="00E65904">
        <w:rPr>
          <w:rFonts w:ascii="Times New Roman" w:hAnsi="Times New Roman"/>
          <w:color w:val="000000"/>
          <w:sz w:val="24"/>
          <w:szCs w:val="24"/>
        </w:rPr>
        <w:t xml:space="preserve">technical and vocational education enrolment </w:t>
      </w:r>
      <w:r w:rsidRPr="00915012">
        <w:rPr>
          <w:rFonts w:ascii="Times New Roman" w:hAnsi="Times New Roman"/>
          <w:color w:val="000000"/>
          <w:sz w:val="24"/>
          <w:szCs w:val="24"/>
        </w:rPr>
        <w:t>(</w:t>
      </w:r>
      <w:r w:rsidR="00E65904">
        <w:rPr>
          <w:rFonts w:ascii="Times New Roman" w:hAnsi="Times New Roman"/>
          <w:color w:val="000000"/>
          <w:sz w:val="24"/>
          <w:szCs w:val="24"/>
        </w:rPr>
        <w:t>TVEE</w:t>
      </w:r>
      <w:r w:rsidRPr="00915012">
        <w:rPr>
          <w:rFonts w:ascii="Times New Roman" w:hAnsi="Times New Roman"/>
          <w:color w:val="000000"/>
          <w:sz w:val="24"/>
          <w:szCs w:val="24"/>
        </w:rPr>
        <w:t xml:space="preserve">) </w:t>
      </w:r>
      <w:r w:rsidR="00E65904">
        <w:rPr>
          <w:rFonts w:ascii="Times New Roman" w:hAnsi="Times New Roman"/>
          <w:color w:val="000000"/>
          <w:sz w:val="24"/>
          <w:szCs w:val="24"/>
        </w:rPr>
        <w:t>and capital expenditure</w:t>
      </w:r>
      <w:r w:rsidRPr="00915012">
        <w:rPr>
          <w:rFonts w:ascii="Times New Roman" w:hAnsi="Times New Roman"/>
          <w:color w:val="000000"/>
          <w:sz w:val="24"/>
          <w:szCs w:val="24"/>
        </w:rPr>
        <w:t xml:space="preserve"> (</w:t>
      </w:r>
      <w:r w:rsidR="00E65904">
        <w:rPr>
          <w:rFonts w:ascii="Times New Roman" w:hAnsi="Times New Roman"/>
          <w:color w:val="000000"/>
          <w:sz w:val="24"/>
          <w:szCs w:val="24"/>
        </w:rPr>
        <w:t xml:space="preserve">CAPFI) </w:t>
      </w:r>
      <w:r w:rsidRPr="00915012">
        <w:rPr>
          <w:rFonts w:ascii="Times New Roman" w:hAnsi="Times New Roman"/>
          <w:sz w:val="24"/>
          <w:szCs w:val="24"/>
        </w:rPr>
        <w:t xml:space="preserve">are </w:t>
      </w:r>
      <w:r w:rsidR="00E65904">
        <w:rPr>
          <w:rFonts w:ascii="Times New Roman" w:hAnsi="Times New Roman"/>
          <w:sz w:val="24"/>
          <w:szCs w:val="24"/>
        </w:rPr>
        <w:t>both</w:t>
      </w:r>
      <w:r w:rsidRPr="00915012">
        <w:rPr>
          <w:rFonts w:ascii="Times New Roman" w:hAnsi="Times New Roman"/>
          <w:sz w:val="24"/>
          <w:szCs w:val="24"/>
        </w:rPr>
        <w:t xml:space="preserve"> stationary at first difference and are said to be integrated of order one, I(1). </w:t>
      </w:r>
      <w:r w:rsidR="00E65904">
        <w:rPr>
          <w:rFonts w:ascii="Times New Roman" w:hAnsi="Times New Roman"/>
          <w:sz w:val="24"/>
          <w:szCs w:val="24"/>
        </w:rPr>
        <w:t>Recurrent expenditure o</w:t>
      </w:r>
      <w:r w:rsidR="00630F59">
        <w:rPr>
          <w:rFonts w:ascii="Times New Roman" w:hAnsi="Times New Roman"/>
          <w:sz w:val="24"/>
          <w:szCs w:val="24"/>
        </w:rPr>
        <w:t>n</w:t>
      </w:r>
      <w:r w:rsidR="00E65904">
        <w:rPr>
          <w:rFonts w:ascii="Times New Roman" w:hAnsi="Times New Roman"/>
          <w:sz w:val="24"/>
          <w:szCs w:val="24"/>
        </w:rPr>
        <w:t xml:space="preserve"> education (RECFI) and private financing of education (PRIFI) are stationary at level i.e. </w:t>
      </w:r>
      <w:proofErr w:type="gramStart"/>
      <w:r w:rsidR="00E65904">
        <w:rPr>
          <w:rFonts w:ascii="Times New Roman" w:hAnsi="Times New Roman"/>
          <w:sz w:val="24"/>
          <w:szCs w:val="24"/>
        </w:rPr>
        <w:t>I(</w:t>
      </w:r>
      <w:proofErr w:type="gramEnd"/>
      <w:r w:rsidR="00E65904">
        <w:rPr>
          <w:rFonts w:ascii="Times New Roman" w:hAnsi="Times New Roman"/>
          <w:sz w:val="24"/>
          <w:szCs w:val="24"/>
        </w:rPr>
        <w:t xml:space="preserve">0). </w:t>
      </w:r>
      <w:r w:rsidR="00522DD7" w:rsidRPr="00522DD7">
        <w:rPr>
          <w:rFonts w:ascii="Times New Roman" w:hAnsi="Times New Roman"/>
          <w:sz w:val="24"/>
          <w:szCs w:val="24"/>
        </w:rPr>
        <w:t>This suggests that the data's statistical characteristics are stable over time and can be utilized to predict the linear relationship. We then use the Bounds test to see if there is a long-term link between the variables.</w:t>
      </w:r>
    </w:p>
    <w:p w14:paraId="26E5D54B" w14:textId="77777777" w:rsidR="00D32C05" w:rsidRDefault="00D32C05" w:rsidP="00630F59">
      <w:pPr>
        <w:shd w:val="clear" w:color="auto" w:fill="FFFFFF"/>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The hypothesis </w:t>
      </w:r>
      <w:r w:rsidR="00A03242">
        <w:rPr>
          <w:rFonts w:ascii="Times New Roman" w:hAnsi="Times New Roman"/>
          <w:bCs/>
          <w:color w:val="000000"/>
          <w:sz w:val="24"/>
          <w:szCs w:val="24"/>
        </w:rPr>
        <w:t>for</w:t>
      </w:r>
      <w:r>
        <w:rPr>
          <w:rFonts w:ascii="Times New Roman" w:hAnsi="Times New Roman"/>
          <w:bCs/>
          <w:color w:val="000000"/>
          <w:sz w:val="24"/>
          <w:szCs w:val="24"/>
        </w:rPr>
        <w:t xml:space="preserve"> the </w:t>
      </w:r>
      <w:r w:rsidR="00A03242">
        <w:rPr>
          <w:rFonts w:ascii="Times New Roman" w:hAnsi="Times New Roman"/>
          <w:bCs/>
          <w:color w:val="000000"/>
          <w:sz w:val="24"/>
          <w:szCs w:val="24"/>
        </w:rPr>
        <w:t>Bounds</w:t>
      </w:r>
      <w:r>
        <w:rPr>
          <w:rFonts w:ascii="Times New Roman" w:hAnsi="Times New Roman"/>
          <w:bCs/>
          <w:color w:val="000000"/>
          <w:sz w:val="24"/>
          <w:szCs w:val="24"/>
        </w:rPr>
        <w:t xml:space="preserve"> test is given as:</w:t>
      </w:r>
    </w:p>
    <w:p w14:paraId="5A346534" w14:textId="77777777" w:rsidR="00D32C05" w:rsidRPr="00915012" w:rsidRDefault="00D32C05" w:rsidP="00630F59">
      <w:pPr>
        <w:shd w:val="clear" w:color="auto" w:fill="FFFFFF"/>
        <w:autoSpaceDE w:val="0"/>
        <w:autoSpaceDN w:val="0"/>
        <w:adjustRightInd w:val="0"/>
        <w:spacing w:after="0" w:line="360" w:lineRule="auto"/>
        <w:jc w:val="both"/>
        <w:rPr>
          <w:rFonts w:ascii="Times New Roman" w:hAnsi="Times New Roman"/>
          <w:bCs/>
          <w:i/>
          <w:color w:val="000000"/>
          <w:sz w:val="24"/>
          <w:szCs w:val="24"/>
        </w:rPr>
      </w:pPr>
      <w:r w:rsidRPr="00915012">
        <w:rPr>
          <w:rFonts w:ascii="Times New Roman" w:hAnsi="Times New Roman"/>
          <w:bCs/>
          <w:i/>
          <w:color w:val="000000"/>
          <w:sz w:val="24"/>
          <w:szCs w:val="24"/>
        </w:rPr>
        <w:t>H</w:t>
      </w:r>
      <w:r w:rsidRPr="00915012">
        <w:rPr>
          <w:rFonts w:ascii="Times New Roman" w:hAnsi="Times New Roman"/>
          <w:bCs/>
          <w:i/>
          <w:color w:val="000000"/>
          <w:sz w:val="24"/>
          <w:szCs w:val="24"/>
          <w:vertAlign w:val="subscript"/>
        </w:rPr>
        <w:t>0</w:t>
      </w:r>
      <w:r w:rsidRPr="00915012">
        <w:rPr>
          <w:rFonts w:ascii="Times New Roman" w:hAnsi="Times New Roman"/>
          <w:bCs/>
          <w:i/>
          <w:color w:val="000000"/>
          <w:sz w:val="24"/>
          <w:szCs w:val="24"/>
        </w:rPr>
        <w:t xml:space="preserve">: </w:t>
      </w:r>
      <w:r w:rsidR="00522DD7">
        <w:rPr>
          <w:rFonts w:ascii="Times New Roman" w:hAnsi="Times New Roman"/>
          <w:bCs/>
          <w:i/>
          <w:color w:val="000000"/>
          <w:sz w:val="24"/>
          <w:szCs w:val="24"/>
        </w:rPr>
        <w:t xml:space="preserve">There is no evidence of </w:t>
      </w:r>
      <w:r w:rsidRPr="00915012">
        <w:rPr>
          <w:rFonts w:ascii="Times New Roman" w:hAnsi="Times New Roman"/>
          <w:bCs/>
          <w:i/>
          <w:color w:val="000000"/>
          <w:sz w:val="24"/>
          <w:szCs w:val="24"/>
        </w:rPr>
        <w:t xml:space="preserve">long run relationship </w:t>
      </w:r>
      <w:r w:rsidR="00A03242">
        <w:rPr>
          <w:rFonts w:ascii="Times New Roman" w:hAnsi="Times New Roman"/>
          <w:bCs/>
          <w:i/>
          <w:color w:val="000000"/>
          <w:sz w:val="24"/>
          <w:szCs w:val="24"/>
        </w:rPr>
        <w:t>amongst the variables</w:t>
      </w:r>
    </w:p>
    <w:p w14:paraId="271B5642" w14:textId="77777777" w:rsidR="00D32C05" w:rsidRDefault="00D32C05" w:rsidP="00630F59">
      <w:pPr>
        <w:shd w:val="clear" w:color="auto" w:fill="FFFFFF"/>
        <w:autoSpaceDE w:val="0"/>
        <w:autoSpaceDN w:val="0"/>
        <w:adjustRightInd w:val="0"/>
        <w:spacing w:after="0" w:line="360" w:lineRule="auto"/>
        <w:jc w:val="both"/>
        <w:rPr>
          <w:rFonts w:ascii="Times New Roman" w:hAnsi="Times New Roman"/>
          <w:bCs/>
          <w:i/>
          <w:color w:val="000000"/>
          <w:sz w:val="24"/>
          <w:szCs w:val="24"/>
        </w:rPr>
      </w:pPr>
      <w:r w:rsidRPr="00915012">
        <w:rPr>
          <w:rFonts w:ascii="Times New Roman" w:hAnsi="Times New Roman"/>
          <w:bCs/>
          <w:i/>
          <w:color w:val="000000"/>
          <w:sz w:val="24"/>
          <w:szCs w:val="24"/>
        </w:rPr>
        <w:t>H</w:t>
      </w:r>
      <w:r w:rsidRPr="00915012">
        <w:rPr>
          <w:rFonts w:ascii="Times New Roman" w:hAnsi="Times New Roman"/>
          <w:bCs/>
          <w:i/>
          <w:color w:val="000000"/>
          <w:sz w:val="24"/>
          <w:szCs w:val="24"/>
          <w:vertAlign w:val="subscript"/>
        </w:rPr>
        <w:t>1</w:t>
      </w:r>
      <w:r w:rsidRPr="00915012">
        <w:rPr>
          <w:rFonts w:ascii="Times New Roman" w:hAnsi="Times New Roman"/>
          <w:bCs/>
          <w:i/>
          <w:color w:val="000000"/>
          <w:sz w:val="24"/>
          <w:szCs w:val="24"/>
        </w:rPr>
        <w:t xml:space="preserve">: There is </w:t>
      </w:r>
      <w:r w:rsidR="00522DD7">
        <w:rPr>
          <w:rFonts w:ascii="Times New Roman" w:hAnsi="Times New Roman"/>
          <w:bCs/>
          <w:i/>
          <w:color w:val="000000"/>
          <w:sz w:val="24"/>
          <w:szCs w:val="24"/>
        </w:rPr>
        <w:t xml:space="preserve">evidence of </w:t>
      </w:r>
      <w:r w:rsidRPr="00915012">
        <w:rPr>
          <w:rFonts w:ascii="Times New Roman" w:hAnsi="Times New Roman"/>
          <w:bCs/>
          <w:i/>
          <w:color w:val="000000"/>
          <w:sz w:val="24"/>
          <w:szCs w:val="24"/>
        </w:rPr>
        <w:t>long run relationship amongst the variables</w:t>
      </w:r>
    </w:p>
    <w:p w14:paraId="5EC8D7B3" w14:textId="77777777" w:rsidR="00A03242" w:rsidRDefault="003E023D" w:rsidP="007E47E3">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There is no long run relationship between private sector financing variables and technical and vocational education enrolment in Nigeria. This is because the F-statistic value of 0.8078 is less than the 5% critical values at </w:t>
      </w:r>
      <w:proofErr w:type="gramStart"/>
      <w:r>
        <w:rPr>
          <w:rFonts w:ascii="Times New Roman" w:hAnsi="Times New Roman"/>
          <w:color w:val="000000"/>
          <w:sz w:val="24"/>
          <w:szCs w:val="24"/>
        </w:rPr>
        <w:t>I(</w:t>
      </w:r>
      <w:proofErr w:type="gramEnd"/>
      <w:r>
        <w:rPr>
          <w:rFonts w:ascii="Times New Roman" w:hAnsi="Times New Roman"/>
          <w:color w:val="000000"/>
          <w:sz w:val="24"/>
          <w:szCs w:val="24"/>
        </w:rPr>
        <w:t>0) and I(1) bounds</w:t>
      </w:r>
      <w:r w:rsidR="00630F59">
        <w:rPr>
          <w:rFonts w:ascii="Times New Roman" w:hAnsi="Times New Roman"/>
          <w:color w:val="000000"/>
          <w:sz w:val="24"/>
          <w:szCs w:val="24"/>
        </w:rPr>
        <w:t xml:space="preserve"> (Table 2)</w:t>
      </w:r>
      <w:r>
        <w:rPr>
          <w:rFonts w:ascii="Times New Roman" w:hAnsi="Times New Roman"/>
          <w:color w:val="000000"/>
          <w:sz w:val="24"/>
          <w:szCs w:val="24"/>
        </w:rPr>
        <w:t>. Thus, we conclude that the relationship is a short run relationship which is shown below:</w:t>
      </w:r>
    </w:p>
    <w:p w14:paraId="5A07D0EE" w14:textId="77777777" w:rsidR="00D32C05" w:rsidRPr="00ED73DA" w:rsidRDefault="00D32C05" w:rsidP="00630F59">
      <w:pPr>
        <w:shd w:val="clear" w:color="auto" w:fill="FFFFFF"/>
        <w:autoSpaceDE w:val="0"/>
        <w:autoSpaceDN w:val="0"/>
        <w:adjustRightInd w:val="0"/>
        <w:spacing w:before="120"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Table </w:t>
      </w:r>
      <w:r w:rsidR="00630F59">
        <w:rPr>
          <w:rFonts w:ascii="Times New Roman" w:hAnsi="Times New Roman"/>
          <w:b/>
          <w:color w:val="000000"/>
          <w:sz w:val="24"/>
          <w:szCs w:val="24"/>
        </w:rPr>
        <w:t>3</w:t>
      </w:r>
      <w:r w:rsidRPr="00ED73DA">
        <w:rPr>
          <w:rFonts w:ascii="Times New Roman" w:hAnsi="Times New Roman"/>
          <w:b/>
          <w:color w:val="000000"/>
          <w:sz w:val="24"/>
          <w:szCs w:val="24"/>
        </w:rPr>
        <w:t xml:space="preserve">: </w:t>
      </w:r>
      <w:r w:rsidR="000D5B59">
        <w:rPr>
          <w:rFonts w:ascii="Times New Roman" w:hAnsi="Times New Roman"/>
          <w:b/>
          <w:color w:val="000000"/>
          <w:sz w:val="24"/>
          <w:szCs w:val="24"/>
        </w:rPr>
        <w:t>Short</w:t>
      </w:r>
      <w:r w:rsidRPr="00ED73DA">
        <w:rPr>
          <w:rFonts w:ascii="Times New Roman" w:hAnsi="Times New Roman"/>
          <w:b/>
          <w:color w:val="000000"/>
          <w:sz w:val="24"/>
          <w:szCs w:val="24"/>
        </w:rPr>
        <w:t xml:space="preserve"> Run Estimates</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530"/>
        <w:gridCol w:w="1530"/>
        <w:gridCol w:w="1350"/>
      </w:tblGrid>
      <w:tr w:rsidR="00D32C05" w:rsidRPr="004D1194" w14:paraId="3AB76005" w14:textId="77777777" w:rsidTr="00630F59">
        <w:trPr>
          <w:trHeight w:hRule="exact" w:val="90"/>
        </w:trPr>
        <w:tc>
          <w:tcPr>
            <w:tcW w:w="2017" w:type="dxa"/>
            <w:tcBorders>
              <w:top w:val="nil"/>
              <w:left w:val="nil"/>
              <w:bottom w:val="double" w:sz="6" w:space="0" w:color="auto"/>
              <w:right w:val="nil"/>
            </w:tcBorders>
            <w:vAlign w:val="bottom"/>
          </w:tcPr>
          <w:p w14:paraId="78E731AB" w14:textId="77777777" w:rsidR="00D32C05" w:rsidRPr="004D1194" w:rsidRDefault="00D32C05" w:rsidP="004D1194">
            <w:pPr>
              <w:spacing w:after="0" w:line="240" w:lineRule="auto"/>
              <w:rPr>
                <w:rFonts w:ascii="Times New Roman" w:hAnsi="Times New Roman" w:cs="Times New Roman"/>
                <w:color w:val="000000"/>
              </w:rPr>
            </w:pPr>
          </w:p>
        </w:tc>
        <w:tc>
          <w:tcPr>
            <w:tcW w:w="1250" w:type="dxa"/>
            <w:tcBorders>
              <w:top w:val="nil"/>
              <w:left w:val="nil"/>
              <w:bottom w:val="double" w:sz="6" w:space="0" w:color="auto"/>
              <w:right w:val="nil"/>
            </w:tcBorders>
            <w:vAlign w:val="bottom"/>
          </w:tcPr>
          <w:p w14:paraId="58696CF3"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5F857B9E"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1EE45855"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nil"/>
              <w:left w:val="nil"/>
              <w:bottom w:val="double" w:sz="6" w:space="0" w:color="auto"/>
              <w:right w:val="nil"/>
            </w:tcBorders>
            <w:vAlign w:val="bottom"/>
          </w:tcPr>
          <w:p w14:paraId="391D78FD"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color w:val="000000"/>
              </w:rPr>
            </w:pPr>
          </w:p>
        </w:tc>
      </w:tr>
      <w:tr w:rsidR="00D32C05" w:rsidRPr="004D1194" w14:paraId="74A5C6CC" w14:textId="77777777" w:rsidTr="00630F59">
        <w:trPr>
          <w:trHeight w:val="225"/>
        </w:trPr>
        <w:tc>
          <w:tcPr>
            <w:tcW w:w="2017" w:type="dxa"/>
            <w:tcBorders>
              <w:top w:val="double" w:sz="6" w:space="0" w:color="auto"/>
              <w:left w:val="nil"/>
              <w:bottom w:val="double" w:sz="4" w:space="0" w:color="auto"/>
              <w:right w:val="nil"/>
            </w:tcBorders>
            <w:vAlign w:val="bottom"/>
          </w:tcPr>
          <w:p w14:paraId="27EB7F0D" w14:textId="77777777" w:rsidR="00D32C05" w:rsidRPr="004D1194" w:rsidRDefault="00D32C05" w:rsidP="004D1194">
            <w:pPr>
              <w:autoSpaceDE w:val="0"/>
              <w:autoSpaceDN w:val="0"/>
              <w:adjustRightInd w:val="0"/>
              <w:spacing w:after="0" w:line="240" w:lineRule="auto"/>
              <w:jc w:val="center"/>
              <w:rPr>
                <w:rFonts w:ascii="Times New Roman" w:hAnsi="Times New Roman" w:cs="Times New Roman"/>
                <w:b/>
                <w:color w:val="000000"/>
              </w:rPr>
            </w:pPr>
            <w:r w:rsidRPr="004D1194">
              <w:rPr>
                <w:rFonts w:ascii="Times New Roman" w:hAnsi="Times New Roman" w:cs="Times New Roman"/>
                <w:b/>
                <w:color w:val="000000"/>
              </w:rPr>
              <w:t>Variable</w:t>
            </w:r>
          </w:p>
        </w:tc>
        <w:tc>
          <w:tcPr>
            <w:tcW w:w="1250" w:type="dxa"/>
            <w:tcBorders>
              <w:top w:val="double" w:sz="6" w:space="0" w:color="auto"/>
              <w:left w:val="nil"/>
              <w:bottom w:val="double" w:sz="4" w:space="0" w:color="auto"/>
              <w:right w:val="nil"/>
            </w:tcBorders>
            <w:vAlign w:val="bottom"/>
          </w:tcPr>
          <w:p w14:paraId="1075EA65"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Coefficient</w:t>
            </w:r>
          </w:p>
        </w:tc>
        <w:tc>
          <w:tcPr>
            <w:tcW w:w="1530" w:type="dxa"/>
            <w:tcBorders>
              <w:top w:val="double" w:sz="6" w:space="0" w:color="auto"/>
              <w:left w:val="nil"/>
              <w:bottom w:val="double" w:sz="4" w:space="0" w:color="auto"/>
              <w:right w:val="nil"/>
            </w:tcBorders>
            <w:vAlign w:val="bottom"/>
          </w:tcPr>
          <w:p w14:paraId="16ADE1E9"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Std. Error</w:t>
            </w:r>
          </w:p>
        </w:tc>
        <w:tc>
          <w:tcPr>
            <w:tcW w:w="1530" w:type="dxa"/>
            <w:tcBorders>
              <w:top w:val="double" w:sz="6" w:space="0" w:color="auto"/>
              <w:left w:val="nil"/>
              <w:bottom w:val="double" w:sz="4" w:space="0" w:color="auto"/>
              <w:right w:val="nil"/>
            </w:tcBorders>
            <w:vAlign w:val="bottom"/>
          </w:tcPr>
          <w:p w14:paraId="27C06A7B"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t-Statistic</w:t>
            </w:r>
          </w:p>
        </w:tc>
        <w:tc>
          <w:tcPr>
            <w:tcW w:w="1350" w:type="dxa"/>
            <w:tcBorders>
              <w:top w:val="double" w:sz="6" w:space="0" w:color="auto"/>
              <w:left w:val="nil"/>
              <w:bottom w:val="double" w:sz="4" w:space="0" w:color="auto"/>
              <w:right w:val="nil"/>
            </w:tcBorders>
            <w:vAlign w:val="bottom"/>
          </w:tcPr>
          <w:p w14:paraId="1BC1CB6D" w14:textId="77777777" w:rsidR="00D32C05" w:rsidRPr="004D1194" w:rsidRDefault="00D32C05" w:rsidP="004D1194">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Prob.  </w:t>
            </w:r>
          </w:p>
        </w:tc>
      </w:tr>
      <w:tr w:rsidR="000D5B59" w:rsidRPr="004D1194" w14:paraId="32B216D8" w14:textId="77777777" w:rsidTr="00630F59">
        <w:trPr>
          <w:trHeight w:val="225"/>
        </w:trPr>
        <w:tc>
          <w:tcPr>
            <w:tcW w:w="2017" w:type="dxa"/>
            <w:tcBorders>
              <w:top w:val="double" w:sz="4" w:space="0" w:color="auto"/>
              <w:left w:val="nil"/>
              <w:bottom w:val="nil"/>
              <w:right w:val="nil"/>
            </w:tcBorders>
            <w:vAlign w:val="bottom"/>
          </w:tcPr>
          <w:p w14:paraId="16C874C7"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w:t>
            </w:r>
          </w:p>
        </w:tc>
        <w:tc>
          <w:tcPr>
            <w:tcW w:w="1250" w:type="dxa"/>
            <w:tcBorders>
              <w:top w:val="double" w:sz="4" w:space="0" w:color="auto"/>
              <w:left w:val="nil"/>
              <w:bottom w:val="nil"/>
              <w:right w:val="nil"/>
            </w:tcBorders>
            <w:vAlign w:val="bottom"/>
          </w:tcPr>
          <w:p w14:paraId="2334A2BA"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0.180405</w:t>
            </w:r>
          </w:p>
        </w:tc>
        <w:tc>
          <w:tcPr>
            <w:tcW w:w="1530" w:type="dxa"/>
            <w:tcBorders>
              <w:top w:val="double" w:sz="4" w:space="0" w:color="auto"/>
              <w:left w:val="nil"/>
              <w:bottom w:val="nil"/>
              <w:right w:val="nil"/>
            </w:tcBorders>
            <w:vAlign w:val="bottom"/>
          </w:tcPr>
          <w:p w14:paraId="35538865"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0.640129</w:t>
            </w:r>
          </w:p>
        </w:tc>
        <w:tc>
          <w:tcPr>
            <w:tcW w:w="1530" w:type="dxa"/>
            <w:tcBorders>
              <w:top w:val="double" w:sz="4" w:space="0" w:color="auto"/>
              <w:left w:val="nil"/>
              <w:bottom w:val="nil"/>
              <w:right w:val="nil"/>
            </w:tcBorders>
            <w:vAlign w:val="bottom"/>
          </w:tcPr>
          <w:p w14:paraId="60A467D3"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0.281827</w:t>
            </w:r>
          </w:p>
        </w:tc>
        <w:tc>
          <w:tcPr>
            <w:tcW w:w="1350" w:type="dxa"/>
            <w:tcBorders>
              <w:top w:val="double" w:sz="4" w:space="0" w:color="auto"/>
              <w:left w:val="nil"/>
              <w:bottom w:val="nil"/>
              <w:right w:val="nil"/>
            </w:tcBorders>
            <w:vAlign w:val="bottom"/>
          </w:tcPr>
          <w:p w14:paraId="1E30016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0.7804</w:t>
            </w:r>
          </w:p>
        </w:tc>
      </w:tr>
      <w:tr w:rsidR="000D5B59" w:rsidRPr="004D1194" w14:paraId="08CC8D57" w14:textId="77777777" w:rsidTr="000D5B59">
        <w:trPr>
          <w:trHeight w:val="225"/>
        </w:trPr>
        <w:tc>
          <w:tcPr>
            <w:tcW w:w="2017" w:type="dxa"/>
            <w:tcBorders>
              <w:top w:val="nil"/>
              <w:left w:val="nil"/>
              <w:bottom w:val="nil"/>
              <w:right w:val="nil"/>
            </w:tcBorders>
            <w:vAlign w:val="bottom"/>
          </w:tcPr>
          <w:p w14:paraId="75233B2D"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PRIFI(-1)</w:t>
            </w:r>
          </w:p>
        </w:tc>
        <w:tc>
          <w:tcPr>
            <w:tcW w:w="1250" w:type="dxa"/>
            <w:tcBorders>
              <w:top w:val="nil"/>
              <w:left w:val="nil"/>
              <w:bottom w:val="nil"/>
              <w:right w:val="nil"/>
            </w:tcBorders>
            <w:vAlign w:val="bottom"/>
          </w:tcPr>
          <w:p w14:paraId="63A21DF7"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0.879251</w:t>
            </w:r>
          </w:p>
        </w:tc>
        <w:tc>
          <w:tcPr>
            <w:tcW w:w="1530" w:type="dxa"/>
            <w:tcBorders>
              <w:top w:val="nil"/>
              <w:left w:val="nil"/>
              <w:bottom w:val="nil"/>
              <w:right w:val="nil"/>
            </w:tcBorders>
            <w:vAlign w:val="bottom"/>
          </w:tcPr>
          <w:p w14:paraId="5D6466DE"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0.699174</w:t>
            </w:r>
          </w:p>
        </w:tc>
        <w:tc>
          <w:tcPr>
            <w:tcW w:w="1530" w:type="dxa"/>
            <w:tcBorders>
              <w:top w:val="nil"/>
              <w:left w:val="nil"/>
              <w:bottom w:val="nil"/>
              <w:right w:val="nil"/>
            </w:tcBorders>
            <w:vAlign w:val="bottom"/>
          </w:tcPr>
          <w:p w14:paraId="6FCB403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1.257556</w:t>
            </w:r>
          </w:p>
        </w:tc>
        <w:tc>
          <w:tcPr>
            <w:tcW w:w="1350" w:type="dxa"/>
            <w:tcBorders>
              <w:top w:val="nil"/>
              <w:left w:val="nil"/>
              <w:bottom w:val="nil"/>
              <w:right w:val="nil"/>
            </w:tcBorders>
            <w:vAlign w:val="bottom"/>
          </w:tcPr>
          <w:p w14:paraId="636A871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0.2202</w:t>
            </w:r>
          </w:p>
        </w:tc>
      </w:tr>
      <w:tr w:rsidR="000D5B59" w:rsidRPr="004D1194" w14:paraId="4757EBE4" w14:textId="77777777" w:rsidTr="00630F59">
        <w:trPr>
          <w:trHeight w:val="225"/>
        </w:trPr>
        <w:tc>
          <w:tcPr>
            <w:tcW w:w="2017" w:type="dxa"/>
            <w:tcBorders>
              <w:top w:val="nil"/>
              <w:left w:val="nil"/>
              <w:right w:val="nil"/>
            </w:tcBorders>
            <w:vAlign w:val="bottom"/>
          </w:tcPr>
          <w:p w14:paraId="2A57073E"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w:t>
            </w:r>
          </w:p>
        </w:tc>
        <w:tc>
          <w:tcPr>
            <w:tcW w:w="1250" w:type="dxa"/>
            <w:tcBorders>
              <w:top w:val="nil"/>
              <w:left w:val="nil"/>
              <w:right w:val="nil"/>
            </w:tcBorders>
            <w:vAlign w:val="bottom"/>
          </w:tcPr>
          <w:p w14:paraId="67BD97AF"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0.484607</w:t>
            </w:r>
          </w:p>
        </w:tc>
        <w:tc>
          <w:tcPr>
            <w:tcW w:w="1530" w:type="dxa"/>
            <w:tcBorders>
              <w:top w:val="nil"/>
              <w:left w:val="nil"/>
              <w:right w:val="nil"/>
            </w:tcBorders>
            <w:vAlign w:val="bottom"/>
          </w:tcPr>
          <w:p w14:paraId="6F70FD52"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1.438429</w:t>
            </w:r>
          </w:p>
        </w:tc>
        <w:tc>
          <w:tcPr>
            <w:tcW w:w="1530" w:type="dxa"/>
            <w:tcBorders>
              <w:top w:val="nil"/>
              <w:left w:val="nil"/>
              <w:right w:val="nil"/>
            </w:tcBorders>
            <w:vAlign w:val="bottom"/>
          </w:tcPr>
          <w:p w14:paraId="5CB33071"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0.336900</w:t>
            </w:r>
          </w:p>
        </w:tc>
        <w:tc>
          <w:tcPr>
            <w:tcW w:w="1350" w:type="dxa"/>
            <w:tcBorders>
              <w:top w:val="nil"/>
              <w:left w:val="nil"/>
              <w:right w:val="nil"/>
            </w:tcBorders>
            <w:vAlign w:val="bottom"/>
          </w:tcPr>
          <w:p w14:paraId="6156506A"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0.7390</w:t>
            </w:r>
          </w:p>
        </w:tc>
      </w:tr>
      <w:tr w:rsidR="000D5B59" w:rsidRPr="004D1194" w14:paraId="78CB4DF6" w14:textId="77777777" w:rsidTr="00630F59">
        <w:trPr>
          <w:trHeight w:val="225"/>
        </w:trPr>
        <w:tc>
          <w:tcPr>
            <w:tcW w:w="2017" w:type="dxa"/>
            <w:tcBorders>
              <w:top w:val="nil"/>
              <w:left w:val="nil"/>
              <w:bottom w:val="double" w:sz="4" w:space="0" w:color="auto"/>
              <w:right w:val="nil"/>
            </w:tcBorders>
            <w:vAlign w:val="bottom"/>
          </w:tcPr>
          <w:p w14:paraId="13016D90" w14:textId="77777777" w:rsidR="000D5B59" w:rsidRPr="004D1194" w:rsidRDefault="000D5B59" w:rsidP="004D1194">
            <w:pPr>
              <w:autoSpaceDE w:val="0"/>
              <w:autoSpaceDN w:val="0"/>
              <w:adjustRightInd w:val="0"/>
              <w:spacing w:after="0" w:line="240" w:lineRule="auto"/>
              <w:jc w:val="center"/>
              <w:rPr>
                <w:rFonts w:ascii="Times New Roman" w:hAnsi="Times New Roman" w:cs="Times New Roman"/>
                <w:color w:val="000000"/>
              </w:rPr>
            </w:pPr>
            <w:proofErr w:type="spellStart"/>
            <w:r w:rsidRPr="004D1194">
              <w:rPr>
                <w:rFonts w:ascii="Times New Roman" w:hAnsi="Times New Roman" w:cs="Times New Roman"/>
                <w:color w:val="000000"/>
              </w:rPr>
              <w:t>CointEq</w:t>
            </w:r>
            <w:proofErr w:type="spellEnd"/>
            <w:r w:rsidRPr="004D1194">
              <w:rPr>
                <w:rFonts w:ascii="Times New Roman" w:hAnsi="Times New Roman" w:cs="Times New Roman"/>
                <w:color w:val="000000"/>
              </w:rPr>
              <w:t>(-1)</w:t>
            </w:r>
          </w:p>
        </w:tc>
        <w:tc>
          <w:tcPr>
            <w:tcW w:w="1250" w:type="dxa"/>
            <w:tcBorders>
              <w:top w:val="nil"/>
              <w:left w:val="nil"/>
              <w:bottom w:val="double" w:sz="4" w:space="0" w:color="auto"/>
              <w:right w:val="nil"/>
            </w:tcBorders>
            <w:vAlign w:val="bottom"/>
          </w:tcPr>
          <w:p w14:paraId="38D4D7B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-0.065922</w:t>
            </w:r>
          </w:p>
        </w:tc>
        <w:tc>
          <w:tcPr>
            <w:tcW w:w="1530" w:type="dxa"/>
            <w:tcBorders>
              <w:top w:val="nil"/>
              <w:left w:val="nil"/>
              <w:bottom w:val="double" w:sz="4" w:space="0" w:color="auto"/>
              <w:right w:val="nil"/>
            </w:tcBorders>
            <w:vAlign w:val="bottom"/>
          </w:tcPr>
          <w:p w14:paraId="5864A6B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0.022373</w:t>
            </w:r>
          </w:p>
        </w:tc>
        <w:tc>
          <w:tcPr>
            <w:tcW w:w="1530" w:type="dxa"/>
            <w:tcBorders>
              <w:top w:val="nil"/>
              <w:left w:val="nil"/>
              <w:bottom w:val="double" w:sz="4" w:space="0" w:color="auto"/>
              <w:right w:val="nil"/>
            </w:tcBorders>
            <w:vAlign w:val="bottom"/>
          </w:tcPr>
          <w:p w14:paraId="285C20B5"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-2.946498</w:t>
            </w:r>
          </w:p>
        </w:tc>
        <w:tc>
          <w:tcPr>
            <w:tcW w:w="1350" w:type="dxa"/>
            <w:tcBorders>
              <w:top w:val="nil"/>
              <w:left w:val="nil"/>
              <w:bottom w:val="double" w:sz="4" w:space="0" w:color="auto"/>
              <w:right w:val="nil"/>
            </w:tcBorders>
            <w:vAlign w:val="bottom"/>
          </w:tcPr>
          <w:p w14:paraId="715F8702"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0.0111</w:t>
            </w:r>
          </w:p>
        </w:tc>
      </w:tr>
      <w:tr w:rsidR="000D5B59" w:rsidRPr="004D1194" w14:paraId="2B6060BA" w14:textId="77777777" w:rsidTr="00630F59">
        <w:trPr>
          <w:trHeight w:val="225"/>
        </w:trPr>
        <w:tc>
          <w:tcPr>
            <w:tcW w:w="2017" w:type="dxa"/>
            <w:tcBorders>
              <w:top w:val="double" w:sz="4" w:space="0" w:color="auto"/>
              <w:left w:val="nil"/>
              <w:bottom w:val="nil"/>
              <w:right w:val="nil"/>
            </w:tcBorders>
            <w:vAlign w:val="bottom"/>
          </w:tcPr>
          <w:p w14:paraId="2A7AC87C"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R-squared</w:t>
            </w:r>
          </w:p>
        </w:tc>
        <w:tc>
          <w:tcPr>
            <w:tcW w:w="1250" w:type="dxa"/>
            <w:tcBorders>
              <w:top w:val="double" w:sz="4" w:space="0" w:color="auto"/>
              <w:left w:val="nil"/>
              <w:bottom w:val="nil"/>
              <w:right w:val="nil"/>
            </w:tcBorders>
            <w:vAlign w:val="bottom"/>
          </w:tcPr>
          <w:p w14:paraId="436A091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0.966413</w:t>
            </w:r>
          </w:p>
        </w:tc>
        <w:tc>
          <w:tcPr>
            <w:tcW w:w="3060" w:type="dxa"/>
            <w:gridSpan w:val="2"/>
            <w:tcBorders>
              <w:top w:val="double" w:sz="4" w:space="0" w:color="auto"/>
              <w:left w:val="nil"/>
              <w:bottom w:val="nil"/>
              <w:right w:val="nil"/>
            </w:tcBorders>
            <w:vAlign w:val="bottom"/>
          </w:tcPr>
          <w:p w14:paraId="55EBEBEE"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Durbin-Watson stat</w:t>
            </w:r>
          </w:p>
        </w:tc>
        <w:tc>
          <w:tcPr>
            <w:tcW w:w="1350" w:type="dxa"/>
            <w:tcBorders>
              <w:top w:val="double" w:sz="4" w:space="0" w:color="auto"/>
              <w:left w:val="nil"/>
              <w:bottom w:val="nil"/>
              <w:right w:val="nil"/>
            </w:tcBorders>
            <w:vAlign w:val="bottom"/>
          </w:tcPr>
          <w:p w14:paraId="56C70039"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1.831989</w:t>
            </w:r>
          </w:p>
        </w:tc>
      </w:tr>
      <w:tr w:rsidR="000D5B59" w:rsidRPr="004D1194" w14:paraId="46388663" w14:textId="77777777" w:rsidTr="000D5B59">
        <w:trPr>
          <w:trHeight w:val="225"/>
        </w:trPr>
        <w:tc>
          <w:tcPr>
            <w:tcW w:w="2017" w:type="dxa"/>
            <w:tcBorders>
              <w:top w:val="nil"/>
              <w:left w:val="nil"/>
              <w:right w:val="nil"/>
            </w:tcBorders>
            <w:vAlign w:val="bottom"/>
          </w:tcPr>
          <w:p w14:paraId="2B6B8721"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Adjusted R-squared</w:t>
            </w:r>
          </w:p>
        </w:tc>
        <w:tc>
          <w:tcPr>
            <w:tcW w:w="1250" w:type="dxa"/>
            <w:tcBorders>
              <w:top w:val="nil"/>
              <w:left w:val="nil"/>
              <w:right w:val="nil"/>
            </w:tcBorders>
            <w:vAlign w:val="bottom"/>
          </w:tcPr>
          <w:p w14:paraId="572BC25F"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0.958352</w:t>
            </w:r>
          </w:p>
        </w:tc>
        <w:tc>
          <w:tcPr>
            <w:tcW w:w="3060" w:type="dxa"/>
            <w:gridSpan w:val="2"/>
            <w:tcBorders>
              <w:top w:val="nil"/>
              <w:left w:val="nil"/>
              <w:right w:val="nil"/>
            </w:tcBorders>
            <w:vAlign w:val="bottom"/>
          </w:tcPr>
          <w:p w14:paraId="44CC97FE"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F-statistic</w:t>
            </w:r>
          </w:p>
        </w:tc>
        <w:tc>
          <w:tcPr>
            <w:tcW w:w="1350" w:type="dxa"/>
            <w:tcBorders>
              <w:top w:val="nil"/>
              <w:left w:val="nil"/>
              <w:right w:val="nil"/>
            </w:tcBorders>
            <w:vAlign w:val="bottom"/>
          </w:tcPr>
          <w:p w14:paraId="77EFD12C"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11.98896</w:t>
            </w:r>
          </w:p>
        </w:tc>
      </w:tr>
      <w:tr w:rsidR="000D5B59" w:rsidRPr="004D1194" w14:paraId="26DB5487" w14:textId="77777777" w:rsidTr="000D5B59">
        <w:trPr>
          <w:trHeight w:val="225"/>
        </w:trPr>
        <w:tc>
          <w:tcPr>
            <w:tcW w:w="2017" w:type="dxa"/>
            <w:tcBorders>
              <w:top w:val="nil"/>
              <w:left w:val="nil"/>
              <w:bottom w:val="double" w:sz="4" w:space="0" w:color="auto"/>
              <w:right w:val="nil"/>
            </w:tcBorders>
            <w:vAlign w:val="bottom"/>
          </w:tcPr>
          <w:p w14:paraId="0188521F" w14:textId="77777777" w:rsidR="000D5B59" w:rsidRPr="004D1194" w:rsidRDefault="000D5B59" w:rsidP="004D1194">
            <w:pPr>
              <w:autoSpaceDE w:val="0"/>
              <w:autoSpaceDN w:val="0"/>
              <w:adjustRightInd w:val="0"/>
              <w:spacing w:after="0" w:line="240" w:lineRule="auto"/>
              <w:rPr>
                <w:rFonts w:ascii="Times New Roman" w:hAnsi="Times New Roman" w:cs="Times New Roman"/>
                <w:color w:val="000000"/>
              </w:rPr>
            </w:pPr>
            <w:r w:rsidRPr="004D1194">
              <w:rPr>
                <w:rFonts w:ascii="Times New Roman" w:hAnsi="Times New Roman" w:cs="Times New Roman"/>
                <w:color w:val="000000"/>
              </w:rPr>
              <w:t>Durbin-Watson stat.</w:t>
            </w:r>
          </w:p>
        </w:tc>
        <w:tc>
          <w:tcPr>
            <w:tcW w:w="1250" w:type="dxa"/>
            <w:tcBorders>
              <w:top w:val="nil"/>
              <w:left w:val="nil"/>
              <w:bottom w:val="double" w:sz="4" w:space="0" w:color="auto"/>
              <w:right w:val="nil"/>
            </w:tcBorders>
            <w:vAlign w:val="bottom"/>
          </w:tcPr>
          <w:p w14:paraId="65C30DAE"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1.925309</w:t>
            </w:r>
          </w:p>
        </w:tc>
        <w:tc>
          <w:tcPr>
            <w:tcW w:w="3060" w:type="dxa"/>
            <w:gridSpan w:val="2"/>
            <w:tcBorders>
              <w:top w:val="nil"/>
              <w:left w:val="nil"/>
              <w:bottom w:val="double" w:sz="4" w:space="0" w:color="auto"/>
              <w:right w:val="nil"/>
            </w:tcBorders>
            <w:vAlign w:val="bottom"/>
          </w:tcPr>
          <w:p w14:paraId="06F0C2AD" w14:textId="77777777" w:rsidR="000D5B59" w:rsidRPr="004D1194" w:rsidRDefault="000D5B59" w:rsidP="004D1194">
            <w:pPr>
              <w:autoSpaceDE w:val="0"/>
              <w:autoSpaceDN w:val="0"/>
              <w:adjustRightInd w:val="0"/>
              <w:spacing w:after="0" w:line="240" w:lineRule="auto"/>
              <w:ind w:right="10"/>
              <w:rPr>
                <w:rFonts w:ascii="Times New Roman" w:hAnsi="Times New Roman" w:cs="Times New Roman"/>
                <w:color w:val="000000"/>
              </w:rPr>
            </w:pPr>
            <w:r w:rsidRPr="004D1194">
              <w:rPr>
                <w:rFonts w:ascii="Times New Roman" w:hAnsi="Times New Roman" w:cs="Times New Roman"/>
                <w:color w:val="000000"/>
              </w:rPr>
              <w:t xml:space="preserve">    Prob(F-statistic)</w:t>
            </w:r>
          </w:p>
        </w:tc>
        <w:tc>
          <w:tcPr>
            <w:tcW w:w="1350" w:type="dxa"/>
            <w:tcBorders>
              <w:top w:val="nil"/>
              <w:left w:val="nil"/>
              <w:bottom w:val="double" w:sz="4" w:space="0" w:color="auto"/>
              <w:right w:val="nil"/>
            </w:tcBorders>
            <w:vAlign w:val="bottom"/>
          </w:tcPr>
          <w:p w14:paraId="5D692C74" w14:textId="77777777" w:rsidR="000D5B59" w:rsidRPr="004D1194" w:rsidRDefault="000D5B59" w:rsidP="004D1194">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0.000000</w:t>
            </w:r>
          </w:p>
        </w:tc>
      </w:tr>
    </w:tbl>
    <w:p w14:paraId="47469895" w14:textId="77777777" w:rsidR="00D32C05" w:rsidRPr="00ED73DA" w:rsidRDefault="00D32C05" w:rsidP="00D32C05">
      <w:pPr>
        <w:shd w:val="clear" w:color="auto" w:fill="FFFFFF"/>
        <w:autoSpaceDE w:val="0"/>
        <w:autoSpaceDN w:val="0"/>
        <w:adjustRightInd w:val="0"/>
        <w:spacing w:after="0" w:line="360" w:lineRule="auto"/>
        <w:jc w:val="both"/>
        <w:rPr>
          <w:rFonts w:ascii="Times New Roman" w:hAnsi="Times New Roman"/>
          <w:i/>
          <w:color w:val="000000"/>
        </w:rPr>
      </w:pPr>
      <w:r w:rsidRPr="00ED73DA">
        <w:rPr>
          <w:rFonts w:ascii="Times New Roman" w:hAnsi="Times New Roman"/>
          <w:i/>
          <w:color w:val="000000"/>
        </w:rPr>
        <w:t>Source: Researchers’ Computation using E-view 9</w:t>
      </w:r>
    </w:p>
    <w:p w14:paraId="7A58684A" w14:textId="782494D3" w:rsidR="001A4644" w:rsidRDefault="00D32C05" w:rsidP="00630F59">
      <w:pPr>
        <w:spacing w:after="0" w:line="360" w:lineRule="auto"/>
        <w:jc w:val="both"/>
        <w:rPr>
          <w:rFonts w:ascii="Times New Roman" w:hAnsi="Times New Roman"/>
          <w:sz w:val="24"/>
          <w:szCs w:val="24"/>
        </w:rPr>
      </w:pPr>
      <w:r w:rsidRPr="00ED73DA">
        <w:rPr>
          <w:rFonts w:ascii="Times New Roman" w:hAnsi="Times New Roman"/>
          <w:sz w:val="24"/>
          <w:szCs w:val="24"/>
        </w:rPr>
        <w:t xml:space="preserve">The </w:t>
      </w:r>
      <w:r w:rsidR="00FB0D63">
        <w:rPr>
          <w:rFonts w:ascii="Times New Roman" w:hAnsi="Times New Roman"/>
          <w:sz w:val="24"/>
          <w:szCs w:val="24"/>
        </w:rPr>
        <w:t>short</w:t>
      </w:r>
      <w:r w:rsidRPr="00ED73DA">
        <w:rPr>
          <w:rFonts w:ascii="Times New Roman" w:hAnsi="Times New Roman"/>
          <w:sz w:val="24"/>
          <w:szCs w:val="24"/>
        </w:rPr>
        <w:t xml:space="preserve"> run estimates above shows </w:t>
      </w:r>
      <w:r w:rsidR="001A4644">
        <w:rPr>
          <w:rFonts w:ascii="Times New Roman" w:hAnsi="Times New Roman"/>
          <w:sz w:val="24"/>
          <w:szCs w:val="24"/>
        </w:rPr>
        <w:t>the relationship between private sector financing and technical education development in Nigeria. The result shows that private sector financing</w:t>
      </w:r>
      <w:r w:rsidR="001A4644" w:rsidRPr="00ED73DA">
        <w:rPr>
          <w:rFonts w:ascii="Times New Roman" w:hAnsi="Times New Roman"/>
          <w:sz w:val="24"/>
          <w:szCs w:val="24"/>
        </w:rPr>
        <w:t xml:space="preserve"> increas</w:t>
      </w:r>
      <w:r w:rsidR="001A4644">
        <w:rPr>
          <w:rFonts w:ascii="Times New Roman" w:hAnsi="Times New Roman"/>
          <w:sz w:val="24"/>
          <w:szCs w:val="24"/>
        </w:rPr>
        <w:t>es</w:t>
      </w:r>
      <w:r w:rsidR="001A4644" w:rsidRPr="00ED73DA">
        <w:rPr>
          <w:rFonts w:ascii="Times New Roman" w:hAnsi="Times New Roman"/>
          <w:sz w:val="24"/>
          <w:szCs w:val="24"/>
        </w:rPr>
        <w:t xml:space="preserve"> </w:t>
      </w:r>
      <w:r w:rsidR="001A4644">
        <w:rPr>
          <w:rFonts w:ascii="Times New Roman" w:hAnsi="Times New Roman"/>
          <w:sz w:val="24"/>
          <w:szCs w:val="24"/>
        </w:rPr>
        <w:t>technical education enrolment</w:t>
      </w:r>
      <w:r w:rsidR="001A4644" w:rsidRPr="00ED73DA">
        <w:rPr>
          <w:rFonts w:ascii="Times New Roman" w:hAnsi="Times New Roman"/>
          <w:sz w:val="24"/>
          <w:szCs w:val="24"/>
        </w:rPr>
        <w:t xml:space="preserve"> by </w:t>
      </w:r>
      <w:r w:rsidR="001A4644">
        <w:rPr>
          <w:rFonts w:ascii="Times New Roman" w:hAnsi="Times New Roman"/>
          <w:sz w:val="24"/>
          <w:szCs w:val="24"/>
        </w:rPr>
        <w:t xml:space="preserve">0.1804 </w:t>
      </w:r>
      <w:r w:rsidR="001A4644" w:rsidRPr="00ED73DA">
        <w:rPr>
          <w:rFonts w:ascii="Times New Roman" w:hAnsi="Times New Roman"/>
          <w:sz w:val="24"/>
          <w:szCs w:val="24"/>
        </w:rPr>
        <w:t xml:space="preserve">units </w:t>
      </w:r>
      <w:r w:rsidR="00163292">
        <w:rPr>
          <w:rFonts w:ascii="Times New Roman" w:hAnsi="Times New Roman"/>
          <w:sz w:val="24"/>
          <w:szCs w:val="24"/>
        </w:rPr>
        <w:t xml:space="preserve">but the positive effect was not statistically significant since the </w:t>
      </w:r>
      <w:r w:rsidR="00163292">
        <w:rPr>
          <w:rFonts w:ascii="Times New Roman" w:hAnsi="Times New Roman"/>
          <w:i/>
          <w:sz w:val="24"/>
          <w:szCs w:val="24"/>
        </w:rPr>
        <w:t xml:space="preserve">p-value </w:t>
      </w:r>
      <w:r w:rsidR="00163292">
        <w:rPr>
          <w:rFonts w:ascii="Times New Roman" w:hAnsi="Times New Roman"/>
          <w:sz w:val="24"/>
          <w:szCs w:val="24"/>
        </w:rPr>
        <w:t>of 0.7804 is greater than 0.05 critical value</w:t>
      </w:r>
      <w:r w:rsidR="001A4644">
        <w:rPr>
          <w:rFonts w:ascii="Times New Roman" w:hAnsi="Times New Roman"/>
          <w:sz w:val="24"/>
          <w:szCs w:val="24"/>
        </w:rPr>
        <w:t xml:space="preserve">. The one period lag of the variable </w:t>
      </w:r>
      <w:r w:rsidR="00163292">
        <w:rPr>
          <w:rFonts w:ascii="Times New Roman" w:hAnsi="Times New Roman"/>
          <w:sz w:val="24"/>
          <w:szCs w:val="24"/>
        </w:rPr>
        <w:t xml:space="preserve">also </w:t>
      </w:r>
      <w:proofErr w:type="gramStart"/>
      <w:r w:rsidR="00163292">
        <w:rPr>
          <w:rFonts w:ascii="Times New Roman" w:hAnsi="Times New Roman"/>
          <w:sz w:val="24"/>
          <w:szCs w:val="24"/>
        </w:rPr>
        <w:t>show</w:t>
      </w:r>
      <w:proofErr w:type="gramEnd"/>
      <w:r w:rsidR="001A4644">
        <w:rPr>
          <w:rFonts w:ascii="Times New Roman" w:hAnsi="Times New Roman"/>
          <w:sz w:val="24"/>
          <w:szCs w:val="24"/>
        </w:rPr>
        <w:t xml:space="preserve"> increasing effect on technical education enrolment increasing it by 0.8793 unit. This implies that </w:t>
      </w:r>
      <w:r w:rsidR="00163292">
        <w:rPr>
          <w:rFonts w:ascii="Times New Roman" w:hAnsi="Times New Roman"/>
          <w:sz w:val="24"/>
          <w:szCs w:val="24"/>
        </w:rPr>
        <w:t xml:space="preserve">current </w:t>
      </w:r>
      <w:r w:rsidR="001A4644">
        <w:rPr>
          <w:rFonts w:ascii="Times New Roman" w:hAnsi="Times New Roman"/>
          <w:sz w:val="24"/>
          <w:szCs w:val="24"/>
        </w:rPr>
        <w:t>private secto</w:t>
      </w:r>
      <w:r w:rsidR="00163292">
        <w:rPr>
          <w:rFonts w:ascii="Times New Roman" w:hAnsi="Times New Roman"/>
          <w:sz w:val="24"/>
          <w:szCs w:val="24"/>
        </w:rPr>
        <w:t xml:space="preserve">r financing of education in Nigeria has a </w:t>
      </w:r>
      <w:r w:rsidR="001A4644">
        <w:rPr>
          <w:rFonts w:ascii="Times New Roman" w:hAnsi="Times New Roman"/>
          <w:sz w:val="24"/>
          <w:szCs w:val="24"/>
        </w:rPr>
        <w:t>positive effect on TVET education development in Nigeria.</w:t>
      </w:r>
      <w:r w:rsidR="00163292">
        <w:rPr>
          <w:rFonts w:ascii="Times New Roman" w:hAnsi="Times New Roman"/>
          <w:sz w:val="24"/>
          <w:szCs w:val="24"/>
        </w:rPr>
        <w:t xml:space="preserve"> The intervening effect of</w:t>
      </w:r>
      <w:r w:rsidR="001A4644">
        <w:rPr>
          <w:rFonts w:ascii="Times New Roman" w:hAnsi="Times New Roman"/>
          <w:sz w:val="24"/>
          <w:szCs w:val="24"/>
        </w:rPr>
        <w:t xml:space="preserve"> government </w:t>
      </w:r>
      <w:r w:rsidR="00163292">
        <w:rPr>
          <w:rFonts w:ascii="Times New Roman" w:hAnsi="Times New Roman"/>
          <w:sz w:val="24"/>
          <w:szCs w:val="24"/>
        </w:rPr>
        <w:t>expenditure on education</w:t>
      </w:r>
      <w:r w:rsidR="001A4644">
        <w:rPr>
          <w:rFonts w:ascii="Times New Roman" w:hAnsi="Times New Roman"/>
          <w:sz w:val="24"/>
          <w:szCs w:val="24"/>
        </w:rPr>
        <w:t xml:space="preserve"> </w:t>
      </w:r>
      <w:r w:rsidR="00163292">
        <w:rPr>
          <w:rFonts w:ascii="Times New Roman" w:hAnsi="Times New Roman"/>
          <w:sz w:val="24"/>
          <w:szCs w:val="24"/>
        </w:rPr>
        <w:t>(</w:t>
      </w:r>
      <w:r w:rsidR="001A4644">
        <w:rPr>
          <w:rFonts w:ascii="Times New Roman" w:hAnsi="Times New Roman"/>
          <w:sz w:val="24"/>
          <w:szCs w:val="24"/>
        </w:rPr>
        <w:t>proxied with government capital and recurrent expenditure on education</w:t>
      </w:r>
      <w:r w:rsidR="00163292">
        <w:rPr>
          <w:rFonts w:ascii="Times New Roman" w:hAnsi="Times New Roman"/>
          <w:sz w:val="24"/>
          <w:szCs w:val="24"/>
        </w:rPr>
        <w:t>)</w:t>
      </w:r>
      <w:r w:rsidR="001A4644">
        <w:rPr>
          <w:rFonts w:ascii="Times New Roman" w:hAnsi="Times New Roman"/>
          <w:sz w:val="24"/>
          <w:szCs w:val="24"/>
        </w:rPr>
        <w:t xml:space="preserve"> is summarized in Table </w:t>
      </w:r>
      <w:r w:rsidR="00685329">
        <w:rPr>
          <w:rFonts w:ascii="Times New Roman" w:hAnsi="Times New Roman"/>
          <w:sz w:val="24"/>
          <w:szCs w:val="24"/>
        </w:rPr>
        <w:t>4</w:t>
      </w:r>
      <w:r w:rsidR="00163292">
        <w:rPr>
          <w:rFonts w:ascii="Times New Roman" w:hAnsi="Times New Roman"/>
          <w:sz w:val="24"/>
          <w:szCs w:val="24"/>
        </w:rPr>
        <w:t xml:space="preserve"> </w:t>
      </w:r>
      <w:r w:rsidR="001A4644">
        <w:rPr>
          <w:rFonts w:ascii="Times New Roman" w:hAnsi="Times New Roman"/>
          <w:sz w:val="24"/>
          <w:szCs w:val="24"/>
        </w:rPr>
        <w:t>below:</w:t>
      </w:r>
    </w:p>
    <w:p w14:paraId="2CA5C8C2" w14:textId="193781FA" w:rsidR="001A4644" w:rsidRPr="00ED73DA" w:rsidRDefault="001A4644" w:rsidP="00630F59">
      <w:pPr>
        <w:shd w:val="clear" w:color="auto" w:fill="FFFFFF"/>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Table </w:t>
      </w:r>
      <w:r w:rsidR="00685329">
        <w:rPr>
          <w:rFonts w:ascii="Times New Roman" w:hAnsi="Times New Roman"/>
          <w:b/>
          <w:color w:val="000000"/>
          <w:sz w:val="24"/>
          <w:szCs w:val="24"/>
        </w:rPr>
        <w:t>4</w:t>
      </w:r>
      <w:r w:rsidRPr="00ED73DA">
        <w:rPr>
          <w:rFonts w:ascii="Times New Roman" w:hAnsi="Times New Roman"/>
          <w:b/>
          <w:color w:val="000000"/>
          <w:sz w:val="24"/>
          <w:szCs w:val="24"/>
        </w:rPr>
        <w:t xml:space="preserve">: </w:t>
      </w:r>
      <w:r>
        <w:rPr>
          <w:rFonts w:ascii="Times New Roman" w:hAnsi="Times New Roman"/>
          <w:b/>
          <w:color w:val="000000"/>
          <w:sz w:val="24"/>
          <w:szCs w:val="24"/>
        </w:rPr>
        <w:t>Short</w:t>
      </w:r>
      <w:r w:rsidRPr="00ED73DA">
        <w:rPr>
          <w:rFonts w:ascii="Times New Roman" w:hAnsi="Times New Roman"/>
          <w:b/>
          <w:color w:val="000000"/>
          <w:sz w:val="24"/>
          <w:szCs w:val="24"/>
        </w:rPr>
        <w:t xml:space="preserve"> run estimates</w:t>
      </w:r>
      <w:r>
        <w:rPr>
          <w:rFonts w:ascii="Times New Roman" w:hAnsi="Times New Roman"/>
          <w:b/>
          <w:color w:val="000000"/>
          <w:sz w:val="24"/>
          <w:szCs w:val="24"/>
        </w:rPr>
        <w:t xml:space="preserve"> with intervening effect of government financing</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530"/>
        <w:gridCol w:w="1530"/>
        <w:gridCol w:w="1350"/>
      </w:tblGrid>
      <w:tr w:rsidR="001A4644" w:rsidRPr="004D1194" w14:paraId="3DF44646" w14:textId="77777777" w:rsidTr="00630F59">
        <w:trPr>
          <w:trHeight w:hRule="exact" w:val="90"/>
        </w:trPr>
        <w:tc>
          <w:tcPr>
            <w:tcW w:w="2017" w:type="dxa"/>
            <w:tcBorders>
              <w:top w:val="nil"/>
              <w:left w:val="nil"/>
              <w:bottom w:val="double" w:sz="6" w:space="0" w:color="auto"/>
              <w:right w:val="nil"/>
            </w:tcBorders>
            <w:vAlign w:val="bottom"/>
          </w:tcPr>
          <w:p w14:paraId="6F138747" w14:textId="77777777" w:rsidR="001A4644" w:rsidRPr="004D1194" w:rsidRDefault="001A4644" w:rsidP="00CC4428">
            <w:pPr>
              <w:spacing w:after="0" w:line="240" w:lineRule="auto"/>
              <w:rPr>
                <w:rFonts w:ascii="Times New Roman" w:hAnsi="Times New Roman" w:cs="Times New Roman"/>
                <w:color w:val="000000"/>
              </w:rPr>
            </w:pPr>
          </w:p>
        </w:tc>
        <w:tc>
          <w:tcPr>
            <w:tcW w:w="1250" w:type="dxa"/>
            <w:tcBorders>
              <w:top w:val="nil"/>
              <w:left w:val="nil"/>
              <w:bottom w:val="double" w:sz="6" w:space="0" w:color="auto"/>
              <w:right w:val="nil"/>
            </w:tcBorders>
            <w:vAlign w:val="bottom"/>
          </w:tcPr>
          <w:p w14:paraId="5B398F99"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4A46D47F"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nil"/>
              <w:left w:val="nil"/>
              <w:bottom w:val="double" w:sz="6" w:space="0" w:color="auto"/>
              <w:right w:val="nil"/>
            </w:tcBorders>
            <w:vAlign w:val="bottom"/>
          </w:tcPr>
          <w:p w14:paraId="1A52E5E7"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nil"/>
              <w:left w:val="nil"/>
              <w:bottom w:val="double" w:sz="6" w:space="0" w:color="auto"/>
              <w:right w:val="nil"/>
            </w:tcBorders>
            <w:vAlign w:val="bottom"/>
          </w:tcPr>
          <w:p w14:paraId="794A999E"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p>
        </w:tc>
      </w:tr>
      <w:tr w:rsidR="001A4644" w:rsidRPr="004D1194" w14:paraId="0FC570DB" w14:textId="77777777" w:rsidTr="00630F59">
        <w:trPr>
          <w:trHeight w:val="225"/>
        </w:trPr>
        <w:tc>
          <w:tcPr>
            <w:tcW w:w="2017" w:type="dxa"/>
            <w:tcBorders>
              <w:top w:val="double" w:sz="6" w:space="0" w:color="auto"/>
              <w:left w:val="nil"/>
              <w:bottom w:val="double" w:sz="4" w:space="0" w:color="auto"/>
              <w:right w:val="nil"/>
            </w:tcBorders>
            <w:vAlign w:val="bottom"/>
          </w:tcPr>
          <w:p w14:paraId="5F38B947"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b/>
                <w:color w:val="000000"/>
              </w:rPr>
            </w:pPr>
            <w:r w:rsidRPr="004D1194">
              <w:rPr>
                <w:rFonts w:ascii="Times New Roman" w:hAnsi="Times New Roman" w:cs="Times New Roman"/>
                <w:b/>
                <w:color w:val="000000"/>
              </w:rPr>
              <w:t>Variable</w:t>
            </w:r>
          </w:p>
        </w:tc>
        <w:tc>
          <w:tcPr>
            <w:tcW w:w="1250" w:type="dxa"/>
            <w:tcBorders>
              <w:top w:val="double" w:sz="6" w:space="0" w:color="auto"/>
              <w:left w:val="nil"/>
              <w:bottom w:val="double" w:sz="4" w:space="0" w:color="auto"/>
              <w:right w:val="nil"/>
            </w:tcBorders>
            <w:vAlign w:val="bottom"/>
          </w:tcPr>
          <w:p w14:paraId="1E28CE6F"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Coefficient</w:t>
            </w:r>
          </w:p>
        </w:tc>
        <w:tc>
          <w:tcPr>
            <w:tcW w:w="1530" w:type="dxa"/>
            <w:tcBorders>
              <w:top w:val="double" w:sz="6" w:space="0" w:color="auto"/>
              <w:left w:val="nil"/>
              <w:bottom w:val="double" w:sz="4" w:space="0" w:color="auto"/>
              <w:right w:val="nil"/>
            </w:tcBorders>
            <w:vAlign w:val="bottom"/>
          </w:tcPr>
          <w:p w14:paraId="1E84328C"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Std. Error</w:t>
            </w:r>
          </w:p>
        </w:tc>
        <w:tc>
          <w:tcPr>
            <w:tcW w:w="1530" w:type="dxa"/>
            <w:tcBorders>
              <w:top w:val="double" w:sz="6" w:space="0" w:color="auto"/>
              <w:left w:val="nil"/>
              <w:bottom w:val="double" w:sz="4" w:space="0" w:color="auto"/>
              <w:right w:val="nil"/>
            </w:tcBorders>
            <w:vAlign w:val="bottom"/>
          </w:tcPr>
          <w:p w14:paraId="5093DD81"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t-Statistic</w:t>
            </w:r>
          </w:p>
        </w:tc>
        <w:tc>
          <w:tcPr>
            <w:tcW w:w="1350" w:type="dxa"/>
            <w:tcBorders>
              <w:top w:val="double" w:sz="6" w:space="0" w:color="auto"/>
              <w:left w:val="nil"/>
              <w:bottom w:val="double" w:sz="4" w:space="0" w:color="auto"/>
              <w:right w:val="nil"/>
            </w:tcBorders>
            <w:vAlign w:val="bottom"/>
          </w:tcPr>
          <w:p w14:paraId="53A583FD"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b/>
                <w:color w:val="000000"/>
              </w:rPr>
            </w:pPr>
            <w:r w:rsidRPr="004D1194">
              <w:rPr>
                <w:rFonts w:ascii="Times New Roman" w:hAnsi="Times New Roman" w:cs="Times New Roman"/>
                <w:b/>
                <w:color w:val="000000"/>
              </w:rPr>
              <w:t>Prob.  </w:t>
            </w:r>
          </w:p>
        </w:tc>
      </w:tr>
      <w:tr w:rsidR="001A4644" w:rsidRPr="004D1194" w14:paraId="78C79C52" w14:textId="77777777" w:rsidTr="00630F59">
        <w:trPr>
          <w:trHeight w:val="225"/>
        </w:trPr>
        <w:tc>
          <w:tcPr>
            <w:tcW w:w="2017" w:type="dxa"/>
            <w:tcBorders>
              <w:top w:val="double" w:sz="4" w:space="0" w:color="auto"/>
              <w:left w:val="nil"/>
              <w:bottom w:val="nil"/>
              <w:right w:val="nil"/>
            </w:tcBorders>
            <w:vAlign w:val="bottom"/>
          </w:tcPr>
          <w:p w14:paraId="24874346"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w:t>
            </w:r>
          </w:p>
        </w:tc>
        <w:tc>
          <w:tcPr>
            <w:tcW w:w="1250" w:type="dxa"/>
            <w:tcBorders>
              <w:top w:val="double" w:sz="4" w:space="0" w:color="auto"/>
              <w:left w:val="nil"/>
              <w:bottom w:val="nil"/>
              <w:right w:val="nil"/>
            </w:tcBorders>
            <w:vAlign w:val="bottom"/>
          </w:tcPr>
          <w:p w14:paraId="742C935E" w14:textId="77777777" w:rsidR="001A4644" w:rsidRPr="004D1194" w:rsidRDefault="00CC4428" w:rsidP="00CC4428">
            <w:pPr>
              <w:autoSpaceDE w:val="0"/>
              <w:autoSpaceDN w:val="0"/>
              <w:adjustRightInd w:val="0"/>
              <w:spacing w:after="0" w:line="240" w:lineRule="auto"/>
              <w:ind w:right="10"/>
              <w:jc w:val="right"/>
              <w:rPr>
                <w:rFonts w:ascii="Times New Roman" w:hAnsi="Times New Roman" w:cs="Times New Roman"/>
                <w:color w:val="000000"/>
              </w:rPr>
            </w:pPr>
            <w:r>
              <w:rPr>
                <w:rFonts w:ascii="Times New Roman" w:hAnsi="Times New Roman" w:cs="Times New Roman"/>
                <w:color w:val="000000"/>
              </w:rPr>
              <w:t>1</w:t>
            </w:r>
            <w:r w:rsidR="001A4644" w:rsidRPr="004D1194">
              <w:rPr>
                <w:rFonts w:ascii="Times New Roman" w:hAnsi="Times New Roman" w:cs="Times New Roman"/>
                <w:color w:val="000000"/>
              </w:rPr>
              <w:t>.</w:t>
            </w:r>
            <w:r>
              <w:rPr>
                <w:rFonts w:ascii="Times New Roman" w:hAnsi="Times New Roman" w:cs="Times New Roman"/>
                <w:color w:val="000000"/>
              </w:rPr>
              <w:t>836778</w:t>
            </w:r>
          </w:p>
        </w:tc>
        <w:tc>
          <w:tcPr>
            <w:tcW w:w="1530" w:type="dxa"/>
            <w:tcBorders>
              <w:top w:val="double" w:sz="4" w:space="0" w:color="auto"/>
              <w:left w:val="nil"/>
              <w:bottom w:val="nil"/>
              <w:right w:val="nil"/>
            </w:tcBorders>
            <w:vAlign w:val="bottom"/>
          </w:tcPr>
          <w:p w14:paraId="6D1E6D2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247545</w:t>
            </w:r>
          </w:p>
        </w:tc>
        <w:tc>
          <w:tcPr>
            <w:tcW w:w="1530" w:type="dxa"/>
            <w:tcBorders>
              <w:top w:val="double" w:sz="4" w:space="0" w:color="auto"/>
              <w:left w:val="nil"/>
              <w:bottom w:val="nil"/>
              <w:right w:val="nil"/>
            </w:tcBorders>
            <w:vAlign w:val="bottom"/>
          </w:tcPr>
          <w:p w14:paraId="434ED360" w14:textId="77777777" w:rsidR="001A4644" w:rsidRPr="004D1194" w:rsidRDefault="00CC4428" w:rsidP="00CC4428">
            <w:pPr>
              <w:autoSpaceDE w:val="0"/>
              <w:autoSpaceDN w:val="0"/>
              <w:adjustRightInd w:val="0"/>
              <w:spacing w:after="0" w:line="240" w:lineRule="auto"/>
              <w:ind w:right="10"/>
              <w:jc w:val="right"/>
              <w:rPr>
                <w:rFonts w:ascii="Times New Roman" w:hAnsi="Times New Roman" w:cs="Times New Roman"/>
                <w:color w:val="000000"/>
              </w:rPr>
            </w:pPr>
            <w:r>
              <w:rPr>
                <w:rFonts w:ascii="Times New Roman" w:hAnsi="Times New Roman" w:cs="Times New Roman"/>
                <w:color w:val="000000"/>
              </w:rPr>
              <w:t>7</w:t>
            </w:r>
            <w:r w:rsidR="001A4644" w:rsidRPr="004D1194">
              <w:rPr>
                <w:rFonts w:ascii="Times New Roman" w:hAnsi="Times New Roman" w:cs="Times New Roman"/>
                <w:color w:val="000000"/>
              </w:rPr>
              <w:t>.</w:t>
            </w:r>
            <w:r>
              <w:rPr>
                <w:rFonts w:ascii="Times New Roman" w:hAnsi="Times New Roman" w:cs="Times New Roman"/>
                <w:color w:val="000000"/>
              </w:rPr>
              <w:t>419976</w:t>
            </w:r>
          </w:p>
        </w:tc>
        <w:tc>
          <w:tcPr>
            <w:tcW w:w="1350" w:type="dxa"/>
            <w:tcBorders>
              <w:top w:val="double" w:sz="4" w:space="0" w:color="auto"/>
              <w:left w:val="nil"/>
              <w:bottom w:val="nil"/>
              <w:right w:val="nil"/>
            </w:tcBorders>
            <w:vAlign w:val="bottom"/>
          </w:tcPr>
          <w:p w14:paraId="420FF21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00</w:t>
            </w:r>
            <w:r w:rsidRPr="004D1194">
              <w:rPr>
                <w:rFonts w:ascii="Times New Roman" w:hAnsi="Times New Roman" w:cs="Times New Roman"/>
                <w:color w:val="000000"/>
              </w:rPr>
              <w:t>0</w:t>
            </w:r>
            <w:r w:rsidR="00CC4428">
              <w:rPr>
                <w:rFonts w:ascii="Times New Roman" w:hAnsi="Times New Roman" w:cs="Times New Roman"/>
                <w:color w:val="000000"/>
              </w:rPr>
              <w:t>2</w:t>
            </w:r>
          </w:p>
        </w:tc>
      </w:tr>
      <w:tr w:rsidR="001A4644" w:rsidRPr="004D1194" w14:paraId="2965DD06" w14:textId="77777777" w:rsidTr="00CC4428">
        <w:trPr>
          <w:trHeight w:val="225"/>
        </w:trPr>
        <w:tc>
          <w:tcPr>
            <w:tcW w:w="2017" w:type="dxa"/>
            <w:tcBorders>
              <w:top w:val="nil"/>
              <w:left w:val="nil"/>
              <w:bottom w:val="nil"/>
              <w:right w:val="nil"/>
            </w:tcBorders>
            <w:vAlign w:val="bottom"/>
          </w:tcPr>
          <w:p w14:paraId="1CC4DD91" w14:textId="77777777" w:rsidR="001A4644" w:rsidRPr="004D1194" w:rsidRDefault="001A4644"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PRIFI(-1)</w:t>
            </w:r>
          </w:p>
        </w:tc>
        <w:tc>
          <w:tcPr>
            <w:tcW w:w="1250" w:type="dxa"/>
            <w:tcBorders>
              <w:top w:val="nil"/>
              <w:left w:val="nil"/>
              <w:bottom w:val="nil"/>
              <w:right w:val="nil"/>
            </w:tcBorders>
            <w:vAlign w:val="bottom"/>
          </w:tcPr>
          <w:p w14:paraId="4774CD2E"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963453</w:t>
            </w:r>
          </w:p>
        </w:tc>
        <w:tc>
          <w:tcPr>
            <w:tcW w:w="1530" w:type="dxa"/>
            <w:tcBorders>
              <w:top w:val="nil"/>
              <w:left w:val="nil"/>
              <w:bottom w:val="nil"/>
              <w:right w:val="nil"/>
            </w:tcBorders>
            <w:vAlign w:val="bottom"/>
          </w:tcPr>
          <w:p w14:paraId="66F03ED1"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073456</w:t>
            </w:r>
          </w:p>
        </w:tc>
        <w:tc>
          <w:tcPr>
            <w:tcW w:w="1530" w:type="dxa"/>
            <w:tcBorders>
              <w:top w:val="nil"/>
              <w:left w:val="nil"/>
              <w:bottom w:val="nil"/>
              <w:right w:val="nil"/>
            </w:tcBorders>
            <w:vAlign w:val="bottom"/>
          </w:tcPr>
          <w:p w14:paraId="29A6C15A"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w:t>
            </w:r>
            <w:r w:rsidR="00CC4428">
              <w:rPr>
                <w:rFonts w:ascii="Times New Roman" w:hAnsi="Times New Roman" w:cs="Times New Roman"/>
                <w:color w:val="000000"/>
              </w:rPr>
              <w:t>3</w:t>
            </w:r>
            <w:r w:rsidRPr="004D1194">
              <w:rPr>
                <w:rFonts w:ascii="Times New Roman" w:hAnsi="Times New Roman" w:cs="Times New Roman"/>
                <w:color w:val="000000"/>
              </w:rPr>
              <w:t>.</w:t>
            </w:r>
            <w:r w:rsidR="00CC4428">
              <w:rPr>
                <w:rFonts w:ascii="Times New Roman" w:hAnsi="Times New Roman" w:cs="Times New Roman"/>
                <w:color w:val="000000"/>
              </w:rPr>
              <w:t>11606</w:t>
            </w:r>
          </w:p>
        </w:tc>
        <w:tc>
          <w:tcPr>
            <w:tcW w:w="1350" w:type="dxa"/>
            <w:tcBorders>
              <w:top w:val="nil"/>
              <w:left w:val="nil"/>
              <w:bottom w:val="nil"/>
              <w:right w:val="nil"/>
            </w:tcBorders>
            <w:vAlign w:val="bottom"/>
          </w:tcPr>
          <w:p w14:paraId="7D5462F9" w14:textId="77777777" w:rsidR="001A4644" w:rsidRPr="004D1194" w:rsidRDefault="001A4644"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sidR="00CC4428">
              <w:rPr>
                <w:rFonts w:ascii="Times New Roman" w:hAnsi="Times New Roman" w:cs="Times New Roman"/>
                <w:color w:val="000000"/>
              </w:rPr>
              <w:t>0031</w:t>
            </w:r>
          </w:p>
        </w:tc>
      </w:tr>
      <w:tr w:rsidR="00B539E8" w:rsidRPr="004D1194" w14:paraId="62E2E98B" w14:textId="77777777" w:rsidTr="00CC4428">
        <w:trPr>
          <w:trHeight w:val="225"/>
        </w:trPr>
        <w:tc>
          <w:tcPr>
            <w:tcW w:w="2017" w:type="dxa"/>
            <w:tcBorders>
              <w:top w:val="nil"/>
              <w:left w:val="nil"/>
              <w:bottom w:val="nil"/>
              <w:right w:val="nil"/>
            </w:tcBorders>
            <w:vAlign w:val="bottom"/>
          </w:tcPr>
          <w:p w14:paraId="43DCFEAE" w14:textId="77777777" w:rsidR="00B539E8" w:rsidRPr="004D1194" w:rsidRDefault="00B539E8" w:rsidP="00B539E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CAPFI</w:t>
            </w:r>
          </w:p>
        </w:tc>
        <w:tc>
          <w:tcPr>
            <w:tcW w:w="1250" w:type="dxa"/>
            <w:tcBorders>
              <w:top w:val="nil"/>
              <w:left w:val="nil"/>
              <w:bottom w:val="nil"/>
              <w:right w:val="nil"/>
            </w:tcBorders>
            <w:vAlign w:val="bottom"/>
          </w:tcPr>
          <w:p w14:paraId="10232857"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-0.375081</w:t>
            </w:r>
          </w:p>
        </w:tc>
        <w:tc>
          <w:tcPr>
            <w:tcW w:w="1530" w:type="dxa"/>
            <w:tcBorders>
              <w:top w:val="nil"/>
              <w:left w:val="nil"/>
              <w:bottom w:val="nil"/>
              <w:right w:val="nil"/>
            </w:tcBorders>
            <w:vAlign w:val="bottom"/>
          </w:tcPr>
          <w:p w14:paraId="2FCF3DE4"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0.048420</w:t>
            </w:r>
          </w:p>
        </w:tc>
        <w:tc>
          <w:tcPr>
            <w:tcW w:w="1530" w:type="dxa"/>
            <w:tcBorders>
              <w:top w:val="nil"/>
              <w:left w:val="nil"/>
              <w:bottom w:val="nil"/>
              <w:right w:val="nil"/>
            </w:tcBorders>
            <w:vAlign w:val="bottom"/>
          </w:tcPr>
          <w:p w14:paraId="3C8614B7"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-7.746406</w:t>
            </w:r>
          </w:p>
        </w:tc>
        <w:tc>
          <w:tcPr>
            <w:tcW w:w="1350" w:type="dxa"/>
            <w:tcBorders>
              <w:top w:val="nil"/>
              <w:left w:val="nil"/>
              <w:bottom w:val="nil"/>
              <w:right w:val="nil"/>
            </w:tcBorders>
            <w:vAlign w:val="bottom"/>
          </w:tcPr>
          <w:p w14:paraId="7ED595DB"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0.0220</w:t>
            </w:r>
          </w:p>
        </w:tc>
      </w:tr>
      <w:tr w:rsidR="00B539E8" w:rsidRPr="004D1194" w14:paraId="07D8442F" w14:textId="77777777" w:rsidTr="00CC4428">
        <w:trPr>
          <w:trHeight w:val="225"/>
        </w:trPr>
        <w:tc>
          <w:tcPr>
            <w:tcW w:w="2017" w:type="dxa"/>
            <w:tcBorders>
              <w:top w:val="nil"/>
              <w:left w:val="nil"/>
              <w:bottom w:val="nil"/>
              <w:right w:val="nil"/>
            </w:tcBorders>
            <w:vAlign w:val="bottom"/>
          </w:tcPr>
          <w:p w14:paraId="3626646B" w14:textId="77777777" w:rsidR="00B539E8" w:rsidRPr="004D1194" w:rsidRDefault="00B539E8" w:rsidP="00B539E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RECFI</w:t>
            </w:r>
          </w:p>
        </w:tc>
        <w:tc>
          <w:tcPr>
            <w:tcW w:w="1250" w:type="dxa"/>
            <w:tcBorders>
              <w:top w:val="nil"/>
              <w:left w:val="nil"/>
              <w:bottom w:val="nil"/>
              <w:right w:val="nil"/>
            </w:tcBorders>
            <w:vAlign w:val="bottom"/>
          </w:tcPr>
          <w:p w14:paraId="79E73E6D"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0.055436</w:t>
            </w:r>
          </w:p>
        </w:tc>
        <w:tc>
          <w:tcPr>
            <w:tcW w:w="1530" w:type="dxa"/>
            <w:tcBorders>
              <w:top w:val="nil"/>
              <w:left w:val="nil"/>
              <w:bottom w:val="nil"/>
              <w:right w:val="nil"/>
            </w:tcBorders>
            <w:vAlign w:val="bottom"/>
          </w:tcPr>
          <w:p w14:paraId="3752C878"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0.014804</w:t>
            </w:r>
          </w:p>
        </w:tc>
        <w:tc>
          <w:tcPr>
            <w:tcW w:w="1530" w:type="dxa"/>
            <w:tcBorders>
              <w:top w:val="nil"/>
              <w:left w:val="nil"/>
              <w:bottom w:val="nil"/>
              <w:right w:val="nil"/>
            </w:tcBorders>
            <w:vAlign w:val="bottom"/>
          </w:tcPr>
          <w:p w14:paraId="7DE17A95"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3.744664</w:t>
            </w:r>
          </w:p>
        </w:tc>
        <w:tc>
          <w:tcPr>
            <w:tcW w:w="1350" w:type="dxa"/>
            <w:tcBorders>
              <w:top w:val="nil"/>
              <w:left w:val="nil"/>
              <w:bottom w:val="nil"/>
              <w:right w:val="nil"/>
            </w:tcBorders>
            <w:vAlign w:val="bottom"/>
          </w:tcPr>
          <w:p w14:paraId="4E28A1E9" w14:textId="77777777" w:rsidR="00B539E8" w:rsidRPr="004D1194" w:rsidRDefault="00B539E8" w:rsidP="00B539E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0.0409</w:t>
            </w:r>
          </w:p>
        </w:tc>
      </w:tr>
      <w:tr w:rsidR="00B539E8" w:rsidRPr="004D1194" w14:paraId="497D32EA" w14:textId="77777777" w:rsidTr="00630F59">
        <w:trPr>
          <w:trHeight w:val="225"/>
        </w:trPr>
        <w:tc>
          <w:tcPr>
            <w:tcW w:w="2017" w:type="dxa"/>
            <w:tcBorders>
              <w:top w:val="nil"/>
              <w:left w:val="nil"/>
              <w:right w:val="nil"/>
            </w:tcBorders>
            <w:vAlign w:val="bottom"/>
          </w:tcPr>
          <w:p w14:paraId="0EBC7F11"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r w:rsidRPr="004D1194">
              <w:rPr>
                <w:rFonts w:ascii="Times New Roman" w:hAnsi="Times New Roman" w:cs="Times New Roman"/>
                <w:color w:val="000000"/>
              </w:rPr>
              <w:t>C</w:t>
            </w:r>
          </w:p>
        </w:tc>
        <w:tc>
          <w:tcPr>
            <w:tcW w:w="1250" w:type="dxa"/>
            <w:tcBorders>
              <w:top w:val="nil"/>
              <w:left w:val="nil"/>
              <w:right w:val="nil"/>
            </w:tcBorders>
            <w:vAlign w:val="bottom"/>
          </w:tcPr>
          <w:p w14:paraId="7063674B"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0.484607</w:t>
            </w:r>
          </w:p>
        </w:tc>
        <w:tc>
          <w:tcPr>
            <w:tcW w:w="1530" w:type="dxa"/>
            <w:tcBorders>
              <w:top w:val="nil"/>
              <w:left w:val="nil"/>
              <w:right w:val="nil"/>
            </w:tcBorders>
            <w:vAlign w:val="bottom"/>
          </w:tcPr>
          <w:p w14:paraId="307EAA53"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1.438429</w:t>
            </w:r>
          </w:p>
        </w:tc>
        <w:tc>
          <w:tcPr>
            <w:tcW w:w="1530" w:type="dxa"/>
            <w:tcBorders>
              <w:top w:val="nil"/>
              <w:left w:val="nil"/>
              <w:right w:val="nil"/>
            </w:tcBorders>
            <w:vAlign w:val="bottom"/>
          </w:tcPr>
          <w:p w14:paraId="0658F238"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0.336900</w:t>
            </w:r>
          </w:p>
        </w:tc>
        <w:tc>
          <w:tcPr>
            <w:tcW w:w="1350" w:type="dxa"/>
            <w:tcBorders>
              <w:top w:val="nil"/>
              <w:left w:val="nil"/>
              <w:right w:val="nil"/>
            </w:tcBorders>
            <w:vAlign w:val="bottom"/>
          </w:tcPr>
          <w:p w14:paraId="1D510D70"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0.7390</w:t>
            </w:r>
          </w:p>
        </w:tc>
      </w:tr>
      <w:tr w:rsidR="00B539E8" w:rsidRPr="004D1194" w14:paraId="3EA5B496" w14:textId="77777777" w:rsidTr="00630F59">
        <w:trPr>
          <w:trHeight w:val="225"/>
        </w:trPr>
        <w:tc>
          <w:tcPr>
            <w:tcW w:w="2017" w:type="dxa"/>
            <w:tcBorders>
              <w:top w:val="nil"/>
              <w:left w:val="nil"/>
              <w:bottom w:val="double" w:sz="4" w:space="0" w:color="auto"/>
              <w:right w:val="nil"/>
            </w:tcBorders>
            <w:vAlign w:val="bottom"/>
          </w:tcPr>
          <w:p w14:paraId="631721CF"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roofErr w:type="spellStart"/>
            <w:r w:rsidRPr="004D1194">
              <w:rPr>
                <w:rFonts w:ascii="Times New Roman" w:hAnsi="Times New Roman" w:cs="Times New Roman"/>
                <w:color w:val="000000"/>
              </w:rPr>
              <w:t>CointEq</w:t>
            </w:r>
            <w:proofErr w:type="spellEnd"/>
            <w:r w:rsidRPr="004D1194">
              <w:rPr>
                <w:rFonts w:ascii="Times New Roman" w:hAnsi="Times New Roman" w:cs="Times New Roman"/>
                <w:color w:val="000000"/>
              </w:rPr>
              <w:t>(-1)</w:t>
            </w:r>
          </w:p>
        </w:tc>
        <w:tc>
          <w:tcPr>
            <w:tcW w:w="1250" w:type="dxa"/>
            <w:tcBorders>
              <w:top w:val="nil"/>
              <w:left w:val="nil"/>
              <w:bottom w:val="double" w:sz="4" w:space="0" w:color="auto"/>
              <w:right w:val="nil"/>
            </w:tcBorders>
            <w:vAlign w:val="bottom"/>
          </w:tcPr>
          <w:p w14:paraId="0978E422"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w:t>
            </w:r>
            <w:r>
              <w:rPr>
                <w:rFonts w:ascii="Times New Roman" w:hAnsi="Times New Roman" w:cs="Times New Roman"/>
                <w:color w:val="000000"/>
              </w:rPr>
              <w:t>2480</w:t>
            </w:r>
            <w:r w:rsidRPr="004D1194">
              <w:rPr>
                <w:rFonts w:ascii="Times New Roman" w:hAnsi="Times New Roman" w:cs="Times New Roman"/>
                <w:color w:val="000000"/>
              </w:rPr>
              <w:t>2</w:t>
            </w:r>
          </w:p>
        </w:tc>
        <w:tc>
          <w:tcPr>
            <w:tcW w:w="1530" w:type="dxa"/>
            <w:tcBorders>
              <w:top w:val="nil"/>
              <w:left w:val="nil"/>
              <w:bottom w:val="double" w:sz="4" w:space="0" w:color="auto"/>
              <w:right w:val="nil"/>
            </w:tcBorders>
            <w:vAlign w:val="bottom"/>
          </w:tcPr>
          <w:p w14:paraId="7DD4AF56"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w:t>
            </w:r>
            <w:r>
              <w:rPr>
                <w:rFonts w:ascii="Times New Roman" w:hAnsi="Times New Roman" w:cs="Times New Roman"/>
                <w:color w:val="000000"/>
              </w:rPr>
              <w:t>011356</w:t>
            </w:r>
          </w:p>
        </w:tc>
        <w:tc>
          <w:tcPr>
            <w:tcW w:w="1530" w:type="dxa"/>
            <w:tcBorders>
              <w:top w:val="nil"/>
              <w:left w:val="nil"/>
              <w:bottom w:val="double" w:sz="4" w:space="0" w:color="auto"/>
              <w:right w:val="nil"/>
            </w:tcBorders>
            <w:vAlign w:val="bottom"/>
          </w:tcPr>
          <w:p w14:paraId="63575EEA"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-2.</w:t>
            </w:r>
            <w:r>
              <w:rPr>
                <w:rFonts w:ascii="Times New Roman" w:hAnsi="Times New Roman" w:cs="Times New Roman"/>
                <w:color w:val="000000"/>
              </w:rPr>
              <w:t>184044</w:t>
            </w:r>
          </w:p>
        </w:tc>
        <w:tc>
          <w:tcPr>
            <w:tcW w:w="1350" w:type="dxa"/>
            <w:tcBorders>
              <w:top w:val="nil"/>
              <w:left w:val="nil"/>
              <w:bottom w:val="double" w:sz="4" w:space="0" w:color="auto"/>
              <w:right w:val="nil"/>
            </w:tcBorders>
            <w:vAlign w:val="bottom"/>
          </w:tcPr>
          <w:p w14:paraId="29E12DC5" w14:textId="77777777" w:rsidR="00B539E8" w:rsidRPr="004D1194" w:rsidRDefault="00B539E8" w:rsidP="00CC4428">
            <w:pPr>
              <w:autoSpaceDE w:val="0"/>
              <w:autoSpaceDN w:val="0"/>
              <w:adjustRightInd w:val="0"/>
              <w:spacing w:after="0" w:line="240" w:lineRule="auto"/>
              <w:ind w:right="10"/>
              <w:jc w:val="right"/>
              <w:rPr>
                <w:rFonts w:ascii="Times New Roman" w:hAnsi="Times New Roman" w:cs="Times New Roman"/>
                <w:color w:val="000000"/>
              </w:rPr>
            </w:pPr>
            <w:r w:rsidRPr="004D1194">
              <w:rPr>
                <w:rFonts w:ascii="Times New Roman" w:hAnsi="Times New Roman" w:cs="Times New Roman"/>
                <w:color w:val="000000"/>
              </w:rPr>
              <w:t>0.0</w:t>
            </w:r>
            <w:r>
              <w:rPr>
                <w:rFonts w:ascii="Times New Roman" w:hAnsi="Times New Roman" w:cs="Times New Roman"/>
                <w:color w:val="000000"/>
              </w:rPr>
              <w:t>019</w:t>
            </w:r>
          </w:p>
        </w:tc>
      </w:tr>
      <w:tr w:rsidR="00B539E8" w:rsidRPr="004D1194" w14:paraId="1F54E2EF" w14:textId="77777777" w:rsidTr="00630F59">
        <w:trPr>
          <w:trHeight w:hRule="exact" w:val="135"/>
        </w:trPr>
        <w:tc>
          <w:tcPr>
            <w:tcW w:w="2017" w:type="dxa"/>
            <w:tcBorders>
              <w:top w:val="double" w:sz="4" w:space="0" w:color="auto"/>
              <w:left w:val="nil"/>
              <w:bottom w:val="nil"/>
              <w:right w:val="nil"/>
            </w:tcBorders>
            <w:vAlign w:val="bottom"/>
          </w:tcPr>
          <w:p w14:paraId="760DA60C"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250" w:type="dxa"/>
            <w:tcBorders>
              <w:top w:val="double" w:sz="4" w:space="0" w:color="auto"/>
              <w:left w:val="nil"/>
              <w:bottom w:val="nil"/>
              <w:right w:val="nil"/>
            </w:tcBorders>
            <w:vAlign w:val="bottom"/>
          </w:tcPr>
          <w:p w14:paraId="04A8061C"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double" w:sz="4" w:space="0" w:color="auto"/>
              <w:left w:val="nil"/>
              <w:bottom w:val="nil"/>
              <w:right w:val="nil"/>
            </w:tcBorders>
            <w:vAlign w:val="bottom"/>
          </w:tcPr>
          <w:p w14:paraId="3CFF1B71"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530" w:type="dxa"/>
            <w:tcBorders>
              <w:top w:val="double" w:sz="4" w:space="0" w:color="auto"/>
              <w:left w:val="nil"/>
              <w:bottom w:val="nil"/>
              <w:right w:val="nil"/>
            </w:tcBorders>
            <w:vAlign w:val="bottom"/>
          </w:tcPr>
          <w:p w14:paraId="21CC8B87"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c>
          <w:tcPr>
            <w:tcW w:w="1350" w:type="dxa"/>
            <w:tcBorders>
              <w:top w:val="double" w:sz="4" w:space="0" w:color="auto"/>
              <w:left w:val="nil"/>
              <w:bottom w:val="nil"/>
              <w:right w:val="nil"/>
            </w:tcBorders>
            <w:vAlign w:val="bottom"/>
          </w:tcPr>
          <w:p w14:paraId="3F118CD7" w14:textId="77777777" w:rsidR="00B539E8" w:rsidRPr="004D1194" w:rsidRDefault="00B539E8" w:rsidP="00CC4428">
            <w:pPr>
              <w:autoSpaceDE w:val="0"/>
              <w:autoSpaceDN w:val="0"/>
              <w:adjustRightInd w:val="0"/>
              <w:spacing w:after="0" w:line="240" w:lineRule="auto"/>
              <w:jc w:val="center"/>
              <w:rPr>
                <w:rFonts w:ascii="Times New Roman" w:hAnsi="Times New Roman" w:cs="Times New Roman"/>
                <w:color w:val="000000"/>
              </w:rPr>
            </w:pPr>
          </w:p>
        </w:tc>
      </w:tr>
    </w:tbl>
    <w:p w14:paraId="1692A19A" w14:textId="77777777" w:rsidR="0079614D" w:rsidRDefault="0079614D" w:rsidP="0079614D">
      <w:pPr>
        <w:spacing w:after="0" w:line="240" w:lineRule="auto"/>
        <w:jc w:val="both"/>
        <w:rPr>
          <w:rFonts w:ascii="Times New Roman" w:hAnsi="Times New Roman"/>
          <w:color w:val="000000"/>
          <w:sz w:val="20"/>
          <w:szCs w:val="20"/>
        </w:rPr>
      </w:pPr>
      <w:r w:rsidRPr="0079614D">
        <w:rPr>
          <w:rFonts w:ascii="Times New Roman" w:hAnsi="Times New Roman"/>
          <w:b/>
          <w:color w:val="000000"/>
          <w:sz w:val="20"/>
          <w:szCs w:val="20"/>
        </w:rPr>
        <w:t>Source:</w:t>
      </w:r>
      <w:r w:rsidRPr="0079614D">
        <w:rPr>
          <w:rFonts w:ascii="Times New Roman" w:hAnsi="Times New Roman"/>
          <w:color w:val="000000"/>
          <w:sz w:val="20"/>
          <w:szCs w:val="20"/>
        </w:rPr>
        <w:t xml:space="preserve"> </w:t>
      </w:r>
      <w:r>
        <w:rPr>
          <w:rFonts w:ascii="Times New Roman" w:hAnsi="Times New Roman"/>
          <w:color w:val="000000"/>
          <w:sz w:val="20"/>
          <w:szCs w:val="20"/>
        </w:rPr>
        <w:t xml:space="preserve">Extracted from Eviews 9 Output </w:t>
      </w:r>
    </w:p>
    <w:p w14:paraId="124E3BF5" w14:textId="77777777" w:rsidR="00DD1B1C" w:rsidRDefault="00CC4428" w:rsidP="007E47E3">
      <w:pPr>
        <w:spacing w:before="120" w:after="0" w:line="360" w:lineRule="auto"/>
        <w:jc w:val="both"/>
        <w:rPr>
          <w:rFonts w:ascii="Times New Roman" w:hAnsi="Times New Roman"/>
          <w:sz w:val="24"/>
          <w:szCs w:val="24"/>
        </w:rPr>
      </w:pPr>
      <w:r>
        <w:rPr>
          <w:rFonts w:ascii="Times New Roman" w:hAnsi="Times New Roman"/>
          <w:sz w:val="24"/>
          <w:szCs w:val="24"/>
        </w:rPr>
        <w:t>With the intervening effect of g</w:t>
      </w:r>
      <w:r w:rsidR="003C52B0">
        <w:rPr>
          <w:rFonts w:ascii="Times New Roman" w:hAnsi="Times New Roman"/>
          <w:sz w:val="24"/>
          <w:szCs w:val="24"/>
        </w:rPr>
        <w:t xml:space="preserve">overnment </w:t>
      </w:r>
      <w:r w:rsidR="00422C15">
        <w:rPr>
          <w:rFonts w:ascii="Times New Roman" w:hAnsi="Times New Roman"/>
          <w:sz w:val="24"/>
          <w:szCs w:val="24"/>
        </w:rPr>
        <w:t xml:space="preserve">capital </w:t>
      </w:r>
      <w:r>
        <w:rPr>
          <w:rFonts w:ascii="Times New Roman" w:hAnsi="Times New Roman"/>
          <w:sz w:val="24"/>
          <w:szCs w:val="24"/>
        </w:rPr>
        <w:t xml:space="preserve">and recurrent </w:t>
      </w:r>
      <w:r w:rsidR="00422C15">
        <w:rPr>
          <w:rFonts w:ascii="Times New Roman" w:hAnsi="Times New Roman"/>
          <w:sz w:val="24"/>
          <w:szCs w:val="24"/>
        </w:rPr>
        <w:t>expenditure</w:t>
      </w:r>
      <w:r w:rsidR="00D32C05" w:rsidRPr="00ED73DA">
        <w:rPr>
          <w:rFonts w:ascii="Times New Roman" w:hAnsi="Times New Roman"/>
          <w:sz w:val="24"/>
          <w:szCs w:val="24"/>
        </w:rPr>
        <w:t xml:space="preserve"> </w:t>
      </w:r>
      <w:r w:rsidR="003C52B0">
        <w:rPr>
          <w:rFonts w:ascii="Times New Roman" w:hAnsi="Times New Roman"/>
          <w:sz w:val="24"/>
          <w:szCs w:val="24"/>
        </w:rPr>
        <w:t>on education</w:t>
      </w:r>
      <w:r>
        <w:rPr>
          <w:rFonts w:ascii="Times New Roman" w:hAnsi="Times New Roman"/>
          <w:sz w:val="24"/>
          <w:szCs w:val="24"/>
        </w:rPr>
        <w:t xml:space="preserve">, private sector financing exerted an increased effect on TVET education development in Nigeria increasing it significantly by 1.8368 units. Even though capital expenditure of government had negative effect on TVET education enrolment, the presence of the government provided the needed impetus for TVET education to develop further far above what it was previously without government intervention. </w:t>
      </w:r>
    </w:p>
    <w:p w14:paraId="5E5EE385" w14:textId="77777777" w:rsidR="00DD1B1C" w:rsidRPr="00ED73DA" w:rsidRDefault="00DD1B1C" w:rsidP="00665477">
      <w:pPr>
        <w:shd w:val="clear" w:color="auto" w:fill="FFFFFF"/>
        <w:autoSpaceDE w:val="0"/>
        <w:autoSpaceDN w:val="0"/>
        <w:adjustRightInd w:val="0"/>
        <w:spacing w:before="120" w:after="0" w:line="360" w:lineRule="auto"/>
        <w:jc w:val="both"/>
        <w:rPr>
          <w:rFonts w:ascii="Times New Roman" w:hAnsi="Times New Roman"/>
          <w:b/>
          <w:color w:val="000000"/>
          <w:sz w:val="24"/>
          <w:szCs w:val="24"/>
        </w:rPr>
      </w:pPr>
      <w:r w:rsidRPr="00ED73DA">
        <w:rPr>
          <w:rFonts w:ascii="Times New Roman" w:hAnsi="Times New Roman"/>
          <w:b/>
          <w:color w:val="000000"/>
          <w:sz w:val="24"/>
          <w:szCs w:val="24"/>
        </w:rPr>
        <w:t>Test of Hypotheses</w:t>
      </w:r>
    </w:p>
    <w:p w14:paraId="794B4406" w14:textId="77777777" w:rsidR="00DD1B1C" w:rsidRDefault="00DD1B1C" w:rsidP="00665477">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sidRPr="00ED73DA">
        <w:rPr>
          <w:rFonts w:ascii="Times New Roman" w:hAnsi="Times New Roman"/>
          <w:color w:val="000000"/>
          <w:sz w:val="24"/>
          <w:szCs w:val="24"/>
        </w:rPr>
        <w:t xml:space="preserve">The hypotheses are tested at 5% level of significance using the t-statistic from the least square regression result. The </w:t>
      </w:r>
      <w:r>
        <w:rPr>
          <w:rFonts w:ascii="Times New Roman" w:hAnsi="Times New Roman"/>
          <w:color w:val="000000"/>
          <w:sz w:val="24"/>
          <w:szCs w:val="24"/>
        </w:rPr>
        <w:t xml:space="preserve">probability values of the </w:t>
      </w:r>
      <w:r w:rsidRPr="00ED73DA">
        <w:rPr>
          <w:rFonts w:ascii="Times New Roman" w:hAnsi="Times New Roman"/>
          <w:color w:val="000000"/>
          <w:sz w:val="24"/>
          <w:szCs w:val="24"/>
        </w:rPr>
        <w:t>t-statistic are compared with t</w:t>
      </w:r>
      <w:r>
        <w:rPr>
          <w:rFonts w:ascii="Times New Roman" w:hAnsi="Times New Roman"/>
          <w:color w:val="000000"/>
          <w:sz w:val="24"/>
          <w:szCs w:val="24"/>
        </w:rPr>
        <w:t>he 0.05 critical value</w:t>
      </w:r>
      <w:r w:rsidRPr="00ED73DA">
        <w:rPr>
          <w:rFonts w:ascii="Times New Roman" w:hAnsi="Times New Roman"/>
          <w:color w:val="000000"/>
          <w:sz w:val="24"/>
          <w:szCs w:val="24"/>
        </w:rPr>
        <w:t xml:space="preserve"> and if the </w:t>
      </w:r>
      <w:r w:rsidRPr="00EE02B7">
        <w:rPr>
          <w:rFonts w:ascii="Times New Roman" w:hAnsi="Times New Roman"/>
          <w:i/>
          <w:color w:val="000000"/>
          <w:sz w:val="24"/>
          <w:szCs w:val="24"/>
        </w:rPr>
        <w:t>p-value</w:t>
      </w:r>
      <w:r w:rsidRPr="00ED73DA">
        <w:rPr>
          <w:rFonts w:ascii="Times New Roman" w:hAnsi="Times New Roman"/>
          <w:color w:val="000000"/>
          <w:sz w:val="24"/>
          <w:szCs w:val="24"/>
        </w:rPr>
        <w:t xml:space="preserve"> is </w:t>
      </w:r>
      <w:r>
        <w:rPr>
          <w:rFonts w:ascii="Times New Roman" w:hAnsi="Times New Roman"/>
          <w:color w:val="000000"/>
          <w:sz w:val="24"/>
          <w:szCs w:val="24"/>
        </w:rPr>
        <w:t>less</w:t>
      </w:r>
      <w:r w:rsidRPr="00ED73DA">
        <w:rPr>
          <w:rFonts w:ascii="Times New Roman" w:hAnsi="Times New Roman"/>
          <w:color w:val="000000"/>
          <w:sz w:val="24"/>
          <w:szCs w:val="24"/>
        </w:rPr>
        <w:t xml:space="preserve"> than the </w:t>
      </w:r>
      <w:r>
        <w:rPr>
          <w:rFonts w:ascii="Times New Roman" w:hAnsi="Times New Roman"/>
          <w:color w:val="000000"/>
          <w:sz w:val="24"/>
          <w:szCs w:val="24"/>
        </w:rPr>
        <w:t>0.05 critical value</w:t>
      </w:r>
      <w:r w:rsidRPr="00ED73DA">
        <w:rPr>
          <w:rFonts w:ascii="Times New Roman" w:hAnsi="Times New Roman"/>
          <w:color w:val="000000"/>
          <w:sz w:val="24"/>
          <w:szCs w:val="24"/>
        </w:rPr>
        <w:t xml:space="preserve">, we </w:t>
      </w:r>
      <w:r>
        <w:rPr>
          <w:rFonts w:ascii="Times New Roman" w:hAnsi="Times New Roman"/>
          <w:color w:val="000000"/>
          <w:sz w:val="24"/>
          <w:szCs w:val="24"/>
        </w:rPr>
        <w:t xml:space="preserve">conclude that the </w:t>
      </w:r>
      <w:r>
        <w:rPr>
          <w:rFonts w:ascii="Times New Roman" w:hAnsi="Times New Roman"/>
          <w:color w:val="000000"/>
          <w:sz w:val="24"/>
          <w:szCs w:val="24"/>
        </w:rPr>
        <w:lastRenderedPageBreak/>
        <w:t>variable</w:t>
      </w:r>
      <w:r w:rsidRPr="00ED73DA">
        <w:rPr>
          <w:rFonts w:ascii="Times New Roman" w:hAnsi="Times New Roman"/>
          <w:color w:val="000000"/>
          <w:sz w:val="24"/>
          <w:szCs w:val="24"/>
        </w:rPr>
        <w:t xml:space="preserve"> </w:t>
      </w:r>
      <w:r>
        <w:rPr>
          <w:rFonts w:ascii="Times New Roman" w:hAnsi="Times New Roman"/>
          <w:color w:val="000000"/>
          <w:sz w:val="24"/>
          <w:szCs w:val="24"/>
        </w:rPr>
        <w:t>is significant. If otherwise, it is not significant. The hypotheses test is summarized in the Table below:</w:t>
      </w:r>
    </w:p>
    <w:p w14:paraId="577D8ACC" w14:textId="5B380FD4" w:rsidR="00DD1B1C" w:rsidRDefault="00DD1B1C" w:rsidP="00DD1B1C">
      <w:pPr>
        <w:shd w:val="clear" w:color="auto" w:fill="FFFFFF"/>
        <w:autoSpaceDE w:val="0"/>
        <w:autoSpaceDN w:val="0"/>
        <w:adjustRightInd w:val="0"/>
        <w:spacing w:before="240" w:after="0" w:line="240" w:lineRule="auto"/>
        <w:jc w:val="both"/>
        <w:rPr>
          <w:rFonts w:ascii="Times New Roman" w:hAnsi="Times New Roman"/>
          <w:b/>
          <w:color w:val="000000"/>
          <w:sz w:val="24"/>
          <w:szCs w:val="24"/>
        </w:rPr>
      </w:pPr>
      <w:r w:rsidRPr="00C85F36">
        <w:rPr>
          <w:rFonts w:ascii="Times New Roman" w:hAnsi="Times New Roman"/>
          <w:b/>
          <w:color w:val="000000"/>
          <w:sz w:val="24"/>
          <w:szCs w:val="24"/>
        </w:rPr>
        <w:t xml:space="preserve">Table </w:t>
      </w:r>
      <w:r w:rsidR="00685329">
        <w:rPr>
          <w:rFonts w:ascii="Times New Roman" w:hAnsi="Times New Roman"/>
          <w:b/>
          <w:color w:val="000000"/>
          <w:sz w:val="24"/>
          <w:szCs w:val="24"/>
        </w:rPr>
        <w:t>5</w:t>
      </w:r>
      <w:r w:rsidRPr="00C85F36">
        <w:rPr>
          <w:rFonts w:ascii="Times New Roman" w:hAnsi="Times New Roman"/>
          <w:b/>
          <w:color w:val="000000"/>
          <w:sz w:val="24"/>
          <w:szCs w:val="24"/>
        </w:rPr>
        <w:t xml:space="preserve">: </w:t>
      </w:r>
      <w:r>
        <w:rPr>
          <w:rFonts w:ascii="Times New Roman" w:hAnsi="Times New Roman"/>
          <w:b/>
          <w:color w:val="000000"/>
          <w:sz w:val="24"/>
          <w:szCs w:val="24"/>
        </w:rPr>
        <w:t>Test of Significance</w:t>
      </w: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899"/>
        <w:gridCol w:w="3945"/>
      </w:tblGrid>
      <w:tr w:rsidR="00DD1B1C" w:rsidRPr="00B91FB9" w14:paraId="64DA1A28" w14:textId="77777777" w:rsidTr="00630F59">
        <w:tc>
          <w:tcPr>
            <w:tcW w:w="3646" w:type="dxa"/>
          </w:tcPr>
          <w:p w14:paraId="06428E41" w14:textId="77777777" w:rsidR="00DD1B1C" w:rsidRPr="00B91FB9"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Hypotheses</w:t>
            </w:r>
          </w:p>
        </w:tc>
        <w:tc>
          <w:tcPr>
            <w:tcW w:w="1899" w:type="dxa"/>
          </w:tcPr>
          <w:p w14:paraId="4257F46F" w14:textId="77777777" w:rsidR="00DD1B1C" w:rsidRPr="0041404F"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t-statistic</w:t>
            </w:r>
            <w:r>
              <w:rPr>
                <w:rFonts w:ascii="Times New Roman" w:hAnsi="Times New Roman"/>
                <w:b/>
                <w:sz w:val="20"/>
                <w:szCs w:val="20"/>
              </w:rPr>
              <w:t xml:space="preserve"> (</w:t>
            </w:r>
            <w:r w:rsidRPr="00B91FB9">
              <w:rPr>
                <w:rFonts w:ascii="Times New Roman" w:hAnsi="Times New Roman"/>
                <w:b/>
                <w:i/>
                <w:sz w:val="20"/>
                <w:szCs w:val="20"/>
              </w:rPr>
              <w:t>p-value</w:t>
            </w:r>
            <w:r>
              <w:rPr>
                <w:rFonts w:ascii="Times New Roman" w:hAnsi="Times New Roman"/>
                <w:b/>
                <w:sz w:val="20"/>
                <w:szCs w:val="20"/>
              </w:rPr>
              <w:t>)</w:t>
            </w:r>
          </w:p>
        </w:tc>
        <w:tc>
          <w:tcPr>
            <w:tcW w:w="3945" w:type="dxa"/>
          </w:tcPr>
          <w:p w14:paraId="43490F3B" w14:textId="77777777" w:rsidR="00DD1B1C" w:rsidRPr="00B91FB9" w:rsidRDefault="00DD1B1C" w:rsidP="00786EE1">
            <w:pPr>
              <w:autoSpaceDE w:val="0"/>
              <w:autoSpaceDN w:val="0"/>
              <w:adjustRightInd w:val="0"/>
              <w:spacing w:after="0" w:line="240" w:lineRule="auto"/>
              <w:jc w:val="both"/>
              <w:rPr>
                <w:rFonts w:ascii="Times New Roman" w:hAnsi="Times New Roman"/>
                <w:b/>
                <w:sz w:val="20"/>
                <w:szCs w:val="20"/>
              </w:rPr>
            </w:pPr>
            <w:r w:rsidRPr="00B91FB9">
              <w:rPr>
                <w:rFonts w:ascii="Times New Roman" w:hAnsi="Times New Roman"/>
                <w:b/>
                <w:sz w:val="20"/>
                <w:szCs w:val="20"/>
              </w:rPr>
              <w:t>Decision</w:t>
            </w:r>
          </w:p>
        </w:tc>
      </w:tr>
      <w:tr w:rsidR="00DD1B1C" w:rsidRPr="00B91FB9" w14:paraId="77F28307" w14:textId="77777777" w:rsidTr="00630F59">
        <w:tc>
          <w:tcPr>
            <w:tcW w:w="3646" w:type="dxa"/>
          </w:tcPr>
          <w:p w14:paraId="1E2A5490" w14:textId="77777777" w:rsidR="00DD1B1C" w:rsidRPr="00B91FB9" w:rsidRDefault="00DD1B1C" w:rsidP="00786EE1">
            <w:pPr>
              <w:spacing w:after="0" w:line="240" w:lineRule="auto"/>
              <w:rPr>
                <w:rFonts w:ascii="Times New Roman" w:hAnsi="Times New Roman" w:cs="Times New Roman"/>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01</w:t>
            </w:r>
            <w:r w:rsidRPr="00B91FB9">
              <w:rPr>
                <w:rFonts w:ascii="Times New Roman" w:hAnsi="Times New Roman" w:cs="Times New Roman"/>
                <w:sz w:val="20"/>
                <w:szCs w:val="20"/>
              </w:rPr>
              <w:t>: There is no significant effect of private sector financing on technical and vocational education development in Nigeria.</w:t>
            </w:r>
          </w:p>
        </w:tc>
        <w:tc>
          <w:tcPr>
            <w:tcW w:w="1899" w:type="dxa"/>
          </w:tcPr>
          <w:p w14:paraId="58FADE98"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sidRPr="0041404F">
              <w:rPr>
                <w:rFonts w:ascii="Times New Roman" w:hAnsi="Times New Roman"/>
                <w:sz w:val="20"/>
                <w:szCs w:val="20"/>
              </w:rPr>
              <w:t>7.4199 (0.0002)</w:t>
            </w:r>
          </w:p>
        </w:tc>
        <w:tc>
          <w:tcPr>
            <w:tcW w:w="3945" w:type="dxa"/>
          </w:tcPr>
          <w:p w14:paraId="2B3A5598"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Reject null hypothesis (H</w:t>
            </w:r>
            <w:r w:rsidRPr="0041404F">
              <w:rPr>
                <w:rFonts w:ascii="Times New Roman" w:hAnsi="Times New Roman"/>
                <w:sz w:val="20"/>
                <w:szCs w:val="20"/>
                <w:vertAlign w:val="subscript"/>
              </w:rPr>
              <w:t>01</w:t>
            </w:r>
            <w:r>
              <w:rPr>
                <w:rFonts w:ascii="Times New Roman" w:hAnsi="Times New Roman"/>
                <w:sz w:val="20"/>
                <w:szCs w:val="20"/>
              </w:rPr>
              <w:t xml:space="preserve">) since </w:t>
            </w:r>
            <w:r>
              <w:rPr>
                <w:rFonts w:ascii="Times New Roman" w:hAnsi="Times New Roman"/>
                <w:i/>
                <w:sz w:val="20"/>
                <w:szCs w:val="20"/>
              </w:rPr>
              <w:t xml:space="preserve">p-value </w:t>
            </w:r>
            <w:r>
              <w:rPr>
                <w:rFonts w:ascii="Times New Roman" w:hAnsi="Times New Roman"/>
                <w:sz w:val="20"/>
                <w:szCs w:val="20"/>
              </w:rPr>
              <w:t>is less than 0.05 critical value.</w:t>
            </w:r>
          </w:p>
        </w:tc>
      </w:tr>
      <w:tr w:rsidR="00DD1B1C" w:rsidRPr="00B91FB9" w14:paraId="1575DFC9" w14:textId="77777777" w:rsidTr="00630F59">
        <w:tc>
          <w:tcPr>
            <w:tcW w:w="3646" w:type="dxa"/>
          </w:tcPr>
          <w:p w14:paraId="2D99A971" w14:textId="77777777" w:rsidR="00DD1B1C" w:rsidRPr="00B91FB9" w:rsidRDefault="00DD1B1C" w:rsidP="00786EE1">
            <w:pPr>
              <w:spacing w:after="0" w:line="240" w:lineRule="auto"/>
              <w:rPr>
                <w:rFonts w:ascii="Times New Roman" w:hAnsi="Times New Roman" w:cs="Times New Roman"/>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02</w:t>
            </w:r>
            <w:r w:rsidRPr="00B91FB9">
              <w:rPr>
                <w:rFonts w:ascii="Times New Roman" w:hAnsi="Times New Roman" w:cs="Times New Roman"/>
                <w:sz w:val="20"/>
                <w:szCs w:val="20"/>
              </w:rPr>
              <w:t>: Government capital expenditure on education has no significant effect on technical and vocational education development in Nigeria</w:t>
            </w:r>
          </w:p>
        </w:tc>
        <w:tc>
          <w:tcPr>
            <w:tcW w:w="1899" w:type="dxa"/>
          </w:tcPr>
          <w:p w14:paraId="7B061E4D"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-7.7464 (0.0220)</w:t>
            </w:r>
          </w:p>
        </w:tc>
        <w:tc>
          <w:tcPr>
            <w:tcW w:w="3945" w:type="dxa"/>
          </w:tcPr>
          <w:p w14:paraId="34C57067"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Reject null hypothesis (H</w:t>
            </w:r>
            <w:r w:rsidRPr="0041404F">
              <w:rPr>
                <w:rFonts w:ascii="Times New Roman" w:hAnsi="Times New Roman"/>
                <w:sz w:val="20"/>
                <w:szCs w:val="20"/>
                <w:vertAlign w:val="subscript"/>
              </w:rPr>
              <w:t>0</w:t>
            </w:r>
            <w:r>
              <w:rPr>
                <w:rFonts w:ascii="Times New Roman" w:hAnsi="Times New Roman"/>
                <w:sz w:val="20"/>
                <w:szCs w:val="20"/>
                <w:vertAlign w:val="subscript"/>
              </w:rPr>
              <w:t>2</w:t>
            </w:r>
            <w:r>
              <w:rPr>
                <w:rFonts w:ascii="Times New Roman" w:hAnsi="Times New Roman"/>
                <w:sz w:val="20"/>
                <w:szCs w:val="20"/>
              </w:rPr>
              <w:t xml:space="preserve">) since </w:t>
            </w:r>
            <w:r>
              <w:rPr>
                <w:rFonts w:ascii="Times New Roman" w:hAnsi="Times New Roman"/>
                <w:i/>
                <w:sz w:val="20"/>
                <w:szCs w:val="20"/>
              </w:rPr>
              <w:t xml:space="preserve">p-value </w:t>
            </w:r>
            <w:r>
              <w:rPr>
                <w:rFonts w:ascii="Times New Roman" w:hAnsi="Times New Roman"/>
                <w:sz w:val="20"/>
                <w:szCs w:val="20"/>
              </w:rPr>
              <w:t>is less than 0.05 critical value.</w:t>
            </w:r>
          </w:p>
        </w:tc>
      </w:tr>
      <w:tr w:rsidR="00DD1B1C" w:rsidRPr="00B91FB9" w14:paraId="4890521F" w14:textId="77777777" w:rsidTr="00630F59">
        <w:tc>
          <w:tcPr>
            <w:tcW w:w="3646" w:type="dxa"/>
          </w:tcPr>
          <w:p w14:paraId="6616D69E" w14:textId="77777777" w:rsidR="00DD1B1C" w:rsidRPr="00B91FB9" w:rsidRDefault="00DD1B1C" w:rsidP="00786EE1">
            <w:pPr>
              <w:autoSpaceDE w:val="0"/>
              <w:autoSpaceDN w:val="0"/>
              <w:adjustRightInd w:val="0"/>
              <w:spacing w:after="0" w:line="240" w:lineRule="auto"/>
              <w:rPr>
                <w:rFonts w:ascii="Times New Roman" w:hAnsi="Times New Roman"/>
                <w:b/>
                <w:sz w:val="20"/>
                <w:szCs w:val="20"/>
              </w:rPr>
            </w:pPr>
            <w:r w:rsidRPr="00B91FB9">
              <w:rPr>
                <w:rFonts w:ascii="Times New Roman" w:hAnsi="Times New Roman" w:cs="Times New Roman"/>
                <w:sz w:val="20"/>
                <w:szCs w:val="20"/>
              </w:rPr>
              <w:t>H</w:t>
            </w:r>
            <w:r w:rsidRPr="00B91FB9">
              <w:rPr>
                <w:rFonts w:ascii="Times New Roman" w:hAnsi="Times New Roman" w:cs="Times New Roman"/>
                <w:sz w:val="20"/>
                <w:szCs w:val="20"/>
                <w:vertAlign w:val="subscript"/>
              </w:rPr>
              <w:t>03</w:t>
            </w:r>
            <w:r w:rsidRPr="00B91FB9">
              <w:rPr>
                <w:rFonts w:ascii="Times New Roman" w:hAnsi="Times New Roman" w:cs="Times New Roman"/>
                <w:sz w:val="20"/>
                <w:szCs w:val="20"/>
              </w:rPr>
              <w:t>:Government recurrent expenditure on education has no significant effect on technical and vocational education development in Nigeria</w:t>
            </w:r>
          </w:p>
        </w:tc>
        <w:tc>
          <w:tcPr>
            <w:tcW w:w="1899" w:type="dxa"/>
          </w:tcPr>
          <w:p w14:paraId="153458DF"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3.7447 (0.0409)</w:t>
            </w:r>
          </w:p>
        </w:tc>
        <w:tc>
          <w:tcPr>
            <w:tcW w:w="3945" w:type="dxa"/>
          </w:tcPr>
          <w:p w14:paraId="144224F4" w14:textId="77777777" w:rsidR="00DD1B1C" w:rsidRPr="0041404F" w:rsidRDefault="00DD1B1C" w:rsidP="00786EE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Reject null hypothesis (H</w:t>
            </w:r>
            <w:r w:rsidRPr="0041404F">
              <w:rPr>
                <w:rFonts w:ascii="Times New Roman" w:hAnsi="Times New Roman"/>
                <w:sz w:val="20"/>
                <w:szCs w:val="20"/>
                <w:vertAlign w:val="subscript"/>
              </w:rPr>
              <w:t>0</w:t>
            </w:r>
            <w:r>
              <w:rPr>
                <w:rFonts w:ascii="Times New Roman" w:hAnsi="Times New Roman"/>
                <w:sz w:val="20"/>
                <w:szCs w:val="20"/>
                <w:vertAlign w:val="subscript"/>
              </w:rPr>
              <w:t>3</w:t>
            </w:r>
            <w:r>
              <w:rPr>
                <w:rFonts w:ascii="Times New Roman" w:hAnsi="Times New Roman"/>
                <w:sz w:val="20"/>
                <w:szCs w:val="20"/>
              </w:rPr>
              <w:t xml:space="preserve">) since </w:t>
            </w:r>
            <w:r>
              <w:rPr>
                <w:rFonts w:ascii="Times New Roman" w:hAnsi="Times New Roman"/>
                <w:i/>
                <w:sz w:val="20"/>
                <w:szCs w:val="20"/>
              </w:rPr>
              <w:t xml:space="preserve">p-value </w:t>
            </w:r>
            <w:r>
              <w:rPr>
                <w:rFonts w:ascii="Times New Roman" w:hAnsi="Times New Roman"/>
                <w:sz w:val="20"/>
                <w:szCs w:val="20"/>
              </w:rPr>
              <w:t>is less than 0.05 critical value.</w:t>
            </w:r>
          </w:p>
        </w:tc>
      </w:tr>
    </w:tbl>
    <w:p w14:paraId="63AB52EA" w14:textId="73D096FF" w:rsidR="00DD1B1C" w:rsidRPr="0079614D" w:rsidRDefault="00DD1B1C" w:rsidP="00DD1B1C">
      <w:pPr>
        <w:shd w:val="clear" w:color="auto" w:fill="FFFFFF"/>
        <w:autoSpaceDE w:val="0"/>
        <w:autoSpaceDN w:val="0"/>
        <w:adjustRightInd w:val="0"/>
        <w:spacing w:after="0" w:line="240" w:lineRule="auto"/>
        <w:jc w:val="both"/>
        <w:rPr>
          <w:rFonts w:ascii="Times New Roman" w:hAnsi="Times New Roman"/>
          <w:color w:val="000000"/>
          <w:sz w:val="20"/>
          <w:szCs w:val="20"/>
        </w:rPr>
      </w:pPr>
      <w:r w:rsidRPr="0079614D">
        <w:rPr>
          <w:rFonts w:ascii="Times New Roman" w:hAnsi="Times New Roman"/>
          <w:b/>
          <w:color w:val="000000"/>
          <w:sz w:val="20"/>
          <w:szCs w:val="20"/>
        </w:rPr>
        <w:t>Source:</w:t>
      </w:r>
      <w:r w:rsidRPr="0079614D">
        <w:rPr>
          <w:rFonts w:ascii="Times New Roman" w:hAnsi="Times New Roman"/>
          <w:color w:val="000000"/>
          <w:sz w:val="20"/>
          <w:szCs w:val="20"/>
        </w:rPr>
        <w:t xml:space="preserve"> </w:t>
      </w:r>
      <w:r>
        <w:rPr>
          <w:rFonts w:ascii="Times New Roman" w:hAnsi="Times New Roman"/>
          <w:color w:val="000000"/>
          <w:sz w:val="20"/>
          <w:szCs w:val="20"/>
        </w:rPr>
        <w:t xml:space="preserve">Values extracted from Table </w:t>
      </w:r>
      <w:r w:rsidR="00685329">
        <w:rPr>
          <w:rFonts w:ascii="Times New Roman" w:hAnsi="Times New Roman"/>
          <w:color w:val="000000"/>
          <w:sz w:val="20"/>
          <w:szCs w:val="20"/>
        </w:rPr>
        <w:t>4</w:t>
      </w:r>
    </w:p>
    <w:p w14:paraId="3E98CB2D" w14:textId="4C9A73FB" w:rsidR="00DD1B1C" w:rsidRDefault="00DD1B1C" w:rsidP="00DD1B1C">
      <w:pPr>
        <w:shd w:val="clear" w:color="auto" w:fill="FFFFFF"/>
        <w:autoSpaceDE w:val="0"/>
        <w:autoSpaceDN w:val="0"/>
        <w:adjustRightInd w:val="0"/>
        <w:spacing w:before="12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Excerpt from Table </w:t>
      </w:r>
      <w:r w:rsidR="00685329">
        <w:rPr>
          <w:rFonts w:ascii="Times New Roman" w:hAnsi="Times New Roman"/>
          <w:color w:val="000000"/>
          <w:sz w:val="24"/>
          <w:szCs w:val="24"/>
        </w:rPr>
        <w:t>5</w:t>
      </w:r>
      <w:r>
        <w:rPr>
          <w:rFonts w:ascii="Times New Roman" w:hAnsi="Times New Roman"/>
          <w:color w:val="000000"/>
          <w:sz w:val="24"/>
          <w:szCs w:val="24"/>
        </w:rPr>
        <w:t xml:space="preserve"> above reveals that the three null hypotheses are rejected since their probability values are all less than 0.05 critical value. Therefore, private sector financing, government capital expenditure and government recurrent expenditure on education all have significant effect on technical and vocational education enrolment rate in Nigeria. However, government capital expenditure has a negative coefficient which means that there is a significantly negative effect of government capital expenditure on technical and vocational education enrolment rate in Nigeria. </w:t>
      </w:r>
    </w:p>
    <w:p w14:paraId="06B753F8" w14:textId="77777777" w:rsidR="00DD1B1C" w:rsidRPr="00161F52" w:rsidRDefault="00161F52" w:rsidP="00161F52">
      <w:pPr>
        <w:pStyle w:val="ListParagraph"/>
        <w:numPr>
          <w:ilvl w:val="0"/>
          <w:numId w:val="4"/>
        </w:numPr>
        <w:spacing w:before="120" w:after="0" w:line="360" w:lineRule="auto"/>
        <w:jc w:val="both"/>
        <w:rPr>
          <w:rFonts w:ascii="Times New Roman" w:hAnsi="Times New Roman"/>
          <w:b/>
          <w:sz w:val="24"/>
          <w:szCs w:val="24"/>
        </w:rPr>
      </w:pPr>
      <w:r>
        <w:rPr>
          <w:rFonts w:ascii="Times New Roman" w:hAnsi="Times New Roman"/>
          <w:b/>
          <w:sz w:val="24"/>
          <w:szCs w:val="24"/>
        </w:rPr>
        <w:t>DISCUSSION</w:t>
      </w:r>
    </w:p>
    <w:p w14:paraId="421D03AC" w14:textId="77777777" w:rsidR="005767DB" w:rsidRDefault="005767DB" w:rsidP="005767D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revealed that private sector financing of education has positive effect on technical and vocational education but the positive effect was not statistically significant. However, government recurrent expenditure on education exerted positive and significant effect on technical and vocational education enrolment rate. Government capital expenditure significantly decreased technical and vocational education enrolment rate. The implication is that what government has spent so far on education infrastructure in the form of capital expenditure has not directly affected TVET education in Nigeria and as a result, </w:t>
      </w:r>
      <w:proofErr w:type="spellStart"/>
      <w:r w:rsidRPr="00B84FE3">
        <w:rPr>
          <w:rFonts w:ascii="Times New Roman" w:hAnsi="Times New Roman" w:cs="Times New Roman"/>
          <w:sz w:val="24"/>
          <w:szCs w:val="24"/>
        </w:rPr>
        <w:t>Adegbenjo</w:t>
      </w:r>
      <w:proofErr w:type="spellEnd"/>
      <w:r w:rsidRPr="00B84FE3">
        <w:rPr>
          <w:rFonts w:ascii="Times New Roman" w:hAnsi="Times New Roman" w:cs="Times New Roman"/>
          <w:sz w:val="24"/>
          <w:szCs w:val="24"/>
        </w:rPr>
        <w:t xml:space="preserve"> and </w:t>
      </w:r>
      <w:proofErr w:type="spellStart"/>
      <w:r w:rsidRPr="00B84FE3">
        <w:rPr>
          <w:rFonts w:ascii="Times New Roman" w:hAnsi="Times New Roman" w:cs="Times New Roman"/>
          <w:sz w:val="24"/>
          <w:szCs w:val="24"/>
        </w:rPr>
        <w:t>Olubato</w:t>
      </w:r>
      <w:proofErr w:type="spellEnd"/>
      <w:r w:rsidRPr="00B84FE3">
        <w:rPr>
          <w:rFonts w:ascii="Times New Roman" w:hAnsi="Times New Roman" w:cs="Times New Roman"/>
          <w:sz w:val="24"/>
          <w:szCs w:val="24"/>
        </w:rPr>
        <w:t xml:space="preserve"> (2021)</w:t>
      </w:r>
      <w:r>
        <w:rPr>
          <w:rFonts w:ascii="Times New Roman" w:hAnsi="Times New Roman" w:cs="Times New Roman"/>
          <w:sz w:val="24"/>
          <w:szCs w:val="24"/>
        </w:rPr>
        <w:t xml:space="preserve"> advocated that TVET education funding need not be left alone to the government. However, </w:t>
      </w:r>
      <w:r w:rsidRPr="00B84FE3">
        <w:rPr>
          <w:rFonts w:ascii="Times New Roman" w:hAnsi="Times New Roman" w:cs="Times New Roman"/>
          <w:sz w:val="24"/>
          <w:szCs w:val="24"/>
        </w:rPr>
        <w:t xml:space="preserve">Raymond and </w:t>
      </w:r>
      <w:proofErr w:type="spellStart"/>
      <w:r w:rsidRPr="00B84FE3">
        <w:rPr>
          <w:rFonts w:ascii="Times New Roman" w:hAnsi="Times New Roman" w:cs="Times New Roman"/>
          <w:sz w:val="24"/>
          <w:szCs w:val="24"/>
        </w:rPr>
        <w:t>Awugulu</w:t>
      </w:r>
      <w:proofErr w:type="spellEnd"/>
      <w:r w:rsidRPr="00B84FE3">
        <w:rPr>
          <w:rFonts w:ascii="Times New Roman" w:hAnsi="Times New Roman" w:cs="Times New Roman"/>
          <w:sz w:val="24"/>
          <w:szCs w:val="24"/>
        </w:rPr>
        <w:t xml:space="preserve"> (2007)</w:t>
      </w:r>
      <w:r>
        <w:rPr>
          <w:rFonts w:ascii="Times New Roman" w:hAnsi="Times New Roman" w:cs="Times New Roman"/>
          <w:sz w:val="24"/>
          <w:szCs w:val="24"/>
        </w:rPr>
        <w:t xml:space="preserve"> had iterated that government capital expenditure on technical education in Nigeria is inadequate but this present study has proven that the mere presence of government intervention propels TVET education to develop above previous periods.</w:t>
      </w:r>
    </w:p>
    <w:p w14:paraId="6E22A843" w14:textId="77777777" w:rsidR="005767DB" w:rsidRPr="00071CAB" w:rsidRDefault="005767DB" w:rsidP="005767DB">
      <w:pPr>
        <w:spacing w:before="120" w:after="0" w:line="360" w:lineRule="auto"/>
        <w:jc w:val="both"/>
        <w:rPr>
          <w:rFonts w:ascii="Times New Roman" w:hAnsi="Times New Roman" w:cs="Times New Roman"/>
          <w:sz w:val="24"/>
          <w:szCs w:val="24"/>
        </w:rPr>
      </w:pPr>
      <w:proofErr w:type="spellStart"/>
      <w:r w:rsidRPr="00B84FE3">
        <w:rPr>
          <w:rFonts w:ascii="Times New Roman" w:hAnsi="Times New Roman" w:cs="Times New Roman"/>
          <w:sz w:val="24"/>
          <w:szCs w:val="24"/>
        </w:rPr>
        <w:lastRenderedPageBreak/>
        <w:t>Amadi</w:t>
      </w:r>
      <w:proofErr w:type="spellEnd"/>
      <w:r w:rsidRPr="00B84FE3">
        <w:rPr>
          <w:rFonts w:ascii="Times New Roman" w:hAnsi="Times New Roman" w:cs="Times New Roman"/>
          <w:sz w:val="24"/>
          <w:szCs w:val="24"/>
        </w:rPr>
        <w:t xml:space="preserve"> and </w:t>
      </w:r>
      <w:proofErr w:type="spellStart"/>
      <w:r w:rsidRPr="00B84FE3">
        <w:rPr>
          <w:rFonts w:ascii="Times New Roman" w:hAnsi="Times New Roman" w:cs="Times New Roman"/>
          <w:sz w:val="24"/>
          <w:szCs w:val="24"/>
        </w:rPr>
        <w:t>Johnwest</w:t>
      </w:r>
      <w:proofErr w:type="spellEnd"/>
      <w:r w:rsidRPr="00B84FE3">
        <w:rPr>
          <w:rFonts w:ascii="Times New Roman" w:hAnsi="Times New Roman" w:cs="Times New Roman"/>
          <w:sz w:val="24"/>
          <w:szCs w:val="24"/>
        </w:rPr>
        <w:t xml:space="preserve"> (2016)</w:t>
      </w:r>
      <w:r>
        <w:rPr>
          <w:rFonts w:ascii="Times New Roman" w:hAnsi="Times New Roman" w:cs="Times New Roman"/>
          <w:sz w:val="24"/>
          <w:szCs w:val="24"/>
        </w:rPr>
        <w:t xml:space="preserve"> noted that </w:t>
      </w:r>
      <w:r w:rsidRPr="00B84FE3">
        <w:rPr>
          <w:rFonts w:ascii="Times New Roman" w:hAnsi="Times New Roman" w:cs="Times New Roman"/>
          <w:sz w:val="24"/>
          <w:szCs w:val="24"/>
        </w:rPr>
        <w:t>finance allocate</w:t>
      </w:r>
      <w:r>
        <w:rPr>
          <w:rFonts w:ascii="Times New Roman" w:hAnsi="Times New Roman" w:cs="Times New Roman"/>
          <w:sz w:val="24"/>
          <w:szCs w:val="24"/>
        </w:rPr>
        <w:t xml:space="preserve">d to vocational education are </w:t>
      </w:r>
      <w:r w:rsidRPr="00B84FE3">
        <w:rPr>
          <w:rFonts w:ascii="Times New Roman" w:hAnsi="Times New Roman" w:cs="Times New Roman"/>
          <w:sz w:val="24"/>
          <w:szCs w:val="24"/>
        </w:rPr>
        <w:t>utilized for the payment of workers’ salaries</w:t>
      </w:r>
      <w:r>
        <w:rPr>
          <w:rFonts w:ascii="Times New Roman" w:hAnsi="Times New Roman" w:cs="Times New Roman"/>
          <w:sz w:val="24"/>
          <w:szCs w:val="24"/>
        </w:rPr>
        <w:t xml:space="preserve"> and other recurrent expenditures. This has not significantly impacted TVET education as funding should go beyond recurrent to being impactful in </w:t>
      </w:r>
      <w:r w:rsidRPr="00071CAB">
        <w:rPr>
          <w:rFonts w:ascii="Times New Roman" w:hAnsi="Times New Roman" w:cs="Times New Roman"/>
          <w:sz w:val="24"/>
          <w:szCs w:val="24"/>
        </w:rPr>
        <w:t>terms of infrastructure and delivery (</w:t>
      </w:r>
      <w:proofErr w:type="spellStart"/>
      <w:r w:rsidRPr="00071CAB">
        <w:rPr>
          <w:rFonts w:ascii="Times New Roman" w:hAnsi="Times New Roman" w:cs="Times New Roman"/>
          <w:color w:val="000000"/>
          <w:sz w:val="24"/>
          <w:szCs w:val="24"/>
        </w:rPr>
        <w:t>Muogahlu</w:t>
      </w:r>
      <w:proofErr w:type="spellEnd"/>
      <w:r w:rsidRPr="00071CAB">
        <w:rPr>
          <w:rFonts w:ascii="Times New Roman" w:hAnsi="Times New Roman" w:cs="Times New Roman"/>
          <w:color w:val="000000"/>
          <w:sz w:val="24"/>
          <w:szCs w:val="24"/>
        </w:rPr>
        <w:t> and Bin-Ahmad, 2023</w:t>
      </w:r>
      <w:r w:rsidRPr="00071CAB">
        <w:rPr>
          <w:rFonts w:ascii="Times New Roman" w:hAnsi="Times New Roman" w:cs="Times New Roman"/>
          <w:sz w:val="24"/>
          <w:szCs w:val="24"/>
        </w:rPr>
        <w:t>). This is where the private sector comes in to augment government efforts. Development of technical and vocational education and training (TVET) education is not a one-sided effort in Nigeria and this present study has proven that private sector financing alone cannot provide the needed boost for TVET education.</w:t>
      </w:r>
    </w:p>
    <w:p w14:paraId="429DF6D2" w14:textId="77777777" w:rsidR="005767DB" w:rsidRDefault="005767DB" w:rsidP="005767DB">
      <w:pPr>
        <w:spacing w:before="120" w:after="0" w:line="360" w:lineRule="auto"/>
        <w:jc w:val="both"/>
      </w:pPr>
      <w:r w:rsidRPr="00071CAB">
        <w:rPr>
          <w:rFonts w:ascii="Times New Roman" w:hAnsi="Times New Roman" w:cs="Times New Roman"/>
          <w:sz w:val="24"/>
          <w:szCs w:val="24"/>
        </w:rPr>
        <w:t xml:space="preserve">Studies like </w:t>
      </w:r>
      <w:proofErr w:type="spellStart"/>
      <w:r w:rsidRPr="00071CAB">
        <w:rPr>
          <w:rFonts w:ascii="Times New Roman" w:hAnsi="Times New Roman" w:cs="Times New Roman"/>
          <w:sz w:val="24"/>
          <w:szCs w:val="24"/>
        </w:rPr>
        <w:t>Adegbenjo</w:t>
      </w:r>
      <w:proofErr w:type="spellEnd"/>
      <w:r w:rsidRPr="00071CAB">
        <w:rPr>
          <w:rFonts w:ascii="Times New Roman" w:hAnsi="Times New Roman" w:cs="Times New Roman"/>
          <w:sz w:val="24"/>
          <w:szCs w:val="24"/>
        </w:rPr>
        <w:t xml:space="preserve"> and </w:t>
      </w:r>
      <w:proofErr w:type="spellStart"/>
      <w:r w:rsidRPr="00071CAB">
        <w:rPr>
          <w:rFonts w:ascii="Times New Roman" w:hAnsi="Times New Roman" w:cs="Times New Roman"/>
          <w:sz w:val="24"/>
          <w:szCs w:val="24"/>
        </w:rPr>
        <w:t>Olubato</w:t>
      </w:r>
      <w:proofErr w:type="spellEnd"/>
      <w:r w:rsidRPr="00071CAB">
        <w:rPr>
          <w:rFonts w:ascii="Times New Roman" w:hAnsi="Times New Roman" w:cs="Times New Roman"/>
          <w:sz w:val="24"/>
          <w:szCs w:val="24"/>
        </w:rPr>
        <w:t xml:space="preserve"> (2021), Okoye and </w:t>
      </w:r>
      <w:proofErr w:type="spellStart"/>
      <w:r w:rsidRPr="00071CAB">
        <w:rPr>
          <w:rFonts w:ascii="Times New Roman" w:hAnsi="Times New Roman" w:cs="Times New Roman"/>
          <w:sz w:val="24"/>
          <w:szCs w:val="24"/>
        </w:rPr>
        <w:t>Arimonu</w:t>
      </w:r>
      <w:proofErr w:type="spellEnd"/>
      <w:r w:rsidRPr="00071CAB">
        <w:rPr>
          <w:rFonts w:ascii="Times New Roman" w:hAnsi="Times New Roman" w:cs="Times New Roman"/>
          <w:sz w:val="24"/>
          <w:szCs w:val="24"/>
        </w:rPr>
        <w:t xml:space="preserve"> (2020), </w:t>
      </w:r>
      <w:proofErr w:type="spellStart"/>
      <w:r w:rsidRPr="00071CAB">
        <w:rPr>
          <w:rFonts w:ascii="Times New Roman" w:hAnsi="Times New Roman" w:cs="Times New Roman"/>
          <w:sz w:val="24"/>
          <w:szCs w:val="24"/>
        </w:rPr>
        <w:t>Afieroho</w:t>
      </w:r>
      <w:proofErr w:type="spellEnd"/>
      <w:r w:rsidRPr="00071CAB">
        <w:rPr>
          <w:rFonts w:ascii="Times New Roman" w:hAnsi="Times New Roman" w:cs="Times New Roman"/>
          <w:sz w:val="24"/>
          <w:szCs w:val="24"/>
        </w:rPr>
        <w:t xml:space="preserve"> (2022), found both government funding and private financing as being inadequate for TVET education development in Nigeria. Perhaps, this necessitated the recommended public – private partnership in vocational and technical education financing by </w:t>
      </w:r>
      <w:proofErr w:type="spellStart"/>
      <w:r w:rsidRPr="00071CAB">
        <w:rPr>
          <w:rFonts w:ascii="Times New Roman" w:hAnsi="Times New Roman" w:cs="Times New Roman"/>
          <w:sz w:val="24"/>
          <w:szCs w:val="24"/>
        </w:rPr>
        <w:t>Okpor</w:t>
      </w:r>
      <w:proofErr w:type="spellEnd"/>
      <w:r w:rsidRPr="00071CAB">
        <w:rPr>
          <w:rFonts w:ascii="Times New Roman" w:hAnsi="Times New Roman" w:cs="Times New Roman"/>
          <w:sz w:val="24"/>
          <w:szCs w:val="24"/>
        </w:rPr>
        <w:t xml:space="preserve"> and Hassan (2021), </w:t>
      </w:r>
      <w:proofErr w:type="spellStart"/>
      <w:r w:rsidRPr="00071CAB">
        <w:rPr>
          <w:rFonts w:ascii="Times New Roman" w:hAnsi="Times New Roman" w:cs="Times New Roman"/>
          <w:sz w:val="24"/>
          <w:szCs w:val="24"/>
        </w:rPr>
        <w:t>Adegbenjo</w:t>
      </w:r>
      <w:proofErr w:type="spellEnd"/>
      <w:r w:rsidRPr="00071CAB">
        <w:rPr>
          <w:rFonts w:ascii="Times New Roman" w:hAnsi="Times New Roman" w:cs="Times New Roman"/>
          <w:sz w:val="24"/>
          <w:szCs w:val="24"/>
        </w:rPr>
        <w:t xml:space="preserve"> and </w:t>
      </w:r>
      <w:proofErr w:type="spellStart"/>
      <w:r w:rsidRPr="00071CAB">
        <w:rPr>
          <w:rFonts w:ascii="Times New Roman" w:hAnsi="Times New Roman" w:cs="Times New Roman"/>
          <w:sz w:val="24"/>
          <w:szCs w:val="24"/>
        </w:rPr>
        <w:t>Olubato</w:t>
      </w:r>
      <w:proofErr w:type="spellEnd"/>
      <w:r w:rsidRPr="00071CAB">
        <w:rPr>
          <w:rFonts w:ascii="Times New Roman" w:hAnsi="Times New Roman" w:cs="Times New Roman"/>
          <w:sz w:val="24"/>
          <w:szCs w:val="24"/>
        </w:rPr>
        <w:t xml:space="preserve"> (2021), Nwachukwu (2014), Raymond and </w:t>
      </w:r>
      <w:proofErr w:type="spellStart"/>
      <w:r w:rsidRPr="00071CAB">
        <w:rPr>
          <w:rFonts w:ascii="Times New Roman" w:hAnsi="Times New Roman" w:cs="Times New Roman"/>
          <w:sz w:val="24"/>
          <w:szCs w:val="24"/>
        </w:rPr>
        <w:t>Awugulu</w:t>
      </w:r>
      <w:proofErr w:type="spellEnd"/>
      <w:r w:rsidRPr="00071CAB">
        <w:rPr>
          <w:rFonts w:ascii="Times New Roman" w:hAnsi="Times New Roman" w:cs="Times New Roman"/>
          <w:sz w:val="24"/>
          <w:szCs w:val="24"/>
        </w:rPr>
        <w:t xml:space="preserve"> (2007), as a panacea for sustainability.</w:t>
      </w:r>
      <w:r>
        <w:rPr>
          <w:rFonts w:ascii="Times New Roman" w:hAnsi="Times New Roman" w:cs="Times New Roman"/>
          <w:sz w:val="24"/>
          <w:szCs w:val="24"/>
        </w:rPr>
        <w:t xml:space="preserve"> </w:t>
      </w:r>
      <w:r w:rsidRPr="00071CAB">
        <w:rPr>
          <w:rFonts w:ascii="Times New Roman" w:hAnsi="Times New Roman"/>
          <w:sz w:val="24"/>
          <w:szCs w:val="24"/>
        </w:rPr>
        <w:t xml:space="preserve">The residual effect </w:t>
      </w:r>
      <w:r>
        <w:rPr>
          <w:rFonts w:ascii="Times New Roman" w:hAnsi="Times New Roman"/>
          <w:sz w:val="24"/>
          <w:szCs w:val="24"/>
        </w:rPr>
        <w:t xml:space="preserve">according to Table 5 above </w:t>
      </w:r>
      <w:r w:rsidRPr="00071CAB">
        <w:rPr>
          <w:rFonts w:ascii="Times New Roman" w:hAnsi="Times New Roman"/>
          <w:sz w:val="24"/>
          <w:szCs w:val="24"/>
        </w:rPr>
        <w:t>shows that sustaining both private and government financing at an annual increasing rate of 2.48%, TVET education</w:t>
      </w:r>
      <w:r>
        <w:rPr>
          <w:rFonts w:ascii="Times New Roman" w:hAnsi="Times New Roman"/>
          <w:sz w:val="24"/>
          <w:szCs w:val="24"/>
        </w:rPr>
        <w:t xml:space="preserve"> will develop further in the long run.</w:t>
      </w:r>
    </w:p>
    <w:p w14:paraId="4112A018" w14:textId="77777777" w:rsidR="00ED00F4" w:rsidRPr="00B62DB9" w:rsidRDefault="00ED00F4" w:rsidP="007E47E3">
      <w:pPr>
        <w:pStyle w:val="ListParagraph"/>
        <w:numPr>
          <w:ilvl w:val="0"/>
          <w:numId w:val="4"/>
        </w:numPr>
        <w:spacing w:before="120" w:after="0" w:line="360" w:lineRule="auto"/>
        <w:contextualSpacing w:val="0"/>
        <w:jc w:val="both"/>
        <w:rPr>
          <w:rFonts w:ascii="Times New Roman" w:hAnsi="Times New Roman" w:cs="Times New Roman"/>
          <w:b/>
          <w:sz w:val="24"/>
          <w:szCs w:val="24"/>
        </w:rPr>
      </w:pPr>
      <w:r w:rsidRPr="00B62DB9">
        <w:rPr>
          <w:rFonts w:ascii="Times New Roman" w:hAnsi="Times New Roman" w:cs="Times New Roman"/>
          <w:b/>
          <w:sz w:val="24"/>
          <w:szCs w:val="24"/>
        </w:rPr>
        <w:t>CONCLUSION</w:t>
      </w:r>
      <w:r w:rsidR="00B62DB9">
        <w:rPr>
          <w:rFonts w:ascii="Times New Roman" w:hAnsi="Times New Roman" w:cs="Times New Roman"/>
          <w:b/>
          <w:sz w:val="24"/>
          <w:szCs w:val="24"/>
        </w:rPr>
        <w:t xml:space="preserve"> AND RECOMMENDATIONS</w:t>
      </w:r>
    </w:p>
    <w:p w14:paraId="02948F57" w14:textId="77777777" w:rsidR="005767DB" w:rsidRDefault="005767DB" w:rsidP="005767D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Based on the stated objectives, t</w:t>
      </w:r>
      <w:r w:rsidR="005154DB">
        <w:rPr>
          <w:rFonts w:ascii="Times New Roman" w:hAnsi="Times New Roman" w:cs="Times New Roman"/>
          <w:sz w:val="24"/>
          <w:szCs w:val="24"/>
        </w:rPr>
        <w:t xml:space="preserve">he </w:t>
      </w:r>
      <w:r w:rsidR="007D36C3">
        <w:rPr>
          <w:rFonts w:ascii="Times New Roman" w:hAnsi="Times New Roman" w:cs="Times New Roman"/>
          <w:sz w:val="24"/>
          <w:szCs w:val="24"/>
        </w:rPr>
        <w:t>study concludes that</w:t>
      </w:r>
      <w:r w:rsidR="005154DB">
        <w:rPr>
          <w:rFonts w:ascii="Times New Roman" w:hAnsi="Times New Roman" w:cs="Times New Roman"/>
          <w:sz w:val="24"/>
          <w:szCs w:val="24"/>
        </w:rPr>
        <w:t xml:space="preserve"> </w:t>
      </w:r>
      <w:r w:rsidRPr="005767DB">
        <w:rPr>
          <w:rFonts w:ascii="Times New Roman" w:hAnsi="Times New Roman" w:cs="Times New Roman"/>
          <w:sz w:val="24"/>
          <w:szCs w:val="24"/>
        </w:rPr>
        <w:t>the effect of private sector financing on technical and vocational education development in Nigeria</w:t>
      </w:r>
      <w:r>
        <w:rPr>
          <w:rFonts w:ascii="Times New Roman" w:hAnsi="Times New Roman" w:cs="Times New Roman"/>
          <w:sz w:val="24"/>
          <w:szCs w:val="24"/>
        </w:rPr>
        <w:t xml:space="preserve"> is positive and significant. Also, the intervening effect of</w:t>
      </w:r>
      <w:r w:rsidRPr="002C18E7">
        <w:rPr>
          <w:rFonts w:ascii="Times New Roman" w:hAnsi="Times New Roman" w:cs="Times New Roman"/>
          <w:sz w:val="24"/>
          <w:szCs w:val="24"/>
        </w:rPr>
        <w:t xml:space="preserve"> government </w:t>
      </w:r>
      <w:r>
        <w:rPr>
          <w:rFonts w:ascii="Times New Roman" w:hAnsi="Times New Roman" w:cs="Times New Roman"/>
          <w:sz w:val="24"/>
          <w:szCs w:val="24"/>
        </w:rPr>
        <w:t xml:space="preserve">recurrent education </w:t>
      </w:r>
      <w:r w:rsidRPr="002C18E7">
        <w:rPr>
          <w:rFonts w:ascii="Times New Roman" w:hAnsi="Times New Roman" w:cs="Times New Roman"/>
          <w:sz w:val="24"/>
          <w:szCs w:val="24"/>
        </w:rPr>
        <w:t xml:space="preserve">expenditure on technical and vocational education </w:t>
      </w:r>
      <w:r>
        <w:rPr>
          <w:rFonts w:ascii="Times New Roman" w:hAnsi="Times New Roman" w:cs="Times New Roman"/>
          <w:sz w:val="24"/>
          <w:szCs w:val="24"/>
        </w:rPr>
        <w:t>development</w:t>
      </w:r>
      <w:r w:rsidRPr="002C18E7">
        <w:rPr>
          <w:rFonts w:ascii="Times New Roman" w:hAnsi="Times New Roman" w:cs="Times New Roman"/>
          <w:sz w:val="24"/>
          <w:szCs w:val="24"/>
        </w:rPr>
        <w:t xml:space="preserve"> in Nigeria</w:t>
      </w:r>
      <w:r>
        <w:rPr>
          <w:rFonts w:ascii="Times New Roman" w:hAnsi="Times New Roman" w:cs="Times New Roman"/>
          <w:sz w:val="24"/>
          <w:szCs w:val="24"/>
        </w:rPr>
        <w:t xml:space="preserve"> is positive and significant. However, </w:t>
      </w:r>
      <w:r w:rsidRPr="002C18E7">
        <w:rPr>
          <w:rFonts w:ascii="Times New Roman" w:hAnsi="Times New Roman" w:cs="Times New Roman"/>
          <w:sz w:val="24"/>
          <w:szCs w:val="24"/>
        </w:rPr>
        <w:t xml:space="preserve">government </w:t>
      </w:r>
      <w:r>
        <w:rPr>
          <w:rFonts w:ascii="Times New Roman" w:hAnsi="Times New Roman" w:cs="Times New Roman"/>
          <w:sz w:val="24"/>
          <w:szCs w:val="24"/>
        </w:rPr>
        <w:t xml:space="preserve">capital </w:t>
      </w:r>
      <w:r w:rsidRPr="002C18E7">
        <w:rPr>
          <w:rFonts w:ascii="Times New Roman" w:hAnsi="Times New Roman" w:cs="Times New Roman"/>
          <w:sz w:val="24"/>
          <w:szCs w:val="24"/>
        </w:rPr>
        <w:t xml:space="preserve">expenditure on </w:t>
      </w:r>
      <w:r>
        <w:rPr>
          <w:rFonts w:ascii="Times New Roman" w:hAnsi="Times New Roman" w:cs="Times New Roman"/>
          <w:sz w:val="24"/>
          <w:szCs w:val="24"/>
        </w:rPr>
        <w:t xml:space="preserve">education negatively affected </w:t>
      </w:r>
      <w:r w:rsidRPr="002C18E7">
        <w:rPr>
          <w:rFonts w:ascii="Times New Roman" w:hAnsi="Times New Roman" w:cs="Times New Roman"/>
          <w:sz w:val="24"/>
          <w:szCs w:val="24"/>
        </w:rPr>
        <w:t xml:space="preserve">technical and vocational education </w:t>
      </w:r>
      <w:r>
        <w:rPr>
          <w:rFonts w:ascii="Times New Roman" w:hAnsi="Times New Roman" w:cs="Times New Roman"/>
          <w:sz w:val="24"/>
          <w:szCs w:val="24"/>
        </w:rPr>
        <w:t>enrolment rate</w:t>
      </w:r>
      <w:r w:rsidRPr="002C18E7">
        <w:rPr>
          <w:rFonts w:ascii="Times New Roman" w:hAnsi="Times New Roman" w:cs="Times New Roman"/>
          <w:sz w:val="24"/>
          <w:szCs w:val="24"/>
        </w:rPr>
        <w:t xml:space="preserve"> in Nigeria</w:t>
      </w:r>
      <w:r>
        <w:rPr>
          <w:rFonts w:ascii="Times New Roman" w:hAnsi="Times New Roman" w:cs="Times New Roman"/>
          <w:sz w:val="24"/>
          <w:szCs w:val="24"/>
        </w:rPr>
        <w:t>. Therefore, f</w:t>
      </w:r>
      <w:r w:rsidR="005154DB">
        <w:rPr>
          <w:rFonts w:ascii="Times New Roman" w:hAnsi="Times New Roman" w:cs="Times New Roman"/>
          <w:sz w:val="24"/>
          <w:szCs w:val="24"/>
        </w:rPr>
        <w:t xml:space="preserve">inancing </w:t>
      </w:r>
      <w:r w:rsidR="007D36C3">
        <w:rPr>
          <w:rFonts w:ascii="Times New Roman" w:hAnsi="Times New Roman" w:cs="Times New Roman"/>
          <w:sz w:val="24"/>
          <w:szCs w:val="24"/>
        </w:rPr>
        <w:t>of TVET education when examined from the perspective of the private sector alone does not augur well for TVET education as the private sector effort remains not too significant.</w:t>
      </w:r>
      <w:r w:rsidR="00163292">
        <w:rPr>
          <w:rFonts w:ascii="Times New Roman" w:hAnsi="Times New Roman" w:cs="Times New Roman"/>
          <w:sz w:val="24"/>
          <w:szCs w:val="24"/>
        </w:rPr>
        <w:t xml:space="preserve"> </w:t>
      </w:r>
    </w:p>
    <w:p w14:paraId="184BAF2F" w14:textId="77777777" w:rsidR="00686ECF" w:rsidRPr="00650862" w:rsidRDefault="007D36C3" w:rsidP="007E47E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private sector and other stakeholders in the education sector</w:t>
      </w:r>
      <w:r w:rsidR="00B34ACC">
        <w:rPr>
          <w:rFonts w:ascii="Times New Roman" w:hAnsi="Times New Roman" w:cs="Times New Roman"/>
          <w:sz w:val="24"/>
          <w:szCs w:val="24"/>
        </w:rPr>
        <w:t xml:space="preserve"> should open up </w:t>
      </w:r>
      <w:r>
        <w:rPr>
          <w:rFonts w:ascii="Times New Roman" w:hAnsi="Times New Roman" w:cs="Times New Roman"/>
          <w:sz w:val="24"/>
          <w:szCs w:val="24"/>
        </w:rPr>
        <w:t xml:space="preserve">and invest massively in </w:t>
      </w:r>
      <w:r w:rsidR="00B34ACC">
        <w:rPr>
          <w:rFonts w:ascii="Times New Roman" w:hAnsi="Times New Roman" w:cs="Times New Roman"/>
          <w:sz w:val="24"/>
          <w:szCs w:val="24"/>
        </w:rPr>
        <w:t>technical and vocational training centers so as to ensure sustained financing of these vocational institutions.</w:t>
      </w:r>
      <w:r w:rsidR="005767DB">
        <w:rPr>
          <w:rFonts w:ascii="Times New Roman" w:hAnsi="Times New Roman" w:cs="Times New Roman"/>
          <w:sz w:val="24"/>
          <w:szCs w:val="24"/>
        </w:rPr>
        <w:t xml:space="preserve"> </w:t>
      </w:r>
      <w:r w:rsidR="00B34ACC">
        <w:rPr>
          <w:rFonts w:ascii="Times New Roman" w:hAnsi="Times New Roman" w:cs="Times New Roman"/>
          <w:sz w:val="24"/>
          <w:szCs w:val="24"/>
        </w:rPr>
        <w:t xml:space="preserve">Since the private sector is profit oriented, liaising with government-owned technical and vocational institutions </w:t>
      </w:r>
      <w:r>
        <w:rPr>
          <w:rFonts w:ascii="Times New Roman" w:hAnsi="Times New Roman" w:cs="Times New Roman"/>
          <w:sz w:val="24"/>
          <w:szCs w:val="24"/>
        </w:rPr>
        <w:t xml:space="preserve">through the public-private partnership agreement </w:t>
      </w:r>
      <w:r w:rsidR="00B34ACC">
        <w:rPr>
          <w:rFonts w:ascii="Times New Roman" w:hAnsi="Times New Roman" w:cs="Times New Roman"/>
          <w:sz w:val="24"/>
          <w:szCs w:val="24"/>
        </w:rPr>
        <w:t>will instill quality in them</w:t>
      </w:r>
      <w:r>
        <w:rPr>
          <w:rFonts w:ascii="Times New Roman" w:hAnsi="Times New Roman" w:cs="Times New Roman"/>
          <w:sz w:val="24"/>
          <w:szCs w:val="24"/>
        </w:rPr>
        <w:t>. Hence,</w:t>
      </w:r>
      <w:r w:rsidR="00B34ACC">
        <w:rPr>
          <w:rFonts w:ascii="Times New Roman" w:hAnsi="Times New Roman" w:cs="Times New Roman"/>
          <w:sz w:val="24"/>
          <w:szCs w:val="24"/>
        </w:rPr>
        <w:t xml:space="preserve"> the profit orientation </w:t>
      </w:r>
      <w:r>
        <w:rPr>
          <w:rFonts w:ascii="Times New Roman" w:hAnsi="Times New Roman" w:cs="Times New Roman"/>
          <w:sz w:val="24"/>
          <w:szCs w:val="24"/>
        </w:rPr>
        <w:t>o</w:t>
      </w:r>
      <w:r w:rsidR="00B34ACC">
        <w:rPr>
          <w:rFonts w:ascii="Times New Roman" w:hAnsi="Times New Roman" w:cs="Times New Roman"/>
          <w:sz w:val="24"/>
          <w:szCs w:val="24"/>
        </w:rPr>
        <w:t xml:space="preserve">f the private sector will drive long term success of these </w:t>
      </w:r>
      <w:r>
        <w:rPr>
          <w:rFonts w:ascii="Times New Roman" w:hAnsi="Times New Roman" w:cs="Times New Roman"/>
          <w:sz w:val="24"/>
          <w:szCs w:val="24"/>
        </w:rPr>
        <w:t xml:space="preserve">publicly-owned </w:t>
      </w:r>
      <w:r w:rsidR="00B34ACC">
        <w:rPr>
          <w:rFonts w:ascii="Times New Roman" w:hAnsi="Times New Roman" w:cs="Times New Roman"/>
          <w:sz w:val="24"/>
          <w:szCs w:val="24"/>
        </w:rPr>
        <w:t>technical and vocational institutions in Nigeria.</w:t>
      </w:r>
      <w:r w:rsidR="005767DB">
        <w:rPr>
          <w:rFonts w:ascii="Times New Roman" w:hAnsi="Times New Roman" w:cs="Times New Roman"/>
          <w:sz w:val="24"/>
          <w:szCs w:val="24"/>
        </w:rPr>
        <w:t xml:space="preserve"> </w:t>
      </w:r>
      <w:r>
        <w:rPr>
          <w:rFonts w:ascii="Times New Roman" w:hAnsi="Times New Roman" w:cs="Times New Roman"/>
          <w:sz w:val="24"/>
          <w:szCs w:val="24"/>
        </w:rPr>
        <w:t>Most importantly, t</w:t>
      </w:r>
      <w:r w:rsidR="00B34ACC">
        <w:rPr>
          <w:rFonts w:ascii="Times New Roman" w:hAnsi="Times New Roman" w:cs="Times New Roman"/>
          <w:sz w:val="24"/>
          <w:szCs w:val="24"/>
        </w:rPr>
        <w:t xml:space="preserve">he sustainability and viability of technical and </w:t>
      </w:r>
      <w:r w:rsidR="00B34ACC">
        <w:rPr>
          <w:rFonts w:ascii="Times New Roman" w:hAnsi="Times New Roman" w:cs="Times New Roman"/>
          <w:sz w:val="24"/>
          <w:szCs w:val="24"/>
        </w:rPr>
        <w:lastRenderedPageBreak/>
        <w:t>vocat</w:t>
      </w:r>
      <w:r w:rsidR="00B467EB">
        <w:rPr>
          <w:rFonts w:ascii="Times New Roman" w:hAnsi="Times New Roman" w:cs="Times New Roman"/>
          <w:sz w:val="24"/>
          <w:szCs w:val="24"/>
        </w:rPr>
        <w:t>ional institutions cannot be as</w:t>
      </w:r>
      <w:r w:rsidR="00696252">
        <w:rPr>
          <w:rFonts w:ascii="Times New Roman" w:hAnsi="Times New Roman" w:cs="Times New Roman"/>
          <w:sz w:val="24"/>
          <w:szCs w:val="24"/>
        </w:rPr>
        <w:t>su</w:t>
      </w:r>
      <w:r w:rsidR="00B34ACC">
        <w:rPr>
          <w:rFonts w:ascii="Times New Roman" w:hAnsi="Times New Roman" w:cs="Times New Roman"/>
          <w:sz w:val="24"/>
          <w:szCs w:val="24"/>
        </w:rPr>
        <w:t>red witho</w:t>
      </w:r>
      <w:r w:rsidR="00696252">
        <w:rPr>
          <w:rFonts w:ascii="Times New Roman" w:hAnsi="Times New Roman" w:cs="Times New Roman"/>
          <w:sz w:val="24"/>
          <w:szCs w:val="24"/>
        </w:rPr>
        <w:t>u</w:t>
      </w:r>
      <w:r w:rsidR="00B34ACC">
        <w:rPr>
          <w:rFonts w:ascii="Times New Roman" w:hAnsi="Times New Roman" w:cs="Times New Roman"/>
          <w:sz w:val="24"/>
          <w:szCs w:val="24"/>
        </w:rPr>
        <w:t>t</w:t>
      </w:r>
      <w:r w:rsidR="00696252">
        <w:rPr>
          <w:rFonts w:ascii="Times New Roman" w:hAnsi="Times New Roman" w:cs="Times New Roman"/>
          <w:sz w:val="24"/>
          <w:szCs w:val="24"/>
        </w:rPr>
        <w:t xml:space="preserve"> government </w:t>
      </w:r>
      <w:r>
        <w:rPr>
          <w:rFonts w:ascii="Times New Roman" w:hAnsi="Times New Roman" w:cs="Times New Roman"/>
          <w:sz w:val="24"/>
          <w:szCs w:val="24"/>
        </w:rPr>
        <w:t>intervention in the area of</w:t>
      </w:r>
      <w:r w:rsidR="00696252">
        <w:rPr>
          <w:rFonts w:ascii="Times New Roman" w:hAnsi="Times New Roman" w:cs="Times New Roman"/>
          <w:sz w:val="24"/>
          <w:szCs w:val="24"/>
        </w:rPr>
        <w:t xml:space="preserve"> capital intensive infrastructure.</w:t>
      </w:r>
      <w:r>
        <w:rPr>
          <w:rFonts w:ascii="Times New Roman" w:hAnsi="Times New Roman" w:cs="Times New Roman"/>
          <w:sz w:val="24"/>
          <w:szCs w:val="24"/>
        </w:rPr>
        <w:t xml:space="preserve"> Private sector financing alone proved insufficient towards the development of TVET education in Nigeria. The government is called upon to invest </w:t>
      </w:r>
      <w:r w:rsidR="005767DB">
        <w:rPr>
          <w:rFonts w:ascii="Times New Roman" w:hAnsi="Times New Roman" w:cs="Times New Roman"/>
          <w:sz w:val="24"/>
          <w:szCs w:val="24"/>
        </w:rPr>
        <w:t xml:space="preserve">more </w:t>
      </w:r>
      <w:r>
        <w:rPr>
          <w:rFonts w:ascii="Times New Roman" w:hAnsi="Times New Roman" w:cs="Times New Roman"/>
          <w:sz w:val="24"/>
          <w:szCs w:val="24"/>
        </w:rPr>
        <w:t xml:space="preserve">in basic infrastructure </w:t>
      </w:r>
      <w:r w:rsidR="005767DB">
        <w:rPr>
          <w:rFonts w:ascii="Times New Roman" w:hAnsi="Times New Roman" w:cs="Times New Roman"/>
          <w:sz w:val="24"/>
          <w:szCs w:val="24"/>
        </w:rPr>
        <w:t xml:space="preserve">in technical and vocational education </w:t>
      </w:r>
      <w:r>
        <w:rPr>
          <w:rFonts w:ascii="Times New Roman" w:hAnsi="Times New Roman" w:cs="Times New Roman"/>
          <w:sz w:val="24"/>
          <w:szCs w:val="24"/>
        </w:rPr>
        <w:t>that will provide smooth t</w:t>
      </w:r>
      <w:r w:rsidR="005767DB">
        <w:rPr>
          <w:rFonts w:ascii="Times New Roman" w:hAnsi="Times New Roman" w:cs="Times New Roman"/>
          <w:sz w:val="24"/>
          <w:szCs w:val="24"/>
        </w:rPr>
        <w:t>ransition of the private sector.</w:t>
      </w:r>
    </w:p>
    <w:p w14:paraId="2A8C68DB" w14:textId="77777777" w:rsidR="00650862" w:rsidRPr="005767DB" w:rsidRDefault="00650862" w:rsidP="00665477">
      <w:pPr>
        <w:spacing w:before="120" w:after="0" w:line="240" w:lineRule="auto"/>
        <w:rPr>
          <w:rFonts w:ascii="Times New Roman" w:hAnsi="Times New Roman" w:cs="Times New Roman"/>
          <w:b/>
          <w:sz w:val="24"/>
          <w:szCs w:val="24"/>
        </w:rPr>
      </w:pPr>
      <w:r w:rsidRPr="005767DB">
        <w:rPr>
          <w:rFonts w:ascii="Times New Roman" w:hAnsi="Times New Roman" w:cs="Times New Roman"/>
          <w:b/>
          <w:sz w:val="24"/>
          <w:szCs w:val="24"/>
        </w:rPr>
        <w:t>References</w:t>
      </w:r>
    </w:p>
    <w:p w14:paraId="679F6EA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Adegbenjo</w:t>
      </w:r>
      <w:proofErr w:type="spellEnd"/>
      <w:r w:rsidRPr="005767DB">
        <w:rPr>
          <w:rFonts w:ascii="Times New Roman" w:hAnsi="Times New Roman" w:cs="Times New Roman"/>
          <w:sz w:val="24"/>
          <w:szCs w:val="24"/>
        </w:rPr>
        <w:t xml:space="preserve">, A. O. &amp; </w:t>
      </w:r>
      <w:proofErr w:type="spellStart"/>
      <w:r w:rsidRPr="005767DB">
        <w:rPr>
          <w:rFonts w:ascii="Times New Roman" w:hAnsi="Times New Roman" w:cs="Times New Roman"/>
          <w:sz w:val="24"/>
          <w:szCs w:val="24"/>
        </w:rPr>
        <w:t>Olubato</w:t>
      </w:r>
      <w:proofErr w:type="spellEnd"/>
      <w:r w:rsidRPr="005767DB">
        <w:rPr>
          <w:rFonts w:ascii="Times New Roman" w:hAnsi="Times New Roman" w:cs="Times New Roman"/>
          <w:sz w:val="24"/>
          <w:szCs w:val="24"/>
        </w:rPr>
        <w:t xml:space="preserve">, F. Y. (2021). Alternative sources of funding vocational and technical education in Nigeria. </w:t>
      </w:r>
      <w:r w:rsidRPr="005767DB">
        <w:rPr>
          <w:rFonts w:ascii="Times New Roman" w:hAnsi="Times New Roman" w:cs="Times New Roman"/>
          <w:i/>
          <w:sz w:val="24"/>
          <w:szCs w:val="24"/>
        </w:rPr>
        <w:t>Continental Journal of Education Research</w:t>
      </w:r>
      <w:r w:rsidRPr="005767DB">
        <w:rPr>
          <w:rFonts w:ascii="Times New Roman" w:hAnsi="Times New Roman" w:cs="Times New Roman"/>
          <w:sz w:val="24"/>
          <w:szCs w:val="24"/>
        </w:rPr>
        <w:t xml:space="preserve"> 8(1): 1 - 10</w:t>
      </w:r>
    </w:p>
    <w:p w14:paraId="6A65C9D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Afeti</w:t>
      </w:r>
      <w:proofErr w:type="spellEnd"/>
      <w:r w:rsidRPr="005767DB">
        <w:rPr>
          <w:rFonts w:ascii="Times New Roman" w:hAnsi="Times New Roman" w:cs="Times New Roman"/>
          <w:sz w:val="24"/>
          <w:szCs w:val="24"/>
        </w:rPr>
        <w:t xml:space="preserve">, G. (2022). Technical and Vocational Education and Training for Industrialization, retrieved 21 February 2024 from </w:t>
      </w:r>
      <w:hyperlink r:id="rId7" w:history="1">
        <w:r w:rsidRPr="005767DB">
          <w:rPr>
            <w:rStyle w:val="Hyperlink"/>
            <w:rFonts w:ascii="Times New Roman" w:hAnsi="Times New Roman" w:cs="Times New Roman"/>
            <w:sz w:val="24"/>
            <w:szCs w:val="24"/>
          </w:rPr>
          <w:t>www.arrforum.org/index.php?option.com</w:t>
        </w:r>
      </w:hyperlink>
      <w:r w:rsidRPr="005767DB">
        <w:rPr>
          <w:rFonts w:ascii="Times New Roman" w:hAnsi="Times New Roman" w:cs="Times New Roman"/>
          <w:sz w:val="24"/>
          <w:szCs w:val="24"/>
        </w:rPr>
        <w:t xml:space="preserve"> </w:t>
      </w:r>
    </w:p>
    <w:p w14:paraId="5DFE66D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Afieroho</w:t>
      </w:r>
      <w:proofErr w:type="spellEnd"/>
      <w:r w:rsidRPr="005767DB">
        <w:rPr>
          <w:rFonts w:ascii="Times New Roman" w:hAnsi="Times New Roman" w:cs="Times New Roman"/>
          <w:sz w:val="24"/>
          <w:szCs w:val="24"/>
        </w:rPr>
        <w:t>, U. E. (2022). Engaging the private sector in developing the Nigerian education infrastructure: a policy and strategy perspective. 9th Scientific Conference with International Participation All About People: Digital Transformation in Science, Education and Arts</w:t>
      </w:r>
    </w:p>
    <w:p w14:paraId="03BC6FD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Agbulu</w:t>
      </w:r>
      <w:proofErr w:type="spellEnd"/>
      <w:r w:rsidRPr="005767DB">
        <w:rPr>
          <w:rFonts w:ascii="Times New Roman" w:hAnsi="Times New Roman" w:cs="Times New Roman"/>
          <w:sz w:val="24"/>
          <w:szCs w:val="24"/>
        </w:rPr>
        <w:t xml:space="preserve">, O. N. &amp; Olaitan, S. O. (2022). Comparative vocational technical education systems in U.S.A., Great Britain and Japan: Lesson for Nigeria. Retrieved from </w:t>
      </w:r>
      <w:hyperlink r:id="rId8" w:history="1">
        <w:r w:rsidRPr="005767DB">
          <w:rPr>
            <w:rStyle w:val="Hyperlink"/>
            <w:rFonts w:ascii="Times New Roman" w:hAnsi="Times New Roman" w:cs="Times New Roman"/>
            <w:sz w:val="24"/>
            <w:szCs w:val="24"/>
          </w:rPr>
          <w:t>http://uamkd.com/colleges/agricscieducation/agricedu/lm/2.pdf</w:t>
        </w:r>
      </w:hyperlink>
      <w:r w:rsidRPr="005767DB">
        <w:rPr>
          <w:rFonts w:ascii="Times New Roman" w:hAnsi="Times New Roman" w:cs="Times New Roman"/>
          <w:sz w:val="24"/>
          <w:szCs w:val="24"/>
        </w:rPr>
        <w:t xml:space="preserve"> </w:t>
      </w:r>
    </w:p>
    <w:p w14:paraId="6F1A8EB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Akpan, D. (2023). Nigeria's technical, vocational education, and training programs; Insights and Analysis. Technical Report, Available at: </w:t>
      </w:r>
      <w:hyperlink r:id="rId9" w:history="1">
        <w:r w:rsidRPr="005767DB">
          <w:rPr>
            <w:rStyle w:val="Hyperlink"/>
            <w:rFonts w:ascii="Times New Roman" w:hAnsi="Times New Roman" w:cs="Times New Roman"/>
            <w:sz w:val="24"/>
            <w:szCs w:val="24"/>
          </w:rPr>
          <w:t>https://www.researchgate.net/publication/375088498</w:t>
        </w:r>
      </w:hyperlink>
      <w:r w:rsidRPr="005767DB">
        <w:rPr>
          <w:rFonts w:ascii="Times New Roman" w:hAnsi="Times New Roman" w:cs="Times New Roman"/>
          <w:sz w:val="24"/>
          <w:szCs w:val="24"/>
        </w:rPr>
        <w:t xml:space="preserve"> </w:t>
      </w:r>
    </w:p>
    <w:p w14:paraId="68E23B5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Amadi, N. S &amp; </w:t>
      </w:r>
      <w:proofErr w:type="spellStart"/>
      <w:r w:rsidRPr="005767DB">
        <w:rPr>
          <w:rFonts w:ascii="Times New Roman" w:hAnsi="Times New Roman" w:cs="Times New Roman"/>
          <w:sz w:val="24"/>
          <w:szCs w:val="24"/>
        </w:rPr>
        <w:t>Johnwest</w:t>
      </w:r>
      <w:proofErr w:type="spellEnd"/>
      <w:r w:rsidRPr="005767DB">
        <w:rPr>
          <w:rFonts w:ascii="Times New Roman" w:hAnsi="Times New Roman" w:cs="Times New Roman"/>
          <w:sz w:val="24"/>
          <w:szCs w:val="24"/>
        </w:rPr>
        <w:t xml:space="preserve">, E. K. (2016). Current trends in financing vocational education in Nigeria. </w:t>
      </w:r>
      <w:r w:rsidRPr="005767DB">
        <w:rPr>
          <w:rFonts w:ascii="Times New Roman" w:hAnsi="Times New Roman" w:cs="Times New Roman"/>
          <w:i/>
          <w:sz w:val="24"/>
          <w:szCs w:val="24"/>
        </w:rPr>
        <w:t>International Journal of Education and Evaluation</w:t>
      </w:r>
      <w:r w:rsidRPr="005767DB">
        <w:rPr>
          <w:rFonts w:ascii="Times New Roman" w:hAnsi="Times New Roman" w:cs="Times New Roman"/>
          <w:sz w:val="24"/>
          <w:szCs w:val="24"/>
        </w:rPr>
        <w:t xml:space="preserve"> 2(2), 12-19</w:t>
      </w:r>
    </w:p>
    <w:p w14:paraId="4A0AE38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Central Bank of Nigeria (2022). Annual Report and Statement of Accounts, </w:t>
      </w:r>
      <w:hyperlink r:id="rId10" w:history="1">
        <w:r w:rsidRPr="005767DB">
          <w:rPr>
            <w:rStyle w:val="Hyperlink"/>
            <w:rFonts w:ascii="Times New Roman" w:hAnsi="Times New Roman" w:cs="Times New Roman"/>
            <w:sz w:val="24"/>
            <w:szCs w:val="24"/>
          </w:rPr>
          <w:t>www.cbn.gov,ng</w:t>
        </w:r>
      </w:hyperlink>
      <w:r w:rsidRPr="005767DB">
        <w:rPr>
          <w:rFonts w:ascii="Times New Roman" w:hAnsi="Times New Roman" w:cs="Times New Roman"/>
          <w:sz w:val="24"/>
          <w:szCs w:val="24"/>
        </w:rPr>
        <w:t xml:space="preserve"> </w:t>
      </w:r>
    </w:p>
    <w:p w14:paraId="1EC8707E"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Babalola, J. B., </w:t>
      </w:r>
      <w:proofErr w:type="spellStart"/>
      <w:r w:rsidRPr="005767DB">
        <w:rPr>
          <w:rFonts w:ascii="Times New Roman" w:hAnsi="Times New Roman" w:cs="Times New Roman"/>
          <w:sz w:val="24"/>
          <w:szCs w:val="24"/>
        </w:rPr>
        <w:t>Sikwibele</w:t>
      </w:r>
      <w:proofErr w:type="spellEnd"/>
      <w:r w:rsidRPr="005767DB">
        <w:rPr>
          <w:rFonts w:ascii="Times New Roman" w:hAnsi="Times New Roman" w:cs="Times New Roman"/>
          <w:sz w:val="24"/>
          <w:szCs w:val="24"/>
        </w:rPr>
        <w:t xml:space="preserve">, A. L. &amp; Sulaiman, A. A. (2020). Education as aided by the World Bank: A critical analysis for post-independence projects in Nigeria. </w:t>
      </w:r>
      <w:r w:rsidRPr="005767DB">
        <w:rPr>
          <w:rFonts w:ascii="Times New Roman" w:hAnsi="Times New Roman" w:cs="Times New Roman"/>
          <w:i/>
          <w:sz w:val="24"/>
          <w:szCs w:val="24"/>
        </w:rPr>
        <w:t>Journal of Third World Studies</w:t>
      </w:r>
      <w:r w:rsidRPr="005767DB">
        <w:rPr>
          <w:rFonts w:ascii="Times New Roman" w:hAnsi="Times New Roman" w:cs="Times New Roman"/>
          <w:sz w:val="24"/>
          <w:szCs w:val="24"/>
        </w:rPr>
        <w:t xml:space="preserve">. 17(1). 155-163. </w:t>
      </w:r>
    </w:p>
    <w:p w14:paraId="0A90443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Chirinko</w:t>
      </w:r>
      <w:proofErr w:type="spellEnd"/>
      <w:r w:rsidRPr="005767DB">
        <w:rPr>
          <w:rFonts w:ascii="Times New Roman" w:hAnsi="Times New Roman" w:cs="Times New Roman"/>
          <w:sz w:val="24"/>
          <w:szCs w:val="24"/>
        </w:rPr>
        <w:t xml:space="preserve">, O. (2013) How Complementary Are Prudential Regulation and Monetary </w:t>
      </w:r>
      <w:proofErr w:type="gramStart"/>
      <w:r w:rsidRPr="005767DB">
        <w:rPr>
          <w:rFonts w:ascii="Times New Roman" w:hAnsi="Times New Roman" w:cs="Times New Roman"/>
          <w:sz w:val="24"/>
          <w:szCs w:val="24"/>
        </w:rPr>
        <w:t>Policy?,</w:t>
      </w:r>
      <w:proofErr w:type="gramEnd"/>
      <w:r w:rsidRPr="005767DB">
        <w:rPr>
          <w:rFonts w:ascii="Times New Roman" w:hAnsi="Times New Roman" w:cs="Times New Roman"/>
          <w:sz w:val="24"/>
          <w:szCs w:val="24"/>
        </w:rPr>
        <w:t xml:space="preserve"> Economic Premise, World Bank </w:t>
      </w:r>
    </w:p>
    <w:p w14:paraId="5B953BBB"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Edwards, W. &amp; Magill, K. R. (2024). The rise of for-profit teacher preparation programmes: investigating career outcomes for novice teachers. </w:t>
      </w:r>
      <w:r w:rsidRPr="005767DB">
        <w:rPr>
          <w:rFonts w:ascii="Times New Roman" w:hAnsi="Times New Roman" w:cs="Times New Roman"/>
          <w:i/>
          <w:sz w:val="24"/>
          <w:szCs w:val="24"/>
        </w:rPr>
        <w:t>Educational Review</w:t>
      </w:r>
      <w:r w:rsidRPr="005767DB">
        <w:rPr>
          <w:rFonts w:ascii="Times New Roman" w:hAnsi="Times New Roman" w:cs="Times New Roman"/>
          <w:sz w:val="24"/>
          <w:szCs w:val="24"/>
        </w:rPr>
        <w:t>, 1-25</w:t>
      </w:r>
    </w:p>
    <w:p w14:paraId="072161A9"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Eyiche</w:t>
      </w:r>
      <w:proofErr w:type="spellEnd"/>
      <w:r w:rsidRPr="005767DB">
        <w:rPr>
          <w:rFonts w:ascii="Times New Roman" w:hAnsi="Times New Roman" w:cs="Times New Roman"/>
          <w:sz w:val="24"/>
          <w:szCs w:val="24"/>
        </w:rPr>
        <w:t xml:space="preserve">, O. (2020). General or vocational? The quagmire in the Nigerian education policy, </w:t>
      </w:r>
      <w:r w:rsidRPr="005767DB">
        <w:rPr>
          <w:rFonts w:ascii="Times New Roman" w:hAnsi="Times New Roman" w:cs="Times New Roman"/>
          <w:i/>
          <w:sz w:val="24"/>
          <w:szCs w:val="24"/>
        </w:rPr>
        <w:t xml:space="preserve">International Journal of Educational Development </w:t>
      </w:r>
      <w:r w:rsidRPr="005767DB">
        <w:rPr>
          <w:rFonts w:ascii="Times New Roman" w:hAnsi="Times New Roman" w:cs="Times New Roman"/>
          <w:sz w:val="24"/>
          <w:szCs w:val="24"/>
        </w:rPr>
        <w:t>18(4): 289-304.</w:t>
      </w:r>
    </w:p>
    <w:p w14:paraId="26AC3303"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Ibara, E. C. (2021). Funding higher education in a dwindling fiscal resource allocation: the Nigerian perspective. </w:t>
      </w:r>
      <w:r w:rsidRPr="005767DB">
        <w:rPr>
          <w:rFonts w:ascii="Times New Roman" w:hAnsi="Times New Roman" w:cs="Times New Roman"/>
          <w:i/>
          <w:sz w:val="24"/>
          <w:szCs w:val="24"/>
        </w:rPr>
        <w:t>Journal of Sustainable Development in Africa</w:t>
      </w:r>
      <w:r w:rsidRPr="005767DB">
        <w:rPr>
          <w:rFonts w:ascii="Times New Roman" w:hAnsi="Times New Roman" w:cs="Times New Roman"/>
          <w:sz w:val="24"/>
          <w:szCs w:val="24"/>
        </w:rPr>
        <w:t xml:space="preserve">. 13(3), 1-11. </w:t>
      </w:r>
    </w:p>
    <w:p w14:paraId="372DD0C8"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Ikpeze</w:t>
      </w:r>
      <w:proofErr w:type="spellEnd"/>
      <w:r w:rsidRPr="005767DB">
        <w:rPr>
          <w:rFonts w:ascii="Times New Roman" w:hAnsi="Times New Roman" w:cs="Times New Roman"/>
          <w:sz w:val="24"/>
          <w:szCs w:val="24"/>
        </w:rPr>
        <w:t xml:space="preserve">, N. (2021), New Industrial Policies and Perspectives for manufacturing in Nigeria in </w:t>
      </w:r>
      <w:proofErr w:type="spellStart"/>
      <w:r w:rsidRPr="005767DB">
        <w:rPr>
          <w:rFonts w:ascii="Times New Roman" w:hAnsi="Times New Roman" w:cs="Times New Roman"/>
          <w:sz w:val="24"/>
          <w:szCs w:val="24"/>
        </w:rPr>
        <w:t>Itans</w:t>
      </w:r>
      <w:proofErr w:type="spellEnd"/>
      <w:r w:rsidRPr="005767DB">
        <w:rPr>
          <w:rFonts w:ascii="Times New Roman" w:hAnsi="Times New Roman" w:cs="Times New Roman"/>
          <w:sz w:val="24"/>
          <w:szCs w:val="24"/>
        </w:rPr>
        <w:t xml:space="preserve">, H. bass et al (eds), </w:t>
      </w:r>
      <w:r w:rsidRPr="005767DB">
        <w:rPr>
          <w:rFonts w:ascii="Times New Roman" w:hAnsi="Times New Roman" w:cs="Times New Roman"/>
          <w:i/>
          <w:sz w:val="24"/>
          <w:szCs w:val="24"/>
        </w:rPr>
        <w:t>African Development Perspective Year Book</w:t>
      </w:r>
      <w:r w:rsidRPr="005767DB">
        <w:rPr>
          <w:rFonts w:ascii="Times New Roman" w:hAnsi="Times New Roman" w:cs="Times New Roman"/>
          <w:sz w:val="24"/>
          <w:szCs w:val="24"/>
        </w:rPr>
        <w:t>, 11: 1-21</w:t>
      </w:r>
    </w:p>
    <w:p w14:paraId="73AF6890" w14:textId="77777777" w:rsidR="00AE32DC" w:rsidRPr="005767DB" w:rsidRDefault="00AE32DC" w:rsidP="005767DB">
      <w:pPr>
        <w:pStyle w:val="Heading1"/>
        <w:spacing w:before="0" w:beforeAutospacing="0" w:after="0" w:afterAutospacing="0"/>
        <w:ind w:left="634" w:hanging="634"/>
        <w:jc w:val="both"/>
        <w:rPr>
          <w:b w:val="0"/>
          <w:color w:val="000000"/>
          <w:sz w:val="24"/>
          <w:szCs w:val="24"/>
        </w:rPr>
      </w:pPr>
      <w:r w:rsidRPr="005767DB">
        <w:rPr>
          <w:b w:val="0"/>
          <w:color w:val="000000"/>
          <w:sz w:val="24"/>
          <w:szCs w:val="24"/>
        </w:rPr>
        <w:t>Julia, B. &amp; Alex, P. (2017). Building the future Infrastructure in Nigeria until 2040. West Africa Report 21 | November 2017. Institute For Security Studies. https://issafrica.org/ research/west-africa-report/building-the-future-infrastructure-in-nigeria-until-2040.</w:t>
      </w:r>
    </w:p>
    <w:p w14:paraId="2B4B4956" w14:textId="77777777" w:rsidR="00650862" w:rsidRPr="005767DB" w:rsidRDefault="00650862" w:rsidP="005767DB">
      <w:pPr>
        <w:pStyle w:val="Heading1"/>
        <w:spacing w:before="0" w:beforeAutospacing="0" w:after="0" w:afterAutospacing="0"/>
        <w:ind w:left="634" w:hanging="634"/>
        <w:jc w:val="both"/>
        <w:rPr>
          <w:b w:val="0"/>
          <w:color w:val="000000"/>
          <w:sz w:val="24"/>
          <w:szCs w:val="24"/>
        </w:rPr>
      </w:pPr>
      <w:proofErr w:type="spellStart"/>
      <w:r w:rsidRPr="005767DB">
        <w:rPr>
          <w:b w:val="0"/>
          <w:color w:val="000000"/>
          <w:sz w:val="24"/>
          <w:szCs w:val="24"/>
        </w:rPr>
        <w:t>Muogahlu</w:t>
      </w:r>
      <w:proofErr w:type="spellEnd"/>
      <w:r w:rsidRPr="005767DB">
        <w:rPr>
          <w:b w:val="0"/>
          <w:color w:val="000000"/>
          <w:sz w:val="24"/>
          <w:szCs w:val="24"/>
        </w:rPr>
        <w:t xml:space="preserve">, N. &amp; Bin-Ahmad, A. (2023). redesigning technical vocational education and training for sustainable economic development in Nigeria. </w:t>
      </w:r>
      <w:r w:rsidRPr="005767DB">
        <w:rPr>
          <w:rStyle w:val="Strong"/>
          <w:i/>
          <w:color w:val="000000"/>
          <w:sz w:val="24"/>
          <w:szCs w:val="24"/>
        </w:rPr>
        <w:t xml:space="preserve">Journal of Vocational Education </w:t>
      </w:r>
      <w:proofErr w:type="gramStart"/>
      <w:r w:rsidRPr="005767DB">
        <w:rPr>
          <w:rStyle w:val="Strong"/>
          <w:i/>
          <w:color w:val="000000"/>
          <w:sz w:val="24"/>
          <w:szCs w:val="24"/>
        </w:rPr>
        <w:t>Studies</w:t>
      </w:r>
      <w:r w:rsidRPr="005767DB">
        <w:rPr>
          <w:rStyle w:val="Strong"/>
          <w:color w:val="000000"/>
          <w:sz w:val="24"/>
          <w:szCs w:val="24"/>
        </w:rPr>
        <w:t> ,</w:t>
      </w:r>
      <w:proofErr w:type="gramEnd"/>
      <w:r w:rsidRPr="005767DB">
        <w:rPr>
          <w:rStyle w:val="Strong"/>
          <w:color w:val="000000"/>
          <w:sz w:val="24"/>
          <w:szCs w:val="24"/>
        </w:rPr>
        <w:t xml:space="preserve"> 6(1), 14-21</w:t>
      </w:r>
    </w:p>
    <w:p w14:paraId="024926D0"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National Board for Technical Education: Retrieved 21 February 2024 from </w:t>
      </w:r>
      <w:hyperlink r:id="rId11" w:history="1">
        <w:r w:rsidRPr="005767DB">
          <w:rPr>
            <w:rStyle w:val="Hyperlink"/>
            <w:rFonts w:ascii="Times New Roman" w:hAnsi="Times New Roman" w:cs="Times New Roman"/>
            <w:sz w:val="24"/>
            <w:szCs w:val="24"/>
          </w:rPr>
          <w:t>www.nbte.gov.ng</w:t>
        </w:r>
      </w:hyperlink>
      <w:r w:rsidRPr="005767DB">
        <w:rPr>
          <w:rFonts w:ascii="Times New Roman" w:hAnsi="Times New Roman" w:cs="Times New Roman"/>
          <w:sz w:val="24"/>
          <w:szCs w:val="24"/>
        </w:rPr>
        <w:t xml:space="preserve"> </w:t>
      </w:r>
    </w:p>
    <w:p w14:paraId="4B62A060"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National Policy on Education (2013) Federal Government of Nigeria, Lagos: NERDC Press. </w:t>
      </w:r>
    </w:p>
    <w:p w14:paraId="21AF602A"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National Population Commission (2021). Population distribution of Nigeria. Official Statistics, FRN.</w:t>
      </w:r>
    </w:p>
    <w:p w14:paraId="6008FB34"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lastRenderedPageBreak/>
        <w:t xml:space="preserve">Nwachukwu, P. O. (2014). Funding education for sustainable development in Nigeria: challenges and the way forward. </w:t>
      </w:r>
      <w:r w:rsidRPr="005767DB">
        <w:rPr>
          <w:rFonts w:ascii="Times New Roman" w:hAnsi="Times New Roman" w:cs="Times New Roman"/>
          <w:i/>
          <w:sz w:val="24"/>
          <w:szCs w:val="24"/>
        </w:rPr>
        <w:t>Journal of Education and Practice</w:t>
      </w:r>
      <w:r w:rsidRPr="005767DB">
        <w:rPr>
          <w:rFonts w:ascii="Times New Roman" w:hAnsi="Times New Roman" w:cs="Times New Roman"/>
          <w:sz w:val="24"/>
          <w:szCs w:val="24"/>
        </w:rPr>
        <w:t xml:space="preserve"> 5(20), 51-58</w:t>
      </w:r>
    </w:p>
    <w:p w14:paraId="5399F2D3"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Nwagu</w:t>
      </w:r>
      <w:proofErr w:type="spellEnd"/>
      <w:r w:rsidRPr="005767DB">
        <w:rPr>
          <w:rFonts w:ascii="Times New Roman" w:hAnsi="Times New Roman" w:cs="Times New Roman"/>
          <w:sz w:val="24"/>
          <w:szCs w:val="24"/>
        </w:rPr>
        <w:t xml:space="preserve"> N. A. (2010). Financing education in Nigeria; Issues and Innovations Benin City; University of Benin Press. </w:t>
      </w:r>
    </w:p>
    <w:p w14:paraId="540568E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Okoro, O. M. (2013). Principles and methods in vocational and technical education. Nsukka: University Trust Publishers. </w:t>
      </w:r>
    </w:p>
    <w:p w14:paraId="6E97825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Okoye, R. &amp; </w:t>
      </w:r>
      <w:proofErr w:type="spellStart"/>
      <w:r w:rsidRPr="005767DB">
        <w:rPr>
          <w:rFonts w:ascii="Times New Roman" w:hAnsi="Times New Roman" w:cs="Times New Roman"/>
          <w:sz w:val="24"/>
          <w:szCs w:val="24"/>
        </w:rPr>
        <w:t>Arimonu</w:t>
      </w:r>
      <w:proofErr w:type="spellEnd"/>
      <w:r w:rsidRPr="005767DB">
        <w:rPr>
          <w:rFonts w:ascii="Times New Roman" w:hAnsi="Times New Roman" w:cs="Times New Roman"/>
          <w:sz w:val="24"/>
          <w:szCs w:val="24"/>
        </w:rPr>
        <w:t xml:space="preserve">, M. (2020). Technical and vocational education in Nigeria: issues, challenges and a way forward. </w:t>
      </w:r>
      <w:r w:rsidRPr="005767DB">
        <w:rPr>
          <w:rFonts w:ascii="Times New Roman" w:hAnsi="Times New Roman" w:cs="Times New Roman"/>
          <w:i/>
          <w:sz w:val="24"/>
          <w:szCs w:val="24"/>
        </w:rPr>
        <w:t>Journal of Education and Practice</w:t>
      </w:r>
      <w:r w:rsidRPr="005767DB">
        <w:rPr>
          <w:rFonts w:ascii="Times New Roman" w:hAnsi="Times New Roman" w:cs="Times New Roman"/>
          <w:sz w:val="24"/>
          <w:szCs w:val="24"/>
        </w:rPr>
        <w:t>, 7(3), 113-119</w:t>
      </w:r>
    </w:p>
    <w:p w14:paraId="456F7A67"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Okpor</w:t>
      </w:r>
      <w:proofErr w:type="spellEnd"/>
      <w:r w:rsidRPr="005767DB">
        <w:rPr>
          <w:rFonts w:ascii="Times New Roman" w:hAnsi="Times New Roman" w:cs="Times New Roman"/>
          <w:sz w:val="24"/>
          <w:szCs w:val="24"/>
        </w:rPr>
        <w:t xml:space="preserve">, I. &amp; Hassan, N. (2021). Public-private partnership for skill acquisition and vocational and technical education vocational technical education development in Nigeria. </w:t>
      </w:r>
      <w:r w:rsidRPr="005767DB">
        <w:rPr>
          <w:rFonts w:ascii="Times New Roman" w:hAnsi="Times New Roman" w:cs="Times New Roman"/>
          <w:i/>
          <w:sz w:val="24"/>
          <w:szCs w:val="24"/>
        </w:rPr>
        <w:t>Mediterranean Journal of Social Sciences</w:t>
      </w:r>
      <w:r w:rsidRPr="005767DB">
        <w:rPr>
          <w:rFonts w:ascii="Times New Roman" w:hAnsi="Times New Roman" w:cs="Times New Roman"/>
          <w:sz w:val="24"/>
          <w:szCs w:val="24"/>
        </w:rPr>
        <w:t xml:space="preserve">. 3(4). 91-94. Retrieved from </w:t>
      </w:r>
      <w:hyperlink r:id="rId12" w:history="1">
        <w:r w:rsidRPr="005767DB">
          <w:rPr>
            <w:rStyle w:val="Hyperlink"/>
            <w:rFonts w:ascii="Times New Roman" w:hAnsi="Times New Roman" w:cs="Times New Roman"/>
            <w:sz w:val="24"/>
            <w:szCs w:val="24"/>
          </w:rPr>
          <w:t>http://www.mcser.org/images/stories/muss-special-issues/MJSS-January 2012/okpor-ikechukwu.pdf</w:t>
        </w:r>
      </w:hyperlink>
      <w:r w:rsidRPr="005767DB">
        <w:rPr>
          <w:rFonts w:ascii="Times New Roman" w:hAnsi="Times New Roman" w:cs="Times New Roman"/>
          <w:sz w:val="24"/>
          <w:szCs w:val="24"/>
        </w:rPr>
        <w:t xml:space="preserve"> </w:t>
      </w:r>
    </w:p>
    <w:p w14:paraId="60B7899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Oviawe</w:t>
      </w:r>
      <w:proofErr w:type="spellEnd"/>
      <w:r w:rsidRPr="005767DB">
        <w:rPr>
          <w:rFonts w:ascii="Times New Roman" w:hAnsi="Times New Roman" w:cs="Times New Roman"/>
          <w:sz w:val="24"/>
          <w:szCs w:val="24"/>
        </w:rPr>
        <w:t xml:space="preserve">, J. I. (2021). Revamping technical and vocational education and training through public-private partnerships for skill development. </w:t>
      </w:r>
      <w:r w:rsidRPr="005767DB">
        <w:rPr>
          <w:rFonts w:ascii="Times New Roman" w:hAnsi="Times New Roman" w:cs="Times New Roman"/>
          <w:i/>
          <w:sz w:val="24"/>
          <w:szCs w:val="24"/>
        </w:rPr>
        <w:t xml:space="preserve">Makerere Journal of Higher Education </w:t>
      </w:r>
      <w:r w:rsidRPr="005767DB">
        <w:rPr>
          <w:rFonts w:ascii="Times New Roman" w:hAnsi="Times New Roman" w:cs="Times New Roman"/>
          <w:sz w:val="24"/>
          <w:szCs w:val="24"/>
        </w:rPr>
        <w:t>10(1), 73-91</w:t>
      </w:r>
    </w:p>
    <w:p w14:paraId="7C25A32A"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Owoye</w:t>
      </w:r>
      <w:proofErr w:type="spellEnd"/>
      <w:r w:rsidRPr="005767DB">
        <w:rPr>
          <w:rFonts w:ascii="Times New Roman" w:hAnsi="Times New Roman" w:cs="Times New Roman"/>
          <w:sz w:val="24"/>
          <w:szCs w:val="24"/>
        </w:rPr>
        <w:t xml:space="preserve">, O. (2021).M2 targeting, money demand and real gross domestic product growth in Nigeria: do rules apply? </w:t>
      </w:r>
      <w:r w:rsidRPr="005767DB">
        <w:rPr>
          <w:rFonts w:ascii="Times New Roman" w:hAnsi="Times New Roman" w:cs="Times New Roman"/>
          <w:i/>
          <w:sz w:val="24"/>
          <w:szCs w:val="24"/>
        </w:rPr>
        <w:t>Journal of Business and Public Affairs</w:t>
      </w:r>
      <w:r w:rsidRPr="005767DB">
        <w:rPr>
          <w:rFonts w:ascii="Times New Roman" w:hAnsi="Times New Roman" w:cs="Times New Roman"/>
          <w:sz w:val="24"/>
          <w:szCs w:val="24"/>
        </w:rPr>
        <w:t>, 1(2), 111-119</w:t>
      </w:r>
    </w:p>
    <w:p w14:paraId="4AF18F7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Raymond, E. &amp; </w:t>
      </w:r>
      <w:proofErr w:type="spellStart"/>
      <w:r w:rsidRPr="005767DB">
        <w:rPr>
          <w:rFonts w:ascii="Times New Roman" w:hAnsi="Times New Roman" w:cs="Times New Roman"/>
          <w:sz w:val="24"/>
          <w:szCs w:val="24"/>
        </w:rPr>
        <w:t>Awugulu</w:t>
      </w:r>
      <w:proofErr w:type="spellEnd"/>
      <w:r w:rsidRPr="005767DB">
        <w:rPr>
          <w:rFonts w:ascii="Times New Roman" w:hAnsi="Times New Roman" w:cs="Times New Roman"/>
          <w:sz w:val="24"/>
          <w:szCs w:val="24"/>
        </w:rPr>
        <w:t>, P. (2007). Public Private Partnerships for Efficient Funding and Delivery of Technical and Vocational Education in Nigeria. NATT's 20 Annual National Conference on Public Private Participation in the Provision of Technical and Vocational Education</w:t>
      </w:r>
    </w:p>
    <w:p w14:paraId="301AE41D"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Serven, L. E. &amp; Solimano, O. (2012). Inflation targeting and financial stability. Policy Lecture at the CEPR/ESI 14th Annual Conference on ―How Has Our View of Central Banking Changed with the Recent Financial Crisis? October 28– 29, Central Bank of Turkey. </w:t>
      </w:r>
    </w:p>
    <w:p w14:paraId="12ADF25F"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UNESCO – Nigeria TVE Project phase II (2008): Retrieved 21 February 2024 from </w:t>
      </w:r>
      <w:hyperlink r:id="rId13" w:history="1">
        <w:r w:rsidRPr="005767DB">
          <w:rPr>
            <w:rStyle w:val="Hyperlink"/>
            <w:rFonts w:ascii="Times New Roman" w:hAnsi="Times New Roman" w:cs="Times New Roman"/>
            <w:sz w:val="24"/>
            <w:szCs w:val="24"/>
          </w:rPr>
          <w:t>www.unesconigeriatve.org</w:t>
        </w:r>
      </w:hyperlink>
      <w:r w:rsidRPr="005767DB">
        <w:rPr>
          <w:rFonts w:ascii="Times New Roman" w:hAnsi="Times New Roman" w:cs="Times New Roman"/>
          <w:sz w:val="24"/>
          <w:szCs w:val="24"/>
        </w:rPr>
        <w:t xml:space="preserve"> </w:t>
      </w:r>
    </w:p>
    <w:p w14:paraId="3637E514" w14:textId="77777777" w:rsidR="00AE32DC" w:rsidRPr="005767DB" w:rsidRDefault="00AE32DC"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UNESCO (2022). Financing education, </w:t>
      </w:r>
      <w:hyperlink r:id="rId14" w:history="1">
        <w:r w:rsidRPr="005767DB">
          <w:rPr>
            <w:rStyle w:val="Hyperlink"/>
            <w:rFonts w:ascii="Times New Roman" w:hAnsi="Times New Roman" w:cs="Times New Roman"/>
            <w:sz w:val="24"/>
            <w:szCs w:val="24"/>
          </w:rPr>
          <w:t>www.unesco.org</w:t>
        </w:r>
      </w:hyperlink>
      <w:r w:rsidRPr="005767DB">
        <w:rPr>
          <w:rFonts w:ascii="Times New Roman" w:hAnsi="Times New Roman" w:cs="Times New Roman"/>
          <w:sz w:val="24"/>
          <w:szCs w:val="24"/>
        </w:rPr>
        <w:t xml:space="preserve"> </w:t>
      </w:r>
    </w:p>
    <w:p w14:paraId="195BFD72"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r w:rsidRPr="005767DB">
        <w:rPr>
          <w:rFonts w:ascii="Times New Roman" w:hAnsi="Times New Roman" w:cs="Times New Roman"/>
          <w:sz w:val="24"/>
          <w:szCs w:val="24"/>
        </w:rPr>
        <w:t xml:space="preserve">Yusuf, M. A. &amp; </w:t>
      </w:r>
      <w:proofErr w:type="spellStart"/>
      <w:r w:rsidRPr="005767DB">
        <w:rPr>
          <w:rFonts w:ascii="Times New Roman" w:hAnsi="Times New Roman" w:cs="Times New Roman"/>
          <w:sz w:val="24"/>
          <w:szCs w:val="24"/>
        </w:rPr>
        <w:t>Soyemi</w:t>
      </w:r>
      <w:proofErr w:type="spellEnd"/>
      <w:r w:rsidRPr="005767DB">
        <w:rPr>
          <w:rFonts w:ascii="Times New Roman" w:hAnsi="Times New Roman" w:cs="Times New Roman"/>
          <w:sz w:val="24"/>
          <w:szCs w:val="24"/>
        </w:rPr>
        <w:t xml:space="preserve">, J. (2021). Achieving sustainable economic development in Nigeria through technical and vocational education and training: the missing link. </w:t>
      </w:r>
      <w:r w:rsidRPr="005767DB">
        <w:rPr>
          <w:rFonts w:ascii="Times New Roman" w:hAnsi="Times New Roman" w:cs="Times New Roman"/>
          <w:i/>
          <w:sz w:val="24"/>
          <w:szCs w:val="24"/>
        </w:rPr>
        <w:t>International Journal of Academic Research in Business and Social Sciences 2</w:t>
      </w:r>
      <w:r w:rsidRPr="005767DB">
        <w:rPr>
          <w:rFonts w:ascii="Times New Roman" w:hAnsi="Times New Roman" w:cs="Times New Roman"/>
          <w:sz w:val="24"/>
          <w:szCs w:val="24"/>
        </w:rPr>
        <w:t>(2), 71-78</w:t>
      </w:r>
    </w:p>
    <w:p w14:paraId="7916B555" w14:textId="77777777" w:rsidR="00650862" w:rsidRPr="005767DB" w:rsidRDefault="00650862" w:rsidP="005767DB">
      <w:pPr>
        <w:spacing w:after="0" w:line="240" w:lineRule="auto"/>
        <w:ind w:left="634" w:hanging="634"/>
        <w:jc w:val="both"/>
        <w:rPr>
          <w:rFonts w:ascii="Times New Roman" w:hAnsi="Times New Roman" w:cs="Times New Roman"/>
          <w:sz w:val="24"/>
          <w:szCs w:val="24"/>
        </w:rPr>
      </w:pPr>
      <w:proofErr w:type="spellStart"/>
      <w:r w:rsidRPr="005767DB">
        <w:rPr>
          <w:rFonts w:ascii="Times New Roman" w:hAnsi="Times New Roman" w:cs="Times New Roman"/>
          <w:sz w:val="24"/>
          <w:szCs w:val="24"/>
        </w:rPr>
        <w:t>Zebib</w:t>
      </w:r>
      <w:proofErr w:type="spellEnd"/>
      <w:r w:rsidRPr="005767DB">
        <w:rPr>
          <w:rFonts w:ascii="Times New Roman" w:hAnsi="Times New Roman" w:cs="Times New Roman"/>
          <w:sz w:val="24"/>
          <w:szCs w:val="24"/>
        </w:rPr>
        <w:t xml:space="preserve">, L. I &amp; </w:t>
      </w:r>
      <w:proofErr w:type="spellStart"/>
      <w:r w:rsidRPr="005767DB">
        <w:rPr>
          <w:rFonts w:ascii="Times New Roman" w:hAnsi="Times New Roman" w:cs="Times New Roman"/>
          <w:sz w:val="24"/>
          <w:szCs w:val="24"/>
        </w:rPr>
        <w:t>Muoghalu</w:t>
      </w:r>
      <w:proofErr w:type="spellEnd"/>
      <w:r w:rsidRPr="005767DB">
        <w:rPr>
          <w:rFonts w:ascii="Times New Roman" w:hAnsi="Times New Roman" w:cs="Times New Roman"/>
          <w:sz w:val="24"/>
          <w:szCs w:val="24"/>
        </w:rPr>
        <w:t xml:space="preserve">, E. (1998). Protecting the whole. </w:t>
      </w:r>
      <w:r w:rsidRPr="005767DB">
        <w:rPr>
          <w:rFonts w:ascii="Times New Roman" w:hAnsi="Times New Roman" w:cs="Times New Roman"/>
          <w:i/>
          <w:sz w:val="24"/>
          <w:szCs w:val="24"/>
        </w:rPr>
        <w:t>Journal of Finance and Development</w:t>
      </w:r>
      <w:r w:rsidRPr="005767DB">
        <w:rPr>
          <w:rFonts w:ascii="Times New Roman" w:hAnsi="Times New Roman" w:cs="Times New Roman"/>
          <w:sz w:val="24"/>
          <w:szCs w:val="24"/>
        </w:rPr>
        <w:t>, 1:1-11</w:t>
      </w:r>
    </w:p>
    <w:p w14:paraId="7737838C" w14:textId="77777777" w:rsidR="00FD2BB2" w:rsidRPr="005767DB" w:rsidRDefault="00650862" w:rsidP="005767DB">
      <w:pPr>
        <w:spacing w:after="0" w:line="240" w:lineRule="auto"/>
        <w:ind w:left="634" w:hanging="634"/>
        <w:jc w:val="both"/>
        <w:rPr>
          <w:rFonts w:ascii="Times New Roman" w:hAnsi="Times New Roman" w:cs="Times New Roman"/>
          <w:b/>
          <w:sz w:val="24"/>
          <w:szCs w:val="24"/>
        </w:rPr>
      </w:pPr>
      <w:r w:rsidRPr="005767DB">
        <w:rPr>
          <w:rFonts w:ascii="Times New Roman" w:hAnsi="Times New Roman" w:cs="Times New Roman"/>
          <w:sz w:val="24"/>
          <w:szCs w:val="24"/>
        </w:rPr>
        <w:t xml:space="preserve">Zite, B., &amp; </w:t>
      </w:r>
      <w:proofErr w:type="spellStart"/>
      <w:r w:rsidRPr="005767DB">
        <w:rPr>
          <w:rFonts w:ascii="Times New Roman" w:hAnsi="Times New Roman" w:cs="Times New Roman"/>
          <w:sz w:val="24"/>
          <w:szCs w:val="24"/>
        </w:rPr>
        <w:t>Okwelle</w:t>
      </w:r>
      <w:proofErr w:type="spellEnd"/>
      <w:r w:rsidRPr="005767DB">
        <w:rPr>
          <w:rFonts w:ascii="Times New Roman" w:hAnsi="Times New Roman" w:cs="Times New Roman"/>
          <w:sz w:val="24"/>
          <w:szCs w:val="24"/>
        </w:rPr>
        <w:t xml:space="preserve">, P. C. (2018). Revamping Technical and Vocational Education and Training in Niger Delta for Sustainable Development. </w:t>
      </w:r>
      <w:r w:rsidRPr="005767DB">
        <w:rPr>
          <w:rFonts w:ascii="Times New Roman" w:hAnsi="Times New Roman" w:cs="Times New Roman"/>
          <w:i/>
          <w:sz w:val="24"/>
          <w:szCs w:val="24"/>
        </w:rPr>
        <w:t>International Journal of Humanities Social Sciences and Education</w:t>
      </w:r>
      <w:r w:rsidRPr="005767DB">
        <w:rPr>
          <w:rFonts w:ascii="Times New Roman" w:hAnsi="Times New Roman" w:cs="Times New Roman"/>
          <w:sz w:val="24"/>
          <w:szCs w:val="24"/>
        </w:rPr>
        <w:t xml:space="preserve">, 5(3), 91-95 </w:t>
      </w:r>
      <w:proofErr w:type="spellStart"/>
      <w:r w:rsidRPr="005767DB">
        <w:rPr>
          <w:rFonts w:ascii="Times New Roman" w:hAnsi="Times New Roman" w:cs="Times New Roman"/>
          <w:sz w:val="24"/>
          <w:szCs w:val="24"/>
        </w:rPr>
        <w:t>doi</w:t>
      </w:r>
      <w:proofErr w:type="spellEnd"/>
      <w:r w:rsidRPr="005767DB">
        <w:rPr>
          <w:rFonts w:ascii="Times New Roman" w:hAnsi="Times New Roman" w:cs="Times New Roman"/>
          <w:sz w:val="24"/>
          <w:szCs w:val="24"/>
        </w:rPr>
        <w:t xml:space="preserve">: </w:t>
      </w:r>
      <w:hyperlink r:id="rId15" w:history="1">
        <w:r w:rsidRPr="005767DB">
          <w:rPr>
            <w:rStyle w:val="Hyperlink"/>
            <w:rFonts w:ascii="Times New Roman" w:hAnsi="Times New Roman" w:cs="Times New Roman"/>
            <w:sz w:val="24"/>
            <w:szCs w:val="24"/>
          </w:rPr>
          <w:t>http://dx.doi.org/10.20431/2349-0381.0503009</w:t>
        </w:r>
      </w:hyperlink>
      <w:r w:rsidRPr="005767DB">
        <w:rPr>
          <w:rFonts w:ascii="Times New Roman" w:hAnsi="Times New Roman" w:cs="Times New Roman"/>
          <w:sz w:val="24"/>
          <w:szCs w:val="24"/>
        </w:rPr>
        <w:t xml:space="preserve"> </w:t>
      </w:r>
    </w:p>
    <w:sectPr w:rsidR="00FD2BB2" w:rsidRPr="005767DB" w:rsidSect="00CD2994">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4688" w14:textId="77777777" w:rsidR="00D81460" w:rsidRDefault="00D81460" w:rsidP="00CD2994">
      <w:pPr>
        <w:spacing w:after="0" w:line="240" w:lineRule="auto"/>
      </w:pPr>
      <w:r>
        <w:separator/>
      </w:r>
    </w:p>
  </w:endnote>
  <w:endnote w:type="continuationSeparator" w:id="0">
    <w:p w14:paraId="34BCF851" w14:textId="77777777" w:rsidR="00D81460" w:rsidRDefault="00D81460" w:rsidP="00CD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6539" w14:textId="77777777" w:rsidR="00530D1C" w:rsidRDefault="0053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36846"/>
      <w:docPartObj>
        <w:docPartGallery w:val="Page Numbers (Bottom of Page)"/>
        <w:docPartUnique/>
      </w:docPartObj>
    </w:sdtPr>
    <w:sdtEndPr>
      <w:rPr>
        <w:noProof/>
      </w:rPr>
    </w:sdtEndPr>
    <w:sdtContent>
      <w:p w14:paraId="148D37B3" w14:textId="77777777" w:rsidR="00726472" w:rsidRDefault="00726472">
        <w:pPr>
          <w:pStyle w:val="Footer"/>
          <w:jc w:val="center"/>
        </w:pPr>
        <w:r>
          <w:fldChar w:fldCharType="begin"/>
        </w:r>
        <w:r>
          <w:instrText xml:space="preserve"> PAGE   \* MERGEFORMAT </w:instrText>
        </w:r>
        <w:r>
          <w:fldChar w:fldCharType="separate"/>
        </w:r>
        <w:r w:rsidR="00665477">
          <w:rPr>
            <w:noProof/>
          </w:rPr>
          <w:t>11</w:t>
        </w:r>
        <w:r>
          <w:rPr>
            <w:noProof/>
          </w:rPr>
          <w:fldChar w:fldCharType="end"/>
        </w:r>
      </w:p>
    </w:sdtContent>
  </w:sdt>
  <w:p w14:paraId="089E8807" w14:textId="77777777" w:rsidR="00726472" w:rsidRDefault="00726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9385" w14:textId="77777777" w:rsidR="00530D1C" w:rsidRDefault="0053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9652" w14:textId="77777777" w:rsidR="00D81460" w:rsidRDefault="00D81460" w:rsidP="00CD2994">
      <w:pPr>
        <w:spacing w:after="0" w:line="240" w:lineRule="auto"/>
      </w:pPr>
      <w:r>
        <w:separator/>
      </w:r>
    </w:p>
  </w:footnote>
  <w:footnote w:type="continuationSeparator" w:id="0">
    <w:p w14:paraId="1165F3E0" w14:textId="77777777" w:rsidR="00D81460" w:rsidRDefault="00D81460" w:rsidP="00CD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CF06" w14:textId="4683E18E" w:rsidR="00530D1C" w:rsidRDefault="00530D1C">
    <w:pPr>
      <w:pStyle w:val="Header"/>
    </w:pPr>
    <w:r>
      <w:rPr>
        <w:noProof/>
      </w:rPr>
      <w:pict w14:anchorId="0B368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C3DA" w14:textId="603B81CD" w:rsidR="00530D1C" w:rsidRDefault="00530D1C">
    <w:pPr>
      <w:pStyle w:val="Header"/>
    </w:pPr>
    <w:r>
      <w:rPr>
        <w:noProof/>
      </w:rPr>
      <w:pict w14:anchorId="5ED9A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FB8D" w14:textId="40814F78" w:rsidR="00530D1C" w:rsidRDefault="00530D1C">
    <w:pPr>
      <w:pStyle w:val="Header"/>
    </w:pPr>
    <w:r>
      <w:rPr>
        <w:noProof/>
      </w:rPr>
      <w:pict w14:anchorId="36F7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368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1CA"/>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C35ED"/>
    <w:multiLevelType w:val="hybridMultilevel"/>
    <w:tmpl w:val="2058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62D6C"/>
    <w:multiLevelType w:val="hybridMultilevel"/>
    <w:tmpl w:val="2730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F1258"/>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5615D"/>
    <w:multiLevelType w:val="hybridMultilevel"/>
    <w:tmpl w:val="DC9E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016A0"/>
    <w:multiLevelType w:val="hybridMultilevel"/>
    <w:tmpl w:val="69F67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F4D7D"/>
    <w:multiLevelType w:val="hybridMultilevel"/>
    <w:tmpl w:val="AF36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02390"/>
    <w:multiLevelType w:val="hybridMultilevel"/>
    <w:tmpl w:val="1B30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D7A13"/>
    <w:multiLevelType w:val="hybridMultilevel"/>
    <w:tmpl w:val="F990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994"/>
    <w:rsid w:val="00003339"/>
    <w:rsid w:val="00034F21"/>
    <w:rsid w:val="00050174"/>
    <w:rsid w:val="00071CAB"/>
    <w:rsid w:val="0007330C"/>
    <w:rsid w:val="00073A05"/>
    <w:rsid w:val="00073A0F"/>
    <w:rsid w:val="000751C2"/>
    <w:rsid w:val="00081001"/>
    <w:rsid w:val="000D5B59"/>
    <w:rsid w:val="000E47D2"/>
    <w:rsid w:val="00105C6A"/>
    <w:rsid w:val="0011734D"/>
    <w:rsid w:val="00125D44"/>
    <w:rsid w:val="00133B6A"/>
    <w:rsid w:val="001601BC"/>
    <w:rsid w:val="00161F52"/>
    <w:rsid w:val="00163292"/>
    <w:rsid w:val="001A4644"/>
    <w:rsid w:val="001B32FC"/>
    <w:rsid w:val="001D1E75"/>
    <w:rsid w:val="0021654F"/>
    <w:rsid w:val="00240A91"/>
    <w:rsid w:val="0025713A"/>
    <w:rsid w:val="00265774"/>
    <w:rsid w:val="002661DF"/>
    <w:rsid w:val="0026750F"/>
    <w:rsid w:val="00283C66"/>
    <w:rsid w:val="00284CC7"/>
    <w:rsid w:val="00286A66"/>
    <w:rsid w:val="00293BF9"/>
    <w:rsid w:val="002B70D4"/>
    <w:rsid w:val="002C18E7"/>
    <w:rsid w:val="00326EDC"/>
    <w:rsid w:val="00333E6A"/>
    <w:rsid w:val="00350259"/>
    <w:rsid w:val="00351413"/>
    <w:rsid w:val="003568C1"/>
    <w:rsid w:val="003C52B0"/>
    <w:rsid w:val="003E023D"/>
    <w:rsid w:val="003E1CAD"/>
    <w:rsid w:val="003F7BF5"/>
    <w:rsid w:val="0041404F"/>
    <w:rsid w:val="00414B80"/>
    <w:rsid w:val="00422746"/>
    <w:rsid w:val="00422C15"/>
    <w:rsid w:val="00470452"/>
    <w:rsid w:val="00477108"/>
    <w:rsid w:val="004902C1"/>
    <w:rsid w:val="004A6466"/>
    <w:rsid w:val="004B1C10"/>
    <w:rsid w:val="004B3BF6"/>
    <w:rsid w:val="004C435D"/>
    <w:rsid w:val="004D1194"/>
    <w:rsid w:val="004E2637"/>
    <w:rsid w:val="004E53F3"/>
    <w:rsid w:val="004F5CB4"/>
    <w:rsid w:val="00502368"/>
    <w:rsid w:val="0050385F"/>
    <w:rsid w:val="005154DB"/>
    <w:rsid w:val="00522DD7"/>
    <w:rsid w:val="0052431A"/>
    <w:rsid w:val="00530D1C"/>
    <w:rsid w:val="00546E0D"/>
    <w:rsid w:val="005558B4"/>
    <w:rsid w:val="00573E98"/>
    <w:rsid w:val="005767DB"/>
    <w:rsid w:val="0058204C"/>
    <w:rsid w:val="005A1708"/>
    <w:rsid w:val="005D1C30"/>
    <w:rsid w:val="005E5B2B"/>
    <w:rsid w:val="00606C04"/>
    <w:rsid w:val="00630F59"/>
    <w:rsid w:val="00650862"/>
    <w:rsid w:val="00652019"/>
    <w:rsid w:val="00665477"/>
    <w:rsid w:val="00670E07"/>
    <w:rsid w:val="00673C2A"/>
    <w:rsid w:val="00685329"/>
    <w:rsid w:val="00686ECF"/>
    <w:rsid w:val="00696252"/>
    <w:rsid w:val="006A3734"/>
    <w:rsid w:val="006A645E"/>
    <w:rsid w:val="006A7BCA"/>
    <w:rsid w:val="006E4E64"/>
    <w:rsid w:val="007127D9"/>
    <w:rsid w:val="00725E17"/>
    <w:rsid w:val="00726472"/>
    <w:rsid w:val="00760BE4"/>
    <w:rsid w:val="0078041A"/>
    <w:rsid w:val="0079452F"/>
    <w:rsid w:val="0079614D"/>
    <w:rsid w:val="007D36C3"/>
    <w:rsid w:val="007E47E3"/>
    <w:rsid w:val="007E4AEE"/>
    <w:rsid w:val="007E61B7"/>
    <w:rsid w:val="00847868"/>
    <w:rsid w:val="0089682E"/>
    <w:rsid w:val="008E65EA"/>
    <w:rsid w:val="008F0D7B"/>
    <w:rsid w:val="008F1F2E"/>
    <w:rsid w:val="009466A0"/>
    <w:rsid w:val="009473A8"/>
    <w:rsid w:val="009616C4"/>
    <w:rsid w:val="009B5596"/>
    <w:rsid w:val="009D1572"/>
    <w:rsid w:val="009E55A0"/>
    <w:rsid w:val="00A03242"/>
    <w:rsid w:val="00A13030"/>
    <w:rsid w:val="00A63F4C"/>
    <w:rsid w:val="00A94880"/>
    <w:rsid w:val="00A94A2B"/>
    <w:rsid w:val="00A96977"/>
    <w:rsid w:val="00AA52A6"/>
    <w:rsid w:val="00AE32DC"/>
    <w:rsid w:val="00AE6685"/>
    <w:rsid w:val="00AE69CD"/>
    <w:rsid w:val="00B12813"/>
    <w:rsid w:val="00B34ACC"/>
    <w:rsid w:val="00B36019"/>
    <w:rsid w:val="00B467EB"/>
    <w:rsid w:val="00B539E8"/>
    <w:rsid w:val="00B54581"/>
    <w:rsid w:val="00B62DB9"/>
    <w:rsid w:val="00B84FE3"/>
    <w:rsid w:val="00B91AB1"/>
    <w:rsid w:val="00B91FB9"/>
    <w:rsid w:val="00B94E78"/>
    <w:rsid w:val="00BC0D75"/>
    <w:rsid w:val="00BC60AC"/>
    <w:rsid w:val="00BD2490"/>
    <w:rsid w:val="00BF6C94"/>
    <w:rsid w:val="00C0063F"/>
    <w:rsid w:val="00C00692"/>
    <w:rsid w:val="00C02157"/>
    <w:rsid w:val="00C13073"/>
    <w:rsid w:val="00C235AE"/>
    <w:rsid w:val="00C57999"/>
    <w:rsid w:val="00C71AC5"/>
    <w:rsid w:val="00C8005C"/>
    <w:rsid w:val="00C85F36"/>
    <w:rsid w:val="00C935E4"/>
    <w:rsid w:val="00C96C61"/>
    <w:rsid w:val="00CA2AE8"/>
    <w:rsid w:val="00CB0F74"/>
    <w:rsid w:val="00CB5DAA"/>
    <w:rsid w:val="00CC4428"/>
    <w:rsid w:val="00CC5601"/>
    <w:rsid w:val="00CD2994"/>
    <w:rsid w:val="00D01088"/>
    <w:rsid w:val="00D21702"/>
    <w:rsid w:val="00D32C05"/>
    <w:rsid w:val="00D33FAA"/>
    <w:rsid w:val="00D70BC8"/>
    <w:rsid w:val="00D70FB9"/>
    <w:rsid w:val="00D75149"/>
    <w:rsid w:val="00D779F0"/>
    <w:rsid w:val="00D81460"/>
    <w:rsid w:val="00D940C3"/>
    <w:rsid w:val="00DA2E6C"/>
    <w:rsid w:val="00DB1BEC"/>
    <w:rsid w:val="00DB33C3"/>
    <w:rsid w:val="00DB4CD2"/>
    <w:rsid w:val="00DC1747"/>
    <w:rsid w:val="00DD1B1C"/>
    <w:rsid w:val="00DF5530"/>
    <w:rsid w:val="00DF624F"/>
    <w:rsid w:val="00E34538"/>
    <w:rsid w:val="00E42AA1"/>
    <w:rsid w:val="00E43D83"/>
    <w:rsid w:val="00E65904"/>
    <w:rsid w:val="00EA3C8B"/>
    <w:rsid w:val="00ED00F4"/>
    <w:rsid w:val="00ED258C"/>
    <w:rsid w:val="00EE02B7"/>
    <w:rsid w:val="00F05086"/>
    <w:rsid w:val="00F35A2F"/>
    <w:rsid w:val="00F4100F"/>
    <w:rsid w:val="00F5213F"/>
    <w:rsid w:val="00F54FAD"/>
    <w:rsid w:val="00F55B49"/>
    <w:rsid w:val="00F5789E"/>
    <w:rsid w:val="00F9728F"/>
    <w:rsid w:val="00FB0D63"/>
    <w:rsid w:val="00FC33E4"/>
    <w:rsid w:val="00FD15EB"/>
    <w:rsid w:val="00FD2BB2"/>
    <w:rsid w:val="00FD51F0"/>
    <w:rsid w:val="00FE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20211E"/>
  <w15:docId w15:val="{F44DB28C-D4BB-4E79-9A5D-BEB5C0D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0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94"/>
  </w:style>
  <w:style w:type="paragraph" w:styleId="Footer">
    <w:name w:val="footer"/>
    <w:basedOn w:val="Normal"/>
    <w:link w:val="FooterChar"/>
    <w:uiPriority w:val="99"/>
    <w:unhideWhenUsed/>
    <w:rsid w:val="00CD2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94"/>
  </w:style>
  <w:style w:type="paragraph" w:styleId="ListParagraph">
    <w:name w:val="List Paragraph"/>
    <w:basedOn w:val="Normal"/>
    <w:uiPriority w:val="34"/>
    <w:qFormat/>
    <w:rsid w:val="002C18E7"/>
    <w:pPr>
      <w:ind w:left="720"/>
      <w:contextualSpacing/>
    </w:pPr>
  </w:style>
  <w:style w:type="paragraph" w:styleId="BalloonText">
    <w:name w:val="Balloon Text"/>
    <w:basedOn w:val="Normal"/>
    <w:link w:val="BalloonTextChar"/>
    <w:uiPriority w:val="99"/>
    <w:semiHidden/>
    <w:unhideWhenUsed/>
    <w:rsid w:val="0042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46"/>
    <w:rPr>
      <w:rFonts w:ascii="Tahoma" w:hAnsi="Tahoma" w:cs="Tahoma"/>
      <w:sz w:val="16"/>
      <w:szCs w:val="16"/>
    </w:rPr>
  </w:style>
  <w:style w:type="table" w:styleId="TableGrid">
    <w:name w:val="Table Grid"/>
    <w:basedOn w:val="TableNormal"/>
    <w:uiPriority w:val="59"/>
    <w:rsid w:val="00DF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0F7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4A2B"/>
    <w:rPr>
      <w:color w:val="0000FF" w:themeColor="hyperlink"/>
      <w:u w:val="single"/>
    </w:rPr>
  </w:style>
  <w:style w:type="character" w:styleId="Strong">
    <w:name w:val="Strong"/>
    <w:basedOn w:val="DefaultParagraphFont"/>
    <w:uiPriority w:val="22"/>
    <w:qFormat/>
    <w:rsid w:val="00A94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11575">
      <w:bodyDiv w:val="1"/>
      <w:marLeft w:val="0"/>
      <w:marRight w:val="0"/>
      <w:marTop w:val="0"/>
      <w:marBottom w:val="0"/>
      <w:divBdr>
        <w:top w:val="none" w:sz="0" w:space="0" w:color="auto"/>
        <w:left w:val="none" w:sz="0" w:space="0" w:color="auto"/>
        <w:bottom w:val="none" w:sz="0" w:space="0" w:color="auto"/>
        <w:right w:val="none" w:sz="0" w:space="0" w:color="auto"/>
      </w:divBdr>
    </w:div>
    <w:div w:id="20323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mkd.com/colleges/agricscieducation/agricedu/lm/2.pdf" TargetMode="External"/><Relationship Id="rId13" Type="http://schemas.openxmlformats.org/officeDocument/2006/relationships/hyperlink" Target="http://www.unesconigeriatve.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rrforum.org/index.php?option.com" TargetMode="External"/><Relationship Id="rId12" Type="http://schemas.openxmlformats.org/officeDocument/2006/relationships/hyperlink" Target="http://www.mcser.org/images/stories/muss-special-issues/MJSS-January%202012/okpor-ikechukwu.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te.gov.ng" TargetMode="External"/><Relationship Id="rId5" Type="http://schemas.openxmlformats.org/officeDocument/2006/relationships/footnotes" Target="footnotes.xml"/><Relationship Id="rId15" Type="http://schemas.openxmlformats.org/officeDocument/2006/relationships/hyperlink" Target="http://dx.doi.org/10.20431/2349-0381.0503009" TargetMode="External"/><Relationship Id="rId23" Type="http://schemas.openxmlformats.org/officeDocument/2006/relationships/theme" Target="theme/theme1.xml"/><Relationship Id="rId10" Type="http://schemas.openxmlformats.org/officeDocument/2006/relationships/hyperlink" Target="http://www.cbn.gov,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ublication/375088498" TargetMode="External"/><Relationship Id="rId14" Type="http://schemas.openxmlformats.org/officeDocument/2006/relationships/hyperlink" Target="http://www.unesc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11</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50</cp:revision>
  <dcterms:created xsi:type="dcterms:W3CDTF">2024-03-27T05:47:00Z</dcterms:created>
  <dcterms:modified xsi:type="dcterms:W3CDTF">2025-07-16T07:53:00Z</dcterms:modified>
</cp:coreProperties>
</file>