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7140F" w14:textId="0A6EB2A3" w:rsidR="009148A2" w:rsidRDefault="007D48E5" w:rsidP="0093524D">
      <w:pPr>
        <w:jc w:val="right"/>
        <w:rPr>
          <w:rFonts w:ascii="Arial" w:hAnsi="Arial" w:cs="Arial"/>
          <w:b/>
          <w:bCs/>
          <w:sz w:val="36"/>
          <w:szCs w:val="36"/>
          <w:lang w:val="en-US"/>
        </w:rPr>
      </w:pPr>
      <w:r w:rsidRPr="0093524D">
        <w:rPr>
          <w:rFonts w:ascii="Arial" w:hAnsi="Arial" w:cs="Arial"/>
          <w:b/>
          <w:bCs/>
          <w:sz w:val="36"/>
          <w:szCs w:val="36"/>
          <w:lang w:val="en-US"/>
        </w:rPr>
        <w:t>Investigating the u</w:t>
      </w:r>
      <w:r w:rsidR="003E1B20" w:rsidRPr="0093524D">
        <w:rPr>
          <w:rFonts w:ascii="Arial" w:hAnsi="Arial" w:cs="Arial"/>
          <w:b/>
          <w:bCs/>
          <w:sz w:val="36"/>
          <w:szCs w:val="36"/>
          <w:lang w:val="en-US"/>
        </w:rPr>
        <w:t>se of local materials for the construction of a solar/biomass hybrid cooker</w:t>
      </w:r>
    </w:p>
    <w:p w14:paraId="342F6AE0" w14:textId="77777777" w:rsidR="00585536" w:rsidRPr="0093524D" w:rsidRDefault="00585536" w:rsidP="0093524D">
      <w:pPr>
        <w:jc w:val="right"/>
        <w:rPr>
          <w:rFonts w:ascii="Arial" w:hAnsi="Arial" w:cs="Arial"/>
          <w:b/>
          <w:bCs/>
          <w:sz w:val="36"/>
          <w:szCs w:val="36"/>
          <w:lang w:val="en-US"/>
        </w:rPr>
      </w:pPr>
    </w:p>
    <w:p w14:paraId="41413B5F" w14:textId="60DE9F54" w:rsidR="00D865D8" w:rsidRDefault="00D865D8" w:rsidP="0093524D">
      <w:pPr>
        <w:rPr>
          <w:rFonts w:ascii="Arial" w:hAnsi="Arial" w:cs="Arial"/>
          <w:bCs/>
          <w:iCs/>
          <w:sz w:val="18"/>
          <w:szCs w:val="18"/>
        </w:rPr>
      </w:pPr>
    </w:p>
    <w:p w14:paraId="7FCB64C2" w14:textId="377FEA03" w:rsidR="00B00289" w:rsidRPr="0093524D" w:rsidRDefault="00B00289" w:rsidP="0093524D">
      <w:pPr>
        <w:rPr>
          <w:rFonts w:ascii="Arial" w:hAnsi="Arial" w:cs="Arial"/>
          <w:b/>
          <w:bCs/>
          <w:lang w:val="en-US"/>
        </w:rPr>
      </w:pPr>
      <w:r w:rsidRPr="0093524D">
        <w:rPr>
          <w:rFonts w:ascii="Arial" w:hAnsi="Arial" w:cs="Arial"/>
          <w:b/>
          <w:bCs/>
          <w:lang w:val="en-US"/>
        </w:rPr>
        <w:t>A</w:t>
      </w:r>
      <w:r w:rsidR="00671FD8">
        <w:rPr>
          <w:rFonts w:ascii="Arial" w:hAnsi="Arial" w:cs="Arial"/>
          <w:b/>
          <w:bCs/>
          <w:lang w:val="en-US"/>
        </w:rPr>
        <w:t>BSTRACT</w:t>
      </w:r>
      <w:r w:rsidRPr="0093524D">
        <w:rPr>
          <w:rFonts w:ascii="Arial" w:hAnsi="Arial" w:cs="Arial"/>
          <w:b/>
          <w:bCs/>
          <w:lang w:val="en-US"/>
        </w:rPr>
        <w:t xml:space="preserve"> </w:t>
      </w:r>
    </w:p>
    <w:p w14:paraId="1C3A3113" w14:textId="761DA832" w:rsidR="00B00289" w:rsidRDefault="0093524D" w:rsidP="0093524D">
      <w:pPr>
        <w:spacing w:after="0" w:line="240" w:lineRule="auto"/>
        <w:jc w:val="both"/>
        <w:rPr>
          <w:rFonts w:ascii="Arial" w:hAnsi="Arial" w:cs="Arial"/>
          <w:sz w:val="20"/>
          <w:szCs w:val="20"/>
          <w:lang w:val="en-US"/>
        </w:rPr>
      </w:pPr>
      <w:r w:rsidRPr="0093524D">
        <w:rPr>
          <w:rFonts w:ascii="Arial" w:hAnsi="Arial" w:cs="Arial"/>
          <w:sz w:val="20"/>
          <w:szCs w:val="20"/>
          <w:lang w:val="en-US"/>
        </w:rPr>
        <w:t>There are many locally available materials that can be used in the construction of cooking devices. Materials account for a significant portion of construction costs, and reducing their cost can help lower the overall cost of such projects. One of the most effective ways to reduce costs in the development of affordable cooking systems is to promote the use of local materials. This study therefore explores the use of local materials in the construction of solar-biomass hybrid cookers. The objectives are to identify the types of local materials used, the factors influencing their use, their thermophysical properties, and the benefits they offer.</w:t>
      </w:r>
      <w:r w:rsidR="00363FC1" w:rsidRPr="0093524D">
        <w:rPr>
          <w:rFonts w:ascii="Arial" w:hAnsi="Arial" w:cs="Arial"/>
          <w:sz w:val="20"/>
          <w:szCs w:val="20"/>
          <w:lang w:val="en-US"/>
        </w:rPr>
        <w:t>This work focuses on the design and construction of a solar-biomass hybrid cooker, made from locally available and low-cost materials. The characterization of these materials allowed for the determination of their thermo-physical properties. The thermal conductivity was measured at 0.675 ± 0.010 W/(m·K) for compressed earth bricks and 0.120 ± 0.007 W/(m·K) for plywood. The density was found to be 2048.77 kg/m³ for compressed earth bricks and 500 kg/m³ for plywood. The specific heat capacity was 1749 ± 4 J/(kg·K) for compressed earth bricks and 1600 ± 3 J/(kg·K) for plywood</w:t>
      </w:r>
      <w:r w:rsidR="00540ABA" w:rsidRPr="0093524D">
        <w:rPr>
          <w:rFonts w:ascii="Arial" w:hAnsi="Arial" w:cs="Arial"/>
          <w:sz w:val="20"/>
          <w:szCs w:val="20"/>
          <w:lang w:val="en-US"/>
        </w:rPr>
        <w:t>. Infrared images show that the materials used provide effective thermal insulation by minimizing heat loss and directing it towards the cooking vessel</w:t>
      </w:r>
      <w:r w:rsidR="00363FC1" w:rsidRPr="0093524D">
        <w:rPr>
          <w:rFonts w:ascii="Arial" w:hAnsi="Arial" w:cs="Arial"/>
          <w:sz w:val="20"/>
          <w:szCs w:val="20"/>
          <w:lang w:val="en-US"/>
        </w:rPr>
        <w:t>.</w:t>
      </w:r>
      <w:r w:rsidR="00417CFB" w:rsidRPr="0093524D">
        <w:rPr>
          <w:rFonts w:ascii="Arial" w:hAnsi="Arial" w:cs="Arial"/>
          <w:sz w:val="20"/>
          <w:szCs w:val="20"/>
          <w:lang w:val="en-US"/>
        </w:rPr>
        <w:t xml:space="preserve"> The evaluation of the cooker’s energy quality through exergy, which ranged from 0.15 W to 6.61 W (i.e., 0.092 kJ to 3.968 kJ), and exergetic efficiency, which ranged from 0.008% to 2.38%, shows that a significant portion of the energy is used for cooking food</w:t>
      </w:r>
      <w:r w:rsidR="00363FC1" w:rsidRPr="0093524D">
        <w:rPr>
          <w:rFonts w:ascii="Arial" w:hAnsi="Arial" w:cs="Arial"/>
          <w:sz w:val="20"/>
          <w:szCs w:val="20"/>
          <w:lang w:val="en-US"/>
        </w:rPr>
        <w:t xml:space="preserve"> After manufacturing the device, cooking tests conducted on beans and rice yielded successful results. It was also found that this solar cooker can prepare an average of 510 meals per year using only the available solar energy in Burkina Faso, with an additional 221 meals made possible through biomass when solar energy is insufficient for cooking.</w:t>
      </w:r>
    </w:p>
    <w:p w14:paraId="025963EC" w14:textId="77777777" w:rsidR="00671FD8" w:rsidRPr="0093524D" w:rsidRDefault="00671FD8" w:rsidP="0093524D">
      <w:pPr>
        <w:spacing w:after="0" w:line="240" w:lineRule="auto"/>
        <w:jc w:val="both"/>
        <w:rPr>
          <w:rFonts w:ascii="Arial" w:hAnsi="Arial" w:cs="Arial"/>
          <w:sz w:val="20"/>
          <w:szCs w:val="20"/>
          <w:lang w:val="en-US"/>
        </w:rPr>
      </w:pPr>
    </w:p>
    <w:p w14:paraId="30CD2F0E" w14:textId="70376A1F" w:rsidR="00D01EE3" w:rsidRPr="0093524D" w:rsidRDefault="00363FC1" w:rsidP="0093524D">
      <w:pPr>
        <w:spacing w:after="0" w:line="240" w:lineRule="auto"/>
        <w:jc w:val="both"/>
        <w:rPr>
          <w:rFonts w:ascii="Arial" w:hAnsi="Arial" w:cs="Arial"/>
          <w:sz w:val="20"/>
          <w:szCs w:val="20"/>
          <w:lang w:val="en-US"/>
        </w:rPr>
      </w:pPr>
      <w:r w:rsidRPr="0093524D">
        <w:rPr>
          <w:rFonts w:ascii="Arial" w:hAnsi="Arial" w:cs="Arial"/>
          <w:b/>
          <w:bCs/>
          <w:sz w:val="20"/>
          <w:szCs w:val="20"/>
          <w:lang w:val="en-US"/>
        </w:rPr>
        <w:t>Keywords:</w:t>
      </w:r>
      <w:r w:rsidRPr="0093524D">
        <w:rPr>
          <w:rFonts w:ascii="Arial" w:hAnsi="Arial" w:cs="Arial"/>
          <w:sz w:val="20"/>
          <w:szCs w:val="20"/>
          <w:lang w:val="en-US"/>
        </w:rPr>
        <w:t xml:space="preserve"> design, locally, materials characterization solar-biomass hybrid cooker.</w:t>
      </w:r>
    </w:p>
    <w:p w14:paraId="662E1C9E" w14:textId="77777777" w:rsidR="0093524D" w:rsidRDefault="0093524D" w:rsidP="00417CFB">
      <w:pPr>
        <w:spacing w:after="0" w:line="360" w:lineRule="auto"/>
        <w:jc w:val="both"/>
        <w:rPr>
          <w:rFonts w:ascii="Times New Roman" w:hAnsi="Times New Roman" w:cs="Times New Roman"/>
          <w:sz w:val="24"/>
          <w:szCs w:val="24"/>
          <w:lang w:val="en-US"/>
        </w:rPr>
      </w:pPr>
    </w:p>
    <w:p w14:paraId="6DF55909" w14:textId="77777777" w:rsidR="00DA7F58" w:rsidRDefault="00DA7F58" w:rsidP="00417CFB">
      <w:pPr>
        <w:spacing w:after="0" w:line="360" w:lineRule="auto"/>
        <w:jc w:val="both"/>
        <w:rPr>
          <w:rFonts w:ascii="Times New Roman" w:hAnsi="Times New Roman" w:cs="Times New Roman"/>
          <w:sz w:val="24"/>
          <w:szCs w:val="24"/>
          <w:lang w:val="en-US"/>
        </w:rPr>
      </w:pPr>
    </w:p>
    <w:p w14:paraId="6D67F1BF" w14:textId="77777777" w:rsidR="00DA7F58" w:rsidRDefault="00DA7F58" w:rsidP="00417CFB">
      <w:pPr>
        <w:spacing w:after="0" w:line="360" w:lineRule="auto"/>
        <w:jc w:val="both"/>
        <w:rPr>
          <w:rFonts w:ascii="Times New Roman" w:hAnsi="Times New Roman" w:cs="Times New Roman"/>
          <w:sz w:val="24"/>
          <w:szCs w:val="24"/>
          <w:lang w:val="en-US"/>
        </w:rPr>
      </w:pPr>
    </w:p>
    <w:p w14:paraId="17B08243" w14:textId="77777777" w:rsidR="00DA7F58" w:rsidRDefault="00DA7F58" w:rsidP="00417CFB">
      <w:pPr>
        <w:spacing w:after="0" w:line="360" w:lineRule="auto"/>
        <w:jc w:val="both"/>
        <w:rPr>
          <w:rFonts w:ascii="Times New Roman" w:hAnsi="Times New Roman" w:cs="Times New Roman"/>
          <w:sz w:val="24"/>
          <w:szCs w:val="24"/>
          <w:lang w:val="en-US"/>
        </w:rPr>
      </w:pPr>
    </w:p>
    <w:p w14:paraId="3CE9DD9F" w14:textId="77777777" w:rsidR="00DA7F58" w:rsidRDefault="00DA7F58" w:rsidP="00417CFB">
      <w:pPr>
        <w:spacing w:after="0" w:line="360" w:lineRule="auto"/>
        <w:jc w:val="both"/>
        <w:rPr>
          <w:rFonts w:ascii="Times New Roman" w:hAnsi="Times New Roman" w:cs="Times New Roman"/>
          <w:sz w:val="24"/>
          <w:szCs w:val="24"/>
          <w:lang w:val="en-US"/>
        </w:rPr>
      </w:pPr>
    </w:p>
    <w:p w14:paraId="45993E63" w14:textId="77777777" w:rsidR="00DA7F58" w:rsidRDefault="00DA7F58" w:rsidP="00417CFB">
      <w:pPr>
        <w:spacing w:after="0" w:line="360" w:lineRule="auto"/>
        <w:jc w:val="both"/>
        <w:rPr>
          <w:rFonts w:ascii="Times New Roman" w:hAnsi="Times New Roman" w:cs="Times New Roman"/>
          <w:sz w:val="24"/>
          <w:szCs w:val="24"/>
          <w:lang w:val="en-US"/>
        </w:rPr>
      </w:pPr>
    </w:p>
    <w:p w14:paraId="1B996282" w14:textId="77777777" w:rsidR="00DA7F58" w:rsidRDefault="00DA7F58" w:rsidP="00417CFB">
      <w:pPr>
        <w:spacing w:after="0" w:line="360" w:lineRule="auto"/>
        <w:jc w:val="both"/>
        <w:rPr>
          <w:rFonts w:ascii="Times New Roman" w:hAnsi="Times New Roman" w:cs="Times New Roman"/>
          <w:sz w:val="24"/>
          <w:szCs w:val="24"/>
          <w:lang w:val="en-US"/>
        </w:rPr>
      </w:pPr>
    </w:p>
    <w:p w14:paraId="467C9025" w14:textId="77777777" w:rsidR="00DA7F58" w:rsidRDefault="00DA7F58" w:rsidP="00417CFB">
      <w:pPr>
        <w:spacing w:after="0" w:line="360" w:lineRule="auto"/>
        <w:jc w:val="both"/>
        <w:rPr>
          <w:rFonts w:ascii="Times New Roman" w:hAnsi="Times New Roman" w:cs="Times New Roman"/>
          <w:sz w:val="24"/>
          <w:szCs w:val="24"/>
          <w:lang w:val="en-US"/>
        </w:rPr>
      </w:pPr>
    </w:p>
    <w:p w14:paraId="69CA5DDC" w14:textId="77777777" w:rsidR="00DA7F58" w:rsidRDefault="00DA7F58" w:rsidP="00417CFB">
      <w:pPr>
        <w:spacing w:after="0" w:line="360" w:lineRule="auto"/>
        <w:jc w:val="both"/>
        <w:rPr>
          <w:rFonts w:ascii="Times New Roman" w:hAnsi="Times New Roman" w:cs="Times New Roman"/>
          <w:sz w:val="24"/>
          <w:szCs w:val="24"/>
          <w:lang w:val="en-US"/>
        </w:rPr>
      </w:pPr>
    </w:p>
    <w:p w14:paraId="26408463" w14:textId="77777777" w:rsidR="00DA7F58" w:rsidRDefault="00DA7F58" w:rsidP="00417CFB">
      <w:pPr>
        <w:spacing w:after="0" w:line="360" w:lineRule="auto"/>
        <w:jc w:val="both"/>
        <w:rPr>
          <w:rFonts w:ascii="Times New Roman" w:hAnsi="Times New Roman" w:cs="Times New Roman"/>
          <w:sz w:val="24"/>
          <w:szCs w:val="24"/>
          <w:lang w:val="en-US"/>
        </w:rPr>
      </w:pPr>
    </w:p>
    <w:p w14:paraId="32AC9169" w14:textId="579338AC" w:rsidR="00DA7F58" w:rsidRDefault="00DA7F58" w:rsidP="00417CFB">
      <w:pPr>
        <w:spacing w:after="0" w:line="360" w:lineRule="auto"/>
        <w:jc w:val="both"/>
        <w:rPr>
          <w:rFonts w:ascii="Times New Roman" w:hAnsi="Times New Roman" w:cs="Times New Roman"/>
          <w:sz w:val="24"/>
          <w:szCs w:val="24"/>
          <w:lang w:val="en-US"/>
        </w:rPr>
      </w:pPr>
    </w:p>
    <w:p w14:paraId="45F2128C" w14:textId="72BE6C8F" w:rsidR="00922F3A" w:rsidRDefault="00922F3A" w:rsidP="00417CFB">
      <w:pPr>
        <w:spacing w:after="0" w:line="360" w:lineRule="auto"/>
        <w:jc w:val="both"/>
        <w:rPr>
          <w:rFonts w:ascii="Times New Roman" w:hAnsi="Times New Roman" w:cs="Times New Roman"/>
          <w:sz w:val="24"/>
          <w:szCs w:val="24"/>
          <w:lang w:val="en-US"/>
        </w:rPr>
      </w:pPr>
    </w:p>
    <w:p w14:paraId="0E5792C7" w14:textId="50A69444" w:rsidR="00922F3A" w:rsidRDefault="00922F3A" w:rsidP="00417CFB">
      <w:pPr>
        <w:spacing w:after="0" w:line="360" w:lineRule="auto"/>
        <w:jc w:val="both"/>
        <w:rPr>
          <w:rFonts w:ascii="Times New Roman" w:hAnsi="Times New Roman" w:cs="Times New Roman"/>
          <w:sz w:val="24"/>
          <w:szCs w:val="24"/>
          <w:lang w:val="en-US"/>
        </w:rPr>
      </w:pPr>
    </w:p>
    <w:p w14:paraId="2192C27B" w14:textId="77777777" w:rsidR="00922F3A" w:rsidRDefault="00922F3A" w:rsidP="00417CFB">
      <w:pPr>
        <w:spacing w:after="0" w:line="360" w:lineRule="auto"/>
        <w:jc w:val="both"/>
        <w:rPr>
          <w:rFonts w:ascii="Times New Roman" w:hAnsi="Times New Roman" w:cs="Times New Roman"/>
          <w:sz w:val="24"/>
          <w:szCs w:val="24"/>
          <w:lang w:val="en-US"/>
        </w:rPr>
      </w:pPr>
      <w:bookmarkStart w:id="0" w:name="_GoBack"/>
      <w:bookmarkEnd w:id="0"/>
    </w:p>
    <w:p w14:paraId="313D3508" w14:textId="77777777" w:rsidR="00DA7F58" w:rsidRDefault="00DA7F58" w:rsidP="00417CFB">
      <w:pPr>
        <w:spacing w:after="0" w:line="360" w:lineRule="auto"/>
        <w:jc w:val="both"/>
        <w:rPr>
          <w:rFonts w:ascii="Times New Roman" w:hAnsi="Times New Roman" w:cs="Times New Roman"/>
          <w:sz w:val="24"/>
          <w:szCs w:val="24"/>
          <w:lang w:val="en-US"/>
        </w:rPr>
      </w:pPr>
    </w:p>
    <w:p w14:paraId="65925438" w14:textId="77777777" w:rsidR="00DA7F58" w:rsidRDefault="00DA7F58" w:rsidP="00417CFB">
      <w:pPr>
        <w:spacing w:after="0" w:line="360" w:lineRule="auto"/>
        <w:jc w:val="both"/>
        <w:rPr>
          <w:rFonts w:ascii="Times New Roman" w:hAnsi="Times New Roman" w:cs="Times New Roman"/>
          <w:sz w:val="24"/>
          <w:szCs w:val="24"/>
          <w:lang w:val="en-US"/>
        </w:rPr>
      </w:pPr>
    </w:p>
    <w:p w14:paraId="01C5ED6C" w14:textId="77777777" w:rsidR="003B08B8" w:rsidRDefault="003B08B8" w:rsidP="00D01EE3">
      <w:pPr>
        <w:tabs>
          <w:tab w:val="left" w:pos="1523"/>
        </w:tabs>
        <w:spacing w:after="0" w:line="240" w:lineRule="auto"/>
        <w:rPr>
          <w:rFonts w:asciiTheme="majorBidi" w:hAnsiTheme="majorBidi" w:cstheme="majorBidi"/>
          <w:b/>
          <w:bCs/>
          <w:sz w:val="24"/>
          <w:szCs w:val="24"/>
          <w:lang w:val="en-US"/>
        </w:rPr>
      </w:pPr>
    </w:p>
    <w:p w14:paraId="111B1863" w14:textId="6A2281C8" w:rsidR="00363FC1" w:rsidRPr="00DA7F58" w:rsidRDefault="00363FC1" w:rsidP="00654063">
      <w:pPr>
        <w:pStyle w:val="ListParagraph"/>
        <w:numPr>
          <w:ilvl w:val="0"/>
          <w:numId w:val="1"/>
        </w:numPr>
        <w:tabs>
          <w:tab w:val="left" w:pos="1523"/>
        </w:tabs>
        <w:spacing w:after="0" w:line="240" w:lineRule="auto"/>
        <w:rPr>
          <w:rFonts w:ascii="Arial" w:hAnsi="Arial" w:cs="Arial"/>
          <w:b/>
          <w:bCs/>
          <w:lang w:val="en-US"/>
        </w:rPr>
      </w:pPr>
      <w:r w:rsidRPr="00DA7F58">
        <w:rPr>
          <w:rFonts w:ascii="Arial" w:hAnsi="Arial" w:cs="Arial"/>
          <w:b/>
          <w:bCs/>
          <w:lang w:val="en-US"/>
        </w:rPr>
        <w:t>I</w:t>
      </w:r>
      <w:r w:rsidR="00671FD8">
        <w:rPr>
          <w:rFonts w:ascii="Arial" w:hAnsi="Arial" w:cs="Arial"/>
          <w:b/>
          <w:bCs/>
          <w:lang w:val="en-US"/>
        </w:rPr>
        <w:t>NTRODUCTION</w:t>
      </w:r>
    </w:p>
    <w:p w14:paraId="07F3001F" w14:textId="10ADC5E3" w:rsidR="00654063" w:rsidRPr="00DA7F58" w:rsidRDefault="00654063" w:rsidP="00DA7F58">
      <w:pPr>
        <w:tabs>
          <w:tab w:val="left" w:pos="1523"/>
        </w:tabs>
        <w:spacing w:after="0" w:line="240" w:lineRule="auto"/>
        <w:jc w:val="both"/>
        <w:rPr>
          <w:rFonts w:ascii="Arial" w:hAnsi="Arial" w:cs="Arial"/>
          <w:sz w:val="20"/>
          <w:szCs w:val="20"/>
          <w:lang w:val="en-US"/>
        </w:rPr>
      </w:pPr>
      <w:r w:rsidRPr="00DA7F58">
        <w:rPr>
          <w:rFonts w:ascii="Arial" w:hAnsi="Arial" w:cs="Arial"/>
          <w:sz w:val="20"/>
          <w:szCs w:val="20"/>
          <w:lang w:val="en-US"/>
        </w:rPr>
        <w:t xml:space="preserve">Firewood accounts for nearly 81% of energy consumption in sub-Saharan Africa </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{"citationItems":[{"id":"ITEM-1","itemData":{"DOI":"10.1016/s2212-5671(16)30202-7","ISBN":"0212383671","ISSN":"22125671","abstract":"In this study, determinants of the relation between woody biomass energy consumption and economic growth were discussed. The relationship was examined by Autoregressive-Distributed Lag (ARDL) model for selected Sub-Saharan African countries such as Angola, Benin, Guinea-Bissau, Mauritania, Niger, Nigeria, Seychelles and South Africa for the period of 1980-2013. According to empirical results, there is unidirectional causality from woody biomass energy consumption to economic growth for Angola, Guinea-Bissau and Niger; from economic growth to woody biomass energy consumption for Seychelles. The bidirectional relationship is supported for Benin, Mauritania, Nigeria and South Africa. The results of this paper demonstrate that structural changes should be implemented in renewable energy policies of the selected countries.","author":[{"dropping-particle":"","family":"Bildirici","given":"Melike","non-dropping-particle":"","parse-names":false,"suffix":""},{"dropping-particle":"","family":"Özaksoy","given":"Fulya","non-dropping-particle":"","parse-names":false,"suffix":""}],"container-title":"Procedia Economics and Finance","id":"ITEM-1","issue":"October 2015","issued":{"date-parts":[["2016"]]},"page":"287-293","publisher":"The Author(s)","title":"Woody Biomass Energy Consumption and Economic Growth in Sub-Saharan Africa","type":"article-journal","volume":"38"},"uris":["http://www.mendeley.com/documents/?uuid=3a94fa31-d3c2-4991-b0f2-cceb39168d21"]}],"mendeley":{"formattedCitation":"(Bildirici &amp; Özaksoy, 2016)","plainTextFormattedCitation":"(Bildirici &amp; Özaksoy, 2016)","previouslyFormattedCitation":"(Bildirici &amp; Özaksoy, 2016)"},"properties":{"noteIndex":0},"schema":"https://github.com/citation-style-language/schema/raw/master/csl-citation.json"}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(Bildirici &amp; Özaksoy, 2016)</w:t>
      </w:r>
      <w:r w:rsidRPr="00DA7F58">
        <w:rPr>
          <w:rFonts w:ascii="Arial" w:hAnsi="Arial" w:cs="Arial"/>
          <w:sz w:val="20"/>
          <w:szCs w:val="20"/>
          <w:lang w:val="en-US"/>
        </w:rPr>
        <w:fldChar w:fldCharType="end"/>
      </w:r>
      <w:r w:rsidRPr="00DA7F58">
        <w:rPr>
          <w:rFonts w:ascii="Arial" w:hAnsi="Arial" w:cs="Arial"/>
          <w:sz w:val="20"/>
          <w:szCs w:val="20"/>
          <w:lang w:val="en-US"/>
        </w:rPr>
        <w:t xml:space="preserve">. However, this heavy reliance on solid biomass presents numerous drawbacks for both the population and the environment </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{"citationItems":[{"id":"ITEM-1","itemData":{"DOI":"10.1016/j.enpol.2013.08.075","ISSN":"03014215","abstract":"In developing countries households and institutions heavily rely on biomass to satisfy their energy needs. The unsustainable use of biomass is accompanied by several negative health and environmental impacts. As a clean energy source, solar cooking presents one alternative solution. In spite of its multiple benefits; however, solar cookers have experienced little success. Curiously, there has been little discussion about this in academic circles. Most research concerns technical improvements of solar cookers, rather than on the reasons why these cookers are not actually adopted in the field. This paper fills the gap by developing a comprehensive list of variables that influence the adoption of solar cooking: (1) economic, (2) social, (3) cultural, (4) environmental, (5) political and (6) technical. Furthermore, we can see that some solar cooking promoters are able to control for some of the variables (e.g., environmental factors), but not others (e.g. technical, social and cultural factors). The latter can only be captured through a needs assessment of the target group. This sort of assessment is a demanding but necessary step for the successful outcome of a solar cooking project. © 2013 Elsevier Ltd.","author":[{"dropping-particle":"","family":"Otte","given":"Pia Piroschka","non-dropping-particle":"","parse-names":false,"suffix":""}],"container-title":"Energy Policy","id":"ITEM-1","issued":{"date-parts":[["2013"]]},"page":"375-381","publisher":"Elsevier","title":"Solar cookers in developing countries-What is their key to success?","type":"article-journal","volume":"63"},"uris":["http://www.mendeley.com/documents/?uuid=bf289419-4a92-4a6a-b03e-27a7d77d084d"]}],"mendeley":{"formattedCitation":"(Otte, 2013)","plainTextFormattedCitation":"(Otte, 2013)","previouslyFormattedCitation":"(Otte, 2013)"},"properties":{"noteIndex":0},"schema":"https://github.com/citation-style-language/schema/raw/master/csl-citation.json"}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(Otte, 2013)</w:t>
      </w:r>
      <w:r w:rsidRPr="00DA7F58">
        <w:rPr>
          <w:rFonts w:ascii="Arial" w:hAnsi="Arial" w:cs="Arial"/>
          <w:sz w:val="20"/>
          <w:szCs w:val="20"/>
          <w:lang w:val="en-US"/>
        </w:rPr>
        <w:fldChar w:fldCharType="end"/>
      </w:r>
      <w:r w:rsidRPr="00DA7F58">
        <w:rPr>
          <w:rFonts w:ascii="Arial" w:hAnsi="Arial" w:cs="Arial"/>
          <w:sz w:val="20"/>
          <w:szCs w:val="20"/>
          <w:lang w:val="en-US"/>
        </w:rPr>
        <w:t xml:space="preserve">. In 2010, Africa was responsible for 34% of global greenhouse gas emissions related to firewood consumption </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{"citationItems":[{"id":"ITEM-1","itemData":{"DOI":"10.1016/j.sciaf.2019.e00064","ISSN":"24682276","abstract":"The efficiency of traditional open cook stoves in supplying firewood energy is usually low. Accordingly, firewood saving, improved stoves called “Mirt” made of cement and “Gonzie” made of local clay soils were made in 1980s in energy sector of Ethiopia. However, the dissemination of Mirt stove was unknowingly limited and the potential of Gonzie was less known. In this study the two improved cook stoves, Mirt and Gonzie were compared with open stoves in biomass consumption and end use emission at three agro-ecologies (lowland, midland and highland)and corresponding sample peasant associations (PA)or Kebeles (Ener Kola, Daemir and Awed)in Enemorina Ener district (county), Southern Ethiopia in 2017. At hierarchical administrative level, first district energy offices were interviewed about stoves used in PA. Then the next administrative level called PA was selected in turn to select rural households and focus groups, in order to interview about the problems of getting Mirt stoves and to test the potential of local clay soils in making Gonzie stoves. In each PA, 30% of the houses with common cooking condition, about 6 to 21 households; 3–5 pottery workers; and PA representatives were interviewed. Then, Gonzie stoves were manufactured, and biomass consumption was evaluated using controlled cooking test. The results showed that the problems in dissemination of Mirt stoves were the unaffordable cost of stoves, lack of training in using improved stoves and inappropriate size plates. The households in remote lowland and highland PAs had no knowledge about improved stoves. The overall quality of Gonzie stoves of highland and lowland PAs were comparably better than the midland PA. Curing a single Gonzie stoves consumed 1.8 to 2.0 times greater firewood than the daily requirement of a household, but lower than the firewood for other clay based utensils that consume 42 to 75 kg firewood weekly. Gonzie stoves saved 33.9 to 54.2% of the firewood used by open stoves for baking “Injera”. The reduction in end use emission from Gonzie stoves was comparable to Mirt stoves. Therefore, rural households, and local pottery makers should be trained to use and manufacture improved stoves, respectively. In cooking food and curing local clay made utensils improved stoves should be used to save wood and protect fire damage.","author":[{"dropping-particle":"","family":"Fekadu Kedir","given":"Miftah","non-dropping-particle":"","parse-names":false,"suffix":""},{"dropping-particle":"","family":"Bekele","given":"Tsegaye","non-dropping-particle":"","parse-names":false,"suffix":""},{"dropping-particle":"","family":"Feleke","given":"Sisay","non-dropping-particle":"","parse-names":false,"suffix":""}],"container-title":"Scientific African","id":"ITEM-1","issued":{"date-parts":[["2019"]]},"publisher":"Elsevier B.V.","title":"Problems of Mirt, and potentials of improved Gonzie and traditional open cook stoves in biomass consumption and end use emission in rural wooden houses of Southern Ethiopia","type":"article-journal","volume":"3"},"uris":["http://www.mendeley.com/documents/?uuid=e8c0b10f-3eea-461f-b4af-ce7e43265e1b"]},{"id":"ITEM-2","itemData":{"DOI":"10.1016/j.enpol.2017.03.021","ISSN":"03014215","abstract":"The long-term forecasting of energy supply and demand is of prime importance in Africa due to the steady increase in energy requirements, the non-availability of sufficient resources, the high dependence on fossil-fuels to meet these requirements, and the global concerns over the energy-induced environmental issues. This paper is concerned with modelling possible future paths for Africa's energy future and the related emissions. Future energy demand is forecasted based on socio-economic variables such as gross domestic product, income per capita, population, and urbanisation. The Long-range Energy Alternative Planning System (LEAP) modelling framework is employed to analyse and project energy demand and the related emissions under alternative strategies for the period of 2010–2040. Results of scenarios including business-as-usual (BAU) policies, moderate energy access and accelerate energy access policies, renewable energies promotion and energy efficiency policies and their environmental implications are provided. The study provides some policy insights and identifies synergies and trade-offs relating to the potential for energy policies to promote universal energy access, enable a transition to renewable energy, and mitigate climate change for a sustainable development.","author":[{"dropping-particle":"","family":"Ouedraogo","given":"Nadia S.","non-dropping-particle":"","parse-names":false,"suffix":""}],"container-title":"Energy Policy","id":"ITEM-2","issue":"March","issued":{"date-parts":[["2017"]]},"page":"457-471","publisher":"Elsevier Ltd","title":"Africa energy future: Alternative scenarios and their implications for sustainable development strategies","type":"article-journal","volume":"106"},"uris":["http://www.mendeley.com/documents/?uuid=332f6e40-56cc-49db-b665-12b1d177404a"]}],"mendeley":{"formattedCitation":"(Fekadu Kedir et al., 2019; Ouedraogo, 2017)","plainTextFormattedCitation":"(Fekadu Kedir et al., 2019; Ouedraogo, 2017)","previouslyFormattedCitation":"(Fekadu Kedir et al., 2019; Ouedraogo, 2017)"},"properties":{"noteIndex":0},"schema":"https://github.com/citation-style-language/schema/raw/master/csl-citation.json"}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(Fekadu Kedir et al., 2019; Ouedraogo, 2017)</w:t>
      </w:r>
      <w:r w:rsidRPr="00DA7F58">
        <w:rPr>
          <w:rFonts w:ascii="Arial" w:hAnsi="Arial" w:cs="Arial"/>
          <w:sz w:val="20"/>
          <w:szCs w:val="20"/>
          <w:lang w:val="en-US"/>
        </w:rPr>
        <w:fldChar w:fldCharType="end"/>
      </w:r>
      <w:r w:rsidRPr="00DA7F58">
        <w:rPr>
          <w:rFonts w:ascii="Arial" w:hAnsi="Arial" w:cs="Arial"/>
          <w:sz w:val="20"/>
          <w:szCs w:val="20"/>
          <w:lang w:val="en-US"/>
        </w:rPr>
        <w:t>.</w:t>
      </w:r>
    </w:p>
    <w:p w14:paraId="105851EC" w14:textId="0DC8CD09" w:rsidR="00654063" w:rsidRPr="00DA7F58" w:rsidRDefault="00654063" w:rsidP="00DA7F58">
      <w:pPr>
        <w:tabs>
          <w:tab w:val="left" w:pos="1523"/>
        </w:tabs>
        <w:spacing w:after="0" w:line="240" w:lineRule="auto"/>
        <w:jc w:val="both"/>
        <w:rPr>
          <w:rFonts w:ascii="Arial" w:hAnsi="Arial" w:cs="Arial"/>
          <w:sz w:val="20"/>
          <w:szCs w:val="20"/>
          <w:lang w:val="en-US"/>
        </w:rPr>
      </w:pPr>
      <w:r w:rsidRPr="00DA7F58">
        <w:rPr>
          <w:rFonts w:ascii="Arial" w:hAnsi="Arial" w:cs="Arial"/>
          <w:sz w:val="20"/>
          <w:szCs w:val="20"/>
          <w:lang w:val="en-US"/>
        </w:rPr>
        <w:t>To reduce this consumption and ensure an affordable and sufficient cooking energy supply for a continuously growing population, various solar technologies have been developed</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{"citationItems":[{"id":"ITEM-1","itemData":{"DOI":"10.1093/ijlct/ctt052","ISSN":"17481325","abstract":"In this paper, solar box cookers with ordinary and finned absorber plates are theoretically investigated in terms of thermodynamic performance parameters. For a typical summer and winter day, temperatures of solar cooker components such as glass cover, internal air, absorber plate, cooking vessel and the liquid are determined theoretically versus time. The analysis is carried out for conventional and finned absorber plates, and accuracy of the results is verified by a previously published experimental work. Energy and exergy efficiencies of box-type solar cookers are plotted versus time for various cases. The methodology presented in this paper enables to make a preliminary evaluation of ordinary and modified solar box cookers with respect to changes in main environmental parameters such as temperature and illumination intensity. Some recommendations are also made to enhance the power outputs of the aforementioned solar cookers.","author":[{"dropping-particle":"","family":"Cuce","given":"Erdem","non-dropping-particle":"","parse-names":false,"suffix":""},{"dropping-particle":"","family":"Cuce","given":"Pinar Mert","non-dropping-particle":"","parse-names":false,"suffix":""}],"container-title":"International Journal of Low-Carbon Technologies","id":"ITEM-1","issue":"3","issued":{"date-parts":[["2013"]]},"page":"238-245","title":"Theoretical investigation of hot box solar cookers having conventional and finned absorber plates","type":"article-journal","volume":"10"},"uris":["http://www.mendeley.com/documents/?uuid=5a095eef-f81a-432a-ad31-bcc105abaf55"]},{"id":"ITEM-2","itemData":{"DOI":"10.1016/j.rser.2011.04.017","ISSN":"1364-0321","author":[{"dropping-particle":"","family":"Saxena","given":"Abhishek","non-dropping-particle":"","parse-names":false,"suffix":""},{"dropping-particle":"","family":"Pandey","given":"S P","non-dropping-particle":"","parse-names":false,"suffix":""},{"dropping-particle":"","family":"Srivastav","given":"G","non-dropping-particle":"","parse-names":false,"suffix":""}],"container-title":"Renewable and Sustainable Energy Reviews","id":"ITEM-2","issue":"6","issued":{"date-parts":[["2011"]]},"page":"3301-3318","publisher":"Elsevier Ltd","title":"A thermodynamic review on solar box type cookers","type":"article-journal","volume":"15"},"uris":["http://www.mendeley.com/documents/?uuid=5060fbb7-53b1-434c-970a-b0fb484a0968"]}],"mendeley":{"formattedCitation":"(Cuce &amp; Cuce, 2013; Saxena et al., 2011)","plainTextFormattedCitation":"(Cuce &amp; Cuce, 2013; Saxena et al., 2011)","previouslyFormattedCitation":"(Cuce &amp; Cuce, 2013; Saxena et al., 2011)"},"properties":{"noteIndex":0},"schema":"https://github.com/citation-style-language/schema/raw/master/csl-citation.json"}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(Cuce &amp; Cuce, 2013; Saxena et al., 2011)</w:t>
      </w:r>
      <w:r w:rsidRPr="00DA7F58">
        <w:rPr>
          <w:rFonts w:ascii="Arial" w:hAnsi="Arial" w:cs="Arial"/>
          <w:sz w:val="20"/>
          <w:szCs w:val="20"/>
          <w:lang w:val="en-US"/>
        </w:rPr>
        <w:fldChar w:fldCharType="end"/>
      </w:r>
      <w:r w:rsidRPr="00DA7F58">
        <w:rPr>
          <w:rFonts w:ascii="Arial" w:hAnsi="Arial" w:cs="Arial"/>
          <w:sz w:val="20"/>
          <w:szCs w:val="20"/>
          <w:lang w:val="en-US"/>
        </w:rPr>
        <w:t xml:space="preserve">. However, their adoption remains limited due to several constraints, including glare risks, food scorching, technological complexity, and the need for constant supervision </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{"citationItems":[{"id":"ITEM-1","itemData":{"DOI":"10.1016/0360-5442(96)00054-0","ISSN":"03605442","abstract":"A framework for financial evaluation of a box-type solar cooker, using cost functions for its capital cost, has been developed. The annual benefits accrued to the user are quantified in terms of number of meals cooked per year and monetary worth of the fuel saved per meal. Expressions for some financial performance indicators have been derived and results of typical numerical calculations are briefly presented.","author":[{"dropping-particle":"","family":"Kumar","given":"S.","non-dropping-particle":"","parse-names":false,"suffix":""},{"dropping-particle":"","family":"Rubab","given":"S.","non-dropping-particle":"","parse-names":false,"suffix":""},{"dropping-particle":"","family":"Kandpal","given":"T. C.","non-dropping-particle":"","parse-names":false,"suffix":""},{"dropping-particle":"","family":"Mullick","given":"S. C.","non-dropping-particle":"","parse-names":false,"suffix":""}],"container-title":"Energy","id":"ITEM-1","issue":"12","issued":{"date-parts":[["1996"]]},"page":"1257-1264","title":"Financial feasibility analysis of box-type solar cookers in India","type":"article-journal","volume":"21"},"uris":["http://www.mendeley.com/documents/?uuid=e930b0bf-f94e-4ec4-a5a4-b7041bf913b1"]}],"mendeley":{"formattedCitation":"(S. Kumar et al., 1996)","plainTextFormattedCitation":"(S. Kumar et al., 1996)","previouslyFormattedCitation":"(S. Kumar et al., 1996)"},"properties":{"noteIndex":0},"schema":"https://github.com/citation-style-language/schema/raw/master/csl-citation.json"}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(S. Kumar et al., 1996)</w:t>
      </w:r>
      <w:r w:rsidRPr="00DA7F58">
        <w:rPr>
          <w:rFonts w:ascii="Arial" w:hAnsi="Arial" w:cs="Arial"/>
          <w:sz w:val="20"/>
          <w:szCs w:val="20"/>
          <w:lang w:val="en-US"/>
        </w:rPr>
        <w:fldChar w:fldCharType="end"/>
      </w:r>
      <w:r w:rsidRPr="00DA7F58">
        <w:rPr>
          <w:rFonts w:ascii="Arial" w:hAnsi="Arial" w:cs="Arial"/>
          <w:sz w:val="20"/>
          <w:szCs w:val="20"/>
          <w:lang w:val="en-US"/>
        </w:rPr>
        <w:t xml:space="preserve">. This is why box-type solar cookers are widely preferred for their ease of use </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{"citationItems":[{"id":"ITEM-1","itemData":{"DOI":"10.1088/1757-899X/308/1/012028","ISSN":"1757899X","abstract":"In this work, a numerical study is carried out to investigate the effect of configuration of a simple box solar cooker. In order to validate the numerical results, a simple a simple solar box cooker with absorber area of 0.835 m × 0.835 m is designed and fabricated. The solar box cooker is employed to boil water by exposing to the solar radiation in Medan city of Indonesia. In the numerical method, a set of transient governing equations are developed. The governing equations are solved using forward time step marching technique. The main objective is to explore the effect of double glasses cover, dimensions of the cooking vessel, and depth of the box cooker to the performance of the solar box cooker. The results show that the experimental and numerical results show good agreement. The performance of the solar box cooker strongly affected by the distance of the double glass cover, the solar cooker depth, and the solar collector length.","author":[{"dropping-particle":"","family":"Ambarita","given":"H.","non-dropping-particle":"","parse-names":false,"suffix":""}],"container-title":"IOP Conference Series: Materials Science and Engineering","id":"ITEM-1","issue":"1","issued":{"date-parts":[["2018"]]},"title":"Numerical study on the effect of configuration of a simple box solar cooker for boiling water","type":"article-journal","volume":"308"},"uris":["http://www.mendeley.com/documents/?uuid=0e305849-858c-4519-977e-152fc2d8b5ce"]},{"id":"ITEM-2","itemData":{"author":[{"dropping-particle":"","family":"R. Bazile, B. Alan, M. Port","given":"and J. Gasser","non-dropping-particle":"","parse-names":false,"suffix":""}],"container-title":"Manuel d’introduction","id":"ITEM-2","issued":{"date-parts":[["2018"]]},"page":"1–127,","title":"Bases de cuisson solaire,","type":"article-journal"},"uris":["http://www.mendeley.com/documents/?uuid=76ab4401-4e80-4735-96fe-e147f7d8c2ce"]}],"mendeley":{"formattedCitation":"(Ambarita, 2018; R. Bazile, B. Alan, M. Port, 2018)","plainTextFormattedCitation":"(Ambarita, 2018; R. Bazile, B. Alan, M. Port, 2018)","previouslyFormattedCitation":"(Ambarita, 2018; R. Bazile, B. Alan, M. Port, 2018)"},"properties":{"noteIndex":0},"schema":"https://github.com/citation-style-language/schema/raw/master/csl-citation.json"}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(Ambarita, 2018; R. Bazile, B. Alan, M. Port, 2018)</w:t>
      </w:r>
      <w:r w:rsidRPr="00DA7F58">
        <w:rPr>
          <w:rFonts w:ascii="Arial" w:hAnsi="Arial" w:cs="Arial"/>
          <w:sz w:val="20"/>
          <w:szCs w:val="20"/>
          <w:lang w:val="en-US"/>
        </w:rPr>
        <w:fldChar w:fldCharType="end"/>
      </w:r>
      <w:r w:rsidRPr="00DA7F58">
        <w:rPr>
          <w:rFonts w:ascii="Arial" w:hAnsi="Arial" w:cs="Arial"/>
          <w:sz w:val="20"/>
          <w:szCs w:val="20"/>
          <w:lang w:val="en-US"/>
        </w:rPr>
        <w:t>. Moreover, these devices are well suited to the energy needs of rural households and low-income urban areas in Africa</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{"citationItems":[{"id":"ITEM-1","itemData":{"DOI":"10.1016/S1364-0321(97)00008-7","ISSN":"13640321","abstract":"The continued economic decline of sub-Saharan Africa, and the African energy crisis in particular, have received considerable attention in recent literature. Little attention, however, has been given to the assessment of solar power as an environmentally sound and economically viable energy strategy. Considering the increasing fuelwood scarcity and debt incurred through petroleum imports, solar energy provides a welcome alternative to traditional biomass and fossil fuel energy sources. Research and development in solar energy has concentrated primarily on highly technical, capital intensive applications, leaving possibilities for small scale utilizations unexplored. This paper argues for small scale, decentralized development of solar power as a sustainable household fuel source for sub-Saharan Africa. Domestic cooking constitutes more than 60% of total energy use in the region and consumes scarce time, labor, income, and natural resources. Thus, the appropriate management of fuel and energy resources in the residential sector is crucial for significant development. This paper examines the economic viability of solar box cookers (SBCs), their costs and benefits both on the household and community levels, and how they may contribute to economic development. In arguing for the implementation of SBCs, policy implications in terms of financing and a comprehensive energy plan geared towards sustainable development are also presented. © 1998 Elsevier Science Ltd. All rights reserved.","author":[{"dropping-particle":"","family":"Carmody","given":"Ellie R.","non-dropping-particle":"","parse-names":false,"suffix":""},{"dropping-particle":"","family":"Sarkar","given":"Amin U.","non-dropping-particle":"","parse-names":false,"suffix":""}],"container-title":"Renewable and Sustainable Energy Reviews","id":"ITEM-1","issue":"4","issued":{"date-parts":[["1997"]]},"page":"291-301","title":"Solar Box Cookers: Towards a Decentralized Sustainable Energy Strategy for Sub-Saharan Africa","type":"article-journal","volume":"1"},"uris":["http://www.mendeley.com/documents/?uuid=5740f8f6-b5e3-4a1d-8095-9053c74e5e4c"]}],"mendeley":{"formattedCitation":"(Carmody &amp; Sarkar, 1997)","plainTextFormattedCitation":"(Carmody &amp; Sarkar, 1997)","previouslyFormattedCitation":"(Carmody &amp; Sarkar, 1997)"},"properties":{"noteIndex":0},"schema":"https://github.com/citation-style-language/schema/raw/master/csl-citation.json"}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(Carmody &amp; Sarkar, 1997)</w:t>
      </w:r>
      <w:r w:rsidRPr="00DA7F58">
        <w:rPr>
          <w:rFonts w:ascii="Arial" w:hAnsi="Arial" w:cs="Arial"/>
          <w:sz w:val="20"/>
          <w:szCs w:val="20"/>
          <w:lang w:val="en-US"/>
        </w:rPr>
        <w:fldChar w:fldCharType="end"/>
      </w:r>
      <w:r w:rsidRPr="00DA7F58">
        <w:rPr>
          <w:rFonts w:ascii="Arial" w:hAnsi="Arial" w:cs="Arial"/>
          <w:sz w:val="20"/>
          <w:szCs w:val="20"/>
          <w:lang w:val="en-US"/>
        </w:rPr>
        <w:t>.</w:t>
      </w:r>
    </w:p>
    <w:p w14:paraId="274B881A" w14:textId="03A2F4CA" w:rsidR="00654063" w:rsidRPr="00DA7F58" w:rsidRDefault="00654063" w:rsidP="00DA7F58">
      <w:pPr>
        <w:tabs>
          <w:tab w:val="left" w:pos="1523"/>
        </w:tabs>
        <w:spacing w:after="0" w:line="240" w:lineRule="auto"/>
        <w:jc w:val="both"/>
        <w:rPr>
          <w:rFonts w:ascii="Arial" w:hAnsi="Arial" w:cs="Arial"/>
          <w:sz w:val="20"/>
          <w:szCs w:val="20"/>
          <w:lang w:val="en-US"/>
        </w:rPr>
      </w:pPr>
      <w:r w:rsidRPr="00DA7F58">
        <w:rPr>
          <w:rFonts w:ascii="Arial" w:hAnsi="Arial" w:cs="Arial"/>
          <w:sz w:val="20"/>
          <w:szCs w:val="20"/>
          <w:lang w:val="en-US"/>
        </w:rPr>
        <w:t xml:space="preserve">Over the past two decades, numerous studies have been conducted to improve the performance of box-type solar cookers. These studies have explored various aspects, such as the impact of cooker orientation on thermal efficiency, the number of reflectors, absorber configuration, insulation, and geometry </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{"citationItems":[{"id":"ITEM-1","itemData":{"author":[{"dropping-particle":"","family":"Mirdha USÃ","given":"Dhariwal SR","non-dropping-particle":"","parse-names":false,"suffix":""}],"id":"ITEM-1","issued":{"date-parts":[["2008"]]},"page":"530–544.","title":"Design optimization of solar cooker.","type":"article-journal","volume":"33"},"uris":["http://www.mendeley.com/documents/?uuid=6e7de638-f066-467f-b59d-3758243f3f88"]},{"id":"ITEM-2","itemData":{"author":[{"dropping-particle":"","family":"I. L. Mohammed, U. J. Rumah","given":"and A. T. Abdulrahim","non-dropping-particle":"","parse-names":false,"suffix":""}],"container-title":"int. J. Eng. Res. Appl.","id":"ITEM-2","issued":{"date-parts":[["2013"]]},"page":"1174–1178,","title":"Performance Testing Of a Truncated Pyramid Solar Thermal Cooker","type":"article-journal","volume":"3, no. 4,"},"uris":["http://www.mendeley.com/documents/?uuid=6f2235ab-af42-4273-bc52-c0bdca89949e"]},{"id":"ITEM-3","itemData":{"DOI":"10.1016/j.energy.2012.10.014","ISSN":"03605442","abstract":"This paper presents modeling, fabrication and on-field testing of a Solar Rice Cooker (SRC). Modeling includes the development of a theoretical formalism to compute available solar power (qa) from different components of the system; describes suitable component materials and also includes the load dependent performance analysis of the system for rice cooking. Essential constraints on available energy and cooking time for assured cooking and their interrelationship with system parameters have been deduced and discussed at length. Using the solar geometry, the value of qa has been computed theoretically on equinox day. It varies from 82 to 120 W and its average value is about 107.8 W for the duration 10:00 to 15:00 solar time. As per modeling SRC has been fabricated and its on-field testing has been performed on various days under different conditions. The maximum temperature attained by container's top surface is 142 °C. The rice cooking time for first and second meal is found to be 2 h and 2 h 20 min, respectively. The payback period and NPV (net present value) have also been computed for SRC. With light weight 6 kg, reasonable cost 2500 INR, high NPV and short cooking time SRC is a suitable rice cooking appliance. © 2012 Elsevier Ltd.","author":[{"dropping-particle":"","family":"Mahavar","given":"S.","non-dropping-particle":"","parse-names":false,"suffix":""},{"dropping-particle":"","family":"Rajawat","given":"P.","non-dropping-particle":"","parse-names":false,"suffix":""},{"dropping-particle":"","family":"Marwal","given":"V. K.","non-dropping-particle":"","parse-names":false,"suffix":""},{"dropping-particle":"","family":"Punia","given":"R. C.","non-dropping-particle":"","parse-names":false,"suffix":""},{"dropping-particle":"","family":"Dashora","given":"P.","non-dropping-particle":"","parse-names":false,"suffix":""}],"container-title":"Energy","id":"ITEM-3","issue":"1","issued":{"date-parts":[["2013"]]},"page":"404-412","publisher":"Elsevier Ltd","title":"Modeling and on-field testing of a Solar Rice Cooker","type":"article-journal","volume":"49"},"uris":["http://www.mendeley.com/documents/?uuid=c927ad41-16ac-4fe3-8670-06c18e1fb863"]},{"id":"ITEM-4","itemData":{"author":[{"dropping-particle":"","family":"Algifri AH","given":"Al-Towaie HA.","non-dropping-particle":"","parse-names":false,"suffix":""}],"container-title":"Solar Energy","id":"ITEM-4","issued":{"date-parts":[["2001"]]},"page":"165–70","title":"Efficient orientation impacts of box-type solar cooker on the cooker performance.","type":"article-journal","volume":"70(2)"},"uris":["http://www.mendeley.com/documents/?uuid=18441a16-e8cd-41ab-b3e9-aa588a41bd02"]}],"mendeley":{"formattedCitation":"(Algifri AH, 2001; I. L. Mohammed, U. J. Rumah, 2013; Mahavar et al., 2013; Mirdha USÃ, 2008)","plainTextFormattedCitation":"(Algifri AH, 2001; I. L. Mohammed, U. J. Rumah, 2013; Mahavar et al., 2013; Mirdha USÃ, 2008)","previouslyFormattedCitation":"(Algifri AH, 2001; I. L. Mohammed, U. J. Rumah, 2013; Mahavar et al., 2013; Mirdha USÃ, 2008)"},"properties":{"noteIndex":0},"schema":"https://github.com/citation-style-language/schema/raw/master/csl-citation.json"}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(Algifri AH, 2001; I. L. Mohammed, U. J. Rumah, 2013; Mahavar et al., 2013; Mirdha USÃ, 2008)</w:t>
      </w:r>
      <w:r w:rsidRPr="00DA7F58">
        <w:rPr>
          <w:rFonts w:ascii="Arial" w:hAnsi="Arial" w:cs="Arial"/>
          <w:sz w:val="20"/>
          <w:szCs w:val="20"/>
          <w:lang w:val="en-US"/>
        </w:rPr>
        <w:fldChar w:fldCharType="end"/>
      </w:r>
      <w:r w:rsidRPr="00DA7F58">
        <w:rPr>
          <w:rFonts w:ascii="Arial" w:hAnsi="Arial" w:cs="Arial"/>
          <w:sz w:val="20"/>
          <w:szCs w:val="20"/>
          <w:lang w:val="en-US"/>
        </w:rPr>
        <w:t xml:space="preserve">. Other research has focused on models incorporating a concentrator placed beneath the cooker to direct solar radiation downward </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{"citationItems":[{"id":"ITEM-1","itemData":{"DOI":"10.9790/1684-1501013540","author":[{"dropping-particle":"","family":"Aliyu","given":"S","non-dropping-particle":"","parse-names":false,"suffix":""},{"dropping-particle":"","family":"Garba","given":"M M","non-dropping-particle":"","parse-names":false,"suffix":""}],"container-title":"IOSR Journal of Mechanical and Civil Engineering","id":"ITEM-1","issue":"1","issued":{"date-parts":[["2018"]]},"page":"35-40","title":"Development of A Novel Double Exposure Solar Cooker And Its Comparative Performance With The Conventional Box Type Solar Cooker","type":"article-journal","volume":"15"},"uris":["http://www.mendeley.com/documents/?uuid=7060eeaf-acb4-4ff2-9e90-fcc02e5c34c6"]}],"mendeley":{"formattedCitation":"(Aliyu &amp; Garba, 2018)","plainTextFormattedCitation":"(Aliyu &amp; Garba, 2018)","previouslyFormattedCitation":"(Aliyu &amp; Garba, 2018)"},"properties":{"noteIndex":0},"schema":"https://github.com/citation-style-language/schema/raw/master/csl-citation.json"}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(Aliyu &amp; Garba, 2018)</w:t>
      </w:r>
      <w:r w:rsidRPr="00DA7F58">
        <w:rPr>
          <w:rFonts w:ascii="Arial" w:hAnsi="Arial" w:cs="Arial"/>
          <w:sz w:val="20"/>
          <w:szCs w:val="20"/>
          <w:lang w:val="en-US"/>
        </w:rPr>
        <w:fldChar w:fldCharType="end"/>
      </w:r>
      <w:r w:rsidRPr="00DA7F58">
        <w:rPr>
          <w:rFonts w:ascii="Arial" w:hAnsi="Arial" w:cs="Arial"/>
          <w:sz w:val="20"/>
          <w:szCs w:val="20"/>
          <w:lang w:val="en-US"/>
        </w:rPr>
        <w:t>.</w:t>
      </w:r>
    </w:p>
    <w:p w14:paraId="17B11E39" w14:textId="77777777" w:rsidR="00654063" w:rsidRPr="00DA7F58" w:rsidRDefault="00654063" w:rsidP="00DA7F58">
      <w:pPr>
        <w:tabs>
          <w:tab w:val="left" w:pos="1523"/>
        </w:tabs>
        <w:spacing w:after="0" w:line="240" w:lineRule="auto"/>
        <w:jc w:val="both"/>
        <w:rPr>
          <w:rFonts w:ascii="Arial" w:hAnsi="Arial" w:cs="Arial"/>
          <w:sz w:val="20"/>
          <w:szCs w:val="20"/>
          <w:lang w:val="en-US"/>
        </w:rPr>
      </w:pPr>
      <w:r w:rsidRPr="00DA7F58">
        <w:rPr>
          <w:rFonts w:ascii="Arial" w:hAnsi="Arial" w:cs="Arial"/>
          <w:sz w:val="20"/>
          <w:szCs w:val="20"/>
          <w:lang w:val="en-US"/>
        </w:rPr>
        <w:t>However, during cloudy periods or prolonged absence of sunlight, the use of solar cookers, including box-type models, becomes impractical.</w:t>
      </w:r>
    </w:p>
    <w:p w14:paraId="7F9577C3" w14:textId="00E11CD8" w:rsidR="00DF6606" w:rsidRPr="00DA7F58" w:rsidRDefault="00654063" w:rsidP="00DA7F58">
      <w:pPr>
        <w:tabs>
          <w:tab w:val="left" w:pos="1523"/>
        </w:tabs>
        <w:spacing w:after="0" w:line="240" w:lineRule="auto"/>
        <w:jc w:val="both"/>
        <w:rPr>
          <w:rFonts w:ascii="Arial" w:hAnsi="Arial" w:cs="Arial"/>
          <w:sz w:val="20"/>
          <w:szCs w:val="20"/>
          <w:lang w:val="en-US"/>
        </w:rPr>
      </w:pPr>
      <w:r w:rsidRPr="00DA7F58">
        <w:rPr>
          <w:rFonts w:ascii="Arial" w:hAnsi="Arial" w:cs="Arial"/>
          <w:sz w:val="20"/>
          <w:szCs w:val="20"/>
          <w:lang w:val="en-US"/>
        </w:rPr>
        <w:t>This study aims to design and develop a solar-biomass hybrid cooker made from locally available, affordable, and easily accessible materials. This device will maximize the use of solar energy in Burkina Faso and, in cases of insufficient sunlight, utilize available biomass, such as agricultural residues or biochar, to ensure continuous cooking.</w:t>
      </w:r>
    </w:p>
    <w:p w14:paraId="33090885" w14:textId="77777777" w:rsidR="00654063" w:rsidRPr="00DA7F58" w:rsidRDefault="00654063" w:rsidP="00654063">
      <w:pPr>
        <w:tabs>
          <w:tab w:val="left" w:pos="1523"/>
        </w:tabs>
        <w:spacing w:after="0" w:line="240" w:lineRule="auto"/>
        <w:jc w:val="both"/>
        <w:rPr>
          <w:rFonts w:ascii="Arial" w:hAnsi="Arial" w:cs="Arial"/>
          <w:lang w:val="en-US"/>
        </w:rPr>
      </w:pPr>
    </w:p>
    <w:p w14:paraId="044F7263" w14:textId="791F7010" w:rsidR="00654063" w:rsidRPr="00DA7F58" w:rsidRDefault="00654063" w:rsidP="00654063">
      <w:pPr>
        <w:pStyle w:val="Heading1"/>
        <w:numPr>
          <w:ilvl w:val="0"/>
          <w:numId w:val="1"/>
        </w:numPr>
        <w:rPr>
          <w:rFonts w:ascii="Arial" w:hAnsi="Arial" w:cs="Arial"/>
          <w:b/>
          <w:bCs/>
          <w:color w:val="auto"/>
          <w:sz w:val="22"/>
          <w:szCs w:val="22"/>
        </w:rPr>
      </w:pPr>
      <w:r w:rsidRPr="00DA7F58">
        <w:rPr>
          <w:rFonts w:ascii="Arial" w:hAnsi="Arial" w:cs="Arial"/>
          <w:b/>
          <w:bCs/>
          <w:color w:val="auto"/>
          <w:sz w:val="22"/>
          <w:szCs w:val="22"/>
        </w:rPr>
        <w:t>L</w:t>
      </w:r>
      <w:r w:rsidR="00671FD8">
        <w:rPr>
          <w:rFonts w:ascii="Arial" w:hAnsi="Arial" w:cs="Arial"/>
          <w:b/>
          <w:bCs/>
          <w:color w:val="auto"/>
          <w:sz w:val="22"/>
          <w:szCs w:val="22"/>
        </w:rPr>
        <w:t>ITERATURE REVIEW</w:t>
      </w:r>
      <w:r w:rsidRPr="00DA7F58">
        <w:rPr>
          <w:rFonts w:ascii="Arial" w:hAnsi="Arial" w:cs="Arial"/>
          <w:b/>
          <w:bCs/>
          <w:color w:val="auto"/>
          <w:sz w:val="22"/>
          <w:szCs w:val="22"/>
        </w:rPr>
        <w:t xml:space="preserve"> </w:t>
      </w:r>
    </w:p>
    <w:p w14:paraId="3C30B425" w14:textId="3CEC3A3D" w:rsidR="00654063" w:rsidRPr="00DA7F58" w:rsidRDefault="00654063" w:rsidP="0012612F">
      <w:pPr>
        <w:pStyle w:val="Heading1"/>
        <w:spacing w:line="360" w:lineRule="auto"/>
        <w:jc w:val="both"/>
        <w:rPr>
          <w:rFonts w:ascii="Arial" w:hAnsi="Arial" w:cs="Arial"/>
          <w:b/>
          <w:bCs/>
          <w:color w:val="auto"/>
          <w:sz w:val="22"/>
          <w:szCs w:val="22"/>
        </w:rPr>
      </w:pPr>
      <w:r w:rsidRPr="00DA7F58">
        <w:rPr>
          <w:rFonts w:ascii="Arial" w:hAnsi="Arial" w:cs="Arial"/>
          <w:b/>
          <w:bCs/>
          <w:color w:val="auto"/>
          <w:sz w:val="22"/>
          <w:szCs w:val="22"/>
        </w:rPr>
        <w:t xml:space="preserve">2.1- </w:t>
      </w:r>
      <w:r w:rsidR="0012612F" w:rsidRPr="00DA7F58">
        <w:rPr>
          <w:rFonts w:ascii="Arial" w:hAnsi="Arial" w:cs="Arial"/>
          <w:b/>
          <w:bCs/>
          <w:color w:val="auto"/>
          <w:sz w:val="22"/>
          <w:szCs w:val="22"/>
        </w:rPr>
        <w:t>Compressed Earth Blocks (CEB)</w:t>
      </w:r>
    </w:p>
    <w:p w14:paraId="2A99271D" w14:textId="1A42F3AF" w:rsidR="00654063" w:rsidRPr="00DA7F58" w:rsidRDefault="0012612F" w:rsidP="00DA7F58">
      <w:pPr>
        <w:spacing w:line="240" w:lineRule="auto"/>
        <w:jc w:val="both"/>
        <w:rPr>
          <w:rFonts w:ascii="Arial" w:hAnsi="Arial" w:cs="Arial"/>
          <w:sz w:val="20"/>
          <w:szCs w:val="20"/>
        </w:rPr>
      </w:pPr>
      <w:r w:rsidRPr="00DA7F58">
        <w:rPr>
          <w:rFonts w:ascii="Arial" w:hAnsi="Arial" w:cs="Arial"/>
          <w:sz w:val="20"/>
          <w:szCs w:val="20"/>
          <w:lang w:val="en-US"/>
        </w:rPr>
        <w:t>Compressed Earth Blocks (CEB), also known as BTC (Briques de Terre Compressée BTC in French), are construction materials commonly used in Burkina Faso. They are made from raw earth mixed with a small amount of binder (usually cement) and compressed under high pressure to form solid blocks.</w:t>
      </w:r>
      <w:r w:rsidRPr="00DA7F58">
        <w:rPr>
          <w:rFonts w:ascii="Arial" w:hAnsi="Arial" w:cs="Arial"/>
          <w:sz w:val="20"/>
          <w:szCs w:val="20"/>
          <w:lang w:val="en-US"/>
        </w:rPr>
        <w:br/>
      </w:r>
      <w:r w:rsidRPr="00DA7F58">
        <w:rPr>
          <w:rFonts w:ascii="Arial" w:hAnsi="Arial" w:cs="Arial"/>
          <w:sz w:val="20"/>
          <w:szCs w:val="20"/>
        </w:rPr>
        <w:t xml:space="preserve">Their main characteristics are </w:t>
      </w:r>
      <w:r w:rsidRPr="00DA7F58">
        <w:rPr>
          <w:rFonts w:ascii="Arial" w:hAnsi="Arial" w:cs="Arial"/>
          <w:sz w:val="20"/>
          <w:szCs w:val="20"/>
        </w:rPr>
        <w:fldChar w:fldCharType="begin" w:fldLock="1"/>
      </w:r>
      <w:r w:rsidR="0064484C" w:rsidRPr="00DA7F58">
        <w:rPr>
          <w:rFonts w:ascii="Arial" w:hAnsi="Arial" w:cs="Arial"/>
          <w:sz w:val="20"/>
          <w:szCs w:val="20"/>
        </w:rPr>
        <w:instrText>ADDIN CSL_CITATION {"citationItems":[{"id":"ITEM-1","itemData":{"abstract":"Cet article porte sur la caractérisation thermo-hygro-mécanique des briques en terre compressée (BTC). Une localisation du site d'où est extraite la latérite ainsi qu'une présentation des dispositifs expérimentaux et certains paramètres physiques ont été faite. Avant l'analyse de l'effet de l'eau sur les caractéristiques thermophysiques des briques, une caractérisation minéralogique et géotechnique de la latérite a été proposée. C'est ainsi que les essais de mouillage-séchage, d'absorption d'eau par capillarité et les isothermes de désorption des briques ont été réalisés. Enfin les essais mécaniques proposés ont été porté sur l'effet de l'eau sur les résistances à la compression et à la flexion. Les résultats cette étude ont montré que la conductivité thermique, la diffusivité thermique et l'effusivité thermique augmentent respectivement 71 %, 38 % et 68 % avec la teneur en eau passe de 0,04 à 11,9 %. Les résultats montrent également que les résistances en compression décroissent avec l'augmentation de la teneur en eau des briques. Abstract Evaluation of thermo-hydro-mechanical properties of compressed earth bricks (BTC) from Matourkou quarry in Burkina Faso This article focuses on the thermo-hygro-mechanical characterization of compressed earth bricks (BTC). A location of the site from which the laterite is extracted as well as a presentation of the experimental devices and certain physical parameters were made. Before analyzing the effect of water on the thermophysical characteristics of bricks, a mineralogical and geotechnical characterization of laterite has been proposed. Thus the tests of wetting-drying, water absorption capillarity and desorption isotherms were carried out. Finally, the proposed mechanical tests were focused on the effect of water on the compressive and flexural strengths. The results of this study showed that the thermal conductivity, the thermal diffusivity and the thermal effusivity respectively increase 71 %, 38 % and 68 % with the water content ranging from 0.04 to 11.9 % The results also show that compressive strength decreases with increasing water content of the bricks. 13 Afrique SCIENCE 15(3) (2019) 12-22 Sayouba KABRE et al.","author":[{"dropping-particle":"","family":"Kabre","given":"Sayouba","non-dropping-particle":"","parse-names":false,"suffix":""},{"dropping-particle":"","family":"Ouedraogo","given":"François","non-dropping-particle":"","parse-names":false,"suffix":""},{"dropping-particle":"","family":"Naon","given":"Bétaboalé","non-dropping-particle":"","parse-names":false,"suffix":""},{"dropping-particle":"","family":"Messan","given":"Adamah","non-dropping-particle":"","parse-names":false,"suffix":""},{"dropping-particle":"","family":"Benet","given":"Jean Claude","non-dropping-particle":"","parse-names":false,"suffix":""},{"dropping-particle":"","family":"Zougmore","given":"François","non-dropping-particle":"","parse-names":false,"suffix":""}],"container-title":"Afrique SCIENCE","id":"ITEM-1","issue":"3","issued":{"date-parts":[["2019"]]},"page":"12-22","title":"ISSN 1813-548X, http://www.afriquescience.net Évaluation des propriétés thermo-hydro-mécaniques des briques en terre compressée (BTC) issues de la carrière de Matourkou, au Burkina Faso","type":"article-journal","volume":"15"},"uris":["http://www.mendeley.com/documents/?uuid=f408712c-55de-42d7-b893-f8147f997b99"]}],"mendeley":{"formattedCitation":"(Kabre et al., 2019)","plainTextFormattedCitation":"(Kabre et al., 2019)","previouslyFormattedCitation":"(Kabre et al., 2019)"},"properties":{"noteIndex":0},"schema":"https://github.com/citation-style-language/schema/raw/master/csl-citation.json"}</w:instrText>
      </w:r>
      <w:r w:rsidRPr="00DA7F58">
        <w:rPr>
          <w:rFonts w:ascii="Arial" w:hAnsi="Arial" w:cs="Arial"/>
          <w:sz w:val="20"/>
          <w:szCs w:val="20"/>
        </w:rPr>
        <w:fldChar w:fldCharType="separate"/>
      </w:r>
      <w:r w:rsidR="00645FDF" w:rsidRPr="00DA7F58">
        <w:rPr>
          <w:rFonts w:ascii="Arial" w:hAnsi="Arial" w:cs="Arial"/>
          <w:noProof/>
          <w:sz w:val="20"/>
          <w:szCs w:val="20"/>
        </w:rPr>
        <w:t>(Kabre et al., 2019)</w:t>
      </w:r>
      <w:r w:rsidRPr="00DA7F58">
        <w:rPr>
          <w:rFonts w:ascii="Arial" w:hAnsi="Arial" w:cs="Arial"/>
          <w:sz w:val="20"/>
          <w:szCs w:val="20"/>
        </w:rPr>
        <w:fldChar w:fldCharType="end"/>
      </w:r>
      <w:r w:rsidRPr="00DA7F58">
        <w:rPr>
          <w:rFonts w:ascii="Arial" w:hAnsi="Arial" w:cs="Arial"/>
          <w:sz w:val="20"/>
          <w:szCs w:val="20"/>
        </w:rPr>
        <w:t>:</w:t>
      </w:r>
    </w:p>
    <w:p w14:paraId="1953FC65" w14:textId="7B41D4C8" w:rsidR="0012612F" w:rsidRPr="00DA7F58" w:rsidRDefault="0012612F" w:rsidP="00DA7F58">
      <w:pPr>
        <w:pStyle w:val="ListParagraph"/>
        <w:numPr>
          <w:ilvl w:val="0"/>
          <w:numId w:val="2"/>
        </w:numPr>
        <w:spacing w:line="240" w:lineRule="auto"/>
        <w:jc w:val="both"/>
        <w:rPr>
          <w:rFonts w:ascii="Arial" w:hAnsi="Arial" w:cs="Arial"/>
          <w:sz w:val="20"/>
          <w:szCs w:val="20"/>
          <w:lang w:val="en-US"/>
        </w:rPr>
      </w:pPr>
      <w:r w:rsidRPr="00DA7F58">
        <w:rPr>
          <w:rFonts w:ascii="Arial" w:hAnsi="Arial" w:cs="Arial"/>
          <w:sz w:val="20"/>
          <w:szCs w:val="20"/>
          <w:lang w:val="en-US"/>
        </w:rPr>
        <w:t xml:space="preserve">Compressed earth blocks are made from natural and locally sourced materials, such as soil from the construction site itself, which helps reduce the environmental impact associated with transporting </w:t>
      </w:r>
      <w:r w:rsidR="00780A04" w:rsidRPr="00DA7F58">
        <w:rPr>
          <w:rFonts w:ascii="Arial" w:hAnsi="Arial" w:cs="Arial"/>
          <w:sz w:val="20"/>
          <w:szCs w:val="20"/>
          <w:lang w:val="en-US"/>
        </w:rPr>
        <w:t>materials;</w:t>
      </w:r>
    </w:p>
    <w:p w14:paraId="640056B8" w14:textId="278CFBA9" w:rsidR="0012612F" w:rsidRPr="00DA7F58" w:rsidRDefault="00780A04" w:rsidP="00DA7F58">
      <w:pPr>
        <w:pStyle w:val="ListParagraph"/>
        <w:numPr>
          <w:ilvl w:val="0"/>
          <w:numId w:val="2"/>
        </w:numPr>
        <w:spacing w:line="240" w:lineRule="auto"/>
        <w:jc w:val="both"/>
        <w:rPr>
          <w:rFonts w:ascii="Arial" w:hAnsi="Arial" w:cs="Arial"/>
          <w:sz w:val="20"/>
          <w:szCs w:val="20"/>
          <w:lang w:val="en-US"/>
        </w:rPr>
      </w:pPr>
      <w:r w:rsidRPr="00DA7F58">
        <w:rPr>
          <w:rFonts w:ascii="Arial" w:hAnsi="Arial" w:cs="Arial"/>
          <w:sz w:val="20"/>
          <w:szCs w:val="20"/>
          <w:lang w:val="en-US"/>
        </w:rPr>
        <w:t>CEBs are generally quite durable, especially when they are properly manufactured and maintained. The cement added as a binder improves their resistance to water and wear;</w:t>
      </w:r>
    </w:p>
    <w:p w14:paraId="09F5C33B" w14:textId="4578314A" w:rsidR="00780A04" w:rsidRPr="00DA7F58" w:rsidRDefault="00780A04" w:rsidP="00DA7F58">
      <w:pPr>
        <w:pStyle w:val="ListParagraph"/>
        <w:numPr>
          <w:ilvl w:val="0"/>
          <w:numId w:val="2"/>
        </w:numPr>
        <w:spacing w:line="240" w:lineRule="auto"/>
        <w:jc w:val="both"/>
        <w:rPr>
          <w:rFonts w:ascii="Arial" w:hAnsi="Arial" w:cs="Arial"/>
          <w:sz w:val="20"/>
          <w:szCs w:val="20"/>
          <w:lang w:val="en-US"/>
        </w:rPr>
      </w:pPr>
      <w:r w:rsidRPr="00DA7F58">
        <w:rPr>
          <w:rFonts w:ascii="Arial" w:hAnsi="Arial" w:cs="Arial"/>
          <w:sz w:val="20"/>
          <w:szCs w:val="20"/>
          <w:lang w:val="en-US"/>
        </w:rPr>
        <w:t>compressed earth blocks have interesting thermal insulation properties due to their natural composition and thickness.</w:t>
      </w:r>
    </w:p>
    <w:p w14:paraId="4A6DEA1F" w14:textId="58D4168D" w:rsidR="00780A04" w:rsidRPr="00DA7F58" w:rsidRDefault="00780A04" w:rsidP="00DA7F58">
      <w:pPr>
        <w:spacing w:line="240" w:lineRule="auto"/>
        <w:jc w:val="both"/>
        <w:rPr>
          <w:rFonts w:ascii="Arial" w:hAnsi="Arial" w:cs="Arial"/>
          <w:sz w:val="20"/>
          <w:szCs w:val="20"/>
          <w:lang w:val="en-US"/>
        </w:rPr>
      </w:pPr>
      <w:r w:rsidRPr="00DA7F58">
        <w:rPr>
          <w:rFonts w:ascii="Arial" w:hAnsi="Arial" w:cs="Arial"/>
          <w:sz w:val="20"/>
          <w:szCs w:val="20"/>
          <w:lang w:val="en-US"/>
        </w:rPr>
        <w:t>The use of local and natural materials reduces production costs, making compressed earth blocks more economical compared to other construction materials. In addition, they can be produced locally using simple compression machines, which is especially advantageous in regions with limited financial resources.</w:t>
      </w:r>
      <w:r w:rsidRPr="00DA7F58">
        <w:rPr>
          <w:rFonts w:ascii="Arial" w:hAnsi="Arial" w:cs="Arial"/>
          <w:sz w:val="20"/>
          <w:szCs w:val="20"/>
          <w:lang w:val="en-US"/>
        </w:rPr>
        <w:br/>
        <w:t>The use of local materials and the low energy requirements for manufacturing compressed earth blocks make them compatible with sustainable and environmentally friendly construction approaches.</w:t>
      </w:r>
      <w:r w:rsidRPr="00DA7F58">
        <w:rPr>
          <w:rFonts w:ascii="Arial" w:hAnsi="Arial" w:cs="Arial"/>
          <w:sz w:val="20"/>
          <w:szCs w:val="20"/>
          <w:lang w:val="en-US"/>
        </w:rPr>
        <w:br/>
        <w:t>Given these properties, these materials will be used for insulating the combustion chamber due to the high temperatures generated during biomass combustion. Figure 1 shows the compressed earth blocks used in the construction of our cooker.</w:t>
      </w:r>
    </w:p>
    <w:p w14:paraId="45578FBE" w14:textId="77777777" w:rsidR="00780A04" w:rsidRDefault="00780A04" w:rsidP="00780A04">
      <w:pPr>
        <w:spacing w:line="360" w:lineRule="auto"/>
        <w:jc w:val="both"/>
        <w:rPr>
          <w:rFonts w:ascii="Times New Roman" w:hAnsi="Times New Roman" w:cs="Times New Roman"/>
          <w:lang w:val="en-US"/>
        </w:rPr>
      </w:pPr>
    </w:p>
    <w:p w14:paraId="61B20C56" w14:textId="77777777" w:rsidR="00780A04" w:rsidRDefault="00780A04" w:rsidP="00780A04">
      <w:pPr>
        <w:spacing w:line="360" w:lineRule="auto"/>
        <w:jc w:val="both"/>
        <w:rPr>
          <w:rFonts w:ascii="Times New Roman" w:hAnsi="Times New Roman" w:cs="Times New Roman"/>
          <w:lang w:val="en-US"/>
        </w:rPr>
      </w:pPr>
    </w:p>
    <w:p w14:paraId="63A8AF12" w14:textId="77777777" w:rsidR="00780A04" w:rsidRDefault="00780A04" w:rsidP="00780A04">
      <w:pPr>
        <w:spacing w:line="360" w:lineRule="auto"/>
        <w:jc w:val="both"/>
        <w:rPr>
          <w:rFonts w:ascii="Times New Roman" w:hAnsi="Times New Roman" w:cs="Times New Roman"/>
          <w:lang w:val="en-US"/>
        </w:rPr>
      </w:pPr>
    </w:p>
    <w:p w14:paraId="1C43EED7" w14:textId="77777777" w:rsidR="00780A04" w:rsidRDefault="00780A04" w:rsidP="00780A04">
      <w:pPr>
        <w:spacing w:line="360" w:lineRule="auto"/>
        <w:jc w:val="both"/>
        <w:rPr>
          <w:rFonts w:ascii="Times New Roman" w:hAnsi="Times New Roman" w:cs="Times New Roman"/>
          <w:lang w:val="en-US"/>
        </w:rPr>
      </w:pPr>
    </w:p>
    <w:p w14:paraId="0EBBAA4E" w14:textId="77777777" w:rsidR="00780A04" w:rsidRDefault="00780A04" w:rsidP="00780A04">
      <w:pPr>
        <w:spacing w:line="360" w:lineRule="auto"/>
        <w:jc w:val="both"/>
        <w:rPr>
          <w:rFonts w:ascii="Times New Roman" w:hAnsi="Times New Roman" w:cs="Times New Roman"/>
          <w:lang w:val="en-US"/>
        </w:rPr>
      </w:pPr>
    </w:p>
    <w:tbl>
      <w:tblPr>
        <w:tblStyle w:val="TableGrid"/>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2"/>
      </w:tblGrid>
      <w:tr w:rsidR="00780A04" w14:paraId="6A0184FB" w14:textId="77777777" w:rsidTr="0014763E">
        <w:tc>
          <w:tcPr>
            <w:tcW w:w="9062" w:type="dxa"/>
          </w:tcPr>
          <w:p w14:paraId="719B3307" w14:textId="77777777" w:rsidR="00780A04" w:rsidRDefault="00780A04" w:rsidP="0014763E">
            <w:pPr>
              <w:pStyle w:val="NormalWeb"/>
              <w:spacing w:line="360" w:lineRule="auto"/>
              <w:jc w:val="center"/>
            </w:pPr>
            <w:r>
              <w:rPr>
                <w:noProof/>
              </w:rPr>
              <mc:AlternateContent>
                <mc:Choice Requires="wps">
                  <w:drawing>
                    <wp:anchor distT="0" distB="0" distL="114300" distR="114300" simplePos="0" relativeHeight="251660288" behindDoc="0" locked="0" layoutInCell="1" allowOverlap="1" wp14:anchorId="30E2722B" wp14:editId="7A42AB57">
                      <wp:simplePos x="0" y="0"/>
                      <wp:positionH relativeFrom="column">
                        <wp:posOffset>4457700</wp:posOffset>
                      </wp:positionH>
                      <wp:positionV relativeFrom="paragraph">
                        <wp:posOffset>1338580</wp:posOffset>
                      </wp:positionV>
                      <wp:extent cx="2000250" cy="428625"/>
                      <wp:effectExtent l="0" t="0" r="0" b="0"/>
                      <wp:wrapNone/>
                      <wp:docPr id="293252004" name="Zone de texte 94"/>
                      <wp:cNvGraphicFramePr/>
                      <a:graphic xmlns:a="http://schemas.openxmlformats.org/drawingml/2006/main">
                        <a:graphicData uri="http://schemas.microsoft.com/office/word/2010/wordprocessingShape">
                          <wps:wsp>
                            <wps:cNvSpPr txBox="1"/>
                            <wps:spPr>
                              <a:xfrm>
                                <a:off x="0" y="0"/>
                                <a:ext cx="2000250" cy="428625"/>
                              </a:xfrm>
                              <a:prstGeom prst="rect">
                                <a:avLst/>
                              </a:prstGeom>
                              <a:noFill/>
                              <a:ln w="6350">
                                <a:noFill/>
                              </a:ln>
                            </wps:spPr>
                            <wps:txbx>
                              <w:txbxContent>
                                <w:p w14:paraId="39CC3382" w14:textId="692420F0" w:rsidR="00780A04" w:rsidRPr="00DA7F58" w:rsidRDefault="00780A04" w:rsidP="00780A04">
                                  <w:pPr>
                                    <w:rPr>
                                      <w:rFonts w:ascii="Arial" w:hAnsi="Arial" w:cs="Arial"/>
                                      <w:sz w:val="24"/>
                                      <w:szCs w:val="24"/>
                                    </w:rPr>
                                  </w:pPr>
                                  <w:r w:rsidRPr="00DA7F58">
                                    <w:rPr>
                                      <w:rFonts w:ascii="Arial" w:hAnsi="Arial" w:cs="Arial"/>
                                      <w:lang w:val="en-US"/>
                                    </w:rPr>
                                    <w:t>Compressed earth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E2722B" id="_x0000_t202" coordsize="21600,21600" o:spt="202" path="m,l,21600r21600,l21600,xe">
                      <v:stroke joinstyle="miter"/>
                      <v:path gradientshapeok="t" o:connecttype="rect"/>
                    </v:shapetype>
                    <v:shape id="Zone de texte 94" o:spid="_x0000_s1026" type="#_x0000_t202" style="position:absolute;left:0;text-align:left;margin-left:351pt;margin-top:105.4pt;width:157.5pt;height:33.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" filled="f" stroked="f" strokeweight=".5pt">
                      <v:textbox>
                        <w:txbxContent>
                          <w:p w14:paraId="39CC3382" w14:textId="692420F0" w:rsidR="00780A04" w:rsidRPr="00DA7F58" w:rsidRDefault="00780A04" w:rsidP="00780A04">
                            <w:pPr>
                              <w:rPr>
                                <w:rFonts w:ascii="Arial" w:hAnsi="Arial" w:cs="Arial"/>
                                <w:sz w:val="24"/>
                                <w:szCs w:val="24"/>
                              </w:rPr>
                            </w:pPr>
                            <w:r w:rsidRPr="00DA7F58">
                              <w:rPr>
                                <w:rFonts w:ascii="Arial" w:hAnsi="Arial" w:cs="Arial"/>
                                <w:lang w:val="en-US"/>
                              </w:rPr>
                              <w:t>Compressed earth blocks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AB432FF" wp14:editId="1E154D5C">
                      <wp:simplePos x="0" y="0"/>
                      <wp:positionH relativeFrom="column">
                        <wp:posOffset>2774949</wp:posOffset>
                      </wp:positionH>
                      <wp:positionV relativeFrom="paragraph">
                        <wp:posOffset>652144</wp:posOffset>
                      </wp:positionV>
                      <wp:extent cx="1504950" cy="819150"/>
                      <wp:effectExtent l="38100" t="38100" r="19050" b="19050"/>
                      <wp:wrapNone/>
                      <wp:docPr id="542227138" name="Connecteur droit avec flèche 93"/>
                      <wp:cNvGraphicFramePr/>
                      <a:graphic xmlns:a="http://schemas.openxmlformats.org/drawingml/2006/main">
                        <a:graphicData uri="http://schemas.microsoft.com/office/word/2010/wordprocessingShape">
                          <wps:wsp>
                            <wps:cNvCnPr/>
                            <wps:spPr>
                              <a:xfrm flipH="1" flipV="1">
                                <a:off x="0" y="0"/>
                                <a:ext cx="1504950" cy="819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E589F1C" id="_x0000_t32" coordsize="21600,21600" o:spt="32" o:oned="t" path="m,l21600,21600e" filled="f">
                      <v:path arrowok="t" fillok="f" o:connecttype="none"/>
                      <o:lock v:ext="edit" shapetype="t"/>
                    </v:shapetype>
                    <v:shape id="Connecteur droit avec flèche 93" o:spid="_x0000_s1026" type="#_x0000_t32" style="position:absolute;margin-left:218.5pt;margin-top:51.35pt;width:118.5pt;height:64.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" strokecolor="black [3200]" strokeweight=".5pt">
                      <v:stroke endarrow="block" joinstyle="miter"/>
                    </v:shape>
                  </w:pict>
                </mc:Fallback>
              </mc:AlternateContent>
            </w:r>
            <w:r>
              <w:rPr>
                <w:noProof/>
              </w:rPr>
              <w:drawing>
                <wp:inline distT="0" distB="0" distL="0" distR="0" wp14:anchorId="32458B67" wp14:editId="3101C51C">
                  <wp:extent cx="2238375" cy="1313180"/>
                  <wp:effectExtent l="0" t="0" r="9525" b="1270"/>
                  <wp:docPr id="205062413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48" t="23098" r="4795" b="26320"/>
                          <a:stretch/>
                        </pic:blipFill>
                        <pic:spPr bwMode="auto">
                          <a:xfrm>
                            <a:off x="0" y="0"/>
                            <a:ext cx="2247135" cy="13183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0A04" w14:paraId="557CD41E" w14:textId="77777777" w:rsidTr="0014763E">
        <w:tc>
          <w:tcPr>
            <w:tcW w:w="9062" w:type="dxa"/>
          </w:tcPr>
          <w:p w14:paraId="575791AF" w14:textId="77777777" w:rsidR="00780A04" w:rsidRDefault="00780A04" w:rsidP="00780A04">
            <w:pPr>
              <w:pStyle w:val="NormalWeb"/>
              <w:keepNext/>
              <w:spacing w:line="360" w:lineRule="auto"/>
              <w:jc w:val="center"/>
            </w:pPr>
            <w:r>
              <w:rPr>
                <w:noProof/>
              </w:rPr>
              <mc:AlternateContent>
                <mc:Choice Requires="wps">
                  <w:drawing>
                    <wp:anchor distT="0" distB="0" distL="114300" distR="114300" simplePos="0" relativeHeight="251662336" behindDoc="0" locked="0" layoutInCell="1" allowOverlap="1" wp14:anchorId="2BF3A315" wp14:editId="3CC42349">
                      <wp:simplePos x="0" y="0"/>
                      <wp:positionH relativeFrom="column">
                        <wp:posOffset>4241800</wp:posOffset>
                      </wp:positionH>
                      <wp:positionV relativeFrom="paragraph">
                        <wp:posOffset>69215</wp:posOffset>
                      </wp:positionV>
                      <wp:extent cx="276225" cy="0"/>
                      <wp:effectExtent l="0" t="0" r="0" b="0"/>
                      <wp:wrapNone/>
                      <wp:docPr id="1582255877" name="Connecteur droit 96"/>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558FBD6" id="Connecteur droit 9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34pt,5.45pt" to="355.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B8A8C5F" wp14:editId="1D380516">
                      <wp:simplePos x="0" y="0"/>
                      <wp:positionH relativeFrom="column">
                        <wp:posOffset>3260724</wp:posOffset>
                      </wp:positionH>
                      <wp:positionV relativeFrom="paragraph">
                        <wp:posOffset>50166</wp:posOffset>
                      </wp:positionV>
                      <wp:extent cx="1000125" cy="742950"/>
                      <wp:effectExtent l="38100" t="0" r="28575" b="57150"/>
                      <wp:wrapNone/>
                      <wp:docPr id="1057571762" name="Connecteur droit avec flèche 95"/>
                      <wp:cNvGraphicFramePr/>
                      <a:graphic xmlns:a="http://schemas.openxmlformats.org/drawingml/2006/main">
                        <a:graphicData uri="http://schemas.microsoft.com/office/word/2010/wordprocessingShape">
                          <wps:wsp>
                            <wps:cNvCnPr/>
                            <wps:spPr>
                              <a:xfrm flipH="1">
                                <a:off x="0" y="0"/>
                                <a:ext cx="1000125"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0C4A99" id="Connecteur droit avec flèche 95" o:spid="_x0000_s1026" type="#_x0000_t32" style="position:absolute;margin-left:256.75pt;margin-top:3.95pt;width:78.75pt;height:5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" strokecolor="black [3200]" strokeweight=".5pt">
                      <v:stroke endarrow="block" joinstyle="miter"/>
                    </v:shape>
                  </w:pict>
                </mc:Fallback>
              </mc:AlternateContent>
            </w:r>
            <w:r>
              <w:rPr>
                <w:noProof/>
              </w:rPr>
              <w:drawing>
                <wp:inline distT="0" distB="0" distL="0" distR="0" wp14:anchorId="0927D80A" wp14:editId="73D45313">
                  <wp:extent cx="2257425" cy="2019300"/>
                  <wp:effectExtent l="0" t="0" r="9525" b="0"/>
                  <wp:docPr id="59679995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2019300"/>
                          </a:xfrm>
                          <a:prstGeom prst="rect">
                            <a:avLst/>
                          </a:prstGeom>
                          <a:noFill/>
                          <a:ln>
                            <a:noFill/>
                          </a:ln>
                        </pic:spPr>
                      </pic:pic>
                    </a:graphicData>
                  </a:graphic>
                </wp:inline>
              </w:drawing>
            </w:r>
          </w:p>
        </w:tc>
      </w:tr>
    </w:tbl>
    <w:p w14:paraId="40275892" w14:textId="1C1FFA96" w:rsidR="00780A04" w:rsidRPr="00DA7F58" w:rsidRDefault="00780A04" w:rsidP="00780A04">
      <w:pPr>
        <w:pStyle w:val="Caption"/>
        <w:jc w:val="center"/>
        <w:rPr>
          <w:rFonts w:ascii="Arial" w:hAnsi="Arial" w:cs="Arial"/>
          <w:b/>
          <w:bCs/>
          <w:i w:val="0"/>
          <w:iCs w:val="0"/>
          <w:color w:val="auto"/>
          <w:sz w:val="20"/>
          <w:szCs w:val="20"/>
        </w:rPr>
      </w:pPr>
      <w:r w:rsidRPr="00DA7F58">
        <w:rPr>
          <w:rFonts w:ascii="Arial" w:hAnsi="Arial" w:cs="Arial"/>
          <w:b/>
          <w:bCs/>
          <w:i w:val="0"/>
          <w:iCs w:val="0"/>
          <w:color w:val="auto"/>
          <w:sz w:val="20"/>
          <w:szCs w:val="20"/>
        </w:rPr>
        <w:t xml:space="preserve">Figure </w:t>
      </w:r>
      <w:r w:rsidRPr="00DA7F58">
        <w:rPr>
          <w:rFonts w:ascii="Arial" w:hAnsi="Arial" w:cs="Arial"/>
          <w:b/>
          <w:bCs/>
          <w:i w:val="0"/>
          <w:iCs w:val="0"/>
          <w:color w:val="auto"/>
          <w:sz w:val="20"/>
          <w:szCs w:val="20"/>
        </w:rPr>
        <w:fldChar w:fldCharType="begin"/>
      </w:r>
      <w:r w:rsidRPr="00DA7F58">
        <w:rPr>
          <w:rFonts w:ascii="Arial" w:hAnsi="Arial" w:cs="Arial"/>
          <w:b/>
          <w:bCs/>
          <w:i w:val="0"/>
          <w:iCs w:val="0"/>
          <w:color w:val="auto"/>
          <w:sz w:val="20"/>
          <w:szCs w:val="20"/>
        </w:rPr>
        <w:instrText xml:space="preserve"> SEQ Figure \* ARABIC </w:instrText>
      </w:r>
      <w:r w:rsidRPr="00DA7F58">
        <w:rPr>
          <w:rFonts w:ascii="Arial" w:hAnsi="Arial" w:cs="Arial"/>
          <w:b/>
          <w:bCs/>
          <w:i w:val="0"/>
          <w:iCs w:val="0"/>
          <w:color w:val="auto"/>
          <w:sz w:val="20"/>
          <w:szCs w:val="20"/>
        </w:rPr>
        <w:fldChar w:fldCharType="separate"/>
      </w:r>
      <w:r w:rsidR="009659A3" w:rsidRPr="00DA7F58">
        <w:rPr>
          <w:rFonts w:ascii="Arial" w:hAnsi="Arial" w:cs="Arial"/>
          <w:b/>
          <w:bCs/>
          <w:i w:val="0"/>
          <w:iCs w:val="0"/>
          <w:noProof/>
          <w:color w:val="auto"/>
          <w:sz w:val="20"/>
          <w:szCs w:val="20"/>
        </w:rPr>
        <w:t>1</w:t>
      </w:r>
      <w:r w:rsidRPr="00DA7F58">
        <w:rPr>
          <w:rFonts w:ascii="Arial" w:hAnsi="Arial" w:cs="Arial"/>
          <w:b/>
          <w:bCs/>
          <w:i w:val="0"/>
          <w:iCs w:val="0"/>
          <w:color w:val="auto"/>
          <w:sz w:val="20"/>
          <w:szCs w:val="20"/>
        </w:rPr>
        <w:fldChar w:fldCharType="end"/>
      </w:r>
      <w:r w:rsidRPr="00DA7F58">
        <w:rPr>
          <w:rFonts w:ascii="Arial" w:hAnsi="Arial" w:cs="Arial"/>
          <w:b/>
          <w:bCs/>
          <w:i w:val="0"/>
          <w:iCs w:val="0"/>
          <w:color w:val="auto"/>
          <w:sz w:val="20"/>
          <w:szCs w:val="20"/>
        </w:rPr>
        <w:t xml:space="preserve"> : Compressed earth blocks</w:t>
      </w:r>
    </w:p>
    <w:p w14:paraId="1DD1534F" w14:textId="4AB98832" w:rsidR="00780A04" w:rsidRPr="002C1CC7" w:rsidRDefault="00780A04" w:rsidP="006F0FEC">
      <w:pPr>
        <w:pStyle w:val="Heading1"/>
        <w:spacing w:line="360" w:lineRule="auto"/>
        <w:rPr>
          <w:rFonts w:ascii="Arial" w:hAnsi="Arial" w:cs="Arial"/>
          <w:b/>
          <w:bCs/>
          <w:color w:val="auto"/>
          <w:sz w:val="22"/>
          <w:szCs w:val="22"/>
        </w:rPr>
      </w:pPr>
      <w:r w:rsidRPr="002C1CC7">
        <w:rPr>
          <w:rFonts w:ascii="Arial" w:hAnsi="Arial" w:cs="Arial"/>
          <w:b/>
          <w:bCs/>
          <w:color w:val="auto"/>
          <w:sz w:val="22"/>
          <w:szCs w:val="22"/>
          <w:lang w:val="en-US"/>
        </w:rPr>
        <w:t xml:space="preserve">2.2- </w:t>
      </w:r>
      <w:r w:rsidR="006F0FEC" w:rsidRPr="002C1CC7">
        <w:rPr>
          <w:rFonts w:ascii="Arial" w:hAnsi="Arial" w:cs="Arial"/>
          <w:b/>
          <w:bCs/>
          <w:color w:val="auto"/>
          <w:sz w:val="22"/>
          <w:szCs w:val="22"/>
        </w:rPr>
        <w:t>Glass fiber insulation</w:t>
      </w:r>
    </w:p>
    <w:p w14:paraId="30F4E576" w14:textId="6B14C212" w:rsidR="006F0FEC" w:rsidRPr="002C1CC7" w:rsidRDefault="006F0FEC" w:rsidP="002C1CC7">
      <w:pPr>
        <w:spacing w:line="240" w:lineRule="auto"/>
        <w:jc w:val="both"/>
        <w:rPr>
          <w:rFonts w:ascii="Arial" w:hAnsi="Arial" w:cs="Arial"/>
          <w:sz w:val="20"/>
          <w:szCs w:val="20"/>
          <w:lang w:val="en-US"/>
        </w:rPr>
      </w:pPr>
      <w:r w:rsidRPr="002C1CC7">
        <w:rPr>
          <w:rFonts w:ascii="Arial" w:hAnsi="Arial" w:cs="Arial"/>
          <w:sz w:val="20"/>
          <w:szCs w:val="20"/>
          <w:lang w:val="en-US"/>
        </w:rPr>
        <w:t xml:space="preserve">Glass fiber insulation is a widely used insulating material in the construction industry due to its excellent thermal and acoustic insulation properties </w:t>
      </w:r>
      <w:r w:rsidRPr="002C1CC7">
        <w:rPr>
          <w:rFonts w:ascii="Arial" w:hAnsi="Arial" w:cs="Arial"/>
          <w:sz w:val="20"/>
          <w:szCs w:val="20"/>
        </w:rPr>
        <w:fldChar w:fldCharType="begin" w:fldLock="1"/>
      </w:r>
      <w:r w:rsidR="0064484C" w:rsidRPr="002C1CC7">
        <w:rPr>
          <w:rFonts w:ascii="Arial" w:hAnsi="Arial" w:cs="Arial"/>
          <w:sz w:val="20"/>
          <w:szCs w:val="20"/>
          <w:lang w:val="en-US"/>
        </w:rPr>
        <w:instrText>ADDIN CSL_CITATION {"citationItems":[{"id":"ITEM-1","itemData":{"author":[{"dropping-particle":"","family":"Doumouro","given":"Joris","non-dropping-particle":"","parse-names":false,"suffix":""}],"id":"ITEM-1","issued":{"date-parts":[["2021"]]},"title":"Caractérisation de la laine de verre : étude des transferts de chaleur entre fibres de verre à l ’ échelle micrométrique Joris Doumouro To cite this version : HAL Id : tel-03135212 Caractérisation de la laine de verre : Etude des transferts de chaleur ent","type":"article-journal"},"uris":["http://www.mendeley.com/documents/?uuid=66edc1e2-3dc7-48cb-91f2-e8da3d8f68de"]}],"mendeley":{"formattedCitation":"(Doumouro, 2021)","plainTextFormattedCitation":"(Doumouro, 2021)","previouslyFormattedCitation":"(Doumouro, 2021)"},"properties":{"noteIndex":0},"schema":"https://github.com/citation-style-language/schema/raw/master/csl-citation.json"}</w:instrText>
      </w:r>
      <w:r w:rsidRPr="002C1CC7">
        <w:rPr>
          <w:rFonts w:ascii="Arial" w:hAnsi="Arial" w:cs="Arial"/>
          <w:sz w:val="20"/>
          <w:szCs w:val="20"/>
        </w:rPr>
        <w:fldChar w:fldCharType="separate"/>
      </w:r>
      <w:r w:rsidR="00645FDF" w:rsidRPr="002C1CC7">
        <w:rPr>
          <w:rFonts w:ascii="Arial" w:hAnsi="Arial" w:cs="Arial"/>
          <w:noProof/>
          <w:sz w:val="20"/>
          <w:szCs w:val="20"/>
          <w:lang w:val="en-US"/>
        </w:rPr>
        <w:t>(Doumouro, 2021)</w:t>
      </w:r>
      <w:r w:rsidRPr="002C1CC7">
        <w:rPr>
          <w:rFonts w:ascii="Arial" w:hAnsi="Arial" w:cs="Arial"/>
          <w:sz w:val="20"/>
          <w:szCs w:val="20"/>
        </w:rPr>
        <w:fldChar w:fldCharType="end"/>
      </w:r>
      <w:r w:rsidRPr="002C1CC7">
        <w:rPr>
          <w:rFonts w:ascii="Arial" w:hAnsi="Arial" w:cs="Arial"/>
          <w:sz w:val="20"/>
          <w:szCs w:val="20"/>
          <w:lang w:val="en-US"/>
        </w:rPr>
        <w:t xml:space="preserve">. It is made from sand and recycled glass that are melted at high temperatures to form fine, lightweight fibers. These fibers are then bonded together into panels, rolls, or loose fill to be used in various types of structures and applications </w:t>
      </w:r>
      <w:r w:rsidRPr="002C1CC7">
        <w:rPr>
          <w:rFonts w:ascii="Arial" w:hAnsi="Arial" w:cs="Arial"/>
          <w:sz w:val="20"/>
          <w:szCs w:val="20"/>
        </w:rPr>
        <w:fldChar w:fldCharType="begin" w:fldLock="1"/>
      </w:r>
      <w:r w:rsidR="0064484C" w:rsidRPr="002C1CC7">
        <w:rPr>
          <w:rFonts w:ascii="Arial" w:hAnsi="Arial" w:cs="Arial"/>
          <w:sz w:val="20"/>
          <w:szCs w:val="20"/>
          <w:lang w:val="en-US"/>
        </w:rPr>
        <w:instrText>ADDIN CSL_CITATION {"citationItems":[{"id":"ITEM-1","itemData":{"author":[{"dropping-particle":"","family":"Doumouro","given":"Joris","non-dropping-particle":"","parse-names":false,"suffix":""}],"id":"ITEM-1","issued":{"date-parts":[["2021"]]},"title":"Caractérisation de la laine de verre : étude des transferts de chaleur entre fibres de verre à l ’ échelle micrométrique Joris Doumouro To cite this version : HAL Id : tel-03135212 Caractérisation de la laine de verre : Etude des transferts de chaleur ent","type":"article-journal"},"uris":["http://www.mendeley.com/documents/?uuid=66edc1e2-3dc7-48cb-91f2-e8da3d8f68de"]}],"mendeley":{"formattedCitation":"(Doumouro, 2021)","plainTextFormattedCitation":"(Doumouro, 2021)","previouslyFormattedCitation":"(Doumouro, 2021)"},"properties":{"noteIndex":0},"schema":"https://github.com/citation-style-language/schema/raw/master/csl-citation.json"}</w:instrText>
      </w:r>
      <w:r w:rsidRPr="002C1CC7">
        <w:rPr>
          <w:rFonts w:ascii="Arial" w:hAnsi="Arial" w:cs="Arial"/>
          <w:sz w:val="20"/>
          <w:szCs w:val="20"/>
        </w:rPr>
        <w:fldChar w:fldCharType="separate"/>
      </w:r>
      <w:r w:rsidR="00645FDF" w:rsidRPr="002C1CC7">
        <w:rPr>
          <w:rFonts w:ascii="Arial" w:hAnsi="Arial" w:cs="Arial"/>
          <w:noProof/>
          <w:sz w:val="20"/>
          <w:szCs w:val="20"/>
          <w:lang w:val="en-US"/>
        </w:rPr>
        <w:t>(Doumouro, 2021)</w:t>
      </w:r>
      <w:r w:rsidRPr="002C1CC7">
        <w:rPr>
          <w:rFonts w:ascii="Arial" w:hAnsi="Arial" w:cs="Arial"/>
          <w:sz w:val="20"/>
          <w:szCs w:val="20"/>
        </w:rPr>
        <w:fldChar w:fldCharType="end"/>
      </w:r>
      <w:r w:rsidRPr="002C1CC7">
        <w:rPr>
          <w:rFonts w:ascii="Arial" w:hAnsi="Arial" w:cs="Arial"/>
          <w:sz w:val="20"/>
          <w:szCs w:val="20"/>
          <w:lang w:val="en-US"/>
        </w:rPr>
        <w:t>.</w:t>
      </w:r>
    </w:p>
    <w:p w14:paraId="3FC4F3C6" w14:textId="77777777" w:rsidR="00CB092E" w:rsidRPr="002C1CC7" w:rsidRDefault="006F0FEC" w:rsidP="002C1CC7">
      <w:pPr>
        <w:spacing w:line="240" w:lineRule="auto"/>
        <w:jc w:val="both"/>
        <w:rPr>
          <w:rFonts w:ascii="Arial" w:hAnsi="Arial" w:cs="Arial"/>
          <w:sz w:val="20"/>
          <w:szCs w:val="20"/>
          <w:lang w:val="en-US"/>
        </w:rPr>
      </w:pPr>
      <w:r w:rsidRPr="002C1CC7">
        <w:rPr>
          <w:rFonts w:ascii="Arial" w:hAnsi="Arial" w:cs="Arial"/>
          <w:sz w:val="20"/>
          <w:szCs w:val="20"/>
          <w:lang w:val="en-US"/>
        </w:rPr>
        <w:t>It has a fibrous structure, as shown in Figure 2, which traps air, thereby providing excellent thermal insulation properties. Additionally, being lightweight, it is easy to handle and install, making it a practical choice for insulating various structures without adding excessive weight.</w:t>
      </w:r>
      <w:r w:rsidR="00CB092E" w:rsidRPr="002C1CC7">
        <w:rPr>
          <w:rFonts w:ascii="Arial" w:hAnsi="Arial" w:cs="Arial"/>
          <w:sz w:val="20"/>
          <w:szCs w:val="20"/>
          <w:lang w:val="en-US"/>
        </w:rPr>
        <w:t xml:space="preserve"> </w:t>
      </w:r>
    </w:p>
    <w:p w14:paraId="4DB108B2" w14:textId="56482000" w:rsidR="006F0FEC" w:rsidRPr="002C1CC7" w:rsidRDefault="00CB092E" w:rsidP="002C1CC7">
      <w:pPr>
        <w:spacing w:line="240" w:lineRule="auto"/>
        <w:jc w:val="both"/>
        <w:rPr>
          <w:rFonts w:ascii="Arial" w:hAnsi="Arial" w:cs="Arial"/>
          <w:sz w:val="20"/>
          <w:szCs w:val="20"/>
          <w:lang w:val="en-US"/>
        </w:rPr>
      </w:pPr>
      <w:r w:rsidRPr="002C1CC7">
        <w:rPr>
          <w:rFonts w:ascii="Arial" w:hAnsi="Arial" w:cs="Arial"/>
          <w:sz w:val="20"/>
          <w:szCs w:val="20"/>
          <w:lang w:val="en-US"/>
        </w:rPr>
        <w:t xml:space="preserve">Glass fiber insulation is resistant to most chemicals and does not easily decompose. It does not promote the growth of mold, insects, or rodents, making it a durable material over time. Often made from recycled materials, it helps reduce the amount of glass waste. Additionally, it can be recycled at the end of its use. Its more affordable cost compared to other insulation materials makes it widely used for many applications </w:t>
      </w:r>
      <w:r w:rsidRPr="002C1CC7">
        <w:rPr>
          <w:rFonts w:ascii="Arial" w:hAnsi="Arial" w:cs="Arial"/>
          <w:sz w:val="20"/>
          <w:szCs w:val="20"/>
        </w:rPr>
        <w:fldChar w:fldCharType="begin" w:fldLock="1"/>
      </w:r>
      <w:r w:rsidR="0064484C" w:rsidRPr="002C1CC7">
        <w:rPr>
          <w:rFonts w:ascii="Arial" w:hAnsi="Arial" w:cs="Arial"/>
          <w:sz w:val="20"/>
          <w:szCs w:val="20"/>
          <w:lang w:val="en-US"/>
        </w:rPr>
        <w:instrText>ADDIN CSL_CITATION {"citationItems":[{"id":"ITEM-1","itemData":{"DOI":"10.1016/j.conbuildmat.2023.131876","ISSN":"09500618","abstract":"In present study, the influence of glass wool fiber (GWF) reinforcements and the application of heat resistant paint has been studied on the performance of self-compacting mortar (SCM) at ambient condition and at elevated temperatures of 200 °C, 400 °C, 600 °C, and 800 °C. Sixteen mix designs were prepared for SCM (with 25% fly ash) using GWF reinforcement of 0%, 0.5%, 1%, 1.5%, and varying the effective water to cement (w/c) ratio as; 0.43, 0.49, 0.55, and 0.70. The intrusion of GWF resulted into decrease in slump flow and v-funnel flow speed, increase in yield stress and plastic viscosity, whereas, the influence of effective w/c ratio on rheology of fresh SCM mix was opposite to glass wool fiber (GWF). For all variation of effective w/c ratio and GWF reinforcements, the values of slump flow and v-funnel flow were within the EFNARC limits. Increasing GWF reinforcement and the effective w/c ratio, compressive strength of SCM were decreased, but GWF yielded positive impact on flexural strength. SCM with 1% GWF reinforcements showed best result at effective w/c of 0.43, imparting highest flexural strength of 8.7 MPa. The application of heat resistant coating has shown a significant protection to SCM samples up to the maximum heating temperature of 800 °C by limiting the loss of mechanical strength within small percentage, whereas, the loss of mechanical strength was severe (about 45% to 65%) for uncoated samples. Thermogravimetric (TG) analysis of SCM powder revealed the thermal stability of SCM mix up to 1000 °C and the mass loss occurred correspond to the heating at temperature of 400 °C and 800 °C was 0.3%, and 7.5%, respectively.","author":[{"dropping-particle":"","family":"Bala","given":"Anu","non-dropping-particle":"","parse-names":false,"suffix":""},{"dropping-particle":"","family":"Gupta","given":"Supratic","non-dropping-particle":"","parse-names":false,"suffix":""},{"dropping-particle":"","family":"Matsagar","given":"Vasant","non-dropping-particle":"","parse-names":false,"suffix":""}],"container-title":"Construction and Building Materials","id":"ITEM-1","issue":"May","issued":{"date-parts":[["2023"]]},"page":"131876","publisher":"Elsevier Ltd","title":"Influence of glass wool fiber reinforcement and heat resistant coating on behavior of self-compacting mortar at elevated temperatures","type":"article-journal","volume":"392"},"uris":["http://www.mendeley.com/documents/?uuid=31752ed0-e335-42bd-89fb-966c0469478a"]}],"mendeley":{"formattedCitation":"(Bala et al., 2023)","plainTextFormattedCitation":"(Bala et al., 2023)","previouslyFormattedCitation":"(Bala et al., 2023)"},"properties":{"noteIndex":0},"schema":"https://github.com/citation-style-language/schema/raw/master/csl-citation.json"}</w:instrText>
      </w:r>
      <w:r w:rsidRPr="002C1CC7">
        <w:rPr>
          <w:rFonts w:ascii="Arial" w:hAnsi="Arial" w:cs="Arial"/>
          <w:sz w:val="20"/>
          <w:szCs w:val="20"/>
        </w:rPr>
        <w:fldChar w:fldCharType="separate"/>
      </w:r>
      <w:r w:rsidR="00645FDF" w:rsidRPr="002C1CC7">
        <w:rPr>
          <w:rFonts w:ascii="Arial" w:hAnsi="Arial" w:cs="Arial"/>
          <w:noProof/>
          <w:sz w:val="20"/>
          <w:szCs w:val="20"/>
        </w:rPr>
        <w:t>(Bala et al., 2023)</w:t>
      </w:r>
      <w:r w:rsidRPr="002C1CC7">
        <w:rPr>
          <w:rFonts w:ascii="Arial" w:hAnsi="Arial" w:cs="Arial"/>
          <w:sz w:val="20"/>
          <w:szCs w:val="20"/>
        </w:rPr>
        <w:fldChar w:fldCharType="end"/>
      </w:r>
      <w:r w:rsidRPr="002C1CC7">
        <w:rPr>
          <w:rFonts w:ascii="Arial" w:hAnsi="Arial" w:cs="Arial"/>
          <w:sz w:val="20"/>
          <w:szCs w:val="20"/>
          <w:lang w:val="en-US"/>
        </w:rPr>
        <w:t>.</w:t>
      </w:r>
    </w:p>
    <w:tbl>
      <w:tblPr>
        <w:tblStyle w:val="PlainTable4"/>
        <w:tblW w:w="0" w:type="auto"/>
        <w:tblLook w:val="04A0" w:firstRow="1" w:lastRow="0" w:firstColumn="1" w:lastColumn="0" w:noHBand="0" w:noVBand="1"/>
      </w:tblPr>
      <w:tblGrid>
        <w:gridCol w:w="3606"/>
        <w:gridCol w:w="5466"/>
      </w:tblGrid>
      <w:tr w:rsidR="00CB092E" w14:paraId="6C6B5A50" w14:textId="77777777" w:rsidTr="0014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314F8EFE" w14:textId="77777777" w:rsidR="00CB092E" w:rsidRPr="0025751F" w:rsidRDefault="00CB092E" w:rsidP="0014763E">
            <w:pPr>
              <w:pStyle w:val="NormalWeb"/>
              <w:keepNext/>
              <w:spacing w:line="360" w:lineRule="auto"/>
              <w:jc w:val="both"/>
              <w:rPr>
                <w:b w:val="0"/>
                <w:bCs w:val="0"/>
              </w:rPr>
            </w:pPr>
            <w:r w:rsidRPr="00642F8B">
              <w:rPr>
                <w:noProof/>
              </w:rPr>
              <w:lastRenderedPageBreak/>
              <w:drawing>
                <wp:inline distT="0" distB="0" distL="0" distR="0" wp14:anchorId="6D74AD50" wp14:editId="3029D8D0">
                  <wp:extent cx="2143125" cy="1752600"/>
                  <wp:effectExtent l="0" t="0" r="9525" b="0"/>
                  <wp:docPr id="1514535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5256" name=""/>
                          <pic:cNvPicPr/>
                        </pic:nvPicPr>
                        <pic:blipFill rotWithShape="1">
                          <a:blip r:embed="rId10"/>
                          <a:srcRect t="3158"/>
                          <a:stretch/>
                        </pic:blipFill>
                        <pic:spPr bwMode="auto">
                          <a:xfrm>
                            <a:off x="0" y="0"/>
                            <a:ext cx="2143125" cy="1752600"/>
                          </a:xfrm>
                          <a:prstGeom prst="rect">
                            <a:avLst/>
                          </a:prstGeom>
                          <a:ln>
                            <a:noFill/>
                          </a:ln>
                          <a:extLst>
                            <a:ext uri="{53640926-AAD7-44D8-BBD7-CCE9431645EC}">
                              <a14:shadowObscured xmlns:a14="http://schemas.microsoft.com/office/drawing/2010/main"/>
                            </a:ext>
                          </a:extLst>
                        </pic:spPr>
                      </pic:pic>
                    </a:graphicData>
                  </a:graphic>
                </wp:inline>
              </w:drawing>
            </w:r>
          </w:p>
        </w:tc>
        <w:tc>
          <w:tcPr>
            <w:tcW w:w="5466" w:type="dxa"/>
          </w:tcPr>
          <w:p w14:paraId="542D643D" w14:textId="77777777" w:rsidR="00CB092E" w:rsidRDefault="00CB092E" w:rsidP="00CB092E">
            <w:pPr>
              <w:pStyle w:val="NormalWeb"/>
              <w:keepNext/>
              <w:spacing w:line="360" w:lineRule="auto"/>
              <w:jc w:val="both"/>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506F7C0D" wp14:editId="5FF6EC6B">
                  <wp:extent cx="3324225" cy="1706736"/>
                  <wp:effectExtent l="0" t="0" r="0" b="8255"/>
                  <wp:docPr id="249046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920" b="20855"/>
                          <a:stretch/>
                        </pic:blipFill>
                        <pic:spPr bwMode="auto">
                          <a:xfrm>
                            <a:off x="0" y="0"/>
                            <a:ext cx="3372710" cy="17316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589CBD" w14:textId="17334E10" w:rsidR="00CB092E" w:rsidRPr="002C1CC7" w:rsidRDefault="00CB092E" w:rsidP="00CB092E">
      <w:pPr>
        <w:pStyle w:val="Caption"/>
        <w:jc w:val="center"/>
        <w:rPr>
          <w:rFonts w:ascii="Arial" w:hAnsi="Arial" w:cs="Arial"/>
          <w:b/>
          <w:bCs/>
          <w:i w:val="0"/>
          <w:iCs w:val="0"/>
          <w:color w:val="auto"/>
          <w:sz w:val="22"/>
          <w:szCs w:val="22"/>
          <w:lang w:val="en-US"/>
        </w:rPr>
      </w:pPr>
      <w:r w:rsidRPr="002C1CC7">
        <w:rPr>
          <w:rFonts w:ascii="Arial" w:hAnsi="Arial" w:cs="Arial"/>
          <w:b/>
          <w:bCs/>
          <w:i w:val="0"/>
          <w:iCs w:val="0"/>
          <w:color w:val="auto"/>
          <w:sz w:val="22"/>
          <w:szCs w:val="22"/>
          <w:lang w:val="en-US"/>
        </w:rPr>
        <w:t xml:space="preserve">Figure </w:t>
      </w:r>
      <w:r w:rsidRPr="002C1CC7">
        <w:rPr>
          <w:rFonts w:ascii="Arial" w:hAnsi="Arial" w:cs="Arial"/>
          <w:b/>
          <w:bCs/>
          <w:i w:val="0"/>
          <w:iCs w:val="0"/>
          <w:color w:val="auto"/>
          <w:sz w:val="22"/>
          <w:szCs w:val="22"/>
        </w:rPr>
        <w:fldChar w:fldCharType="begin"/>
      </w:r>
      <w:r w:rsidRPr="002C1CC7">
        <w:rPr>
          <w:rFonts w:ascii="Arial" w:hAnsi="Arial" w:cs="Arial"/>
          <w:b/>
          <w:bCs/>
          <w:i w:val="0"/>
          <w:iCs w:val="0"/>
          <w:color w:val="auto"/>
          <w:sz w:val="22"/>
          <w:szCs w:val="22"/>
          <w:lang w:val="en-US"/>
        </w:rPr>
        <w:instrText xml:space="preserve"> SEQ Figure \* ARABIC </w:instrText>
      </w:r>
      <w:r w:rsidRPr="002C1CC7">
        <w:rPr>
          <w:rFonts w:ascii="Arial" w:hAnsi="Arial" w:cs="Arial"/>
          <w:b/>
          <w:bCs/>
          <w:i w:val="0"/>
          <w:iCs w:val="0"/>
          <w:color w:val="auto"/>
          <w:sz w:val="22"/>
          <w:szCs w:val="22"/>
        </w:rPr>
        <w:fldChar w:fldCharType="separate"/>
      </w:r>
      <w:r w:rsidR="009659A3" w:rsidRPr="002C1CC7">
        <w:rPr>
          <w:rFonts w:ascii="Arial" w:hAnsi="Arial" w:cs="Arial"/>
          <w:b/>
          <w:bCs/>
          <w:i w:val="0"/>
          <w:iCs w:val="0"/>
          <w:noProof/>
          <w:color w:val="auto"/>
          <w:sz w:val="22"/>
          <w:szCs w:val="22"/>
          <w:lang w:val="en-US"/>
        </w:rPr>
        <w:t>2</w:t>
      </w:r>
      <w:r w:rsidRPr="002C1CC7">
        <w:rPr>
          <w:rFonts w:ascii="Arial" w:hAnsi="Arial" w:cs="Arial"/>
          <w:b/>
          <w:bCs/>
          <w:i w:val="0"/>
          <w:iCs w:val="0"/>
          <w:color w:val="auto"/>
          <w:sz w:val="22"/>
          <w:szCs w:val="22"/>
        </w:rPr>
        <w:fldChar w:fldCharType="end"/>
      </w:r>
      <w:r w:rsidRPr="002C1CC7">
        <w:rPr>
          <w:rFonts w:ascii="Arial" w:hAnsi="Arial" w:cs="Arial"/>
          <w:b/>
          <w:bCs/>
          <w:i w:val="0"/>
          <w:iCs w:val="0"/>
          <w:color w:val="auto"/>
          <w:sz w:val="22"/>
          <w:szCs w:val="22"/>
          <w:lang w:val="en-US"/>
        </w:rPr>
        <w:t>: Glass fiber insulation</w:t>
      </w:r>
    </w:p>
    <w:p w14:paraId="2D86C162" w14:textId="0E7AC572" w:rsidR="00CB092E" w:rsidRPr="002C1CC7" w:rsidRDefault="00CB092E" w:rsidP="00CB092E">
      <w:pPr>
        <w:pStyle w:val="Heading1"/>
        <w:spacing w:line="360" w:lineRule="auto"/>
        <w:rPr>
          <w:rFonts w:ascii="Arial" w:hAnsi="Arial" w:cs="Arial"/>
          <w:b/>
          <w:bCs/>
          <w:color w:val="auto"/>
          <w:sz w:val="22"/>
          <w:szCs w:val="22"/>
          <w:lang w:val="en-US"/>
        </w:rPr>
      </w:pPr>
      <w:r w:rsidRPr="002C1CC7">
        <w:rPr>
          <w:rFonts w:ascii="Arial" w:hAnsi="Arial" w:cs="Arial"/>
          <w:b/>
          <w:bCs/>
          <w:color w:val="auto"/>
          <w:sz w:val="22"/>
          <w:szCs w:val="22"/>
          <w:lang w:val="en-US"/>
        </w:rPr>
        <w:t>2.3- Plywood</w:t>
      </w:r>
    </w:p>
    <w:p w14:paraId="7B9DDCD4" w14:textId="499AF4CD" w:rsidR="00CB092E" w:rsidRPr="002C1CC7" w:rsidRDefault="00CB092E" w:rsidP="002C1CC7">
      <w:pPr>
        <w:spacing w:line="240" w:lineRule="auto"/>
        <w:jc w:val="both"/>
        <w:rPr>
          <w:rFonts w:ascii="Arial" w:hAnsi="Arial" w:cs="Arial"/>
          <w:sz w:val="20"/>
          <w:szCs w:val="20"/>
          <w:lang w:val="en-US"/>
        </w:rPr>
      </w:pPr>
      <w:r w:rsidRPr="002C1CC7">
        <w:rPr>
          <w:rFonts w:ascii="Arial" w:hAnsi="Arial" w:cs="Arial"/>
          <w:sz w:val="20"/>
          <w:szCs w:val="20"/>
          <w:lang w:val="en-US"/>
        </w:rPr>
        <w:t>Plywood is a fibrous material widely used, especially in building insulation, due to its low cost and remarkable thermophysical properties. It is easily accessible and has interesting characteristics for thermal insulation in ovens. On the market, plywood is available in thicknesses of 5 mm, 10 mm, 15 mm, and 20 mm. The most commonly used plywood types are birch plywood (Figure 3a) and hardwood plywood (Figure 3b).</w:t>
      </w:r>
    </w:p>
    <w:p w14:paraId="49B1ACE7" w14:textId="0FB7FF2D" w:rsidR="00CB092E" w:rsidRPr="002C1CC7" w:rsidRDefault="00CB092E" w:rsidP="002C1CC7">
      <w:pPr>
        <w:spacing w:line="240" w:lineRule="auto"/>
        <w:jc w:val="both"/>
        <w:rPr>
          <w:rFonts w:ascii="Arial" w:hAnsi="Arial" w:cs="Arial"/>
          <w:sz w:val="20"/>
          <w:szCs w:val="20"/>
          <w:lang w:val="en-US"/>
        </w:rPr>
      </w:pPr>
      <w:r w:rsidRPr="002C1CC7">
        <w:rPr>
          <w:rFonts w:ascii="Arial" w:hAnsi="Arial" w:cs="Arial"/>
          <w:sz w:val="20"/>
          <w:szCs w:val="20"/>
          <w:lang w:val="en-US"/>
        </w:rPr>
        <w:t xml:space="preserve">Plywood, also known as laminated wood, is a construction material made by gluing together multiple thin layers of wood veneers </w:t>
      </w:r>
      <w:r w:rsidR="00C0193F" w:rsidRPr="002C1CC7">
        <w:rPr>
          <w:rFonts w:ascii="Arial" w:hAnsi="Arial" w:cs="Arial"/>
          <w:sz w:val="20"/>
          <w:szCs w:val="20"/>
        </w:rPr>
        <w:fldChar w:fldCharType="begin" w:fldLock="1"/>
      </w:r>
      <w:r w:rsidR="0064484C" w:rsidRPr="002C1CC7">
        <w:rPr>
          <w:rFonts w:ascii="Arial" w:hAnsi="Arial" w:cs="Arial"/>
          <w:sz w:val="20"/>
          <w:szCs w:val="20"/>
          <w:lang w:val="en-US"/>
        </w:rPr>
        <w:instrText>ADDIN CSL_CITATION {"citationItems":[{"id":"ITEM-1","itemData":{"author":[{"dropping-particle":"","family":"BONGARD.","given":"","non-dropping-particle":"","parse-names":false,"suffix":""}],"id":"ITEM-1","issued":{"date-parts":[["2019"]]},"title":"[En ligne]. Available: http://www.bongard.fr. [Accès le 1 septembre 2019].","type":"article-journal"},"uris":["http://www.mendeley.com/documents/?uuid=88bfe374-684b-4736-a4b3-3d6b72a7a5bb"]}],"mendeley":{"formattedCitation":"(BONGARD., 2019)","plainTextFormattedCitation":"(BONGARD., 2019)","previouslyFormattedCitation":"(BONGARD., 2019)"},"properties":{"noteIndex":0},"schema":"https://github.com/citation-style-language/schema/raw/master/csl-citation.json"}</w:instrText>
      </w:r>
      <w:r w:rsidR="00C0193F" w:rsidRPr="002C1CC7">
        <w:rPr>
          <w:rFonts w:ascii="Arial" w:hAnsi="Arial" w:cs="Arial"/>
          <w:sz w:val="20"/>
          <w:szCs w:val="20"/>
        </w:rPr>
        <w:fldChar w:fldCharType="separate"/>
      </w:r>
      <w:r w:rsidR="0064484C" w:rsidRPr="002C1CC7">
        <w:rPr>
          <w:rFonts w:ascii="Arial" w:hAnsi="Arial" w:cs="Arial"/>
          <w:noProof/>
          <w:sz w:val="20"/>
          <w:szCs w:val="20"/>
          <w:lang w:val="en-US"/>
        </w:rPr>
        <w:t>(BONGARD., 2019)</w:t>
      </w:r>
      <w:r w:rsidR="00C0193F" w:rsidRPr="002C1CC7">
        <w:rPr>
          <w:rFonts w:ascii="Arial" w:hAnsi="Arial" w:cs="Arial"/>
          <w:sz w:val="20"/>
          <w:szCs w:val="20"/>
        </w:rPr>
        <w:fldChar w:fldCharType="end"/>
      </w:r>
      <w:r w:rsidR="00C0193F" w:rsidRPr="002C1CC7">
        <w:rPr>
          <w:rFonts w:ascii="Arial" w:hAnsi="Arial" w:cs="Arial"/>
          <w:sz w:val="20"/>
          <w:szCs w:val="20"/>
          <w:lang w:val="en-US"/>
        </w:rPr>
        <w:t>.</w:t>
      </w:r>
    </w:p>
    <w:p w14:paraId="294E06C6" w14:textId="316699D8" w:rsidR="00C0193F" w:rsidRPr="002C1CC7" w:rsidRDefault="00C0193F" w:rsidP="002C1CC7">
      <w:pPr>
        <w:spacing w:line="240" w:lineRule="auto"/>
        <w:jc w:val="both"/>
        <w:rPr>
          <w:rFonts w:ascii="Arial" w:hAnsi="Arial" w:cs="Arial"/>
          <w:sz w:val="20"/>
          <w:szCs w:val="20"/>
          <w:lang w:val="en-US"/>
        </w:rPr>
      </w:pPr>
      <w:r w:rsidRPr="002C1CC7">
        <w:rPr>
          <w:rFonts w:ascii="Arial" w:hAnsi="Arial" w:cs="Arial"/>
          <w:sz w:val="20"/>
          <w:szCs w:val="20"/>
          <w:lang w:val="en-US"/>
        </w:rPr>
        <w:t>Thanks to its cross-layered construction, plywood is more stable and less prone to warping or twisting than solid wood. This makes it an ideal material for applications where dimensional stability is essential, such as furniture making and door manufacturing. Plywood is stronger than solid wood due to its multilayered structure. It can support heavier loads without breaking, which is why it is widely used for flooring, roofing, and other structural applications.</w:t>
      </w:r>
      <w:r w:rsidRPr="002C1CC7">
        <w:rPr>
          <w:rFonts w:ascii="Arial" w:hAnsi="Arial" w:cs="Arial"/>
          <w:sz w:val="20"/>
          <w:szCs w:val="20"/>
          <w:lang w:val="en-US"/>
        </w:rPr>
        <w:br/>
        <w:t>Some types of plywood are designed to be moisture-resistant and are suitable for outdoor use and environments with frequent water exposure.</w:t>
      </w:r>
    </w:p>
    <w:p w14:paraId="25C463F6" w14:textId="5565467D" w:rsidR="00C0193F" w:rsidRPr="002C1CC7" w:rsidRDefault="00C0193F" w:rsidP="002C1CC7">
      <w:pPr>
        <w:spacing w:line="240" w:lineRule="auto"/>
        <w:jc w:val="both"/>
        <w:rPr>
          <w:rFonts w:ascii="Arial" w:hAnsi="Arial" w:cs="Arial"/>
          <w:sz w:val="20"/>
          <w:szCs w:val="20"/>
          <w:lang w:val="en-US"/>
        </w:rPr>
      </w:pPr>
      <w:r w:rsidRPr="002C1CC7">
        <w:rPr>
          <w:rFonts w:ascii="Arial" w:hAnsi="Arial" w:cs="Arial"/>
          <w:sz w:val="20"/>
          <w:szCs w:val="20"/>
          <w:lang w:val="en-US"/>
        </w:rPr>
        <w:t>With these advantages, using plywood for the construction of the solar box in our cooker offers several benefits, including effective thermal insulation, versatility in use, and affordability.</w:t>
      </w:r>
    </w:p>
    <w:tbl>
      <w:tblPr>
        <w:tblStyle w:val="PlainTable4"/>
        <w:tblW w:w="0" w:type="auto"/>
        <w:tblLook w:val="04A0" w:firstRow="1" w:lastRow="0" w:firstColumn="1" w:lastColumn="0" w:noHBand="0" w:noVBand="1"/>
      </w:tblPr>
      <w:tblGrid>
        <w:gridCol w:w="4836"/>
        <w:gridCol w:w="4236"/>
      </w:tblGrid>
      <w:tr w:rsidR="00C0193F" w14:paraId="45E6EF85" w14:textId="77777777" w:rsidTr="008D1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239CE00C" w14:textId="77777777" w:rsidR="00C0193F" w:rsidRPr="002C1CC7" w:rsidRDefault="00C0193F" w:rsidP="00C0193F">
            <w:pPr>
              <w:keepNext/>
              <w:spacing w:line="360" w:lineRule="auto"/>
              <w:jc w:val="both"/>
              <w:rPr>
                <w:rFonts w:ascii="Arial" w:hAnsi="Arial" w:cs="Arial"/>
              </w:rPr>
            </w:pPr>
            <w:r w:rsidRPr="002C1CC7">
              <w:rPr>
                <w:rFonts w:ascii="Arial" w:hAnsi="Arial" w:cs="Arial"/>
                <w:noProof/>
              </w:rPr>
              <w:drawing>
                <wp:inline distT="0" distB="0" distL="0" distR="0" wp14:anchorId="477F91F0" wp14:editId="040E8F1D">
                  <wp:extent cx="2933700" cy="1866900"/>
                  <wp:effectExtent l="0" t="0" r="0" b="0"/>
                  <wp:docPr id="255426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26810" name=""/>
                          <pic:cNvPicPr/>
                        </pic:nvPicPr>
                        <pic:blipFill>
                          <a:blip r:embed="rId12"/>
                          <a:stretch>
                            <a:fillRect/>
                          </a:stretch>
                        </pic:blipFill>
                        <pic:spPr>
                          <a:xfrm>
                            <a:off x="0" y="0"/>
                            <a:ext cx="2933700" cy="1866900"/>
                          </a:xfrm>
                          <a:prstGeom prst="rect">
                            <a:avLst/>
                          </a:prstGeom>
                        </pic:spPr>
                      </pic:pic>
                    </a:graphicData>
                  </a:graphic>
                </wp:inline>
              </w:drawing>
            </w:r>
          </w:p>
          <w:p w14:paraId="14887C2F" w14:textId="39B177A6" w:rsidR="00C0193F" w:rsidRPr="002C1CC7" w:rsidRDefault="00C0193F" w:rsidP="00C0193F">
            <w:pPr>
              <w:pStyle w:val="Caption"/>
              <w:jc w:val="center"/>
              <w:rPr>
                <w:rFonts w:ascii="Arial" w:hAnsi="Arial" w:cs="Arial"/>
                <w:i w:val="0"/>
                <w:iCs w:val="0"/>
                <w:sz w:val="22"/>
                <w:szCs w:val="22"/>
                <w:lang w:val="en-US"/>
              </w:rPr>
            </w:pPr>
            <w:r w:rsidRPr="002C1CC7">
              <w:rPr>
                <w:rFonts w:ascii="Arial" w:hAnsi="Arial" w:cs="Arial"/>
                <w:i w:val="0"/>
                <w:iCs w:val="0"/>
                <w:color w:val="auto"/>
                <w:sz w:val="22"/>
                <w:szCs w:val="22"/>
                <w:lang w:val="en-US"/>
              </w:rPr>
              <w:t xml:space="preserve">Figure </w:t>
            </w:r>
            <w:r w:rsidRPr="002C1CC7">
              <w:rPr>
                <w:rFonts w:ascii="Arial" w:hAnsi="Arial" w:cs="Arial"/>
                <w:i w:val="0"/>
                <w:iCs w:val="0"/>
                <w:color w:val="auto"/>
                <w:sz w:val="22"/>
                <w:szCs w:val="22"/>
              </w:rPr>
              <w:fldChar w:fldCharType="begin"/>
            </w:r>
            <w:r w:rsidRPr="002C1CC7">
              <w:rPr>
                <w:rFonts w:ascii="Arial" w:hAnsi="Arial" w:cs="Arial"/>
                <w:i w:val="0"/>
                <w:iCs w:val="0"/>
                <w:color w:val="auto"/>
                <w:sz w:val="22"/>
                <w:szCs w:val="22"/>
                <w:lang w:val="en-US"/>
              </w:rPr>
              <w:instrText xml:space="preserve"> SEQ Figure \* ARABIC </w:instrText>
            </w:r>
            <w:r w:rsidRPr="002C1CC7">
              <w:rPr>
                <w:rFonts w:ascii="Arial" w:hAnsi="Arial" w:cs="Arial"/>
                <w:i w:val="0"/>
                <w:iCs w:val="0"/>
                <w:color w:val="auto"/>
                <w:sz w:val="22"/>
                <w:szCs w:val="22"/>
              </w:rPr>
              <w:fldChar w:fldCharType="separate"/>
            </w:r>
            <w:r w:rsidR="009659A3" w:rsidRPr="002C1CC7">
              <w:rPr>
                <w:rFonts w:ascii="Arial" w:hAnsi="Arial" w:cs="Arial"/>
                <w:i w:val="0"/>
                <w:iCs w:val="0"/>
                <w:noProof/>
                <w:color w:val="auto"/>
                <w:sz w:val="22"/>
                <w:szCs w:val="22"/>
                <w:lang w:val="en-US"/>
              </w:rPr>
              <w:t>3</w:t>
            </w:r>
            <w:r w:rsidRPr="002C1CC7">
              <w:rPr>
                <w:rFonts w:ascii="Arial" w:hAnsi="Arial" w:cs="Arial"/>
                <w:i w:val="0"/>
                <w:iCs w:val="0"/>
                <w:color w:val="auto"/>
                <w:sz w:val="22"/>
                <w:szCs w:val="22"/>
              </w:rPr>
              <w:fldChar w:fldCharType="end"/>
            </w:r>
            <w:r w:rsidRPr="002C1CC7">
              <w:rPr>
                <w:rFonts w:ascii="Arial" w:hAnsi="Arial" w:cs="Arial"/>
                <w:i w:val="0"/>
                <w:iCs w:val="0"/>
                <w:color w:val="auto"/>
                <w:sz w:val="22"/>
                <w:szCs w:val="22"/>
                <w:lang w:val="en-US"/>
              </w:rPr>
              <w:t>. a : Plywood</w:t>
            </w:r>
            <w:bookmarkStart w:id="1" w:name="_Toc183642411"/>
            <w:r w:rsidRPr="002C1CC7">
              <w:rPr>
                <w:rFonts w:ascii="Arial" w:hAnsi="Arial" w:cs="Arial"/>
                <w:i w:val="0"/>
                <w:iCs w:val="0"/>
                <w:color w:val="auto"/>
                <w:sz w:val="22"/>
                <w:szCs w:val="22"/>
                <w:lang w:val="en-US"/>
              </w:rPr>
              <w:t xml:space="preserve"> </w:t>
            </w:r>
            <w:r w:rsidRPr="002C1CC7">
              <w:rPr>
                <w:rFonts w:ascii="Arial" w:hAnsi="Arial" w:cs="Arial"/>
                <w:i w:val="0"/>
                <w:iCs w:val="0"/>
                <w:color w:val="auto"/>
                <w:sz w:val="22"/>
                <w:szCs w:val="22"/>
              </w:rPr>
              <w:fldChar w:fldCharType="begin" w:fldLock="1"/>
            </w:r>
            <w:r w:rsidR="0064484C" w:rsidRPr="002C1CC7">
              <w:rPr>
                <w:rFonts w:ascii="Arial" w:hAnsi="Arial" w:cs="Arial"/>
                <w:i w:val="0"/>
                <w:iCs w:val="0"/>
                <w:color w:val="auto"/>
                <w:sz w:val="22"/>
                <w:szCs w:val="22"/>
                <w:lang w:val="en-US"/>
              </w:rPr>
              <w:instrText>ADDIN CSL_CITATION {"citationItems":[{"id":"ITEM-1","itemData":{"author":[{"dropping-particle":"","family":"BONGARD.","given":"","non-dropping-particle":"","parse-names":false,"suffix":""}],"id":"ITEM-1","issued":{"date-parts":[["2019"]]},"title":"[En ligne]. Available: http://www.bongard.fr. [Accès le 1 septembre 2019].","type":"article-journal"},"uris":["http://www.mendeley.com/documents/?uuid=88bfe374-684b-4736-a4b3-3d6b72a7a5bb"]}],"mendeley":{"formattedCitation":"(BONGARD., 2019)","plainTextFormattedCitation":"(BONGARD., 2019)","previouslyFormattedCitation":"(BONGARD., 2019)"},"properties":{"noteIndex":0},"schema":"https://github.com/citation-style-language/schema/raw/master/csl-citation.json"}</w:instrText>
            </w:r>
            <w:r w:rsidRPr="002C1CC7">
              <w:rPr>
                <w:rFonts w:ascii="Arial" w:hAnsi="Arial" w:cs="Arial"/>
                <w:i w:val="0"/>
                <w:iCs w:val="0"/>
                <w:color w:val="auto"/>
                <w:sz w:val="22"/>
                <w:szCs w:val="22"/>
              </w:rPr>
              <w:fldChar w:fldCharType="separate"/>
            </w:r>
            <w:bookmarkEnd w:id="1"/>
            <w:r w:rsidR="0064484C" w:rsidRPr="002C1CC7">
              <w:rPr>
                <w:rFonts w:ascii="Arial" w:hAnsi="Arial" w:cs="Arial"/>
                <w:i w:val="0"/>
                <w:iCs w:val="0"/>
                <w:noProof/>
                <w:color w:val="auto"/>
                <w:sz w:val="22"/>
                <w:szCs w:val="22"/>
                <w:lang w:val="en-US"/>
              </w:rPr>
              <w:t>(BONGARD., 2019)</w:t>
            </w:r>
            <w:r w:rsidRPr="002C1CC7">
              <w:rPr>
                <w:rFonts w:ascii="Arial" w:hAnsi="Arial" w:cs="Arial"/>
                <w:i w:val="0"/>
                <w:iCs w:val="0"/>
                <w:color w:val="auto"/>
                <w:sz w:val="22"/>
                <w:szCs w:val="22"/>
              </w:rPr>
              <w:fldChar w:fldCharType="end"/>
            </w:r>
          </w:p>
        </w:tc>
        <w:tc>
          <w:tcPr>
            <w:tcW w:w="4236" w:type="dxa"/>
          </w:tcPr>
          <w:p w14:paraId="5310C874" w14:textId="77777777" w:rsidR="00C0193F" w:rsidRPr="002C1CC7" w:rsidRDefault="00C0193F" w:rsidP="0014763E">
            <w:pPr>
              <w:keepNext/>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2C1CC7">
              <w:rPr>
                <w:rFonts w:ascii="Arial" w:hAnsi="Arial" w:cs="Arial"/>
                <w:noProof/>
              </w:rPr>
              <mc:AlternateContent>
                <mc:Choice Requires="wps">
                  <w:drawing>
                    <wp:anchor distT="0" distB="0" distL="114300" distR="114300" simplePos="0" relativeHeight="251664384" behindDoc="0" locked="0" layoutInCell="1" allowOverlap="1" wp14:anchorId="3D9506BB" wp14:editId="4854297E">
                      <wp:simplePos x="0" y="0"/>
                      <wp:positionH relativeFrom="column">
                        <wp:posOffset>37465</wp:posOffset>
                      </wp:positionH>
                      <wp:positionV relativeFrom="paragraph">
                        <wp:posOffset>1925955</wp:posOffset>
                      </wp:positionV>
                      <wp:extent cx="3028950" cy="295275"/>
                      <wp:effectExtent l="0" t="0" r="0" b="0"/>
                      <wp:wrapNone/>
                      <wp:docPr id="980354170" name="Zone de texte 105"/>
                      <wp:cNvGraphicFramePr/>
                      <a:graphic xmlns:a="http://schemas.openxmlformats.org/drawingml/2006/main">
                        <a:graphicData uri="http://schemas.microsoft.com/office/word/2010/wordprocessingShape">
                          <wps:wsp>
                            <wps:cNvSpPr txBox="1"/>
                            <wps:spPr>
                              <a:xfrm>
                                <a:off x="0" y="0"/>
                                <a:ext cx="3028950" cy="295275"/>
                              </a:xfrm>
                              <a:prstGeom prst="rect">
                                <a:avLst/>
                              </a:prstGeom>
                              <a:noFill/>
                              <a:ln w="6350">
                                <a:noFill/>
                              </a:ln>
                            </wps:spPr>
                            <wps:txbx>
                              <w:txbxContent>
                                <w:p w14:paraId="16EC9405" w14:textId="06676D9D" w:rsidR="00C0193F" w:rsidRPr="002C1CC7" w:rsidRDefault="00C0193F" w:rsidP="00C0193F">
                                  <w:pPr>
                                    <w:rPr>
                                      <w:rFonts w:ascii="Arial" w:hAnsi="Arial" w:cs="Arial"/>
                                      <w:b/>
                                      <w:bCs/>
                                      <w:lang w:val="en-US"/>
                                    </w:rPr>
                                  </w:pPr>
                                  <w:r w:rsidRPr="002C1CC7">
                                    <w:rPr>
                                      <w:rFonts w:ascii="Arial" w:hAnsi="Arial" w:cs="Arial"/>
                                      <w:b/>
                                      <w:bCs/>
                                      <w:lang w:val="en-US"/>
                                    </w:rPr>
                                    <w:t>Figure 3.b : Plywood</w:t>
                                  </w:r>
                                  <w:r w:rsidRPr="002C1CC7">
                                    <w:rPr>
                                      <w:rFonts w:ascii="Arial" w:hAnsi="Arial" w:cs="Arial"/>
                                      <w:b/>
                                      <w:bCs/>
                                      <w:i/>
                                      <w:iCs/>
                                      <w:lang w:val="en-US"/>
                                    </w:rPr>
                                    <w:t xml:space="preserve"> </w:t>
                                  </w:r>
                                  <w:r w:rsidRPr="002C1CC7">
                                    <w:rPr>
                                      <w:rFonts w:ascii="Arial" w:hAnsi="Arial" w:cs="Arial"/>
                                      <w:b/>
                                      <w:bCs/>
                                      <w:i/>
                                      <w:iCs/>
                                    </w:rPr>
                                    <w:fldChar w:fldCharType="begin" w:fldLock="1"/>
                                  </w:r>
                                  <w:r w:rsidR="0064484C" w:rsidRPr="002C1CC7">
                                    <w:rPr>
                                      <w:rFonts w:ascii="Arial" w:hAnsi="Arial" w:cs="Arial"/>
                                      <w:b/>
                                      <w:bCs/>
                                      <w:lang w:val="en-US"/>
                                    </w:rPr>
                                    <w:instrText>ADDIN CSL_CITATION {"citationItems":[{"id":"ITEM-1","itemData":{"author":[{"dropping-particle":"","family":"BONGARD.","given":"","non-dropping-particle":"","parse-names":false,"suffix":""}],"id":"ITEM-1","issued":{"date-parts":[["2019"]]},"title":"[En ligne]. Available: http://www.bongard.fr. [Accès le 1 septembre 2019].","type":"article-journal"},"uris":["http://www.mendeley.com/documents/?uuid=88bfe374-684b-4736-a4b3-3d6b72a7a5bb"]}],"mendeley":{"formattedCitation":"(BONGARD., 2019)","plainTextFormattedCitation":"(BONGARD., 2019)","previouslyFormattedCitation":"(BONGARD., 2019)"},"properties":{"noteIndex":0},"schema":"https://github.com/citation-style-language/schema/raw/master/csl-citation.json"}</w:instrText>
                                  </w:r>
                                  <w:r w:rsidRPr="002C1CC7">
                                    <w:rPr>
                                      <w:rFonts w:ascii="Arial" w:hAnsi="Arial" w:cs="Arial"/>
                                      <w:b/>
                                      <w:bCs/>
                                      <w:i/>
                                      <w:iCs/>
                                    </w:rPr>
                                    <w:fldChar w:fldCharType="separate"/>
                                  </w:r>
                                  <w:r w:rsidR="0064484C" w:rsidRPr="002C1CC7">
                                    <w:rPr>
                                      <w:rFonts w:ascii="Arial" w:hAnsi="Arial" w:cs="Arial"/>
                                      <w:b/>
                                      <w:bCs/>
                                      <w:noProof/>
                                      <w:lang w:val="en-US"/>
                                    </w:rPr>
                                    <w:t>(BONGARD., 2019)</w:t>
                                  </w:r>
                                  <w:r w:rsidRPr="002C1CC7">
                                    <w:rPr>
                                      <w:rFonts w:ascii="Arial" w:hAnsi="Arial" w:cs="Arial"/>
                                      <w:b/>
                                      <w:bCs/>
                                      <w:i/>
                                      <w:i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506BB" id="Zone de texte 105" o:spid="_x0000_s1027" type="#_x0000_t202" style="position:absolute;left:0;text-align:left;margin-left:2.95pt;margin-top:151.65pt;width:238.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" filled="f" stroked="f" strokeweight=".5pt">
                      <v:textbox>
                        <w:txbxContent>
                          <w:p w14:paraId="16EC9405" w14:textId="06676D9D" w:rsidR="00C0193F" w:rsidRPr="002C1CC7" w:rsidRDefault="00C0193F" w:rsidP="00C0193F">
                            <w:pPr>
                              <w:rPr>
                                <w:rFonts w:ascii="Arial" w:hAnsi="Arial" w:cs="Arial"/>
                                <w:b/>
                                <w:bCs/>
                                <w:lang w:val="en-US"/>
                              </w:rPr>
                            </w:pPr>
                            <w:r w:rsidRPr="002C1CC7">
                              <w:rPr>
                                <w:rFonts w:ascii="Arial" w:hAnsi="Arial" w:cs="Arial"/>
                                <w:b/>
                                <w:bCs/>
                                <w:lang w:val="en-US"/>
                              </w:rPr>
                              <w:t>Figure 3.b : Plywood</w:t>
                            </w:r>
                            <w:r w:rsidRPr="002C1CC7">
                              <w:rPr>
                                <w:rFonts w:ascii="Arial" w:hAnsi="Arial" w:cs="Arial"/>
                                <w:b/>
                                <w:bCs/>
                                <w:i/>
                                <w:iCs/>
                                <w:lang w:val="en-US"/>
                              </w:rPr>
                              <w:t xml:space="preserve"> </w:t>
                            </w:r>
                            <w:r w:rsidRPr="002C1CC7">
                              <w:rPr>
                                <w:rFonts w:ascii="Arial" w:hAnsi="Arial" w:cs="Arial"/>
                                <w:b/>
                                <w:bCs/>
                                <w:i/>
                                <w:iCs/>
                              </w:rPr>
                              <w:fldChar w:fldCharType="begin" w:fldLock="1"/>
                            </w:r>
                            <w:r w:rsidR="0064484C" w:rsidRPr="002C1CC7">
                              <w:rPr>
                                <w:rFonts w:ascii="Arial" w:hAnsi="Arial" w:cs="Arial"/>
                                <w:b/>
                                <w:bCs/>
                                <w:lang w:val="en-US"/>
                              </w:rPr>
                              <w:instrText>ADDIN CSL_CITATION {"citationItems":[{"id":"ITEM-1","itemData":{"author":[{"dropping-particle":"","family":"BONGARD.","given":"","non-dropping-particle":"","parse-names":false,"suffix":""}],"id":"ITEM-1","issued":{"date-parts":[["2019"]]},"title":"[En ligne]. Available: http://www.bongard.fr. [Accès le 1 septembre 2019].","type":"article-journal"},"uris":["http://www.mendeley.com/documents/?uuid=88bfe374-684b-4736-a4b3-3d6b72a7a5bb"]}],"mendeley":{"formattedCitation":"(BONGARD., 2019)","plainTextFormattedCitation":"(BONGARD., 2019)","previouslyFormattedCitation":"(BONGARD., 2019)"},"properties":{"noteIndex":0},"schema":"https://github.com/citation-style-language/schema/raw/master/csl-citation.json"}</w:instrText>
                            </w:r>
                            <w:r w:rsidRPr="002C1CC7">
                              <w:rPr>
                                <w:rFonts w:ascii="Arial" w:hAnsi="Arial" w:cs="Arial"/>
                                <w:b/>
                                <w:bCs/>
                                <w:i/>
                                <w:iCs/>
                              </w:rPr>
                              <w:fldChar w:fldCharType="separate"/>
                            </w:r>
                            <w:r w:rsidR="0064484C" w:rsidRPr="002C1CC7">
                              <w:rPr>
                                <w:rFonts w:ascii="Arial" w:hAnsi="Arial" w:cs="Arial"/>
                                <w:b/>
                                <w:bCs/>
                                <w:noProof/>
                                <w:lang w:val="en-US"/>
                              </w:rPr>
                              <w:t>(BONGARD., 2019)</w:t>
                            </w:r>
                            <w:r w:rsidRPr="002C1CC7">
                              <w:rPr>
                                <w:rFonts w:ascii="Arial" w:hAnsi="Arial" w:cs="Arial"/>
                                <w:b/>
                                <w:bCs/>
                                <w:i/>
                                <w:iCs/>
                              </w:rPr>
                              <w:fldChar w:fldCharType="end"/>
                            </w:r>
                          </w:p>
                        </w:txbxContent>
                      </v:textbox>
                    </v:shape>
                  </w:pict>
                </mc:Fallback>
              </mc:AlternateContent>
            </w:r>
            <w:r w:rsidRPr="002C1CC7">
              <w:rPr>
                <w:rFonts w:ascii="Arial" w:hAnsi="Arial" w:cs="Arial"/>
                <w:noProof/>
              </w:rPr>
              <w:drawing>
                <wp:inline distT="0" distB="0" distL="0" distR="0" wp14:anchorId="60A797F7" wp14:editId="187DD38C">
                  <wp:extent cx="2038350" cy="1838325"/>
                  <wp:effectExtent l="0" t="0" r="0" b="9525"/>
                  <wp:docPr id="4340203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20399" name=""/>
                          <pic:cNvPicPr/>
                        </pic:nvPicPr>
                        <pic:blipFill>
                          <a:blip r:embed="rId13"/>
                          <a:stretch>
                            <a:fillRect/>
                          </a:stretch>
                        </pic:blipFill>
                        <pic:spPr>
                          <a:xfrm>
                            <a:off x="0" y="0"/>
                            <a:ext cx="2038350" cy="1838325"/>
                          </a:xfrm>
                          <a:prstGeom prst="rect">
                            <a:avLst/>
                          </a:prstGeom>
                        </pic:spPr>
                      </pic:pic>
                    </a:graphicData>
                  </a:graphic>
                </wp:inline>
              </w:drawing>
            </w:r>
          </w:p>
        </w:tc>
      </w:tr>
    </w:tbl>
    <w:p w14:paraId="4EA123F0" w14:textId="6C43137C" w:rsidR="00C0193F" w:rsidRPr="002C1CC7" w:rsidRDefault="008D1CE4" w:rsidP="008D1CE4">
      <w:pPr>
        <w:pStyle w:val="Heading1"/>
        <w:numPr>
          <w:ilvl w:val="0"/>
          <w:numId w:val="1"/>
        </w:numPr>
        <w:spacing w:line="360" w:lineRule="auto"/>
        <w:rPr>
          <w:rFonts w:ascii="Arial" w:hAnsi="Arial" w:cs="Arial"/>
          <w:b/>
          <w:bCs/>
          <w:color w:val="auto"/>
          <w:sz w:val="22"/>
          <w:szCs w:val="22"/>
          <w:lang w:val="en-US"/>
        </w:rPr>
      </w:pPr>
      <w:r w:rsidRPr="002C1CC7">
        <w:rPr>
          <w:rFonts w:ascii="Arial" w:hAnsi="Arial" w:cs="Arial"/>
          <w:b/>
          <w:bCs/>
          <w:color w:val="auto"/>
          <w:sz w:val="22"/>
          <w:szCs w:val="22"/>
          <w:lang w:val="en-US"/>
        </w:rPr>
        <w:t>D</w:t>
      </w:r>
      <w:r w:rsidR="00671FD8">
        <w:rPr>
          <w:rFonts w:ascii="Arial" w:hAnsi="Arial" w:cs="Arial"/>
          <w:b/>
          <w:bCs/>
          <w:color w:val="auto"/>
          <w:sz w:val="22"/>
          <w:szCs w:val="22"/>
          <w:lang w:val="en-US"/>
        </w:rPr>
        <w:t>ETERMINATION OF THE THERMAL PROPERTIES OF MATERIALS</w:t>
      </w:r>
    </w:p>
    <w:p w14:paraId="7FEC315F" w14:textId="1071007A" w:rsidR="008D1CE4" w:rsidRPr="002C1CC7" w:rsidRDefault="008D1CE4" w:rsidP="002C1CC7">
      <w:pPr>
        <w:spacing w:line="240" w:lineRule="auto"/>
        <w:jc w:val="both"/>
        <w:rPr>
          <w:rFonts w:ascii="Arial" w:hAnsi="Arial" w:cs="Arial"/>
          <w:sz w:val="20"/>
          <w:szCs w:val="20"/>
          <w:lang w:val="en-US"/>
        </w:rPr>
      </w:pPr>
      <w:r w:rsidRPr="002C1CC7">
        <w:rPr>
          <w:rFonts w:ascii="Arial" w:hAnsi="Arial" w:cs="Arial"/>
          <w:sz w:val="20"/>
          <w:szCs w:val="20"/>
          <w:lang w:val="en-US"/>
        </w:rPr>
        <w:t xml:space="preserve">In addition to the already known thermal properties of the materials used, we determine other thermal properties using the KD2 Pro analyzer. </w:t>
      </w:r>
    </w:p>
    <w:p w14:paraId="149D0495" w14:textId="18D9FC21" w:rsidR="008D1CE4" w:rsidRPr="002C1CC7" w:rsidRDefault="008D1CE4" w:rsidP="002C1CC7">
      <w:pPr>
        <w:spacing w:line="240" w:lineRule="auto"/>
        <w:jc w:val="both"/>
        <w:rPr>
          <w:rFonts w:ascii="Arial" w:hAnsi="Arial" w:cs="Arial"/>
          <w:sz w:val="20"/>
          <w:szCs w:val="20"/>
          <w:lang w:val="en-US"/>
        </w:rPr>
      </w:pPr>
      <w:r w:rsidRPr="002C1CC7">
        <w:rPr>
          <w:rFonts w:ascii="Arial" w:hAnsi="Arial" w:cs="Arial"/>
          <w:sz w:val="20"/>
          <w:szCs w:val="20"/>
          <w:lang w:val="en-US"/>
        </w:rPr>
        <w:t xml:space="preserve">The KD2 Pro analyzer is a portable device developed by DECAGON Inc. (Figure 4) according to IEEE 442-1981 and ASTM D5334-08 standards. It can be used both in the laboratory and in the field, and its principle is based on the hot-wire method. Thirty years of research on the thermal properties of soil and other porous materials have led to the design of this sophisticated analyzer for measuring thermal properties </w:t>
      </w:r>
      <w:r w:rsidRPr="002C1CC7">
        <w:rPr>
          <w:rFonts w:ascii="Arial" w:hAnsi="Arial" w:cs="Arial"/>
          <w:sz w:val="20"/>
          <w:szCs w:val="20"/>
        </w:rPr>
        <w:fldChar w:fldCharType="begin" w:fldLock="1"/>
      </w:r>
      <w:r w:rsidR="0064484C" w:rsidRPr="002C1CC7">
        <w:rPr>
          <w:rFonts w:ascii="Arial" w:hAnsi="Arial" w:cs="Arial"/>
          <w:sz w:val="20"/>
          <w:szCs w:val="20"/>
          <w:lang w:val="en-US"/>
        </w:rPr>
        <w:instrText>ADDIN CSL_CITATION {"citationItems":[{"id":"ITEM-1","itemData":{"author":[{"dropping-particle":"","family":"Decagon Devices","given":"Inc","non-dropping-particle":"","parse-names":false,"suffix":""}],"id":"ITEM-1","issued":{"date-parts":[["2021"]]},"title":"« KD2 Pro Thermal Properties Analyzer »","type":"article-journal"},"uris":["http://www.mendeley.com/documents/?uuid=596b1dcd-7496-46f5-ba52-128e910d2e00"]}],"mendeley":{"formattedCitation":"(Decagon Devices, 2021)","plainTextFormattedCitation":"(Decagon Devices, 2021)","previouslyFormattedCitation":"(Decagon Devices, 2021)"},"properties":{"noteIndex":0},"schema":"https://github.com/citation-style-language/schema/raw/master/csl-citation.json"}</w:instrText>
      </w:r>
      <w:r w:rsidRPr="002C1CC7">
        <w:rPr>
          <w:rFonts w:ascii="Arial" w:hAnsi="Arial" w:cs="Arial"/>
          <w:sz w:val="20"/>
          <w:szCs w:val="20"/>
        </w:rPr>
        <w:fldChar w:fldCharType="separate"/>
      </w:r>
      <w:r w:rsidR="0064484C" w:rsidRPr="002C1CC7">
        <w:rPr>
          <w:rFonts w:ascii="Arial" w:hAnsi="Arial" w:cs="Arial"/>
          <w:noProof/>
          <w:sz w:val="20"/>
          <w:szCs w:val="20"/>
          <w:lang w:val="en-US"/>
        </w:rPr>
        <w:t>(Decagon Devices, 2021)</w:t>
      </w:r>
      <w:r w:rsidRPr="002C1CC7">
        <w:rPr>
          <w:rFonts w:ascii="Arial" w:hAnsi="Arial" w:cs="Arial"/>
          <w:sz w:val="20"/>
          <w:szCs w:val="20"/>
        </w:rPr>
        <w:fldChar w:fldCharType="end"/>
      </w:r>
      <w:r w:rsidRPr="002C1CC7">
        <w:rPr>
          <w:rFonts w:ascii="Arial" w:hAnsi="Arial" w:cs="Arial"/>
          <w:sz w:val="20"/>
          <w:szCs w:val="20"/>
          <w:lang w:val="en-US"/>
        </w:rPr>
        <w:t>.</w:t>
      </w:r>
    </w:p>
    <w:p w14:paraId="41186BD2" w14:textId="3A441D90" w:rsidR="008D1CE4" w:rsidRDefault="008D1CE4" w:rsidP="002C1CC7">
      <w:pPr>
        <w:spacing w:line="240" w:lineRule="auto"/>
        <w:jc w:val="both"/>
        <w:rPr>
          <w:rFonts w:ascii="Times New Roman" w:hAnsi="Times New Roman" w:cs="Times New Roman"/>
          <w:sz w:val="24"/>
          <w:szCs w:val="24"/>
          <w:lang w:val="en-US"/>
        </w:rPr>
      </w:pPr>
      <w:r w:rsidRPr="002C1CC7">
        <w:rPr>
          <w:rFonts w:ascii="Arial" w:hAnsi="Arial" w:cs="Arial"/>
          <w:sz w:val="20"/>
          <w:szCs w:val="20"/>
          <w:lang w:val="en-US"/>
        </w:rPr>
        <w:lastRenderedPageBreak/>
        <w:t>The KD2 Pro analyzer contains three sensors: the "SH-1" sensor, the "TR-1" sensor, and the "KS-1" sensor.</w:t>
      </w:r>
      <w:r w:rsidR="007D00E3">
        <w:rPr>
          <w:rFonts w:ascii="Times New Roman" w:hAnsi="Times New Roman" w:cs="Times New Roman"/>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666"/>
      </w:tblGrid>
      <w:tr w:rsidR="007D00E3" w14:paraId="672D50A0" w14:textId="77777777" w:rsidTr="0014763E">
        <w:tc>
          <w:tcPr>
            <w:tcW w:w="4531" w:type="dxa"/>
          </w:tcPr>
          <w:p w14:paraId="392F1A9C" w14:textId="77777777" w:rsidR="007D00E3" w:rsidRDefault="007D00E3" w:rsidP="0014763E">
            <w:pPr>
              <w:spacing w:line="360" w:lineRule="auto"/>
              <w:jc w:val="both"/>
              <w:rPr>
                <w:rFonts w:ascii="Times New Roman" w:hAnsi="Times New Roman" w:cs="Times New Roman"/>
                <w:sz w:val="24"/>
                <w:szCs w:val="24"/>
              </w:rPr>
            </w:pPr>
            <w:r w:rsidRPr="000C7261">
              <w:rPr>
                <w:rFonts w:ascii="Times New Roman" w:hAnsi="Times New Roman" w:cs="Times New Roman"/>
                <w:noProof/>
                <w:sz w:val="24"/>
                <w:szCs w:val="24"/>
              </w:rPr>
              <w:drawing>
                <wp:inline distT="0" distB="0" distL="0" distR="0" wp14:anchorId="507AFEF0" wp14:editId="19931DD9">
                  <wp:extent cx="2466975" cy="2514600"/>
                  <wp:effectExtent l="0" t="0" r="9525" b="0"/>
                  <wp:docPr id="779183105" name="Image 3">
                    <a:extLst xmlns:a="http://schemas.openxmlformats.org/drawingml/2006/main">
                      <a:ext uri="{FF2B5EF4-FFF2-40B4-BE49-F238E27FC236}">
                        <a16:creationId xmlns:a16="http://schemas.microsoft.com/office/drawing/2014/main" id="{7DE60BB5-0BD0-83B2-C6A8-890175C71C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DE60BB5-0BD0-83B2-C6A8-890175C71C81}"/>
                              </a:ext>
                            </a:extLst>
                          </pic:cNvPr>
                          <pic:cNvPicPr>
                            <a:picLocks noChangeAspect="1"/>
                          </pic:cNvPicPr>
                        </pic:nvPicPr>
                        <pic:blipFill rotWithShape="1">
                          <a:blip r:embed="rId14"/>
                          <a:srcRect t="16580" r="52637" b="17832"/>
                          <a:stretch/>
                        </pic:blipFill>
                        <pic:spPr bwMode="auto">
                          <a:xfrm>
                            <a:off x="0" y="0"/>
                            <a:ext cx="2467209" cy="2514839"/>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5F1C992E" w14:textId="77777777" w:rsidR="007D00E3" w:rsidRDefault="007D00E3" w:rsidP="007D00E3">
            <w:pPr>
              <w:keepNext/>
              <w:spacing w:line="360" w:lineRule="auto"/>
              <w:jc w:val="both"/>
              <w:rPr>
                <w:rFonts w:ascii="Times New Roman" w:hAnsi="Times New Roman" w:cs="Times New Roman"/>
                <w:sz w:val="24"/>
                <w:szCs w:val="24"/>
              </w:rPr>
            </w:pPr>
            <w:r>
              <w:rPr>
                <w:noProof/>
              </w:rPr>
              <w:drawing>
                <wp:inline distT="0" distB="0" distL="0" distR="0" wp14:anchorId="3BECCD72" wp14:editId="0692706D">
                  <wp:extent cx="2825750" cy="2600325"/>
                  <wp:effectExtent l="0" t="0" r="0" b="9525"/>
                  <wp:docPr id="19155231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23164" name=""/>
                          <pic:cNvPicPr/>
                        </pic:nvPicPr>
                        <pic:blipFill>
                          <a:blip r:embed="rId15"/>
                          <a:stretch>
                            <a:fillRect/>
                          </a:stretch>
                        </pic:blipFill>
                        <pic:spPr>
                          <a:xfrm>
                            <a:off x="0" y="0"/>
                            <a:ext cx="2845080" cy="2618113"/>
                          </a:xfrm>
                          <a:prstGeom prst="rect">
                            <a:avLst/>
                          </a:prstGeom>
                        </pic:spPr>
                      </pic:pic>
                    </a:graphicData>
                  </a:graphic>
                </wp:inline>
              </w:drawing>
            </w:r>
          </w:p>
        </w:tc>
      </w:tr>
    </w:tbl>
    <w:p w14:paraId="3D6DD271" w14:textId="0B5D1AA1" w:rsidR="007D00E3" w:rsidRPr="002C1CC7" w:rsidRDefault="007D00E3" w:rsidP="007D00E3">
      <w:pPr>
        <w:pStyle w:val="Caption"/>
        <w:jc w:val="center"/>
        <w:rPr>
          <w:rFonts w:ascii="Arial" w:hAnsi="Arial" w:cs="Arial"/>
          <w:b/>
          <w:bCs/>
          <w:i w:val="0"/>
          <w:iCs w:val="0"/>
          <w:color w:val="auto"/>
          <w:sz w:val="22"/>
          <w:szCs w:val="22"/>
          <w:lang w:val="en-US"/>
        </w:rPr>
      </w:pPr>
      <w:r w:rsidRPr="002C1CC7">
        <w:rPr>
          <w:rFonts w:ascii="Arial" w:hAnsi="Arial" w:cs="Arial"/>
          <w:b/>
          <w:bCs/>
          <w:i w:val="0"/>
          <w:iCs w:val="0"/>
          <w:color w:val="auto"/>
          <w:sz w:val="22"/>
          <w:szCs w:val="22"/>
          <w:lang w:val="en-US"/>
        </w:rPr>
        <w:t xml:space="preserve">Figure </w:t>
      </w:r>
      <w:r w:rsidRPr="002C1CC7">
        <w:rPr>
          <w:rFonts w:ascii="Arial" w:hAnsi="Arial" w:cs="Arial"/>
          <w:b/>
          <w:bCs/>
          <w:i w:val="0"/>
          <w:iCs w:val="0"/>
          <w:color w:val="auto"/>
          <w:sz w:val="22"/>
          <w:szCs w:val="22"/>
        </w:rPr>
        <w:fldChar w:fldCharType="begin"/>
      </w:r>
      <w:r w:rsidRPr="002C1CC7">
        <w:rPr>
          <w:rFonts w:ascii="Arial" w:hAnsi="Arial" w:cs="Arial"/>
          <w:b/>
          <w:bCs/>
          <w:i w:val="0"/>
          <w:iCs w:val="0"/>
          <w:color w:val="auto"/>
          <w:sz w:val="22"/>
          <w:szCs w:val="22"/>
          <w:lang w:val="en-US"/>
        </w:rPr>
        <w:instrText xml:space="preserve"> SEQ Figure \* ARABIC </w:instrText>
      </w:r>
      <w:r w:rsidRPr="002C1CC7">
        <w:rPr>
          <w:rFonts w:ascii="Arial" w:hAnsi="Arial" w:cs="Arial"/>
          <w:b/>
          <w:bCs/>
          <w:i w:val="0"/>
          <w:iCs w:val="0"/>
          <w:color w:val="auto"/>
          <w:sz w:val="22"/>
          <w:szCs w:val="22"/>
        </w:rPr>
        <w:fldChar w:fldCharType="separate"/>
      </w:r>
      <w:r w:rsidR="009659A3" w:rsidRPr="002C1CC7">
        <w:rPr>
          <w:rFonts w:ascii="Arial" w:hAnsi="Arial" w:cs="Arial"/>
          <w:b/>
          <w:bCs/>
          <w:i w:val="0"/>
          <w:iCs w:val="0"/>
          <w:noProof/>
          <w:color w:val="auto"/>
          <w:sz w:val="22"/>
          <w:szCs w:val="22"/>
          <w:lang w:val="en-US"/>
        </w:rPr>
        <w:t>4</w:t>
      </w:r>
      <w:r w:rsidRPr="002C1CC7">
        <w:rPr>
          <w:rFonts w:ascii="Arial" w:hAnsi="Arial" w:cs="Arial"/>
          <w:b/>
          <w:bCs/>
          <w:i w:val="0"/>
          <w:iCs w:val="0"/>
          <w:color w:val="auto"/>
          <w:sz w:val="22"/>
          <w:szCs w:val="22"/>
        </w:rPr>
        <w:fldChar w:fldCharType="end"/>
      </w:r>
      <w:r w:rsidRPr="002C1CC7">
        <w:rPr>
          <w:rFonts w:ascii="Arial" w:hAnsi="Arial" w:cs="Arial"/>
          <w:b/>
          <w:bCs/>
          <w:i w:val="0"/>
          <w:iCs w:val="0"/>
          <w:color w:val="auto"/>
          <w:sz w:val="22"/>
          <w:szCs w:val="22"/>
          <w:lang w:val="en-US"/>
        </w:rPr>
        <w:t xml:space="preserve"> : KD2 Pro Thermal Properties Analyzer</w:t>
      </w:r>
    </w:p>
    <w:p w14:paraId="333D05C4" w14:textId="12DCCE25" w:rsidR="007D00E3" w:rsidRPr="00B32EF6" w:rsidRDefault="007D00E3" w:rsidP="00B32EF6">
      <w:pPr>
        <w:spacing w:line="240" w:lineRule="auto"/>
        <w:jc w:val="both"/>
        <w:rPr>
          <w:rFonts w:ascii="Arial" w:hAnsi="Arial" w:cs="Arial"/>
          <w:sz w:val="20"/>
          <w:szCs w:val="20"/>
          <w:lang w:val="en-US"/>
        </w:rPr>
      </w:pPr>
      <w:r w:rsidRPr="00B32EF6">
        <w:rPr>
          <w:rFonts w:ascii="Arial" w:hAnsi="Arial" w:cs="Arial"/>
          <w:sz w:val="20"/>
          <w:szCs w:val="20"/>
          <w:lang w:val="en-US"/>
        </w:rPr>
        <w:t>The appropriate usage conditions for each of these sensors, their reading time, accuracy, measurement range, as well as minimum and maximum operating temperatures, are detailed in the user manual. Table 1 indicates the types of materials for which each sensor is suitable.</w:t>
      </w:r>
    </w:p>
    <w:p w14:paraId="4CA2A876" w14:textId="3469DC93" w:rsidR="00BF60BF" w:rsidRPr="00B32EF6" w:rsidRDefault="00BF60BF" w:rsidP="00B32EF6">
      <w:pPr>
        <w:pStyle w:val="Caption"/>
        <w:keepNext/>
        <w:spacing w:line="360" w:lineRule="auto"/>
        <w:jc w:val="center"/>
        <w:rPr>
          <w:rFonts w:ascii="Arial" w:hAnsi="Arial" w:cs="Arial"/>
          <w:b/>
          <w:bCs/>
          <w:i w:val="0"/>
          <w:iCs w:val="0"/>
          <w:color w:val="auto"/>
          <w:sz w:val="22"/>
          <w:szCs w:val="22"/>
          <w:lang w:val="en-US"/>
        </w:rPr>
      </w:pPr>
      <w:r w:rsidRPr="00B32EF6">
        <w:rPr>
          <w:rFonts w:ascii="Arial" w:hAnsi="Arial" w:cs="Arial"/>
          <w:b/>
          <w:bCs/>
          <w:i w:val="0"/>
          <w:iCs w:val="0"/>
          <w:color w:val="auto"/>
          <w:sz w:val="22"/>
          <w:szCs w:val="22"/>
          <w:lang w:val="en-US"/>
        </w:rPr>
        <w:t xml:space="preserve">Table </w:t>
      </w:r>
      <w:r w:rsidRPr="00B32EF6">
        <w:rPr>
          <w:rFonts w:ascii="Arial" w:hAnsi="Arial" w:cs="Arial"/>
          <w:b/>
          <w:bCs/>
          <w:i w:val="0"/>
          <w:iCs w:val="0"/>
          <w:color w:val="auto"/>
          <w:sz w:val="22"/>
          <w:szCs w:val="22"/>
        </w:rPr>
        <w:fldChar w:fldCharType="begin"/>
      </w:r>
      <w:r w:rsidRPr="00B32EF6">
        <w:rPr>
          <w:rFonts w:ascii="Arial" w:hAnsi="Arial" w:cs="Arial"/>
          <w:b/>
          <w:bCs/>
          <w:i w:val="0"/>
          <w:iCs w:val="0"/>
          <w:color w:val="auto"/>
          <w:sz w:val="22"/>
          <w:szCs w:val="22"/>
          <w:lang w:val="en-US"/>
        </w:rPr>
        <w:instrText xml:space="preserve"> SEQ Table \* ARABIC </w:instrText>
      </w:r>
      <w:r w:rsidRPr="00B32EF6">
        <w:rPr>
          <w:rFonts w:ascii="Arial" w:hAnsi="Arial" w:cs="Arial"/>
          <w:b/>
          <w:bCs/>
          <w:i w:val="0"/>
          <w:iCs w:val="0"/>
          <w:color w:val="auto"/>
          <w:sz w:val="22"/>
          <w:szCs w:val="22"/>
        </w:rPr>
        <w:fldChar w:fldCharType="separate"/>
      </w:r>
      <w:r w:rsidRPr="00B32EF6">
        <w:rPr>
          <w:rFonts w:ascii="Arial" w:hAnsi="Arial" w:cs="Arial"/>
          <w:b/>
          <w:bCs/>
          <w:i w:val="0"/>
          <w:iCs w:val="0"/>
          <w:noProof/>
          <w:color w:val="auto"/>
          <w:sz w:val="22"/>
          <w:szCs w:val="22"/>
          <w:lang w:val="en-US"/>
        </w:rPr>
        <w:t>1</w:t>
      </w:r>
      <w:r w:rsidRPr="00B32EF6">
        <w:rPr>
          <w:rFonts w:ascii="Arial" w:hAnsi="Arial" w:cs="Arial"/>
          <w:b/>
          <w:bCs/>
          <w:i w:val="0"/>
          <w:iCs w:val="0"/>
          <w:color w:val="auto"/>
          <w:sz w:val="22"/>
          <w:szCs w:val="22"/>
        </w:rPr>
        <w:fldChar w:fldCharType="end"/>
      </w:r>
      <w:r w:rsidRPr="00B32EF6">
        <w:rPr>
          <w:rFonts w:ascii="Arial" w:hAnsi="Arial" w:cs="Arial"/>
          <w:b/>
          <w:bCs/>
          <w:i w:val="0"/>
          <w:iCs w:val="0"/>
          <w:color w:val="auto"/>
          <w:sz w:val="22"/>
          <w:szCs w:val="22"/>
          <w:lang w:val="en-US"/>
        </w:rPr>
        <w:t>: Application domain of each sensor type</w:t>
      </w:r>
    </w:p>
    <w:tbl>
      <w:tblPr>
        <w:tblStyle w:val="ListTable7Colorful"/>
        <w:tblW w:w="0" w:type="auto"/>
        <w:tblLook w:val="04A0" w:firstRow="1" w:lastRow="0" w:firstColumn="1" w:lastColumn="0" w:noHBand="0" w:noVBand="1"/>
      </w:tblPr>
      <w:tblGrid>
        <w:gridCol w:w="4815"/>
        <w:gridCol w:w="1417"/>
        <w:gridCol w:w="1418"/>
        <w:gridCol w:w="1412"/>
      </w:tblGrid>
      <w:tr w:rsidR="007D00E3" w:rsidRPr="00B32EF6" w14:paraId="1E7BEA90" w14:textId="77777777" w:rsidTr="001476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5" w:type="dxa"/>
          </w:tcPr>
          <w:p w14:paraId="71E05A86" w14:textId="7EBAAF77" w:rsidR="007D00E3" w:rsidRPr="00B32EF6" w:rsidRDefault="007D00E3" w:rsidP="0014763E">
            <w:pPr>
              <w:spacing w:line="360" w:lineRule="auto"/>
              <w:jc w:val="both"/>
              <w:rPr>
                <w:rFonts w:ascii="Arial" w:hAnsi="Arial" w:cs="Arial"/>
                <w:b/>
                <w:bCs/>
                <w:sz w:val="22"/>
              </w:rPr>
            </w:pPr>
            <w:r w:rsidRPr="00B32EF6">
              <w:rPr>
                <w:rFonts w:ascii="Arial" w:hAnsi="Arial" w:cs="Arial"/>
                <w:b/>
                <w:bCs/>
                <w:sz w:val="22"/>
              </w:rPr>
              <w:t>Types of Materials</w:t>
            </w:r>
          </w:p>
        </w:tc>
        <w:tc>
          <w:tcPr>
            <w:tcW w:w="1417" w:type="dxa"/>
          </w:tcPr>
          <w:p w14:paraId="46FDCDC6" w14:textId="77777777" w:rsidR="007D00E3" w:rsidRPr="00B32EF6" w:rsidRDefault="007D00E3" w:rsidP="0014763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2"/>
              </w:rPr>
            </w:pPr>
            <w:r w:rsidRPr="00B32EF6">
              <w:rPr>
                <w:rFonts w:ascii="Arial" w:hAnsi="Arial" w:cs="Arial"/>
                <w:b/>
                <w:bCs/>
                <w:sz w:val="22"/>
              </w:rPr>
              <w:t>KS-1</w:t>
            </w:r>
          </w:p>
        </w:tc>
        <w:tc>
          <w:tcPr>
            <w:tcW w:w="1418" w:type="dxa"/>
          </w:tcPr>
          <w:p w14:paraId="11CC11F4" w14:textId="77777777" w:rsidR="007D00E3" w:rsidRPr="00B32EF6" w:rsidRDefault="007D00E3" w:rsidP="0014763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2"/>
              </w:rPr>
            </w:pPr>
            <w:r w:rsidRPr="00B32EF6">
              <w:rPr>
                <w:rFonts w:ascii="Arial" w:hAnsi="Arial" w:cs="Arial"/>
                <w:b/>
                <w:bCs/>
                <w:sz w:val="22"/>
              </w:rPr>
              <w:t>TR-1</w:t>
            </w:r>
          </w:p>
        </w:tc>
        <w:tc>
          <w:tcPr>
            <w:tcW w:w="1412" w:type="dxa"/>
          </w:tcPr>
          <w:p w14:paraId="5CD97C21" w14:textId="77777777" w:rsidR="007D00E3" w:rsidRPr="00B32EF6" w:rsidRDefault="007D00E3" w:rsidP="0014763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2"/>
              </w:rPr>
            </w:pPr>
            <w:r w:rsidRPr="00B32EF6">
              <w:rPr>
                <w:rFonts w:ascii="Arial" w:hAnsi="Arial" w:cs="Arial"/>
                <w:b/>
                <w:bCs/>
                <w:sz w:val="22"/>
              </w:rPr>
              <w:t>SH-1</w:t>
            </w:r>
          </w:p>
        </w:tc>
      </w:tr>
      <w:tr w:rsidR="007D00E3" w:rsidRPr="00B32EF6" w14:paraId="4277CAE1" w14:textId="77777777" w:rsidTr="0014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2E2515C" w14:textId="125E9A42" w:rsidR="007D00E3" w:rsidRPr="00B32EF6" w:rsidRDefault="007D00E3" w:rsidP="0014763E">
            <w:pPr>
              <w:spacing w:line="360" w:lineRule="auto"/>
              <w:jc w:val="both"/>
              <w:rPr>
                <w:rFonts w:ascii="Arial" w:hAnsi="Arial" w:cs="Arial"/>
                <w:sz w:val="22"/>
                <w:lang w:val="en-US"/>
              </w:rPr>
            </w:pPr>
            <w:r w:rsidRPr="00B32EF6">
              <w:rPr>
                <w:rFonts w:ascii="Arial" w:hAnsi="Arial" w:cs="Arial"/>
                <w:sz w:val="22"/>
                <w:lang w:val="en-US"/>
              </w:rPr>
              <w:t>Low-viscosity liquid (e.g., water)</w:t>
            </w:r>
          </w:p>
        </w:tc>
        <w:tc>
          <w:tcPr>
            <w:tcW w:w="1417" w:type="dxa"/>
          </w:tcPr>
          <w:p w14:paraId="0F57EEFF" w14:textId="6C250A17" w:rsidR="007D00E3" w:rsidRPr="00B32EF6" w:rsidRDefault="00BF60BF"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Best</w:t>
            </w:r>
            <w:r w:rsidR="007D00E3" w:rsidRPr="00B32EF6">
              <w:rPr>
                <w:rFonts w:ascii="Arial" w:hAnsi="Arial" w:cs="Arial"/>
              </w:rPr>
              <w:t xml:space="preserve"> </w:t>
            </w:r>
          </w:p>
        </w:tc>
        <w:tc>
          <w:tcPr>
            <w:tcW w:w="1418" w:type="dxa"/>
          </w:tcPr>
          <w:p w14:paraId="3B78656F" w14:textId="3970147C"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No</w:t>
            </w:r>
          </w:p>
        </w:tc>
        <w:tc>
          <w:tcPr>
            <w:tcW w:w="1412" w:type="dxa"/>
          </w:tcPr>
          <w:p w14:paraId="14D82107" w14:textId="1BCEAEC4"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No</w:t>
            </w:r>
          </w:p>
        </w:tc>
      </w:tr>
      <w:tr w:rsidR="007D00E3" w:rsidRPr="00B32EF6" w14:paraId="6551F853" w14:textId="77777777" w:rsidTr="0014763E">
        <w:tc>
          <w:tcPr>
            <w:cnfStyle w:val="001000000000" w:firstRow="0" w:lastRow="0" w:firstColumn="1" w:lastColumn="0" w:oddVBand="0" w:evenVBand="0" w:oddHBand="0" w:evenHBand="0" w:firstRowFirstColumn="0" w:firstRowLastColumn="0" w:lastRowFirstColumn="0" w:lastRowLastColumn="0"/>
            <w:tcW w:w="4815" w:type="dxa"/>
          </w:tcPr>
          <w:p w14:paraId="08AF0291" w14:textId="336ACB5F" w:rsidR="007D00E3" w:rsidRPr="00B32EF6" w:rsidRDefault="007D00E3" w:rsidP="0014763E">
            <w:pPr>
              <w:spacing w:line="360" w:lineRule="auto"/>
              <w:jc w:val="both"/>
              <w:rPr>
                <w:rFonts w:ascii="Arial" w:hAnsi="Arial" w:cs="Arial"/>
                <w:sz w:val="22"/>
                <w:lang w:val="en-US"/>
              </w:rPr>
            </w:pPr>
            <w:r w:rsidRPr="00B32EF6">
              <w:rPr>
                <w:rFonts w:ascii="Arial" w:hAnsi="Arial" w:cs="Arial"/>
                <w:sz w:val="22"/>
                <w:lang w:val="en-US"/>
              </w:rPr>
              <w:t>High-viscosity liquid (e.g., glycerol, oil)</w:t>
            </w:r>
          </w:p>
        </w:tc>
        <w:tc>
          <w:tcPr>
            <w:tcW w:w="1417" w:type="dxa"/>
          </w:tcPr>
          <w:p w14:paraId="3D022C93" w14:textId="2B0F9507" w:rsidR="007D00E3" w:rsidRPr="00B32EF6" w:rsidRDefault="00BF60BF"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Best</w:t>
            </w:r>
          </w:p>
        </w:tc>
        <w:tc>
          <w:tcPr>
            <w:tcW w:w="1418" w:type="dxa"/>
          </w:tcPr>
          <w:p w14:paraId="1774CA36" w14:textId="030CC3C3" w:rsidR="007D00E3" w:rsidRPr="00B32EF6" w:rsidRDefault="007D00E3"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Ok</w:t>
            </w:r>
            <w:r w:rsidR="00BF60BF" w:rsidRPr="00B32EF6">
              <w:rPr>
                <w:rFonts w:ascii="Arial" w:hAnsi="Arial" w:cs="Arial"/>
              </w:rPr>
              <w:t>ay</w:t>
            </w:r>
            <w:r w:rsidRPr="00B32EF6">
              <w:rPr>
                <w:rFonts w:ascii="Arial" w:hAnsi="Arial" w:cs="Arial"/>
              </w:rPr>
              <w:t xml:space="preserve"> </w:t>
            </w:r>
          </w:p>
        </w:tc>
        <w:tc>
          <w:tcPr>
            <w:tcW w:w="1412" w:type="dxa"/>
          </w:tcPr>
          <w:p w14:paraId="767E460B" w14:textId="6313673F" w:rsidR="007D00E3" w:rsidRPr="00B32EF6" w:rsidRDefault="007D00E3"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No</w:t>
            </w:r>
          </w:p>
        </w:tc>
      </w:tr>
      <w:tr w:rsidR="007D00E3" w:rsidRPr="00B32EF6" w14:paraId="70DFBA64" w14:textId="77777777" w:rsidTr="0014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4B06A63" w14:textId="09648E09" w:rsidR="007D00E3" w:rsidRPr="00B32EF6" w:rsidRDefault="007D00E3" w:rsidP="0014763E">
            <w:pPr>
              <w:spacing w:line="360" w:lineRule="auto"/>
              <w:jc w:val="both"/>
              <w:rPr>
                <w:rFonts w:ascii="Arial" w:hAnsi="Arial" w:cs="Arial"/>
                <w:sz w:val="22"/>
              </w:rPr>
            </w:pPr>
            <w:r w:rsidRPr="00B32EF6">
              <w:rPr>
                <w:rFonts w:ascii="Arial" w:hAnsi="Arial" w:cs="Arial"/>
                <w:sz w:val="22"/>
              </w:rPr>
              <w:t>Insulating materials</w:t>
            </w:r>
          </w:p>
        </w:tc>
        <w:tc>
          <w:tcPr>
            <w:tcW w:w="1417" w:type="dxa"/>
          </w:tcPr>
          <w:p w14:paraId="4EEE1076" w14:textId="4A8F45AD"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Ok</w:t>
            </w:r>
            <w:r w:rsidR="00BF60BF" w:rsidRPr="00B32EF6">
              <w:rPr>
                <w:rFonts w:ascii="Arial" w:hAnsi="Arial" w:cs="Arial"/>
              </w:rPr>
              <w:t>ay</w:t>
            </w:r>
          </w:p>
        </w:tc>
        <w:tc>
          <w:tcPr>
            <w:tcW w:w="1418" w:type="dxa"/>
          </w:tcPr>
          <w:p w14:paraId="1DFA570F" w14:textId="0199BD9F"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Ok</w:t>
            </w:r>
            <w:r w:rsidR="00BF60BF" w:rsidRPr="00B32EF6">
              <w:rPr>
                <w:rFonts w:ascii="Arial" w:hAnsi="Arial" w:cs="Arial"/>
              </w:rPr>
              <w:t>ay</w:t>
            </w:r>
          </w:p>
        </w:tc>
        <w:tc>
          <w:tcPr>
            <w:tcW w:w="1412" w:type="dxa"/>
          </w:tcPr>
          <w:p w14:paraId="27EAAC46" w14:textId="2616E331"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Ok</w:t>
            </w:r>
            <w:r w:rsidR="00BF60BF" w:rsidRPr="00B32EF6">
              <w:rPr>
                <w:rFonts w:ascii="Arial" w:hAnsi="Arial" w:cs="Arial"/>
              </w:rPr>
              <w:t>ay</w:t>
            </w:r>
          </w:p>
        </w:tc>
      </w:tr>
      <w:tr w:rsidR="007D00E3" w:rsidRPr="00B32EF6" w14:paraId="7B99136C" w14:textId="77777777" w:rsidTr="0014763E">
        <w:tc>
          <w:tcPr>
            <w:cnfStyle w:val="001000000000" w:firstRow="0" w:lastRow="0" w:firstColumn="1" w:lastColumn="0" w:oddVBand="0" w:evenVBand="0" w:oddHBand="0" w:evenHBand="0" w:firstRowFirstColumn="0" w:firstRowLastColumn="0" w:lastRowFirstColumn="0" w:lastRowLastColumn="0"/>
            <w:tcW w:w="4815" w:type="dxa"/>
          </w:tcPr>
          <w:p w14:paraId="51FE7AAC" w14:textId="2F648481" w:rsidR="007D00E3" w:rsidRPr="00B32EF6" w:rsidRDefault="00BF60BF" w:rsidP="0014763E">
            <w:pPr>
              <w:spacing w:line="360" w:lineRule="auto"/>
              <w:jc w:val="both"/>
              <w:rPr>
                <w:rFonts w:ascii="Arial" w:hAnsi="Arial" w:cs="Arial"/>
                <w:sz w:val="22"/>
                <w:lang w:val="en-US"/>
              </w:rPr>
            </w:pPr>
            <w:r w:rsidRPr="00B32EF6">
              <w:rPr>
                <w:rFonts w:ascii="Arial" w:hAnsi="Arial" w:cs="Arial"/>
                <w:sz w:val="22"/>
                <w:lang w:val="en-US"/>
              </w:rPr>
              <w:t>Soils, powders, dry granular materials</w:t>
            </w:r>
          </w:p>
        </w:tc>
        <w:tc>
          <w:tcPr>
            <w:tcW w:w="1417" w:type="dxa"/>
          </w:tcPr>
          <w:p w14:paraId="2AB50B80" w14:textId="3CABD6E2" w:rsidR="007D00E3" w:rsidRPr="00B32EF6" w:rsidRDefault="007D00E3"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No</w:t>
            </w:r>
          </w:p>
        </w:tc>
        <w:tc>
          <w:tcPr>
            <w:tcW w:w="1418" w:type="dxa"/>
          </w:tcPr>
          <w:p w14:paraId="7E87005E" w14:textId="038F89E9" w:rsidR="007D00E3" w:rsidRPr="00B32EF6" w:rsidRDefault="00BF60BF"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 xml:space="preserve">Best </w:t>
            </w:r>
          </w:p>
        </w:tc>
        <w:tc>
          <w:tcPr>
            <w:tcW w:w="1412" w:type="dxa"/>
          </w:tcPr>
          <w:p w14:paraId="1C26124F" w14:textId="131C58BB" w:rsidR="007D00E3" w:rsidRPr="00B32EF6" w:rsidRDefault="007D00E3"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O</w:t>
            </w:r>
            <w:r w:rsidR="00BF60BF" w:rsidRPr="00B32EF6">
              <w:rPr>
                <w:rFonts w:ascii="Arial" w:hAnsi="Arial" w:cs="Arial"/>
              </w:rPr>
              <w:t>kay</w:t>
            </w:r>
          </w:p>
        </w:tc>
      </w:tr>
      <w:tr w:rsidR="007D00E3" w:rsidRPr="00B32EF6" w14:paraId="047C11AE" w14:textId="77777777" w:rsidTr="0014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A8B1550" w14:textId="1191C22C" w:rsidR="007D00E3" w:rsidRPr="00B32EF6" w:rsidRDefault="00BF60BF" w:rsidP="0014763E">
            <w:pPr>
              <w:spacing w:line="360" w:lineRule="auto"/>
              <w:jc w:val="both"/>
              <w:rPr>
                <w:rFonts w:ascii="Arial" w:hAnsi="Arial" w:cs="Arial"/>
                <w:sz w:val="22"/>
              </w:rPr>
            </w:pPr>
            <w:r w:rsidRPr="00B32EF6">
              <w:rPr>
                <w:rFonts w:ascii="Arial" w:hAnsi="Arial" w:cs="Arial"/>
                <w:sz w:val="22"/>
              </w:rPr>
              <w:t>Concrete</w:t>
            </w:r>
            <w:r w:rsidR="007D00E3" w:rsidRPr="00B32EF6">
              <w:rPr>
                <w:rFonts w:ascii="Arial" w:hAnsi="Arial" w:cs="Arial"/>
                <w:sz w:val="22"/>
              </w:rPr>
              <w:t xml:space="preserve"> </w:t>
            </w:r>
          </w:p>
        </w:tc>
        <w:tc>
          <w:tcPr>
            <w:tcW w:w="1417" w:type="dxa"/>
          </w:tcPr>
          <w:p w14:paraId="04BD7A4E" w14:textId="275F69CE"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 xml:space="preserve">No </w:t>
            </w:r>
          </w:p>
        </w:tc>
        <w:tc>
          <w:tcPr>
            <w:tcW w:w="1418" w:type="dxa"/>
          </w:tcPr>
          <w:p w14:paraId="7409A673" w14:textId="46103CF5" w:rsidR="007D00E3" w:rsidRPr="00B32EF6" w:rsidRDefault="00BF60BF"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Best</w:t>
            </w:r>
          </w:p>
        </w:tc>
        <w:tc>
          <w:tcPr>
            <w:tcW w:w="1412" w:type="dxa"/>
          </w:tcPr>
          <w:p w14:paraId="314378BF" w14:textId="45A9C079"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Ok</w:t>
            </w:r>
            <w:r w:rsidR="00BF60BF" w:rsidRPr="00B32EF6">
              <w:rPr>
                <w:rFonts w:ascii="Arial" w:hAnsi="Arial" w:cs="Arial"/>
              </w:rPr>
              <w:t>ay</w:t>
            </w:r>
          </w:p>
        </w:tc>
      </w:tr>
      <w:tr w:rsidR="007D00E3" w:rsidRPr="00B32EF6" w14:paraId="42B01124" w14:textId="77777777" w:rsidTr="0014763E">
        <w:tc>
          <w:tcPr>
            <w:cnfStyle w:val="001000000000" w:firstRow="0" w:lastRow="0" w:firstColumn="1" w:lastColumn="0" w:oddVBand="0" w:evenVBand="0" w:oddHBand="0" w:evenHBand="0" w:firstRowFirstColumn="0" w:firstRowLastColumn="0" w:lastRowFirstColumn="0" w:lastRowLastColumn="0"/>
            <w:tcW w:w="4815" w:type="dxa"/>
          </w:tcPr>
          <w:p w14:paraId="26BEEEF8" w14:textId="6622FEB5" w:rsidR="007D00E3" w:rsidRPr="00B32EF6" w:rsidRDefault="00BF60BF" w:rsidP="0014763E">
            <w:pPr>
              <w:spacing w:line="360" w:lineRule="auto"/>
              <w:jc w:val="both"/>
              <w:rPr>
                <w:rFonts w:ascii="Arial" w:hAnsi="Arial" w:cs="Arial"/>
                <w:sz w:val="22"/>
              </w:rPr>
            </w:pPr>
            <w:r w:rsidRPr="00B32EF6">
              <w:rPr>
                <w:rFonts w:ascii="Arial" w:hAnsi="Arial" w:cs="Arial"/>
                <w:sz w:val="22"/>
              </w:rPr>
              <w:t>Rock</w:t>
            </w:r>
            <w:r w:rsidR="007D00E3" w:rsidRPr="00B32EF6">
              <w:rPr>
                <w:rFonts w:ascii="Arial" w:hAnsi="Arial" w:cs="Arial"/>
                <w:sz w:val="22"/>
              </w:rPr>
              <w:t xml:space="preserve"> </w:t>
            </w:r>
          </w:p>
        </w:tc>
        <w:tc>
          <w:tcPr>
            <w:tcW w:w="1417" w:type="dxa"/>
          </w:tcPr>
          <w:p w14:paraId="05E260C3" w14:textId="126AC52D" w:rsidR="007D00E3" w:rsidRPr="00B32EF6" w:rsidRDefault="007D00E3"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 xml:space="preserve"> No </w:t>
            </w:r>
          </w:p>
        </w:tc>
        <w:tc>
          <w:tcPr>
            <w:tcW w:w="1418" w:type="dxa"/>
          </w:tcPr>
          <w:p w14:paraId="58A6C2F3" w14:textId="46EE57B0" w:rsidR="007D00E3" w:rsidRPr="00B32EF6" w:rsidRDefault="00BF60BF"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Best</w:t>
            </w:r>
          </w:p>
        </w:tc>
        <w:tc>
          <w:tcPr>
            <w:tcW w:w="1412" w:type="dxa"/>
          </w:tcPr>
          <w:p w14:paraId="1091C144" w14:textId="51354F9F" w:rsidR="007D00E3" w:rsidRPr="00B32EF6" w:rsidRDefault="007D00E3"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Ok</w:t>
            </w:r>
            <w:r w:rsidR="00BF60BF" w:rsidRPr="00B32EF6">
              <w:rPr>
                <w:rFonts w:ascii="Arial" w:hAnsi="Arial" w:cs="Arial"/>
              </w:rPr>
              <w:t>ay</w:t>
            </w:r>
          </w:p>
        </w:tc>
      </w:tr>
      <w:tr w:rsidR="007D00E3" w:rsidRPr="00B32EF6" w14:paraId="70115371" w14:textId="77777777" w:rsidTr="0014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78E57D5" w14:textId="132ADB8B" w:rsidR="007D00E3" w:rsidRPr="00B32EF6" w:rsidRDefault="00BF60BF" w:rsidP="0014763E">
            <w:pPr>
              <w:spacing w:line="360" w:lineRule="auto"/>
              <w:jc w:val="both"/>
              <w:rPr>
                <w:rFonts w:ascii="Arial" w:hAnsi="Arial" w:cs="Arial"/>
                <w:sz w:val="22"/>
              </w:rPr>
            </w:pPr>
            <w:r w:rsidRPr="00B32EF6">
              <w:rPr>
                <w:rFonts w:ascii="Arial" w:hAnsi="Arial" w:cs="Arial"/>
                <w:sz w:val="22"/>
              </w:rPr>
              <w:t>Other solids</w:t>
            </w:r>
          </w:p>
        </w:tc>
        <w:tc>
          <w:tcPr>
            <w:tcW w:w="1417" w:type="dxa"/>
          </w:tcPr>
          <w:p w14:paraId="2ACC8AB4" w14:textId="251B11D0"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 xml:space="preserve">No </w:t>
            </w:r>
          </w:p>
        </w:tc>
        <w:tc>
          <w:tcPr>
            <w:tcW w:w="1418" w:type="dxa"/>
          </w:tcPr>
          <w:p w14:paraId="03F1ECD7" w14:textId="2A5F344A" w:rsidR="007D00E3" w:rsidRPr="00B32EF6" w:rsidRDefault="00BF60BF"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Best</w:t>
            </w:r>
          </w:p>
        </w:tc>
        <w:tc>
          <w:tcPr>
            <w:tcW w:w="1412" w:type="dxa"/>
          </w:tcPr>
          <w:p w14:paraId="7317B896" w14:textId="77FF695D"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Ok</w:t>
            </w:r>
            <w:r w:rsidR="00BF60BF" w:rsidRPr="00B32EF6">
              <w:rPr>
                <w:rFonts w:ascii="Arial" w:hAnsi="Arial" w:cs="Arial"/>
              </w:rPr>
              <w:t>ay</w:t>
            </w:r>
          </w:p>
        </w:tc>
      </w:tr>
    </w:tbl>
    <w:p w14:paraId="6883757B" w14:textId="77777777" w:rsidR="00876F18" w:rsidRDefault="00876F18" w:rsidP="007D00E3">
      <w:pPr>
        <w:spacing w:line="360" w:lineRule="auto"/>
        <w:jc w:val="both"/>
        <w:rPr>
          <w:rFonts w:ascii="Times New Roman" w:hAnsi="Times New Roman" w:cs="Times New Roman"/>
          <w:sz w:val="24"/>
          <w:szCs w:val="24"/>
          <w:lang w:val="en-US"/>
        </w:rPr>
      </w:pPr>
    </w:p>
    <w:p w14:paraId="0098654B" w14:textId="2F018621" w:rsidR="007D00E3" w:rsidRPr="00B32EF6" w:rsidRDefault="00876F18" w:rsidP="00B32EF6">
      <w:pPr>
        <w:spacing w:line="240" w:lineRule="auto"/>
        <w:jc w:val="both"/>
        <w:rPr>
          <w:rFonts w:ascii="Arial" w:hAnsi="Arial" w:cs="Arial"/>
          <w:sz w:val="20"/>
          <w:szCs w:val="20"/>
          <w:lang w:val="en-US"/>
        </w:rPr>
      </w:pPr>
      <w:r w:rsidRPr="00B32EF6">
        <w:rPr>
          <w:rFonts w:ascii="Arial" w:hAnsi="Arial" w:cs="Arial"/>
          <w:sz w:val="20"/>
          <w:szCs w:val="20"/>
          <w:lang w:val="en-US"/>
        </w:rPr>
        <w:t>After identifying the appropriate sensor for the material to be characterized (CEB, glass fiber insulation, and plywood), these materials are analyzed to determine their thermophysical properties.</w:t>
      </w:r>
    </w:p>
    <w:p w14:paraId="48A1D0AD" w14:textId="5317E842" w:rsidR="00876F18" w:rsidRPr="00B32EF6" w:rsidRDefault="00876F18" w:rsidP="00876F18">
      <w:pPr>
        <w:pStyle w:val="Heading1"/>
        <w:numPr>
          <w:ilvl w:val="0"/>
          <w:numId w:val="1"/>
        </w:numPr>
        <w:spacing w:line="360" w:lineRule="auto"/>
        <w:rPr>
          <w:rFonts w:ascii="Arial" w:hAnsi="Arial" w:cs="Arial"/>
          <w:b/>
          <w:bCs/>
          <w:i/>
          <w:iCs/>
          <w:color w:val="auto"/>
          <w:sz w:val="22"/>
          <w:szCs w:val="22"/>
          <w:lang w:val="en-US"/>
        </w:rPr>
      </w:pPr>
      <w:r w:rsidRPr="00B32EF6">
        <w:rPr>
          <w:rFonts w:ascii="Arial" w:hAnsi="Arial" w:cs="Arial"/>
          <w:b/>
          <w:bCs/>
          <w:color w:val="auto"/>
          <w:sz w:val="22"/>
          <w:szCs w:val="22"/>
          <w:lang w:val="en-US"/>
        </w:rPr>
        <w:t>R</w:t>
      </w:r>
      <w:r w:rsidR="00671FD8">
        <w:rPr>
          <w:rFonts w:ascii="Arial" w:hAnsi="Arial" w:cs="Arial"/>
          <w:b/>
          <w:bCs/>
          <w:color w:val="auto"/>
          <w:sz w:val="22"/>
          <w:szCs w:val="22"/>
          <w:lang w:val="en-US"/>
        </w:rPr>
        <w:t>ESULTS AND DISCUSSION</w:t>
      </w:r>
      <w:r w:rsidRPr="00B32EF6">
        <w:rPr>
          <w:rFonts w:ascii="Arial" w:hAnsi="Arial" w:cs="Arial"/>
          <w:b/>
          <w:bCs/>
          <w:i/>
          <w:iCs/>
          <w:color w:val="auto"/>
          <w:sz w:val="22"/>
          <w:szCs w:val="22"/>
          <w:lang w:val="en-US"/>
        </w:rPr>
        <w:t xml:space="preserve"> </w:t>
      </w:r>
    </w:p>
    <w:p w14:paraId="090DC273" w14:textId="3B82331A" w:rsidR="00417CFB" w:rsidRPr="00B32EF6" w:rsidRDefault="00417CFB" w:rsidP="00417CFB">
      <w:pPr>
        <w:pStyle w:val="Heading1"/>
        <w:spacing w:line="360" w:lineRule="auto"/>
        <w:rPr>
          <w:rFonts w:ascii="Arial" w:hAnsi="Arial" w:cs="Arial"/>
          <w:b/>
          <w:bCs/>
          <w:color w:val="auto"/>
          <w:sz w:val="22"/>
          <w:szCs w:val="22"/>
          <w:lang w:val="en-US"/>
        </w:rPr>
      </w:pPr>
      <w:r w:rsidRPr="00B32EF6">
        <w:rPr>
          <w:rFonts w:ascii="Arial" w:hAnsi="Arial" w:cs="Arial"/>
          <w:b/>
          <w:bCs/>
          <w:color w:val="auto"/>
          <w:sz w:val="22"/>
          <w:szCs w:val="22"/>
          <w:lang w:val="en-US"/>
        </w:rPr>
        <w:t>4.1- Thermal properties of the materials used</w:t>
      </w:r>
    </w:p>
    <w:p w14:paraId="1682B9A3" w14:textId="0D72DF30" w:rsidR="00876F18" w:rsidRDefault="00FD2941" w:rsidP="00B32EF6">
      <w:pPr>
        <w:spacing w:line="240" w:lineRule="auto"/>
        <w:rPr>
          <w:rFonts w:ascii="Arial" w:hAnsi="Arial" w:cs="Arial"/>
          <w:sz w:val="20"/>
          <w:szCs w:val="20"/>
          <w:lang w:val="en-US"/>
        </w:rPr>
      </w:pPr>
      <w:r w:rsidRPr="00B32EF6">
        <w:rPr>
          <w:rFonts w:ascii="Arial" w:hAnsi="Arial" w:cs="Arial"/>
          <w:sz w:val="20"/>
          <w:szCs w:val="20"/>
          <w:lang w:val="en-US"/>
        </w:rPr>
        <w:t>Table 2 presents the thermal properties of compressed earth bricks, plywood, and glass fiber insulation.</w:t>
      </w:r>
    </w:p>
    <w:p w14:paraId="7381BACE" w14:textId="77777777" w:rsidR="00B32EF6" w:rsidRPr="00B32EF6" w:rsidRDefault="00B32EF6" w:rsidP="00B32EF6">
      <w:pPr>
        <w:spacing w:line="240" w:lineRule="auto"/>
        <w:rPr>
          <w:rFonts w:ascii="Arial" w:hAnsi="Arial" w:cs="Arial"/>
          <w:sz w:val="20"/>
          <w:szCs w:val="20"/>
          <w:lang w:val="en-US"/>
        </w:rPr>
      </w:pPr>
    </w:p>
    <w:p w14:paraId="0DA47EFF" w14:textId="5C8DD7EF" w:rsidR="00540ABA" w:rsidRPr="00B32EF6" w:rsidRDefault="00540ABA" w:rsidP="00B32EF6">
      <w:pPr>
        <w:pStyle w:val="Caption"/>
        <w:keepNext/>
        <w:spacing w:line="360" w:lineRule="auto"/>
        <w:jc w:val="center"/>
        <w:rPr>
          <w:rFonts w:ascii="Arial" w:hAnsi="Arial" w:cs="Arial"/>
          <w:b/>
          <w:bCs/>
          <w:i w:val="0"/>
          <w:iCs w:val="0"/>
          <w:color w:val="auto"/>
          <w:sz w:val="22"/>
          <w:szCs w:val="22"/>
          <w:lang w:val="en-US"/>
        </w:rPr>
      </w:pPr>
      <w:r w:rsidRPr="00B32EF6">
        <w:rPr>
          <w:rFonts w:ascii="Arial" w:hAnsi="Arial" w:cs="Arial"/>
          <w:b/>
          <w:bCs/>
          <w:i w:val="0"/>
          <w:iCs w:val="0"/>
          <w:color w:val="auto"/>
          <w:sz w:val="22"/>
          <w:szCs w:val="22"/>
          <w:lang w:val="en-US"/>
        </w:rPr>
        <w:lastRenderedPageBreak/>
        <w:t xml:space="preserve">Table </w:t>
      </w:r>
      <w:r w:rsidRPr="00B32EF6">
        <w:rPr>
          <w:rFonts w:ascii="Arial" w:hAnsi="Arial" w:cs="Arial"/>
          <w:b/>
          <w:bCs/>
          <w:i w:val="0"/>
          <w:iCs w:val="0"/>
          <w:color w:val="auto"/>
          <w:sz w:val="22"/>
          <w:szCs w:val="22"/>
        </w:rPr>
        <w:fldChar w:fldCharType="begin"/>
      </w:r>
      <w:r w:rsidRPr="00B32EF6">
        <w:rPr>
          <w:rFonts w:ascii="Arial" w:hAnsi="Arial" w:cs="Arial"/>
          <w:b/>
          <w:bCs/>
          <w:i w:val="0"/>
          <w:iCs w:val="0"/>
          <w:color w:val="auto"/>
          <w:sz w:val="22"/>
          <w:szCs w:val="22"/>
          <w:lang w:val="en-US"/>
        </w:rPr>
        <w:instrText xml:space="preserve"> SEQ Table \* ARABIC </w:instrText>
      </w:r>
      <w:r w:rsidRPr="00B32EF6">
        <w:rPr>
          <w:rFonts w:ascii="Arial" w:hAnsi="Arial" w:cs="Arial"/>
          <w:b/>
          <w:bCs/>
          <w:i w:val="0"/>
          <w:iCs w:val="0"/>
          <w:color w:val="auto"/>
          <w:sz w:val="22"/>
          <w:szCs w:val="22"/>
        </w:rPr>
        <w:fldChar w:fldCharType="separate"/>
      </w:r>
      <w:r w:rsidR="00BF60BF" w:rsidRPr="00B32EF6">
        <w:rPr>
          <w:rFonts w:ascii="Arial" w:hAnsi="Arial" w:cs="Arial"/>
          <w:b/>
          <w:bCs/>
          <w:i w:val="0"/>
          <w:iCs w:val="0"/>
          <w:noProof/>
          <w:color w:val="auto"/>
          <w:sz w:val="22"/>
          <w:szCs w:val="22"/>
          <w:lang w:val="en-US"/>
        </w:rPr>
        <w:t>2</w:t>
      </w:r>
      <w:r w:rsidRPr="00B32EF6">
        <w:rPr>
          <w:rFonts w:ascii="Arial" w:hAnsi="Arial" w:cs="Arial"/>
          <w:b/>
          <w:bCs/>
          <w:i w:val="0"/>
          <w:iCs w:val="0"/>
          <w:color w:val="auto"/>
          <w:sz w:val="22"/>
          <w:szCs w:val="22"/>
        </w:rPr>
        <w:fldChar w:fldCharType="end"/>
      </w:r>
      <w:r w:rsidRPr="00B32EF6">
        <w:rPr>
          <w:rFonts w:ascii="Arial" w:hAnsi="Arial" w:cs="Arial"/>
          <w:b/>
          <w:bCs/>
          <w:i w:val="0"/>
          <w:iCs w:val="0"/>
          <w:color w:val="auto"/>
          <w:sz w:val="22"/>
          <w:szCs w:val="22"/>
          <w:lang w:val="en-US"/>
        </w:rPr>
        <w:t>: Thermal properties of the materials used in the cooker</w:t>
      </w:r>
    </w:p>
    <w:tbl>
      <w:tblPr>
        <w:tblStyle w:val="PlainTable4"/>
        <w:tblW w:w="8623" w:type="dxa"/>
        <w:tblInd w:w="-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1663"/>
        <w:gridCol w:w="1247"/>
        <w:gridCol w:w="1247"/>
        <w:gridCol w:w="830"/>
        <w:gridCol w:w="1142"/>
        <w:gridCol w:w="1247"/>
        <w:gridCol w:w="1247"/>
      </w:tblGrid>
      <w:tr w:rsidR="00801D3C" w:rsidRPr="00B32EF6" w14:paraId="05939712" w14:textId="77777777" w:rsidTr="007B6864">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663" w:type="dxa"/>
            <w:tcBorders>
              <w:top w:val="nil"/>
              <w:left w:val="nil"/>
              <w:bottom w:val="single" w:sz="24" w:space="0" w:color="auto"/>
              <w:right w:val="single" w:sz="24" w:space="0" w:color="auto"/>
            </w:tcBorders>
          </w:tcPr>
          <w:p w14:paraId="5DE9856A" w14:textId="77777777" w:rsidR="00554A26" w:rsidRPr="00B32EF6" w:rsidRDefault="00554A26" w:rsidP="00EF3939">
            <w:pPr>
              <w:rPr>
                <w:rFonts w:ascii="Arial" w:hAnsi="Arial" w:cs="Arial"/>
                <w:sz w:val="20"/>
                <w:szCs w:val="20"/>
                <w:lang w:val="en-US"/>
              </w:rPr>
            </w:pPr>
          </w:p>
        </w:tc>
        <w:tc>
          <w:tcPr>
            <w:tcW w:w="1247" w:type="dxa"/>
            <w:tcBorders>
              <w:top w:val="single" w:sz="24" w:space="0" w:color="auto"/>
              <w:left w:val="single" w:sz="24" w:space="0" w:color="auto"/>
              <w:bottom w:val="single" w:sz="6" w:space="0" w:color="auto"/>
            </w:tcBorders>
          </w:tcPr>
          <w:p w14:paraId="62B021A7"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m:oMathPara>
              <m:oMath>
                <m:r>
                  <m:rPr>
                    <m:sty m:val="bi"/>
                  </m:rPr>
                  <w:rPr>
                    <w:rFonts w:ascii="Cambria Math" w:hAnsi="Cambria Math" w:cs="Arial"/>
                    <w:sz w:val="20"/>
                    <w:szCs w:val="20"/>
                  </w:rPr>
                  <m:t>λ</m:t>
                </m:r>
              </m:oMath>
            </m:oMathPara>
          </w:p>
          <w:p w14:paraId="1A07DDF6"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2EF6">
              <w:rPr>
                <w:rFonts w:ascii="Arial" w:hAnsi="Arial" w:cs="Arial"/>
                <w:sz w:val="20"/>
                <w:szCs w:val="20"/>
              </w:rPr>
              <w:t xml:space="preserve"> (W/ (m.K))</w:t>
            </w:r>
          </w:p>
          <w:p w14:paraId="3ADAD520"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247" w:type="dxa"/>
          </w:tcPr>
          <w:p w14:paraId="782EED49"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2EF6">
              <w:rPr>
                <w:rFonts w:ascii="Arial" w:hAnsi="Arial" w:cs="Arial"/>
                <w:sz w:val="20"/>
                <w:szCs w:val="20"/>
              </w:rPr>
              <w:t xml:space="preserve">      R</w:t>
            </w:r>
          </w:p>
          <w:p w14:paraId="3B52005B"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2EF6">
              <w:rPr>
                <w:rFonts w:ascii="Arial" w:hAnsi="Arial" w:cs="Arial"/>
                <w:sz w:val="20"/>
                <w:szCs w:val="20"/>
              </w:rPr>
              <w:t xml:space="preserve"> (m.K/W)</w:t>
            </w:r>
          </w:p>
          <w:p w14:paraId="53E48032"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830" w:type="dxa"/>
          </w:tcPr>
          <w:p w14:paraId="0016CF8A"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sz w:val="20"/>
                <w:szCs w:val="20"/>
              </w:rPr>
            </w:pPr>
            <m:oMathPara>
              <m:oMath>
                <m:r>
                  <m:rPr>
                    <m:sty m:val="bi"/>
                  </m:rPr>
                  <w:rPr>
                    <w:rFonts w:ascii="Cambria Math" w:hAnsi="Cambria Math" w:cs="Arial"/>
                    <w:sz w:val="20"/>
                    <w:szCs w:val="20"/>
                  </w:rPr>
                  <m:t>ρ</m:t>
                </m:r>
              </m:oMath>
            </m:oMathPara>
          </w:p>
          <w:p w14:paraId="06249EA7"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lang w:val="en-US"/>
              </w:rPr>
            </w:pPr>
            <w:r w:rsidRPr="00B32EF6">
              <w:rPr>
                <w:rFonts w:ascii="Arial" w:hAnsi="Arial" w:cs="Arial"/>
                <w:sz w:val="20"/>
                <w:szCs w:val="20"/>
                <w:lang w:val="en-US"/>
              </w:rPr>
              <w:t>(kg/</w:t>
            </w:r>
            <m:oMath>
              <m:sSup>
                <m:sSupPr>
                  <m:ctrlPr>
                    <w:rPr>
                      <w:rFonts w:ascii="Cambria Math" w:hAnsi="Cambria Math" w:cs="Arial"/>
                      <w:i/>
                      <w:sz w:val="20"/>
                      <w:szCs w:val="20"/>
                    </w:rPr>
                  </m:ctrlPr>
                </m:sSupPr>
                <m:e>
                  <m:r>
                    <m:rPr>
                      <m:sty m:val="bi"/>
                    </m:rPr>
                    <w:rPr>
                      <w:rFonts w:ascii="Cambria Math" w:hAnsi="Cambria Math" w:cs="Arial"/>
                      <w:sz w:val="20"/>
                      <w:szCs w:val="20"/>
                    </w:rPr>
                    <m:t>m</m:t>
                  </m:r>
                </m:e>
                <m:sup>
                  <m:r>
                    <m:rPr>
                      <m:sty m:val="bi"/>
                    </m:rPr>
                    <w:rPr>
                      <w:rFonts w:ascii="Cambria Math" w:hAnsi="Cambria Math" w:cs="Arial"/>
                      <w:sz w:val="20"/>
                      <w:szCs w:val="20"/>
                    </w:rPr>
                    <m:t>3</m:t>
                  </m:r>
                </m:sup>
              </m:sSup>
              <m:r>
                <m:rPr>
                  <m:sty m:val="bi"/>
                </m:rPr>
                <w:rPr>
                  <w:rFonts w:ascii="Cambria Math" w:hAnsi="Cambria Math" w:cs="Arial"/>
                  <w:sz w:val="20"/>
                  <w:szCs w:val="20"/>
                </w:rPr>
                <m:t>)</m:t>
              </m:r>
            </m:oMath>
            <w:r w:rsidRPr="00B32EF6">
              <w:rPr>
                <w:rFonts w:ascii="Arial" w:hAnsi="Arial" w:cs="Arial"/>
                <w:sz w:val="20"/>
                <w:szCs w:val="20"/>
                <w:lang w:val="en-US"/>
              </w:rPr>
              <w:t xml:space="preserve"> </w:t>
            </w:r>
          </w:p>
          <w:p w14:paraId="45E72504"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142" w:type="dxa"/>
          </w:tcPr>
          <w:p w14:paraId="4F83E25D"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32EF6">
              <w:rPr>
                <w:rFonts w:ascii="Arial" w:hAnsi="Arial" w:cs="Arial"/>
                <w:sz w:val="20"/>
                <w:szCs w:val="20"/>
              </w:rPr>
              <w:t>Cp</w:t>
            </w:r>
          </w:p>
          <w:p w14:paraId="118FDE3C"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2EF6">
              <w:rPr>
                <w:rFonts w:ascii="Arial" w:hAnsi="Arial" w:cs="Arial"/>
                <w:sz w:val="20"/>
                <w:szCs w:val="20"/>
              </w:rPr>
              <w:t xml:space="preserve">(J/ (kg. K)) </w:t>
            </w:r>
          </w:p>
          <w:p w14:paraId="574D4C1B"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247" w:type="dxa"/>
          </w:tcPr>
          <w:p w14:paraId="4B6D9D5F"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rPr>
            </w:pPr>
            <m:oMathPara>
              <m:oMath>
                <m:r>
                  <m:rPr>
                    <m:sty m:val="bi"/>
                  </m:rPr>
                  <w:rPr>
                    <w:rFonts w:ascii="Cambria Math" w:hAnsi="Cambria Math" w:cs="Arial"/>
                    <w:sz w:val="20"/>
                    <w:szCs w:val="20"/>
                  </w:rPr>
                  <m:t>α</m:t>
                </m:r>
              </m:oMath>
            </m:oMathPara>
          </w:p>
          <w:p w14:paraId="473B1F20"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B32EF6">
              <w:rPr>
                <w:rFonts w:ascii="Arial" w:hAnsi="Arial" w:cs="Arial"/>
                <w:sz w:val="20"/>
                <w:szCs w:val="20"/>
              </w:rPr>
              <w:t>(</w:t>
            </w:r>
            <m:oMath>
              <m:sSup>
                <m:sSupPr>
                  <m:ctrlPr>
                    <w:rPr>
                      <w:rFonts w:ascii="Cambria Math" w:hAnsi="Cambria Math" w:cs="Arial"/>
                      <w:i/>
                      <w:sz w:val="20"/>
                      <w:szCs w:val="20"/>
                    </w:rPr>
                  </m:ctrlPr>
                </m:sSupPr>
                <m:e>
                  <m:r>
                    <m:rPr>
                      <m:sty m:val="bi"/>
                    </m:rPr>
                    <w:rPr>
                      <w:rFonts w:ascii="Cambria Math" w:hAnsi="Cambria Math" w:cs="Arial"/>
                      <w:sz w:val="20"/>
                      <w:szCs w:val="20"/>
                    </w:rPr>
                    <m:t>mm</m:t>
                  </m:r>
                </m:e>
                <m:sup>
                  <m:r>
                    <m:rPr>
                      <m:sty m:val="bi"/>
                    </m:rPr>
                    <w:rPr>
                      <w:rFonts w:ascii="Cambria Math" w:hAnsi="Cambria Math" w:cs="Arial"/>
                      <w:sz w:val="20"/>
                      <w:szCs w:val="20"/>
                    </w:rPr>
                    <m:t>2</m:t>
                  </m:r>
                </m:sup>
              </m:sSup>
            </m:oMath>
            <w:r w:rsidRPr="00B32EF6">
              <w:rPr>
                <w:rFonts w:ascii="Arial" w:hAnsi="Arial" w:cs="Arial"/>
                <w:sz w:val="20"/>
                <w:szCs w:val="20"/>
              </w:rPr>
              <w:t>/s)</w:t>
            </w:r>
          </w:p>
          <w:p w14:paraId="4225F1C1"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247" w:type="dxa"/>
          </w:tcPr>
          <w:p w14:paraId="44B85EDE"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2EF6">
              <w:rPr>
                <w:rFonts w:ascii="Arial" w:hAnsi="Arial" w:cs="Arial"/>
                <w:sz w:val="20"/>
                <w:szCs w:val="20"/>
              </w:rPr>
              <w:t>E</w:t>
            </w:r>
          </w:p>
          <w:p w14:paraId="701C37BF"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2EF6">
              <w:rPr>
                <w:rFonts w:ascii="Arial" w:hAnsi="Arial" w:cs="Arial"/>
                <w:sz w:val="20"/>
                <w:szCs w:val="20"/>
              </w:rPr>
              <w:t>(J/</w:t>
            </w:r>
            <m:oMath>
              <m:sSup>
                <m:sSupPr>
                  <m:ctrlPr>
                    <w:rPr>
                      <w:rFonts w:ascii="Cambria Math" w:hAnsi="Cambria Math" w:cs="Arial"/>
                      <w:i/>
                      <w:sz w:val="20"/>
                      <w:szCs w:val="20"/>
                    </w:rPr>
                  </m:ctrlPr>
                </m:sSupPr>
                <m:e>
                  <m:r>
                    <m:rPr>
                      <m:sty m:val="bi"/>
                    </m:rPr>
                    <w:rPr>
                      <w:rFonts w:ascii="Cambria Math" w:hAnsi="Cambria Math" w:cs="Arial"/>
                      <w:sz w:val="20"/>
                      <w:szCs w:val="20"/>
                    </w:rPr>
                    <m:t>S</m:t>
                  </m:r>
                </m:e>
                <m:sup>
                  <m:r>
                    <m:rPr>
                      <m:sty m:val="bi"/>
                    </m:rPr>
                    <w:rPr>
                      <w:rFonts w:ascii="Cambria Math" w:hAnsi="Cambria Math" w:cs="Arial"/>
                      <w:sz w:val="20"/>
                      <w:szCs w:val="20"/>
                    </w:rPr>
                    <m:t>1/2</m:t>
                  </m:r>
                </m:sup>
              </m:sSup>
              <m:r>
                <m:rPr>
                  <m:sty m:val="bi"/>
                </m:rPr>
                <w:rPr>
                  <w:rFonts w:ascii="Cambria Math" w:hAnsi="Cambria Math" w:cs="Arial"/>
                  <w:sz w:val="20"/>
                  <w:szCs w:val="20"/>
                </w:rPr>
                <m:t>.</m:t>
              </m:r>
              <m:sSup>
                <m:sSupPr>
                  <m:ctrlPr>
                    <w:rPr>
                      <w:rFonts w:ascii="Cambria Math" w:hAnsi="Cambria Math" w:cs="Arial"/>
                      <w:i/>
                      <w:sz w:val="20"/>
                      <w:szCs w:val="20"/>
                    </w:rPr>
                  </m:ctrlPr>
                </m:sSupPr>
                <m:e>
                  <m:r>
                    <m:rPr>
                      <m:sty m:val="bi"/>
                    </m:rPr>
                    <w:rPr>
                      <w:rFonts w:ascii="Cambria Math" w:hAnsi="Cambria Math" w:cs="Arial"/>
                      <w:sz w:val="20"/>
                      <w:szCs w:val="20"/>
                    </w:rPr>
                    <m:t>m</m:t>
                  </m:r>
                </m:e>
                <m:sup>
                  <m:r>
                    <m:rPr>
                      <m:sty m:val="bi"/>
                    </m:rPr>
                    <w:rPr>
                      <w:rFonts w:ascii="Cambria Math" w:hAnsi="Cambria Math" w:cs="Arial"/>
                      <w:sz w:val="20"/>
                      <w:szCs w:val="20"/>
                    </w:rPr>
                    <m:t>2</m:t>
                  </m:r>
                </m:sup>
              </m:sSup>
              <m:r>
                <m:rPr>
                  <m:sty m:val="bi"/>
                </m:rPr>
                <w:rPr>
                  <w:rFonts w:ascii="Cambria Math" w:hAnsi="Cambria Math" w:cs="Arial"/>
                  <w:sz w:val="20"/>
                  <w:szCs w:val="20"/>
                </w:rPr>
                <m:t>.K)</m:t>
              </m:r>
            </m:oMath>
          </w:p>
        </w:tc>
      </w:tr>
      <w:tr w:rsidR="00801D3C" w:rsidRPr="00B32EF6" w14:paraId="08BF34E5" w14:textId="77777777" w:rsidTr="007B6864">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663" w:type="dxa"/>
            <w:tcBorders>
              <w:top w:val="single" w:sz="24" w:space="0" w:color="auto"/>
              <w:bottom w:val="single" w:sz="6" w:space="0" w:color="auto"/>
            </w:tcBorders>
          </w:tcPr>
          <w:p w14:paraId="0A174A9C" w14:textId="0732A2E3" w:rsidR="00554A26" w:rsidRPr="00B32EF6" w:rsidRDefault="00554A26" w:rsidP="00801D3C">
            <w:pPr>
              <w:rPr>
                <w:rFonts w:ascii="Arial" w:hAnsi="Arial" w:cs="Arial"/>
                <w:sz w:val="20"/>
                <w:szCs w:val="20"/>
                <w:lang w:val="en-US"/>
              </w:rPr>
            </w:pPr>
            <w:r w:rsidRPr="00B32EF6">
              <w:rPr>
                <w:rFonts w:ascii="Arial" w:hAnsi="Arial" w:cs="Arial"/>
                <w:sz w:val="20"/>
                <w:szCs w:val="20"/>
                <w:lang w:val="en-US"/>
              </w:rPr>
              <w:t>Compressed earth bricks (C.E.B.)</w:t>
            </w:r>
          </w:p>
        </w:tc>
        <w:tc>
          <w:tcPr>
            <w:tcW w:w="1247" w:type="dxa"/>
            <w:tcBorders>
              <w:top w:val="single" w:sz="6" w:space="0" w:color="auto"/>
            </w:tcBorders>
          </w:tcPr>
          <w:p w14:paraId="3A95F792" w14:textId="77777777" w:rsidR="00554A26" w:rsidRPr="00B32EF6" w:rsidRDefault="00554A26"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0,675</w:t>
            </w:r>
            <m:oMath>
              <m:r>
                <m:rPr>
                  <m:sty m:val="bi"/>
                </m:rPr>
                <w:rPr>
                  <w:rFonts w:ascii="Cambria Math" w:hAnsi="Cambria Math" w:cs="Arial"/>
                  <w:sz w:val="20"/>
                  <w:szCs w:val="20"/>
                </w:rPr>
                <m:t>±</m:t>
              </m:r>
            </m:oMath>
            <w:r w:rsidRPr="00B32EF6">
              <w:rPr>
                <w:rFonts w:ascii="Arial" w:eastAsiaTheme="minorEastAsia" w:hAnsi="Arial" w:cs="Arial"/>
                <w:b/>
                <w:bCs/>
                <w:sz w:val="20"/>
                <w:szCs w:val="20"/>
              </w:rPr>
              <w:t>0,010</w:t>
            </w:r>
          </w:p>
        </w:tc>
        <w:tc>
          <w:tcPr>
            <w:tcW w:w="1247" w:type="dxa"/>
          </w:tcPr>
          <w:p w14:paraId="26477F05" w14:textId="77777777" w:rsidR="00554A26" w:rsidRPr="00B32EF6" w:rsidRDefault="00554A26"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1,482</w:t>
            </w:r>
            <m:oMath>
              <m:r>
                <m:rPr>
                  <m:sty m:val="bi"/>
                </m:rPr>
                <w:rPr>
                  <w:rFonts w:ascii="Cambria Math" w:hAnsi="Cambria Math" w:cs="Arial"/>
                  <w:sz w:val="20"/>
                  <w:szCs w:val="20"/>
                </w:rPr>
                <m:t>±</m:t>
              </m:r>
            </m:oMath>
            <w:r w:rsidRPr="00B32EF6">
              <w:rPr>
                <w:rFonts w:ascii="Arial" w:eastAsiaTheme="minorEastAsia" w:hAnsi="Arial" w:cs="Arial"/>
                <w:b/>
                <w:bCs/>
                <w:sz w:val="20"/>
                <w:szCs w:val="20"/>
              </w:rPr>
              <w:t>0,008</w:t>
            </w:r>
          </w:p>
        </w:tc>
        <w:tc>
          <w:tcPr>
            <w:tcW w:w="830" w:type="dxa"/>
          </w:tcPr>
          <w:p w14:paraId="1FE0BAA2" w14:textId="77777777" w:rsidR="00554A26" w:rsidRPr="00B32EF6" w:rsidRDefault="00554A26"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2048,77</w:t>
            </w:r>
          </w:p>
        </w:tc>
        <w:tc>
          <w:tcPr>
            <w:tcW w:w="1142" w:type="dxa"/>
          </w:tcPr>
          <w:p w14:paraId="0B64AE33" w14:textId="77777777" w:rsidR="00554A26" w:rsidRPr="00B32EF6" w:rsidRDefault="00554A26"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1749</w:t>
            </w:r>
            <m:oMath>
              <m:r>
                <m:rPr>
                  <m:sty m:val="bi"/>
                </m:rPr>
                <w:rPr>
                  <w:rFonts w:ascii="Cambria Math" w:hAnsi="Cambria Math" w:cs="Arial"/>
                  <w:sz w:val="20"/>
                  <w:szCs w:val="20"/>
                </w:rPr>
                <m:t>±</m:t>
              </m:r>
            </m:oMath>
            <w:r w:rsidRPr="00B32EF6">
              <w:rPr>
                <w:rFonts w:ascii="Arial" w:eastAsiaTheme="minorEastAsia" w:hAnsi="Arial" w:cs="Arial"/>
                <w:b/>
                <w:bCs/>
                <w:sz w:val="20"/>
                <w:szCs w:val="20"/>
              </w:rPr>
              <w:t>4</w:t>
            </w:r>
          </w:p>
        </w:tc>
        <w:tc>
          <w:tcPr>
            <w:tcW w:w="1247" w:type="dxa"/>
          </w:tcPr>
          <w:p w14:paraId="307B89BC" w14:textId="77777777" w:rsidR="00554A26" w:rsidRPr="00B32EF6" w:rsidRDefault="00554A26"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0,19</w:t>
            </w:r>
            <m:oMath>
              <m:r>
                <m:rPr>
                  <m:sty m:val="b"/>
                </m:rPr>
                <w:rPr>
                  <w:rFonts w:ascii="Cambria Math" w:hAnsi="Cambria Math" w:cs="Arial"/>
                  <w:sz w:val="20"/>
                  <w:szCs w:val="20"/>
                </w:rPr>
                <m:t>±</m:t>
              </m:r>
            </m:oMath>
            <w:r w:rsidRPr="00B32EF6">
              <w:rPr>
                <w:rFonts w:ascii="Arial" w:eastAsiaTheme="minorEastAsia" w:hAnsi="Arial" w:cs="Arial"/>
                <w:b/>
                <w:bCs/>
                <w:sz w:val="20"/>
                <w:szCs w:val="20"/>
              </w:rPr>
              <w:t>0,01</w:t>
            </w:r>
          </w:p>
        </w:tc>
        <w:tc>
          <w:tcPr>
            <w:tcW w:w="1247" w:type="dxa"/>
          </w:tcPr>
          <w:p w14:paraId="0E5FB569" w14:textId="77777777" w:rsidR="00554A26" w:rsidRPr="00B32EF6" w:rsidRDefault="00554A26"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1555,6</w:t>
            </w:r>
            <m:oMath>
              <m:r>
                <m:rPr>
                  <m:sty m:val="b"/>
                </m:rPr>
                <w:rPr>
                  <w:rFonts w:ascii="Cambria Math" w:hAnsi="Cambria Math" w:cs="Arial"/>
                  <w:sz w:val="20"/>
                  <w:szCs w:val="20"/>
                </w:rPr>
                <m:t>±</m:t>
              </m:r>
            </m:oMath>
            <w:r w:rsidRPr="00B32EF6">
              <w:rPr>
                <w:rFonts w:ascii="Arial" w:eastAsiaTheme="minorEastAsia" w:hAnsi="Arial" w:cs="Arial"/>
                <w:b/>
                <w:bCs/>
                <w:sz w:val="20"/>
                <w:szCs w:val="20"/>
              </w:rPr>
              <w:t>0,2</w:t>
            </w:r>
          </w:p>
        </w:tc>
      </w:tr>
      <w:tr w:rsidR="00801D3C" w:rsidRPr="00B32EF6" w14:paraId="6CA9519C" w14:textId="77777777" w:rsidTr="007B6864">
        <w:trPr>
          <w:trHeight w:val="471"/>
        </w:trPr>
        <w:tc>
          <w:tcPr>
            <w:cnfStyle w:val="001000000000" w:firstRow="0" w:lastRow="0" w:firstColumn="1" w:lastColumn="0" w:oddVBand="0" w:evenVBand="0" w:oddHBand="0" w:evenHBand="0" w:firstRowFirstColumn="0" w:firstRowLastColumn="0" w:lastRowFirstColumn="0" w:lastRowLastColumn="0"/>
            <w:tcW w:w="1663" w:type="dxa"/>
            <w:tcBorders>
              <w:top w:val="single" w:sz="6" w:space="0" w:color="auto"/>
            </w:tcBorders>
          </w:tcPr>
          <w:p w14:paraId="4A25B07B" w14:textId="1A61A4F5" w:rsidR="00554A26" w:rsidRPr="00B32EF6" w:rsidRDefault="00554A26" w:rsidP="00EF3939">
            <w:pPr>
              <w:rPr>
                <w:rFonts w:ascii="Arial" w:hAnsi="Arial" w:cs="Arial"/>
                <w:sz w:val="20"/>
                <w:szCs w:val="20"/>
              </w:rPr>
            </w:pPr>
            <w:r w:rsidRPr="00B32EF6">
              <w:rPr>
                <w:rFonts w:ascii="Arial" w:hAnsi="Arial" w:cs="Arial"/>
                <w:sz w:val="20"/>
                <w:szCs w:val="20"/>
                <w:lang w:val="en-US"/>
              </w:rPr>
              <w:t>plywood</w:t>
            </w:r>
            <w:r w:rsidRPr="00B32EF6">
              <w:rPr>
                <w:rFonts w:ascii="Arial" w:hAnsi="Arial" w:cs="Arial"/>
                <w:sz w:val="20"/>
                <w:szCs w:val="20"/>
              </w:rPr>
              <w:t xml:space="preserve"> </w:t>
            </w:r>
          </w:p>
        </w:tc>
        <w:tc>
          <w:tcPr>
            <w:tcW w:w="1247" w:type="dxa"/>
          </w:tcPr>
          <w:p w14:paraId="22F04244" w14:textId="77777777" w:rsidR="00554A26" w:rsidRPr="00B32EF6" w:rsidRDefault="00554A26" w:rsidP="00EF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0,120</w:t>
            </w:r>
            <m:oMath>
              <m:r>
                <m:rPr>
                  <m:sty m:val="bi"/>
                </m:rPr>
                <w:rPr>
                  <w:rFonts w:ascii="Cambria Math" w:hAnsi="Cambria Math" w:cs="Arial"/>
                  <w:sz w:val="20"/>
                  <w:szCs w:val="20"/>
                </w:rPr>
                <m:t>±</m:t>
              </m:r>
            </m:oMath>
            <w:r w:rsidRPr="00B32EF6">
              <w:rPr>
                <w:rFonts w:ascii="Arial" w:eastAsiaTheme="minorEastAsia" w:hAnsi="Arial" w:cs="Arial"/>
                <w:b/>
                <w:bCs/>
                <w:sz w:val="20"/>
                <w:szCs w:val="20"/>
              </w:rPr>
              <w:t>0,007</w:t>
            </w:r>
          </w:p>
        </w:tc>
        <w:tc>
          <w:tcPr>
            <w:tcW w:w="1247" w:type="dxa"/>
          </w:tcPr>
          <w:p w14:paraId="762AED89" w14:textId="77777777" w:rsidR="00554A26" w:rsidRPr="00B32EF6" w:rsidRDefault="00554A26" w:rsidP="00EF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8,3</w:t>
            </w:r>
            <m:oMath>
              <m:r>
                <m:rPr>
                  <m:sty m:val="bi"/>
                </m:rPr>
                <w:rPr>
                  <w:rFonts w:ascii="Cambria Math" w:hAnsi="Cambria Math" w:cs="Arial"/>
                  <w:sz w:val="20"/>
                  <w:szCs w:val="20"/>
                </w:rPr>
                <m:t>±</m:t>
              </m:r>
            </m:oMath>
            <w:r w:rsidRPr="00B32EF6">
              <w:rPr>
                <w:rFonts w:ascii="Arial" w:eastAsiaTheme="minorEastAsia" w:hAnsi="Arial" w:cs="Arial"/>
                <w:b/>
                <w:bCs/>
                <w:sz w:val="20"/>
                <w:szCs w:val="20"/>
              </w:rPr>
              <w:t>0,3</w:t>
            </w:r>
          </w:p>
        </w:tc>
        <w:tc>
          <w:tcPr>
            <w:tcW w:w="830" w:type="dxa"/>
          </w:tcPr>
          <w:p w14:paraId="67E7A1DE" w14:textId="77777777" w:rsidR="00554A26" w:rsidRPr="00B32EF6" w:rsidRDefault="00554A26" w:rsidP="00EF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500</w:t>
            </w:r>
          </w:p>
        </w:tc>
        <w:tc>
          <w:tcPr>
            <w:tcW w:w="1142" w:type="dxa"/>
          </w:tcPr>
          <w:p w14:paraId="3C39C0A7" w14:textId="77777777" w:rsidR="00554A26" w:rsidRPr="00B32EF6" w:rsidRDefault="00554A26" w:rsidP="00EF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1600</w:t>
            </w:r>
            <m:oMath>
              <m:r>
                <m:rPr>
                  <m:sty m:val="bi"/>
                </m:rPr>
                <w:rPr>
                  <w:rFonts w:ascii="Cambria Math" w:hAnsi="Cambria Math" w:cs="Arial"/>
                  <w:sz w:val="20"/>
                  <w:szCs w:val="20"/>
                </w:rPr>
                <m:t>±</m:t>
              </m:r>
            </m:oMath>
            <w:r w:rsidRPr="00B32EF6">
              <w:rPr>
                <w:rFonts w:ascii="Arial" w:eastAsiaTheme="minorEastAsia" w:hAnsi="Arial" w:cs="Arial"/>
                <w:b/>
                <w:bCs/>
                <w:sz w:val="20"/>
                <w:szCs w:val="20"/>
              </w:rPr>
              <w:t>3</w:t>
            </w:r>
          </w:p>
        </w:tc>
        <w:tc>
          <w:tcPr>
            <w:tcW w:w="1247" w:type="dxa"/>
          </w:tcPr>
          <w:p w14:paraId="0EA09BF1" w14:textId="77777777" w:rsidR="00554A26" w:rsidRPr="00B32EF6" w:rsidRDefault="00554A26" w:rsidP="00EF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0,11</w:t>
            </w:r>
            <m:oMath>
              <m:r>
                <m:rPr>
                  <m:sty m:val="bi"/>
                </m:rPr>
                <w:rPr>
                  <w:rFonts w:ascii="Cambria Math" w:hAnsi="Cambria Math" w:cs="Arial"/>
                  <w:sz w:val="20"/>
                  <w:szCs w:val="20"/>
                </w:rPr>
                <m:t>0±</m:t>
              </m:r>
            </m:oMath>
            <w:r w:rsidRPr="00B32EF6">
              <w:rPr>
                <w:rFonts w:ascii="Arial" w:eastAsiaTheme="minorEastAsia" w:hAnsi="Arial" w:cs="Arial"/>
                <w:b/>
                <w:bCs/>
                <w:sz w:val="20"/>
                <w:szCs w:val="20"/>
              </w:rPr>
              <w:t>0,003</w:t>
            </w:r>
          </w:p>
        </w:tc>
        <w:tc>
          <w:tcPr>
            <w:tcW w:w="1247" w:type="dxa"/>
          </w:tcPr>
          <w:p w14:paraId="428B14CA" w14:textId="77777777" w:rsidR="00554A26" w:rsidRPr="00B32EF6" w:rsidRDefault="00554A26" w:rsidP="00EF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309,8</w:t>
            </w:r>
            <m:oMath>
              <m:r>
                <m:rPr>
                  <m:sty m:val="b"/>
                </m:rPr>
                <w:rPr>
                  <w:rFonts w:ascii="Cambria Math" w:hAnsi="Cambria Math" w:cs="Arial"/>
                  <w:sz w:val="20"/>
                  <w:szCs w:val="20"/>
                </w:rPr>
                <m:t>±</m:t>
              </m:r>
            </m:oMath>
            <w:r w:rsidRPr="00B32EF6">
              <w:rPr>
                <w:rFonts w:ascii="Arial" w:eastAsiaTheme="minorEastAsia" w:hAnsi="Arial" w:cs="Arial"/>
                <w:b/>
                <w:bCs/>
                <w:sz w:val="20"/>
                <w:szCs w:val="20"/>
              </w:rPr>
              <w:t>0,2</w:t>
            </w:r>
          </w:p>
        </w:tc>
      </w:tr>
      <w:tr w:rsidR="00FD2941" w:rsidRPr="00B32EF6" w14:paraId="3C828CAA" w14:textId="77777777" w:rsidTr="00FD2941">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663" w:type="dxa"/>
          </w:tcPr>
          <w:p w14:paraId="58100AFC" w14:textId="6DA2DC23" w:rsidR="00FD2941" w:rsidRPr="00B32EF6" w:rsidRDefault="00FD2941" w:rsidP="00EF3939">
            <w:pPr>
              <w:rPr>
                <w:rFonts w:ascii="Arial" w:hAnsi="Arial" w:cs="Arial"/>
                <w:sz w:val="20"/>
                <w:szCs w:val="20"/>
                <w:lang w:val="en-US"/>
              </w:rPr>
            </w:pPr>
            <w:r w:rsidRPr="00B32EF6">
              <w:rPr>
                <w:rFonts w:ascii="Arial" w:hAnsi="Arial" w:cs="Arial"/>
                <w:sz w:val="20"/>
                <w:szCs w:val="20"/>
              </w:rPr>
              <w:t>Glass fiber insulation</w:t>
            </w:r>
          </w:p>
        </w:tc>
        <w:tc>
          <w:tcPr>
            <w:tcW w:w="1247" w:type="dxa"/>
          </w:tcPr>
          <w:p w14:paraId="7A82515E" w14:textId="7A51782C" w:rsidR="00FD2941" w:rsidRPr="00B32EF6" w:rsidRDefault="00FD2941"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sz w:val="20"/>
                <w:szCs w:val="20"/>
              </w:rPr>
              <w:t>0,046</w:t>
            </w:r>
            <m:oMath>
              <m:r>
                <w:rPr>
                  <w:rFonts w:ascii="Cambria Math" w:hAnsi="Cambria Math" w:cs="Arial"/>
                  <w:sz w:val="20"/>
                  <w:szCs w:val="20"/>
                </w:rPr>
                <m:t>±</m:t>
              </m:r>
            </m:oMath>
            <w:r w:rsidRPr="00B32EF6">
              <w:rPr>
                <w:rFonts w:ascii="Arial" w:eastAsiaTheme="minorEastAsia" w:hAnsi="Arial" w:cs="Arial"/>
                <w:sz w:val="20"/>
                <w:szCs w:val="20"/>
              </w:rPr>
              <w:t>0,001</w:t>
            </w:r>
          </w:p>
        </w:tc>
        <w:tc>
          <w:tcPr>
            <w:tcW w:w="1247" w:type="dxa"/>
          </w:tcPr>
          <w:p w14:paraId="74786B98" w14:textId="59A4FC64" w:rsidR="00FD2941" w:rsidRPr="00B32EF6" w:rsidRDefault="00FD2941"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sz w:val="20"/>
                <w:szCs w:val="20"/>
              </w:rPr>
              <w:t>21,9</w:t>
            </w:r>
            <m:oMath>
              <m:r>
                <w:rPr>
                  <w:rFonts w:ascii="Cambria Math" w:hAnsi="Cambria Math" w:cs="Arial"/>
                  <w:sz w:val="20"/>
                  <w:szCs w:val="20"/>
                </w:rPr>
                <m:t>±</m:t>
              </m:r>
            </m:oMath>
            <w:r w:rsidRPr="00B32EF6">
              <w:rPr>
                <w:rFonts w:ascii="Arial" w:eastAsiaTheme="minorEastAsia" w:hAnsi="Arial" w:cs="Arial"/>
                <w:sz w:val="20"/>
                <w:szCs w:val="20"/>
              </w:rPr>
              <w:t>0,2</w:t>
            </w:r>
          </w:p>
        </w:tc>
        <w:tc>
          <w:tcPr>
            <w:tcW w:w="830" w:type="dxa"/>
          </w:tcPr>
          <w:p w14:paraId="4AC4AE83" w14:textId="220262D8" w:rsidR="00FD2941" w:rsidRPr="00B32EF6" w:rsidRDefault="00FD2941"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sz w:val="20"/>
                <w:szCs w:val="20"/>
              </w:rPr>
              <w:t>200</w:t>
            </w:r>
          </w:p>
        </w:tc>
        <w:tc>
          <w:tcPr>
            <w:tcW w:w="1142" w:type="dxa"/>
          </w:tcPr>
          <w:p w14:paraId="7667C103" w14:textId="209E0F74" w:rsidR="00FD2941" w:rsidRPr="00B32EF6" w:rsidRDefault="00FD2941"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sz w:val="20"/>
                <w:szCs w:val="20"/>
              </w:rPr>
              <w:t>1030</w:t>
            </w:r>
            <w:r w:rsidRPr="00B32EF6">
              <w:rPr>
                <w:rFonts w:ascii="Arial" w:hAnsi="Arial" w:cs="Arial"/>
                <w:sz w:val="20"/>
                <w:szCs w:val="20"/>
              </w:rPr>
              <w:fldChar w:fldCharType="begin" w:fldLock="1"/>
            </w:r>
            <w:r w:rsidR="0064484C" w:rsidRPr="00B32EF6">
              <w:rPr>
                <w:rFonts w:ascii="Arial" w:hAnsi="Arial" w:cs="Arial"/>
                <w:sz w:val="20"/>
                <w:szCs w:val="20"/>
              </w:rPr>
              <w:instrText>ADDIN CSL_CITATION {"citationItems":[{"id":"ITEM-1","itemData":{"author":[{"dropping-particle":"DU","family":"VERRE","given":"FÉDÉRATION DE L'INDUSTRIE","non-dropping-particle":"","parse-names":false,"suffix":""}],"id":"ITEM-1","issued":{"date-parts":[["2012"]]},"title":"Applications et caractéristiques techniques Les applications","type":"article-journal"},"uris":["http://www.mendeley.com/documents/?uuid=5ee7b7fb-79ab-4cc8-889a-0b2584c236d8"]}],"mendeley":{"formattedCitation":"(VERRE, 2012)","plainTextFormattedCitation":"(VERRE, 2012)","previouslyFormattedCitation":"(VERRE, 2012)"},"properties":{"noteIndex":0},"schema":"https://github.com/citation-style-language/schema/raw/master/csl-citation.json"}</w:instrText>
            </w:r>
            <w:r w:rsidRPr="00B32EF6">
              <w:rPr>
                <w:rFonts w:ascii="Arial" w:hAnsi="Arial" w:cs="Arial"/>
                <w:sz w:val="20"/>
                <w:szCs w:val="20"/>
              </w:rPr>
              <w:fldChar w:fldCharType="separate"/>
            </w:r>
            <w:r w:rsidR="00645FDF" w:rsidRPr="00B32EF6">
              <w:rPr>
                <w:rFonts w:ascii="Arial" w:hAnsi="Arial" w:cs="Arial"/>
                <w:noProof/>
                <w:sz w:val="20"/>
                <w:szCs w:val="20"/>
              </w:rPr>
              <w:t>(VERRE, 2012)</w:t>
            </w:r>
            <w:r w:rsidRPr="00B32EF6">
              <w:rPr>
                <w:rFonts w:ascii="Arial" w:hAnsi="Arial" w:cs="Arial"/>
                <w:sz w:val="20"/>
                <w:szCs w:val="20"/>
              </w:rPr>
              <w:fldChar w:fldCharType="end"/>
            </w:r>
          </w:p>
        </w:tc>
        <w:tc>
          <w:tcPr>
            <w:tcW w:w="1247" w:type="dxa"/>
          </w:tcPr>
          <w:p w14:paraId="05647FBD" w14:textId="5C3381CE" w:rsidR="00FD2941" w:rsidRPr="00B32EF6" w:rsidRDefault="00FD2941"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sz w:val="20"/>
                <w:szCs w:val="20"/>
              </w:rPr>
              <w:t>0,0022</w:t>
            </w:r>
          </w:p>
        </w:tc>
        <w:tc>
          <w:tcPr>
            <w:tcW w:w="1247" w:type="dxa"/>
          </w:tcPr>
          <w:p w14:paraId="7B851BA5" w14:textId="5E7AE546" w:rsidR="00FD2941" w:rsidRPr="00B32EF6" w:rsidRDefault="00FD2941"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sz w:val="20"/>
                <w:szCs w:val="20"/>
              </w:rPr>
              <w:t>97,34</w:t>
            </w:r>
            <m:oMath>
              <m:r>
                <m:rPr>
                  <m:sty m:val="p"/>
                </m:rPr>
                <w:rPr>
                  <w:rFonts w:ascii="Cambria Math" w:hAnsi="Cambria Math" w:cs="Arial"/>
                  <w:sz w:val="20"/>
                  <w:szCs w:val="20"/>
                </w:rPr>
                <m:t>±</m:t>
              </m:r>
            </m:oMath>
            <w:r w:rsidRPr="00B32EF6">
              <w:rPr>
                <w:rFonts w:ascii="Arial" w:eastAsiaTheme="minorEastAsia" w:hAnsi="Arial" w:cs="Arial"/>
                <w:sz w:val="20"/>
                <w:szCs w:val="20"/>
              </w:rPr>
              <w:t>0,10</w:t>
            </w:r>
          </w:p>
        </w:tc>
      </w:tr>
    </w:tbl>
    <w:p w14:paraId="2CC8FB4E" w14:textId="77777777" w:rsidR="00153EE5" w:rsidRDefault="00153EE5" w:rsidP="00D01EE3">
      <w:pPr>
        <w:tabs>
          <w:tab w:val="left" w:pos="1523"/>
        </w:tabs>
        <w:spacing w:after="0" w:line="240" w:lineRule="auto"/>
        <w:jc w:val="both"/>
        <w:rPr>
          <w:rFonts w:asciiTheme="majorBidi" w:hAnsiTheme="majorBidi" w:cstheme="majorBidi"/>
          <w:sz w:val="24"/>
          <w:szCs w:val="24"/>
          <w:lang w:val="en-US"/>
        </w:rPr>
      </w:pPr>
    </w:p>
    <w:p w14:paraId="56D2815B" w14:textId="077E102C" w:rsidR="00FD2941"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Thermal conductivity, specific heat, diffusivity, and effusivity are the main thermal properties evaluated in this study. Indeed, these key thermal properties allow a qualitative assessment of a material’s thermal performance because they help understand how a material reacts to heat—how it transfers, stores, and dissipates it. This understanding is essential for designing efficient thermal systems, ranging from insulation to thermal management in building materials.</w:t>
      </w:r>
    </w:p>
    <w:p w14:paraId="0C59DE1A" w14:textId="20ADC335" w:rsidR="007B6864"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The values of these parameters obtained from testing with the KD2 Pro analyzer are presented in Table 2.</w:t>
      </w:r>
    </w:p>
    <w:p w14:paraId="083811A2" w14:textId="5E08B50A" w:rsidR="007B6864"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CEBs have relatively low thermal conductivities, which is favorable for thermal insulation. Indeed, a material is considered a thermal insulator if it has low thermal conductivity. Given the high temperatures generated by biomass combustion compared to the absorber temperature in a box-type solar cooker, CEBs will be used as insulation for the combustion chamber.</w:t>
      </w:r>
    </w:p>
    <w:p w14:paraId="6E6F5D0B" w14:textId="0854BF16" w:rsidR="007B6864"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Regarding thermal resistance, glass fiber insulation has the highest thermal resistance compared to CEB and plywood, as it effectively reduces heat flow. This makes it important in various applications such as thermal insulation for box-type solar cookers. Indeed, materials that generally resist high temperatures tend to be expensive and less insulating.</w:t>
      </w:r>
    </w:p>
    <w:p w14:paraId="7B124698" w14:textId="4917DC9F" w:rsidR="007B6864"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The results also show that the heat capacity of CEB is higher (C</w:t>
      </w:r>
      <w:r w:rsidRPr="00B32EF6">
        <w:rPr>
          <w:rFonts w:ascii="Cambria Math" w:hAnsi="Cambria Math" w:cs="Cambria Math"/>
          <w:sz w:val="20"/>
          <w:szCs w:val="20"/>
          <w:lang w:val="en-US"/>
        </w:rPr>
        <w:t>ₚ</w:t>
      </w:r>
      <w:r w:rsidRPr="00B32EF6">
        <w:rPr>
          <w:rFonts w:ascii="Arial" w:hAnsi="Arial" w:cs="Arial"/>
          <w:sz w:val="20"/>
          <w:szCs w:val="20"/>
          <w:lang w:val="en-US"/>
        </w:rPr>
        <w:t xml:space="preserve"> = 1749 ± 4 J/(kg·K)). Specific heat capacity is particularly important because, in a cooker, a large portion of the energy consumed is absorbed by the walls during the temperature rise and released during cooling </w:t>
      </w:r>
      <w:r w:rsidRPr="00B32EF6">
        <w:rPr>
          <w:rFonts w:ascii="Arial" w:hAnsi="Arial" w:cs="Arial"/>
          <w:sz w:val="20"/>
          <w:szCs w:val="20"/>
        </w:rPr>
        <w:fldChar w:fldCharType="begin" w:fldLock="1"/>
      </w:r>
      <w:r w:rsidR="0064484C" w:rsidRPr="00B32EF6">
        <w:rPr>
          <w:rFonts w:ascii="Arial" w:hAnsi="Arial" w:cs="Arial"/>
          <w:sz w:val="20"/>
          <w:szCs w:val="20"/>
          <w:lang w:val="en-US"/>
        </w:rPr>
        <w:instrText>ADDIN CSL_CITATION {"citationItems":[{"id":"ITEM-1","itemData":{"author":[{"dropping-particle":"","family":"R. C. Brown","given":"P. T. C. Hamson","non-dropping-particle":"","parse-names":false,"suffix":""}],"container-title":"Regulatory Toxicology and Pharmacology,","id":"ITEM-1","issued":{"date-parts":[["2012"]]},"page":"296-304","title":"Alkaline earth silicate wools- A new generation of high temperature insulation,","type":"article-journal","volume":"64"},"uris":["http://www.mendeley.com/documents/?uuid=6b81b7f4-c682-4f41-848a-3447b1940c1e"]}],"mendeley":{"formattedCitation":"(R. C. Brown, 2012)","plainTextFormattedCitation":"(R. C. Brown, 2012)","previouslyFormattedCitation":"(R. C. Brown, 2012)"},"properties":{"noteIndex":0},"schema":"https://github.com/citation-style-language/schema/raw/master/csl-citation.json"}</w:instrText>
      </w:r>
      <w:r w:rsidRPr="00B32EF6">
        <w:rPr>
          <w:rFonts w:ascii="Arial" w:hAnsi="Arial" w:cs="Arial"/>
          <w:sz w:val="20"/>
          <w:szCs w:val="20"/>
        </w:rPr>
        <w:fldChar w:fldCharType="separate"/>
      </w:r>
      <w:r w:rsidR="00645FDF" w:rsidRPr="00B32EF6">
        <w:rPr>
          <w:rFonts w:ascii="Arial" w:hAnsi="Arial" w:cs="Arial"/>
          <w:noProof/>
          <w:sz w:val="20"/>
          <w:szCs w:val="20"/>
          <w:lang w:val="en-US"/>
        </w:rPr>
        <w:t>(R. C. Brown, 2012)</w:t>
      </w:r>
      <w:r w:rsidRPr="00B32EF6">
        <w:rPr>
          <w:rFonts w:ascii="Arial" w:hAnsi="Arial" w:cs="Arial"/>
          <w:sz w:val="20"/>
          <w:szCs w:val="20"/>
        </w:rPr>
        <w:fldChar w:fldCharType="end"/>
      </w:r>
      <w:r w:rsidRPr="00B32EF6">
        <w:rPr>
          <w:rFonts w:ascii="Arial" w:hAnsi="Arial" w:cs="Arial"/>
          <w:sz w:val="20"/>
          <w:szCs w:val="20"/>
          <w:lang w:val="en-US"/>
        </w:rPr>
        <w:t>.</w:t>
      </w:r>
    </w:p>
    <w:p w14:paraId="47EE4EAC" w14:textId="73012F69" w:rsidR="007B6864"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 xml:space="preserve">Regarding thermal diffusivity, CEB is more diffusive than plywood and glass fiber insulation. Indeed, compact materials tend to have higher diffusivity than fibrous materials </w:t>
      </w:r>
      <w:r w:rsidRPr="00B32EF6">
        <w:rPr>
          <w:rFonts w:ascii="Arial" w:hAnsi="Arial" w:cs="Arial"/>
          <w:sz w:val="20"/>
          <w:szCs w:val="20"/>
        </w:rPr>
        <w:fldChar w:fldCharType="begin" w:fldLock="1"/>
      </w:r>
      <w:r w:rsidR="002A6DB5" w:rsidRPr="00B32EF6">
        <w:rPr>
          <w:rFonts w:ascii="Arial" w:hAnsi="Arial" w:cs="Arial"/>
          <w:sz w:val="20"/>
          <w:szCs w:val="20"/>
          <w:lang w:val="en-US"/>
        </w:rPr>
        <w:instrText>ADDIN CSL_CITATION {"citationItems":[{"id":"ITEM-1","itemData":{"author":[{"dropping-particle":"","family":"Nshimiyimana","given":"A. Messan","non-dropping-particle":"","parse-names":false,"suffix":""}],"container-title":"Materials, doi: 10.3390/ma13173769.","id":"ITEM-1","issued":{"date-parts":[["2020"]]},"page":"3769","title":"Physico-Mechanical and Hygro-Thermal Properties of Compressed Earth Blocks Stabilized with Industrial and Agro By-Product Binders","type":"article-journal","volume":"13, no17,"},"uris":["http://www.mendeley.com/documents/?uuid=33e45e9d-a84f-44e4-9931-2f6fd0411e53"]}],"mendeley":{"formattedCitation":"(Nshimiyimana, 2020)","plainTextFormattedCitation":"(Nshimiyimana, 2020)","previouslyFormattedCitation":"(P. Nshimiyimana, A. Messan, n.d.)"},"properties":{"noteIndex":0},"schema":"https://github.com/citation-style-language/schema/raw/master/csl-citation.json"}</w:instrText>
      </w:r>
      <w:r w:rsidRPr="00B32EF6">
        <w:rPr>
          <w:rFonts w:ascii="Arial" w:hAnsi="Arial" w:cs="Arial"/>
          <w:sz w:val="20"/>
          <w:szCs w:val="20"/>
        </w:rPr>
        <w:fldChar w:fldCharType="separate"/>
      </w:r>
      <w:r w:rsidR="002A6DB5" w:rsidRPr="00B32EF6">
        <w:rPr>
          <w:rFonts w:ascii="Arial" w:hAnsi="Arial" w:cs="Arial"/>
          <w:noProof/>
          <w:sz w:val="20"/>
          <w:szCs w:val="20"/>
          <w:lang w:val="en-US"/>
        </w:rPr>
        <w:t>(Nshimiyimana, 2020)</w:t>
      </w:r>
      <w:r w:rsidRPr="00B32EF6">
        <w:rPr>
          <w:rFonts w:ascii="Arial" w:hAnsi="Arial" w:cs="Arial"/>
          <w:sz w:val="20"/>
          <w:szCs w:val="20"/>
        </w:rPr>
        <w:fldChar w:fldCharType="end"/>
      </w:r>
      <w:r w:rsidRPr="00B32EF6">
        <w:rPr>
          <w:rFonts w:ascii="Arial" w:hAnsi="Arial" w:cs="Arial"/>
          <w:sz w:val="20"/>
          <w:szCs w:val="20"/>
          <w:lang w:val="en-US"/>
        </w:rPr>
        <w:t>.</w:t>
      </w:r>
    </w:p>
    <w:p w14:paraId="123E9E98" w14:textId="786B39DC" w:rsidR="007B6864"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The higher the thermal diffusivity, the faster heat propagates. Materials with low thermal diffusivity take longer to heat up or cool down, while materials with high thermal diffusivity can reach thermal equilibrium more quickly. The shorter the heating time of the combustion chamber, the lower the fuel consumption.</w:t>
      </w:r>
    </w:p>
    <w:p w14:paraId="74ED678C" w14:textId="6CD37B5D" w:rsidR="007B6864" w:rsidRPr="00B32EF6" w:rsidRDefault="00DB350A"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Thermal diffusivity is an important concept in modeling heat transfer and designing applications involving thermal processes. For example, in construction, understanding the thermal diffusivity of materials used can help predict how heat will propagate and how thermal insulation will perform.</w:t>
      </w:r>
    </w:p>
    <w:p w14:paraId="7D021217" w14:textId="21E2571D" w:rsidR="00DB350A" w:rsidRPr="00B32EF6" w:rsidRDefault="00DB350A"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 xml:space="preserve">Finally, the thermal effusivity obtained for all samples consistently shows that CEB has a high effusivity. ZOMA et al., in their research, demonstrated that materials with high thermal effusivity have the ability to impose their temperature; that is, to absorb heat without warming up </w:t>
      </w:r>
      <w:r w:rsidRPr="00B32EF6">
        <w:rPr>
          <w:rFonts w:ascii="Arial" w:hAnsi="Arial" w:cs="Arial"/>
          <w:sz w:val="20"/>
          <w:szCs w:val="20"/>
        </w:rPr>
        <w:fldChar w:fldCharType="begin" w:fldLock="1"/>
      </w:r>
      <w:r w:rsidR="0064484C" w:rsidRPr="00B32EF6">
        <w:rPr>
          <w:rFonts w:ascii="Arial" w:hAnsi="Arial" w:cs="Arial"/>
          <w:sz w:val="20"/>
          <w:szCs w:val="20"/>
          <w:lang w:val="en-US"/>
        </w:rPr>
        <w:instrText>ADDIN CSL_CITATION {"citationItems":[{"id":"ITEM-1","itemData":{"author":[{"dropping-particle":"","family":"F. Zoma, D. Y. K. Toguyeni, O. Coulibaly, I. Hassel","given":"et A. Ouedraogo","non-dropping-particle":"","parse-names":false,"suffix":""}],"container-title":"j renew mater","id":"ITEM-1","issued":{"date-parts":[["2017"]]},"page":"47</w:instrText>
      </w:r>
      <w:r w:rsidR="0064484C" w:rsidRPr="00B32EF6">
        <w:rPr>
          <w:rFonts w:ascii="Cambria Math" w:hAnsi="Cambria Math" w:cs="Cambria Math"/>
          <w:sz w:val="20"/>
          <w:szCs w:val="20"/>
          <w:lang w:val="en-US"/>
        </w:rPr>
        <w:instrText>‑</w:instrText>
      </w:r>
      <w:r w:rsidR="0064484C" w:rsidRPr="00B32EF6">
        <w:rPr>
          <w:rFonts w:ascii="Arial" w:hAnsi="Arial" w:cs="Arial"/>
          <w:sz w:val="20"/>
          <w:szCs w:val="20"/>
          <w:lang w:val="en-US"/>
        </w:rPr>
        <w:instrText>54","title":"Potentials of an Eco-Friendly Composite in Hot-Dry Climate","type":"article-journal","volume":"6, no 1"},"uris":["http://www.mendeley.com/documents/?uuid=06ddcd8c-99e0-4684-b4ee-ece90a0a5f47"]}],"mendeley":{"formattedCitation":"(F. Zoma, D. Y. K. Toguyeni, O. Coulibaly, I. Hassel, 2017)","plainTextFormattedCitation":"(F. Zoma, D. Y. K. Toguyeni, O. Coulibaly, I. Hassel, 2017)","previouslyFormattedCitation":"(F. Zoma, D. Y. K. Toguyeni, O. Coulibaly, I. Hassel, 2017)"},"properties":{"noteIndex":0},"schema":"https://github.com/citation-style-language/schema/raw/master/csl-citation.json"}</w:instrText>
      </w:r>
      <w:r w:rsidRPr="00B32EF6">
        <w:rPr>
          <w:rFonts w:ascii="Arial" w:hAnsi="Arial" w:cs="Arial"/>
          <w:sz w:val="20"/>
          <w:szCs w:val="20"/>
        </w:rPr>
        <w:fldChar w:fldCharType="separate"/>
      </w:r>
      <w:r w:rsidR="0064484C" w:rsidRPr="00B32EF6">
        <w:rPr>
          <w:rFonts w:ascii="Arial" w:hAnsi="Arial" w:cs="Arial"/>
          <w:noProof/>
          <w:sz w:val="20"/>
          <w:szCs w:val="20"/>
          <w:lang w:val="en-US"/>
        </w:rPr>
        <w:t>(F. Zoma, D. Y. K. Toguyeni, O. Coulibaly, I. Hassel, 2017)</w:t>
      </w:r>
      <w:r w:rsidRPr="00B32EF6">
        <w:rPr>
          <w:rFonts w:ascii="Arial" w:hAnsi="Arial" w:cs="Arial"/>
          <w:sz w:val="20"/>
          <w:szCs w:val="20"/>
        </w:rPr>
        <w:fldChar w:fldCharType="end"/>
      </w:r>
      <w:r w:rsidRPr="00B32EF6">
        <w:rPr>
          <w:rFonts w:ascii="Arial" w:hAnsi="Arial" w:cs="Arial"/>
          <w:sz w:val="20"/>
          <w:szCs w:val="20"/>
          <w:lang w:val="en-US"/>
        </w:rPr>
        <w:t>. The diffusivity and effusivity results indicate that for high temperatures, such as those in the combustion chamber, compact materials like CEB are more suitable for insulation. They act both as insulation and thermal storage, helping to maintain the temperature in the combustion chamber for a longer time.</w:t>
      </w:r>
    </w:p>
    <w:p w14:paraId="64C457D1" w14:textId="54CCCD69" w:rsidR="00DB350A" w:rsidRPr="00B32EF6" w:rsidRDefault="00DB350A"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In general, we can say that the materials we characterized have good thermal insulation due to their low thermal conductivity, high effusivity, and diffusivity. The choice of insulation material is very important. In the field of thermal insulation, materials must also meet certain environmental standards, especially regarding their manufacturing, use, and recyclability.</w:t>
      </w:r>
    </w:p>
    <w:p w14:paraId="78B477EE" w14:textId="66E78385" w:rsidR="00DB350A" w:rsidRDefault="00DB350A" w:rsidP="00B32EF6">
      <w:pPr>
        <w:tabs>
          <w:tab w:val="left" w:pos="1523"/>
        </w:tabs>
        <w:spacing w:after="0" w:line="240" w:lineRule="auto"/>
        <w:jc w:val="both"/>
        <w:rPr>
          <w:rFonts w:asciiTheme="majorBidi" w:hAnsiTheme="majorBidi" w:cstheme="majorBidi"/>
          <w:sz w:val="24"/>
          <w:szCs w:val="24"/>
          <w:lang w:val="en-US"/>
        </w:rPr>
      </w:pPr>
      <w:r w:rsidRPr="00B32EF6">
        <w:rPr>
          <w:rFonts w:ascii="Arial" w:hAnsi="Arial" w:cs="Arial"/>
          <w:sz w:val="20"/>
          <w:szCs w:val="20"/>
          <w:lang w:val="en-US"/>
        </w:rPr>
        <w:t>The determined thermodynamic properties show that the characterized materials will be advantageous for the construction of the device in sub-Saharan regions with large temperature variations, such as Burkina Faso. Additionally, these properties will be used for modeling the heat transfer of our device to optimize its performance.</w:t>
      </w:r>
    </w:p>
    <w:p w14:paraId="0F024D60" w14:textId="67A2878D" w:rsidR="00DB350A" w:rsidRPr="00B32EF6" w:rsidRDefault="00DB350A" w:rsidP="00B32EF6">
      <w:pPr>
        <w:pStyle w:val="Heading1"/>
        <w:numPr>
          <w:ilvl w:val="1"/>
          <w:numId w:val="4"/>
        </w:numPr>
        <w:spacing w:line="360" w:lineRule="auto"/>
        <w:jc w:val="both"/>
        <w:rPr>
          <w:rFonts w:ascii="Arial" w:hAnsi="Arial" w:cs="Arial"/>
          <w:b/>
          <w:bCs/>
          <w:color w:val="auto"/>
          <w:sz w:val="22"/>
          <w:szCs w:val="22"/>
          <w:lang w:val="en-US"/>
        </w:rPr>
      </w:pPr>
      <w:r w:rsidRPr="00B32EF6">
        <w:rPr>
          <w:rFonts w:ascii="Arial" w:hAnsi="Arial" w:cs="Arial"/>
          <w:b/>
          <w:bCs/>
          <w:color w:val="auto"/>
          <w:sz w:val="22"/>
          <w:szCs w:val="22"/>
          <w:lang w:val="en-US"/>
        </w:rPr>
        <w:lastRenderedPageBreak/>
        <w:t>Construction of the proposed hybrid solar cooker</w:t>
      </w:r>
    </w:p>
    <w:p w14:paraId="716DEC60" w14:textId="77777777" w:rsidR="00495E95" w:rsidRPr="00B32EF6" w:rsidRDefault="00902960" w:rsidP="00B32EF6">
      <w:pPr>
        <w:spacing w:line="240" w:lineRule="auto"/>
        <w:jc w:val="both"/>
        <w:rPr>
          <w:rFonts w:ascii="Arial" w:hAnsi="Arial" w:cs="Arial"/>
          <w:sz w:val="20"/>
          <w:szCs w:val="20"/>
          <w:lang w:val="en-US"/>
        </w:rPr>
      </w:pPr>
      <w:r w:rsidRPr="00B32EF6">
        <w:rPr>
          <w:rFonts w:ascii="Arial" w:hAnsi="Arial" w:cs="Arial"/>
          <w:sz w:val="20"/>
          <w:szCs w:val="20"/>
          <w:lang w:val="en-US"/>
        </w:rPr>
        <w:t>Box-type solar cookers are relatively simple to build using locally available and inexpensive materials, and their size is not overly bulky.</w:t>
      </w:r>
    </w:p>
    <w:p w14:paraId="0E88E511" w14:textId="2112205A" w:rsidR="00902960" w:rsidRPr="00B32EF6" w:rsidRDefault="00902960" w:rsidP="00B32EF6">
      <w:pPr>
        <w:spacing w:line="240" w:lineRule="auto"/>
        <w:jc w:val="both"/>
        <w:rPr>
          <w:rFonts w:ascii="Arial" w:hAnsi="Arial" w:cs="Arial"/>
          <w:sz w:val="20"/>
          <w:szCs w:val="20"/>
          <w:lang w:val="en-US"/>
        </w:rPr>
      </w:pPr>
      <w:r w:rsidRPr="00B32EF6">
        <w:rPr>
          <w:rFonts w:ascii="Arial" w:hAnsi="Arial" w:cs="Arial"/>
          <w:sz w:val="20"/>
          <w:szCs w:val="20"/>
          <w:lang w:val="en-US"/>
        </w:rPr>
        <w:t>The combination of the solar cooker and the combustion chamber creates a hybrid cooking system that uses both solar energy and biomass (typically charcoal, biochar, firewood, etc.) to cook food.</w:t>
      </w:r>
    </w:p>
    <w:p w14:paraId="34C876A6" w14:textId="77777777" w:rsidR="00902960" w:rsidRPr="00B32EF6" w:rsidRDefault="00902960" w:rsidP="00B32EF6">
      <w:pPr>
        <w:spacing w:line="240" w:lineRule="auto"/>
        <w:jc w:val="both"/>
        <w:rPr>
          <w:rFonts w:ascii="Arial" w:hAnsi="Arial" w:cs="Arial"/>
          <w:sz w:val="20"/>
          <w:szCs w:val="20"/>
          <w:lang w:val="en-US"/>
        </w:rPr>
      </w:pPr>
      <w:r w:rsidRPr="00B32EF6">
        <w:rPr>
          <w:rFonts w:ascii="Arial" w:hAnsi="Arial" w:cs="Arial"/>
          <w:sz w:val="20"/>
          <w:szCs w:val="20"/>
          <w:lang w:val="en-US"/>
        </w:rPr>
        <w:t>The following precautions were considered during the design and construction phases:</w:t>
      </w:r>
    </w:p>
    <w:p w14:paraId="097C7DFF" w14:textId="0689C479" w:rsidR="00902960" w:rsidRPr="00B32EF6" w:rsidRDefault="00902960" w:rsidP="00B32EF6">
      <w:pPr>
        <w:numPr>
          <w:ilvl w:val="0"/>
          <w:numId w:val="3"/>
        </w:numPr>
        <w:spacing w:line="240" w:lineRule="auto"/>
        <w:jc w:val="both"/>
        <w:rPr>
          <w:rFonts w:ascii="Arial" w:hAnsi="Arial" w:cs="Arial"/>
          <w:sz w:val="20"/>
          <w:szCs w:val="20"/>
          <w:lang w:val="en-US"/>
        </w:rPr>
      </w:pPr>
      <w:r w:rsidRPr="00B32EF6">
        <w:rPr>
          <w:rFonts w:ascii="Arial" w:hAnsi="Arial" w:cs="Arial"/>
          <w:sz w:val="20"/>
          <w:szCs w:val="20"/>
          <w:lang w:val="en-US"/>
        </w:rPr>
        <w:t>The combustion chamber must be sufficiently robust and capable of supporting the various components, including the solar part;</w:t>
      </w:r>
    </w:p>
    <w:p w14:paraId="07FA6240" w14:textId="1D1E3561" w:rsidR="00902960" w:rsidRPr="00B32EF6" w:rsidRDefault="00902960" w:rsidP="00B32EF6">
      <w:pPr>
        <w:numPr>
          <w:ilvl w:val="0"/>
          <w:numId w:val="3"/>
        </w:numPr>
        <w:spacing w:line="240" w:lineRule="auto"/>
        <w:jc w:val="both"/>
        <w:rPr>
          <w:rFonts w:ascii="Arial" w:hAnsi="Arial" w:cs="Arial"/>
          <w:sz w:val="20"/>
          <w:szCs w:val="20"/>
          <w:lang w:val="en-US"/>
        </w:rPr>
      </w:pPr>
      <w:r w:rsidRPr="00B32EF6">
        <w:rPr>
          <w:rFonts w:ascii="Arial" w:hAnsi="Arial" w:cs="Arial"/>
          <w:sz w:val="20"/>
          <w:szCs w:val="20"/>
          <w:lang w:val="en-US"/>
        </w:rPr>
        <w:t>the solar section and the combustion chamber must be thermally insulated;</w:t>
      </w:r>
    </w:p>
    <w:p w14:paraId="2B97F716" w14:textId="4798E1FD" w:rsidR="00902960" w:rsidRPr="00B32EF6" w:rsidRDefault="00902960" w:rsidP="00B32EF6">
      <w:pPr>
        <w:numPr>
          <w:ilvl w:val="0"/>
          <w:numId w:val="3"/>
        </w:numPr>
        <w:spacing w:line="240" w:lineRule="auto"/>
        <w:jc w:val="both"/>
        <w:rPr>
          <w:rFonts w:ascii="Arial" w:hAnsi="Arial" w:cs="Arial"/>
          <w:sz w:val="20"/>
          <w:szCs w:val="20"/>
          <w:lang w:val="en-US"/>
        </w:rPr>
      </w:pPr>
      <w:r w:rsidRPr="00B32EF6">
        <w:rPr>
          <w:rFonts w:ascii="Arial" w:hAnsi="Arial" w:cs="Arial"/>
          <w:sz w:val="20"/>
          <w:szCs w:val="20"/>
          <w:lang w:val="en-US"/>
        </w:rPr>
        <w:t>the coupling between the two must be carefully executed to avoid creating thermal bridges or thermal inertia (see Figure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95E95" w14:paraId="4A9EC474" w14:textId="77777777" w:rsidTr="0014763E">
        <w:tc>
          <w:tcPr>
            <w:tcW w:w="4531" w:type="dxa"/>
          </w:tcPr>
          <w:p w14:paraId="6C3C0382" w14:textId="755CBA2F" w:rsidR="00495E95" w:rsidRDefault="002C4EC3" w:rsidP="0014763E">
            <w:pPr>
              <w:spacing w:line="360" w:lineRule="auto"/>
              <w:jc w:val="right"/>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015F8AA0" wp14:editId="518857C8">
                      <wp:simplePos x="0" y="0"/>
                      <wp:positionH relativeFrom="column">
                        <wp:posOffset>2134242</wp:posOffset>
                      </wp:positionH>
                      <wp:positionV relativeFrom="paragraph">
                        <wp:posOffset>1340691</wp:posOffset>
                      </wp:positionV>
                      <wp:extent cx="195566" cy="147995"/>
                      <wp:effectExtent l="0" t="0" r="14605" b="23495"/>
                      <wp:wrapNone/>
                      <wp:docPr id="848354237" name="Rectangle 9"/>
                      <wp:cNvGraphicFramePr/>
                      <a:graphic xmlns:a="http://schemas.openxmlformats.org/drawingml/2006/main">
                        <a:graphicData uri="http://schemas.microsoft.com/office/word/2010/wordprocessingShape">
                          <wps:wsp>
                            <wps:cNvSpPr/>
                            <wps:spPr>
                              <a:xfrm>
                                <a:off x="0" y="0"/>
                                <a:ext cx="195566" cy="14799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F04FDF" id="Rectangle 9" o:spid="_x0000_s1026" style="position:absolute;margin-left:168.05pt;margin-top:105.55pt;width:15.4pt;height:1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" fillcolor="#4472c4 [3204]" strokecolor="#09101d [484]" strokeweight="1pt"/>
                  </w:pict>
                </mc:Fallback>
              </mc:AlternateContent>
            </w:r>
            <w:r>
              <w:rPr>
                <w:noProof/>
              </w:rPr>
              <mc:AlternateContent>
                <mc:Choice Requires="wps">
                  <w:drawing>
                    <wp:anchor distT="0" distB="0" distL="114300" distR="114300" simplePos="0" relativeHeight="251668480" behindDoc="0" locked="0" layoutInCell="1" allowOverlap="1" wp14:anchorId="0CD756DF" wp14:editId="46B53966">
                      <wp:simplePos x="0" y="0"/>
                      <wp:positionH relativeFrom="column">
                        <wp:posOffset>654289</wp:posOffset>
                      </wp:positionH>
                      <wp:positionV relativeFrom="paragraph">
                        <wp:posOffset>817421</wp:posOffset>
                      </wp:positionV>
                      <wp:extent cx="174423" cy="184994"/>
                      <wp:effectExtent l="0" t="0" r="16510" b="24765"/>
                      <wp:wrapNone/>
                      <wp:docPr id="1170818823" name="Rectangle 8"/>
                      <wp:cNvGraphicFramePr/>
                      <a:graphic xmlns:a="http://schemas.openxmlformats.org/drawingml/2006/main">
                        <a:graphicData uri="http://schemas.microsoft.com/office/word/2010/wordprocessingShape">
                          <wps:wsp>
                            <wps:cNvSpPr/>
                            <wps:spPr>
                              <a:xfrm>
                                <a:off x="0" y="0"/>
                                <a:ext cx="174423" cy="18499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8679926" id="Rectangle 8" o:spid="_x0000_s1026" style="position:absolute;margin-left:51.5pt;margin-top:64.35pt;width:13.75pt;height:14.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" fillcolor="#4472c4 [3204]" strokecolor="#09101d [484]" strokeweight="1pt"/>
                  </w:pict>
                </mc:Fallback>
              </mc:AlternateContent>
            </w:r>
            <w:r w:rsidR="00495E95">
              <w:rPr>
                <w:noProof/>
              </w:rPr>
              <w:drawing>
                <wp:inline distT="0" distB="0" distL="0" distR="0" wp14:anchorId="47E37CF1" wp14:editId="7D3D0B7B">
                  <wp:extent cx="3070860" cy="2303145"/>
                  <wp:effectExtent l="2857" t="0" r="0" b="0"/>
                  <wp:docPr id="15677644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78353" cy="2308765"/>
                          </a:xfrm>
                          <a:prstGeom prst="rect">
                            <a:avLst/>
                          </a:prstGeom>
                          <a:noFill/>
                          <a:ln>
                            <a:noFill/>
                          </a:ln>
                        </pic:spPr>
                      </pic:pic>
                    </a:graphicData>
                  </a:graphic>
                </wp:inline>
              </w:drawing>
            </w:r>
          </w:p>
        </w:tc>
        <w:tc>
          <w:tcPr>
            <w:tcW w:w="4531" w:type="dxa"/>
          </w:tcPr>
          <w:p w14:paraId="555F7881" w14:textId="77777777" w:rsidR="00495E95" w:rsidRDefault="00495E95" w:rsidP="00495E95">
            <w:pPr>
              <w:keepNext/>
              <w:spacing w:line="360" w:lineRule="auto"/>
              <w:jc w:val="both"/>
              <w:rPr>
                <w:rFonts w:ascii="Times New Roman" w:hAnsi="Times New Roman" w:cs="Times New Roman"/>
                <w:sz w:val="24"/>
                <w:szCs w:val="24"/>
              </w:rPr>
            </w:pPr>
            <w:r>
              <w:rPr>
                <w:noProof/>
              </w:rPr>
              <w:drawing>
                <wp:inline distT="0" distB="0" distL="0" distR="0" wp14:anchorId="29EE5709" wp14:editId="378DB6BB">
                  <wp:extent cx="3051810" cy="2288858"/>
                  <wp:effectExtent l="635" t="0" r="0" b="0"/>
                  <wp:docPr id="190180796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66083" cy="2299562"/>
                          </a:xfrm>
                          <a:prstGeom prst="rect">
                            <a:avLst/>
                          </a:prstGeom>
                          <a:noFill/>
                          <a:ln>
                            <a:noFill/>
                          </a:ln>
                        </pic:spPr>
                      </pic:pic>
                    </a:graphicData>
                  </a:graphic>
                </wp:inline>
              </w:drawing>
            </w:r>
          </w:p>
        </w:tc>
      </w:tr>
    </w:tbl>
    <w:p w14:paraId="3F74505E" w14:textId="3466C617" w:rsidR="00495E95" w:rsidRPr="00B32EF6" w:rsidRDefault="00495E95" w:rsidP="00495E95">
      <w:pPr>
        <w:pStyle w:val="Caption"/>
        <w:jc w:val="center"/>
        <w:rPr>
          <w:rFonts w:ascii="Arial" w:hAnsi="Arial" w:cs="Arial"/>
          <w:b/>
          <w:bCs/>
          <w:i w:val="0"/>
          <w:iCs w:val="0"/>
          <w:color w:val="auto"/>
          <w:sz w:val="22"/>
          <w:szCs w:val="22"/>
          <w:lang w:val="en-US"/>
        </w:rPr>
      </w:pPr>
      <w:r w:rsidRPr="00B32EF6">
        <w:rPr>
          <w:rFonts w:ascii="Arial" w:hAnsi="Arial" w:cs="Arial"/>
          <w:b/>
          <w:bCs/>
          <w:i w:val="0"/>
          <w:iCs w:val="0"/>
          <w:color w:val="auto"/>
          <w:sz w:val="22"/>
          <w:szCs w:val="22"/>
          <w:lang w:val="en-US"/>
        </w:rPr>
        <w:t xml:space="preserve">Figure </w:t>
      </w:r>
      <w:r w:rsidRPr="00B32EF6">
        <w:rPr>
          <w:rFonts w:ascii="Arial" w:hAnsi="Arial" w:cs="Arial"/>
          <w:b/>
          <w:bCs/>
          <w:i w:val="0"/>
          <w:iCs w:val="0"/>
          <w:color w:val="auto"/>
          <w:sz w:val="22"/>
          <w:szCs w:val="22"/>
        </w:rPr>
        <w:fldChar w:fldCharType="begin"/>
      </w:r>
      <w:r w:rsidRPr="00B32EF6">
        <w:rPr>
          <w:rFonts w:ascii="Arial" w:hAnsi="Arial" w:cs="Arial"/>
          <w:b/>
          <w:bCs/>
          <w:i w:val="0"/>
          <w:iCs w:val="0"/>
          <w:color w:val="auto"/>
          <w:sz w:val="22"/>
          <w:szCs w:val="22"/>
          <w:lang w:val="en-US"/>
        </w:rPr>
        <w:instrText xml:space="preserve"> SEQ Figure \* ARABIC </w:instrText>
      </w:r>
      <w:r w:rsidRPr="00B32EF6">
        <w:rPr>
          <w:rFonts w:ascii="Arial" w:hAnsi="Arial" w:cs="Arial"/>
          <w:b/>
          <w:bCs/>
          <w:i w:val="0"/>
          <w:iCs w:val="0"/>
          <w:color w:val="auto"/>
          <w:sz w:val="22"/>
          <w:szCs w:val="22"/>
        </w:rPr>
        <w:fldChar w:fldCharType="separate"/>
      </w:r>
      <w:r w:rsidR="009659A3" w:rsidRPr="00B32EF6">
        <w:rPr>
          <w:rFonts w:ascii="Arial" w:hAnsi="Arial" w:cs="Arial"/>
          <w:b/>
          <w:bCs/>
          <w:i w:val="0"/>
          <w:iCs w:val="0"/>
          <w:noProof/>
          <w:color w:val="auto"/>
          <w:sz w:val="22"/>
          <w:szCs w:val="22"/>
          <w:lang w:val="en-US"/>
        </w:rPr>
        <w:t>5</w:t>
      </w:r>
      <w:r w:rsidRPr="00B32EF6">
        <w:rPr>
          <w:rFonts w:ascii="Arial" w:hAnsi="Arial" w:cs="Arial"/>
          <w:b/>
          <w:bCs/>
          <w:i w:val="0"/>
          <w:iCs w:val="0"/>
          <w:color w:val="auto"/>
          <w:sz w:val="22"/>
          <w:szCs w:val="22"/>
        </w:rPr>
        <w:fldChar w:fldCharType="end"/>
      </w:r>
      <w:r w:rsidRPr="00B32EF6">
        <w:rPr>
          <w:rFonts w:ascii="Arial" w:hAnsi="Arial" w:cs="Arial"/>
          <w:b/>
          <w:bCs/>
          <w:i w:val="0"/>
          <w:iCs w:val="0"/>
          <w:color w:val="auto"/>
          <w:sz w:val="22"/>
          <w:szCs w:val="22"/>
          <w:lang w:val="en-US"/>
        </w:rPr>
        <w:t>: Coupling of the solar box and the combustion chamber</w:t>
      </w:r>
    </w:p>
    <w:p w14:paraId="348800D2" w14:textId="568E1D54" w:rsidR="00495E95" w:rsidRPr="00B32EF6" w:rsidRDefault="00495E95" w:rsidP="00417CFB">
      <w:pPr>
        <w:pStyle w:val="Heading1"/>
        <w:numPr>
          <w:ilvl w:val="1"/>
          <w:numId w:val="4"/>
        </w:numPr>
        <w:spacing w:line="360" w:lineRule="auto"/>
        <w:rPr>
          <w:rFonts w:ascii="Arial" w:hAnsi="Arial" w:cs="Arial"/>
          <w:b/>
          <w:bCs/>
          <w:color w:val="auto"/>
          <w:sz w:val="22"/>
          <w:szCs w:val="22"/>
          <w:lang w:val="en-US"/>
        </w:rPr>
      </w:pPr>
      <w:r w:rsidRPr="00B32EF6">
        <w:rPr>
          <w:rFonts w:ascii="Arial" w:hAnsi="Arial" w:cs="Arial"/>
          <w:b/>
          <w:bCs/>
          <w:color w:val="auto"/>
          <w:sz w:val="22"/>
          <w:szCs w:val="22"/>
        </w:rPr>
        <w:t>Constructed device</w:t>
      </w:r>
    </w:p>
    <w:p w14:paraId="18673923" w14:textId="6BC5D87A" w:rsidR="00902960" w:rsidRPr="00B32EF6" w:rsidRDefault="00495E95" w:rsidP="00B32EF6">
      <w:pPr>
        <w:spacing w:line="240" w:lineRule="auto"/>
        <w:jc w:val="both"/>
        <w:rPr>
          <w:rFonts w:ascii="Arial" w:hAnsi="Arial" w:cs="Arial"/>
          <w:sz w:val="20"/>
          <w:szCs w:val="20"/>
          <w:lang w:val="en-US"/>
        </w:rPr>
      </w:pPr>
      <w:r w:rsidRPr="00B32EF6">
        <w:rPr>
          <w:rFonts w:ascii="Arial" w:hAnsi="Arial" w:cs="Arial"/>
          <w:sz w:val="20"/>
          <w:szCs w:val="20"/>
          <w:lang w:val="en-US"/>
        </w:rPr>
        <w:t>Figure 6 shows the device designed as part of our work. In sub-section 6.a, we observe the use of the device in solar-only mode. The combustion chamber is thermally insulated to prevent heat loss. When solar radiation is insufficient for solar mode operation, the charcoal container and chimney are inserted, as illustrated in Figure 6.b.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95E95" w14:paraId="689C0471" w14:textId="77777777" w:rsidTr="0014763E">
        <w:trPr>
          <w:jc w:val="center"/>
        </w:trPr>
        <w:tc>
          <w:tcPr>
            <w:tcW w:w="4531" w:type="dxa"/>
          </w:tcPr>
          <w:p w14:paraId="0FB9C4D8" w14:textId="77777777" w:rsidR="00495E95" w:rsidRDefault="00495E95" w:rsidP="0014763E">
            <w:pPr>
              <w:spacing w:line="360" w:lineRule="auto"/>
              <w:jc w:val="righ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6432" behindDoc="0" locked="0" layoutInCell="1" allowOverlap="1" wp14:anchorId="44635504" wp14:editId="31C15EDC">
                      <wp:simplePos x="0" y="0"/>
                      <wp:positionH relativeFrom="column">
                        <wp:posOffset>752475</wp:posOffset>
                      </wp:positionH>
                      <wp:positionV relativeFrom="paragraph">
                        <wp:posOffset>2390141</wp:posOffset>
                      </wp:positionV>
                      <wp:extent cx="314325" cy="340360"/>
                      <wp:effectExtent l="19050" t="19050" r="28575" b="21590"/>
                      <wp:wrapNone/>
                      <wp:docPr id="389799593" name="Zone de texte 10"/>
                      <wp:cNvGraphicFramePr/>
                      <a:graphic xmlns:a="http://schemas.openxmlformats.org/drawingml/2006/main">
                        <a:graphicData uri="http://schemas.microsoft.com/office/word/2010/wordprocessingShape">
                          <wps:wsp>
                            <wps:cNvSpPr txBox="1"/>
                            <wps:spPr>
                              <a:xfrm>
                                <a:off x="0" y="0"/>
                                <a:ext cx="314325" cy="340360"/>
                              </a:xfrm>
                              <a:prstGeom prst="rect">
                                <a:avLst/>
                              </a:prstGeom>
                              <a:noFill/>
                              <a:ln w="28575">
                                <a:solidFill>
                                  <a:schemeClr val="tx1"/>
                                </a:solidFill>
                              </a:ln>
                            </wps:spPr>
                            <wps:txbx>
                              <w:txbxContent>
                                <w:p w14:paraId="409C6997" w14:textId="77777777" w:rsidR="00495E95" w:rsidRPr="00B0361A" w:rsidRDefault="00495E95" w:rsidP="00495E95">
                                  <w:pPr>
                                    <w:rPr>
                                      <w:rFonts w:ascii="Times New Roman" w:hAnsi="Times New Roman" w:cs="Times New Roman"/>
                                      <w:b/>
                                      <w:bCs/>
                                      <w:sz w:val="32"/>
                                      <w:szCs w:val="32"/>
                                    </w:rPr>
                                  </w:pPr>
                                  <w:r w:rsidRPr="00B0361A">
                                    <w:rPr>
                                      <w:rFonts w:ascii="Times New Roman" w:hAnsi="Times New Roman" w:cs="Times New Roman"/>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35504" id="Zone de texte 10" o:spid="_x0000_s1028" type="#_x0000_t202" style="position:absolute;left:0;text-align:left;margin-left:59.25pt;margin-top:188.2pt;width:24.75pt;height:26.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" filled="f" strokecolor="black [3213]" strokeweight="2.25pt">
                      <v:textbox>
                        <w:txbxContent>
                          <w:p w14:paraId="409C6997" w14:textId="77777777" w:rsidR="00495E95" w:rsidRPr="00B0361A" w:rsidRDefault="00495E95" w:rsidP="00495E95">
                            <w:pPr>
                              <w:rPr>
                                <w:rFonts w:ascii="Times New Roman" w:hAnsi="Times New Roman" w:cs="Times New Roman"/>
                                <w:b/>
                                <w:bCs/>
                                <w:sz w:val="32"/>
                                <w:szCs w:val="32"/>
                              </w:rPr>
                            </w:pPr>
                            <w:r w:rsidRPr="00B0361A">
                              <w:rPr>
                                <w:rFonts w:ascii="Times New Roman" w:hAnsi="Times New Roman" w:cs="Times New Roman"/>
                                <w:b/>
                                <w:bCs/>
                                <w:sz w:val="32"/>
                                <w:szCs w:val="32"/>
                              </w:rPr>
                              <w:t>a</w:t>
                            </w:r>
                          </w:p>
                        </w:txbxContent>
                      </v:textbox>
                    </v:shape>
                  </w:pict>
                </mc:Fallback>
              </mc:AlternateContent>
            </w:r>
            <w:r>
              <w:rPr>
                <w:noProof/>
              </w:rPr>
              <w:drawing>
                <wp:inline distT="0" distB="0" distL="0" distR="0" wp14:anchorId="6260E0AE" wp14:editId="39986D58">
                  <wp:extent cx="2733463" cy="2050097"/>
                  <wp:effectExtent l="0" t="1270" r="8890" b="8890"/>
                  <wp:docPr id="29790539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51993" cy="2063994"/>
                          </a:xfrm>
                          <a:prstGeom prst="rect">
                            <a:avLst/>
                          </a:prstGeom>
                          <a:noFill/>
                          <a:ln>
                            <a:noFill/>
                          </a:ln>
                        </pic:spPr>
                      </pic:pic>
                    </a:graphicData>
                  </a:graphic>
                </wp:inline>
              </w:drawing>
            </w:r>
          </w:p>
        </w:tc>
        <w:tc>
          <w:tcPr>
            <w:tcW w:w="4531" w:type="dxa"/>
          </w:tcPr>
          <w:p w14:paraId="64C159B9" w14:textId="77777777" w:rsidR="00495E95" w:rsidRDefault="00495E95" w:rsidP="00495E95">
            <w:pPr>
              <w:keepNext/>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27A7A5A8" wp14:editId="658AEBF4">
                      <wp:simplePos x="0" y="0"/>
                      <wp:positionH relativeFrom="column">
                        <wp:posOffset>1570990</wp:posOffset>
                      </wp:positionH>
                      <wp:positionV relativeFrom="paragraph">
                        <wp:posOffset>2216150</wp:posOffset>
                      </wp:positionV>
                      <wp:extent cx="371475" cy="428625"/>
                      <wp:effectExtent l="19050" t="19050" r="28575" b="28575"/>
                      <wp:wrapNone/>
                      <wp:docPr id="915833626" name="Zone de texte 11"/>
                      <wp:cNvGraphicFramePr/>
                      <a:graphic xmlns:a="http://schemas.openxmlformats.org/drawingml/2006/main">
                        <a:graphicData uri="http://schemas.microsoft.com/office/word/2010/wordprocessingShape">
                          <wps:wsp>
                            <wps:cNvSpPr txBox="1"/>
                            <wps:spPr>
                              <a:xfrm>
                                <a:off x="0" y="0"/>
                                <a:ext cx="371475" cy="428625"/>
                              </a:xfrm>
                              <a:prstGeom prst="rect">
                                <a:avLst/>
                              </a:prstGeom>
                              <a:noFill/>
                              <a:ln w="28575">
                                <a:solidFill>
                                  <a:prstClr val="black"/>
                                </a:solidFill>
                              </a:ln>
                            </wps:spPr>
                            <wps:txbx>
                              <w:txbxContent>
                                <w:p w14:paraId="47F5B044" w14:textId="77777777" w:rsidR="00495E95" w:rsidRPr="00920C14" w:rsidRDefault="00495E95" w:rsidP="00495E95">
                                  <w:pPr>
                                    <w:rPr>
                                      <w:rFonts w:ascii="Times New Roman" w:hAnsi="Times New Roman" w:cs="Times New Roman"/>
                                      <w:b/>
                                      <w:bCs/>
                                      <w:sz w:val="32"/>
                                      <w:szCs w:val="32"/>
                                    </w:rPr>
                                  </w:pPr>
                                  <w:r w:rsidRPr="00920C14">
                                    <w:rPr>
                                      <w:rFonts w:ascii="Times New Roman" w:hAnsi="Times New Roman" w:cs="Times New Roman"/>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5A8" id="Zone de texte 11" o:spid="_x0000_s1029" type="#_x0000_t202" style="position:absolute;left:0;text-align:left;margin-left:123.7pt;margin-top:174.5pt;width:29.25pt;height:3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" filled="f" strokeweight="2.25pt">
                      <v:textbox>
                        <w:txbxContent>
                          <w:p w14:paraId="47F5B044" w14:textId="77777777" w:rsidR="00495E95" w:rsidRPr="00920C14" w:rsidRDefault="00495E95" w:rsidP="00495E95">
                            <w:pPr>
                              <w:rPr>
                                <w:rFonts w:ascii="Times New Roman" w:hAnsi="Times New Roman" w:cs="Times New Roman"/>
                                <w:b/>
                                <w:bCs/>
                                <w:sz w:val="32"/>
                                <w:szCs w:val="32"/>
                              </w:rPr>
                            </w:pPr>
                            <w:r w:rsidRPr="00920C14">
                              <w:rPr>
                                <w:rFonts w:ascii="Times New Roman" w:hAnsi="Times New Roman" w:cs="Times New Roman"/>
                                <w:b/>
                                <w:bCs/>
                                <w:sz w:val="32"/>
                                <w:szCs w:val="32"/>
                              </w:rPr>
                              <w:t>b</w:t>
                            </w:r>
                          </w:p>
                        </w:txbxContent>
                      </v:textbox>
                    </v:shape>
                  </w:pict>
                </mc:Fallback>
              </mc:AlternateContent>
            </w:r>
            <w:r>
              <w:rPr>
                <w:noProof/>
              </w:rPr>
              <w:drawing>
                <wp:inline distT="0" distB="0" distL="0" distR="0" wp14:anchorId="1D8AEC40" wp14:editId="75960958">
                  <wp:extent cx="2710180" cy="2032635"/>
                  <wp:effectExtent l="0" t="4128" r="0" b="0"/>
                  <wp:docPr id="159354103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10483" cy="2032862"/>
                          </a:xfrm>
                          <a:prstGeom prst="rect">
                            <a:avLst/>
                          </a:prstGeom>
                          <a:noFill/>
                          <a:ln>
                            <a:noFill/>
                          </a:ln>
                        </pic:spPr>
                      </pic:pic>
                    </a:graphicData>
                  </a:graphic>
                </wp:inline>
              </w:drawing>
            </w:r>
          </w:p>
        </w:tc>
      </w:tr>
    </w:tbl>
    <w:p w14:paraId="575BBB4B" w14:textId="77C4ACE5" w:rsidR="00495E95" w:rsidRPr="00B32EF6" w:rsidRDefault="00495E95" w:rsidP="00495E95">
      <w:pPr>
        <w:pStyle w:val="Caption"/>
        <w:jc w:val="center"/>
        <w:rPr>
          <w:rFonts w:ascii="Arial" w:hAnsi="Arial" w:cs="Arial"/>
          <w:b/>
          <w:bCs/>
          <w:i w:val="0"/>
          <w:iCs w:val="0"/>
          <w:color w:val="auto"/>
          <w:sz w:val="22"/>
          <w:szCs w:val="22"/>
        </w:rPr>
      </w:pPr>
      <w:r w:rsidRPr="00B32EF6">
        <w:rPr>
          <w:rFonts w:ascii="Arial" w:hAnsi="Arial" w:cs="Arial"/>
          <w:b/>
          <w:bCs/>
          <w:i w:val="0"/>
          <w:iCs w:val="0"/>
          <w:color w:val="auto"/>
          <w:sz w:val="22"/>
          <w:szCs w:val="22"/>
        </w:rPr>
        <w:t xml:space="preserve">Figure </w:t>
      </w:r>
      <w:r w:rsidRPr="00B32EF6">
        <w:rPr>
          <w:rFonts w:ascii="Arial" w:hAnsi="Arial" w:cs="Arial"/>
          <w:b/>
          <w:bCs/>
          <w:i w:val="0"/>
          <w:iCs w:val="0"/>
          <w:color w:val="auto"/>
          <w:sz w:val="22"/>
          <w:szCs w:val="22"/>
        </w:rPr>
        <w:fldChar w:fldCharType="begin"/>
      </w:r>
      <w:r w:rsidRPr="00B32EF6">
        <w:rPr>
          <w:rFonts w:ascii="Arial" w:hAnsi="Arial" w:cs="Arial"/>
          <w:b/>
          <w:bCs/>
          <w:i w:val="0"/>
          <w:iCs w:val="0"/>
          <w:color w:val="auto"/>
          <w:sz w:val="22"/>
          <w:szCs w:val="22"/>
        </w:rPr>
        <w:instrText xml:space="preserve"> SEQ Figure \* ARABIC </w:instrText>
      </w:r>
      <w:r w:rsidRPr="00B32EF6">
        <w:rPr>
          <w:rFonts w:ascii="Arial" w:hAnsi="Arial" w:cs="Arial"/>
          <w:b/>
          <w:bCs/>
          <w:i w:val="0"/>
          <w:iCs w:val="0"/>
          <w:color w:val="auto"/>
          <w:sz w:val="22"/>
          <w:szCs w:val="22"/>
        </w:rPr>
        <w:fldChar w:fldCharType="separate"/>
      </w:r>
      <w:r w:rsidR="009659A3" w:rsidRPr="00B32EF6">
        <w:rPr>
          <w:rFonts w:ascii="Arial" w:hAnsi="Arial" w:cs="Arial"/>
          <w:b/>
          <w:bCs/>
          <w:i w:val="0"/>
          <w:iCs w:val="0"/>
          <w:noProof/>
          <w:color w:val="auto"/>
          <w:sz w:val="22"/>
          <w:szCs w:val="22"/>
        </w:rPr>
        <w:t>6</w:t>
      </w:r>
      <w:r w:rsidRPr="00B32EF6">
        <w:rPr>
          <w:rFonts w:ascii="Arial" w:hAnsi="Arial" w:cs="Arial"/>
          <w:b/>
          <w:bCs/>
          <w:i w:val="0"/>
          <w:iCs w:val="0"/>
          <w:color w:val="auto"/>
          <w:sz w:val="22"/>
          <w:szCs w:val="22"/>
        </w:rPr>
        <w:fldChar w:fldCharType="end"/>
      </w:r>
      <w:r w:rsidRPr="00B32EF6">
        <w:rPr>
          <w:rFonts w:ascii="Arial" w:hAnsi="Arial" w:cs="Arial"/>
          <w:b/>
          <w:bCs/>
          <w:i w:val="0"/>
          <w:iCs w:val="0"/>
          <w:color w:val="auto"/>
          <w:sz w:val="22"/>
          <w:szCs w:val="22"/>
        </w:rPr>
        <w:t xml:space="preserve"> : Constructed system</w:t>
      </w:r>
    </w:p>
    <w:p w14:paraId="3C693947" w14:textId="752F501C" w:rsidR="00495E95" w:rsidRPr="00B32EF6" w:rsidRDefault="00834456" w:rsidP="00417CFB">
      <w:pPr>
        <w:pStyle w:val="Heading1"/>
        <w:numPr>
          <w:ilvl w:val="1"/>
          <w:numId w:val="4"/>
        </w:numPr>
        <w:spacing w:line="360" w:lineRule="auto"/>
        <w:rPr>
          <w:rFonts w:ascii="Arial" w:hAnsi="Arial" w:cs="Arial"/>
          <w:b/>
          <w:bCs/>
          <w:color w:val="auto"/>
          <w:sz w:val="22"/>
          <w:szCs w:val="22"/>
        </w:rPr>
      </w:pPr>
      <w:r w:rsidRPr="00B32EF6">
        <w:rPr>
          <w:rFonts w:ascii="Arial" w:hAnsi="Arial" w:cs="Arial"/>
          <w:b/>
          <w:bCs/>
          <w:color w:val="auto"/>
          <w:sz w:val="22"/>
          <w:szCs w:val="22"/>
        </w:rPr>
        <w:t>Infrared Thermography</w:t>
      </w:r>
    </w:p>
    <w:p w14:paraId="51744CA3" w14:textId="1A9B9BC2" w:rsidR="00902960" w:rsidRPr="00B32EF6" w:rsidRDefault="00951C1A" w:rsidP="00B32EF6">
      <w:pPr>
        <w:spacing w:line="240" w:lineRule="auto"/>
        <w:jc w:val="both"/>
        <w:rPr>
          <w:rFonts w:ascii="Arial" w:hAnsi="Arial" w:cs="Arial"/>
          <w:sz w:val="20"/>
          <w:szCs w:val="20"/>
          <w:lang w:val="en-US"/>
        </w:rPr>
      </w:pPr>
      <w:r w:rsidRPr="00B32EF6">
        <w:rPr>
          <w:rFonts w:ascii="Arial" w:hAnsi="Arial" w:cs="Arial"/>
          <w:sz w:val="20"/>
          <w:szCs w:val="20"/>
          <w:lang w:val="en-US"/>
        </w:rPr>
        <w:t>Infrared images were used to monitor the temperature distribution on the walls of the cooker. Figures 7 and 8 show infrared captures (IR) during the cooker's operation in biomass mode. Figure 7 shows the temperature distribution on the outer walls of the cooker and the inner glass. Figure 8 shows the temperature distribution on the absorber. These images were taken 42 minutes after the start of the tests.</w:t>
      </w:r>
    </w:p>
    <w:tbl>
      <w:tblPr>
        <w:tblStyle w:val="TableGrid"/>
        <w:tblW w:w="0" w:type="auto"/>
        <w:tblLook w:val="04A0" w:firstRow="1" w:lastRow="0" w:firstColumn="1" w:lastColumn="0" w:noHBand="0" w:noVBand="1"/>
      </w:tblPr>
      <w:tblGrid>
        <w:gridCol w:w="4626"/>
        <w:gridCol w:w="4436"/>
      </w:tblGrid>
      <w:tr w:rsidR="005A5C96" w:rsidRPr="0064484C" w14:paraId="306F8C18" w14:textId="77777777" w:rsidTr="005A5C96">
        <w:tc>
          <w:tcPr>
            <w:tcW w:w="4531" w:type="dxa"/>
          </w:tcPr>
          <w:p w14:paraId="1B980A83" w14:textId="77777777" w:rsidR="005A5C96" w:rsidRDefault="005A5C96" w:rsidP="005A5C96">
            <w:pPr>
              <w:keepNext/>
              <w:tabs>
                <w:tab w:val="left" w:pos="1523"/>
              </w:tabs>
              <w:jc w:val="both"/>
            </w:pPr>
            <w:r>
              <w:rPr>
                <w:noProof/>
              </w:rPr>
              <w:drawing>
                <wp:inline distT="0" distB="0" distL="0" distR="0" wp14:anchorId="200070ED" wp14:editId="53C2E56D">
                  <wp:extent cx="2800350" cy="1225373"/>
                  <wp:effectExtent l="0" t="0" r="0" b="0"/>
                  <wp:docPr id="1386402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02279" name=""/>
                          <pic:cNvPicPr/>
                        </pic:nvPicPr>
                        <pic:blipFill rotWithShape="1">
                          <a:blip r:embed="rId20"/>
                          <a:srcRect r="3409"/>
                          <a:stretch/>
                        </pic:blipFill>
                        <pic:spPr bwMode="auto">
                          <a:xfrm>
                            <a:off x="0" y="0"/>
                            <a:ext cx="2834425" cy="1240284"/>
                          </a:xfrm>
                          <a:prstGeom prst="rect">
                            <a:avLst/>
                          </a:prstGeom>
                          <a:ln>
                            <a:noFill/>
                          </a:ln>
                          <a:extLst>
                            <a:ext uri="{53640926-AAD7-44D8-BBD7-CCE9431645EC}">
                              <a14:shadowObscured xmlns:a14="http://schemas.microsoft.com/office/drawing/2010/main"/>
                            </a:ext>
                          </a:extLst>
                        </pic:spPr>
                      </pic:pic>
                    </a:graphicData>
                  </a:graphic>
                </wp:inline>
              </w:drawing>
            </w:r>
          </w:p>
          <w:p w14:paraId="29653BF9" w14:textId="3D08B721" w:rsidR="005A5C96" w:rsidRPr="00B32EF6" w:rsidRDefault="005A5C96" w:rsidP="005A5C96">
            <w:pPr>
              <w:pStyle w:val="Caption"/>
              <w:jc w:val="center"/>
              <w:rPr>
                <w:rFonts w:ascii="Arial" w:hAnsi="Arial" w:cs="Arial"/>
                <w:b/>
                <w:bCs/>
                <w:i w:val="0"/>
                <w:iCs w:val="0"/>
                <w:sz w:val="24"/>
                <w:szCs w:val="24"/>
                <w:lang w:val="en-US"/>
              </w:rPr>
            </w:pPr>
            <w:r w:rsidRPr="00B32EF6">
              <w:rPr>
                <w:rFonts w:ascii="Arial" w:hAnsi="Arial" w:cs="Arial"/>
                <w:b/>
                <w:bCs/>
                <w:i w:val="0"/>
                <w:iCs w:val="0"/>
                <w:color w:val="auto"/>
                <w:lang w:val="en-US"/>
              </w:rPr>
              <w:t xml:space="preserve">Figure </w:t>
            </w:r>
            <w:r w:rsidRPr="00B32EF6">
              <w:rPr>
                <w:rFonts w:ascii="Arial" w:hAnsi="Arial" w:cs="Arial"/>
                <w:b/>
                <w:bCs/>
                <w:i w:val="0"/>
                <w:iCs w:val="0"/>
                <w:color w:val="auto"/>
              </w:rPr>
              <w:fldChar w:fldCharType="begin"/>
            </w:r>
            <w:r w:rsidRPr="00B32EF6">
              <w:rPr>
                <w:rFonts w:ascii="Arial" w:hAnsi="Arial" w:cs="Arial"/>
                <w:b/>
                <w:bCs/>
                <w:i w:val="0"/>
                <w:iCs w:val="0"/>
                <w:color w:val="auto"/>
                <w:lang w:val="en-US"/>
              </w:rPr>
              <w:instrText xml:space="preserve"> SEQ Figure \* ARABIC </w:instrText>
            </w:r>
            <w:r w:rsidRPr="00B32EF6">
              <w:rPr>
                <w:rFonts w:ascii="Arial" w:hAnsi="Arial" w:cs="Arial"/>
                <w:b/>
                <w:bCs/>
                <w:i w:val="0"/>
                <w:iCs w:val="0"/>
                <w:color w:val="auto"/>
              </w:rPr>
              <w:fldChar w:fldCharType="separate"/>
            </w:r>
            <w:r w:rsidR="009659A3" w:rsidRPr="00B32EF6">
              <w:rPr>
                <w:rFonts w:ascii="Arial" w:hAnsi="Arial" w:cs="Arial"/>
                <w:b/>
                <w:bCs/>
                <w:i w:val="0"/>
                <w:iCs w:val="0"/>
                <w:noProof/>
                <w:color w:val="auto"/>
                <w:lang w:val="en-US"/>
              </w:rPr>
              <w:t>7</w:t>
            </w:r>
            <w:r w:rsidRPr="00B32EF6">
              <w:rPr>
                <w:rFonts w:ascii="Arial" w:hAnsi="Arial" w:cs="Arial"/>
                <w:b/>
                <w:bCs/>
                <w:i w:val="0"/>
                <w:iCs w:val="0"/>
                <w:color w:val="auto"/>
              </w:rPr>
              <w:fldChar w:fldCharType="end"/>
            </w:r>
            <w:r w:rsidRPr="00B32EF6">
              <w:rPr>
                <w:rFonts w:ascii="Arial" w:hAnsi="Arial" w:cs="Arial"/>
                <w:b/>
                <w:bCs/>
                <w:i w:val="0"/>
                <w:iCs w:val="0"/>
                <w:color w:val="auto"/>
                <w:lang w:val="en-US"/>
              </w:rPr>
              <w:t>:Thermal capture 42 minutes after the start of the tests</w:t>
            </w:r>
          </w:p>
        </w:tc>
        <w:tc>
          <w:tcPr>
            <w:tcW w:w="4531" w:type="dxa"/>
          </w:tcPr>
          <w:p w14:paraId="15C7B30D" w14:textId="77777777" w:rsidR="005A5C96" w:rsidRDefault="005A5C96" w:rsidP="005A5C96">
            <w:pPr>
              <w:keepNext/>
              <w:tabs>
                <w:tab w:val="left" w:pos="1523"/>
              </w:tabs>
              <w:jc w:val="both"/>
            </w:pPr>
            <w:r>
              <w:rPr>
                <w:noProof/>
              </w:rPr>
              <w:drawing>
                <wp:inline distT="0" distB="0" distL="0" distR="0" wp14:anchorId="72EBFD3E" wp14:editId="392F6215">
                  <wp:extent cx="2543047" cy="1285875"/>
                  <wp:effectExtent l="0" t="0" r="0" b="0"/>
                  <wp:docPr id="68643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3963" name=""/>
                          <pic:cNvPicPr/>
                        </pic:nvPicPr>
                        <pic:blipFill>
                          <a:blip r:embed="rId21"/>
                          <a:stretch>
                            <a:fillRect/>
                          </a:stretch>
                        </pic:blipFill>
                        <pic:spPr>
                          <a:xfrm>
                            <a:off x="0" y="0"/>
                            <a:ext cx="2565347" cy="1297151"/>
                          </a:xfrm>
                          <a:prstGeom prst="rect">
                            <a:avLst/>
                          </a:prstGeom>
                        </pic:spPr>
                      </pic:pic>
                    </a:graphicData>
                  </a:graphic>
                </wp:inline>
              </w:drawing>
            </w:r>
          </w:p>
          <w:p w14:paraId="2BBA9840" w14:textId="0D45404F" w:rsidR="005A5C96" w:rsidRPr="00B32EF6" w:rsidRDefault="005A5C96" w:rsidP="005A5C96">
            <w:pPr>
              <w:pStyle w:val="Caption"/>
              <w:jc w:val="center"/>
              <w:rPr>
                <w:rFonts w:ascii="Arial" w:hAnsi="Arial" w:cs="Arial"/>
                <w:b/>
                <w:bCs/>
                <w:i w:val="0"/>
                <w:iCs w:val="0"/>
                <w:sz w:val="24"/>
                <w:szCs w:val="24"/>
                <w:lang w:val="en-US"/>
              </w:rPr>
            </w:pPr>
            <w:r w:rsidRPr="00B32EF6">
              <w:rPr>
                <w:rFonts w:ascii="Arial" w:hAnsi="Arial" w:cs="Arial"/>
                <w:b/>
                <w:bCs/>
                <w:i w:val="0"/>
                <w:iCs w:val="0"/>
                <w:color w:val="auto"/>
                <w:lang w:val="en-US"/>
              </w:rPr>
              <w:t xml:space="preserve">Figure </w:t>
            </w:r>
            <w:r w:rsidRPr="00B32EF6">
              <w:rPr>
                <w:rFonts w:ascii="Arial" w:hAnsi="Arial" w:cs="Arial"/>
                <w:b/>
                <w:bCs/>
                <w:i w:val="0"/>
                <w:iCs w:val="0"/>
                <w:color w:val="auto"/>
              </w:rPr>
              <w:fldChar w:fldCharType="begin"/>
            </w:r>
            <w:r w:rsidRPr="00B32EF6">
              <w:rPr>
                <w:rFonts w:ascii="Arial" w:hAnsi="Arial" w:cs="Arial"/>
                <w:b/>
                <w:bCs/>
                <w:i w:val="0"/>
                <w:iCs w:val="0"/>
                <w:color w:val="auto"/>
                <w:lang w:val="en-US"/>
              </w:rPr>
              <w:instrText xml:space="preserve"> SEQ Figure \* ARABIC </w:instrText>
            </w:r>
            <w:r w:rsidRPr="00B32EF6">
              <w:rPr>
                <w:rFonts w:ascii="Arial" w:hAnsi="Arial" w:cs="Arial"/>
                <w:b/>
                <w:bCs/>
                <w:i w:val="0"/>
                <w:iCs w:val="0"/>
                <w:color w:val="auto"/>
              </w:rPr>
              <w:fldChar w:fldCharType="separate"/>
            </w:r>
            <w:r w:rsidR="009659A3" w:rsidRPr="00B32EF6">
              <w:rPr>
                <w:rFonts w:ascii="Arial" w:hAnsi="Arial" w:cs="Arial"/>
                <w:b/>
                <w:bCs/>
                <w:i w:val="0"/>
                <w:iCs w:val="0"/>
                <w:noProof/>
                <w:color w:val="auto"/>
                <w:lang w:val="en-US"/>
              </w:rPr>
              <w:t>8</w:t>
            </w:r>
            <w:r w:rsidRPr="00B32EF6">
              <w:rPr>
                <w:rFonts w:ascii="Arial" w:hAnsi="Arial" w:cs="Arial"/>
                <w:b/>
                <w:bCs/>
                <w:i w:val="0"/>
                <w:iCs w:val="0"/>
                <w:color w:val="auto"/>
              </w:rPr>
              <w:fldChar w:fldCharType="end"/>
            </w:r>
            <w:r w:rsidRPr="00B32EF6">
              <w:rPr>
                <w:rFonts w:ascii="Arial" w:hAnsi="Arial" w:cs="Arial"/>
                <w:b/>
                <w:bCs/>
                <w:i w:val="0"/>
                <w:iCs w:val="0"/>
                <w:color w:val="auto"/>
                <w:lang w:val="en-US"/>
              </w:rPr>
              <w:t>:Thermal capture 42 minutes after the start of the tests</w:t>
            </w:r>
          </w:p>
        </w:tc>
      </w:tr>
    </w:tbl>
    <w:p w14:paraId="3D3E5826" w14:textId="77777777" w:rsidR="001755BA" w:rsidRDefault="001755BA" w:rsidP="001755BA">
      <w:pPr>
        <w:tabs>
          <w:tab w:val="left" w:pos="1523"/>
        </w:tabs>
        <w:spacing w:line="360" w:lineRule="auto"/>
        <w:jc w:val="both"/>
        <w:rPr>
          <w:rFonts w:asciiTheme="majorBidi" w:hAnsiTheme="majorBidi" w:cstheme="majorBidi"/>
          <w:sz w:val="24"/>
          <w:szCs w:val="24"/>
          <w:lang w:val="en-US"/>
        </w:rPr>
      </w:pPr>
    </w:p>
    <w:p w14:paraId="7249593B" w14:textId="3433AB45" w:rsidR="001755BA" w:rsidRPr="00B32EF6" w:rsidRDefault="001755BA" w:rsidP="00B32EF6">
      <w:pPr>
        <w:tabs>
          <w:tab w:val="left" w:pos="1523"/>
        </w:tabs>
        <w:spacing w:line="240" w:lineRule="auto"/>
        <w:jc w:val="both"/>
        <w:rPr>
          <w:rFonts w:ascii="Arial" w:hAnsi="Arial" w:cs="Arial"/>
          <w:sz w:val="20"/>
          <w:szCs w:val="20"/>
          <w:lang w:val="en-US"/>
        </w:rPr>
      </w:pPr>
      <w:r w:rsidRPr="00B32EF6">
        <w:rPr>
          <w:rFonts w:ascii="Arial" w:hAnsi="Arial" w:cs="Arial"/>
          <w:sz w:val="20"/>
          <w:szCs w:val="20"/>
          <w:lang w:val="en-US"/>
        </w:rPr>
        <w:t>It was observed that the absorber reached 294.44 °C and the inner glass reached 142 °C, while the ambient temperature was 31 °C, after only 42 minutes of testing. The heat starts spreading on the aluminum absorber from one point — the point closest to the combustion area — and then gradually spreads over the entire absorber and inside the cooker.</w:t>
      </w:r>
    </w:p>
    <w:p w14:paraId="02F116E9" w14:textId="77777777" w:rsidR="001755BA" w:rsidRPr="00B32EF6" w:rsidRDefault="001755BA" w:rsidP="00B32EF6">
      <w:pPr>
        <w:tabs>
          <w:tab w:val="left" w:pos="1523"/>
        </w:tabs>
        <w:spacing w:line="240" w:lineRule="auto"/>
        <w:jc w:val="both"/>
        <w:rPr>
          <w:rFonts w:ascii="Arial" w:hAnsi="Arial" w:cs="Arial"/>
          <w:sz w:val="20"/>
          <w:szCs w:val="20"/>
          <w:lang w:val="en-US"/>
        </w:rPr>
      </w:pPr>
      <w:r w:rsidRPr="00B32EF6">
        <w:rPr>
          <w:rFonts w:ascii="Arial" w:hAnsi="Arial" w:cs="Arial"/>
          <w:sz w:val="20"/>
          <w:szCs w:val="20"/>
          <w:lang w:val="en-US"/>
        </w:rPr>
        <w:t>The high temperature at one point on the inner glass could cause it to crack. This is why a simulation is needed to reduce this sharp temperature rise on the glass, since the clear glass used tends to crack at temperatures around 120 °C.</w:t>
      </w:r>
    </w:p>
    <w:p w14:paraId="133C5AC7" w14:textId="77777777" w:rsidR="001755BA" w:rsidRPr="00B32EF6" w:rsidRDefault="001755BA" w:rsidP="00B32EF6">
      <w:pPr>
        <w:tabs>
          <w:tab w:val="left" w:pos="1523"/>
        </w:tabs>
        <w:spacing w:line="240" w:lineRule="auto"/>
        <w:jc w:val="both"/>
        <w:rPr>
          <w:rFonts w:ascii="Arial" w:hAnsi="Arial" w:cs="Arial"/>
          <w:sz w:val="20"/>
          <w:szCs w:val="20"/>
          <w:lang w:val="en-US"/>
        </w:rPr>
      </w:pPr>
      <w:r w:rsidRPr="00B32EF6">
        <w:rPr>
          <w:rFonts w:ascii="Arial" w:hAnsi="Arial" w:cs="Arial"/>
          <w:sz w:val="20"/>
          <w:szCs w:val="20"/>
          <w:lang w:val="en-US"/>
        </w:rPr>
        <w:t>The temperatures of the cooker’s outer walls are almost the same as the ambient temperature, which shows that the insulation is effective. Good insulation greatly reduces heat loss from the cooker.</w:t>
      </w:r>
    </w:p>
    <w:p w14:paraId="5DD4816F" w14:textId="1CAA2ECE" w:rsidR="001755BA" w:rsidRPr="00B32EF6" w:rsidRDefault="001755BA" w:rsidP="00B32EF6">
      <w:pPr>
        <w:tabs>
          <w:tab w:val="left" w:pos="1523"/>
        </w:tabs>
        <w:spacing w:line="240" w:lineRule="auto"/>
        <w:jc w:val="both"/>
        <w:rPr>
          <w:rFonts w:ascii="Arial" w:hAnsi="Arial" w:cs="Arial"/>
          <w:sz w:val="20"/>
          <w:szCs w:val="20"/>
          <w:lang w:val="en-US"/>
        </w:rPr>
      </w:pPr>
      <w:r w:rsidRPr="00B32EF6">
        <w:rPr>
          <w:rFonts w:ascii="Arial" w:hAnsi="Arial" w:cs="Arial"/>
          <w:sz w:val="20"/>
          <w:szCs w:val="20"/>
          <w:lang w:val="en-US"/>
        </w:rPr>
        <w:t>Thanks to the infrared images, we can see that by limiting heat transfer through the walls, the thermal insulation helps keep a high temperature inside. This reduces energy consumption, which means less fuel is needed for cooking and the cooker works more efficiently.</w:t>
      </w:r>
    </w:p>
    <w:p w14:paraId="602C248E" w14:textId="4DBF355E" w:rsidR="001755BA" w:rsidRPr="000111E4" w:rsidRDefault="001755BA" w:rsidP="00417CFB">
      <w:pPr>
        <w:pStyle w:val="Heading1"/>
        <w:numPr>
          <w:ilvl w:val="1"/>
          <w:numId w:val="4"/>
        </w:numPr>
        <w:spacing w:line="360" w:lineRule="auto"/>
        <w:jc w:val="both"/>
        <w:rPr>
          <w:rFonts w:ascii="Arial" w:hAnsi="Arial" w:cs="Arial"/>
          <w:b/>
          <w:bCs/>
          <w:color w:val="auto"/>
          <w:sz w:val="22"/>
          <w:szCs w:val="22"/>
          <w:lang w:val="en-US"/>
        </w:rPr>
      </w:pPr>
      <w:r w:rsidRPr="000111E4">
        <w:rPr>
          <w:rFonts w:ascii="Arial" w:hAnsi="Arial" w:cs="Arial"/>
          <w:b/>
          <w:bCs/>
          <w:color w:val="auto"/>
          <w:sz w:val="22"/>
          <w:szCs w:val="22"/>
          <w:lang w:val="en-US"/>
        </w:rPr>
        <w:lastRenderedPageBreak/>
        <w:t>Exergetic Evaluation of the Cooker’s Performance</w:t>
      </w:r>
    </w:p>
    <w:p w14:paraId="7BF6A81E" w14:textId="10ACC602" w:rsidR="001755BA" w:rsidRPr="000111E4" w:rsidRDefault="001755BA" w:rsidP="000111E4">
      <w:pPr>
        <w:spacing w:line="240" w:lineRule="auto"/>
        <w:jc w:val="both"/>
        <w:rPr>
          <w:rFonts w:ascii="Arial" w:hAnsi="Arial" w:cs="Arial"/>
          <w:sz w:val="20"/>
          <w:szCs w:val="20"/>
          <w:lang w:val="en-US"/>
        </w:rPr>
      </w:pPr>
      <w:r w:rsidRPr="000111E4">
        <w:rPr>
          <w:rFonts w:ascii="Arial" w:hAnsi="Arial" w:cs="Arial"/>
          <w:sz w:val="20"/>
          <w:szCs w:val="20"/>
          <w:lang w:val="en-US"/>
        </w:rPr>
        <w:t xml:space="preserve">Exergy means the maximum amount of useful work that can be obtained from a system. It is based on the first and second laws of thermodynamics and addresses the limitations of energy analysis </w:t>
      </w:r>
      <w:r w:rsidRPr="000111E4">
        <w:rPr>
          <w:rFonts w:ascii="Arial" w:hAnsi="Arial" w:cs="Arial"/>
          <w:sz w:val="20"/>
          <w:szCs w:val="20"/>
        </w:rPr>
        <w:fldChar w:fldCharType="begin" w:fldLock="1"/>
      </w:r>
      <w:r w:rsidR="0064484C" w:rsidRPr="000111E4">
        <w:rPr>
          <w:rFonts w:ascii="Arial" w:hAnsi="Arial" w:cs="Arial"/>
          <w:sz w:val="20"/>
          <w:szCs w:val="20"/>
          <w:lang w:val="en-US"/>
        </w:rPr>
        <w:instrText>ADDIN CSL_CITATION {"citationItems":[{"id":"ITEM-1","itemData":{"DOI":"10.1063/1.4793784","ISSN":"19417012","abstract":"This article deals with the energetic and exergetic analyses, which provides an alternative means of evaluating and comparing the performance of solar cookers. In this experimental setup, three different types of solar cookers have been studied during the typical day from November to January under Indian climatic conditions. The experimental time period was from 09:00 to 14:00 solar time. It was found that the animal feed cooker (AFC), hot box cooker (HBC), and parabolic dish type cooker (PDC) showed maximum energy and exergy efficiencies during the month of November compared to December and January. The energy efficiency of these cookers in November was about 36.74, 60.94 and 14.45, respectively, whereas exergy efficiency was 3.62, 8.71, 1.41, respectively. The average energy output of AFC, HBC, and PDC during November was 247.80, 327.60, and 260.40 kJ/day, respectively, whereas the exergy output was 19.02, 33.32, and 21.34 kJ/day, respectively. © 2013 American Institute of Physics.","author":[{"dropping-particle":"","family":"Panwar","given":"N. L.","non-dropping-particle":"","parse-names":false,"suffix":""},{"dropping-particle":"","family":"Kothari","given":"Surendra","non-dropping-particle":"","parse-names":false,"suffix":""},{"dropping-particle":"","family":"Kaushik","given":"S. C.","non-dropping-particle":"","parse-names":false,"suffix":""}],"container-title":"Journal of Renewable and Sustainable Energy","id":"ITEM-1","issue":"2","issued":{"date-parts":[["2013"]]},"title":"Energetic and exergetic analysis of three different solar cookers","type":"article-journal","volume":"5"},"uris":["http://www.mendeley.com/documents/?uuid=17564b9b-f5b9-4abb-a96e-dc8aeebc7fab"]}],"mendeley":{"formattedCitation":"(Panwar et al., 2013)","plainTextFormattedCitation":"(Panwar et al., 2013)","previouslyFormattedCitation":"(Panwar et al., 2013)"},"properties":{"noteIndex":0},"schema":"https://github.com/citation-style-language/schema/raw/master/csl-citation.json"}</w:instrText>
      </w:r>
      <w:r w:rsidRPr="000111E4">
        <w:rPr>
          <w:rFonts w:ascii="Arial" w:hAnsi="Arial" w:cs="Arial"/>
          <w:sz w:val="20"/>
          <w:szCs w:val="20"/>
        </w:rPr>
        <w:fldChar w:fldCharType="separate"/>
      </w:r>
      <w:r w:rsidR="00645FDF" w:rsidRPr="000111E4">
        <w:rPr>
          <w:rFonts w:ascii="Arial" w:hAnsi="Arial" w:cs="Arial"/>
          <w:noProof/>
          <w:sz w:val="20"/>
          <w:szCs w:val="20"/>
          <w:lang w:val="en-US"/>
        </w:rPr>
        <w:t>(Panwar et al., 2013)</w:t>
      </w:r>
      <w:r w:rsidRPr="000111E4">
        <w:rPr>
          <w:rFonts w:ascii="Arial" w:hAnsi="Arial" w:cs="Arial"/>
          <w:sz w:val="20"/>
          <w:szCs w:val="20"/>
        </w:rPr>
        <w:fldChar w:fldCharType="end"/>
      </w:r>
      <w:r w:rsidRPr="000111E4">
        <w:rPr>
          <w:rFonts w:ascii="Arial" w:hAnsi="Arial" w:cs="Arial"/>
          <w:sz w:val="20"/>
          <w:szCs w:val="20"/>
          <w:lang w:val="en-US"/>
        </w:rPr>
        <w:t>.</w:t>
      </w:r>
    </w:p>
    <w:p w14:paraId="21A2EEF3" w14:textId="77777777" w:rsidR="004265E0" w:rsidRPr="000111E4" w:rsidRDefault="004265E0" w:rsidP="000111E4">
      <w:pPr>
        <w:spacing w:line="240" w:lineRule="auto"/>
        <w:jc w:val="both"/>
        <w:rPr>
          <w:rFonts w:ascii="Arial" w:hAnsi="Arial" w:cs="Arial"/>
          <w:sz w:val="20"/>
          <w:szCs w:val="20"/>
          <w:lang w:val="en-US"/>
        </w:rPr>
      </w:pPr>
      <w:r w:rsidRPr="000111E4">
        <w:rPr>
          <w:rFonts w:ascii="Arial" w:hAnsi="Arial" w:cs="Arial"/>
          <w:sz w:val="20"/>
          <w:szCs w:val="20"/>
          <w:lang w:val="en-US"/>
        </w:rPr>
        <w:t>Exergy analysis identifies where energy is degraded in a process and can therefore lead to improvements in the operation or technology of a system.</w:t>
      </w:r>
    </w:p>
    <w:p w14:paraId="02B5AF41" w14:textId="77777777" w:rsidR="004265E0" w:rsidRPr="000111E4" w:rsidRDefault="004265E0" w:rsidP="000111E4">
      <w:pPr>
        <w:spacing w:line="240" w:lineRule="auto"/>
        <w:jc w:val="both"/>
        <w:rPr>
          <w:rFonts w:ascii="Arial" w:hAnsi="Arial" w:cs="Arial"/>
          <w:sz w:val="20"/>
          <w:szCs w:val="20"/>
          <w:lang w:val="en-US"/>
        </w:rPr>
      </w:pPr>
      <w:r w:rsidRPr="000111E4">
        <w:rPr>
          <w:rFonts w:ascii="Arial" w:hAnsi="Arial" w:cs="Arial"/>
          <w:sz w:val="20"/>
          <w:szCs w:val="20"/>
          <w:lang w:val="en-US"/>
        </w:rPr>
        <w:t>Also, energy analysis is the quantitative evaluation of energy, while exergy analysis is the qualitative evaluation of energy.</w:t>
      </w:r>
    </w:p>
    <w:p w14:paraId="05AE50B6" w14:textId="5859ED5A" w:rsidR="001755BA" w:rsidRPr="000111E4" w:rsidRDefault="004265E0" w:rsidP="000111E4">
      <w:pPr>
        <w:spacing w:line="240" w:lineRule="auto"/>
        <w:jc w:val="both"/>
        <w:rPr>
          <w:rFonts w:ascii="Arial" w:hAnsi="Arial" w:cs="Arial"/>
          <w:sz w:val="20"/>
          <w:szCs w:val="20"/>
          <w:lang w:val="en-US"/>
        </w:rPr>
      </w:pPr>
      <w:r w:rsidRPr="000111E4">
        <w:rPr>
          <w:rFonts w:ascii="Arial" w:hAnsi="Arial" w:cs="Arial"/>
          <w:sz w:val="20"/>
          <w:szCs w:val="20"/>
          <w:lang w:val="en-US"/>
        </w:rPr>
        <w:t xml:space="preserve">The thermal exergy of a quantity of water at temperature </w:t>
      </w:r>
      <m:oMath>
        <m:sSub>
          <m:sSubPr>
            <m:ctrlPr>
              <w:rPr>
                <w:rFonts w:ascii="Cambria Math" w:hAnsi="Cambria Math" w:cs="Arial"/>
                <w:i/>
                <w:sz w:val="20"/>
                <w:szCs w:val="20"/>
                <w:lang w:val="en-US"/>
              </w:rPr>
            </m:ctrlPr>
          </m:sSubPr>
          <m:e>
            <m:r>
              <w:rPr>
                <w:rFonts w:ascii="Cambria Math" w:hAnsi="Cambria Math" w:cs="Arial"/>
                <w:sz w:val="20"/>
                <w:szCs w:val="20"/>
                <w:lang w:val="en-US"/>
              </w:rPr>
              <m:t>T</m:t>
            </m:r>
          </m:e>
          <m:sub>
            <m:r>
              <w:rPr>
                <w:rFonts w:ascii="Cambria Math" w:hAnsi="Cambria Math" w:cs="Arial"/>
                <w:sz w:val="20"/>
                <w:szCs w:val="20"/>
                <w:lang w:val="en-US"/>
              </w:rPr>
              <m:t>wi</m:t>
            </m:r>
          </m:sub>
        </m:sSub>
      </m:oMath>
      <w:r w:rsidRPr="000111E4">
        <w:rPr>
          <w:rFonts w:ascii="Arial" w:hAnsi="Arial" w:cs="Arial"/>
          <w:sz w:val="20"/>
          <w:szCs w:val="20"/>
          <w:lang w:val="en-US"/>
        </w:rPr>
        <w:t xml:space="preserve">​​ is given by the equation 1: </w:t>
      </w:r>
    </w:p>
    <w:p w14:paraId="1D19A539" w14:textId="36F1042D" w:rsidR="001755BA" w:rsidRPr="004265E0" w:rsidRDefault="004265E0" w:rsidP="00623065">
      <w:pPr>
        <w:tabs>
          <w:tab w:val="left" w:pos="1523"/>
        </w:tabs>
        <w:spacing w:line="360" w:lineRule="auto"/>
        <w:jc w:val="both"/>
        <w:rPr>
          <w:rFonts w:ascii="Times New Roman" w:hAnsi="Times New Roman" w:cs="Times New Roman"/>
          <w:sz w:val="24"/>
          <w:szCs w:val="24"/>
          <w:lang w:val="en-US"/>
        </w:rPr>
      </w:pPr>
      <w:r w:rsidRPr="00C15464">
        <w:rPr>
          <w:rFonts w:ascii="Times New Roman" w:hAnsi="Times New Roman" w:cs="Times New Roman"/>
          <w:position w:val="-30"/>
          <w:sz w:val="24"/>
          <w:szCs w:val="24"/>
        </w:rPr>
        <w:object w:dxaOrig="4120" w:dyaOrig="720" w14:anchorId="07866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65pt;height:44.15pt" o:ole="">
            <v:imagedata r:id="rId22" o:title=""/>
          </v:shape>
          <o:OLEObject Type="Embed" ProgID="Equation.DSMT4" ShapeID="_x0000_i1025" DrawAspect="Content" ObjectID="_1816180761" r:id="rId23"/>
        </w:object>
      </w:r>
      <w:r w:rsidRPr="004265E0">
        <w:rPr>
          <w:rFonts w:ascii="Times New Roman" w:hAnsi="Times New Roman" w:cs="Times New Roman"/>
          <w:sz w:val="24"/>
          <w:szCs w:val="24"/>
          <w:lang w:val="en-US"/>
        </w:rPr>
        <w:t xml:space="preserve">                                       (1)</w:t>
      </w:r>
    </w:p>
    <w:p w14:paraId="656A57D1" w14:textId="4A446B77" w:rsidR="004265E0" w:rsidRPr="000111E4" w:rsidRDefault="004265E0" w:rsidP="000111E4">
      <w:pPr>
        <w:tabs>
          <w:tab w:val="left" w:pos="1523"/>
        </w:tabs>
        <w:spacing w:line="240" w:lineRule="auto"/>
        <w:jc w:val="both"/>
        <w:rPr>
          <w:rFonts w:ascii="Arial" w:hAnsi="Arial" w:cs="Arial"/>
          <w:sz w:val="20"/>
          <w:szCs w:val="20"/>
          <w:lang w:val="en-US"/>
        </w:rPr>
      </w:pPr>
      <w:r w:rsidRPr="000111E4">
        <w:rPr>
          <w:rFonts w:ascii="Arial" w:hAnsi="Arial" w:cs="Arial"/>
          <w:sz w:val="20"/>
          <w:szCs w:val="20"/>
          <w:lang w:val="en-US"/>
        </w:rPr>
        <w:t xml:space="preserve">The absorption of solar rays by the solar cooker produces heat that warms the water in the container. The water temperature rises from </w:t>
      </w:r>
      <m:oMath>
        <m:sSub>
          <m:sSubPr>
            <m:ctrlPr>
              <w:rPr>
                <w:rFonts w:ascii="Cambria Math" w:hAnsi="Cambria Math" w:cs="Arial"/>
                <w:i/>
                <w:sz w:val="20"/>
                <w:szCs w:val="20"/>
                <w:lang w:val="en-US"/>
              </w:rPr>
            </m:ctrlPr>
          </m:sSubPr>
          <m:e>
            <m:r>
              <w:rPr>
                <w:rFonts w:ascii="Cambria Math" w:hAnsi="Cambria Math" w:cs="Arial"/>
                <w:sz w:val="20"/>
                <w:szCs w:val="20"/>
                <w:lang w:val="en-US"/>
              </w:rPr>
              <m:t>T</m:t>
            </m:r>
          </m:e>
          <m:sub>
            <m:r>
              <w:rPr>
                <w:rFonts w:ascii="Cambria Math" w:hAnsi="Cambria Math" w:cs="Arial"/>
                <w:sz w:val="20"/>
                <w:szCs w:val="20"/>
                <w:lang w:val="en-US"/>
              </w:rPr>
              <m:t>wi</m:t>
            </m:r>
          </m:sub>
        </m:sSub>
      </m:oMath>
      <w:r w:rsidRPr="000111E4">
        <w:rPr>
          <w:rFonts w:ascii="Arial" w:hAnsi="Arial" w:cs="Arial"/>
          <w:sz w:val="20"/>
          <w:szCs w:val="20"/>
          <w:lang w:val="en-US"/>
        </w:rPr>
        <w:t xml:space="preserve">​​ to </w:t>
      </w:r>
      <m:oMath>
        <m:sSub>
          <m:sSubPr>
            <m:ctrlPr>
              <w:rPr>
                <w:rFonts w:ascii="Cambria Math" w:hAnsi="Cambria Math" w:cs="Arial"/>
                <w:i/>
                <w:sz w:val="20"/>
                <w:szCs w:val="20"/>
                <w:lang w:val="en-US"/>
              </w:rPr>
            </m:ctrlPr>
          </m:sSubPr>
          <m:e>
            <m:r>
              <w:rPr>
                <w:rFonts w:ascii="Cambria Math" w:hAnsi="Cambria Math" w:cs="Arial"/>
                <w:sz w:val="20"/>
                <w:szCs w:val="20"/>
                <w:lang w:val="en-US"/>
              </w:rPr>
              <m:t>T</m:t>
            </m:r>
          </m:e>
          <m:sub>
            <m:r>
              <w:rPr>
                <w:rFonts w:ascii="Cambria Math" w:hAnsi="Cambria Math" w:cs="Arial"/>
                <w:sz w:val="20"/>
                <w:szCs w:val="20"/>
                <w:lang w:val="en-US"/>
              </w:rPr>
              <m:t>wf</m:t>
            </m:r>
          </m:sub>
        </m:sSub>
      </m:oMath>
      <w:r w:rsidRPr="000111E4">
        <w:rPr>
          <w:rFonts w:ascii="Arial" w:hAnsi="Arial" w:cs="Arial"/>
          <w:sz w:val="20"/>
          <w:szCs w:val="20"/>
          <w:lang w:val="en-US"/>
        </w:rPr>
        <w:t>. Thus, the exergy gain is expressed by equation 2</w:t>
      </w:r>
    </w:p>
    <w:p w14:paraId="290BCF8D" w14:textId="7A3ED917" w:rsidR="004265E0" w:rsidRPr="00714932" w:rsidRDefault="004265E0" w:rsidP="00623065">
      <w:pPr>
        <w:tabs>
          <w:tab w:val="left" w:pos="1523"/>
        </w:tabs>
        <w:spacing w:line="360" w:lineRule="auto"/>
        <w:jc w:val="both"/>
        <w:rPr>
          <w:rFonts w:ascii="Times New Roman" w:hAnsi="Times New Roman" w:cs="Times New Roman"/>
          <w:sz w:val="24"/>
          <w:szCs w:val="24"/>
          <w:lang w:val="en-US"/>
        </w:rPr>
      </w:pPr>
      <w:r w:rsidRPr="0037304D">
        <w:rPr>
          <w:rFonts w:ascii="Times New Roman" w:hAnsi="Times New Roman" w:cs="Times New Roman"/>
          <w:position w:val="-34"/>
          <w:sz w:val="24"/>
          <w:szCs w:val="24"/>
        </w:rPr>
        <w:object w:dxaOrig="3600" w:dyaOrig="780" w14:anchorId="4526230C">
          <v:shape id="_x0000_i1026" type="#_x0000_t75" style="width:208.75pt;height:43.55pt" o:ole="">
            <v:imagedata r:id="rId24" o:title=""/>
          </v:shape>
          <o:OLEObject Type="Embed" ProgID="Equation.DSMT4" ShapeID="_x0000_i1026" DrawAspect="Content" ObjectID="_1816180762" r:id="rId25"/>
        </w:object>
      </w:r>
      <w:r w:rsidRPr="00714932">
        <w:rPr>
          <w:rFonts w:ascii="Times New Roman" w:hAnsi="Times New Roman" w:cs="Times New Roman"/>
          <w:sz w:val="24"/>
          <w:szCs w:val="24"/>
          <w:lang w:val="en-US"/>
        </w:rPr>
        <w:t xml:space="preserve">                                             (2)</w:t>
      </w:r>
    </w:p>
    <w:p w14:paraId="26AC8C1E" w14:textId="5540C2EE" w:rsidR="004265E0" w:rsidRPr="000111E4" w:rsidRDefault="00714932" w:rsidP="00623065">
      <w:pPr>
        <w:tabs>
          <w:tab w:val="left" w:pos="1523"/>
        </w:tabs>
        <w:spacing w:line="360" w:lineRule="auto"/>
        <w:jc w:val="both"/>
        <w:rPr>
          <w:rFonts w:ascii="Arial" w:hAnsi="Arial" w:cs="Arial"/>
          <w:sz w:val="20"/>
          <w:szCs w:val="20"/>
          <w:lang w:val="en-US"/>
        </w:rPr>
      </w:pPr>
      <w:r w:rsidRPr="000111E4">
        <w:rPr>
          <w:rFonts w:ascii="Arial" w:hAnsi="Arial" w:cs="Arial"/>
          <w:sz w:val="20"/>
          <w:szCs w:val="20"/>
          <w:lang w:val="en-US"/>
        </w:rPr>
        <w:t xml:space="preserve">The exergetic efficiency </w:t>
      </w:r>
      <w:r w:rsidRPr="000111E4">
        <w:rPr>
          <w:rFonts w:ascii="Arial" w:hAnsi="Arial" w:cs="Arial"/>
          <w:sz w:val="20"/>
          <w:szCs w:val="20"/>
        </w:rPr>
        <w:sym w:font="Symbol" w:char="F059"/>
      </w:r>
      <w:r w:rsidRPr="000111E4">
        <w:rPr>
          <w:rFonts w:ascii="Arial" w:hAnsi="Arial" w:cs="Arial"/>
          <w:sz w:val="20"/>
          <w:szCs w:val="20"/>
          <w:lang w:val="en-US"/>
        </w:rPr>
        <w:t xml:space="preserve"> is given by equation 3.</w:t>
      </w:r>
    </w:p>
    <w:p w14:paraId="2FDDB98E" w14:textId="41C4849A" w:rsidR="00714932" w:rsidRPr="00645FDF" w:rsidRDefault="00714932" w:rsidP="00623065">
      <w:pPr>
        <w:tabs>
          <w:tab w:val="left" w:pos="1523"/>
        </w:tabs>
        <w:spacing w:line="360" w:lineRule="auto"/>
        <w:jc w:val="both"/>
        <w:rPr>
          <w:rFonts w:ascii="Times New Roman" w:hAnsi="Times New Roman" w:cs="Times New Roman"/>
          <w:sz w:val="24"/>
          <w:szCs w:val="24"/>
          <w:lang w:val="en-US"/>
        </w:rPr>
      </w:pPr>
      <w:r w:rsidRPr="0083530E">
        <w:rPr>
          <w:rFonts w:ascii="Times New Roman" w:hAnsi="Times New Roman" w:cs="Times New Roman"/>
          <w:position w:val="-60"/>
          <w:sz w:val="24"/>
          <w:szCs w:val="24"/>
        </w:rPr>
        <w:object w:dxaOrig="4080" w:dyaOrig="1420" w14:anchorId="21A432E3">
          <v:shape id="_x0000_i1027" type="#_x0000_t75" style="width:237.8pt;height:86.5pt" o:ole="">
            <v:imagedata r:id="rId26" o:title=""/>
          </v:shape>
          <o:OLEObject Type="Embed" ProgID="Equation.DSMT4" ShapeID="_x0000_i1027" DrawAspect="Content" ObjectID="_1816180763" r:id="rId27"/>
        </w:object>
      </w:r>
      <w:r w:rsidRPr="00645FDF">
        <w:rPr>
          <w:rFonts w:ascii="Times New Roman" w:hAnsi="Times New Roman" w:cs="Times New Roman"/>
          <w:sz w:val="24"/>
          <w:szCs w:val="24"/>
          <w:lang w:val="en-US"/>
        </w:rPr>
        <w:t xml:space="preserve">                                (3)</w:t>
      </w:r>
    </w:p>
    <w:p w14:paraId="16F33DC7" w14:textId="77777777" w:rsidR="00C55E6C" w:rsidRPr="000111E4" w:rsidRDefault="00714932" w:rsidP="000111E4">
      <w:pPr>
        <w:tabs>
          <w:tab w:val="left" w:pos="1523"/>
        </w:tabs>
        <w:spacing w:line="240" w:lineRule="auto"/>
        <w:jc w:val="both"/>
        <w:rPr>
          <w:rFonts w:ascii="Arial" w:hAnsi="Arial" w:cs="Arial"/>
          <w:sz w:val="20"/>
          <w:szCs w:val="20"/>
          <w:lang w:val="en-US"/>
        </w:rPr>
      </w:pPr>
      <w:r w:rsidRPr="000111E4">
        <w:rPr>
          <w:rFonts w:ascii="Arial" w:hAnsi="Arial" w:cs="Arial"/>
          <w:sz w:val="20"/>
          <w:szCs w:val="20"/>
          <w:lang w:val="en-US"/>
        </w:rPr>
        <w:t>with:</w:t>
      </w:r>
      <w:r w:rsidRPr="000111E4">
        <w:rPr>
          <w:rFonts w:ascii="Arial" w:hAnsi="Arial" w:cs="Arial"/>
          <w:sz w:val="20"/>
          <w:szCs w:val="20"/>
          <w:lang w:val="en-US"/>
        </w:rPr>
        <w:br/>
      </w:r>
      <m:oMath>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xi</m:t>
            </m:r>
          </m:sub>
        </m:sSub>
      </m:oMath>
      <w:r w:rsidRPr="000111E4">
        <w:rPr>
          <w:rFonts w:ascii="Arial" w:hAnsi="Arial" w:cs="Arial"/>
          <w:sz w:val="20"/>
          <w:szCs w:val="20"/>
          <w:lang w:val="en-US"/>
        </w:rPr>
        <w:t>​: exergy received by the cooker, in joules (J)</w:t>
      </w:r>
    </w:p>
    <w:p w14:paraId="1E449F8E" w14:textId="0C95B537" w:rsidR="00C55E6C" w:rsidRPr="000111E4" w:rsidRDefault="0055294C" w:rsidP="000111E4">
      <w:pPr>
        <w:tabs>
          <w:tab w:val="left" w:pos="1523"/>
        </w:tabs>
        <w:spacing w:line="240" w:lineRule="auto"/>
        <w:jc w:val="both"/>
        <w:rPr>
          <w:rFonts w:ascii="Arial" w:hAnsi="Arial" w:cs="Arial"/>
          <w:sz w:val="20"/>
          <w:szCs w:val="20"/>
          <w:lang w:val="en-US"/>
        </w:rPr>
      </w:pPr>
      <m:oMath>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xo</m:t>
            </m:r>
          </m:sub>
        </m:sSub>
      </m:oMath>
      <w:r w:rsidR="00714932" w:rsidRPr="000111E4">
        <w:rPr>
          <w:rFonts w:ascii="Arial" w:hAnsi="Arial" w:cs="Arial"/>
          <w:sz w:val="20"/>
          <w:szCs w:val="20"/>
          <w:lang w:val="en-US"/>
        </w:rPr>
        <w:t>: exergy delivered (or output exergy), in joules (J)</w:t>
      </w:r>
    </w:p>
    <w:p w14:paraId="472ABB99" w14:textId="49A9D105" w:rsidR="00C55E6C" w:rsidRPr="000111E4" w:rsidRDefault="0055294C" w:rsidP="000111E4">
      <w:pPr>
        <w:tabs>
          <w:tab w:val="left" w:pos="1523"/>
        </w:tabs>
        <w:spacing w:line="240" w:lineRule="auto"/>
        <w:jc w:val="both"/>
        <w:rPr>
          <w:rFonts w:ascii="Arial" w:hAnsi="Arial" w:cs="Arial"/>
          <w:sz w:val="20"/>
          <w:szCs w:val="20"/>
          <w:lang w:val="en-US"/>
        </w:rPr>
      </w:pP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amb</m:t>
            </m:r>
          </m:sub>
        </m:sSub>
      </m:oMath>
      <w:r w:rsidR="00714932" w:rsidRPr="000111E4">
        <w:rPr>
          <w:rFonts w:ascii="Arial" w:hAnsi="Arial" w:cs="Arial"/>
          <w:sz w:val="20"/>
          <w:szCs w:val="20"/>
          <w:lang w:val="en-US"/>
        </w:rPr>
        <w:t>​: ambient temperature, in kelvin (K)</w:t>
      </w:r>
    </w:p>
    <w:p w14:paraId="770606E2" w14:textId="4D6BC435" w:rsidR="00714932" w:rsidRPr="000111E4" w:rsidRDefault="0055294C" w:rsidP="000111E4">
      <w:pPr>
        <w:tabs>
          <w:tab w:val="left" w:pos="1523"/>
        </w:tabs>
        <w:spacing w:line="240" w:lineRule="auto"/>
        <w:jc w:val="both"/>
        <w:rPr>
          <w:rFonts w:ascii="Arial" w:hAnsi="Arial" w:cs="Arial"/>
          <w:sz w:val="20"/>
          <w:szCs w:val="20"/>
          <w:lang w:val="en-US"/>
        </w:rPr>
      </w:pP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sol</m:t>
            </m:r>
          </m:sub>
        </m:sSub>
      </m:oMath>
      <w:r w:rsidR="00714932" w:rsidRPr="000111E4">
        <w:rPr>
          <w:rFonts w:ascii="Arial" w:hAnsi="Arial" w:cs="Arial"/>
          <w:sz w:val="20"/>
          <w:szCs w:val="20"/>
          <w:lang w:val="en-US"/>
        </w:rPr>
        <w:t xml:space="preserve">​: temperature of the sun’s surface, </w:t>
      </w: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sol</m:t>
            </m:r>
          </m:sub>
        </m:sSub>
      </m:oMath>
      <w:r w:rsidR="00714932" w:rsidRPr="000111E4">
        <w:rPr>
          <w:rFonts w:ascii="Arial" w:hAnsi="Arial" w:cs="Arial"/>
          <w:sz w:val="20"/>
          <w:szCs w:val="20"/>
          <w:lang w:val="en-US"/>
        </w:rPr>
        <w:t xml:space="preserve"> = 5800 K</w:t>
      </w:r>
    </w:p>
    <w:p w14:paraId="00D25172" w14:textId="3D430842" w:rsidR="00714932" w:rsidRPr="000111E4" w:rsidRDefault="0055294C" w:rsidP="000111E4">
      <w:pPr>
        <w:tabs>
          <w:tab w:val="left" w:pos="1523"/>
        </w:tabs>
        <w:spacing w:line="240" w:lineRule="auto"/>
        <w:jc w:val="both"/>
        <w:rPr>
          <w:rFonts w:ascii="Arial" w:hAnsi="Arial" w:cs="Arial"/>
          <w:sz w:val="20"/>
          <w:szCs w:val="20"/>
          <w:lang w:val="en-US"/>
        </w:rPr>
      </w:pPr>
      <m:oMath>
        <m:sSubSup>
          <m:sSubSupPr>
            <m:ctrlPr>
              <w:rPr>
                <w:rFonts w:ascii="Cambria Math" w:hAnsi="Cambria Math" w:cs="Arial"/>
                <w:i/>
                <w:sz w:val="20"/>
                <w:szCs w:val="20"/>
              </w:rPr>
            </m:ctrlPr>
          </m:sSubSupPr>
          <m:e>
            <m:r>
              <w:rPr>
                <w:rFonts w:ascii="Cambria Math" w:hAnsi="Cambria Math" w:cs="Arial"/>
                <w:sz w:val="20"/>
                <w:szCs w:val="20"/>
              </w:rPr>
              <m:t>T</m:t>
            </m:r>
          </m:e>
          <m:sub>
            <m:r>
              <w:rPr>
                <w:rFonts w:ascii="Cambria Math" w:hAnsi="Cambria Math" w:cs="Arial"/>
                <w:sz w:val="20"/>
                <w:szCs w:val="20"/>
              </w:rPr>
              <m:t>sol</m:t>
            </m:r>
          </m:sub>
          <m:sup>
            <m:r>
              <w:rPr>
                <w:rFonts w:ascii="Cambria Math" w:hAnsi="Cambria Math" w:cs="Arial"/>
                <w:sz w:val="20"/>
                <w:szCs w:val="20"/>
                <w:lang w:val="en-US"/>
              </w:rPr>
              <m:t>*</m:t>
            </m:r>
          </m:sup>
        </m:sSubSup>
      </m:oMath>
      <w:r w:rsidR="00714932" w:rsidRPr="000111E4">
        <w:rPr>
          <w:rFonts w:ascii="Arial" w:hAnsi="Arial" w:cs="Arial"/>
          <w:sz w:val="20"/>
          <w:szCs w:val="20"/>
          <w:lang w:val="en-US"/>
        </w:rPr>
        <w:t>​: effective temperature of the diffuse radiation</w:t>
      </w:r>
    </w:p>
    <w:p w14:paraId="4F83940E" w14:textId="1FF7675A" w:rsidR="00C55E6C" w:rsidRDefault="0055294C" w:rsidP="000111E4">
      <w:pPr>
        <w:tabs>
          <w:tab w:val="left" w:pos="1523"/>
        </w:tabs>
        <w:spacing w:line="240" w:lineRule="auto"/>
        <w:jc w:val="both"/>
        <w:rPr>
          <w:rFonts w:ascii="Arial" w:hAnsi="Arial" w:cs="Arial"/>
          <w:sz w:val="20"/>
          <w:szCs w:val="20"/>
          <w:lang w:val="en-US"/>
        </w:rPr>
      </w:pP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G</m:t>
            </m:r>
          </m:sub>
        </m:sSub>
      </m:oMath>
      <w:r w:rsidR="00C55E6C" w:rsidRPr="000111E4">
        <w:rPr>
          <w:rFonts w:ascii="Arial" w:hAnsi="Arial" w:cs="Arial"/>
          <w:sz w:val="20"/>
          <w:szCs w:val="20"/>
          <w:lang w:val="en-US"/>
        </w:rPr>
        <w:t>​: global solar radiation</w:t>
      </w:r>
    </w:p>
    <w:p w14:paraId="3FE01AC0" w14:textId="77777777" w:rsidR="000111E4" w:rsidRDefault="000111E4" w:rsidP="000111E4">
      <w:pPr>
        <w:tabs>
          <w:tab w:val="left" w:pos="1523"/>
        </w:tabs>
        <w:spacing w:line="240" w:lineRule="auto"/>
        <w:jc w:val="both"/>
        <w:rPr>
          <w:rFonts w:ascii="Arial" w:hAnsi="Arial" w:cs="Arial"/>
          <w:sz w:val="20"/>
          <w:szCs w:val="20"/>
          <w:lang w:val="en-US"/>
        </w:rPr>
      </w:pPr>
    </w:p>
    <w:p w14:paraId="26140A43" w14:textId="77777777" w:rsidR="000111E4" w:rsidRDefault="000111E4" w:rsidP="000111E4">
      <w:pPr>
        <w:tabs>
          <w:tab w:val="left" w:pos="1523"/>
        </w:tabs>
        <w:spacing w:line="240" w:lineRule="auto"/>
        <w:jc w:val="both"/>
        <w:rPr>
          <w:rFonts w:ascii="Arial" w:hAnsi="Arial" w:cs="Arial"/>
          <w:sz w:val="20"/>
          <w:szCs w:val="20"/>
          <w:lang w:val="en-US"/>
        </w:rPr>
      </w:pPr>
    </w:p>
    <w:p w14:paraId="7ECD8AB7" w14:textId="77777777" w:rsidR="000111E4" w:rsidRDefault="000111E4" w:rsidP="000111E4">
      <w:pPr>
        <w:tabs>
          <w:tab w:val="left" w:pos="1523"/>
        </w:tabs>
        <w:spacing w:line="240" w:lineRule="auto"/>
        <w:jc w:val="both"/>
        <w:rPr>
          <w:rFonts w:ascii="Arial" w:hAnsi="Arial" w:cs="Arial"/>
          <w:sz w:val="20"/>
          <w:szCs w:val="20"/>
          <w:lang w:val="en-US"/>
        </w:rPr>
      </w:pPr>
    </w:p>
    <w:p w14:paraId="3E947090" w14:textId="77777777" w:rsidR="000111E4" w:rsidRDefault="000111E4" w:rsidP="000111E4">
      <w:pPr>
        <w:tabs>
          <w:tab w:val="left" w:pos="1523"/>
        </w:tabs>
        <w:spacing w:line="240" w:lineRule="auto"/>
        <w:jc w:val="both"/>
        <w:rPr>
          <w:rFonts w:ascii="Arial" w:hAnsi="Arial" w:cs="Arial"/>
          <w:sz w:val="20"/>
          <w:szCs w:val="20"/>
          <w:lang w:val="en-US"/>
        </w:rPr>
      </w:pPr>
    </w:p>
    <w:p w14:paraId="5CE5272C" w14:textId="77777777" w:rsidR="000111E4" w:rsidRDefault="000111E4" w:rsidP="000111E4">
      <w:pPr>
        <w:tabs>
          <w:tab w:val="left" w:pos="1523"/>
        </w:tabs>
        <w:spacing w:line="240" w:lineRule="auto"/>
        <w:jc w:val="both"/>
        <w:rPr>
          <w:rFonts w:ascii="Arial" w:hAnsi="Arial" w:cs="Arial"/>
          <w:sz w:val="20"/>
          <w:szCs w:val="20"/>
          <w:lang w:val="en-US"/>
        </w:rPr>
      </w:pPr>
    </w:p>
    <w:p w14:paraId="0F4547F3" w14:textId="77777777" w:rsidR="000111E4" w:rsidRDefault="000111E4" w:rsidP="000111E4">
      <w:pPr>
        <w:tabs>
          <w:tab w:val="left" w:pos="1523"/>
        </w:tabs>
        <w:spacing w:line="240" w:lineRule="auto"/>
        <w:jc w:val="both"/>
        <w:rPr>
          <w:rFonts w:ascii="Arial" w:hAnsi="Arial" w:cs="Arial"/>
          <w:sz w:val="20"/>
          <w:szCs w:val="20"/>
          <w:lang w:val="en-US"/>
        </w:rPr>
      </w:pPr>
    </w:p>
    <w:p w14:paraId="64E505D7" w14:textId="77777777" w:rsidR="000111E4" w:rsidRPr="000111E4" w:rsidRDefault="000111E4" w:rsidP="000111E4">
      <w:pPr>
        <w:tabs>
          <w:tab w:val="left" w:pos="1523"/>
        </w:tabs>
        <w:spacing w:line="240" w:lineRule="auto"/>
        <w:jc w:val="both"/>
        <w:rPr>
          <w:rFonts w:ascii="Arial" w:hAnsi="Arial" w:cs="Arial"/>
          <w:sz w:val="20"/>
          <w:szCs w:val="20"/>
          <w:lang w:val="en-US"/>
        </w:rPr>
      </w:pPr>
    </w:p>
    <w:p w14:paraId="205A355C" w14:textId="2F551908" w:rsidR="00C55E6C" w:rsidRPr="000111E4" w:rsidRDefault="00C55E6C" w:rsidP="000111E4">
      <w:pPr>
        <w:tabs>
          <w:tab w:val="left" w:pos="1523"/>
        </w:tabs>
        <w:spacing w:line="240" w:lineRule="auto"/>
        <w:jc w:val="both"/>
        <w:rPr>
          <w:rFonts w:ascii="Arial" w:hAnsi="Arial" w:cs="Arial"/>
          <w:sz w:val="20"/>
          <w:szCs w:val="20"/>
          <w:lang w:val="en-US"/>
        </w:rPr>
      </w:pPr>
      <w:r w:rsidRPr="000111E4">
        <w:rPr>
          <w:rFonts w:ascii="Arial" w:hAnsi="Arial" w:cs="Arial"/>
          <w:sz w:val="20"/>
          <w:szCs w:val="20"/>
          <w:lang w:val="en-US"/>
        </w:rPr>
        <w:lastRenderedPageBreak/>
        <w:t xml:space="preserve">Figure </w:t>
      </w:r>
      <w:r w:rsidR="00EA68AE">
        <w:rPr>
          <w:rFonts w:ascii="Arial" w:hAnsi="Arial" w:cs="Arial"/>
          <w:sz w:val="20"/>
          <w:szCs w:val="20"/>
          <w:lang w:val="en-US"/>
        </w:rPr>
        <w:t>9</w:t>
      </w:r>
      <w:r w:rsidRPr="000111E4">
        <w:rPr>
          <w:rFonts w:ascii="Arial" w:hAnsi="Arial" w:cs="Arial"/>
          <w:sz w:val="20"/>
          <w:szCs w:val="20"/>
          <w:lang w:val="en-US"/>
        </w:rPr>
        <w:t xml:space="preserve"> shows the time evolution of the exergy and exergetic efficiency of the cooker loaded with 1.5 kg of water in a cooking container.</w:t>
      </w:r>
    </w:p>
    <w:p w14:paraId="6995F928" w14:textId="77777777" w:rsidR="009659A3" w:rsidRDefault="009659A3" w:rsidP="009659A3">
      <w:pPr>
        <w:keepNext/>
        <w:tabs>
          <w:tab w:val="left" w:pos="1523"/>
        </w:tabs>
        <w:spacing w:line="360" w:lineRule="auto"/>
        <w:jc w:val="center"/>
      </w:pPr>
      <w:r>
        <w:rPr>
          <w:noProof/>
        </w:rPr>
        <w:drawing>
          <wp:inline distT="0" distB="0" distL="0" distR="0" wp14:anchorId="582A1754" wp14:editId="539718E4">
            <wp:extent cx="5029200" cy="3239710"/>
            <wp:effectExtent l="0" t="0" r="0" b="0"/>
            <wp:docPr id="1520689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887"/>
                    <a:stretch>
                      <a:fillRect/>
                    </a:stretch>
                  </pic:blipFill>
                  <pic:spPr bwMode="auto">
                    <a:xfrm>
                      <a:off x="0" y="0"/>
                      <a:ext cx="5044007" cy="3249249"/>
                    </a:xfrm>
                    <a:prstGeom prst="rect">
                      <a:avLst/>
                    </a:prstGeom>
                    <a:noFill/>
                    <a:ln>
                      <a:noFill/>
                    </a:ln>
                    <a:extLst>
                      <a:ext uri="{53640926-AAD7-44D8-BBD7-CCE9431645EC}">
                        <a14:shadowObscured xmlns:a14="http://schemas.microsoft.com/office/drawing/2010/main"/>
                      </a:ext>
                    </a:extLst>
                  </pic:spPr>
                </pic:pic>
              </a:graphicData>
            </a:graphic>
          </wp:inline>
        </w:drawing>
      </w:r>
    </w:p>
    <w:p w14:paraId="338CC615" w14:textId="3256D5B0" w:rsidR="00C55E6C" w:rsidRPr="000111E4" w:rsidRDefault="009659A3" w:rsidP="009659A3">
      <w:pPr>
        <w:pStyle w:val="Caption"/>
        <w:jc w:val="center"/>
        <w:rPr>
          <w:rFonts w:ascii="Arial" w:hAnsi="Arial" w:cs="Arial"/>
          <w:b/>
          <w:bCs/>
          <w:i w:val="0"/>
          <w:iCs w:val="0"/>
          <w:color w:val="auto"/>
          <w:sz w:val="22"/>
          <w:szCs w:val="22"/>
          <w:lang w:val="en-US"/>
        </w:rPr>
      </w:pPr>
      <w:r w:rsidRPr="000111E4">
        <w:rPr>
          <w:rFonts w:ascii="Arial" w:hAnsi="Arial" w:cs="Arial"/>
          <w:b/>
          <w:bCs/>
          <w:i w:val="0"/>
          <w:iCs w:val="0"/>
          <w:color w:val="auto"/>
          <w:sz w:val="22"/>
          <w:szCs w:val="22"/>
          <w:lang w:val="en-US"/>
        </w:rPr>
        <w:t xml:space="preserve">Figure </w:t>
      </w:r>
      <w:r w:rsidRPr="000111E4">
        <w:rPr>
          <w:rFonts w:ascii="Arial" w:hAnsi="Arial" w:cs="Arial"/>
          <w:b/>
          <w:bCs/>
          <w:i w:val="0"/>
          <w:iCs w:val="0"/>
          <w:color w:val="auto"/>
          <w:sz w:val="22"/>
          <w:szCs w:val="22"/>
        </w:rPr>
        <w:fldChar w:fldCharType="begin"/>
      </w:r>
      <w:r w:rsidRPr="000111E4">
        <w:rPr>
          <w:rFonts w:ascii="Arial" w:hAnsi="Arial" w:cs="Arial"/>
          <w:b/>
          <w:bCs/>
          <w:i w:val="0"/>
          <w:iCs w:val="0"/>
          <w:color w:val="auto"/>
          <w:sz w:val="22"/>
          <w:szCs w:val="22"/>
          <w:lang w:val="en-US"/>
        </w:rPr>
        <w:instrText xml:space="preserve"> SEQ Figure \* ARABIC </w:instrText>
      </w:r>
      <w:r w:rsidRPr="000111E4">
        <w:rPr>
          <w:rFonts w:ascii="Arial" w:hAnsi="Arial" w:cs="Arial"/>
          <w:b/>
          <w:bCs/>
          <w:i w:val="0"/>
          <w:iCs w:val="0"/>
          <w:color w:val="auto"/>
          <w:sz w:val="22"/>
          <w:szCs w:val="22"/>
        </w:rPr>
        <w:fldChar w:fldCharType="separate"/>
      </w:r>
      <w:r w:rsidRPr="000111E4">
        <w:rPr>
          <w:rFonts w:ascii="Arial" w:hAnsi="Arial" w:cs="Arial"/>
          <w:b/>
          <w:bCs/>
          <w:i w:val="0"/>
          <w:iCs w:val="0"/>
          <w:noProof/>
          <w:color w:val="auto"/>
          <w:sz w:val="22"/>
          <w:szCs w:val="22"/>
          <w:lang w:val="en-US"/>
        </w:rPr>
        <w:t>9</w:t>
      </w:r>
      <w:r w:rsidRPr="000111E4">
        <w:rPr>
          <w:rFonts w:ascii="Arial" w:hAnsi="Arial" w:cs="Arial"/>
          <w:b/>
          <w:bCs/>
          <w:i w:val="0"/>
          <w:iCs w:val="0"/>
          <w:color w:val="auto"/>
          <w:sz w:val="22"/>
          <w:szCs w:val="22"/>
        </w:rPr>
        <w:fldChar w:fldCharType="end"/>
      </w:r>
      <w:r w:rsidRPr="000111E4">
        <w:rPr>
          <w:rFonts w:ascii="Arial" w:hAnsi="Arial" w:cs="Arial"/>
          <w:b/>
          <w:bCs/>
          <w:i w:val="0"/>
          <w:iCs w:val="0"/>
          <w:color w:val="auto"/>
          <w:sz w:val="22"/>
          <w:szCs w:val="22"/>
          <w:lang w:val="en-US"/>
        </w:rPr>
        <w:t>: Exergetic Power and Exergetic Efficiency of the Cooker</w:t>
      </w:r>
    </w:p>
    <w:p w14:paraId="325A40AF" w14:textId="7E054323" w:rsidR="009659A3" w:rsidRPr="000111E4" w:rsidRDefault="009659A3" w:rsidP="000111E4">
      <w:pPr>
        <w:spacing w:line="240" w:lineRule="auto"/>
        <w:jc w:val="both"/>
        <w:rPr>
          <w:rFonts w:ascii="Arial" w:hAnsi="Arial" w:cs="Arial"/>
          <w:sz w:val="20"/>
          <w:szCs w:val="20"/>
          <w:lang w:val="en-US"/>
        </w:rPr>
      </w:pPr>
      <w:r w:rsidRPr="000111E4">
        <w:rPr>
          <w:rFonts w:ascii="Arial" w:hAnsi="Arial" w:cs="Arial"/>
          <w:sz w:val="20"/>
          <w:szCs w:val="20"/>
          <w:lang w:val="en-US"/>
        </w:rPr>
        <w:t xml:space="preserve">The output exergy of the cooker, as calculated, ranges from 0.15 W to 6.61 W (i.e., 0.092 kJ to 3.968 kJ). As for the exergetic efficiency, it ranges from 0.008% to 2.38%. This result shows that exergy is much lower compared to energy. This difference is due to the fact that the quality of energy is considered when calculating exergy </w:t>
      </w:r>
      <w:r w:rsidRPr="000111E4">
        <w:rPr>
          <w:rFonts w:ascii="Arial" w:hAnsi="Arial" w:cs="Arial"/>
          <w:sz w:val="20"/>
          <w:szCs w:val="20"/>
        </w:rPr>
        <w:fldChar w:fldCharType="begin" w:fldLock="1"/>
      </w:r>
      <w:r w:rsidR="002A6DB5" w:rsidRPr="000111E4">
        <w:rPr>
          <w:rFonts w:ascii="Arial" w:hAnsi="Arial" w:cs="Arial"/>
          <w:sz w:val="20"/>
          <w:szCs w:val="20"/>
          <w:lang w:val="en-US"/>
        </w:rPr>
        <w:instrText>ADDIN CSL_CITATION {"citationItems":[{"id":"ITEM-1","itemData":{"author":[{"dropping-particle":"","family":"Huseyin Ozturk","given":"","non-dropping-particle":"","parse-names":false,"suffix":""}],"container-title":"Int J Exergy","id":"ITEM-1","issued":{"date-parts":[["2020"]]},"page":":202–14.","title":"Energy and exergy efficiencies of a solar box-cooker.","type":"article-journal","volume":"1(2)"},"uris":["http://www.mendeley.com/documents/?uuid=899f6700-bf17-4dfe-ab80-fdb7e21859bf"]}],"mendeley":{"formattedCitation":"(Huseyin Ozturk, 2020)","plainTextFormattedCitation":"(Huseyin Ozturk, 2020)","previouslyFormattedCitation":"(Huseyin Ozturk, 2020)"},"properties":{"noteIndex":0},"schema":"https://github.com/citation-style-language/schema/raw/master/csl-citation.json"}</w:instrText>
      </w:r>
      <w:r w:rsidRPr="000111E4">
        <w:rPr>
          <w:rFonts w:ascii="Arial" w:hAnsi="Arial" w:cs="Arial"/>
          <w:sz w:val="20"/>
          <w:szCs w:val="20"/>
        </w:rPr>
        <w:fldChar w:fldCharType="separate"/>
      </w:r>
      <w:r w:rsidR="002A6DB5" w:rsidRPr="000111E4">
        <w:rPr>
          <w:rFonts w:ascii="Arial" w:hAnsi="Arial" w:cs="Arial"/>
          <w:noProof/>
          <w:sz w:val="20"/>
          <w:szCs w:val="20"/>
          <w:lang w:val="en-US"/>
        </w:rPr>
        <w:t>(Huseyin Ozturk, 2020)</w:t>
      </w:r>
      <w:r w:rsidRPr="000111E4">
        <w:rPr>
          <w:rFonts w:ascii="Arial" w:hAnsi="Arial" w:cs="Arial"/>
          <w:sz w:val="20"/>
          <w:szCs w:val="20"/>
        </w:rPr>
        <w:fldChar w:fldCharType="end"/>
      </w:r>
      <w:r w:rsidRPr="000111E4">
        <w:rPr>
          <w:rFonts w:ascii="Arial" w:hAnsi="Arial" w:cs="Arial"/>
          <w:sz w:val="20"/>
          <w:szCs w:val="20"/>
          <w:lang w:val="en-US"/>
        </w:rPr>
        <w:t>.</w:t>
      </w:r>
    </w:p>
    <w:p w14:paraId="6BF92D55" w14:textId="1BDC22D5" w:rsidR="009659A3" w:rsidRPr="000111E4" w:rsidRDefault="009659A3" w:rsidP="000111E4">
      <w:pPr>
        <w:spacing w:line="240" w:lineRule="auto"/>
        <w:jc w:val="both"/>
        <w:rPr>
          <w:rFonts w:ascii="Arial" w:hAnsi="Arial" w:cs="Arial"/>
          <w:sz w:val="20"/>
          <w:szCs w:val="20"/>
          <w:lang w:val="en-US"/>
        </w:rPr>
      </w:pPr>
      <w:r w:rsidRPr="000111E4">
        <w:rPr>
          <w:rFonts w:ascii="Arial" w:hAnsi="Arial" w:cs="Arial"/>
          <w:sz w:val="20"/>
          <w:szCs w:val="20"/>
          <w:lang w:val="en-US"/>
        </w:rPr>
        <w:t xml:space="preserve">These results are of the same order as those found in the literature for solar cookers </w:t>
      </w:r>
      <w:r w:rsidRPr="000111E4">
        <w:rPr>
          <w:rFonts w:ascii="Arial" w:hAnsi="Arial" w:cs="Arial"/>
          <w:sz w:val="20"/>
          <w:szCs w:val="20"/>
        </w:rPr>
        <w:fldChar w:fldCharType="begin" w:fldLock="1"/>
      </w:r>
      <w:r w:rsidR="002A6DB5" w:rsidRPr="000111E4">
        <w:rPr>
          <w:rFonts w:ascii="Arial" w:hAnsi="Arial" w:cs="Arial"/>
          <w:sz w:val="20"/>
          <w:szCs w:val="20"/>
          <w:lang w:val="en-US"/>
        </w:rPr>
        <w:instrText>ADDIN CSL_CITATION {"citationItems":[{"id":"ITEM-1","itemData":{"author":[{"dropping-particle":"","family":"Huseyin Ozturk","given":"","non-dropping-particle":"","parse-names":false,"suffix":""}],"container-title":"Int J Exergy","id":"ITEM-1","issued":{"date-parts":[["2020"]]},"page":":202–14.","title":"Energy and exergy efficiencies of a solar box-cooker.","type":"article-journal","volume":"1(2)"},"uris":["http://www.mendeley.com/documents/?uuid=899f6700-bf17-4dfe-ab80-fdb7e21859bf"]}],"mendeley":{"formattedCitation":"(Huseyin Ozturk, 2020)","plainTextFormattedCitation":"(Huseyin Ozturk, 2020)","previouslyFormattedCitation":"(Huseyin Ozturk, 2020)"},"properties":{"noteIndex":0},"schema":"https://github.com/citation-style-language/schema/raw/master/csl-citation.json"}</w:instrText>
      </w:r>
      <w:r w:rsidRPr="000111E4">
        <w:rPr>
          <w:rFonts w:ascii="Arial" w:hAnsi="Arial" w:cs="Arial"/>
          <w:sz w:val="20"/>
          <w:szCs w:val="20"/>
        </w:rPr>
        <w:fldChar w:fldCharType="separate"/>
      </w:r>
      <w:r w:rsidR="002A6DB5" w:rsidRPr="000111E4">
        <w:rPr>
          <w:rFonts w:ascii="Arial" w:hAnsi="Arial" w:cs="Arial"/>
          <w:noProof/>
          <w:sz w:val="20"/>
          <w:szCs w:val="20"/>
          <w:lang w:val="en-US"/>
        </w:rPr>
        <w:t>(Huseyin Ozturk, 2020)</w:t>
      </w:r>
      <w:r w:rsidRPr="000111E4">
        <w:rPr>
          <w:rFonts w:ascii="Arial" w:hAnsi="Arial" w:cs="Arial"/>
          <w:sz w:val="20"/>
          <w:szCs w:val="20"/>
        </w:rPr>
        <w:fldChar w:fldCharType="end"/>
      </w:r>
      <w:r w:rsidRPr="000111E4">
        <w:rPr>
          <w:rFonts w:ascii="Arial" w:hAnsi="Arial" w:cs="Arial"/>
          <w:sz w:val="20"/>
          <w:szCs w:val="20"/>
          <w:lang w:val="en-US"/>
        </w:rPr>
        <w:t xml:space="preserve"> </w:t>
      </w:r>
      <w:r w:rsidRPr="000111E4">
        <w:rPr>
          <w:rFonts w:ascii="Arial" w:hAnsi="Arial" w:cs="Arial"/>
          <w:sz w:val="20"/>
          <w:szCs w:val="20"/>
        </w:rPr>
        <w:fldChar w:fldCharType="begin" w:fldLock="1"/>
      </w:r>
      <w:r w:rsidR="0064484C" w:rsidRPr="000111E4">
        <w:rPr>
          <w:rFonts w:ascii="Arial" w:hAnsi="Arial" w:cs="Arial"/>
          <w:sz w:val="20"/>
          <w:szCs w:val="20"/>
          <w:lang w:val="en-US"/>
        </w:rPr>
        <w:instrText>ADDIN CSL_CITATION {"citationItems":[{"id":"ITEM-1","itemData":{"DOI":"10.1080/15435070903227912","ISSN":"1543-5075","abstract":"The work presented in this article essentially consists of evaluating the energy and exergy efficiency of two types of parabolic solar cookers. The experiments on both the cookers were performed in summer and winter, both in the climatic conditions in India. The measurements were done by using a microprocessor-based on-line data acquisition system using class I solar pyranometer and Pt. 100 temperature sensors. The energy end exergy efficiencies of both the cookers were experimentally evaluated. The energy output of the community solar cooker varied between 2.73 to 43.3 W and 7.77 W to 33.4 W for the domestic solar cooker. The exergy output for community solar cooker was in the range of 1.92 to 2.58 W, whereas for the domestic solar cooker, it varied from 0.65 to 1.45 W. The energy efficiency of the community solar cooker varied from 8.3% to 10.5% and for the domestic solar cooker, it varied from 7.1% to 14.0%.","author":[{"dropping-particle":"","family":"Shukla","given":"S. K.","non-dropping-particle":"","parse-names":false,"suffix":""}],"container-title":"International Journal of Green Energy","id":"ITEM-1","issue":"5","issued":{"date-parts":[["2009"]]},"page":"437-449","title":"Comparison of Energy and Exergy Efficiency of Community and Domestic Type Parabolic Solar Cookers","type":"article-journal","volume":"6"},"uris":["http://www.mendeley.com/documents/?uuid=4639b680-5240-4f3a-93c3-d2e73b4a7694"]}],"mendeley":{"formattedCitation":"(Shukla, 2009)","plainTextFormattedCitation":"(Shukla, 2009)","previouslyFormattedCitation":"(Shukla, 2009)"},"properties":{"noteIndex":0},"schema":"https://github.com/citation-style-language/schema/raw/master/csl-citation.json"}</w:instrText>
      </w:r>
      <w:r w:rsidRPr="000111E4">
        <w:rPr>
          <w:rFonts w:ascii="Arial" w:hAnsi="Arial" w:cs="Arial"/>
          <w:sz w:val="20"/>
          <w:szCs w:val="20"/>
        </w:rPr>
        <w:fldChar w:fldCharType="separate"/>
      </w:r>
      <w:r w:rsidR="00645FDF" w:rsidRPr="000111E4">
        <w:rPr>
          <w:rFonts w:ascii="Arial" w:hAnsi="Arial" w:cs="Arial"/>
          <w:noProof/>
          <w:sz w:val="20"/>
          <w:szCs w:val="20"/>
          <w:lang w:val="en-US"/>
        </w:rPr>
        <w:t>(Shukla, 2009)</w:t>
      </w:r>
      <w:r w:rsidRPr="000111E4">
        <w:rPr>
          <w:rFonts w:ascii="Arial" w:hAnsi="Arial" w:cs="Arial"/>
          <w:sz w:val="20"/>
          <w:szCs w:val="20"/>
        </w:rPr>
        <w:fldChar w:fldCharType="end"/>
      </w:r>
      <w:r w:rsidRPr="000111E4">
        <w:rPr>
          <w:rFonts w:ascii="Arial" w:hAnsi="Arial" w:cs="Arial"/>
          <w:sz w:val="20"/>
          <w:szCs w:val="20"/>
          <w:lang w:val="en-US"/>
        </w:rPr>
        <w:t xml:space="preserve">. Nébié et al. determined the output exergy of their solar cooker, which ranged from 0.68 W to 6.97 W (i.e., 0.408 kJ to 4.182 kJ), and the exergetic efficiency ranged from 0.36% to 2.53% </w:t>
      </w:r>
      <w:r w:rsidRPr="000111E4">
        <w:rPr>
          <w:rFonts w:ascii="Arial" w:hAnsi="Arial" w:cs="Arial"/>
          <w:sz w:val="20"/>
          <w:szCs w:val="20"/>
        </w:rPr>
        <w:fldChar w:fldCharType="begin" w:fldLock="1"/>
      </w:r>
      <w:r w:rsidR="0064484C" w:rsidRPr="000111E4">
        <w:rPr>
          <w:rFonts w:ascii="Arial" w:hAnsi="Arial" w:cs="Arial"/>
          <w:sz w:val="20"/>
          <w:szCs w:val="20"/>
          <w:lang w:val="en-US"/>
        </w:rPr>
        <w:instrText>ADDIN CSL_CITATION {"citationItems":[{"id":"ITEM-1","itemData":{"author":[{"dropping-particle":"","family":"Nebie","given":"Jacques","non-dropping-particle":"","parse-names":false,"suffix":""}],"id":"ITEM-1","issued":{"date-parts":[["2021"]]},"title":"Présentée par Simulation et étude expérimentale d ’ un cuiseur solaire de type boîte muni d ’ un système de stockage d ’ énergie thermique","type":"article-journal"},"uris":["http://www.mendeley.com/documents/?uuid=67f11a19-2545-4a0b-924e-39b101925ac3"]}],"mendeley":{"formattedCitation":"(Nebie, 2021)","plainTextFormattedCitation":"(Nebie, 2021)","previouslyFormattedCitation":"(Nebie, 2021)"},"properties":{"noteIndex":0},"schema":"https://github.com/citation-style-language/schema/raw/master/csl-citation.json"}</w:instrText>
      </w:r>
      <w:r w:rsidRPr="000111E4">
        <w:rPr>
          <w:rFonts w:ascii="Arial" w:hAnsi="Arial" w:cs="Arial"/>
          <w:sz w:val="20"/>
          <w:szCs w:val="20"/>
        </w:rPr>
        <w:fldChar w:fldCharType="separate"/>
      </w:r>
      <w:r w:rsidR="0064484C" w:rsidRPr="000111E4">
        <w:rPr>
          <w:rFonts w:ascii="Arial" w:hAnsi="Arial" w:cs="Arial"/>
          <w:noProof/>
          <w:sz w:val="20"/>
          <w:szCs w:val="20"/>
          <w:lang w:val="en-US"/>
        </w:rPr>
        <w:t>(Nebie, 2021)</w:t>
      </w:r>
      <w:r w:rsidRPr="000111E4">
        <w:rPr>
          <w:rFonts w:ascii="Arial" w:hAnsi="Arial" w:cs="Arial"/>
          <w:sz w:val="20"/>
          <w:szCs w:val="20"/>
        </w:rPr>
        <w:fldChar w:fldCharType="end"/>
      </w:r>
      <w:r w:rsidRPr="000111E4">
        <w:rPr>
          <w:rFonts w:ascii="Arial" w:hAnsi="Arial" w:cs="Arial"/>
          <w:sz w:val="20"/>
          <w:szCs w:val="20"/>
          <w:lang w:val="en-US"/>
        </w:rPr>
        <w:t>.</w:t>
      </w:r>
    </w:p>
    <w:p w14:paraId="514CF3EA" w14:textId="02F43E2B" w:rsidR="009659A3" w:rsidRPr="000111E4" w:rsidRDefault="009659A3" w:rsidP="000111E4">
      <w:pPr>
        <w:spacing w:line="240" w:lineRule="auto"/>
        <w:jc w:val="both"/>
        <w:rPr>
          <w:rFonts w:ascii="Arial" w:hAnsi="Arial" w:cs="Arial"/>
          <w:sz w:val="20"/>
          <w:szCs w:val="20"/>
          <w:lang w:val="en-US"/>
        </w:rPr>
      </w:pPr>
      <w:r w:rsidRPr="000111E4">
        <w:rPr>
          <w:rFonts w:ascii="Arial" w:hAnsi="Arial" w:cs="Arial"/>
          <w:sz w:val="20"/>
          <w:szCs w:val="20"/>
          <w:lang w:val="en-US"/>
        </w:rPr>
        <w:t xml:space="preserve">Yettou et al. conducted two tests on a similar type of solar cooker to determine the exergetic efficiency. In the first test, the exergetic efficiency ranged from 1.27% to 2.75%, and from 1.60% to 3.44% in the second test </w:t>
      </w:r>
      <w:r w:rsidRPr="000111E4">
        <w:rPr>
          <w:rFonts w:ascii="Arial" w:hAnsi="Arial" w:cs="Arial"/>
          <w:sz w:val="20"/>
          <w:szCs w:val="20"/>
        </w:rPr>
        <w:fldChar w:fldCharType="begin" w:fldLock="1"/>
      </w:r>
      <w:r w:rsidR="0064484C" w:rsidRPr="000111E4">
        <w:rPr>
          <w:rFonts w:ascii="Arial" w:hAnsi="Arial" w:cs="Arial"/>
          <w:sz w:val="20"/>
          <w:szCs w:val="20"/>
          <w:lang w:val="en-US"/>
        </w:rPr>
        <w:instrText>ADDIN CSL_CITATION {"citationItems":[{"id":"ITEM-1","itemData":{"abstract":"Cet article traite l'importance de l'analyse thermodynamique (second law analysis) afin d'évaluer les performances thermiques des cuiseurs solaires, elle constitue une approche alternative aux méthodes traditionnelles. Un cuiseur solaire de type boîte et de forme trapézoïdale avec surface d'ouverture inclinée (CSBSRI) a été conçu, réalisé et testé expérimentalement à l'Unité de Recherche Appliquée en Energies Renouvelables de Ghardaïa. Par ailleurs, les tests ont été effectués, en considérant le cuiseur rempli avec une quantité d'eau ; durant plusieurs jours du mois de Mai et Juin sous des conditions climatiques de Ghardaïa (32.39 °N, 3.78 °E, 463 m). Le temps de la période expérimentale est de 09:00 à 16:00 heure locale. Un schéma synoptique de la chaîne d'acquisition de données, contenant divers instruments de mesure ; sera dressé. Un ou deux réflecteurs ont été ajoutés au cuiseur afin d'étudier leur effet sur les performances globales. Le temps d'ajustement du cuiseur est effectué manuellement chaque 20 min. Les rendements énergétiques et éxergétiques du cuiseur sont calculés et les paramètres indicateurs des performances du cuiseur sont évalués suivant la méthode de Kumar et al. [1]. Les résultats de cette étude indiquent que le cuiseur solaire développé avec surface d'ouverture inclinée peut améliorer le rendement du système de cuisson d'une manière significative. Une validation des résultats obtenus à partir du système de cuisson par comparaison avec diverses réalisations à travers le monde est aussi effectuée. Mots clés-Irradiation solaire, Cuiseur solaire boîte, Performances thermiques, Eléments caractéristiques. Abstract-This article emphasizes the importance of thermodynamic analysis (second law analysis) to assess the thermal performances of solar cookers, which constitutes an alternative approach to conventional methods. A box type solar cooker with the inclined aperture area (CSBSRI) was designed, realized and experimentally tested at Applied Research Unit on Renewable Energies of Ghardaîa. The experiments were carried out with the cooker filled with a quantity of water for several days during May and June. The experiment was conducted during 09:00 to 16:00 hrs local time. A block diagram of the data acquisition system, containing various measuring instruments; is then drawn, one or two reflectors were added to the cooker in order to investigate their effect on overall performance. The time adjustment of the reflectors and cooker is every 2…","author":[{"dropping-particle":"","family":"Yettou","given":"Fatiha","non-dropping-particle":"","parse-names":false,"suffix":""},{"dropping-particle":"","family":"Panwar","given":"N L","non-dropping-particle":"","parse-names":false,"suffix":""},{"dropping-particle":"","family":"Ali","given":"Malek","non-dropping-particle":"","parse-names":false,"suffix":""},{"dropping-particle":"","family":"Yettou","given":"F","non-dropping-particle":"","parse-names":false,"suffix":""},{"dropping-particle":"","family":"Gama","given":"A","non-dropping-particle":"","parse-names":false,"suffix":""},{"dropping-particle":"","family":"Malek","given":"A","non-dropping-particle":"","parse-names":false,"suffix":""},{"dropping-particle":"","family":"Azoui","given":"B","non-dropping-particle":"","parse-names":false,"suffix":""}],"id":"ITEM-1","issue":"January 2019","issued":{"date-parts":[["2016"]]},"title":"Investigation expérimentale pour la détermination des éléments caractéristiques de performances d'un cuiseur solaire boîte de forme trapézoïdale testé au Sahara Algerien Le 4 ème Séminaire International sur les Energies Nouvelles et Renouvelables The 4 th","type":"article-journal"},"uris":["http://www.mendeley.com/documents/?uuid=de875d8e-b9f7-4587-a925-728b47e1ebb5"]}],"mendeley":{"formattedCitation":"(Yettou et al., 2016)","plainTextFormattedCitation":"(Yettou et al., 2016)","previouslyFormattedCitation":"(Yettou et al., 2016)"},"properties":{"noteIndex":0},"schema":"https://github.com/citation-style-language/schema/raw/master/csl-citation.json"}</w:instrText>
      </w:r>
      <w:r w:rsidRPr="000111E4">
        <w:rPr>
          <w:rFonts w:ascii="Arial" w:hAnsi="Arial" w:cs="Arial"/>
          <w:sz w:val="20"/>
          <w:szCs w:val="20"/>
        </w:rPr>
        <w:fldChar w:fldCharType="separate"/>
      </w:r>
      <w:r w:rsidR="00645FDF" w:rsidRPr="000111E4">
        <w:rPr>
          <w:rFonts w:ascii="Arial" w:hAnsi="Arial" w:cs="Arial"/>
          <w:noProof/>
          <w:sz w:val="20"/>
          <w:szCs w:val="20"/>
          <w:lang w:val="en-US"/>
        </w:rPr>
        <w:t>(Yettou et al., 2016)</w:t>
      </w:r>
      <w:r w:rsidRPr="000111E4">
        <w:rPr>
          <w:rFonts w:ascii="Arial" w:hAnsi="Arial" w:cs="Arial"/>
          <w:sz w:val="20"/>
          <w:szCs w:val="20"/>
        </w:rPr>
        <w:fldChar w:fldCharType="end"/>
      </w:r>
      <w:r w:rsidRPr="000111E4">
        <w:rPr>
          <w:rFonts w:ascii="Arial" w:hAnsi="Arial" w:cs="Arial"/>
          <w:sz w:val="20"/>
          <w:szCs w:val="20"/>
          <w:lang w:val="en-US"/>
        </w:rPr>
        <w:t xml:space="preserve">. </w:t>
      </w:r>
    </w:p>
    <w:p w14:paraId="1036305A" w14:textId="5144A0D4" w:rsidR="009659A3" w:rsidRPr="000111E4" w:rsidRDefault="009659A3" w:rsidP="000111E4">
      <w:pPr>
        <w:spacing w:line="240" w:lineRule="auto"/>
        <w:jc w:val="both"/>
        <w:rPr>
          <w:rFonts w:ascii="Arial" w:hAnsi="Arial" w:cs="Arial"/>
          <w:sz w:val="20"/>
          <w:szCs w:val="20"/>
          <w:lang w:val="en-US"/>
        </w:rPr>
      </w:pPr>
      <w:r w:rsidRPr="000111E4">
        <w:rPr>
          <w:rFonts w:ascii="Arial" w:hAnsi="Arial" w:cs="Arial"/>
          <w:sz w:val="20"/>
          <w:szCs w:val="20"/>
          <w:lang w:val="en-US"/>
        </w:rPr>
        <w:t xml:space="preserve">Kumar et al. studied the exergetic power of a box-type solar cooker with a collector surface area of 0.25 m². A maximum exergetic power of 6.46 W was obtained in that study </w:t>
      </w:r>
      <w:r w:rsidRPr="000111E4">
        <w:rPr>
          <w:rFonts w:ascii="Arial" w:hAnsi="Arial" w:cs="Arial"/>
          <w:sz w:val="20"/>
          <w:szCs w:val="20"/>
        </w:rPr>
        <w:fldChar w:fldCharType="begin" w:fldLock="1"/>
      </w:r>
      <w:r w:rsidR="0064484C" w:rsidRPr="000111E4">
        <w:rPr>
          <w:rFonts w:ascii="Arial" w:hAnsi="Arial" w:cs="Arial"/>
          <w:sz w:val="20"/>
          <w:szCs w:val="20"/>
          <w:lang w:val="en-US"/>
        </w:rPr>
        <w:instrText>ADDIN CSL_CITATION {"citationItems":[{"id":"ITEM-1","itemData":{"DOI":"10.1016/j.renene.2012.01.085","ISSN":"09601481","abstract":"It is beneficial for the consumer to have solar cookers of various varieties in terms of geometrical designs, performance and price but it is also a challenge to develop a uniform test standard for evaluating the thermal performance of the cookers irrespective of their geometrical construction. In this paper, four exergy based parameters, are proposed for solar cookers of different topological design, as their thermal performance indicators. To this end, graphs between exergy output power and temperature difference are plotted, and they resemble a parabolic curve for each design. The peak exergy (vertex of the parabola), can be accepted as a measure of devices' fuel ratings. The ratio of the peak exergy power gained to the exergy power lost at that instant of time can be considered as the quality factor of the solar cooker. Besides, the exergy power lost is found to vary linearly with temperature difference irrespective of the topology of the device and the slope of the straight line obtained through curve fitting represents the heat loss coefficient of the cooker. The proposed parameters can lead to development of unified test protocol for solar cookers of diversified designs. © 2012 Elsevier Ltd.","author":[{"dropping-particle":"","family":"Kumar","given":"Naveen","non-dropping-particle":"","parse-names":false,"suffix":""},{"dropping-particle":"","family":"Vishwanath","given":"G.","non-dropping-particle":"","parse-names":false,"suffix":""},{"dropping-particle":"","family":"Gupta","given":"Anurag","non-dropping-particle":"","parse-names":false,"suffix":""}],"container-title":"Renewable Energy","id":"ITEM-1","issued":{"date-parts":[["2012"]]},"page":"457-462","publisher":"Elsevier Ltd","title":"An exergy based unified test protocol for solar cookers of different geometries","type":"article-journal","volume":"44"},"uris":["http://www.mendeley.com/documents/?uuid=24406226-4ed5-4e9f-bec7-3c173fd42bf6"]}],"mendeley":{"formattedCitation":"(N. Kumar et al., 2012)","plainTextFormattedCitation":"(N. Kumar et al., 2012)","previouslyFormattedCitation":"(N. Kumar et al., 2012)"},"properties":{"noteIndex":0},"schema":"https://github.com/citation-style-language/schema/raw/master/csl-citation.json"}</w:instrText>
      </w:r>
      <w:r w:rsidRPr="000111E4">
        <w:rPr>
          <w:rFonts w:ascii="Arial" w:hAnsi="Arial" w:cs="Arial"/>
          <w:sz w:val="20"/>
          <w:szCs w:val="20"/>
        </w:rPr>
        <w:fldChar w:fldCharType="separate"/>
      </w:r>
      <w:r w:rsidR="00645FDF" w:rsidRPr="000111E4">
        <w:rPr>
          <w:rFonts w:ascii="Arial" w:hAnsi="Arial" w:cs="Arial"/>
          <w:noProof/>
          <w:sz w:val="20"/>
          <w:szCs w:val="20"/>
          <w:lang w:val="en-US"/>
        </w:rPr>
        <w:t>(N. Kumar et al., 2012)</w:t>
      </w:r>
      <w:r w:rsidRPr="000111E4">
        <w:rPr>
          <w:rFonts w:ascii="Arial" w:hAnsi="Arial" w:cs="Arial"/>
          <w:sz w:val="20"/>
          <w:szCs w:val="20"/>
        </w:rPr>
        <w:fldChar w:fldCharType="end"/>
      </w:r>
      <w:r w:rsidRPr="000111E4">
        <w:rPr>
          <w:rFonts w:ascii="Arial" w:hAnsi="Arial" w:cs="Arial"/>
          <w:sz w:val="20"/>
          <w:szCs w:val="20"/>
          <w:lang w:val="en-US"/>
        </w:rPr>
        <w:t>.</w:t>
      </w:r>
    </w:p>
    <w:p w14:paraId="6870C9BE" w14:textId="77777777" w:rsidR="009659A3" w:rsidRDefault="009659A3" w:rsidP="009659A3">
      <w:pPr>
        <w:spacing w:line="360" w:lineRule="auto"/>
        <w:jc w:val="both"/>
        <w:rPr>
          <w:rFonts w:ascii="Times New Roman" w:hAnsi="Times New Roman" w:cs="Times New Roman"/>
          <w:sz w:val="24"/>
          <w:szCs w:val="24"/>
          <w:lang w:val="en-US"/>
        </w:rPr>
      </w:pPr>
    </w:p>
    <w:p w14:paraId="08A2650C" w14:textId="77777777" w:rsidR="000111E4" w:rsidRDefault="000111E4" w:rsidP="009659A3">
      <w:pPr>
        <w:spacing w:line="360" w:lineRule="auto"/>
        <w:jc w:val="both"/>
        <w:rPr>
          <w:rFonts w:ascii="Times New Roman" w:hAnsi="Times New Roman" w:cs="Times New Roman"/>
          <w:sz w:val="24"/>
          <w:szCs w:val="24"/>
          <w:lang w:val="en-US"/>
        </w:rPr>
      </w:pPr>
    </w:p>
    <w:p w14:paraId="1E0F8B66" w14:textId="77777777" w:rsidR="000111E4" w:rsidRDefault="000111E4" w:rsidP="009659A3">
      <w:pPr>
        <w:spacing w:line="360" w:lineRule="auto"/>
        <w:jc w:val="both"/>
        <w:rPr>
          <w:rFonts w:ascii="Times New Roman" w:hAnsi="Times New Roman" w:cs="Times New Roman"/>
          <w:sz w:val="24"/>
          <w:szCs w:val="24"/>
          <w:lang w:val="en-US"/>
        </w:rPr>
      </w:pPr>
    </w:p>
    <w:p w14:paraId="6669CC59" w14:textId="77777777" w:rsidR="000111E4" w:rsidRDefault="000111E4" w:rsidP="009659A3">
      <w:pPr>
        <w:spacing w:line="360" w:lineRule="auto"/>
        <w:jc w:val="both"/>
        <w:rPr>
          <w:rFonts w:ascii="Times New Roman" w:hAnsi="Times New Roman" w:cs="Times New Roman"/>
          <w:sz w:val="24"/>
          <w:szCs w:val="24"/>
          <w:lang w:val="en-US"/>
        </w:rPr>
      </w:pPr>
    </w:p>
    <w:p w14:paraId="14CD8753" w14:textId="77777777" w:rsidR="000111E4" w:rsidRDefault="000111E4" w:rsidP="009659A3">
      <w:pPr>
        <w:spacing w:line="360" w:lineRule="auto"/>
        <w:jc w:val="both"/>
        <w:rPr>
          <w:rFonts w:ascii="Times New Roman" w:hAnsi="Times New Roman" w:cs="Times New Roman"/>
          <w:sz w:val="24"/>
          <w:szCs w:val="24"/>
          <w:lang w:val="en-US"/>
        </w:rPr>
      </w:pPr>
    </w:p>
    <w:p w14:paraId="7AB91A31" w14:textId="77777777" w:rsidR="000111E4" w:rsidRDefault="000111E4" w:rsidP="009659A3">
      <w:pPr>
        <w:spacing w:line="360" w:lineRule="auto"/>
        <w:jc w:val="both"/>
        <w:rPr>
          <w:rFonts w:ascii="Times New Roman" w:hAnsi="Times New Roman" w:cs="Times New Roman"/>
          <w:sz w:val="24"/>
          <w:szCs w:val="24"/>
          <w:lang w:val="en-US"/>
        </w:rPr>
      </w:pPr>
    </w:p>
    <w:p w14:paraId="5C81C2B8" w14:textId="77777777" w:rsidR="000111E4" w:rsidRPr="009659A3" w:rsidRDefault="000111E4" w:rsidP="009659A3">
      <w:pPr>
        <w:spacing w:line="360" w:lineRule="auto"/>
        <w:jc w:val="both"/>
        <w:rPr>
          <w:rFonts w:ascii="Times New Roman" w:hAnsi="Times New Roman" w:cs="Times New Roman"/>
          <w:sz w:val="24"/>
          <w:szCs w:val="24"/>
          <w:lang w:val="en-US"/>
        </w:rPr>
      </w:pPr>
    </w:p>
    <w:p w14:paraId="132636C3" w14:textId="4FD686AD" w:rsidR="00623065" w:rsidRPr="000111E4" w:rsidRDefault="00623065" w:rsidP="00417CFB">
      <w:pPr>
        <w:pStyle w:val="ListParagraph"/>
        <w:numPr>
          <w:ilvl w:val="0"/>
          <w:numId w:val="1"/>
        </w:numPr>
        <w:tabs>
          <w:tab w:val="left" w:pos="1523"/>
        </w:tabs>
        <w:spacing w:line="360" w:lineRule="auto"/>
        <w:jc w:val="both"/>
        <w:rPr>
          <w:rFonts w:ascii="Arial" w:hAnsi="Arial" w:cs="Arial"/>
          <w:b/>
          <w:bCs/>
          <w:lang w:val="en-US"/>
        </w:rPr>
      </w:pPr>
      <w:r w:rsidRPr="000111E4">
        <w:rPr>
          <w:rFonts w:ascii="Arial" w:hAnsi="Arial" w:cs="Arial"/>
          <w:b/>
          <w:bCs/>
          <w:lang w:val="en-US"/>
        </w:rPr>
        <w:lastRenderedPageBreak/>
        <w:t>C</w:t>
      </w:r>
      <w:r w:rsidR="00671FD8">
        <w:rPr>
          <w:rFonts w:ascii="Arial" w:hAnsi="Arial" w:cs="Arial"/>
          <w:b/>
          <w:bCs/>
          <w:lang w:val="en-US"/>
        </w:rPr>
        <w:t>ONCLUSION</w:t>
      </w:r>
    </w:p>
    <w:p w14:paraId="6D985B33" w14:textId="77777777" w:rsidR="00417CFB" w:rsidRPr="000111E4" w:rsidRDefault="00417CFB" w:rsidP="000111E4">
      <w:pPr>
        <w:tabs>
          <w:tab w:val="left" w:pos="1523"/>
        </w:tabs>
        <w:spacing w:after="0" w:line="240" w:lineRule="auto"/>
        <w:jc w:val="both"/>
        <w:rPr>
          <w:rFonts w:ascii="Arial" w:hAnsi="Arial" w:cs="Arial"/>
          <w:sz w:val="20"/>
          <w:szCs w:val="20"/>
          <w:lang w:val="en-US"/>
        </w:rPr>
      </w:pPr>
      <w:r w:rsidRPr="000111E4">
        <w:rPr>
          <w:rFonts w:ascii="Arial" w:hAnsi="Arial" w:cs="Arial"/>
          <w:sz w:val="20"/>
          <w:szCs w:val="20"/>
          <w:lang w:val="en-US"/>
        </w:rPr>
        <w:t>In this study, locally available materials used for the hybrid cooker were analyzed. After its construction, the images showed good insulation of the cooking chamber as well as effective heat concentration on the absorber, where the cooking container is placed.</w:t>
      </w:r>
    </w:p>
    <w:p w14:paraId="08EFB6F5" w14:textId="77777777" w:rsidR="00417CFB" w:rsidRPr="000111E4" w:rsidRDefault="00417CFB" w:rsidP="000111E4">
      <w:pPr>
        <w:tabs>
          <w:tab w:val="left" w:pos="1523"/>
        </w:tabs>
        <w:spacing w:after="0" w:line="240" w:lineRule="auto"/>
        <w:jc w:val="both"/>
        <w:rPr>
          <w:rFonts w:ascii="Arial" w:hAnsi="Arial" w:cs="Arial"/>
          <w:sz w:val="20"/>
          <w:szCs w:val="20"/>
          <w:lang w:val="en-US"/>
        </w:rPr>
      </w:pPr>
      <w:r w:rsidRPr="000111E4">
        <w:rPr>
          <w:rFonts w:ascii="Arial" w:hAnsi="Arial" w:cs="Arial"/>
          <w:sz w:val="20"/>
          <w:szCs w:val="20"/>
          <w:lang w:val="en-US"/>
        </w:rPr>
        <w:t>The evaluation of the cooker’s energy quality through exergy, which ranged from 0.15 W to 6.61 W (i.e., 0.092 kJ to 3.968 kJ), and exergetic efficiency, which ranged from 0.008% to 2.38%, shows that a significant portion of the energy is used for cooking food.</w:t>
      </w:r>
    </w:p>
    <w:p w14:paraId="6B0D2EEF" w14:textId="1E4A5098" w:rsidR="00153EE5" w:rsidRDefault="00417CFB" w:rsidP="000111E4">
      <w:pPr>
        <w:tabs>
          <w:tab w:val="left" w:pos="1523"/>
        </w:tabs>
        <w:spacing w:after="0" w:line="240" w:lineRule="auto"/>
        <w:jc w:val="both"/>
        <w:rPr>
          <w:rFonts w:ascii="Arial" w:hAnsi="Arial" w:cs="Arial"/>
          <w:sz w:val="20"/>
          <w:szCs w:val="20"/>
          <w:lang w:val="en-US"/>
        </w:rPr>
      </w:pPr>
      <w:r w:rsidRPr="000111E4">
        <w:rPr>
          <w:rFonts w:ascii="Arial" w:hAnsi="Arial" w:cs="Arial"/>
          <w:sz w:val="20"/>
          <w:szCs w:val="20"/>
          <w:lang w:val="en-US"/>
        </w:rPr>
        <w:t>This made it possible to prepare local dishes using solar radiation when available, and biomass mode when it was not. Moreover, this approach highlights an opportunity for developing countries with high solar potential to reduce household energy consumption in rural areas, while incorporating a cooking chamber suitable for year-round use.</w:t>
      </w:r>
    </w:p>
    <w:p w14:paraId="2C358EEE" w14:textId="77777777" w:rsidR="00012242" w:rsidRDefault="00012242" w:rsidP="000111E4">
      <w:pPr>
        <w:tabs>
          <w:tab w:val="left" w:pos="1523"/>
        </w:tabs>
        <w:spacing w:after="0" w:line="240" w:lineRule="auto"/>
        <w:jc w:val="both"/>
        <w:rPr>
          <w:rFonts w:ascii="Arial" w:hAnsi="Arial" w:cs="Arial"/>
          <w:sz w:val="20"/>
          <w:szCs w:val="20"/>
          <w:lang w:val="en-US"/>
        </w:rPr>
      </w:pPr>
    </w:p>
    <w:p w14:paraId="6047183F" w14:textId="77777777" w:rsidR="00012242" w:rsidRDefault="00012242" w:rsidP="000111E4">
      <w:pPr>
        <w:tabs>
          <w:tab w:val="left" w:pos="1523"/>
        </w:tabs>
        <w:spacing w:after="0" w:line="240" w:lineRule="auto"/>
        <w:jc w:val="both"/>
        <w:rPr>
          <w:rFonts w:ascii="Arial" w:hAnsi="Arial" w:cs="Arial"/>
          <w:sz w:val="20"/>
          <w:szCs w:val="20"/>
          <w:lang w:val="en-US"/>
        </w:rPr>
      </w:pPr>
    </w:p>
    <w:p w14:paraId="425C367A" w14:textId="77777777" w:rsidR="00012242" w:rsidRDefault="00012242" w:rsidP="000111E4">
      <w:pPr>
        <w:tabs>
          <w:tab w:val="left" w:pos="1523"/>
        </w:tabs>
        <w:spacing w:after="0" w:line="240" w:lineRule="auto"/>
        <w:jc w:val="both"/>
        <w:rPr>
          <w:rFonts w:ascii="Arial" w:hAnsi="Arial" w:cs="Arial"/>
          <w:sz w:val="20"/>
          <w:szCs w:val="20"/>
          <w:lang w:val="en-US"/>
        </w:rPr>
      </w:pPr>
    </w:p>
    <w:p w14:paraId="204E3A7C" w14:textId="77777777" w:rsidR="00012242" w:rsidRPr="00012242" w:rsidRDefault="00012242" w:rsidP="00012242">
      <w:pPr>
        <w:tabs>
          <w:tab w:val="left" w:pos="1523"/>
        </w:tabs>
        <w:spacing w:after="0" w:line="240" w:lineRule="auto"/>
        <w:jc w:val="both"/>
        <w:rPr>
          <w:rFonts w:ascii="Arial" w:hAnsi="Arial" w:cs="Arial"/>
          <w:sz w:val="20"/>
          <w:szCs w:val="20"/>
          <w:lang w:val="en-US"/>
        </w:rPr>
      </w:pPr>
      <w:r w:rsidRPr="00012242">
        <w:rPr>
          <w:rFonts w:ascii="Arial" w:hAnsi="Arial" w:cs="Arial"/>
          <w:sz w:val="20"/>
          <w:szCs w:val="20"/>
          <w:lang w:val="en-US"/>
        </w:rPr>
        <w:t>COMPETING INTERESTS DISCLAIMER:</w:t>
      </w:r>
    </w:p>
    <w:p w14:paraId="0D9E6BF7" w14:textId="742667C8" w:rsidR="00012242" w:rsidRDefault="00012242" w:rsidP="00012242">
      <w:pPr>
        <w:tabs>
          <w:tab w:val="left" w:pos="1523"/>
        </w:tabs>
        <w:spacing w:after="0" w:line="240" w:lineRule="auto"/>
        <w:jc w:val="both"/>
        <w:rPr>
          <w:rFonts w:ascii="Arial" w:hAnsi="Arial" w:cs="Arial"/>
          <w:sz w:val="20"/>
          <w:szCs w:val="20"/>
          <w:lang w:val="en-US"/>
        </w:rPr>
      </w:pPr>
      <w:r w:rsidRPr="00012242">
        <w:rPr>
          <w:rFonts w:ascii="Arial" w:hAnsi="Arial" w:cs="Arial"/>
          <w:sz w:val="20"/>
          <w:szCs w:val="20"/>
          <w:lang w:val="en-US"/>
        </w:rPr>
        <w:t>Authors have declared that they have no known competing financial interests OR non-financial interests OR personal relationships that could have appeared to influence the work reported in this paper.</w:t>
      </w:r>
    </w:p>
    <w:p w14:paraId="649184C7" w14:textId="77777777" w:rsidR="000111E4" w:rsidRDefault="000111E4" w:rsidP="000111E4">
      <w:pPr>
        <w:tabs>
          <w:tab w:val="left" w:pos="1523"/>
        </w:tabs>
        <w:spacing w:after="0" w:line="240" w:lineRule="auto"/>
        <w:jc w:val="both"/>
        <w:rPr>
          <w:rFonts w:ascii="Arial" w:hAnsi="Arial" w:cs="Arial"/>
          <w:sz w:val="20"/>
          <w:szCs w:val="20"/>
          <w:lang w:val="en-US"/>
        </w:rPr>
      </w:pPr>
    </w:p>
    <w:p w14:paraId="33FC70EB" w14:textId="77777777" w:rsidR="000111E4" w:rsidRPr="000111E4" w:rsidRDefault="000111E4" w:rsidP="000111E4">
      <w:pPr>
        <w:tabs>
          <w:tab w:val="left" w:pos="1523"/>
        </w:tabs>
        <w:spacing w:after="0" w:line="240" w:lineRule="auto"/>
        <w:jc w:val="both"/>
        <w:rPr>
          <w:rFonts w:ascii="Arial" w:hAnsi="Arial" w:cs="Arial"/>
          <w:sz w:val="20"/>
          <w:szCs w:val="20"/>
          <w:lang w:val="en-US"/>
        </w:rPr>
      </w:pPr>
    </w:p>
    <w:p w14:paraId="50FE6DF7" w14:textId="347029FE" w:rsidR="00085FAF" w:rsidRPr="000111E4" w:rsidRDefault="00085FAF" w:rsidP="002A0C85">
      <w:pPr>
        <w:tabs>
          <w:tab w:val="left" w:pos="1523"/>
        </w:tabs>
        <w:spacing w:line="360" w:lineRule="auto"/>
        <w:jc w:val="both"/>
        <w:rPr>
          <w:rFonts w:ascii="Arial" w:hAnsi="Arial" w:cs="Arial"/>
          <w:b/>
          <w:bCs/>
          <w:lang w:val="en-US"/>
        </w:rPr>
      </w:pPr>
      <w:r w:rsidRPr="000111E4">
        <w:rPr>
          <w:rFonts w:ascii="Arial" w:hAnsi="Arial" w:cs="Arial"/>
          <w:b/>
          <w:bCs/>
          <w:lang w:val="en-US"/>
        </w:rPr>
        <w:t>R</w:t>
      </w:r>
      <w:r w:rsidR="00671FD8">
        <w:rPr>
          <w:rFonts w:ascii="Arial" w:hAnsi="Arial" w:cs="Arial"/>
          <w:b/>
          <w:bCs/>
          <w:lang w:val="en-US"/>
        </w:rPr>
        <w:t>EFERENCES</w:t>
      </w:r>
      <w:r w:rsidRPr="000111E4">
        <w:rPr>
          <w:rFonts w:ascii="Arial" w:hAnsi="Arial" w:cs="Arial"/>
          <w:b/>
          <w:bCs/>
          <w:lang w:val="en-US"/>
        </w:rPr>
        <w:t> </w:t>
      </w:r>
    </w:p>
    <w:p w14:paraId="3EC8D98E" w14:textId="05223145" w:rsidR="004C37E1" w:rsidRPr="004C37E1" w:rsidRDefault="00085FAF" w:rsidP="004C37E1">
      <w:pPr>
        <w:widowControl w:val="0"/>
        <w:autoSpaceDE w:val="0"/>
        <w:autoSpaceDN w:val="0"/>
        <w:adjustRightInd w:val="0"/>
        <w:spacing w:after="0" w:line="240" w:lineRule="auto"/>
        <w:ind w:left="480" w:hanging="480"/>
        <w:rPr>
          <w:rFonts w:ascii="Arial" w:hAnsi="Arial" w:cs="Arial"/>
          <w:noProof/>
          <w:kern w:val="0"/>
        </w:rPr>
      </w:pPr>
      <w:r w:rsidRPr="000111E4">
        <w:rPr>
          <w:rFonts w:ascii="Arial" w:hAnsi="Arial" w:cs="Arial"/>
          <w:lang w:val="en-US"/>
        </w:rPr>
        <w:fldChar w:fldCharType="begin" w:fldLock="1"/>
      </w:r>
      <w:r w:rsidRPr="000111E4">
        <w:rPr>
          <w:rFonts w:ascii="Arial" w:hAnsi="Arial" w:cs="Arial"/>
          <w:lang w:val="en-US"/>
        </w:rPr>
        <w:instrText xml:space="preserve">ADDIN Mendeley Bibliography CSL_BIBLIOGRAPHY </w:instrText>
      </w:r>
      <w:r w:rsidRPr="000111E4">
        <w:rPr>
          <w:rFonts w:ascii="Arial" w:hAnsi="Arial" w:cs="Arial"/>
          <w:lang w:val="en-US"/>
        </w:rPr>
        <w:fldChar w:fldCharType="separate"/>
      </w:r>
      <w:r w:rsidR="002A6DB5" w:rsidRPr="000111E4">
        <w:rPr>
          <w:rFonts w:ascii="Arial" w:hAnsi="Arial" w:cs="Arial"/>
          <w:noProof/>
          <w:kern w:val="0"/>
        </w:rPr>
        <w:t>A</w:t>
      </w:r>
      <w:r w:rsidR="004C37E1" w:rsidRPr="004C37E1">
        <w:t xml:space="preserve"> </w:t>
      </w:r>
      <w:r w:rsidR="004C37E1" w:rsidRPr="004C37E1">
        <w:rPr>
          <w:rFonts w:ascii="Arial" w:hAnsi="Arial" w:cs="Arial"/>
          <w:noProof/>
          <w:kern w:val="0"/>
        </w:rPr>
        <w:t>lgifri AH, A.-T. H. (2001). Efficient orientation impacts of box-type solar cooker on the cooker performance. Solar Energy, 70(2), 165–70.</w:t>
      </w:r>
    </w:p>
    <w:p w14:paraId="3A4F009E" w14:textId="77777777" w:rsidR="004C37E1" w:rsidRPr="004C37E1" w:rsidRDefault="004C37E1" w:rsidP="004C37E1">
      <w:pPr>
        <w:widowControl w:val="0"/>
        <w:autoSpaceDE w:val="0"/>
        <w:autoSpaceDN w:val="0"/>
        <w:adjustRightInd w:val="0"/>
        <w:spacing w:after="0" w:line="240" w:lineRule="auto"/>
        <w:ind w:left="480" w:hanging="480"/>
        <w:rPr>
          <w:rFonts w:ascii="Arial" w:hAnsi="Arial" w:cs="Arial"/>
          <w:noProof/>
          <w:kern w:val="0"/>
        </w:rPr>
      </w:pPr>
      <w:r w:rsidRPr="004C37E1">
        <w:rPr>
          <w:rFonts w:ascii="Arial" w:hAnsi="Arial" w:cs="Arial"/>
          <w:noProof/>
          <w:kern w:val="0"/>
        </w:rPr>
        <w:t>Aliyu, S., &amp; Garba, M. M. (2018). Development of A Novel Double Exposure Solar Cooker And Its Comparative Performance With The Conventional Box Type Solar Cooker. IOSR Journal of Mechanical and Civil Engineering, 15(1), 35–40. https://doi.org/10.9790/1684-1501013540</w:t>
      </w:r>
    </w:p>
    <w:p w14:paraId="03D773AF" w14:textId="77777777" w:rsidR="004C37E1" w:rsidRPr="004C37E1" w:rsidRDefault="004C37E1" w:rsidP="004C37E1">
      <w:pPr>
        <w:widowControl w:val="0"/>
        <w:autoSpaceDE w:val="0"/>
        <w:autoSpaceDN w:val="0"/>
        <w:adjustRightInd w:val="0"/>
        <w:spacing w:after="0" w:line="240" w:lineRule="auto"/>
        <w:ind w:left="480" w:hanging="480"/>
        <w:rPr>
          <w:rFonts w:ascii="Arial" w:hAnsi="Arial" w:cs="Arial"/>
          <w:noProof/>
          <w:kern w:val="0"/>
        </w:rPr>
      </w:pPr>
      <w:r w:rsidRPr="004C37E1">
        <w:rPr>
          <w:rFonts w:ascii="Arial" w:hAnsi="Arial" w:cs="Arial"/>
          <w:noProof/>
          <w:kern w:val="0"/>
        </w:rPr>
        <w:t>Ambarita, H. (2018). Numerical study on the effect of configuration of a simple box solar cooker for boiling water. IOP Conference Series: Materials Science and Engineering, 308(1). https://doi.org/10.1088/1757-899X/308/1/012028</w:t>
      </w:r>
    </w:p>
    <w:p w14:paraId="7B7DC295" w14:textId="77777777" w:rsidR="004C37E1" w:rsidRPr="004C37E1" w:rsidRDefault="004C37E1" w:rsidP="004C37E1">
      <w:pPr>
        <w:widowControl w:val="0"/>
        <w:autoSpaceDE w:val="0"/>
        <w:autoSpaceDN w:val="0"/>
        <w:adjustRightInd w:val="0"/>
        <w:spacing w:after="0" w:line="240" w:lineRule="auto"/>
        <w:ind w:left="480" w:hanging="480"/>
        <w:rPr>
          <w:rFonts w:ascii="Arial" w:hAnsi="Arial" w:cs="Arial"/>
          <w:noProof/>
          <w:kern w:val="0"/>
        </w:rPr>
      </w:pPr>
      <w:r w:rsidRPr="004C37E1">
        <w:rPr>
          <w:rFonts w:ascii="Arial" w:hAnsi="Arial" w:cs="Arial"/>
          <w:noProof/>
          <w:kern w:val="0"/>
        </w:rPr>
        <w:t>Bala, A., Gupta, S., &amp; Matsagar, V. (2023). Influence of glass wool fiber reinforcement and heat resistant coating on behavior of self-compacting mortar at elevated temperatures. Construction and Building Materials, 392(May), 131876. https://doi.org/10.1016/j.conbuildmat.2023.131876</w:t>
      </w:r>
    </w:p>
    <w:p w14:paraId="229ECF4F" w14:textId="77777777" w:rsidR="004C37E1" w:rsidRPr="004C37E1" w:rsidRDefault="004C37E1" w:rsidP="004C37E1">
      <w:pPr>
        <w:widowControl w:val="0"/>
        <w:autoSpaceDE w:val="0"/>
        <w:autoSpaceDN w:val="0"/>
        <w:adjustRightInd w:val="0"/>
        <w:spacing w:after="0" w:line="240" w:lineRule="auto"/>
        <w:ind w:left="480" w:hanging="480"/>
        <w:rPr>
          <w:rFonts w:ascii="Arial" w:hAnsi="Arial" w:cs="Arial"/>
          <w:noProof/>
          <w:kern w:val="0"/>
        </w:rPr>
      </w:pPr>
      <w:r w:rsidRPr="004C37E1">
        <w:rPr>
          <w:rFonts w:ascii="Arial" w:hAnsi="Arial" w:cs="Arial"/>
          <w:noProof/>
          <w:kern w:val="0"/>
        </w:rPr>
        <w:t>Bildirici, M., &amp; Özaksoy, F. (2016). Woody Biomass Energy Consumption and Economic Growth in Sub-Saharan Africa. Procedia Economics and Finance, 38(October 2015), 287–293. https://doi.org/10.1016/s2212-5671(16)30202-7</w:t>
      </w:r>
    </w:p>
    <w:p w14:paraId="4183C2DF" w14:textId="77777777" w:rsidR="004C37E1" w:rsidRPr="004C37E1" w:rsidRDefault="004C37E1" w:rsidP="004C37E1">
      <w:pPr>
        <w:widowControl w:val="0"/>
        <w:autoSpaceDE w:val="0"/>
        <w:autoSpaceDN w:val="0"/>
        <w:adjustRightInd w:val="0"/>
        <w:spacing w:after="0" w:line="240" w:lineRule="auto"/>
        <w:ind w:left="480" w:hanging="480"/>
        <w:rPr>
          <w:rFonts w:ascii="Arial" w:hAnsi="Arial" w:cs="Arial"/>
          <w:noProof/>
          <w:kern w:val="0"/>
        </w:rPr>
      </w:pPr>
      <w:r w:rsidRPr="004C37E1">
        <w:rPr>
          <w:rFonts w:ascii="Arial" w:hAnsi="Arial" w:cs="Arial"/>
          <w:noProof/>
          <w:kern w:val="0"/>
        </w:rPr>
        <w:t>BONGARD. (2019). [Online]. Available: http://www.bongard.fr. [Accessed September 1, 2019].</w:t>
      </w:r>
    </w:p>
    <w:p w14:paraId="76D7AF30" w14:textId="77777777" w:rsidR="004C37E1" w:rsidRPr="004C37E1" w:rsidRDefault="004C37E1" w:rsidP="004C37E1">
      <w:pPr>
        <w:widowControl w:val="0"/>
        <w:autoSpaceDE w:val="0"/>
        <w:autoSpaceDN w:val="0"/>
        <w:adjustRightInd w:val="0"/>
        <w:spacing w:after="0" w:line="240" w:lineRule="auto"/>
        <w:ind w:left="480" w:hanging="480"/>
        <w:rPr>
          <w:rFonts w:ascii="Arial" w:hAnsi="Arial" w:cs="Arial"/>
          <w:noProof/>
          <w:kern w:val="0"/>
        </w:rPr>
      </w:pPr>
      <w:r w:rsidRPr="004C37E1">
        <w:rPr>
          <w:rFonts w:ascii="Arial" w:hAnsi="Arial" w:cs="Arial"/>
          <w:noProof/>
          <w:kern w:val="0"/>
        </w:rPr>
        <w:t>Carmody, E. R., &amp; Sarkar, A. U. (1997). Solar Box Cookers: Towards a Decentralized Sustainable Energy Strategy for Sub-Saharan Africa. Renewable and Sustainable Energy Reviews, 1(4), 291–301. https://doi.org/10.1016/S1364-0321(97)00008-7</w:t>
      </w:r>
    </w:p>
    <w:p w14:paraId="4B68BDE5" w14:textId="77777777" w:rsidR="004C37E1" w:rsidRPr="004C37E1" w:rsidRDefault="004C37E1" w:rsidP="004C37E1">
      <w:pPr>
        <w:widowControl w:val="0"/>
        <w:autoSpaceDE w:val="0"/>
        <w:autoSpaceDN w:val="0"/>
        <w:adjustRightInd w:val="0"/>
        <w:spacing w:after="0" w:line="240" w:lineRule="auto"/>
        <w:ind w:left="480" w:hanging="480"/>
        <w:rPr>
          <w:rFonts w:ascii="Arial" w:hAnsi="Arial" w:cs="Arial"/>
          <w:noProof/>
          <w:kern w:val="0"/>
        </w:rPr>
      </w:pPr>
      <w:r w:rsidRPr="004C37E1">
        <w:rPr>
          <w:rFonts w:ascii="Arial" w:hAnsi="Arial" w:cs="Arial"/>
          <w:noProof/>
          <w:kern w:val="0"/>
        </w:rPr>
        <w:t>Cuce, E., &amp; Cuce, P. M. (2013). Theoretical investigation of hot box solar cookers having conventional and finned absorber plates. International Journal of Low-Carbon Technologies, 10(3), 238–245. https://doi.org/10.1093/ijlct/ctt052</w:t>
      </w:r>
    </w:p>
    <w:p w14:paraId="0C49E4F8" w14:textId="77777777" w:rsidR="004C37E1" w:rsidRPr="004C37E1" w:rsidRDefault="004C37E1" w:rsidP="004C37E1">
      <w:pPr>
        <w:widowControl w:val="0"/>
        <w:autoSpaceDE w:val="0"/>
        <w:autoSpaceDN w:val="0"/>
        <w:adjustRightInd w:val="0"/>
        <w:spacing w:after="0" w:line="240" w:lineRule="auto"/>
        <w:ind w:left="480" w:hanging="480"/>
        <w:rPr>
          <w:rFonts w:ascii="Arial" w:hAnsi="Arial" w:cs="Arial"/>
          <w:noProof/>
          <w:kern w:val="0"/>
        </w:rPr>
      </w:pPr>
      <w:r w:rsidRPr="004C37E1">
        <w:rPr>
          <w:rFonts w:ascii="Arial" w:hAnsi="Arial" w:cs="Arial"/>
          <w:noProof/>
          <w:kern w:val="0"/>
        </w:rPr>
        <w:t>Decagon Devices, I. (2021). “KD2 Pro Thermal Properties Analyzer.”</w:t>
      </w:r>
    </w:p>
    <w:p w14:paraId="09E1AB5B" w14:textId="77777777" w:rsidR="004C37E1" w:rsidRPr="004C37E1" w:rsidRDefault="004C37E1" w:rsidP="004C37E1">
      <w:pPr>
        <w:widowControl w:val="0"/>
        <w:autoSpaceDE w:val="0"/>
        <w:autoSpaceDN w:val="0"/>
        <w:adjustRightInd w:val="0"/>
        <w:spacing w:after="0" w:line="240" w:lineRule="auto"/>
        <w:ind w:left="480" w:hanging="480"/>
        <w:rPr>
          <w:rFonts w:ascii="Arial" w:hAnsi="Arial" w:cs="Arial"/>
          <w:noProof/>
          <w:kern w:val="0"/>
        </w:rPr>
      </w:pPr>
      <w:r w:rsidRPr="004C37E1">
        <w:rPr>
          <w:rFonts w:ascii="Arial" w:hAnsi="Arial" w:cs="Arial"/>
          <w:noProof/>
          <w:kern w:val="0"/>
        </w:rPr>
        <w:t>Doumouro, J. (2021). Characterization of Glass Wool: Study of Heat Transfers between Glass Fibers at the Micrometer Scale Joris Doumouro To cite this version: HAL Id: tel-03135212 Characterization of Glass Wool: Study of Heat Transfers between Glass Fibers.</w:t>
      </w:r>
    </w:p>
    <w:p w14:paraId="31776A72" w14:textId="77777777" w:rsidR="004C37E1" w:rsidRPr="004C37E1" w:rsidRDefault="004C37E1" w:rsidP="004C37E1">
      <w:pPr>
        <w:widowControl w:val="0"/>
        <w:autoSpaceDE w:val="0"/>
        <w:autoSpaceDN w:val="0"/>
        <w:adjustRightInd w:val="0"/>
        <w:spacing w:after="0" w:line="240" w:lineRule="auto"/>
        <w:ind w:left="480" w:hanging="480"/>
        <w:rPr>
          <w:rFonts w:ascii="Arial" w:hAnsi="Arial" w:cs="Arial"/>
          <w:noProof/>
          <w:kern w:val="0"/>
        </w:rPr>
      </w:pPr>
      <w:r w:rsidRPr="004C37E1">
        <w:rPr>
          <w:rFonts w:ascii="Arial" w:hAnsi="Arial" w:cs="Arial"/>
          <w:noProof/>
          <w:kern w:val="0"/>
        </w:rPr>
        <w:t>F. Zoma, D. Y. K. Toguyeni, O. Coulibaly, I. Hassel, and A. O. (2017). Potentials of an Eco-Friendly Composite in Hot-Dry Climate. J Renew Mater, 6, no. 1, 47-54.</w:t>
      </w:r>
    </w:p>
    <w:p w14:paraId="4D3B6D95" w14:textId="77777777" w:rsidR="004C37E1" w:rsidRPr="004C37E1" w:rsidRDefault="004C37E1" w:rsidP="004C37E1">
      <w:pPr>
        <w:widowControl w:val="0"/>
        <w:autoSpaceDE w:val="0"/>
        <w:autoSpaceDN w:val="0"/>
        <w:adjustRightInd w:val="0"/>
        <w:spacing w:after="0" w:line="240" w:lineRule="auto"/>
        <w:ind w:left="480" w:hanging="480"/>
        <w:rPr>
          <w:rFonts w:ascii="Arial" w:hAnsi="Arial" w:cs="Arial"/>
          <w:noProof/>
          <w:kern w:val="0"/>
        </w:rPr>
      </w:pPr>
      <w:r w:rsidRPr="004C37E1">
        <w:rPr>
          <w:rFonts w:ascii="Arial" w:hAnsi="Arial" w:cs="Arial"/>
          <w:noProof/>
          <w:kern w:val="0"/>
        </w:rPr>
        <w:t xml:space="preserve">Fekadu Kedir, M., Bekele, T., &amp; Feleke, S. (2019). Problems of Mirt, and potentials of improved Gonzie and traditional open cook stoves in biomass consumption and end use emission in rural wooden houses of Southern Ethiopia. Scientific African, 3. </w:t>
      </w:r>
      <w:r w:rsidRPr="004C37E1">
        <w:rPr>
          <w:rFonts w:ascii="Arial" w:hAnsi="Arial" w:cs="Arial"/>
          <w:noProof/>
          <w:kern w:val="0"/>
        </w:rPr>
        <w:lastRenderedPageBreak/>
        <w:t>https://doi.org/10.1016/j.sciaf.2019.e00064</w:t>
      </w:r>
    </w:p>
    <w:p w14:paraId="7FDC6554" w14:textId="7BE7C29E" w:rsidR="002A6DB5" w:rsidRPr="005816FC" w:rsidRDefault="004C37E1" w:rsidP="005816FC">
      <w:pPr>
        <w:pStyle w:val="ListParagraph"/>
        <w:widowControl w:val="0"/>
        <w:numPr>
          <w:ilvl w:val="0"/>
          <w:numId w:val="6"/>
        </w:numPr>
        <w:autoSpaceDE w:val="0"/>
        <w:autoSpaceDN w:val="0"/>
        <w:adjustRightInd w:val="0"/>
        <w:spacing w:after="0" w:line="240" w:lineRule="auto"/>
        <w:rPr>
          <w:rFonts w:ascii="Arial" w:hAnsi="Arial" w:cs="Arial"/>
          <w:noProof/>
          <w:kern w:val="0"/>
        </w:rPr>
      </w:pPr>
      <w:r w:rsidRPr="005816FC">
        <w:rPr>
          <w:rFonts w:ascii="Arial" w:hAnsi="Arial" w:cs="Arial"/>
          <w:noProof/>
          <w:kern w:val="0"/>
        </w:rPr>
        <w:t>Huseyin Ozturk. (2020). Energy and exergy efficiencies of a solar box cooker. Int J Exergy, 1(2), :202–14</w:t>
      </w:r>
      <w:r w:rsidR="002A6DB5" w:rsidRPr="005816FC">
        <w:rPr>
          <w:rFonts w:ascii="Arial" w:hAnsi="Arial" w:cs="Arial"/>
          <w:noProof/>
          <w:kern w:val="0"/>
        </w:rPr>
        <w:t>.</w:t>
      </w:r>
    </w:p>
    <w:p w14:paraId="6A927129" w14:textId="77777777" w:rsidR="002D0E3D" w:rsidRPr="002D0E3D" w:rsidRDefault="002A6DB5" w:rsidP="002D0E3D">
      <w:pPr>
        <w:widowControl w:val="0"/>
        <w:autoSpaceDE w:val="0"/>
        <w:autoSpaceDN w:val="0"/>
        <w:adjustRightInd w:val="0"/>
        <w:spacing w:after="0" w:line="240" w:lineRule="auto"/>
        <w:ind w:left="480" w:hanging="480"/>
        <w:rPr>
          <w:rFonts w:ascii="Arial" w:hAnsi="Arial" w:cs="Arial"/>
          <w:noProof/>
          <w:kern w:val="0"/>
        </w:rPr>
      </w:pPr>
      <w:r w:rsidRPr="000111E4">
        <w:rPr>
          <w:rFonts w:ascii="Arial" w:hAnsi="Arial" w:cs="Arial"/>
          <w:noProof/>
          <w:kern w:val="0"/>
        </w:rPr>
        <w:t>I</w:t>
      </w:r>
      <w:r w:rsidR="002D0E3D" w:rsidRPr="002D0E3D">
        <w:rPr>
          <w:rFonts w:ascii="Arial" w:hAnsi="Arial" w:cs="Arial"/>
          <w:noProof/>
          <w:kern w:val="0"/>
        </w:rPr>
        <w:t>. L. Mohammed, U. J. Rumah, and A. T. A. (2013). Performance Testing of a Truncated Pyramid Solar Thermal Cooker. Int. J. Eng. Res. Appl., 3, no. 4, 1174–1178.</w:t>
      </w:r>
    </w:p>
    <w:p w14:paraId="0F0C1FBE"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Kabre, S., Ouedraogo, F., Naon, B., Messan, A., Benet, J. C., &amp; Zougmore, F. (2019). ISSN 1813-548X, http://www.afriquescience.net Evaluation of the thermo-hydro-mechanical properties of compressed earth bricks (CEB) from the Matourkou quarry, Burkina Faso. Afrique SCIENCE, 15(3), 12–22. http://www.afriquescience.net</w:t>
      </w:r>
    </w:p>
    <w:p w14:paraId="5F2A7A70"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Kumar, N., Vishwanath, G., &amp; Gupta, A. (2012). An exergy based unified test protocol for solar cookers of different geometries. Renewable Energy, 44, 457–462. https://doi.org/10.1016/j.renene.2012.01.085</w:t>
      </w:r>
    </w:p>
    <w:p w14:paraId="7BA80049"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Kumar, S., Rubab, S., Kandpal, T. C., &amp; Mullick, S. C. (1996). Financial feasibility analysis of box-type solar cookers in India. Energy, 21(12), 1257–1264. https://doi.org/10.1016/0360-5442(96)00054-0</w:t>
      </w:r>
    </w:p>
    <w:p w14:paraId="771FFC68"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Mahavar, S., Rajawat, P., Marwal, V. K., Punia, R. C., &amp; Dashora, P. (2013). Modeling and on-field testing of a Solar Rice Cooker. Energy, 49(1), 404–412. https://doi.org/10.1016/j.energy.2012.10.014</w:t>
      </w:r>
    </w:p>
    <w:p w14:paraId="212326C8"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Mirdha USÃ, D. S. (2008). Design optimization of solar cooker. 33, 530–544.</w:t>
      </w:r>
    </w:p>
    <w:p w14:paraId="5C938A04"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Nebie, J. (2021). Presented by Simulation and experimental study of a box-type solar cooker equipped with a thermal energy storage system.</w:t>
      </w:r>
    </w:p>
    <w:p w14:paraId="2322A09C"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Nshimiyimana, A. M. (2020). Physico-Mechanical and Hygro-Thermal Properties of Compressed Earth Blocks Stabilized with Industrial and Agro-Product Binders. Materials, Doi: 10.3390/Ma13173769., 13, no. 17, 3769.</w:t>
      </w:r>
    </w:p>
    <w:p w14:paraId="02783C65"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Otte, P. P. (2013). Solar cookers in developing countries-What is their key to success? Energy Policy, 63, 375–381. https://doi.org/10.1016/j.enpol.2013.08.075</w:t>
      </w:r>
    </w:p>
    <w:p w14:paraId="59B19940"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Ouedraogo, N.S. (2017). Africa energy future: Alternative scenarios and their implications for sustainable development strategies. Energy Policy, 106(March), 457–471. https://doi.org/10.1016/j.enpol.2017.03.021</w:t>
      </w:r>
    </w:p>
    <w:p w14:paraId="0D510CB0"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Panwar, N. L., Kothari, S., &amp; Kaushik, S. C. (2013). Energetic and exergetic analysis of three different solar cookers. Journal of Renewable and Sustainable Energy, 5(2). https://doi.org/10.1063/1.4793784</w:t>
      </w:r>
    </w:p>
    <w:p w14:paraId="79607DA5"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Bazile, R, Alan, B., Port, M., and J.G. (2018). Solar cooking bases. Introductory Handbook, 1–127,.</w:t>
      </w:r>
    </w:p>
    <w:p w14:paraId="05C12E9D"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R. C. Brown, P. T. C. H. (2012). Alkaline earth silicate wools- A new generation of high temperature insulation. Regulatory Toxicology and Pharmacology, 64, 296–304.</w:t>
      </w:r>
    </w:p>
    <w:p w14:paraId="5F25E053"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Saxena, A., Pandey, S.P., &amp; Srivastav, G. (2011). A thermodynamic review on solar box type cookers. Renewable and Sustainable Energy Reviews, 15(6), 3301–3318. https://doi.org/10.1016/j.rser.2011.04.017</w:t>
      </w:r>
    </w:p>
    <w:p w14:paraId="4B1BBF32"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Shukla, S.K. (2009). Comparison of Energy and Exergy Efficiency of Community and Domestic Type Parabolic Solar Cookers. International Journal of Green Energy, 6(5), 437–449. https://doi.org/10.1080/15435070903227912</w:t>
      </w:r>
    </w:p>
    <w:p w14:paraId="0282C25A" w14:textId="77777777" w:rsidR="002D0E3D" w:rsidRPr="002D0E3D" w:rsidRDefault="002D0E3D" w:rsidP="002D0E3D">
      <w:pPr>
        <w:widowControl w:val="0"/>
        <w:autoSpaceDE w:val="0"/>
        <w:autoSpaceDN w:val="0"/>
        <w:adjustRightInd w:val="0"/>
        <w:spacing w:after="0" w:line="240" w:lineRule="auto"/>
        <w:ind w:left="480" w:hanging="480"/>
        <w:rPr>
          <w:rFonts w:ascii="Arial" w:hAnsi="Arial" w:cs="Arial"/>
          <w:noProof/>
          <w:kern w:val="0"/>
        </w:rPr>
      </w:pPr>
      <w:r w:rsidRPr="002D0E3D">
        <w:rPr>
          <w:rFonts w:ascii="Arial" w:hAnsi="Arial" w:cs="Arial"/>
          <w:noProof/>
          <w:kern w:val="0"/>
        </w:rPr>
        <w:t>VERRE, F. D. L. DU. (2012). Applications and Technical Characteristics.</w:t>
      </w:r>
    </w:p>
    <w:p w14:paraId="2C095249" w14:textId="6D669A5C" w:rsidR="003E1B20" w:rsidRPr="000111E4" w:rsidRDefault="002D0E3D" w:rsidP="002D0E3D">
      <w:pPr>
        <w:widowControl w:val="0"/>
        <w:autoSpaceDE w:val="0"/>
        <w:autoSpaceDN w:val="0"/>
        <w:adjustRightInd w:val="0"/>
        <w:spacing w:after="0" w:line="240" w:lineRule="auto"/>
        <w:ind w:left="480" w:hanging="480"/>
        <w:rPr>
          <w:rFonts w:ascii="Arial" w:hAnsi="Arial" w:cs="Arial"/>
          <w:lang w:val="en-US"/>
        </w:rPr>
      </w:pPr>
      <w:r w:rsidRPr="002D0E3D">
        <w:rPr>
          <w:rFonts w:ascii="Arial" w:hAnsi="Arial" w:cs="Arial"/>
          <w:noProof/>
          <w:kern w:val="0"/>
        </w:rPr>
        <w:t>Yettou, F., Panwar, N. L., Ali, M., Yettou, F., Gama, A., Malek, A., &amp; Azoui, B. (2016). Experimental Investigation for the Determination of the Performance Characteristics of a Trapezoidal Box Solar Cooker Tested in the Algerian Sahara. The 4th International Seminar on New and Renewable Energies. January 4, 2019. https://www.researchgate.net/publication/330145816</w:t>
      </w:r>
      <w:r w:rsidR="00085FAF" w:rsidRPr="000111E4">
        <w:rPr>
          <w:rFonts w:ascii="Arial" w:hAnsi="Arial" w:cs="Arial"/>
          <w:lang w:val="en-US"/>
        </w:rPr>
        <w:fldChar w:fldCharType="end"/>
      </w:r>
    </w:p>
    <w:sectPr w:rsidR="003E1B20" w:rsidRPr="000111E4">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2753D" w14:textId="77777777" w:rsidR="0055294C" w:rsidRDefault="0055294C" w:rsidP="00922F3A">
      <w:pPr>
        <w:spacing w:after="0" w:line="240" w:lineRule="auto"/>
      </w:pPr>
      <w:r>
        <w:separator/>
      </w:r>
    </w:p>
  </w:endnote>
  <w:endnote w:type="continuationSeparator" w:id="0">
    <w:p w14:paraId="745E33E5" w14:textId="77777777" w:rsidR="0055294C" w:rsidRDefault="0055294C" w:rsidP="00922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B3D40" w14:textId="77777777" w:rsidR="00922F3A" w:rsidRDefault="00922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A4BA4" w14:textId="77777777" w:rsidR="00922F3A" w:rsidRDefault="00922F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97C3B" w14:textId="77777777" w:rsidR="00922F3A" w:rsidRDefault="00922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848CE" w14:textId="77777777" w:rsidR="0055294C" w:rsidRDefault="0055294C" w:rsidP="00922F3A">
      <w:pPr>
        <w:spacing w:after="0" w:line="240" w:lineRule="auto"/>
      </w:pPr>
      <w:r>
        <w:separator/>
      </w:r>
    </w:p>
  </w:footnote>
  <w:footnote w:type="continuationSeparator" w:id="0">
    <w:p w14:paraId="1A368752" w14:textId="77777777" w:rsidR="0055294C" w:rsidRDefault="0055294C" w:rsidP="00922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32D31" w14:textId="18471AD0" w:rsidR="00922F3A" w:rsidRDefault="00922F3A">
    <w:pPr>
      <w:pStyle w:val="Header"/>
    </w:pPr>
    <w:r>
      <w:rPr>
        <w:noProof/>
      </w:rPr>
      <w:pict w14:anchorId="7217D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0912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526C0" w14:textId="3F7CA8DE" w:rsidR="00922F3A" w:rsidRDefault="00922F3A">
    <w:pPr>
      <w:pStyle w:val="Header"/>
    </w:pPr>
    <w:r>
      <w:rPr>
        <w:noProof/>
      </w:rPr>
      <w:pict w14:anchorId="6D570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0912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CCFD2" w14:textId="7C07C6FC" w:rsidR="00922F3A" w:rsidRDefault="00922F3A">
    <w:pPr>
      <w:pStyle w:val="Header"/>
    </w:pPr>
    <w:r>
      <w:rPr>
        <w:noProof/>
      </w:rPr>
      <w:pict w14:anchorId="1D024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0912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3E0DE1"/>
    <w:multiLevelType w:val="hybridMultilevel"/>
    <w:tmpl w:val="BEC41CE0"/>
    <w:lvl w:ilvl="0" w:tplc="4068456A">
      <w:start w:val="1"/>
      <w:numFmt w:val="decimal"/>
      <w:lvlText w:val="%1-"/>
      <w:lvlJc w:val="left"/>
      <w:pPr>
        <w:ind w:left="644" w:hanging="360"/>
      </w:pPr>
      <w:rPr>
        <w:rFonts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5B43FDC"/>
    <w:multiLevelType w:val="hybridMultilevel"/>
    <w:tmpl w:val="53EE2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4C24BA"/>
    <w:multiLevelType w:val="multilevel"/>
    <w:tmpl w:val="7556D208"/>
    <w:lvl w:ilvl="0">
      <w:start w:val="4"/>
      <w:numFmt w:val="decimal"/>
      <w:lvlText w:val="%1."/>
      <w:lvlJc w:val="left"/>
      <w:pPr>
        <w:ind w:left="465" w:hanging="465"/>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63DA74DB"/>
    <w:multiLevelType w:val="multilevel"/>
    <w:tmpl w:val="7C6A57C8"/>
    <w:lvl w:ilvl="0">
      <w:start w:val="4"/>
      <w:numFmt w:val="decimal"/>
      <w:lvlText w:val="%1."/>
      <w:lvlJc w:val="left"/>
      <w:pPr>
        <w:ind w:left="465" w:hanging="46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6017633"/>
    <w:multiLevelType w:val="multilevel"/>
    <w:tmpl w:val="A416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D16AF8"/>
    <w:multiLevelType w:val="hybridMultilevel"/>
    <w:tmpl w:val="02168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8A2"/>
    <w:rsid w:val="000111E4"/>
    <w:rsid w:val="00012242"/>
    <w:rsid w:val="00021FD1"/>
    <w:rsid w:val="00085FAF"/>
    <w:rsid w:val="000A51D3"/>
    <w:rsid w:val="00102F00"/>
    <w:rsid w:val="0012612F"/>
    <w:rsid w:val="00141A19"/>
    <w:rsid w:val="00153EE5"/>
    <w:rsid w:val="001755BA"/>
    <w:rsid w:val="001801BB"/>
    <w:rsid w:val="001E5ED7"/>
    <w:rsid w:val="00212F97"/>
    <w:rsid w:val="002A0C85"/>
    <w:rsid w:val="002A6DB5"/>
    <w:rsid w:val="002C1CC7"/>
    <w:rsid w:val="002C4EC3"/>
    <w:rsid w:val="002D0E3D"/>
    <w:rsid w:val="00363FC1"/>
    <w:rsid w:val="003750E8"/>
    <w:rsid w:val="003B08B8"/>
    <w:rsid w:val="003D4535"/>
    <w:rsid w:val="003E1B20"/>
    <w:rsid w:val="003E2A43"/>
    <w:rsid w:val="003E6BB7"/>
    <w:rsid w:val="003E7295"/>
    <w:rsid w:val="00417CFB"/>
    <w:rsid w:val="004265E0"/>
    <w:rsid w:val="00495E95"/>
    <w:rsid w:val="004C37E1"/>
    <w:rsid w:val="00540ABA"/>
    <w:rsid w:val="0055294C"/>
    <w:rsid w:val="00554A26"/>
    <w:rsid w:val="005816FC"/>
    <w:rsid w:val="00585536"/>
    <w:rsid w:val="005A5C96"/>
    <w:rsid w:val="00606F84"/>
    <w:rsid w:val="00623065"/>
    <w:rsid w:val="0064484C"/>
    <w:rsid w:val="00645FDF"/>
    <w:rsid w:val="00654063"/>
    <w:rsid w:val="00671FD8"/>
    <w:rsid w:val="006F0FEC"/>
    <w:rsid w:val="00714932"/>
    <w:rsid w:val="00777E28"/>
    <w:rsid w:val="00780A04"/>
    <w:rsid w:val="007B6864"/>
    <w:rsid w:val="007C0D9C"/>
    <w:rsid w:val="007D00E3"/>
    <w:rsid w:val="007D48E5"/>
    <w:rsid w:val="00801D3C"/>
    <w:rsid w:val="00834456"/>
    <w:rsid w:val="008479AA"/>
    <w:rsid w:val="0086295B"/>
    <w:rsid w:val="00876F18"/>
    <w:rsid w:val="008D1CE4"/>
    <w:rsid w:val="008F76EA"/>
    <w:rsid w:val="00902960"/>
    <w:rsid w:val="009148A2"/>
    <w:rsid w:val="00922F3A"/>
    <w:rsid w:val="0093524D"/>
    <w:rsid w:val="00951C1A"/>
    <w:rsid w:val="009659A3"/>
    <w:rsid w:val="0097523B"/>
    <w:rsid w:val="00986149"/>
    <w:rsid w:val="0099646F"/>
    <w:rsid w:val="00A05727"/>
    <w:rsid w:val="00A8479F"/>
    <w:rsid w:val="00B00289"/>
    <w:rsid w:val="00B31982"/>
    <w:rsid w:val="00B32EF6"/>
    <w:rsid w:val="00B36773"/>
    <w:rsid w:val="00BF60BF"/>
    <w:rsid w:val="00C0193F"/>
    <w:rsid w:val="00C55E6C"/>
    <w:rsid w:val="00CB092E"/>
    <w:rsid w:val="00D01EE3"/>
    <w:rsid w:val="00D865D8"/>
    <w:rsid w:val="00DA7F58"/>
    <w:rsid w:val="00DB350A"/>
    <w:rsid w:val="00DB679F"/>
    <w:rsid w:val="00DF6606"/>
    <w:rsid w:val="00E226F7"/>
    <w:rsid w:val="00EA68AE"/>
    <w:rsid w:val="00EE2C9A"/>
    <w:rsid w:val="00FA7DBD"/>
    <w:rsid w:val="00FD29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A45E67"/>
  <w15:chartTrackingRefBased/>
  <w15:docId w15:val="{FB93116A-0E30-4E1D-87A8-51486C1AD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40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0289"/>
    <w:rPr>
      <w:color w:val="0000FF"/>
      <w:u w:val="single"/>
    </w:rPr>
  </w:style>
  <w:style w:type="table" w:styleId="PlainTable4">
    <w:name w:val="Plain Table 4"/>
    <w:basedOn w:val="TableNormal"/>
    <w:uiPriority w:val="44"/>
    <w:rsid w:val="00554A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554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40AB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65406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54063"/>
    <w:pPr>
      <w:ind w:left="720"/>
      <w:contextualSpacing/>
    </w:pPr>
  </w:style>
  <w:style w:type="paragraph" w:styleId="NormalWeb">
    <w:name w:val="Normal (Web)"/>
    <w:basedOn w:val="Normal"/>
    <w:uiPriority w:val="99"/>
    <w:unhideWhenUsed/>
    <w:rsid w:val="00780A0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styleId="ListTable7Colorful">
    <w:name w:val="List Table 7 Colorful"/>
    <w:basedOn w:val="TableNormal"/>
    <w:uiPriority w:val="52"/>
    <w:rsid w:val="007D00E3"/>
    <w:pPr>
      <w:spacing w:after="0" w:line="240" w:lineRule="auto"/>
    </w:pPr>
    <w:rPr>
      <w:color w:val="000000" w:themeColor="text1"/>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4265E0"/>
    <w:rPr>
      <w:color w:val="666666"/>
    </w:rPr>
  </w:style>
  <w:style w:type="character" w:styleId="FollowedHyperlink">
    <w:name w:val="FollowedHyperlink"/>
    <w:basedOn w:val="DefaultParagraphFont"/>
    <w:uiPriority w:val="99"/>
    <w:semiHidden/>
    <w:unhideWhenUsed/>
    <w:rsid w:val="00D865D8"/>
    <w:rPr>
      <w:color w:val="954F72" w:themeColor="followedHyperlink"/>
      <w:u w:val="single"/>
    </w:rPr>
  </w:style>
  <w:style w:type="character" w:styleId="UnresolvedMention">
    <w:name w:val="Unresolved Mention"/>
    <w:basedOn w:val="DefaultParagraphFont"/>
    <w:uiPriority w:val="99"/>
    <w:semiHidden/>
    <w:unhideWhenUsed/>
    <w:rsid w:val="00DB679F"/>
    <w:rPr>
      <w:color w:val="605E5C"/>
      <w:shd w:val="clear" w:color="auto" w:fill="E1DFDD"/>
    </w:rPr>
  </w:style>
  <w:style w:type="paragraph" w:styleId="Header">
    <w:name w:val="header"/>
    <w:basedOn w:val="Normal"/>
    <w:link w:val="HeaderChar"/>
    <w:uiPriority w:val="99"/>
    <w:unhideWhenUsed/>
    <w:rsid w:val="00922F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F3A"/>
  </w:style>
  <w:style w:type="paragraph" w:styleId="Footer">
    <w:name w:val="footer"/>
    <w:basedOn w:val="Normal"/>
    <w:link w:val="FooterChar"/>
    <w:uiPriority w:val="99"/>
    <w:unhideWhenUsed/>
    <w:rsid w:val="00922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370498">
      <w:bodyDiv w:val="1"/>
      <w:marLeft w:val="0"/>
      <w:marRight w:val="0"/>
      <w:marTop w:val="0"/>
      <w:marBottom w:val="0"/>
      <w:divBdr>
        <w:top w:val="none" w:sz="0" w:space="0" w:color="auto"/>
        <w:left w:val="none" w:sz="0" w:space="0" w:color="auto"/>
        <w:bottom w:val="none" w:sz="0" w:space="0" w:color="auto"/>
        <w:right w:val="none" w:sz="0" w:space="0" w:color="auto"/>
      </w:divBdr>
    </w:div>
    <w:div w:id="664553029">
      <w:bodyDiv w:val="1"/>
      <w:marLeft w:val="0"/>
      <w:marRight w:val="0"/>
      <w:marTop w:val="0"/>
      <w:marBottom w:val="0"/>
      <w:divBdr>
        <w:top w:val="none" w:sz="0" w:space="0" w:color="auto"/>
        <w:left w:val="none" w:sz="0" w:space="0" w:color="auto"/>
        <w:bottom w:val="none" w:sz="0" w:space="0" w:color="auto"/>
        <w:right w:val="none" w:sz="0" w:space="0" w:color="auto"/>
      </w:divBdr>
    </w:div>
    <w:div w:id="681248637">
      <w:bodyDiv w:val="1"/>
      <w:marLeft w:val="0"/>
      <w:marRight w:val="0"/>
      <w:marTop w:val="0"/>
      <w:marBottom w:val="0"/>
      <w:divBdr>
        <w:top w:val="none" w:sz="0" w:space="0" w:color="auto"/>
        <w:left w:val="none" w:sz="0" w:space="0" w:color="auto"/>
        <w:bottom w:val="none" w:sz="0" w:space="0" w:color="auto"/>
        <w:right w:val="none" w:sz="0" w:space="0" w:color="auto"/>
      </w:divBdr>
    </w:div>
    <w:div w:id="1103039713">
      <w:bodyDiv w:val="1"/>
      <w:marLeft w:val="0"/>
      <w:marRight w:val="0"/>
      <w:marTop w:val="0"/>
      <w:marBottom w:val="0"/>
      <w:divBdr>
        <w:top w:val="none" w:sz="0" w:space="0" w:color="auto"/>
        <w:left w:val="none" w:sz="0" w:space="0" w:color="auto"/>
        <w:bottom w:val="none" w:sz="0" w:space="0" w:color="auto"/>
        <w:right w:val="none" w:sz="0" w:space="0" w:color="auto"/>
      </w:divBdr>
    </w:div>
    <w:div w:id="1674645502">
      <w:bodyDiv w:val="1"/>
      <w:marLeft w:val="0"/>
      <w:marRight w:val="0"/>
      <w:marTop w:val="0"/>
      <w:marBottom w:val="0"/>
      <w:divBdr>
        <w:top w:val="none" w:sz="0" w:space="0" w:color="auto"/>
        <w:left w:val="none" w:sz="0" w:space="0" w:color="auto"/>
        <w:bottom w:val="none" w:sz="0" w:space="0" w:color="auto"/>
        <w:right w:val="none" w:sz="0" w:space="0" w:color="auto"/>
      </w:divBdr>
    </w:div>
    <w:div w:id="203869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2.bin"/><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wmf"/><Relationship Id="rId27" Type="http://schemas.openxmlformats.org/officeDocument/2006/relationships/oleObject" Target="embeddings/oleObject3.bin"/><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92236-5301-477A-9130-DFDE83954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12</Pages>
  <Words>11714</Words>
  <Characters>66772</Characters>
  <Application>Microsoft Office Word</Application>
  <DocSecurity>0</DocSecurity>
  <Lines>556</Lines>
  <Paragraphs>156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53</cp:revision>
  <cp:lastPrinted>2025-02-10T12:31:00Z</cp:lastPrinted>
  <dcterms:created xsi:type="dcterms:W3CDTF">2025-01-14T15:18:00Z</dcterms:created>
  <dcterms:modified xsi:type="dcterms:W3CDTF">2025-08-08T12:23:00Z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c8bb3f38-0244-346f-8b3c-dac96ca60791</vt:lpwstr>
  </property>
  <property fmtid="{D5CDD505-2E9C-101B-9397-08002B2CF9AE}" pid="24" name="Mendeley Citation Style_1">
    <vt:lpwstr>http://www.zotero.org/styles/apa</vt:lpwstr>
  </property>
</Properties>
</file>