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E7DFE5" w14:textId="41EB9231" w:rsidR="007338CE" w:rsidRPr="007338CE" w:rsidRDefault="007338CE" w:rsidP="00EE5681">
      <w:pPr>
        <w:pStyle w:val="NormalWeb"/>
        <w:spacing w:line="360" w:lineRule="auto"/>
        <w:jc w:val="right"/>
        <w:rPr>
          <w:b/>
          <w:bCs/>
          <w:color w:val="000000"/>
          <w:u w:val="single"/>
          <w:lang w:val="en-GB"/>
        </w:rPr>
      </w:pPr>
      <w:r w:rsidRPr="007338CE">
        <w:rPr>
          <w:b/>
          <w:bCs/>
          <w:color w:val="000000"/>
          <w:u w:val="single"/>
          <w:lang w:val="en-GB"/>
        </w:rPr>
        <w:t>Case Report</w:t>
      </w:r>
      <w:r w:rsidR="007B01F4" w:rsidRPr="007338CE">
        <w:rPr>
          <w:b/>
          <w:bCs/>
          <w:color w:val="000000"/>
          <w:u w:val="single"/>
          <w:lang w:val="en-GB"/>
        </w:rPr>
        <w:t xml:space="preserve">  </w:t>
      </w:r>
    </w:p>
    <w:p w14:paraId="65A71FB1" w14:textId="27EFE318" w:rsidR="00E71481" w:rsidRPr="00481C2A" w:rsidRDefault="001E1624" w:rsidP="00EE5681">
      <w:pPr>
        <w:pStyle w:val="NormalWeb"/>
        <w:spacing w:line="360" w:lineRule="auto"/>
        <w:jc w:val="right"/>
        <w:rPr>
          <w:b/>
          <w:bCs/>
          <w:color w:val="000000"/>
          <w:lang w:val="en-GB"/>
        </w:rPr>
      </w:pPr>
      <w:r w:rsidRPr="00481C2A">
        <w:rPr>
          <w:b/>
          <w:bCs/>
          <w:color w:val="000000"/>
          <w:lang w:val="en-GB"/>
        </w:rPr>
        <w:t xml:space="preserve">Beyond the spicules: </w:t>
      </w:r>
      <w:r w:rsidR="004F6BFF" w:rsidRPr="00481C2A">
        <w:rPr>
          <w:b/>
          <w:bCs/>
          <w:color w:val="000000"/>
          <w:lang w:val="en-GB"/>
        </w:rPr>
        <w:t>A</w:t>
      </w:r>
      <w:r w:rsidRPr="00481C2A">
        <w:rPr>
          <w:b/>
          <w:bCs/>
          <w:color w:val="000000"/>
          <w:lang w:val="en-GB"/>
        </w:rPr>
        <w:t xml:space="preserve">typical </w:t>
      </w:r>
      <w:r w:rsidR="004F6BFF" w:rsidRPr="00481C2A">
        <w:rPr>
          <w:b/>
          <w:bCs/>
          <w:color w:val="000000"/>
          <w:lang w:val="en-GB"/>
        </w:rPr>
        <w:t>R</w:t>
      </w:r>
      <w:r w:rsidRPr="00481C2A">
        <w:rPr>
          <w:b/>
          <w:bCs/>
          <w:color w:val="000000"/>
          <w:lang w:val="en-GB"/>
        </w:rPr>
        <w:t xml:space="preserve">etinitis </w:t>
      </w:r>
      <w:r w:rsidR="004F6BFF" w:rsidRPr="00481C2A">
        <w:rPr>
          <w:b/>
          <w:bCs/>
          <w:color w:val="000000"/>
          <w:lang w:val="en-GB"/>
        </w:rPr>
        <w:t>P</w:t>
      </w:r>
      <w:r w:rsidRPr="00481C2A">
        <w:rPr>
          <w:b/>
          <w:bCs/>
          <w:color w:val="000000"/>
          <w:lang w:val="en-GB"/>
        </w:rPr>
        <w:t xml:space="preserve">igmentosa in </w:t>
      </w:r>
      <w:r w:rsidR="004F6BFF" w:rsidRPr="00481C2A">
        <w:rPr>
          <w:b/>
          <w:bCs/>
          <w:color w:val="000000"/>
          <w:lang w:val="en-GB"/>
        </w:rPr>
        <w:t>B</w:t>
      </w:r>
      <w:r w:rsidRPr="00481C2A">
        <w:rPr>
          <w:b/>
          <w:bCs/>
          <w:color w:val="000000"/>
          <w:lang w:val="en-GB"/>
        </w:rPr>
        <w:t>ardet-</w:t>
      </w:r>
      <w:r w:rsidR="004F6BFF" w:rsidRPr="00481C2A">
        <w:rPr>
          <w:b/>
          <w:bCs/>
          <w:color w:val="000000"/>
          <w:lang w:val="en-GB"/>
        </w:rPr>
        <w:t>B</w:t>
      </w:r>
      <w:r w:rsidRPr="00481C2A">
        <w:rPr>
          <w:b/>
          <w:bCs/>
          <w:color w:val="000000"/>
          <w:lang w:val="en-GB"/>
        </w:rPr>
        <w:t xml:space="preserve">iedl </w:t>
      </w:r>
      <w:r w:rsidR="007B01F4" w:rsidRPr="00481C2A">
        <w:rPr>
          <w:b/>
          <w:bCs/>
          <w:color w:val="000000"/>
          <w:lang w:val="en-GB"/>
        </w:rPr>
        <w:t>S</w:t>
      </w:r>
      <w:r w:rsidRPr="00481C2A">
        <w:rPr>
          <w:b/>
          <w:bCs/>
          <w:color w:val="000000"/>
          <w:lang w:val="en-GB"/>
        </w:rPr>
        <w:t>yndrome</w:t>
      </w:r>
    </w:p>
    <w:p w14:paraId="0B717198" w14:textId="77777777" w:rsidR="00944360" w:rsidRDefault="00944360" w:rsidP="00EE5681">
      <w:pPr>
        <w:pStyle w:val="NormalWeb"/>
        <w:spacing w:line="360" w:lineRule="auto"/>
        <w:rPr>
          <w:rFonts w:ascii="Arial" w:hAnsi="Arial" w:cs="Arial"/>
          <w:b/>
          <w:bCs/>
          <w:color w:val="000000"/>
          <w:sz w:val="22"/>
          <w:szCs w:val="22"/>
          <w:lang w:val="en-GB"/>
        </w:rPr>
      </w:pPr>
    </w:p>
    <w:p w14:paraId="285218DC" w14:textId="13C5198A" w:rsidR="00E71481" w:rsidRPr="00921A86" w:rsidRDefault="00921A86" w:rsidP="00EE5681">
      <w:pPr>
        <w:pStyle w:val="NormalWeb"/>
        <w:spacing w:line="360" w:lineRule="auto"/>
        <w:rPr>
          <w:rFonts w:ascii="Arial" w:hAnsi="Arial" w:cs="Arial"/>
          <w:b/>
          <w:bCs/>
          <w:color w:val="000000"/>
          <w:sz w:val="22"/>
          <w:szCs w:val="22"/>
          <w:lang w:val="en-GB"/>
        </w:rPr>
      </w:pPr>
      <w:r w:rsidRPr="00921A86">
        <w:rPr>
          <w:rFonts w:ascii="Arial" w:hAnsi="Arial" w:cs="Arial"/>
          <w:b/>
          <w:bCs/>
          <w:color w:val="000000"/>
          <w:sz w:val="22"/>
          <w:szCs w:val="22"/>
          <w:lang w:val="en-GB"/>
        </w:rPr>
        <w:t>ABSTRACT</w:t>
      </w:r>
    </w:p>
    <w:p w14:paraId="1DE3F251" w14:textId="4360B09F" w:rsidR="00E71481" w:rsidRPr="00921A86" w:rsidRDefault="00E71481" w:rsidP="00EE5681">
      <w:pPr>
        <w:pStyle w:val="NormalWeb"/>
        <w:spacing w:line="360" w:lineRule="auto"/>
        <w:rPr>
          <w:rFonts w:ascii="Arial" w:hAnsi="Arial" w:cs="Arial"/>
          <w:color w:val="000000"/>
          <w:sz w:val="20"/>
          <w:szCs w:val="20"/>
          <w:lang w:val="en-GB"/>
        </w:rPr>
      </w:pPr>
      <w:r w:rsidRPr="00921A86">
        <w:rPr>
          <w:rFonts w:ascii="Arial" w:hAnsi="Arial" w:cs="Arial"/>
          <w:color w:val="000000"/>
          <w:sz w:val="20"/>
          <w:szCs w:val="20"/>
          <w:lang w:val="en-GB"/>
        </w:rPr>
        <w:t>Bardet-Biedl Syndrome (BBS) is a rare autosomal recessive ciliopathy with multisystem involvement</w:t>
      </w:r>
      <w:r w:rsidR="00EE5681" w:rsidRPr="00921A86">
        <w:rPr>
          <w:rFonts w:ascii="Arial" w:hAnsi="Arial" w:cs="Arial"/>
          <w:color w:val="000000"/>
          <w:sz w:val="20"/>
          <w:szCs w:val="20"/>
          <w:lang w:val="en-GB"/>
        </w:rPr>
        <w:t xml:space="preserve">. </w:t>
      </w:r>
      <w:r w:rsidRPr="00921A86">
        <w:rPr>
          <w:rFonts w:ascii="Arial" w:hAnsi="Arial" w:cs="Arial"/>
          <w:color w:val="000000"/>
          <w:sz w:val="20"/>
          <w:szCs w:val="20"/>
          <w:lang w:val="en-GB"/>
        </w:rPr>
        <w:t xml:space="preserve">We present the case of a 7-year-old boy who presented with photophobia and difficulty seeing in dim light. Examination revealed central obesity, bilateral post-axial polydactyly of the feet, crowded teeth, and </w:t>
      </w:r>
      <w:proofErr w:type="spellStart"/>
      <w:r w:rsidRPr="00921A86">
        <w:rPr>
          <w:rFonts w:ascii="Arial" w:hAnsi="Arial" w:cs="Arial"/>
          <w:color w:val="000000"/>
          <w:sz w:val="20"/>
          <w:szCs w:val="20"/>
          <w:lang w:val="en-GB"/>
        </w:rPr>
        <w:t>micropenis</w:t>
      </w:r>
      <w:proofErr w:type="spellEnd"/>
      <w:r w:rsidRPr="00921A86">
        <w:rPr>
          <w:rFonts w:ascii="Arial" w:hAnsi="Arial" w:cs="Arial"/>
          <w:color w:val="000000"/>
          <w:sz w:val="20"/>
          <w:szCs w:val="20"/>
          <w:lang w:val="en-GB"/>
        </w:rPr>
        <w:t xml:space="preserve">. </w:t>
      </w:r>
      <w:r w:rsidR="00EE5681" w:rsidRPr="00921A86">
        <w:rPr>
          <w:rFonts w:ascii="Arial" w:hAnsi="Arial" w:cs="Arial"/>
          <w:color w:val="000000"/>
          <w:sz w:val="20"/>
          <w:szCs w:val="20"/>
          <w:lang w:val="en-GB"/>
        </w:rPr>
        <w:t>H</w:t>
      </w:r>
      <w:r w:rsidRPr="00921A86">
        <w:rPr>
          <w:rFonts w:ascii="Arial" w:hAnsi="Arial" w:cs="Arial"/>
          <w:color w:val="000000"/>
          <w:sz w:val="20"/>
          <w:szCs w:val="20"/>
          <w:lang w:val="en-GB"/>
        </w:rPr>
        <w:t xml:space="preserve">is best-corrected visual acuity was 6/9 in both eyes. Fundus examination showed pale optic discs and attenuated arterioles without classical bone spicule pigmentation, suggestive of retinitis pigmentosa sine </w:t>
      </w:r>
      <w:proofErr w:type="spellStart"/>
      <w:r w:rsidRPr="00921A86">
        <w:rPr>
          <w:rFonts w:ascii="Arial" w:hAnsi="Arial" w:cs="Arial"/>
          <w:color w:val="000000"/>
          <w:sz w:val="20"/>
          <w:szCs w:val="20"/>
          <w:lang w:val="en-GB"/>
        </w:rPr>
        <w:t>pigmento</w:t>
      </w:r>
      <w:proofErr w:type="spellEnd"/>
      <w:r w:rsidRPr="00921A86">
        <w:rPr>
          <w:rFonts w:ascii="Arial" w:hAnsi="Arial" w:cs="Arial"/>
          <w:color w:val="000000"/>
          <w:sz w:val="20"/>
          <w:szCs w:val="20"/>
          <w:lang w:val="en-GB"/>
        </w:rPr>
        <w:t xml:space="preserve">. </w:t>
      </w:r>
      <w:r w:rsidR="000B6347" w:rsidRPr="00921A86">
        <w:rPr>
          <w:rFonts w:ascii="Arial" w:hAnsi="Arial" w:cs="Arial"/>
          <w:color w:val="000000"/>
          <w:sz w:val="20"/>
          <w:szCs w:val="20"/>
          <w:lang w:val="en-GB"/>
        </w:rPr>
        <w:t>A</w:t>
      </w:r>
      <w:r w:rsidRPr="00921A86">
        <w:rPr>
          <w:rFonts w:ascii="Arial" w:hAnsi="Arial" w:cs="Arial"/>
          <w:color w:val="000000"/>
          <w:sz w:val="20"/>
          <w:szCs w:val="20"/>
          <w:lang w:val="en-GB"/>
        </w:rPr>
        <w:t xml:space="preserve"> clinical diagnosis of BBS was established based on the presence of multiple primary diagnostic features. The presence of dental and genital anomalies highlights the need for a multidisciplinary approach to diagnosis and care. This report contributes to the limited literature on BBS from India and reinforces the significance of recognizing atypical phenotypes, especially in resource-limited settings. </w:t>
      </w:r>
    </w:p>
    <w:p w14:paraId="3E09EEE1" w14:textId="2A3757A1" w:rsidR="00EA492C" w:rsidRPr="00921A86" w:rsidRDefault="00DC301B" w:rsidP="00EE5681">
      <w:pPr>
        <w:pStyle w:val="NormalWeb"/>
        <w:spacing w:line="360" w:lineRule="auto"/>
        <w:rPr>
          <w:rFonts w:ascii="Arial" w:hAnsi="Arial" w:cs="Arial"/>
          <w:i/>
          <w:iCs/>
          <w:color w:val="000000"/>
          <w:sz w:val="20"/>
          <w:szCs w:val="20"/>
          <w:lang w:val="en-GB"/>
        </w:rPr>
      </w:pPr>
      <w:r w:rsidRPr="00921A86">
        <w:rPr>
          <w:rFonts w:ascii="Arial" w:hAnsi="Arial" w:cs="Arial"/>
          <w:i/>
          <w:iCs/>
          <w:color w:val="000000"/>
          <w:sz w:val="20"/>
          <w:szCs w:val="20"/>
          <w:lang w:val="en-GB"/>
        </w:rPr>
        <w:t>Keywords</w:t>
      </w:r>
      <w:r w:rsidR="009D6F89" w:rsidRPr="00921A86">
        <w:rPr>
          <w:rFonts w:ascii="Arial" w:hAnsi="Arial" w:cs="Arial"/>
          <w:i/>
          <w:iCs/>
          <w:color w:val="000000"/>
          <w:sz w:val="20"/>
          <w:szCs w:val="20"/>
          <w:lang w:val="en-GB"/>
        </w:rPr>
        <w:t xml:space="preserve">: Bardet-Biedl Syndrome, Retinal Dystrophies, Ciliopathies </w:t>
      </w:r>
      <w:r w:rsidRPr="00921A86">
        <w:rPr>
          <w:rFonts w:ascii="Arial" w:hAnsi="Arial" w:cs="Arial"/>
          <w:i/>
          <w:iCs/>
          <w:color w:val="000000"/>
          <w:sz w:val="20"/>
          <w:szCs w:val="20"/>
          <w:lang w:val="en-GB"/>
        </w:rPr>
        <w:t>Paediatric</w:t>
      </w:r>
      <w:r w:rsidR="009D6F89" w:rsidRPr="00921A86">
        <w:rPr>
          <w:rFonts w:ascii="Arial" w:hAnsi="Arial" w:cs="Arial"/>
          <w:i/>
          <w:iCs/>
          <w:color w:val="000000"/>
          <w:sz w:val="20"/>
          <w:szCs w:val="20"/>
          <w:lang w:val="en-GB"/>
        </w:rPr>
        <w:t xml:space="preserve"> Genetic Disorders</w:t>
      </w:r>
      <w:r w:rsidRPr="00921A86">
        <w:rPr>
          <w:rFonts w:ascii="Arial" w:hAnsi="Arial" w:cs="Arial"/>
          <w:i/>
          <w:iCs/>
          <w:color w:val="000000"/>
          <w:sz w:val="20"/>
          <w:szCs w:val="20"/>
          <w:lang w:val="en-GB"/>
        </w:rPr>
        <w:t>.</w:t>
      </w:r>
    </w:p>
    <w:p w14:paraId="43E6DCF8" w14:textId="2881490B" w:rsidR="00E71481" w:rsidRPr="00921A86" w:rsidRDefault="00921A86" w:rsidP="00EE5681">
      <w:pPr>
        <w:spacing w:before="100" w:beforeAutospacing="1" w:after="100" w:afterAutospacing="1" w:line="360" w:lineRule="auto"/>
        <w:outlineLvl w:val="2"/>
        <w:rPr>
          <w:rFonts w:ascii="Arial" w:eastAsia="Times New Roman" w:hAnsi="Arial" w:cs="Arial"/>
          <w:b/>
          <w:bCs/>
          <w:color w:val="000000"/>
          <w:kern w:val="0"/>
          <w:sz w:val="20"/>
          <w:szCs w:val="20"/>
          <w:lang w:val="en-GB" w:eastAsia="en-GB"/>
          <w14:ligatures w14:val="none"/>
        </w:rPr>
      </w:pPr>
      <w:bookmarkStart w:id="0" w:name="_Hlk205997747"/>
      <w:r w:rsidRPr="00921A86">
        <w:rPr>
          <w:rFonts w:ascii="Arial" w:eastAsia="Times New Roman" w:hAnsi="Arial" w:cs="Arial"/>
          <w:b/>
          <w:bCs/>
          <w:color w:val="000000"/>
          <w:kern w:val="0"/>
          <w:sz w:val="22"/>
          <w:szCs w:val="22"/>
          <w:lang w:val="en-GB" w:eastAsia="en-GB"/>
          <w14:ligatures w14:val="none"/>
        </w:rPr>
        <w:t>INTRODUCTION</w:t>
      </w:r>
    </w:p>
    <w:bookmarkEnd w:id="0"/>
    <w:p w14:paraId="0AB7F4BB" w14:textId="63444507" w:rsidR="00E71481" w:rsidRPr="00921A86" w:rsidRDefault="00E71481" w:rsidP="00EE5681">
      <w:pPr>
        <w:spacing w:before="100" w:beforeAutospacing="1" w:after="100" w:afterAutospacing="1" w:line="360" w:lineRule="auto"/>
        <w:rPr>
          <w:rFonts w:ascii="Arial" w:eastAsia="Times New Roman" w:hAnsi="Arial" w:cs="Arial"/>
          <w:color w:val="000000"/>
          <w:kern w:val="0"/>
          <w:sz w:val="20"/>
          <w:szCs w:val="20"/>
          <w:lang w:val="en-GB" w:eastAsia="en-GB"/>
          <w14:ligatures w14:val="none"/>
        </w:rPr>
      </w:pPr>
      <w:r w:rsidRPr="00921A86">
        <w:rPr>
          <w:rFonts w:ascii="Arial" w:eastAsia="Times New Roman" w:hAnsi="Arial" w:cs="Arial"/>
          <w:color w:val="000000"/>
          <w:kern w:val="0"/>
          <w:sz w:val="20"/>
          <w:szCs w:val="20"/>
          <w:lang w:val="en-GB" w:eastAsia="en-GB"/>
          <w14:ligatures w14:val="none"/>
        </w:rPr>
        <w:t>Bardet-Biedl Syndrome (BBS) is a rare, pleiotropic ciliopathy with significant clinical and genetic heterogeneity. It is traditionally inherited in an autosomal recessive manner, though oligogenic inheritance has also been described</w:t>
      </w:r>
      <w:r w:rsidR="00EE5681" w:rsidRPr="00921A86">
        <w:rPr>
          <w:rFonts w:ascii="Arial" w:eastAsia="Times New Roman" w:hAnsi="Arial" w:cs="Arial"/>
          <w:color w:val="000000"/>
          <w:kern w:val="0"/>
          <w:sz w:val="20"/>
          <w:szCs w:val="20"/>
          <w:lang w:val="en-GB" w:eastAsia="en-GB"/>
          <w14:ligatures w14:val="none"/>
        </w:rPr>
        <w:t>.</w:t>
      </w:r>
      <w:r w:rsidRPr="00921A86">
        <w:rPr>
          <w:rFonts w:ascii="Arial" w:eastAsia="Times New Roman" w:hAnsi="Arial" w:cs="Arial"/>
          <w:color w:val="000000"/>
          <w:kern w:val="0"/>
          <w:sz w:val="20"/>
          <w:szCs w:val="20"/>
          <w:lang w:val="en-GB" w:eastAsia="en-GB"/>
          <w14:ligatures w14:val="none"/>
        </w:rPr>
        <w:t> </w:t>
      </w:r>
      <w:r w:rsidRPr="00921A86">
        <w:rPr>
          <w:rFonts w:ascii="Arial" w:eastAsia="Times New Roman" w:hAnsi="Arial" w:cs="Arial"/>
          <w:color w:val="000000"/>
          <w:kern w:val="0"/>
          <w:sz w:val="20"/>
          <w:szCs w:val="20"/>
          <w:vertAlign w:val="superscript"/>
          <w:lang w:val="en-GB" w:eastAsia="en-GB"/>
          <w14:ligatures w14:val="none"/>
        </w:rPr>
        <w:t xml:space="preserve">[1,2] </w:t>
      </w:r>
      <w:r w:rsidRPr="00921A86">
        <w:rPr>
          <w:rFonts w:ascii="Arial" w:eastAsia="Times New Roman" w:hAnsi="Arial" w:cs="Arial"/>
          <w:color w:val="000000"/>
          <w:kern w:val="0"/>
          <w:sz w:val="20"/>
          <w:szCs w:val="20"/>
          <w:lang w:val="en-GB" w:eastAsia="en-GB"/>
          <w14:ligatures w14:val="none"/>
        </w:rPr>
        <w:t>The condition is characterized by six primary features: rod-cone dystrophy, post-axial polydactyly, central obesity, hypogonadism, learning difficulties, and renal abnormalities</w:t>
      </w:r>
      <w:r w:rsidR="00EE5681" w:rsidRPr="00921A86">
        <w:rPr>
          <w:rFonts w:ascii="Arial" w:eastAsia="Times New Roman" w:hAnsi="Arial" w:cs="Arial"/>
          <w:color w:val="000000"/>
          <w:kern w:val="0"/>
          <w:sz w:val="20"/>
          <w:szCs w:val="20"/>
          <w:lang w:val="en-GB" w:eastAsia="en-GB"/>
          <w14:ligatures w14:val="none"/>
        </w:rPr>
        <w:t>.</w:t>
      </w:r>
      <w:r w:rsidRPr="00921A86">
        <w:rPr>
          <w:rFonts w:ascii="Arial" w:eastAsia="Times New Roman" w:hAnsi="Arial" w:cs="Arial"/>
          <w:color w:val="000000"/>
          <w:kern w:val="0"/>
          <w:sz w:val="20"/>
          <w:szCs w:val="20"/>
          <w:vertAlign w:val="superscript"/>
          <w:lang w:val="en-GB" w:eastAsia="en-GB"/>
          <w14:ligatures w14:val="none"/>
        </w:rPr>
        <w:t xml:space="preserve">[1] </w:t>
      </w:r>
      <w:r w:rsidRPr="00921A86">
        <w:rPr>
          <w:rFonts w:ascii="Arial" w:eastAsia="Times New Roman" w:hAnsi="Arial" w:cs="Arial"/>
          <w:color w:val="000000"/>
          <w:kern w:val="0"/>
          <w:sz w:val="20"/>
          <w:szCs w:val="20"/>
          <w:lang w:val="en-GB" w:eastAsia="en-GB"/>
          <w14:ligatures w14:val="none"/>
        </w:rPr>
        <w:t>Secondary manifestations include speech delay, ataxia, diabetes mellitus, cardiovascular anomalies, and dental defects such as microdontia and hypodontia</w:t>
      </w:r>
      <w:r w:rsidR="00EE5681" w:rsidRPr="00921A86">
        <w:rPr>
          <w:rFonts w:ascii="Arial" w:eastAsia="Times New Roman" w:hAnsi="Arial" w:cs="Arial"/>
          <w:color w:val="000000"/>
          <w:kern w:val="0"/>
          <w:sz w:val="20"/>
          <w:szCs w:val="20"/>
          <w:lang w:val="en-GB" w:eastAsia="en-GB"/>
          <w14:ligatures w14:val="none"/>
        </w:rPr>
        <w:t>.</w:t>
      </w:r>
      <w:r w:rsidRPr="00921A86">
        <w:rPr>
          <w:rFonts w:ascii="Arial" w:eastAsia="Times New Roman" w:hAnsi="Arial" w:cs="Arial"/>
          <w:color w:val="000000"/>
          <w:kern w:val="0"/>
          <w:sz w:val="20"/>
          <w:szCs w:val="20"/>
          <w:lang w:val="en-GB" w:eastAsia="en-GB"/>
          <w14:ligatures w14:val="none"/>
        </w:rPr>
        <w:t> </w:t>
      </w:r>
      <w:r w:rsidRPr="00921A86">
        <w:rPr>
          <w:rFonts w:ascii="Arial" w:eastAsia="Times New Roman" w:hAnsi="Arial" w:cs="Arial"/>
          <w:color w:val="000000"/>
          <w:kern w:val="0"/>
          <w:sz w:val="20"/>
          <w:szCs w:val="20"/>
          <w:vertAlign w:val="superscript"/>
          <w:lang w:val="en-GB" w:eastAsia="en-GB"/>
          <w14:ligatures w14:val="none"/>
        </w:rPr>
        <w:t>[3]</w:t>
      </w:r>
    </w:p>
    <w:p w14:paraId="4E346D38" w14:textId="0062F044" w:rsidR="00E71481" w:rsidRPr="00921A86" w:rsidRDefault="00E71481" w:rsidP="00EE5681">
      <w:pPr>
        <w:spacing w:before="100" w:beforeAutospacing="1" w:after="100" w:afterAutospacing="1" w:line="360" w:lineRule="auto"/>
        <w:rPr>
          <w:rFonts w:ascii="Arial" w:eastAsia="Times New Roman" w:hAnsi="Arial" w:cs="Arial"/>
          <w:color w:val="000000"/>
          <w:kern w:val="0"/>
          <w:sz w:val="20"/>
          <w:szCs w:val="20"/>
          <w:lang w:val="en-GB" w:eastAsia="en-GB"/>
          <w14:ligatures w14:val="none"/>
        </w:rPr>
      </w:pPr>
      <w:r w:rsidRPr="00921A86">
        <w:rPr>
          <w:rFonts w:ascii="Arial" w:eastAsia="Times New Roman" w:hAnsi="Arial" w:cs="Arial"/>
          <w:color w:val="000000"/>
          <w:kern w:val="0"/>
          <w:sz w:val="20"/>
          <w:szCs w:val="20"/>
          <w:lang w:val="en-GB" w:eastAsia="en-GB"/>
          <w14:ligatures w14:val="none"/>
        </w:rPr>
        <w:t>BBS is uncommon in the general population, with an estimated prevalence of 1 in 150,000–160,000 in Europe and North America. However, higher rates are seen in populations with increased consanguinity: 1 in 13,500 in Kuwait and 1 in 17,000 in Newfoundland</w:t>
      </w:r>
      <w:r w:rsidR="00EE5681" w:rsidRPr="00921A86">
        <w:rPr>
          <w:rFonts w:ascii="Arial" w:eastAsia="Times New Roman" w:hAnsi="Arial" w:cs="Arial"/>
          <w:color w:val="000000"/>
          <w:kern w:val="0"/>
          <w:sz w:val="20"/>
          <w:szCs w:val="20"/>
          <w:lang w:val="en-GB" w:eastAsia="en-GB"/>
          <w14:ligatures w14:val="none"/>
        </w:rPr>
        <w:t>.</w:t>
      </w:r>
      <w:r w:rsidRPr="00921A86">
        <w:rPr>
          <w:rFonts w:ascii="Arial" w:eastAsia="Times New Roman" w:hAnsi="Arial" w:cs="Arial"/>
          <w:color w:val="000000"/>
          <w:kern w:val="0"/>
          <w:sz w:val="20"/>
          <w:szCs w:val="20"/>
          <w:lang w:val="en-GB" w:eastAsia="en-GB"/>
          <w14:ligatures w14:val="none"/>
        </w:rPr>
        <w:t> </w:t>
      </w:r>
      <w:r w:rsidRPr="00921A86">
        <w:rPr>
          <w:rFonts w:ascii="Arial" w:eastAsia="Times New Roman" w:hAnsi="Arial" w:cs="Arial"/>
          <w:color w:val="000000"/>
          <w:kern w:val="0"/>
          <w:sz w:val="20"/>
          <w:szCs w:val="20"/>
          <w:vertAlign w:val="superscript"/>
          <w:lang w:val="en-GB" w:eastAsia="en-GB"/>
          <w14:ligatures w14:val="none"/>
        </w:rPr>
        <w:t>[1,4]</w:t>
      </w:r>
      <w:r w:rsidRPr="00921A86">
        <w:rPr>
          <w:rFonts w:ascii="Arial" w:eastAsia="Times New Roman" w:hAnsi="Arial" w:cs="Arial"/>
          <w:color w:val="000000"/>
          <w:kern w:val="0"/>
          <w:sz w:val="20"/>
          <w:szCs w:val="20"/>
          <w:lang w:val="en-GB" w:eastAsia="en-GB"/>
          <w14:ligatures w14:val="none"/>
        </w:rPr>
        <w:t xml:space="preserve"> In India, population-based prevalence data are lacking, but hospital-based studies have reported BBS-associated retinitis pigmentosa in children, particularly in consanguineous communities, highlighting probable underdiagnosis</w:t>
      </w:r>
      <w:r w:rsidR="00EE5681" w:rsidRPr="00921A86">
        <w:rPr>
          <w:rFonts w:ascii="Arial" w:eastAsia="Times New Roman" w:hAnsi="Arial" w:cs="Arial"/>
          <w:color w:val="000000"/>
          <w:kern w:val="0"/>
          <w:sz w:val="20"/>
          <w:szCs w:val="20"/>
          <w:lang w:val="en-GB" w:eastAsia="en-GB"/>
          <w14:ligatures w14:val="none"/>
        </w:rPr>
        <w:t>.</w:t>
      </w:r>
      <w:r w:rsidRPr="00921A86">
        <w:rPr>
          <w:rFonts w:ascii="Arial" w:eastAsia="Times New Roman" w:hAnsi="Arial" w:cs="Arial"/>
          <w:color w:val="000000"/>
          <w:kern w:val="0"/>
          <w:sz w:val="20"/>
          <w:szCs w:val="20"/>
          <w:lang w:val="en-GB" w:eastAsia="en-GB"/>
          <w14:ligatures w14:val="none"/>
        </w:rPr>
        <w:t> </w:t>
      </w:r>
      <w:r w:rsidRPr="00921A86">
        <w:rPr>
          <w:rFonts w:ascii="Arial" w:eastAsia="Times New Roman" w:hAnsi="Arial" w:cs="Arial"/>
          <w:color w:val="000000"/>
          <w:kern w:val="0"/>
          <w:sz w:val="20"/>
          <w:szCs w:val="20"/>
          <w:vertAlign w:val="superscript"/>
          <w:lang w:val="en-GB" w:eastAsia="en-GB"/>
          <w14:ligatures w14:val="none"/>
        </w:rPr>
        <w:t>[5]</w:t>
      </w:r>
    </w:p>
    <w:p w14:paraId="4C4EDB87" w14:textId="19A49A6B" w:rsidR="00E71481" w:rsidRPr="00921A86" w:rsidRDefault="00E71481" w:rsidP="00EE5681">
      <w:pPr>
        <w:spacing w:before="100" w:beforeAutospacing="1" w:after="100" w:afterAutospacing="1" w:line="360" w:lineRule="auto"/>
        <w:rPr>
          <w:rFonts w:ascii="Arial" w:eastAsia="Times New Roman" w:hAnsi="Arial" w:cs="Arial"/>
          <w:color w:val="000000"/>
          <w:kern w:val="0"/>
          <w:sz w:val="20"/>
          <w:szCs w:val="20"/>
          <w:lang w:val="en-GB" w:eastAsia="en-GB"/>
          <w14:ligatures w14:val="none"/>
        </w:rPr>
      </w:pPr>
      <w:r w:rsidRPr="00921A86">
        <w:rPr>
          <w:rFonts w:ascii="Arial" w:eastAsia="Times New Roman" w:hAnsi="Arial" w:cs="Arial"/>
          <w:color w:val="000000"/>
          <w:kern w:val="0"/>
          <w:sz w:val="20"/>
          <w:szCs w:val="20"/>
          <w:lang w:val="en-GB" w:eastAsia="en-GB"/>
          <w14:ligatures w14:val="none"/>
        </w:rPr>
        <w:t>Ocular involvement, especially retinal dystrophy, is often the earliest presenting sign. Most patients show early-onset rod-cone degeneration, with severely reduced or extinguished electroretinogram responses</w:t>
      </w:r>
      <w:r w:rsidR="00EE5681" w:rsidRPr="00921A86">
        <w:rPr>
          <w:rFonts w:ascii="Arial" w:eastAsia="Times New Roman" w:hAnsi="Arial" w:cs="Arial"/>
          <w:color w:val="000000"/>
          <w:kern w:val="0"/>
          <w:sz w:val="20"/>
          <w:szCs w:val="20"/>
          <w:lang w:val="en-GB" w:eastAsia="en-GB"/>
          <w14:ligatures w14:val="none"/>
        </w:rPr>
        <w:t>.</w:t>
      </w:r>
      <w:r w:rsidRPr="00921A86">
        <w:rPr>
          <w:rFonts w:ascii="Arial" w:eastAsia="Times New Roman" w:hAnsi="Arial" w:cs="Arial"/>
          <w:color w:val="000000"/>
          <w:kern w:val="0"/>
          <w:sz w:val="20"/>
          <w:szCs w:val="20"/>
          <w:lang w:val="en-GB" w:eastAsia="en-GB"/>
          <w14:ligatures w14:val="none"/>
        </w:rPr>
        <w:t> </w:t>
      </w:r>
      <w:r w:rsidRPr="00921A86">
        <w:rPr>
          <w:rFonts w:ascii="Arial" w:eastAsia="Times New Roman" w:hAnsi="Arial" w:cs="Arial"/>
          <w:color w:val="000000"/>
          <w:kern w:val="0"/>
          <w:sz w:val="20"/>
          <w:szCs w:val="20"/>
          <w:vertAlign w:val="superscript"/>
          <w:lang w:val="en-GB" w:eastAsia="en-GB"/>
          <w14:ligatures w14:val="none"/>
        </w:rPr>
        <w:t>[1,6]</w:t>
      </w:r>
      <w:r w:rsidRPr="00921A86">
        <w:rPr>
          <w:rFonts w:ascii="Arial" w:eastAsia="Times New Roman" w:hAnsi="Arial" w:cs="Arial"/>
          <w:color w:val="000000"/>
          <w:kern w:val="0"/>
          <w:sz w:val="20"/>
          <w:szCs w:val="20"/>
          <w:lang w:val="en-GB" w:eastAsia="en-GB"/>
          <w14:ligatures w14:val="none"/>
        </w:rPr>
        <w:t xml:space="preserve"> Retinitis pigmentosa sine </w:t>
      </w:r>
      <w:proofErr w:type="spellStart"/>
      <w:r w:rsidRPr="00921A86">
        <w:rPr>
          <w:rFonts w:ascii="Arial" w:eastAsia="Times New Roman" w:hAnsi="Arial" w:cs="Arial"/>
          <w:color w:val="000000"/>
          <w:kern w:val="0"/>
          <w:sz w:val="20"/>
          <w:szCs w:val="20"/>
          <w:lang w:val="en-GB" w:eastAsia="en-GB"/>
          <w14:ligatures w14:val="none"/>
        </w:rPr>
        <w:t>pigmento</w:t>
      </w:r>
      <w:proofErr w:type="spellEnd"/>
      <w:r w:rsidRPr="00921A86">
        <w:rPr>
          <w:rFonts w:ascii="Arial" w:eastAsia="Times New Roman" w:hAnsi="Arial" w:cs="Arial"/>
          <w:color w:val="000000"/>
          <w:kern w:val="0"/>
          <w:sz w:val="20"/>
          <w:szCs w:val="20"/>
          <w:lang w:val="en-GB" w:eastAsia="en-GB"/>
          <w14:ligatures w14:val="none"/>
        </w:rPr>
        <w:t xml:space="preserve"> and optic atrophy may be seen. Progressive vision loss often leads to blindness by the third decade</w:t>
      </w:r>
      <w:r w:rsidR="00EE5681" w:rsidRPr="00921A86">
        <w:rPr>
          <w:rFonts w:ascii="Arial" w:eastAsia="Times New Roman" w:hAnsi="Arial" w:cs="Arial"/>
          <w:color w:val="000000"/>
          <w:kern w:val="0"/>
          <w:sz w:val="20"/>
          <w:szCs w:val="20"/>
          <w:lang w:val="en-GB" w:eastAsia="en-GB"/>
          <w14:ligatures w14:val="none"/>
        </w:rPr>
        <w:t>.</w:t>
      </w:r>
      <w:r w:rsidRPr="00921A86">
        <w:rPr>
          <w:rFonts w:ascii="Arial" w:eastAsia="Times New Roman" w:hAnsi="Arial" w:cs="Arial"/>
          <w:color w:val="000000"/>
          <w:kern w:val="0"/>
          <w:sz w:val="20"/>
          <w:szCs w:val="20"/>
          <w:lang w:val="en-GB" w:eastAsia="en-GB"/>
          <w14:ligatures w14:val="none"/>
        </w:rPr>
        <w:t> </w:t>
      </w:r>
      <w:r w:rsidRPr="00921A86">
        <w:rPr>
          <w:rFonts w:ascii="Arial" w:eastAsia="Times New Roman" w:hAnsi="Arial" w:cs="Arial"/>
          <w:color w:val="000000"/>
          <w:kern w:val="0"/>
          <w:sz w:val="20"/>
          <w:szCs w:val="20"/>
          <w:vertAlign w:val="superscript"/>
          <w:lang w:val="en-GB" w:eastAsia="en-GB"/>
          <w14:ligatures w14:val="none"/>
        </w:rPr>
        <w:t>[5,6]</w:t>
      </w:r>
    </w:p>
    <w:p w14:paraId="0848B040" w14:textId="7F332ED1" w:rsidR="00E71481" w:rsidRPr="00921A86" w:rsidRDefault="00E71481" w:rsidP="00EE5681">
      <w:pPr>
        <w:spacing w:before="100" w:beforeAutospacing="1" w:after="100" w:afterAutospacing="1" w:line="360" w:lineRule="auto"/>
        <w:rPr>
          <w:rFonts w:ascii="Arial" w:eastAsia="Times New Roman" w:hAnsi="Arial" w:cs="Arial"/>
          <w:color w:val="000000"/>
          <w:kern w:val="0"/>
          <w:sz w:val="20"/>
          <w:szCs w:val="20"/>
          <w:lang w:val="en-GB" w:eastAsia="en-GB"/>
          <w14:ligatures w14:val="none"/>
        </w:rPr>
      </w:pPr>
      <w:r w:rsidRPr="00921A86">
        <w:rPr>
          <w:rFonts w:ascii="Arial" w:eastAsia="Times New Roman" w:hAnsi="Arial" w:cs="Arial"/>
          <w:color w:val="000000"/>
          <w:kern w:val="0"/>
          <w:sz w:val="20"/>
          <w:szCs w:val="20"/>
          <w:lang w:val="en-GB" w:eastAsia="en-GB"/>
          <w14:ligatures w14:val="none"/>
        </w:rPr>
        <w:lastRenderedPageBreak/>
        <w:t>Over 20 BBS genes have been identified, including BBS1 and BBS10, which are the most common. These genes encode proteins involved in ciliary function</w:t>
      </w:r>
      <w:r w:rsidR="000B6347" w:rsidRPr="00921A86">
        <w:rPr>
          <w:rFonts w:ascii="Arial" w:eastAsia="Times New Roman" w:hAnsi="Arial" w:cs="Arial"/>
          <w:color w:val="000000"/>
          <w:kern w:val="0"/>
          <w:sz w:val="20"/>
          <w:szCs w:val="20"/>
          <w:lang w:val="en-GB" w:eastAsia="en-GB"/>
          <w14:ligatures w14:val="none"/>
        </w:rPr>
        <w:t>.</w:t>
      </w:r>
      <w:r w:rsidRPr="00921A86">
        <w:rPr>
          <w:rFonts w:ascii="Arial" w:eastAsia="Times New Roman" w:hAnsi="Arial" w:cs="Arial"/>
          <w:color w:val="000000"/>
          <w:kern w:val="0"/>
          <w:sz w:val="20"/>
          <w:szCs w:val="20"/>
          <w:lang w:val="en-GB" w:eastAsia="en-GB"/>
          <w14:ligatures w14:val="none"/>
        </w:rPr>
        <w:t> </w:t>
      </w:r>
      <w:r w:rsidRPr="00921A86">
        <w:rPr>
          <w:rFonts w:ascii="Arial" w:eastAsia="Times New Roman" w:hAnsi="Arial" w:cs="Arial"/>
          <w:color w:val="000000"/>
          <w:kern w:val="0"/>
          <w:sz w:val="20"/>
          <w:szCs w:val="20"/>
          <w:vertAlign w:val="superscript"/>
          <w:lang w:val="en-GB" w:eastAsia="en-GB"/>
          <w14:ligatures w14:val="none"/>
        </w:rPr>
        <w:t>[2]</w:t>
      </w:r>
      <w:r w:rsidRPr="00921A86">
        <w:rPr>
          <w:rFonts w:ascii="Arial" w:eastAsia="Times New Roman" w:hAnsi="Arial" w:cs="Arial"/>
          <w:color w:val="000000"/>
          <w:kern w:val="0"/>
          <w:sz w:val="20"/>
          <w:szCs w:val="20"/>
          <w:lang w:val="en-GB" w:eastAsia="en-GB"/>
          <w14:ligatures w14:val="none"/>
        </w:rPr>
        <w:t xml:space="preserve"> Early recognition is critical, as renal failure is a major cause of mortality. Multidisciplinary evaluation aids diagnosis, systemic monitoring, and genetic </w:t>
      </w:r>
      <w:r w:rsidR="00EE5681" w:rsidRPr="00921A86">
        <w:rPr>
          <w:rFonts w:ascii="Arial" w:eastAsia="Times New Roman" w:hAnsi="Arial" w:cs="Arial"/>
          <w:color w:val="000000"/>
          <w:kern w:val="0"/>
          <w:sz w:val="20"/>
          <w:szCs w:val="20"/>
          <w:lang w:val="en-GB" w:eastAsia="en-GB"/>
          <w14:ligatures w14:val="none"/>
        </w:rPr>
        <w:t>counselling.</w:t>
      </w:r>
      <w:r w:rsidRPr="00921A86">
        <w:rPr>
          <w:rFonts w:ascii="Arial" w:eastAsia="Times New Roman" w:hAnsi="Arial" w:cs="Arial"/>
          <w:color w:val="000000"/>
          <w:kern w:val="0"/>
          <w:sz w:val="20"/>
          <w:szCs w:val="20"/>
          <w:lang w:val="en-GB" w:eastAsia="en-GB"/>
          <w14:ligatures w14:val="none"/>
        </w:rPr>
        <w:t> </w:t>
      </w:r>
      <w:r w:rsidRPr="00921A86">
        <w:rPr>
          <w:rFonts w:ascii="Arial" w:eastAsia="Times New Roman" w:hAnsi="Arial" w:cs="Arial"/>
          <w:color w:val="000000"/>
          <w:kern w:val="0"/>
          <w:sz w:val="20"/>
          <w:szCs w:val="20"/>
          <w:vertAlign w:val="superscript"/>
          <w:lang w:val="en-GB" w:eastAsia="en-GB"/>
          <w14:ligatures w14:val="none"/>
        </w:rPr>
        <w:t>[1]</w:t>
      </w:r>
    </w:p>
    <w:p w14:paraId="679E316F" w14:textId="17349778" w:rsidR="00E71481" w:rsidRPr="00481C2A" w:rsidRDefault="00E71481" w:rsidP="00EE5681">
      <w:pPr>
        <w:spacing w:after="0" w:line="360" w:lineRule="auto"/>
        <w:rPr>
          <w:rFonts w:ascii="Times New Roman" w:eastAsia="Times New Roman" w:hAnsi="Times New Roman" w:cs="Times New Roman"/>
          <w:kern w:val="0"/>
          <w:lang w:val="en-GB" w:eastAsia="en-GB"/>
          <w14:ligatures w14:val="none"/>
        </w:rPr>
      </w:pPr>
    </w:p>
    <w:p w14:paraId="3ADB5347" w14:textId="4B737147" w:rsidR="00E71481" w:rsidRPr="00921A86" w:rsidRDefault="00921A86" w:rsidP="00EE5681">
      <w:pPr>
        <w:spacing w:before="100" w:beforeAutospacing="1" w:after="100" w:afterAutospacing="1" w:line="360" w:lineRule="auto"/>
        <w:outlineLvl w:val="2"/>
        <w:rPr>
          <w:rFonts w:ascii="Arial" w:eastAsia="Times New Roman" w:hAnsi="Arial" w:cs="Arial"/>
          <w:b/>
          <w:bCs/>
          <w:color w:val="000000"/>
          <w:kern w:val="0"/>
          <w:sz w:val="20"/>
          <w:szCs w:val="20"/>
          <w:lang w:val="en-GB" w:eastAsia="en-GB"/>
          <w14:ligatures w14:val="none"/>
        </w:rPr>
      </w:pPr>
      <w:r w:rsidRPr="00921A86">
        <w:rPr>
          <w:rFonts w:ascii="Arial" w:eastAsia="Times New Roman" w:hAnsi="Arial" w:cs="Arial"/>
          <w:b/>
          <w:bCs/>
          <w:color w:val="000000"/>
          <w:kern w:val="0"/>
          <w:sz w:val="22"/>
          <w:szCs w:val="22"/>
          <w:lang w:val="en-GB" w:eastAsia="en-GB"/>
          <w14:ligatures w14:val="none"/>
        </w:rPr>
        <w:t>PRESENTATION OF CASE</w:t>
      </w:r>
    </w:p>
    <w:p w14:paraId="0B16B079" w14:textId="77777777" w:rsidR="00E71481" w:rsidRPr="00921A86" w:rsidRDefault="00E71481" w:rsidP="00EE5681">
      <w:pPr>
        <w:spacing w:before="100" w:beforeAutospacing="1" w:after="100" w:afterAutospacing="1" w:line="360" w:lineRule="auto"/>
        <w:rPr>
          <w:rFonts w:ascii="Arial" w:eastAsia="Times New Roman" w:hAnsi="Arial" w:cs="Arial"/>
          <w:color w:val="000000"/>
          <w:kern w:val="0"/>
          <w:sz w:val="20"/>
          <w:szCs w:val="20"/>
          <w:lang w:val="en-GB" w:eastAsia="en-GB"/>
          <w14:ligatures w14:val="none"/>
        </w:rPr>
      </w:pPr>
      <w:r w:rsidRPr="00921A86">
        <w:rPr>
          <w:rFonts w:ascii="Arial" w:eastAsia="Times New Roman" w:hAnsi="Arial" w:cs="Arial"/>
          <w:color w:val="000000"/>
          <w:kern w:val="0"/>
          <w:sz w:val="20"/>
          <w:szCs w:val="20"/>
          <w:lang w:val="en-GB" w:eastAsia="en-GB"/>
          <w14:ligatures w14:val="none"/>
        </w:rPr>
        <w:t>A 7-year-old boy was brought to the ophthalmology outpatient department with complaints of photophobia and difficulty seeing in dim light for the past one year. There was no history of eye pain or floaters. His parents also reported that he struggled academically and had poor attention in school. He was the youngest of four siblings; the other three siblings were healthy with no ocular or systemic complaints. There was no history of parental consanguinity.</w:t>
      </w:r>
    </w:p>
    <w:p w14:paraId="0C7B085B" w14:textId="473F709F" w:rsidR="00921A86" w:rsidRDefault="00E71481" w:rsidP="00EE5681">
      <w:pPr>
        <w:spacing w:before="100" w:beforeAutospacing="1" w:after="100" w:afterAutospacing="1" w:line="360" w:lineRule="auto"/>
        <w:rPr>
          <w:rFonts w:ascii="Arial" w:eastAsia="Times New Roman" w:hAnsi="Arial" w:cs="Arial"/>
          <w:color w:val="000000"/>
          <w:kern w:val="0"/>
          <w:sz w:val="20"/>
          <w:szCs w:val="20"/>
          <w:lang w:val="en-GB" w:eastAsia="en-GB"/>
          <w14:ligatures w14:val="none"/>
        </w:rPr>
      </w:pPr>
      <w:r w:rsidRPr="00921A86">
        <w:rPr>
          <w:rFonts w:ascii="Arial" w:eastAsia="Times New Roman" w:hAnsi="Arial" w:cs="Arial"/>
          <w:color w:val="000000"/>
          <w:kern w:val="0"/>
          <w:sz w:val="20"/>
          <w:szCs w:val="20"/>
          <w:lang w:val="en-GB" w:eastAsia="en-GB"/>
          <w14:ligatures w14:val="none"/>
        </w:rPr>
        <w:t xml:space="preserve">On general examination, the child had central truncal obesity [Fig 1a], with weight and BMI above the 95th percentile for age. Bilateral post-axial polydactyly was noted on both feet [Fig 1b]. Oral examination revealed crowded and crooked teeth [Fig 1d]. Genital examination showed </w:t>
      </w:r>
      <w:proofErr w:type="spellStart"/>
      <w:r w:rsidRPr="00921A86">
        <w:rPr>
          <w:rFonts w:ascii="Arial" w:eastAsia="Times New Roman" w:hAnsi="Arial" w:cs="Arial"/>
          <w:color w:val="000000"/>
          <w:kern w:val="0"/>
          <w:sz w:val="20"/>
          <w:szCs w:val="20"/>
          <w:lang w:val="en-GB" w:eastAsia="en-GB"/>
          <w14:ligatures w14:val="none"/>
        </w:rPr>
        <w:t>micropenis</w:t>
      </w:r>
      <w:proofErr w:type="spellEnd"/>
      <w:r w:rsidRPr="00921A86">
        <w:rPr>
          <w:rFonts w:ascii="Arial" w:eastAsia="Times New Roman" w:hAnsi="Arial" w:cs="Arial"/>
          <w:color w:val="000000"/>
          <w:kern w:val="0"/>
          <w:sz w:val="20"/>
          <w:szCs w:val="20"/>
          <w:lang w:val="en-GB" w:eastAsia="en-GB"/>
          <w14:ligatures w14:val="none"/>
        </w:rPr>
        <w:t xml:space="preserve"> [Fig 1e]. </w:t>
      </w:r>
      <w:r w:rsidR="00921A86">
        <w:rPr>
          <w:rFonts w:ascii="Arial" w:eastAsia="Times New Roman" w:hAnsi="Arial" w:cs="Arial"/>
          <w:color w:val="000000"/>
          <w:kern w:val="0"/>
          <w:sz w:val="20"/>
          <w:szCs w:val="20"/>
          <w:lang w:val="en-GB" w:eastAsia="en-GB"/>
          <w14:ligatures w14:val="none"/>
        </w:rPr>
        <w:br/>
      </w:r>
      <w:r w:rsidR="00921A86">
        <w:rPr>
          <w:rFonts w:ascii="Arial" w:eastAsia="Times New Roman" w:hAnsi="Arial" w:cs="Arial"/>
          <w:color w:val="000000"/>
          <w:kern w:val="0"/>
          <w:sz w:val="20"/>
          <w:szCs w:val="20"/>
          <w:lang w:val="en-GB" w:eastAsia="en-GB"/>
          <w14:ligatures w14:val="none"/>
        </w:rPr>
        <w:br/>
      </w:r>
      <w:r w:rsidR="00921A86">
        <w:rPr>
          <w:noProof/>
          <w:color w:val="000000"/>
        </w:rPr>
        <w:drawing>
          <wp:inline distT="0" distB="0" distL="0" distR="0" wp14:anchorId="67D050B6" wp14:editId="49A82934">
            <wp:extent cx="5731510" cy="2813685"/>
            <wp:effectExtent l="0" t="0" r="2540" b="5715"/>
            <wp:docPr id="1654704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04611" name="Picture 1654704611"/>
                    <pic:cNvPicPr/>
                  </pic:nvPicPr>
                  <pic:blipFill>
                    <a:blip r:embed="rId8">
                      <a:extLst>
                        <a:ext uri="{28A0092B-C50C-407E-A947-70E740481C1C}">
                          <a14:useLocalDpi xmlns:a14="http://schemas.microsoft.com/office/drawing/2010/main" val="0"/>
                        </a:ext>
                      </a:extLst>
                    </a:blip>
                    <a:stretch>
                      <a:fillRect/>
                    </a:stretch>
                  </pic:blipFill>
                  <pic:spPr>
                    <a:xfrm>
                      <a:off x="0" y="0"/>
                      <a:ext cx="5731510" cy="2813685"/>
                    </a:xfrm>
                    <a:prstGeom prst="rect">
                      <a:avLst/>
                    </a:prstGeom>
                  </pic:spPr>
                </pic:pic>
              </a:graphicData>
            </a:graphic>
          </wp:inline>
        </w:drawing>
      </w:r>
    </w:p>
    <w:p w14:paraId="34E2177F" w14:textId="3D70E14C" w:rsidR="000F49FF" w:rsidRPr="000F49FF" w:rsidRDefault="000F49FF" w:rsidP="000F49FF">
      <w:pPr>
        <w:pStyle w:val="NormalWeb"/>
        <w:rPr>
          <w:rFonts w:ascii="Arial" w:hAnsi="Arial" w:cs="Arial"/>
          <w:color w:val="000000"/>
          <w:sz w:val="20"/>
          <w:szCs w:val="20"/>
        </w:rPr>
      </w:pPr>
      <w:r w:rsidRPr="000F49FF">
        <w:rPr>
          <w:rStyle w:val="Strong"/>
          <w:rFonts w:ascii="Arial" w:eastAsiaTheme="majorEastAsia" w:hAnsi="Arial" w:cs="Arial"/>
          <w:color w:val="000000"/>
          <w:sz w:val="20"/>
          <w:szCs w:val="20"/>
        </w:rPr>
        <w:t>Figure 1: Clinical features of Bardet-Biedl Syndrome in the patient.</w:t>
      </w:r>
      <w:r>
        <w:rPr>
          <w:rStyle w:val="Strong"/>
          <w:rFonts w:ascii="Arial" w:eastAsiaTheme="majorEastAsia" w:hAnsi="Arial" w:cs="Arial"/>
          <w:color w:val="000000"/>
          <w:sz w:val="20"/>
          <w:szCs w:val="20"/>
        </w:rPr>
        <w:t xml:space="preserve"> </w:t>
      </w:r>
      <w:r w:rsidRPr="000F49FF">
        <w:rPr>
          <w:rStyle w:val="Strong"/>
          <w:rFonts w:ascii="Arial" w:eastAsiaTheme="majorEastAsia" w:hAnsi="Arial" w:cs="Arial"/>
          <w:color w:val="000000"/>
          <w:sz w:val="20"/>
          <w:szCs w:val="20"/>
        </w:rPr>
        <w:t>(a)</w:t>
      </w:r>
      <w:r w:rsidRPr="000F49FF">
        <w:rPr>
          <w:rStyle w:val="apple-converted-space"/>
          <w:rFonts w:ascii="Arial" w:eastAsiaTheme="majorEastAsia" w:hAnsi="Arial" w:cs="Arial"/>
          <w:color w:val="000000"/>
          <w:sz w:val="20"/>
          <w:szCs w:val="20"/>
        </w:rPr>
        <w:t> </w:t>
      </w:r>
      <w:r w:rsidRPr="000F49FF">
        <w:rPr>
          <w:rFonts w:ascii="Arial" w:hAnsi="Arial" w:cs="Arial"/>
          <w:color w:val="000000"/>
          <w:sz w:val="20"/>
          <w:szCs w:val="20"/>
        </w:rPr>
        <w:t xml:space="preserve">Central truncal obesity with abdominal fat accumulation. </w:t>
      </w:r>
      <w:r w:rsidRPr="000F49FF">
        <w:rPr>
          <w:rStyle w:val="Strong"/>
          <w:rFonts w:ascii="Arial" w:eastAsiaTheme="majorEastAsia" w:hAnsi="Arial" w:cs="Arial"/>
          <w:color w:val="000000"/>
          <w:sz w:val="20"/>
          <w:szCs w:val="20"/>
        </w:rPr>
        <w:t>(b)</w:t>
      </w:r>
      <w:r w:rsidRPr="000F49FF">
        <w:rPr>
          <w:rStyle w:val="apple-converted-space"/>
          <w:rFonts w:ascii="Arial" w:eastAsiaTheme="majorEastAsia" w:hAnsi="Arial" w:cs="Arial"/>
          <w:color w:val="000000"/>
          <w:sz w:val="20"/>
          <w:szCs w:val="20"/>
        </w:rPr>
        <w:t> </w:t>
      </w:r>
      <w:r w:rsidRPr="000F49FF">
        <w:rPr>
          <w:rFonts w:ascii="Arial" w:hAnsi="Arial" w:cs="Arial"/>
          <w:color w:val="000000"/>
          <w:sz w:val="20"/>
          <w:szCs w:val="20"/>
        </w:rPr>
        <w:t xml:space="preserve">Bilateral post-axial polydactyly of the feet. </w:t>
      </w:r>
      <w:r w:rsidRPr="000F49FF">
        <w:rPr>
          <w:rStyle w:val="Strong"/>
          <w:rFonts w:ascii="Arial" w:eastAsiaTheme="majorEastAsia" w:hAnsi="Arial" w:cs="Arial"/>
          <w:color w:val="000000"/>
          <w:sz w:val="20"/>
          <w:szCs w:val="20"/>
        </w:rPr>
        <w:t>(c)</w:t>
      </w:r>
      <w:r w:rsidRPr="000F49FF">
        <w:rPr>
          <w:rStyle w:val="apple-converted-space"/>
          <w:rFonts w:ascii="Arial" w:eastAsiaTheme="majorEastAsia" w:hAnsi="Arial" w:cs="Arial"/>
          <w:color w:val="000000"/>
          <w:sz w:val="20"/>
          <w:szCs w:val="20"/>
        </w:rPr>
        <w:t> </w:t>
      </w:r>
      <w:r w:rsidRPr="000F49FF">
        <w:rPr>
          <w:rFonts w:ascii="Arial" w:hAnsi="Arial" w:cs="Arial"/>
          <w:color w:val="000000"/>
          <w:sz w:val="20"/>
          <w:szCs w:val="20"/>
        </w:rPr>
        <w:t xml:space="preserve">Normal fingers without polydactyly of the hands. </w:t>
      </w:r>
      <w:r w:rsidRPr="000F49FF">
        <w:rPr>
          <w:rStyle w:val="Strong"/>
          <w:rFonts w:ascii="Arial" w:eastAsiaTheme="majorEastAsia" w:hAnsi="Arial" w:cs="Arial"/>
          <w:color w:val="000000"/>
          <w:sz w:val="20"/>
          <w:szCs w:val="20"/>
        </w:rPr>
        <w:t>(d)</w:t>
      </w:r>
      <w:r w:rsidRPr="000F49FF">
        <w:rPr>
          <w:rStyle w:val="apple-converted-space"/>
          <w:rFonts w:ascii="Arial" w:eastAsiaTheme="majorEastAsia" w:hAnsi="Arial" w:cs="Arial"/>
          <w:color w:val="000000"/>
          <w:sz w:val="20"/>
          <w:szCs w:val="20"/>
        </w:rPr>
        <w:t> </w:t>
      </w:r>
      <w:r w:rsidRPr="000F49FF">
        <w:rPr>
          <w:rFonts w:ascii="Arial" w:hAnsi="Arial" w:cs="Arial"/>
          <w:color w:val="000000"/>
          <w:sz w:val="20"/>
          <w:szCs w:val="20"/>
        </w:rPr>
        <w:t xml:space="preserve">Dental anomalies showing crowded, crooked, and </w:t>
      </w:r>
      <w:proofErr w:type="spellStart"/>
      <w:r w:rsidRPr="000F49FF">
        <w:rPr>
          <w:rFonts w:ascii="Arial" w:hAnsi="Arial" w:cs="Arial"/>
          <w:color w:val="000000"/>
          <w:sz w:val="20"/>
          <w:szCs w:val="20"/>
        </w:rPr>
        <w:t>malaligned</w:t>
      </w:r>
      <w:proofErr w:type="spellEnd"/>
      <w:r w:rsidRPr="000F49FF">
        <w:rPr>
          <w:rFonts w:ascii="Arial" w:hAnsi="Arial" w:cs="Arial"/>
          <w:color w:val="000000"/>
          <w:sz w:val="20"/>
          <w:szCs w:val="20"/>
        </w:rPr>
        <w:t xml:space="preserve"> teeth. </w:t>
      </w:r>
      <w:r w:rsidRPr="000F49FF">
        <w:rPr>
          <w:rStyle w:val="Strong"/>
          <w:rFonts w:ascii="Arial" w:eastAsiaTheme="majorEastAsia" w:hAnsi="Arial" w:cs="Arial"/>
          <w:color w:val="000000"/>
          <w:sz w:val="20"/>
          <w:szCs w:val="20"/>
        </w:rPr>
        <w:t>(e)</w:t>
      </w:r>
      <w:r w:rsidRPr="000F49FF">
        <w:rPr>
          <w:rStyle w:val="apple-converted-space"/>
          <w:rFonts w:ascii="Arial" w:eastAsiaTheme="majorEastAsia" w:hAnsi="Arial" w:cs="Arial"/>
          <w:color w:val="000000"/>
          <w:sz w:val="20"/>
          <w:szCs w:val="20"/>
        </w:rPr>
        <w:t> </w:t>
      </w:r>
      <w:r w:rsidRPr="000F49FF">
        <w:rPr>
          <w:rFonts w:ascii="Arial" w:hAnsi="Arial" w:cs="Arial"/>
          <w:color w:val="000000"/>
          <w:sz w:val="20"/>
          <w:szCs w:val="20"/>
        </w:rPr>
        <w:t xml:space="preserve">Genital hypoplasia with </w:t>
      </w:r>
      <w:proofErr w:type="spellStart"/>
      <w:r w:rsidRPr="000F49FF">
        <w:rPr>
          <w:rFonts w:ascii="Arial" w:hAnsi="Arial" w:cs="Arial"/>
          <w:color w:val="000000"/>
          <w:sz w:val="20"/>
          <w:szCs w:val="20"/>
        </w:rPr>
        <w:t>micropenis</w:t>
      </w:r>
      <w:proofErr w:type="spellEnd"/>
      <w:r w:rsidRPr="000F49FF">
        <w:rPr>
          <w:rFonts w:ascii="Arial" w:hAnsi="Arial" w:cs="Arial"/>
          <w:color w:val="000000"/>
          <w:sz w:val="20"/>
          <w:szCs w:val="20"/>
        </w:rPr>
        <w:t xml:space="preserve"> and underdeveloped scrotum.</w:t>
      </w:r>
    </w:p>
    <w:p w14:paraId="007CD818" w14:textId="2143546D" w:rsidR="00E71481" w:rsidRDefault="00E71481" w:rsidP="00EE5681">
      <w:pPr>
        <w:spacing w:before="100" w:beforeAutospacing="1" w:after="100" w:afterAutospacing="1" w:line="360" w:lineRule="auto"/>
        <w:rPr>
          <w:rFonts w:ascii="Arial" w:eastAsia="Times New Roman" w:hAnsi="Arial" w:cs="Arial"/>
          <w:color w:val="000000"/>
          <w:kern w:val="0"/>
          <w:sz w:val="20"/>
          <w:szCs w:val="20"/>
          <w:lang w:val="en-GB" w:eastAsia="en-GB"/>
          <w14:ligatures w14:val="none"/>
        </w:rPr>
      </w:pPr>
      <w:r w:rsidRPr="00921A86">
        <w:rPr>
          <w:rFonts w:ascii="Arial" w:eastAsia="Times New Roman" w:hAnsi="Arial" w:cs="Arial"/>
          <w:color w:val="000000"/>
          <w:kern w:val="0"/>
          <w:sz w:val="20"/>
          <w:szCs w:val="20"/>
          <w:lang w:val="en-GB" w:eastAsia="en-GB"/>
          <w14:ligatures w14:val="none"/>
        </w:rPr>
        <w:t xml:space="preserve">Best-corrected visual acuity was 6/9 in both eyes. Slit-lamp examination of the anterior segment was normal. Fundus examination revealed pale optic discs and attenuated arterioles without characteristic </w:t>
      </w:r>
      <w:r w:rsidRPr="00921A86">
        <w:rPr>
          <w:rFonts w:ascii="Arial" w:eastAsia="Times New Roman" w:hAnsi="Arial" w:cs="Arial"/>
          <w:color w:val="000000"/>
          <w:kern w:val="0"/>
          <w:sz w:val="20"/>
          <w:szCs w:val="20"/>
          <w:lang w:val="en-GB" w:eastAsia="en-GB"/>
          <w14:ligatures w14:val="none"/>
        </w:rPr>
        <w:lastRenderedPageBreak/>
        <w:t xml:space="preserve">bone spicule pigmentation, suggestive of retinitis pigmentosa sine </w:t>
      </w:r>
      <w:proofErr w:type="spellStart"/>
      <w:r w:rsidRPr="00921A86">
        <w:rPr>
          <w:rFonts w:ascii="Arial" w:eastAsia="Times New Roman" w:hAnsi="Arial" w:cs="Arial"/>
          <w:color w:val="000000"/>
          <w:kern w:val="0"/>
          <w:sz w:val="20"/>
          <w:szCs w:val="20"/>
          <w:lang w:val="en-GB" w:eastAsia="en-GB"/>
          <w14:ligatures w14:val="none"/>
        </w:rPr>
        <w:t>pigmento</w:t>
      </w:r>
      <w:proofErr w:type="spellEnd"/>
      <w:r w:rsidRPr="00921A86">
        <w:rPr>
          <w:rFonts w:ascii="Arial" w:eastAsia="Times New Roman" w:hAnsi="Arial" w:cs="Arial"/>
          <w:color w:val="000000"/>
          <w:kern w:val="0"/>
          <w:sz w:val="20"/>
          <w:szCs w:val="20"/>
          <w:lang w:val="en-GB" w:eastAsia="en-GB"/>
          <w14:ligatures w14:val="none"/>
        </w:rPr>
        <w:t xml:space="preserve"> [Fig 2]. Renal function was normal, and abdominal ultrasound showed no structural abnormalities in the kidneys.</w:t>
      </w:r>
    </w:p>
    <w:p w14:paraId="2EC2F411" w14:textId="081A017A" w:rsidR="00921A86" w:rsidRPr="00921A86" w:rsidRDefault="00921A86" w:rsidP="00EE5681">
      <w:pPr>
        <w:spacing w:before="100" w:beforeAutospacing="1" w:after="100" w:afterAutospacing="1" w:line="360" w:lineRule="auto"/>
        <w:rPr>
          <w:rFonts w:ascii="Arial" w:eastAsia="Times New Roman" w:hAnsi="Arial" w:cs="Arial"/>
          <w:color w:val="000000"/>
          <w:kern w:val="0"/>
          <w:sz w:val="20"/>
          <w:szCs w:val="20"/>
          <w:lang w:val="en-GB" w:eastAsia="en-GB"/>
          <w14:ligatures w14:val="none"/>
        </w:rPr>
      </w:pPr>
      <w:r w:rsidRPr="00E71481">
        <w:rPr>
          <w:noProof/>
        </w:rPr>
        <w:drawing>
          <wp:inline distT="0" distB="0" distL="0" distR="0" wp14:anchorId="68B75BDE" wp14:editId="61DEF2C8">
            <wp:extent cx="5731510" cy="2835275"/>
            <wp:effectExtent l="0" t="0" r="2540" b="3175"/>
            <wp:docPr id="179497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97886" name=""/>
                    <pic:cNvPicPr/>
                  </pic:nvPicPr>
                  <pic:blipFill rotWithShape="1">
                    <a:blip r:embed="rId9"/>
                    <a:srcRect l="14181" t="11424" r="10259" b="19637"/>
                    <a:stretch>
                      <a:fillRect/>
                    </a:stretch>
                  </pic:blipFill>
                  <pic:spPr bwMode="auto">
                    <a:xfrm>
                      <a:off x="0" y="0"/>
                      <a:ext cx="5731510" cy="2835275"/>
                    </a:xfrm>
                    <a:prstGeom prst="rect">
                      <a:avLst/>
                    </a:prstGeom>
                    <a:ln>
                      <a:noFill/>
                    </a:ln>
                    <a:extLst>
                      <a:ext uri="{53640926-AAD7-44D8-BBD7-CCE9431645EC}">
                        <a14:shadowObscured xmlns:a14="http://schemas.microsoft.com/office/drawing/2010/main"/>
                      </a:ext>
                    </a:extLst>
                  </pic:spPr>
                </pic:pic>
              </a:graphicData>
            </a:graphic>
          </wp:inline>
        </w:drawing>
      </w:r>
    </w:p>
    <w:p w14:paraId="082CD19E" w14:textId="77777777" w:rsidR="000F49FF" w:rsidRPr="000F49FF" w:rsidRDefault="000F49FF" w:rsidP="000F49FF">
      <w:pPr>
        <w:rPr>
          <w:rFonts w:ascii="Arial" w:hAnsi="Arial" w:cs="Arial"/>
          <w:b/>
          <w:bCs/>
          <w:sz w:val="20"/>
          <w:szCs w:val="20"/>
        </w:rPr>
      </w:pPr>
      <w:r w:rsidRPr="000F49FF">
        <w:rPr>
          <w:rFonts w:ascii="Arial" w:hAnsi="Arial" w:cs="Arial"/>
          <w:b/>
          <w:bCs/>
          <w:sz w:val="20"/>
          <w:szCs w:val="20"/>
        </w:rPr>
        <w:t xml:space="preserve">FIGURE 2: </w:t>
      </w:r>
      <w:r w:rsidRPr="000F49FF">
        <w:rPr>
          <w:rStyle w:val="Strong"/>
          <w:rFonts w:ascii="Arial" w:hAnsi="Arial" w:cs="Arial"/>
          <w:b w:val="0"/>
          <w:bCs w:val="0"/>
          <w:color w:val="000000"/>
          <w:sz w:val="20"/>
          <w:szCs w:val="20"/>
        </w:rPr>
        <w:t>Fundus photographs of both eyes showing atypical retinal features in Bardet-Biedl Syndrome.</w:t>
      </w:r>
      <w:r w:rsidRPr="000F49FF">
        <w:rPr>
          <w:rFonts w:ascii="Arial" w:hAnsi="Arial" w:cs="Arial"/>
          <w:b/>
          <w:bCs/>
          <w:color w:val="000000"/>
          <w:sz w:val="20"/>
          <w:szCs w:val="20"/>
        </w:rPr>
        <w:br/>
      </w:r>
    </w:p>
    <w:p w14:paraId="507AC4CB" w14:textId="3D548D50" w:rsidR="00E71481" w:rsidRPr="00921A86" w:rsidRDefault="00E71481" w:rsidP="00EE5681">
      <w:pPr>
        <w:spacing w:before="100" w:beforeAutospacing="1" w:after="100" w:afterAutospacing="1" w:line="360" w:lineRule="auto"/>
        <w:rPr>
          <w:rFonts w:ascii="Arial" w:eastAsia="Times New Roman" w:hAnsi="Arial" w:cs="Arial"/>
          <w:color w:val="000000"/>
          <w:kern w:val="0"/>
          <w:sz w:val="20"/>
          <w:szCs w:val="20"/>
          <w:lang w:val="en-GB" w:eastAsia="en-GB"/>
          <w14:ligatures w14:val="none"/>
        </w:rPr>
      </w:pPr>
      <w:r w:rsidRPr="00921A86">
        <w:rPr>
          <w:rFonts w:ascii="Arial" w:eastAsia="Times New Roman" w:hAnsi="Arial" w:cs="Arial"/>
          <w:color w:val="000000"/>
          <w:kern w:val="0"/>
          <w:sz w:val="20"/>
          <w:szCs w:val="20"/>
          <w:lang w:val="en-GB" w:eastAsia="en-GB"/>
          <w14:ligatures w14:val="none"/>
        </w:rPr>
        <w:t xml:space="preserve">Based on the combination of retinal dystrophy, central obesity, polydactyly, learning difficulties, and genital hypoplasia, a clinical diagnosis of Bardet-Biedl syndrome was made. The child was referred for genetic evaluation and multidisciplinary care. His parents were </w:t>
      </w:r>
      <w:r w:rsidR="00EE5681" w:rsidRPr="00921A86">
        <w:rPr>
          <w:rFonts w:ascii="Arial" w:eastAsia="Times New Roman" w:hAnsi="Arial" w:cs="Arial"/>
          <w:color w:val="000000"/>
          <w:kern w:val="0"/>
          <w:sz w:val="20"/>
          <w:szCs w:val="20"/>
          <w:lang w:val="en-GB" w:eastAsia="en-GB"/>
          <w14:ligatures w14:val="none"/>
        </w:rPr>
        <w:t>counselled</w:t>
      </w:r>
      <w:r w:rsidRPr="00921A86">
        <w:rPr>
          <w:rFonts w:ascii="Arial" w:eastAsia="Times New Roman" w:hAnsi="Arial" w:cs="Arial"/>
          <w:color w:val="000000"/>
          <w:kern w:val="0"/>
          <w:sz w:val="20"/>
          <w:szCs w:val="20"/>
          <w:lang w:val="en-GB" w:eastAsia="en-GB"/>
          <w14:ligatures w14:val="none"/>
        </w:rPr>
        <w:t xml:space="preserve"> regarding the risk of progressive visual loss and the importance of ongoing systemic monitoring, especially for renal and metabolic complications.</w:t>
      </w:r>
    </w:p>
    <w:p w14:paraId="10DC82CE" w14:textId="2E4AAAE6" w:rsidR="00E71481" w:rsidRPr="00481C2A" w:rsidRDefault="00E71481" w:rsidP="00EE5681">
      <w:pPr>
        <w:spacing w:after="0" w:line="360" w:lineRule="auto"/>
        <w:rPr>
          <w:rFonts w:ascii="Times New Roman" w:eastAsia="Times New Roman" w:hAnsi="Times New Roman" w:cs="Times New Roman"/>
          <w:kern w:val="0"/>
          <w:lang w:val="en-GB" w:eastAsia="en-GB"/>
          <w14:ligatures w14:val="none"/>
        </w:rPr>
      </w:pPr>
    </w:p>
    <w:p w14:paraId="7692DCB8" w14:textId="083AE8D5" w:rsidR="00E71481" w:rsidRPr="00921A86" w:rsidRDefault="00921A86" w:rsidP="00EE5681">
      <w:pPr>
        <w:spacing w:before="100" w:beforeAutospacing="1" w:after="100" w:afterAutospacing="1" w:line="360" w:lineRule="auto"/>
        <w:outlineLvl w:val="2"/>
        <w:rPr>
          <w:rFonts w:ascii="Arial" w:eastAsia="Times New Roman" w:hAnsi="Arial" w:cs="Arial"/>
          <w:b/>
          <w:bCs/>
          <w:color w:val="000000"/>
          <w:kern w:val="0"/>
          <w:sz w:val="22"/>
          <w:szCs w:val="22"/>
          <w:lang w:val="en-GB" w:eastAsia="en-GB"/>
          <w14:ligatures w14:val="none"/>
        </w:rPr>
      </w:pPr>
      <w:r w:rsidRPr="00921A86">
        <w:rPr>
          <w:rFonts w:ascii="Arial" w:eastAsia="Times New Roman" w:hAnsi="Arial" w:cs="Arial"/>
          <w:b/>
          <w:bCs/>
          <w:color w:val="000000"/>
          <w:kern w:val="0"/>
          <w:sz w:val="22"/>
          <w:szCs w:val="22"/>
          <w:lang w:val="en-GB" w:eastAsia="en-GB"/>
          <w14:ligatures w14:val="none"/>
        </w:rPr>
        <w:t>DISCUSSION</w:t>
      </w:r>
    </w:p>
    <w:p w14:paraId="7B2A6E69" w14:textId="698D9AA2" w:rsidR="00E71481" w:rsidRPr="00921A86" w:rsidRDefault="00E71481" w:rsidP="00EE5681">
      <w:pPr>
        <w:spacing w:before="100" w:beforeAutospacing="1" w:after="100" w:afterAutospacing="1" w:line="360" w:lineRule="auto"/>
        <w:rPr>
          <w:rFonts w:ascii="Arial" w:eastAsia="Times New Roman" w:hAnsi="Arial" w:cs="Arial"/>
          <w:color w:val="000000"/>
          <w:kern w:val="0"/>
          <w:sz w:val="20"/>
          <w:szCs w:val="20"/>
          <w:lang w:val="en-GB" w:eastAsia="en-GB"/>
          <w14:ligatures w14:val="none"/>
        </w:rPr>
      </w:pPr>
      <w:r w:rsidRPr="00921A86">
        <w:rPr>
          <w:rFonts w:ascii="Arial" w:eastAsia="Times New Roman" w:hAnsi="Arial" w:cs="Arial"/>
          <w:color w:val="000000"/>
          <w:kern w:val="0"/>
          <w:sz w:val="20"/>
          <w:szCs w:val="20"/>
          <w:lang w:val="en-GB" w:eastAsia="en-GB"/>
          <w14:ligatures w14:val="none"/>
        </w:rPr>
        <w:t>Bardet-Biedl Syndrome (BBS) is a clinically heterogeneous ciliopathy often diagnosed through a constellation of cardinal features such as retinal dystrophy, obesity, postaxial polydactyly, hypogonadism, renal anomalies, and cognitive impairmen</w:t>
      </w:r>
      <w:r w:rsidR="00EE5681" w:rsidRPr="00921A86">
        <w:rPr>
          <w:rFonts w:ascii="Arial" w:eastAsia="Times New Roman" w:hAnsi="Arial" w:cs="Arial"/>
          <w:color w:val="000000"/>
          <w:kern w:val="0"/>
          <w:sz w:val="20"/>
          <w:szCs w:val="20"/>
          <w:lang w:val="en-GB" w:eastAsia="en-GB"/>
          <w14:ligatures w14:val="none"/>
        </w:rPr>
        <w:t>t.</w:t>
      </w:r>
      <w:r w:rsidRPr="00921A86">
        <w:rPr>
          <w:rFonts w:ascii="Arial" w:eastAsia="Times New Roman" w:hAnsi="Arial" w:cs="Arial"/>
          <w:color w:val="000000"/>
          <w:kern w:val="0"/>
          <w:sz w:val="20"/>
          <w:szCs w:val="20"/>
          <w:lang w:val="en-GB" w:eastAsia="en-GB"/>
          <w14:ligatures w14:val="none"/>
        </w:rPr>
        <w:t> </w:t>
      </w:r>
      <w:r w:rsidRPr="00921A86">
        <w:rPr>
          <w:rFonts w:ascii="Arial" w:eastAsia="Times New Roman" w:hAnsi="Arial" w:cs="Arial"/>
          <w:color w:val="000000"/>
          <w:kern w:val="0"/>
          <w:sz w:val="20"/>
          <w:szCs w:val="20"/>
          <w:vertAlign w:val="superscript"/>
          <w:lang w:val="en-GB" w:eastAsia="en-GB"/>
          <w14:ligatures w14:val="none"/>
        </w:rPr>
        <w:t>[1]</w:t>
      </w:r>
      <w:r w:rsidRPr="00921A86">
        <w:rPr>
          <w:rFonts w:ascii="Arial" w:eastAsia="Times New Roman" w:hAnsi="Arial" w:cs="Arial"/>
          <w:color w:val="000000"/>
          <w:kern w:val="0"/>
          <w:sz w:val="20"/>
          <w:szCs w:val="20"/>
          <w:lang w:val="en-GB" w:eastAsia="en-GB"/>
          <w14:ligatures w14:val="none"/>
        </w:rPr>
        <w:t xml:space="preserve"> Our 7-year-old patient exhibited multiple primary features—central obesity, bilateral postaxial polydactyly, </w:t>
      </w:r>
      <w:proofErr w:type="spellStart"/>
      <w:r w:rsidRPr="00921A86">
        <w:rPr>
          <w:rFonts w:ascii="Arial" w:eastAsia="Times New Roman" w:hAnsi="Arial" w:cs="Arial"/>
          <w:color w:val="000000"/>
          <w:kern w:val="0"/>
          <w:sz w:val="20"/>
          <w:szCs w:val="20"/>
          <w:lang w:val="en-GB" w:eastAsia="en-GB"/>
          <w14:ligatures w14:val="none"/>
        </w:rPr>
        <w:t>micropenis</w:t>
      </w:r>
      <w:proofErr w:type="spellEnd"/>
      <w:r w:rsidRPr="00921A86">
        <w:rPr>
          <w:rFonts w:ascii="Arial" w:eastAsia="Times New Roman" w:hAnsi="Arial" w:cs="Arial"/>
          <w:color w:val="000000"/>
          <w:kern w:val="0"/>
          <w:sz w:val="20"/>
          <w:szCs w:val="20"/>
          <w:lang w:val="en-GB" w:eastAsia="en-GB"/>
          <w14:ligatures w14:val="none"/>
        </w:rPr>
        <w:t>, poor school performance, and retinal dysfunction—meeting established clinical criteria for BBS diagnosis</w:t>
      </w:r>
      <w:r w:rsidR="00EE5681" w:rsidRPr="00921A86">
        <w:rPr>
          <w:rFonts w:ascii="Arial" w:eastAsia="Times New Roman" w:hAnsi="Arial" w:cs="Arial"/>
          <w:color w:val="000000"/>
          <w:kern w:val="0"/>
          <w:sz w:val="20"/>
          <w:szCs w:val="20"/>
          <w:lang w:val="en-GB" w:eastAsia="en-GB"/>
          <w14:ligatures w14:val="none"/>
        </w:rPr>
        <w:t>.</w:t>
      </w:r>
      <w:r w:rsidRPr="00921A86">
        <w:rPr>
          <w:rFonts w:ascii="Arial" w:eastAsia="Times New Roman" w:hAnsi="Arial" w:cs="Arial"/>
          <w:color w:val="000000"/>
          <w:kern w:val="0"/>
          <w:sz w:val="20"/>
          <w:szCs w:val="20"/>
          <w:lang w:val="en-GB" w:eastAsia="en-GB"/>
          <w14:ligatures w14:val="none"/>
        </w:rPr>
        <w:t> </w:t>
      </w:r>
      <w:r w:rsidRPr="00921A86">
        <w:rPr>
          <w:rFonts w:ascii="Arial" w:eastAsia="Times New Roman" w:hAnsi="Arial" w:cs="Arial"/>
          <w:color w:val="000000"/>
          <w:kern w:val="0"/>
          <w:sz w:val="20"/>
          <w:szCs w:val="20"/>
          <w:vertAlign w:val="superscript"/>
          <w:lang w:val="en-GB" w:eastAsia="en-GB"/>
          <w14:ligatures w14:val="none"/>
        </w:rPr>
        <w:t>[1]</w:t>
      </w:r>
    </w:p>
    <w:p w14:paraId="25DA9DD2" w14:textId="244A9652" w:rsidR="00E71481" w:rsidRPr="00921A86" w:rsidRDefault="00E71481" w:rsidP="00EE5681">
      <w:pPr>
        <w:spacing w:before="100" w:beforeAutospacing="1" w:after="100" w:afterAutospacing="1" w:line="360" w:lineRule="auto"/>
        <w:rPr>
          <w:rFonts w:ascii="Arial" w:eastAsia="Times New Roman" w:hAnsi="Arial" w:cs="Arial"/>
          <w:color w:val="000000"/>
          <w:kern w:val="0"/>
          <w:sz w:val="20"/>
          <w:szCs w:val="20"/>
          <w:lang w:val="en-GB" w:eastAsia="en-GB"/>
          <w14:ligatures w14:val="none"/>
        </w:rPr>
      </w:pPr>
      <w:r w:rsidRPr="00921A86">
        <w:rPr>
          <w:rFonts w:ascii="Arial" w:eastAsia="Times New Roman" w:hAnsi="Arial" w:cs="Arial"/>
          <w:color w:val="000000"/>
          <w:kern w:val="0"/>
          <w:sz w:val="20"/>
          <w:szCs w:val="20"/>
          <w:lang w:val="en-GB" w:eastAsia="en-GB"/>
          <w14:ligatures w14:val="none"/>
        </w:rPr>
        <w:t xml:space="preserve">What sets this case apart is the atypical ocular presentation of retinitis pigmentosa sine </w:t>
      </w:r>
      <w:proofErr w:type="spellStart"/>
      <w:r w:rsidRPr="00921A86">
        <w:rPr>
          <w:rFonts w:ascii="Arial" w:eastAsia="Times New Roman" w:hAnsi="Arial" w:cs="Arial"/>
          <w:color w:val="000000"/>
          <w:kern w:val="0"/>
          <w:sz w:val="20"/>
          <w:szCs w:val="20"/>
          <w:lang w:val="en-GB" w:eastAsia="en-GB"/>
          <w14:ligatures w14:val="none"/>
        </w:rPr>
        <w:t>pigmento</w:t>
      </w:r>
      <w:proofErr w:type="spellEnd"/>
      <w:r w:rsidRPr="00921A86">
        <w:rPr>
          <w:rFonts w:ascii="Arial" w:eastAsia="Times New Roman" w:hAnsi="Arial" w:cs="Arial"/>
          <w:color w:val="000000"/>
          <w:kern w:val="0"/>
          <w:sz w:val="20"/>
          <w:szCs w:val="20"/>
          <w:lang w:val="en-GB" w:eastAsia="en-GB"/>
          <w14:ligatures w14:val="none"/>
        </w:rPr>
        <w:t>. Despite a history of photophobia and clinical signs such as optic disc pallor and arteriolar narrowing, there was an absence of classic bone spicule pigmentation. Early retinal degeneration in BBS may precede pigment migration from retinal pigment epithelial cells, explaining this phenotype</w:t>
      </w:r>
      <w:r w:rsidR="00EE5681" w:rsidRPr="00921A86">
        <w:rPr>
          <w:rFonts w:ascii="Arial" w:eastAsia="Times New Roman" w:hAnsi="Arial" w:cs="Arial"/>
          <w:color w:val="000000"/>
          <w:kern w:val="0"/>
          <w:sz w:val="20"/>
          <w:szCs w:val="20"/>
          <w:lang w:val="en-GB" w:eastAsia="en-GB"/>
          <w14:ligatures w14:val="none"/>
        </w:rPr>
        <w:t>.</w:t>
      </w:r>
      <w:r w:rsidRPr="00921A86">
        <w:rPr>
          <w:rFonts w:ascii="Arial" w:eastAsia="Times New Roman" w:hAnsi="Arial" w:cs="Arial"/>
          <w:color w:val="000000"/>
          <w:kern w:val="0"/>
          <w:sz w:val="20"/>
          <w:szCs w:val="20"/>
          <w:lang w:val="en-GB" w:eastAsia="en-GB"/>
          <w14:ligatures w14:val="none"/>
        </w:rPr>
        <w:t> </w:t>
      </w:r>
      <w:r w:rsidRPr="00921A86">
        <w:rPr>
          <w:rFonts w:ascii="Arial" w:eastAsia="Times New Roman" w:hAnsi="Arial" w:cs="Arial"/>
          <w:color w:val="000000"/>
          <w:kern w:val="0"/>
          <w:sz w:val="20"/>
          <w:szCs w:val="20"/>
          <w:vertAlign w:val="superscript"/>
          <w:lang w:val="en-GB" w:eastAsia="en-GB"/>
          <w14:ligatures w14:val="none"/>
        </w:rPr>
        <w:t>[5,7]</w:t>
      </w:r>
      <w:r w:rsidR="00EE5681" w:rsidRPr="00921A86">
        <w:rPr>
          <w:rFonts w:ascii="Arial" w:eastAsia="Times New Roman" w:hAnsi="Arial" w:cs="Arial"/>
          <w:color w:val="000000"/>
          <w:kern w:val="0"/>
          <w:sz w:val="20"/>
          <w:szCs w:val="20"/>
          <w:lang w:val="en-GB" w:eastAsia="en-GB"/>
          <w14:ligatures w14:val="none"/>
        </w:rPr>
        <w:t xml:space="preserve"> </w:t>
      </w:r>
      <w:r w:rsidRPr="00921A86">
        <w:rPr>
          <w:rFonts w:ascii="Arial" w:eastAsia="Times New Roman" w:hAnsi="Arial" w:cs="Arial"/>
          <w:color w:val="000000"/>
          <w:kern w:val="0"/>
          <w:sz w:val="20"/>
          <w:szCs w:val="20"/>
          <w:lang w:val="en-GB" w:eastAsia="en-GB"/>
          <w14:ligatures w14:val="none"/>
        </w:rPr>
        <w:t xml:space="preserve">ERG, the preferred modality to assess rod-cone function, was not performed due to cognitive limitations, </w:t>
      </w:r>
      <w:r w:rsidRPr="00921A86">
        <w:rPr>
          <w:rFonts w:ascii="Arial" w:eastAsia="Times New Roman" w:hAnsi="Arial" w:cs="Arial"/>
          <w:color w:val="000000"/>
          <w:kern w:val="0"/>
          <w:sz w:val="20"/>
          <w:szCs w:val="20"/>
          <w:lang w:val="en-GB" w:eastAsia="en-GB"/>
          <w14:ligatures w14:val="none"/>
        </w:rPr>
        <w:lastRenderedPageBreak/>
        <w:t>and genetic testing was deferred due to financial constraints—common barriers in resource-limited healthcare settings. Nevertheless, clinical findings were sufficient to support the diagnosis.</w:t>
      </w:r>
    </w:p>
    <w:p w14:paraId="4EE53583" w14:textId="284C1A12" w:rsidR="00E71481" w:rsidRPr="00921A86" w:rsidRDefault="00E71481" w:rsidP="00EE5681">
      <w:pPr>
        <w:spacing w:before="100" w:beforeAutospacing="1" w:after="100" w:afterAutospacing="1" w:line="360" w:lineRule="auto"/>
        <w:rPr>
          <w:rFonts w:ascii="Arial" w:eastAsia="Times New Roman" w:hAnsi="Arial" w:cs="Arial"/>
          <w:color w:val="000000"/>
          <w:kern w:val="0"/>
          <w:sz w:val="20"/>
          <w:szCs w:val="20"/>
          <w:lang w:val="en-GB" w:eastAsia="en-GB"/>
          <w14:ligatures w14:val="none"/>
        </w:rPr>
      </w:pPr>
      <w:r w:rsidRPr="00921A86">
        <w:rPr>
          <w:rFonts w:ascii="Arial" w:eastAsia="Times New Roman" w:hAnsi="Arial" w:cs="Arial"/>
          <w:color w:val="000000"/>
          <w:kern w:val="0"/>
          <w:sz w:val="20"/>
          <w:szCs w:val="20"/>
          <w:lang w:val="en-GB" w:eastAsia="en-GB"/>
          <w14:ligatures w14:val="none"/>
        </w:rPr>
        <w:t>Retinal degeneration in BBS typically follows a rod-cone pattern, with progressive night blindness, peripheral field loss, and later central vision decline. Though visual prognosis is poor in most cases, our patient retained good visual acuity (6/9 OU), reinforcing the known inter-individual variability in disease progression</w:t>
      </w:r>
      <w:r w:rsidR="00EE5681" w:rsidRPr="00921A86">
        <w:rPr>
          <w:rFonts w:ascii="Arial" w:eastAsia="Times New Roman" w:hAnsi="Arial" w:cs="Arial"/>
          <w:color w:val="000000"/>
          <w:kern w:val="0"/>
          <w:sz w:val="20"/>
          <w:szCs w:val="20"/>
          <w:lang w:val="en-GB" w:eastAsia="en-GB"/>
          <w14:ligatures w14:val="none"/>
        </w:rPr>
        <w:t>.</w:t>
      </w:r>
      <w:r w:rsidRPr="00921A86">
        <w:rPr>
          <w:rFonts w:ascii="Arial" w:eastAsia="Times New Roman" w:hAnsi="Arial" w:cs="Arial"/>
          <w:color w:val="000000"/>
          <w:kern w:val="0"/>
          <w:sz w:val="20"/>
          <w:szCs w:val="20"/>
          <w:lang w:val="en-GB" w:eastAsia="en-GB"/>
          <w14:ligatures w14:val="none"/>
        </w:rPr>
        <w:t> </w:t>
      </w:r>
      <w:r w:rsidRPr="00921A86">
        <w:rPr>
          <w:rFonts w:ascii="Arial" w:eastAsia="Times New Roman" w:hAnsi="Arial" w:cs="Arial"/>
          <w:color w:val="000000"/>
          <w:kern w:val="0"/>
          <w:sz w:val="20"/>
          <w:szCs w:val="20"/>
          <w:vertAlign w:val="superscript"/>
          <w:lang w:val="en-GB" w:eastAsia="en-GB"/>
          <w14:ligatures w14:val="none"/>
        </w:rPr>
        <w:t>[5,6,8]</w:t>
      </w:r>
    </w:p>
    <w:p w14:paraId="4A42D395" w14:textId="789635D0" w:rsidR="00E71481" w:rsidRPr="00921A86" w:rsidRDefault="00E71481" w:rsidP="00EE5681">
      <w:pPr>
        <w:spacing w:before="100" w:beforeAutospacing="1" w:after="100" w:afterAutospacing="1" w:line="360" w:lineRule="auto"/>
        <w:rPr>
          <w:rFonts w:ascii="Arial" w:eastAsia="Times New Roman" w:hAnsi="Arial" w:cs="Arial"/>
          <w:color w:val="000000"/>
          <w:kern w:val="0"/>
          <w:sz w:val="20"/>
          <w:szCs w:val="20"/>
          <w:lang w:val="en-GB" w:eastAsia="en-GB"/>
          <w14:ligatures w14:val="none"/>
        </w:rPr>
      </w:pPr>
      <w:r w:rsidRPr="00921A86">
        <w:rPr>
          <w:rFonts w:ascii="Arial" w:eastAsia="Times New Roman" w:hAnsi="Arial" w:cs="Arial"/>
          <w:color w:val="000000"/>
          <w:kern w:val="0"/>
          <w:sz w:val="20"/>
          <w:szCs w:val="20"/>
          <w:lang w:val="en-GB" w:eastAsia="en-GB"/>
          <w14:ligatures w14:val="none"/>
        </w:rPr>
        <w:t xml:space="preserve">The presence of dental abnormalities and genital anomalies in this case highlights the importance of a multidisciplinary approach, involving ophthalmology, </w:t>
      </w:r>
      <w:proofErr w:type="spellStart"/>
      <w:r w:rsidRPr="00921A86">
        <w:rPr>
          <w:rFonts w:ascii="Arial" w:eastAsia="Times New Roman" w:hAnsi="Arial" w:cs="Arial"/>
          <w:color w:val="000000"/>
          <w:kern w:val="0"/>
          <w:sz w:val="20"/>
          <w:szCs w:val="20"/>
          <w:lang w:val="en-GB" w:eastAsia="en-GB"/>
          <w14:ligatures w14:val="none"/>
        </w:rPr>
        <w:t>pediatrics</w:t>
      </w:r>
      <w:proofErr w:type="spellEnd"/>
      <w:r w:rsidRPr="00921A86">
        <w:rPr>
          <w:rFonts w:ascii="Arial" w:eastAsia="Times New Roman" w:hAnsi="Arial" w:cs="Arial"/>
          <w:color w:val="000000"/>
          <w:kern w:val="0"/>
          <w:sz w:val="20"/>
          <w:szCs w:val="20"/>
          <w:lang w:val="en-GB" w:eastAsia="en-GB"/>
          <w14:ligatures w14:val="none"/>
        </w:rPr>
        <w:t>, nephrology, endocrinology, and clinical genetics. Additionally, our patient’s three unaffected siblings, in the absence of consanguinity, support the classical autosomal recessive inheritance pattern of BBS</w:t>
      </w:r>
      <w:r w:rsidR="00EE5681" w:rsidRPr="00921A86">
        <w:rPr>
          <w:rFonts w:ascii="Arial" w:eastAsia="Times New Roman" w:hAnsi="Arial" w:cs="Arial"/>
          <w:color w:val="000000"/>
          <w:kern w:val="0"/>
          <w:sz w:val="20"/>
          <w:szCs w:val="20"/>
          <w:lang w:val="en-GB" w:eastAsia="en-GB"/>
          <w14:ligatures w14:val="none"/>
        </w:rPr>
        <w:t>.</w:t>
      </w:r>
      <w:r w:rsidRPr="00921A86">
        <w:rPr>
          <w:rFonts w:ascii="Arial" w:eastAsia="Times New Roman" w:hAnsi="Arial" w:cs="Arial"/>
          <w:color w:val="000000"/>
          <w:kern w:val="0"/>
          <w:sz w:val="20"/>
          <w:szCs w:val="20"/>
          <w:lang w:val="en-GB" w:eastAsia="en-GB"/>
          <w14:ligatures w14:val="none"/>
        </w:rPr>
        <w:t> </w:t>
      </w:r>
      <w:r w:rsidRPr="00921A86">
        <w:rPr>
          <w:rFonts w:ascii="Arial" w:eastAsia="Times New Roman" w:hAnsi="Arial" w:cs="Arial"/>
          <w:color w:val="000000"/>
          <w:kern w:val="0"/>
          <w:sz w:val="20"/>
          <w:szCs w:val="20"/>
          <w:vertAlign w:val="superscript"/>
          <w:lang w:val="en-GB" w:eastAsia="en-GB"/>
          <w14:ligatures w14:val="none"/>
        </w:rPr>
        <w:t>[2]</w:t>
      </w:r>
      <w:r w:rsidRPr="00921A86">
        <w:rPr>
          <w:rFonts w:ascii="Arial" w:eastAsia="Times New Roman" w:hAnsi="Arial" w:cs="Arial"/>
          <w:color w:val="000000"/>
          <w:kern w:val="0"/>
          <w:sz w:val="20"/>
          <w:szCs w:val="20"/>
          <w:lang w:val="en-GB" w:eastAsia="en-GB"/>
          <w14:ligatures w14:val="none"/>
        </w:rPr>
        <w:t xml:space="preserve"> A thorough family and developmental history proved crucial in the clinical evaluation.</w:t>
      </w:r>
    </w:p>
    <w:p w14:paraId="00BBD1AD" w14:textId="21CE59EE" w:rsidR="00E71481" w:rsidRPr="00921A86" w:rsidRDefault="00E71481" w:rsidP="00EE5681">
      <w:pPr>
        <w:spacing w:before="100" w:beforeAutospacing="1" w:after="100" w:afterAutospacing="1" w:line="360" w:lineRule="auto"/>
        <w:rPr>
          <w:rFonts w:ascii="Arial" w:eastAsia="Times New Roman" w:hAnsi="Arial" w:cs="Arial"/>
          <w:color w:val="000000"/>
          <w:kern w:val="0"/>
          <w:sz w:val="20"/>
          <w:szCs w:val="20"/>
          <w:lang w:val="en-GB" w:eastAsia="en-GB"/>
          <w14:ligatures w14:val="none"/>
        </w:rPr>
      </w:pPr>
      <w:r w:rsidRPr="00921A86">
        <w:rPr>
          <w:rFonts w:ascii="Arial" w:eastAsia="Times New Roman" w:hAnsi="Arial" w:cs="Arial"/>
          <w:color w:val="000000"/>
          <w:kern w:val="0"/>
          <w:sz w:val="20"/>
          <w:szCs w:val="20"/>
          <w:lang w:val="en-GB" w:eastAsia="en-GB"/>
          <w14:ligatures w14:val="none"/>
        </w:rPr>
        <w:t>This case contributes to the limited BBS literature from India, where the condition remains underdiagnosed, particularly in rural or consanguineous populations</w:t>
      </w:r>
      <w:r w:rsidR="00EE5681" w:rsidRPr="00921A86">
        <w:rPr>
          <w:rFonts w:ascii="Arial" w:eastAsia="Times New Roman" w:hAnsi="Arial" w:cs="Arial"/>
          <w:color w:val="000000"/>
          <w:kern w:val="0"/>
          <w:sz w:val="20"/>
          <w:szCs w:val="20"/>
          <w:lang w:val="en-GB" w:eastAsia="en-GB"/>
          <w14:ligatures w14:val="none"/>
        </w:rPr>
        <w:t>.</w:t>
      </w:r>
      <w:r w:rsidRPr="00921A86">
        <w:rPr>
          <w:rFonts w:ascii="Arial" w:eastAsia="Times New Roman" w:hAnsi="Arial" w:cs="Arial"/>
          <w:color w:val="000000"/>
          <w:kern w:val="0"/>
          <w:sz w:val="20"/>
          <w:szCs w:val="20"/>
          <w:lang w:val="en-GB" w:eastAsia="en-GB"/>
          <w14:ligatures w14:val="none"/>
        </w:rPr>
        <w:t> </w:t>
      </w:r>
      <w:r w:rsidRPr="00921A86">
        <w:rPr>
          <w:rFonts w:ascii="Arial" w:eastAsia="Times New Roman" w:hAnsi="Arial" w:cs="Arial"/>
          <w:color w:val="000000"/>
          <w:kern w:val="0"/>
          <w:sz w:val="20"/>
          <w:szCs w:val="20"/>
          <w:vertAlign w:val="superscript"/>
          <w:lang w:val="en-GB" w:eastAsia="en-GB"/>
          <w14:ligatures w14:val="none"/>
        </w:rPr>
        <w:t xml:space="preserve">[5] </w:t>
      </w:r>
      <w:r w:rsidRPr="00921A86">
        <w:rPr>
          <w:rFonts w:ascii="Arial" w:eastAsia="Times New Roman" w:hAnsi="Arial" w:cs="Arial"/>
          <w:color w:val="000000"/>
          <w:kern w:val="0"/>
          <w:sz w:val="20"/>
          <w:szCs w:val="20"/>
          <w:lang w:val="en-GB" w:eastAsia="en-GB"/>
          <w14:ligatures w14:val="none"/>
        </w:rPr>
        <w:t xml:space="preserve">Documenting such atypical cases—especially those presenting with RP sine </w:t>
      </w:r>
      <w:proofErr w:type="spellStart"/>
      <w:r w:rsidRPr="00921A86">
        <w:rPr>
          <w:rFonts w:ascii="Arial" w:eastAsia="Times New Roman" w:hAnsi="Arial" w:cs="Arial"/>
          <w:color w:val="000000"/>
          <w:kern w:val="0"/>
          <w:sz w:val="20"/>
          <w:szCs w:val="20"/>
          <w:lang w:val="en-GB" w:eastAsia="en-GB"/>
          <w14:ligatures w14:val="none"/>
        </w:rPr>
        <w:t>pigmento</w:t>
      </w:r>
      <w:proofErr w:type="spellEnd"/>
      <w:r w:rsidRPr="00921A86">
        <w:rPr>
          <w:rFonts w:ascii="Arial" w:eastAsia="Times New Roman" w:hAnsi="Arial" w:cs="Arial"/>
          <w:color w:val="000000"/>
          <w:kern w:val="0"/>
          <w:sz w:val="20"/>
          <w:szCs w:val="20"/>
          <w:lang w:val="en-GB" w:eastAsia="en-GB"/>
          <w14:ligatures w14:val="none"/>
        </w:rPr>
        <w:t xml:space="preserve">—can help clinicians recognize non-classical presentations early, initiate systemic monitoring, and offer timely genetic </w:t>
      </w:r>
      <w:r w:rsidR="00EE5681" w:rsidRPr="00921A86">
        <w:rPr>
          <w:rFonts w:ascii="Arial" w:eastAsia="Times New Roman" w:hAnsi="Arial" w:cs="Arial"/>
          <w:color w:val="000000"/>
          <w:kern w:val="0"/>
          <w:sz w:val="20"/>
          <w:szCs w:val="20"/>
          <w:lang w:val="en-GB" w:eastAsia="en-GB"/>
          <w14:ligatures w14:val="none"/>
        </w:rPr>
        <w:t>counselling.</w:t>
      </w:r>
      <w:r w:rsidRPr="00921A86">
        <w:rPr>
          <w:rFonts w:ascii="Arial" w:eastAsia="Times New Roman" w:hAnsi="Arial" w:cs="Arial"/>
          <w:color w:val="000000"/>
          <w:kern w:val="0"/>
          <w:sz w:val="20"/>
          <w:szCs w:val="20"/>
          <w:lang w:val="en-GB" w:eastAsia="en-GB"/>
          <w14:ligatures w14:val="none"/>
        </w:rPr>
        <w:t> </w:t>
      </w:r>
      <w:r w:rsidRPr="00921A86">
        <w:rPr>
          <w:rFonts w:ascii="Arial" w:eastAsia="Times New Roman" w:hAnsi="Arial" w:cs="Arial"/>
          <w:color w:val="000000"/>
          <w:kern w:val="0"/>
          <w:sz w:val="20"/>
          <w:szCs w:val="20"/>
          <w:vertAlign w:val="superscript"/>
          <w:lang w:val="en-GB" w:eastAsia="en-GB"/>
          <w14:ligatures w14:val="none"/>
        </w:rPr>
        <w:t>[9]</w:t>
      </w:r>
    </w:p>
    <w:p w14:paraId="7FC11608" w14:textId="76CC24A8" w:rsidR="00E71481" w:rsidRPr="00921A86" w:rsidRDefault="00921A86" w:rsidP="00EE5681">
      <w:pPr>
        <w:spacing w:before="100" w:beforeAutospacing="1" w:after="100" w:afterAutospacing="1" w:line="360" w:lineRule="auto"/>
        <w:outlineLvl w:val="2"/>
        <w:rPr>
          <w:rFonts w:ascii="Arial" w:eastAsia="Times New Roman" w:hAnsi="Arial" w:cs="Arial"/>
          <w:b/>
          <w:bCs/>
          <w:kern w:val="0"/>
          <w:sz w:val="22"/>
          <w:szCs w:val="22"/>
          <w:lang w:val="en-GB" w:eastAsia="en-GB"/>
          <w14:ligatures w14:val="none"/>
        </w:rPr>
      </w:pPr>
      <w:r w:rsidRPr="00921A86">
        <w:rPr>
          <w:rFonts w:ascii="Arial" w:eastAsia="Times New Roman" w:hAnsi="Arial" w:cs="Arial"/>
          <w:b/>
          <w:bCs/>
          <w:kern w:val="0"/>
          <w:sz w:val="22"/>
          <w:szCs w:val="22"/>
          <w:lang w:val="en-GB" w:eastAsia="en-GB"/>
          <w14:ligatures w14:val="none"/>
        </w:rPr>
        <w:t>CONCLUSION</w:t>
      </w:r>
    </w:p>
    <w:p w14:paraId="210E04FF" w14:textId="78F9BE4D" w:rsidR="00E71481" w:rsidRPr="00921A86" w:rsidRDefault="00E71481" w:rsidP="00EE5681">
      <w:pPr>
        <w:spacing w:before="100" w:beforeAutospacing="1" w:after="100" w:afterAutospacing="1" w:line="360" w:lineRule="auto"/>
        <w:outlineLvl w:val="2"/>
        <w:rPr>
          <w:rFonts w:ascii="Arial" w:hAnsi="Arial" w:cs="Arial"/>
          <w:color w:val="000000"/>
          <w:sz w:val="20"/>
          <w:szCs w:val="20"/>
          <w:lang w:val="en-GB"/>
        </w:rPr>
      </w:pPr>
      <w:r w:rsidRPr="00921A86">
        <w:rPr>
          <w:rFonts w:ascii="Arial" w:hAnsi="Arial" w:cs="Arial"/>
          <w:color w:val="000000"/>
          <w:sz w:val="20"/>
          <w:szCs w:val="20"/>
          <w:lang w:val="en-GB"/>
        </w:rPr>
        <w:t xml:space="preserve">Bardet-Biedl Syndrome is a multisystemic ciliopathy that often goes unrecognized due to its phenotypic variability and overlap with other genetic syndromes. This case highlights the importance of considering BBS in children presenting with early retinal dystrophy—especially RP sine </w:t>
      </w:r>
      <w:proofErr w:type="spellStart"/>
      <w:r w:rsidRPr="00921A86">
        <w:rPr>
          <w:rFonts w:ascii="Arial" w:hAnsi="Arial" w:cs="Arial"/>
          <w:color w:val="000000"/>
          <w:sz w:val="20"/>
          <w:szCs w:val="20"/>
          <w:lang w:val="en-GB"/>
        </w:rPr>
        <w:t>pigmento</w:t>
      </w:r>
      <w:proofErr w:type="spellEnd"/>
      <w:r w:rsidRPr="00921A86">
        <w:rPr>
          <w:rFonts w:ascii="Arial" w:hAnsi="Arial" w:cs="Arial"/>
          <w:color w:val="000000"/>
          <w:sz w:val="20"/>
          <w:szCs w:val="20"/>
          <w:lang w:val="en-GB"/>
        </w:rPr>
        <w:t xml:space="preserve">—alongside systemic features such as obesity, polydactyly, dental anomalies, and genital hypoplasia. Timely diagnosis is essential for initiating appropriate visual rehabilitation, systemic monitoring, and genetic </w:t>
      </w:r>
      <w:r w:rsidR="000B6347" w:rsidRPr="00921A86">
        <w:rPr>
          <w:rFonts w:ascii="Arial" w:hAnsi="Arial" w:cs="Arial"/>
          <w:color w:val="000000"/>
          <w:sz w:val="20"/>
          <w:szCs w:val="20"/>
          <w:lang w:val="en-GB"/>
        </w:rPr>
        <w:t>counselling</w:t>
      </w:r>
      <w:r w:rsidRPr="00921A86">
        <w:rPr>
          <w:rFonts w:ascii="Arial" w:hAnsi="Arial" w:cs="Arial"/>
          <w:color w:val="000000"/>
          <w:sz w:val="20"/>
          <w:szCs w:val="20"/>
          <w:lang w:val="en-GB"/>
        </w:rPr>
        <w:t>. In resource-limited settings where advanced diagnostics like genetic testing or ERG may not be feasible, clinical acumen and a multidisciplinary approach remain the cornerstone of effective diagnosis and management. Early recognition and awareness of atypical presentations can help improve long-term outcomes and reduce morbidity in patients with BBS.</w:t>
      </w:r>
    </w:p>
    <w:p w14:paraId="3B4C94CA" w14:textId="77777777" w:rsidR="00EF5532" w:rsidRPr="001F6539" w:rsidRDefault="00EF5532" w:rsidP="00EE5681">
      <w:pPr>
        <w:pStyle w:val="ReferHead"/>
        <w:spacing w:after="0" w:line="360" w:lineRule="auto"/>
        <w:jc w:val="both"/>
        <w:rPr>
          <w:rFonts w:ascii="Arial" w:hAnsi="Arial" w:cs="Arial"/>
          <w:bCs/>
          <w:sz w:val="20"/>
          <w:lang w:val="en-GB"/>
        </w:rPr>
      </w:pPr>
      <w:bookmarkStart w:id="1" w:name="_GoBack"/>
      <w:bookmarkEnd w:id="1"/>
    </w:p>
    <w:p w14:paraId="03F4CE05" w14:textId="77777777" w:rsidR="00EF5532" w:rsidRPr="001F6539" w:rsidRDefault="00EF5532" w:rsidP="00EE5681">
      <w:pPr>
        <w:pStyle w:val="ReferHead"/>
        <w:spacing w:after="0" w:line="360" w:lineRule="auto"/>
        <w:jc w:val="both"/>
        <w:rPr>
          <w:rFonts w:ascii="Arial" w:hAnsi="Arial" w:cs="Arial"/>
          <w:b w:val="0"/>
          <w:caps w:val="0"/>
          <w:sz w:val="20"/>
          <w:lang w:val="en-GB"/>
        </w:rPr>
      </w:pPr>
      <w:r w:rsidRPr="001F6539">
        <w:rPr>
          <w:rFonts w:ascii="Arial" w:hAnsi="Arial" w:cs="Arial"/>
          <w:bCs/>
          <w:sz w:val="20"/>
          <w:lang w:val="en-GB"/>
        </w:rPr>
        <w:t xml:space="preserve">Consent: </w:t>
      </w:r>
      <w:r w:rsidRPr="001F6539">
        <w:rPr>
          <w:rFonts w:ascii="Arial" w:hAnsi="Arial" w:cs="Arial"/>
          <w:b w:val="0"/>
          <w:caps w:val="0"/>
          <w:sz w:val="20"/>
          <w:lang w:val="en-GB"/>
        </w:rPr>
        <w:t>All authors declare that ‘written informed consent was obtained from the patient (or other approved parties) for publication of this case report and accompanying images.</w:t>
      </w:r>
    </w:p>
    <w:p w14:paraId="6143F2BA" w14:textId="77777777" w:rsidR="00F63B8B" w:rsidRPr="001F6539" w:rsidRDefault="00F63B8B" w:rsidP="00EE5681">
      <w:pPr>
        <w:pStyle w:val="ReferHead"/>
        <w:spacing w:after="0" w:line="360" w:lineRule="auto"/>
        <w:jc w:val="both"/>
        <w:rPr>
          <w:rFonts w:ascii="Arial" w:hAnsi="Arial" w:cs="Arial"/>
          <w:b w:val="0"/>
          <w:caps w:val="0"/>
          <w:sz w:val="20"/>
          <w:lang w:val="en-GB"/>
        </w:rPr>
      </w:pPr>
    </w:p>
    <w:p w14:paraId="1ABCC0AE" w14:textId="47BB49E8" w:rsidR="00F63B8B" w:rsidRPr="001F6539" w:rsidRDefault="00F63B8B" w:rsidP="00EE5681">
      <w:pPr>
        <w:pStyle w:val="ReferHead"/>
        <w:spacing w:after="0" w:line="360" w:lineRule="auto"/>
        <w:jc w:val="both"/>
        <w:rPr>
          <w:rFonts w:ascii="Arial" w:hAnsi="Arial" w:cs="Arial"/>
          <w:b w:val="0"/>
          <w:caps w:val="0"/>
          <w:sz w:val="20"/>
          <w:lang w:val="en-GB"/>
        </w:rPr>
      </w:pPr>
      <w:r w:rsidRPr="001F6539">
        <w:rPr>
          <w:rFonts w:ascii="Arial" w:hAnsi="Arial" w:cs="Arial"/>
          <w:b w:val="0"/>
          <w:caps w:val="0"/>
          <w:sz w:val="20"/>
          <w:lang w:val="en-GB"/>
        </w:rPr>
        <w:t>ETHICAL APPROVAL: As   per   international   standard   or   university standard   written   ethical   approval   has   been collected and preserved by the author(s).</w:t>
      </w:r>
    </w:p>
    <w:p w14:paraId="619057FA" w14:textId="77777777" w:rsidR="00EF5532" w:rsidRPr="001F6539" w:rsidRDefault="00EF5532" w:rsidP="00EE5681">
      <w:pPr>
        <w:pStyle w:val="ReferHead"/>
        <w:spacing w:after="0" w:line="360" w:lineRule="auto"/>
        <w:jc w:val="both"/>
        <w:rPr>
          <w:rFonts w:ascii="Arial" w:hAnsi="Arial" w:cs="Arial"/>
          <w:b w:val="0"/>
          <w:caps w:val="0"/>
          <w:sz w:val="20"/>
          <w:lang w:val="en-GB"/>
        </w:rPr>
      </w:pPr>
    </w:p>
    <w:p w14:paraId="722DE12A" w14:textId="77777777" w:rsidR="00D078A1" w:rsidRPr="00D078A1" w:rsidRDefault="00D078A1" w:rsidP="00D078A1">
      <w:pPr>
        <w:spacing w:after="200" w:line="276" w:lineRule="auto"/>
        <w:jc w:val="both"/>
        <w:outlineLvl w:val="0"/>
        <w:rPr>
          <w:rFonts w:ascii="Arial" w:eastAsia="Times New Roman" w:hAnsi="Arial" w:cs="Arial"/>
          <w:kern w:val="0"/>
          <w:sz w:val="22"/>
          <w:szCs w:val="22"/>
          <w:lang w:val="en-GB" w:eastAsia="en-GB"/>
          <w14:ligatures w14:val="none"/>
        </w:rPr>
      </w:pPr>
      <w:r w:rsidRPr="00D078A1">
        <w:rPr>
          <w:rFonts w:ascii="Arial" w:eastAsia="Times New Roman" w:hAnsi="Arial" w:cs="Arial"/>
          <w:b/>
          <w:bCs/>
          <w:kern w:val="0"/>
          <w:sz w:val="22"/>
          <w:szCs w:val="22"/>
          <w:lang w:val="en-GB" w:eastAsia="en-GB"/>
          <w14:ligatures w14:val="none"/>
        </w:rPr>
        <w:t>COMPETING INTERESTS DISCLAIMER:</w:t>
      </w:r>
    </w:p>
    <w:p w14:paraId="6523F44D" w14:textId="77777777" w:rsidR="00D078A1" w:rsidRPr="00D078A1" w:rsidRDefault="00D078A1" w:rsidP="00D078A1">
      <w:pPr>
        <w:spacing w:after="200" w:line="276" w:lineRule="auto"/>
        <w:rPr>
          <w:rFonts w:ascii="Calibri" w:eastAsia="Times New Roman" w:hAnsi="Calibri" w:cs="Times New Roman"/>
          <w:kern w:val="0"/>
          <w:sz w:val="22"/>
          <w:szCs w:val="22"/>
          <w:lang w:val="en-GB" w:eastAsia="en-GB"/>
          <w14:ligatures w14:val="none"/>
        </w:rPr>
      </w:pPr>
      <w:r w:rsidRPr="00D078A1">
        <w:rPr>
          <w:rFonts w:ascii="Calibri" w:eastAsia="Times New Roman" w:hAnsi="Calibri" w:cs="Times New Roman"/>
          <w:kern w:val="0"/>
          <w:sz w:val="22"/>
          <w:szCs w:val="22"/>
          <w:lang w:val="en-GB" w:eastAsia="en-GB"/>
          <w14:ligatures w14:val="none"/>
        </w:rPr>
        <w:lastRenderedPageBreak/>
        <w:t>Authors have declared that they have no known competing financial interests OR non-financial interests OR personal relationships that could have appeared to influence the work reported in this paper.</w:t>
      </w:r>
    </w:p>
    <w:p w14:paraId="73AEF41D" w14:textId="77777777" w:rsidR="00EF5532" w:rsidRPr="001F6539" w:rsidRDefault="00EF5532" w:rsidP="00EE5681">
      <w:pPr>
        <w:spacing w:before="100" w:beforeAutospacing="1" w:after="100" w:afterAutospacing="1" w:line="360" w:lineRule="auto"/>
        <w:outlineLvl w:val="2"/>
        <w:rPr>
          <w:rFonts w:ascii="Arial" w:eastAsia="Times New Roman" w:hAnsi="Arial" w:cs="Arial"/>
          <w:kern w:val="0"/>
          <w:sz w:val="20"/>
          <w:szCs w:val="20"/>
          <w:lang w:val="en-GB" w:eastAsia="en-GB"/>
          <w14:ligatures w14:val="none"/>
        </w:rPr>
      </w:pPr>
    </w:p>
    <w:p w14:paraId="54163225" w14:textId="77777777" w:rsidR="00E71481" w:rsidRPr="001F6539" w:rsidRDefault="00E71481" w:rsidP="00EE5681">
      <w:pPr>
        <w:spacing w:before="100" w:beforeAutospacing="1" w:after="100" w:afterAutospacing="1" w:line="360" w:lineRule="auto"/>
        <w:outlineLvl w:val="2"/>
        <w:rPr>
          <w:rFonts w:ascii="Arial" w:eastAsia="Times New Roman" w:hAnsi="Arial" w:cs="Arial"/>
          <w:kern w:val="0"/>
          <w:sz w:val="20"/>
          <w:szCs w:val="20"/>
          <w:lang w:val="en-GB" w:eastAsia="en-GB"/>
          <w14:ligatures w14:val="none"/>
        </w:rPr>
      </w:pPr>
    </w:p>
    <w:p w14:paraId="5E77A867" w14:textId="0FEFEDF4" w:rsidR="00E71481" w:rsidRPr="001F6539" w:rsidRDefault="00E71481" w:rsidP="00EE5681">
      <w:pPr>
        <w:spacing w:before="100" w:beforeAutospacing="1" w:after="100" w:afterAutospacing="1" w:line="360" w:lineRule="auto"/>
        <w:outlineLvl w:val="2"/>
        <w:rPr>
          <w:rFonts w:ascii="Arial" w:eastAsia="Times New Roman" w:hAnsi="Arial" w:cs="Arial"/>
          <w:b/>
          <w:bCs/>
          <w:color w:val="000000"/>
          <w:kern w:val="0"/>
          <w:sz w:val="20"/>
          <w:szCs w:val="20"/>
          <w:lang w:val="en-GB" w:eastAsia="en-GB"/>
          <w14:ligatures w14:val="none"/>
        </w:rPr>
      </w:pPr>
      <w:r w:rsidRPr="001F6539">
        <w:rPr>
          <w:rFonts w:ascii="Arial" w:eastAsia="Times New Roman" w:hAnsi="Arial" w:cs="Arial"/>
          <w:b/>
          <w:bCs/>
          <w:color w:val="000000"/>
          <w:kern w:val="0"/>
          <w:sz w:val="20"/>
          <w:szCs w:val="20"/>
          <w:lang w:val="en-GB" w:eastAsia="en-GB"/>
          <w14:ligatures w14:val="none"/>
        </w:rPr>
        <w:t>References</w:t>
      </w:r>
    </w:p>
    <w:p w14:paraId="2F8466FD" w14:textId="77777777" w:rsidR="00E71481" w:rsidRPr="001F6539" w:rsidRDefault="00E71481" w:rsidP="00EE5681">
      <w:pPr>
        <w:numPr>
          <w:ilvl w:val="0"/>
          <w:numId w:val="3"/>
        </w:numPr>
        <w:spacing w:before="100" w:beforeAutospacing="1" w:after="100" w:afterAutospacing="1" w:line="360" w:lineRule="auto"/>
        <w:rPr>
          <w:rFonts w:ascii="Arial" w:eastAsia="Times New Roman" w:hAnsi="Arial" w:cs="Arial"/>
          <w:color w:val="000000"/>
          <w:kern w:val="0"/>
          <w:sz w:val="20"/>
          <w:szCs w:val="20"/>
          <w:lang w:val="en-GB" w:eastAsia="en-GB"/>
          <w14:ligatures w14:val="none"/>
        </w:rPr>
      </w:pPr>
      <w:r w:rsidRPr="001F6539">
        <w:rPr>
          <w:rFonts w:ascii="Arial" w:eastAsia="Times New Roman" w:hAnsi="Arial" w:cs="Arial"/>
          <w:color w:val="000000"/>
          <w:kern w:val="0"/>
          <w:sz w:val="20"/>
          <w:szCs w:val="20"/>
          <w:lang w:val="en-GB" w:eastAsia="en-GB"/>
          <w14:ligatures w14:val="none"/>
        </w:rPr>
        <w:t>Forsythe E, Beales PL. Bardet–Biedl syndrome. </w:t>
      </w:r>
      <w:r w:rsidRPr="001F6539">
        <w:rPr>
          <w:rFonts w:ascii="Arial" w:eastAsia="Times New Roman" w:hAnsi="Arial" w:cs="Arial"/>
          <w:i/>
          <w:iCs/>
          <w:color w:val="000000"/>
          <w:kern w:val="0"/>
          <w:sz w:val="20"/>
          <w:szCs w:val="20"/>
          <w:lang w:val="en-GB" w:eastAsia="en-GB"/>
          <w14:ligatures w14:val="none"/>
        </w:rPr>
        <w:t>Eur J Hum Genet</w:t>
      </w:r>
      <w:r w:rsidRPr="001F6539">
        <w:rPr>
          <w:rFonts w:ascii="Arial" w:eastAsia="Times New Roman" w:hAnsi="Arial" w:cs="Arial"/>
          <w:color w:val="000000"/>
          <w:kern w:val="0"/>
          <w:sz w:val="20"/>
          <w:szCs w:val="20"/>
          <w:lang w:val="en-GB" w:eastAsia="en-GB"/>
          <w14:ligatures w14:val="none"/>
        </w:rPr>
        <w:t>. 2013 Jan;21(1):8–13. doi:10.1038/ejhg.2012.115.</w:t>
      </w:r>
    </w:p>
    <w:p w14:paraId="056FBD26" w14:textId="77777777" w:rsidR="00E71481" w:rsidRPr="001F6539" w:rsidRDefault="00E71481" w:rsidP="00EE5681">
      <w:pPr>
        <w:numPr>
          <w:ilvl w:val="0"/>
          <w:numId w:val="3"/>
        </w:numPr>
        <w:spacing w:before="100" w:beforeAutospacing="1" w:after="100" w:afterAutospacing="1" w:line="360" w:lineRule="auto"/>
        <w:rPr>
          <w:rFonts w:ascii="Arial" w:eastAsia="Times New Roman" w:hAnsi="Arial" w:cs="Arial"/>
          <w:color w:val="000000"/>
          <w:kern w:val="0"/>
          <w:sz w:val="20"/>
          <w:szCs w:val="20"/>
          <w:lang w:val="en-GB" w:eastAsia="en-GB"/>
          <w14:ligatures w14:val="none"/>
        </w:rPr>
      </w:pPr>
      <w:proofErr w:type="spellStart"/>
      <w:r w:rsidRPr="001F6539">
        <w:rPr>
          <w:rFonts w:ascii="Arial" w:eastAsia="Times New Roman" w:hAnsi="Arial" w:cs="Arial"/>
          <w:color w:val="000000"/>
          <w:kern w:val="0"/>
          <w:sz w:val="20"/>
          <w:szCs w:val="20"/>
          <w:lang w:val="en-GB" w:eastAsia="en-GB"/>
          <w14:ligatures w14:val="none"/>
        </w:rPr>
        <w:t>Badano</w:t>
      </w:r>
      <w:proofErr w:type="spellEnd"/>
      <w:r w:rsidRPr="001F6539">
        <w:rPr>
          <w:rFonts w:ascii="Arial" w:eastAsia="Times New Roman" w:hAnsi="Arial" w:cs="Arial"/>
          <w:color w:val="000000"/>
          <w:kern w:val="0"/>
          <w:sz w:val="20"/>
          <w:szCs w:val="20"/>
          <w:lang w:val="en-GB" w:eastAsia="en-GB"/>
          <w14:ligatures w14:val="none"/>
        </w:rPr>
        <w:t xml:space="preserve"> JL, </w:t>
      </w:r>
      <w:proofErr w:type="spellStart"/>
      <w:r w:rsidRPr="001F6539">
        <w:rPr>
          <w:rFonts w:ascii="Arial" w:eastAsia="Times New Roman" w:hAnsi="Arial" w:cs="Arial"/>
          <w:color w:val="000000"/>
          <w:kern w:val="0"/>
          <w:sz w:val="20"/>
          <w:szCs w:val="20"/>
          <w:lang w:val="en-GB" w:eastAsia="en-GB"/>
          <w14:ligatures w14:val="none"/>
        </w:rPr>
        <w:t>Katsanis</w:t>
      </w:r>
      <w:proofErr w:type="spellEnd"/>
      <w:r w:rsidRPr="001F6539">
        <w:rPr>
          <w:rFonts w:ascii="Arial" w:eastAsia="Times New Roman" w:hAnsi="Arial" w:cs="Arial"/>
          <w:color w:val="000000"/>
          <w:kern w:val="0"/>
          <w:sz w:val="20"/>
          <w:szCs w:val="20"/>
          <w:lang w:val="en-GB" w:eastAsia="en-GB"/>
          <w14:ligatures w14:val="none"/>
        </w:rPr>
        <w:t xml:space="preserve"> N. Beyond Mendel: an evolving view of human genetic disease transmission. </w:t>
      </w:r>
      <w:r w:rsidRPr="001F6539">
        <w:rPr>
          <w:rFonts w:ascii="Arial" w:eastAsia="Times New Roman" w:hAnsi="Arial" w:cs="Arial"/>
          <w:i/>
          <w:iCs/>
          <w:color w:val="000000"/>
          <w:kern w:val="0"/>
          <w:sz w:val="20"/>
          <w:szCs w:val="20"/>
          <w:lang w:val="en-GB" w:eastAsia="en-GB"/>
          <w14:ligatures w14:val="none"/>
        </w:rPr>
        <w:t>Nat Rev Genet</w:t>
      </w:r>
      <w:r w:rsidRPr="001F6539">
        <w:rPr>
          <w:rFonts w:ascii="Arial" w:eastAsia="Times New Roman" w:hAnsi="Arial" w:cs="Arial"/>
          <w:color w:val="000000"/>
          <w:kern w:val="0"/>
          <w:sz w:val="20"/>
          <w:szCs w:val="20"/>
          <w:lang w:val="en-GB" w:eastAsia="en-GB"/>
          <w14:ligatures w14:val="none"/>
        </w:rPr>
        <w:t>. 2002 Oct;3(10):779–89. doi:10.1038/nrg917.</w:t>
      </w:r>
    </w:p>
    <w:p w14:paraId="2AB807FD" w14:textId="77777777" w:rsidR="00E71481" w:rsidRPr="001F6539" w:rsidRDefault="00E71481" w:rsidP="00EE5681">
      <w:pPr>
        <w:numPr>
          <w:ilvl w:val="0"/>
          <w:numId w:val="3"/>
        </w:numPr>
        <w:spacing w:before="100" w:beforeAutospacing="1" w:after="100" w:afterAutospacing="1" w:line="360" w:lineRule="auto"/>
        <w:rPr>
          <w:rFonts w:ascii="Arial" w:eastAsia="Times New Roman" w:hAnsi="Arial" w:cs="Arial"/>
          <w:color w:val="000000"/>
          <w:kern w:val="0"/>
          <w:sz w:val="20"/>
          <w:szCs w:val="20"/>
          <w:lang w:val="en-GB" w:eastAsia="en-GB"/>
          <w14:ligatures w14:val="none"/>
        </w:rPr>
      </w:pPr>
      <w:r w:rsidRPr="001F6539">
        <w:rPr>
          <w:rFonts w:ascii="Arial" w:eastAsia="Times New Roman" w:hAnsi="Arial" w:cs="Arial"/>
          <w:color w:val="000000"/>
          <w:kern w:val="0"/>
          <w:sz w:val="20"/>
          <w:szCs w:val="20"/>
          <w:lang w:val="en-GB" w:eastAsia="en-GB"/>
          <w14:ligatures w14:val="none"/>
        </w:rPr>
        <w:t>Hattab FN, Rawashdeh MA, Yassin OM. Dental manifestations of Bardet-Biedl syndrome: report of a case and review of the literature. </w:t>
      </w:r>
      <w:r w:rsidRPr="001F6539">
        <w:rPr>
          <w:rFonts w:ascii="Arial" w:eastAsia="Times New Roman" w:hAnsi="Arial" w:cs="Arial"/>
          <w:i/>
          <w:iCs/>
          <w:color w:val="000000"/>
          <w:kern w:val="0"/>
          <w:sz w:val="20"/>
          <w:szCs w:val="20"/>
          <w:lang w:val="en-GB" w:eastAsia="en-GB"/>
          <w14:ligatures w14:val="none"/>
        </w:rPr>
        <w:t>J Clin Pediatr Dent</w:t>
      </w:r>
      <w:r w:rsidRPr="001F6539">
        <w:rPr>
          <w:rFonts w:ascii="Arial" w:eastAsia="Times New Roman" w:hAnsi="Arial" w:cs="Arial"/>
          <w:color w:val="000000"/>
          <w:kern w:val="0"/>
          <w:sz w:val="20"/>
          <w:szCs w:val="20"/>
          <w:lang w:val="en-GB" w:eastAsia="en-GB"/>
          <w14:ligatures w14:val="none"/>
        </w:rPr>
        <w:t>. 1998 Spring;22(3):225–9.</w:t>
      </w:r>
    </w:p>
    <w:p w14:paraId="71173CB0" w14:textId="77777777" w:rsidR="00E71481" w:rsidRPr="001F6539" w:rsidRDefault="00E71481" w:rsidP="00EE5681">
      <w:pPr>
        <w:numPr>
          <w:ilvl w:val="0"/>
          <w:numId w:val="3"/>
        </w:numPr>
        <w:spacing w:before="100" w:beforeAutospacing="1" w:after="100" w:afterAutospacing="1" w:line="360" w:lineRule="auto"/>
        <w:rPr>
          <w:rFonts w:ascii="Arial" w:eastAsia="Times New Roman" w:hAnsi="Arial" w:cs="Arial"/>
          <w:color w:val="000000"/>
          <w:kern w:val="0"/>
          <w:sz w:val="20"/>
          <w:szCs w:val="20"/>
          <w:lang w:val="en-GB" w:eastAsia="en-GB"/>
          <w14:ligatures w14:val="none"/>
        </w:rPr>
      </w:pPr>
      <w:r w:rsidRPr="001F6539">
        <w:rPr>
          <w:rFonts w:ascii="Arial" w:eastAsia="Times New Roman" w:hAnsi="Arial" w:cs="Arial"/>
          <w:color w:val="000000"/>
          <w:kern w:val="0"/>
          <w:sz w:val="20"/>
          <w:szCs w:val="20"/>
          <w:lang w:val="en-GB" w:eastAsia="en-GB"/>
          <w14:ligatures w14:val="none"/>
        </w:rPr>
        <w:t>Green JS, Parfrey PS, Harnett JD, Farid NR, Cramer BC, Johnson G, et al. The cardinal manifestations of Bardet-Biedl syndrome, a form of Laurence-Moon-Biedl syndrome. </w:t>
      </w:r>
      <w:r w:rsidRPr="001F6539">
        <w:rPr>
          <w:rFonts w:ascii="Arial" w:eastAsia="Times New Roman" w:hAnsi="Arial" w:cs="Arial"/>
          <w:i/>
          <w:iCs/>
          <w:color w:val="000000"/>
          <w:kern w:val="0"/>
          <w:sz w:val="20"/>
          <w:szCs w:val="20"/>
          <w:lang w:val="en-GB" w:eastAsia="en-GB"/>
          <w14:ligatures w14:val="none"/>
        </w:rPr>
        <w:t>N Engl J Med</w:t>
      </w:r>
      <w:r w:rsidRPr="001F6539">
        <w:rPr>
          <w:rFonts w:ascii="Arial" w:eastAsia="Times New Roman" w:hAnsi="Arial" w:cs="Arial"/>
          <w:color w:val="000000"/>
          <w:kern w:val="0"/>
          <w:sz w:val="20"/>
          <w:szCs w:val="20"/>
          <w:lang w:val="en-GB" w:eastAsia="en-GB"/>
          <w14:ligatures w14:val="none"/>
        </w:rPr>
        <w:t>. 1989 Oct 12;321(15):1002–9. doi:10.1056/NEJM198910123211503.</w:t>
      </w:r>
    </w:p>
    <w:p w14:paraId="23802C97" w14:textId="77777777" w:rsidR="00E71481" w:rsidRPr="001F6539" w:rsidRDefault="00E71481" w:rsidP="00EE5681">
      <w:pPr>
        <w:numPr>
          <w:ilvl w:val="0"/>
          <w:numId w:val="3"/>
        </w:numPr>
        <w:spacing w:before="100" w:beforeAutospacing="1" w:after="100" w:afterAutospacing="1" w:line="360" w:lineRule="auto"/>
        <w:rPr>
          <w:rFonts w:ascii="Arial" w:eastAsia="Times New Roman" w:hAnsi="Arial" w:cs="Arial"/>
          <w:color w:val="000000"/>
          <w:kern w:val="0"/>
          <w:sz w:val="20"/>
          <w:szCs w:val="20"/>
          <w:lang w:val="en-GB" w:eastAsia="en-GB"/>
          <w14:ligatures w14:val="none"/>
        </w:rPr>
      </w:pPr>
      <w:proofErr w:type="spellStart"/>
      <w:r w:rsidRPr="001F6539">
        <w:rPr>
          <w:rFonts w:ascii="Arial" w:eastAsia="Times New Roman" w:hAnsi="Arial" w:cs="Arial"/>
          <w:color w:val="000000"/>
          <w:kern w:val="0"/>
          <w:sz w:val="20"/>
          <w:szCs w:val="20"/>
          <w:lang w:val="en-GB" w:eastAsia="en-GB"/>
          <w14:ligatures w14:val="none"/>
        </w:rPr>
        <w:t>Parameswarappa</w:t>
      </w:r>
      <w:proofErr w:type="spellEnd"/>
      <w:r w:rsidRPr="001F6539">
        <w:rPr>
          <w:rFonts w:ascii="Arial" w:eastAsia="Times New Roman" w:hAnsi="Arial" w:cs="Arial"/>
          <w:color w:val="000000"/>
          <w:kern w:val="0"/>
          <w:sz w:val="20"/>
          <w:szCs w:val="20"/>
          <w:lang w:val="en-GB" w:eastAsia="en-GB"/>
          <w14:ligatures w14:val="none"/>
        </w:rPr>
        <w:t xml:space="preserve"> DC, Das AV, Thakur PS, </w:t>
      </w:r>
      <w:proofErr w:type="spellStart"/>
      <w:r w:rsidRPr="001F6539">
        <w:rPr>
          <w:rFonts w:ascii="Arial" w:eastAsia="Times New Roman" w:hAnsi="Arial" w:cs="Arial"/>
          <w:color w:val="000000"/>
          <w:kern w:val="0"/>
          <w:sz w:val="20"/>
          <w:szCs w:val="20"/>
          <w:lang w:val="en-GB" w:eastAsia="en-GB"/>
          <w14:ligatures w14:val="none"/>
        </w:rPr>
        <w:t>Takkar</w:t>
      </w:r>
      <w:proofErr w:type="spellEnd"/>
      <w:r w:rsidRPr="001F6539">
        <w:rPr>
          <w:rFonts w:ascii="Arial" w:eastAsia="Times New Roman" w:hAnsi="Arial" w:cs="Arial"/>
          <w:color w:val="000000"/>
          <w:kern w:val="0"/>
          <w:sz w:val="20"/>
          <w:szCs w:val="20"/>
          <w:lang w:val="en-GB" w:eastAsia="en-GB"/>
          <w14:ligatures w14:val="none"/>
        </w:rPr>
        <w:t xml:space="preserve"> B, Multani PK, </w:t>
      </w:r>
      <w:proofErr w:type="spellStart"/>
      <w:r w:rsidRPr="001F6539">
        <w:rPr>
          <w:rFonts w:ascii="Arial" w:eastAsia="Times New Roman" w:hAnsi="Arial" w:cs="Arial"/>
          <w:color w:val="000000"/>
          <w:kern w:val="0"/>
          <w:sz w:val="20"/>
          <w:szCs w:val="20"/>
          <w:lang w:val="en-GB" w:eastAsia="en-GB"/>
          <w14:ligatures w14:val="none"/>
        </w:rPr>
        <w:t>Padhy</w:t>
      </w:r>
      <w:proofErr w:type="spellEnd"/>
      <w:r w:rsidRPr="001F6539">
        <w:rPr>
          <w:rFonts w:ascii="Arial" w:eastAsia="Times New Roman" w:hAnsi="Arial" w:cs="Arial"/>
          <w:color w:val="000000"/>
          <w:kern w:val="0"/>
          <w:sz w:val="20"/>
          <w:szCs w:val="20"/>
          <w:lang w:val="en-GB" w:eastAsia="en-GB"/>
          <w14:ligatures w14:val="none"/>
        </w:rPr>
        <w:t xml:space="preserve"> SK, et al. Retinitis pigmentosa in Laurence-Moon-Bardet-Biedl syndrome in India: Electronic medical records driven big data analytics: Report II. </w:t>
      </w:r>
      <w:r w:rsidRPr="001F6539">
        <w:rPr>
          <w:rFonts w:ascii="Arial" w:eastAsia="Times New Roman" w:hAnsi="Arial" w:cs="Arial"/>
          <w:i/>
          <w:iCs/>
          <w:color w:val="000000"/>
          <w:kern w:val="0"/>
          <w:sz w:val="20"/>
          <w:szCs w:val="20"/>
          <w:lang w:val="en-GB" w:eastAsia="en-GB"/>
          <w14:ligatures w14:val="none"/>
        </w:rPr>
        <w:t xml:space="preserve">Indian J </w:t>
      </w:r>
      <w:proofErr w:type="spellStart"/>
      <w:r w:rsidRPr="001F6539">
        <w:rPr>
          <w:rFonts w:ascii="Arial" w:eastAsia="Times New Roman" w:hAnsi="Arial" w:cs="Arial"/>
          <w:i/>
          <w:iCs/>
          <w:color w:val="000000"/>
          <w:kern w:val="0"/>
          <w:sz w:val="20"/>
          <w:szCs w:val="20"/>
          <w:lang w:val="en-GB" w:eastAsia="en-GB"/>
          <w14:ligatures w14:val="none"/>
        </w:rPr>
        <w:t>Ophthalmol</w:t>
      </w:r>
      <w:proofErr w:type="spellEnd"/>
      <w:r w:rsidRPr="001F6539">
        <w:rPr>
          <w:rFonts w:ascii="Arial" w:eastAsia="Times New Roman" w:hAnsi="Arial" w:cs="Arial"/>
          <w:color w:val="000000"/>
          <w:kern w:val="0"/>
          <w:sz w:val="20"/>
          <w:szCs w:val="20"/>
          <w:lang w:val="en-GB" w:eastAsia="en-GB"/>
          <w14:ligatures w14:val="none"/>
        </w:rPr>
        <w:t xml:space="preserve">. 2022 Jul;70(7):2533–8. </w:t>
      </w:r>
      <w:proofErr w:type="gramStart"/>
      <w:r w:rsidRPr="001F6539">
        <w:rPr>
          <w:rFonts w:ascii="Arial" w:eastAsia="Times New Roman" w:hAnsi="Arial" w:cs="Arial"/>
          <w:color w:val="000000"/>
          <w:kern w:val="0"/>
          <w:sz w:val="20"/>
          <w:szCs w:val="20"/>
          <w:lang w:val="en-GB" w:eastAsia="en-GB"/>
          <w14:ligatures w14:val="none"/>
        </w:rPr>
        <w:t>doi:10.4103/ijo.IJO</w:t>
      </w:r>
      <w:proofErr w:type="gramEnd"/>
      <w:r w:rsidRPr="001F6539">
        <w:rPr>
          <w:rFonts w:ascii="Arial" w:eastAsia="Times New Roman" w:hAnsi="Arial" w:cs="Arial"/>
          <w:color w:val="000000"/>
          <w:kern w:val="0"/>
          <w:sz w:val="20"/>
          <w:szCs w:val="20"/>
          <w:lang w:val="en-GB" w:eastAsia="en-GB"/>
          <w14:ligatures w14:val="none"/>
        </w:rPr>
        <w:t>_2268_21.</w:t>
      </w:r>
    </w:p>
    <w:p w14:paraId="073B720D" w14:textId="77777777" w:rsidR="00E71481" w:rsidRPr="001F6539" w:rsidRDefault="00E71481" w:rsidP="00EE5681">
      <w:pPr>
        <w:numPr>
          <w:ilvl w:val="0"/>
          <w:numId w:val="3"/>
        </w:numPr>
        <w:spacing w:before="100" w:beforeAutospacing="1" w:after="100" w:afterAutospacing="1" w:line="360" w:lineRule="auto"/>
        <w:rPr>
          <w:rFonts w:ascii="Arial" w:eastAsia="Times New Roman" w:hAnsi="Arial" w:cs="Arial"/>
          <w:color w:val="000000"/>
          <w:kern w:val="0"/>
          <w:sz w:val="20"/>
          <w:szCs w:val="20"/>
          <w:lang w:val="en-GB" w:eastAsia="en-GB"/>
          <w14:ligatures w14:val="none"/>
        </w:rPr>
      </w:pPr>
      <w:r w:rsidRPr="001F6539">
        <w:rPr>
          <w:rFonts w:ascii="Arial" w:eastAsia="Times New Roman" w:hAnsi="Arial" w:cs="Arial"/>
          <w:color w:val="000000"/>
          <w:kern w:val="0"/>
          <w:sz w:val="20"/>
          <w:szCs w:val="20"/>
          <w:lang w:val="en-GB" w:eastAsia="en-GB"/>
          <w14:ligatures w14:val="none"/>
        </w:rPr>
        <w:t>Jacobson SG, Roman AJ, Roman MI, Gass JD, Parker JA. Relatively preserved central retinal function in advanced retinitis pigmentosa. </w:t>
      </w:r>
      <w:r w:rsidRPr="001F6539">
        <w:rPr>
          <w:rFonts w:ascii="Arial" w:eastAsia="Times New Roman" w:hAnsi="Arial" w:cs="Arial"/>
          <w:i/>
          <w:iCs/>
          <w:color w:val="000000"/>
          <w:kern w:val="0"/>
          <w:sz w:val="20"/>
          <w:szCs w:val="20"/>
          <w:lang w:val="en-GB" w:eastAsia="en-GB"/>
          <w14:ligatures w14:val="none"/>
        </w:rPr>
        <w:t xml:space="preserve">Invest </w:t>
      </w:r>
      <w:proofErr w:type="spellStart"/>
      <w:r w:rsidRPr="001F6539">
        <w:rPr>
          <w:rFonts w:ascii="Arial" w:eastAsia="Times New Roman" w:hAnsi="Arial" w:cs="Arial"/>
          <w:i/>
          <w:iCs/>
          <w:color w:val="000000"/>
          <w:kern w:val="0"/>
          <w:sz w:val="20"/>
          <w:szCs w:val="20"/>
          <w:lang w:val="en-GB" w:eastAsia="en-GB"/>
          <w14:ligatures w14:val="none"/>
        </w:rPr>
        <w:t>Ophthalmol</w:t>
      </w:r>
      <w:proofErr w:type="spellEnd"/>
      <w:r w:rsidRPr="001F6539">
        <w:rPr>
          <w:rFonts w:ascii="Arial" w:eastAsia="Times New Roman" w:hAnsi="Arial" w:cs="Arial"/>
          <w:i/>
          <w:iCs/>
          <w:color w:val="000000"/>
          <w:kern w:val="0"/>
          <w:sz w:val="20"/>
          <w:szCs w:val="20"/>
          <w:lang w:val="en-GB" w:eastAsia="en-GB"/>
          <w14:ligatures w14:val="none"/>
        </w:rPr>
        <w:t xml:space="preserve"> Vis Sci</w:t>
      </w:r>
      <w:r w:rsidRPr="001F6539">
        <w:rPr>
          <w:rFonts w:ascii="Arial" w:eastAsia="Times New Roman" w:hAnsi="Arial" w:cs="Arial"/>
          <w:color w:val="000000"/>
          <w:kern w:val="0"/>
          <w:sz w:val="20"/>
          <w:szCs w:val="20"/>
          <w:lang w:val="en-GB" w:eastAsia="en-GB"/>
          <w14:ligatures w14:val="none"/>
        </w:rPr>
        <w:t>. 1985 Sep;26(9):1043–55.</w:t>
      </w:r>
    </w:p>
    <w:p w14:paraId="0E93245C" w14:textId="77777777" w:rsidR="00E71481" w:rsidRPr="001F6539" w:rsidRDefault="00E71481" w:rsidP="00EE5681">
      <w:pPr>
        <w:numPr>
          <w:ilvl w:val="0"/>
          <w:numId w:val="3"/>
        </w:numPr>
        <w:spacing w:before="100" w:beforeAutospacing="1" w:after="100" w:afterAutospacing="1" w:line="360" w:lineRule="auto"/>
        <w:rPr>
          <w:rFonts w:ascii="Arial" w:eastAsia="Times New Roman" w:hAnsi="Arial" w:cs="Arial"/>
          <w:color w:val="000000"/>
          <w:kern w:val="0"/>
          <w:sz w:val="20"/>
          <w:szCs w:val="20"/>
          <w:lang w:val="en-GB" w:eastAsia="en-GB"/>
          <w14:ligatures w14:val="none"/>
        </w:rPr>
      </w:pPr>
      <w:r w:rsidRPr="001F6539">
        <w:rPr>
          <w:rFonts w:ascii="Arial" w:eastAsia="Times New Roman" w:hAnsi="Arial" w:cs="Arial"/>
          <w:color w:val="000000"/>
          <w:kern w:val="0"/>
          <w:sz w:val="20"/>
          <w:szCs w:val="20"/>
          <w:lang w:val="en-GB" w:eastAsia="en-GB"/>
          <w14:ligatures w14:val="none"/>
        </w:rPr>
        <w:t>Bittencourt AV, Andrade LJ. Pigmentary retinopathy due to Bardet-Biedl syndrome: case report and literature review. </w:t>
      </w:r>
      <w:proofErr w:type="spellStart"/>
      <w:r w:rsidRPr="001F6539">
        <w:rPr>
          <w:rFonts w:ascii="Arial" w:eastAsia="Times New Roman" w:hAnsi="Arial" w:cs="Arial"/>
          <w:i/>
          <w:iCs/>
          <w:color w:val="000000"/>
          <w:kern w:val="0"/>
          <w:sz w:val="20"/>
          <w:szCs w:val="20"/>
          <w:lang w:val="en-GB" w:eastAsia="en-GB"/>
          <w14:ligatures w14:val="none"/>
        </w:rPr>
        <w:t>Arq</w:t>
      </w:r>
      <w:proofErr w:type="spellEnd"/>
      <w:r w:rsidRPr="001F6539">
        <w:rPr>
          <w:rFonts w:ascii="Arial" w:eastAsia="Times New Roman" w:hAnsi="Arial" w:cs="Arial"/>
          <w:i/>
          <w:iCs/>
          <w:color w:val="000000"/>
          <w:kern w:val="0"/>
          <w:sz w:val="20"/>
          <w:szCs w:val="20"/>
          <w:lang w:val="en-GB" w:eastAsia="en-GB"/>
          <w14:ligatures w14:val="none"/>
        </w:rPr>
        <w:t xml:space="preserve"> Bras </w:t>
      </w:r>
      <w:proofErr w:type="spellStart"/>
      <w:r w:rsidRPr="001F6539">
        <w:rPr>
          <w:rFonts w:ascii="Arial" w:eastAsia="Times New Roman" w:hAnsi="Arial" w:cs="Arial"/>
          <w:i/>
          <w:iCs/>
          <w:color w:val="000000"/>
          <w:kern w:val="0"/>
          <w:sz w:val="20"/>
          <w:szCs w:val="20"/>
          <w:lang w:val="en-GB" w:eastAsia="en-GB"/>
          <w14:ligatures w14:val="none"/>
        </w:rPr>
        <w:t>Oftalmol</w:t>
      </w:r>
      <w:proofErr w:type="spellEnd"/>
      <w:r w:rsidRPr="001F6539">
        <w:rPr>
          <w:rFonts w:ascii="Arial" w:eastAsia="Times New Roman" w:hAnsi="Arial" w:cs="Arial"/>
          <w:color w:val="000000"/>
          <w:kern w:val="0"/>
          <w:sz w:val="20"/>
          <w:szCs w:val="20"/>
          <w:lang w:val="en-GB" w:eastAsia="en-GB"/>
          <w14:ligatures w14:val="none"/>
        </w:rPr>
        <w:t>. 2009 Sep-Oct;72(5):694–6. doi:10.1590/s0004-27492009000500019.</w:t>
      </w:r>
    </w:p>
    <w:p w14:paraId="3DE68369" w14:textId="77777777" w:rsidR="00E71481" w:rsidRPr="001F6539" w:rsidRDefault="00E71481" w:rsidP="00EE5681">
      <w:pPr>
        <w:numPr>
          <w:ilvl w:val="0"/>
          <w:numId w:val="3"/>
        </w:numPr>
        <w:spacing w:before="100" w:beforeAutospacing="1" w:after="100" w:afterAutospacing="1" w:line="360" w:lineRule="auto"/>
        <w:rPr>
          <w:rFonts w:ascii="Arial" w:eastAsia="Times New Roman" w:hAnsi="Arial" w:cs="Arial"/>
          <w:color w:val="000000"/>
          <w:kern w:val="0"/>
          <w:sz w:val="20"/>
          <w:szCs w:val="20"/>
          <w:lang w:val="en-GB" w:eastAsia="en-GB"/>
          <w14:ligatures w14:val="none"/>
        </w:rPr>
      </w:pPr>
      <w:r w:rsidRPr="001F6539">
        <w:rPr>
          <w:rFonts w:ascii="Arial" w:eastAsia="Times New Roman" w:hAnsi="Arial" w:cs="Arial"/>
          <w:color w:val="000000"/>
          <w:kern w:val="0"/>
          <w:sz w:val="20"/>
          <w:szCs w:val="20"/>
          <w:lang w:val="en-GB" w:eastAsia="en-GB"/>
          <w14:ligatures w14:val="none"/>
        </w:rPr>
        <w:t>Jacobson SG, Stone EM. Retinal degeneration in Bardet–Biedl syndrome: insights from molecular genetics and therapeutic approaches. </w:t>
      </w:r>
      <w:proofErr w:type="spellStart"/>
      <w:r w:rsidRPr="001F6539">
        <w:rPr>
          <w:rFonts w:ascii="Arial" w:eastAsia="Times New Roman" w:hAnsi="Arial" w:cs="Arial"/>
          <w:i/>
          <w:iCs/>
          <w:color w:val="000000"/>
          <w:kern w:val="0"/>
          <w:sz w:val="20"/>
          <w:szCs w:val="20"/>
          <w:lang w:val="en-GB" w:eastAsia="en-GB"/>
          <w14:ligatures w14:val="none"/>
        </w:rPr>
        <w:t>Curr</w:t>
      </w:r>
      <w:proofErr w:type="spellEnd"/>
      <w:r w:rsidRPr="001F6539">
        <w:rPr>
          <w:rFonts w:ascii="Arial" w:eastAsia="Times New Roman" w:hAnsi="Arial" w:cs="Arial"/>
          <w:i/>
          <w:iCs/>
          <w:color w:val="000000"/>
          <w:kern w:val="0"/>
          <w:sz w:val="20"/>
          <w:szCs w:val="20"/>
          <w:lang w:val="en-GB" w:eastAsia="en-GB"/>
          <w14:ligatures w14:val="none"/>
        </w:rPr>
        <w:t xml:space="preserve"> </w:t>
      </w:r>
      <w:proofErr w:type="spellStart"/>
      <w:r w:rsidRPr="001F6539">
        <w:rPr>
          <w:rFonts w:ascii="Arial" w:eastAsia="Times New Roman" w:hAnsi="Arial" w:cs="Arial"/>
          <w:i/>
          <w:iCs/>
          <w:color w:val="000000"/>
          <w:kern w:val="0"/>
          <w:sz w:val="20"/>
          <w:szCs w:val="20"/>
          <w:lang w:val="en-GB" w:eastAsia="en-GB"/>
          <w14:ligatures w14:val="none"/>
        </w:rPr>
        <w:t>Opin</w:t>
      </w:r>
      <w:proofErr w:type="spellEnd"/>
      <w:r w:rsidRPr="001F6539">
        <w:rPr>
          <w:rFonts w:ascii="Arial" w:eastAsia="Times New Roman" w:hAnsi="Arial" w:cs="Arial"/>
          <w:i/>
          <w:iCs/>
          <w:color w:val="000000"/>
          <w:kern w:val="0"/>
          <w:sz w:val="20"/>
          <w:szCs w:val="20"/>
          <w:lang w:val="en-GB" w:eastAsia="en-GB"/>
          <w14:ligatures w14:val="none"/>
        </w:rPr>
        <w:t xml:space="preserve"> </w:t>
      </w:r>
      <w:proofErr w:type="spellStart"/>
      <w:r w:rsidRPr="001F6539">
        <w:rPr>
          <w:rFonts w:ascii="Arial" w:eastAsia="Times New Roman" w:hAnsi="Arial" w:cs="Arial"/>
          <w:i/>
          <w:iCs/>
          <w:color w:val="000000"/>
          <w:kern w:val="0"/>
          <w:sz w:val="20"/>
          <w:szCs w:val="20"/>
          <w:lang w:val="en-GB" w:eastAsia="en-GB"/>
          <w14:ligatures w14:val="none"/>
        </w:rPr>
        <w:t>Ophthalmol</w:t>
      </w:r>
      <w:proofErr w:type="spellEnd"/>
      <w:r w:rsidRPr="001F6539">
        <w:rPr>
          <w:rFonts w:ascii="Arial" w:eastAsia="Times New Roman" w:hAnsi="Arial" w:cs="Arial"/>
          <w:color w:val="000000"/>
          <w:kern w:val="0"/>
          <w:sz w:val="20"/>
          <w:szCs w:val="20"/>
          <w:lang w:val="en-GB" w:eastAsia="en-GB"/>
          <w14:ligatures w14:val="none"/>
        </w:rPr>
        <w:t xml:space="preserve">. 2006 Sep;17(5):495–501. </w:t>
      </w:r>
      <w:proofErr w:type="gramStart"/>
      <w:r w:rsidRPr="001F6539">
        <w:rPr>
          <w:rFonts w:ascii="Arial" w:eastAsia="Times New Roman" w:hAnsi="Arial" w:cs="Arial"/>
          <w:color w:val="000000"/>
          <w:kern w:val="0"/>
          <w:sz w:val="20"/>
          <w:szCs w:val="20"/>
          <w:lang w:val="en-GB" w:eastAsia="en-GB"/>
          <w14:ligatures w14:val="none"/>
        </w:rPr>
        <w:t>doi:10.1097/01.icu</w:t>
      </w:r>
      <w:proofErr w:type="gramEnd"/>
      <w:r w:rsidRPr="001F6539">
        <w:rPr>
          <w:rFonts w:ascii="Arial" w:eastAsia="Times New Roman" w:hAnsi="Arial" w:cs="Arial"/>
          <w:color w:val="000000"/>
          <w:kern w:val="0"/>
          <w:sz w:val="20"/>
          <w:szCs w:val="20"/>
          <w:lang w:val="en-GB" w:eastAsia="en-GB"/>
          <w14:ligatures w14:val="none"/>
        </w:rPr>
        <w:t>.0000233969.89344.18.</w:t>
      </w:r>
    </w:p>
    <w:p w14:paraId="4F4C3081" w14:textId="77777777" w:rsidR="00E71481" w:rsidRPr="001F6539" w:rsidRDefault="00E71481" w:rsidP="00EE5681">
      <w:pPr>
        <w:numPr>
          <w:ilvl w:val="0"/>
          <w:numId w:val="3"/>
        </w:numPr>
        <w:spacing w:before="100" w:beforeAutospacing="1" w:after="100" w:afterAutospacing="1" w:line="360" w:lineRule="auto"/>
        <w:rPr>
          <w:rFonts w:ascii="Arial" w:eastAsia="Times New Roman" w:hAnsi="Arial" w:cs="Arial"/>
          <w:color w:val="000000"/>
          <w:kern w:val="0"/>
          <w:sz w:val="20"/>
          <w:szCs w:val="20"/>
          <w:lang w:val="en-GB" w:eastAsia="en-GB"/>
          <w14:ligatures w14:val="none"/>
        </w:rPr>
      </w:pPr>
      <w:proofErr w:type="spellStart"/>
      <w:r w:rsidRPr="001F6539">
        <w:rPr>
          <w:rFonts w:ascii="Arial" w:eastAsia="Times New Roman" w:hAnsi="Arial" w:cs="Arial"/>
          <w:color w:val="000000"/>
          <w:kern w:val="0"/>
          <w:sz w:val="20"/>
          <w:szCs w:val="20"/>
          <w:lang w:val="en-GB" w:eastAsia="en-GB"/>
          <w14:ligatures w14:val="none"/>
        </w:rPr>
        <w:t>Beales</w:t>
      </w:r>
      <w:proofErr w:type="spellEnd"/>
      <w:r w:rsidRPr="001F6539">
        <w:rPr>
          <w:rFonts w:ascii="Arial" w:eastAsia="Times New Roman" w:hAnsi="Arial" w:cs="Arial"/>
          <w:color w:val="000000"/>
          <w:kern w:val="0"/>
          <w:sz w:val="20"/>
          <w:szCs w:val="20"/>
          <w:lang w:val="en-GB" w:eastAsia="en-GB"/>
          <w14:ligatures w14:val="none"/>
        </w:rPr>
        <w:t xml:space="preserve"> PL, </w:t>
      </w:r>
      <w:proofErr w:type="spellStart"/>
      <w:r w:rsidRPr="001F6539">
        <w:rPr>
          <w:rFonts w:ascii="Arial" w:eastAsia="Times New Roman" w:hAnsi="Arial" w:cs="Arial"/>
          <w:color w:val="000000"/>
          <w:kern w:val="0"/>
          <w:sz w:val="20"/>
          <w:szCs w:val="20"/>
          <w:lang w:val="en-GB" w:eastAsia="en-GB"/>
          <w14:ligatures w14:val="none"/>
        </w:rPr>
        <w:t>Elcioglu</w:t>
      </w:r>
      <w:proofErr w:type="spellEnd"/>
      <w:r w:rsidRPr="001F6539">
        <w:rPr>
          <w:rFonts w:ascii="Arial" w:eastAsia="Times New Roman" w:hAnsi="Arial" w:cs="Arial"/>
          <w:color w:val="000000"/>
          <w:kern w:val="0"/>
          <w:sz w:val="20"/>
          <w:szCs w:val="20"/>
          <w:lang w:val="en-GB" w:eastAsia="en-GB"/>
          <w14:ligatures w14:val="none"/>
        </w:rPr>
        <w:t xml:space="preserve"> N, Woolf AS, Parker D, </w:t>
      </w:r>
      <w:proofErr w:type="spellStart"/>
      <w:r w:rsidRPr="001F6539">
        <w:rPr>
          <w:rFonts w:ascii="Arial" w:eastAsia="Times New Roman" w:hAnsi="Arial" w:cs="Arial"/>
          <w:color w:val="000000"/>
          <w:kern w:val="0"/>
          <w:sz w:val="20"/>
          <w:szCs w:val="20"/>
          <w:lang w:val="en-GB" w:eastAsia="en-GB"/>
          <w14:ligatures w14:val="none"/>
        </w:rPr>
        <w:t>Flinter</w:t>
      </w:r>
      <w:proofErr w:type="spellEnd"/>
      <w:r w:rsidRPr="001F6539">
        <w:rPr>
          <w:rFonts w:ascii="Arial" w:eastAsia="Times New Roman" w:hAnsi="Arial" w:cs="Arial"/>
          <w:color w:val="000000"/>
          <w:kern w:val="0"/>
          <w:sz w:val="20"/>
          <w:szCs w:val="20"/>
          <w:lang w:val="en-GB" w:eastAsia="en-GB"/>
          <w14:ligatures w14:val="none"/>
        </w:rPr>
        <w:t xml:space="preserve"> FA. New criteria for improved diagnosis of Bardet–Biedl syndrome: results of a population survey. </w:t>
      </w:r>
      <w:r w:rsidRPr="001F6539">
        <w:rPr>
          <w:rFonts w:ascii="Arial" w:eastAsia="Times New Roman" w:hAnsi="Arial" w:cs="Arial"/>
          <w:i/>
          <w:iCs/>
          <w:color w:val="000000"/>
          <w:kern w:val="0"/>
          <w:sz w:val="20"/>
          <w:szCs w:val="20"/>
          <w:lang w:val="en-GB" w:eastAsia="en-GB"/>
          <w14:ligatures w14:val="none"/>
        </w:rPr>
        <w:t>J Med Genet</w:t>
      </w:r>
      <w:r w:rsidRPr="001F6539">
        <w:rPr>
          <w:rFonts w:ascii="Arial" w:eastAsia="Times New Roman" w:hAnsi="Arial" w:cs="Arial"/>
          <w:color w:val="000000"/>
          <w:kern w:val="0"/>
          <w:sz w:val="20"/>
          <w:szCs w:val="20"/>
          <w:lang w:val="en-GB" w:eastAsia="en-GB"/>
          <w14:ligatures w14:val="none"/>
        </w:rPr>
        <w:t>. 1999 Jun;36(6):437–46. PMID:10353778.</w:t>
      </w:r>
    </w:p>
    <w:p w14:paraId="5D387595" w14:textId="77777777" w:rsidR="00EF5532" w:rsidRPr="00481C2A" w:rsidRDefault="00EF5532" w:rsidP="00EE5681">
      <w:pPr>
        <w:pStyle w:val="ReferHead"/>
        <w:spacing w:after="0" w:line="360" w:lineRule="auto"/>
        <w:jc w:val="both"/>
        <w:rPr>
          <w:rFonts w:ascii="Times New Roman" w:hAnsi="Times New Roman"/>
          <w:bCs/>
          <w:sz w:val="24"/>
          <w:szCs w:val="24"/>
          <w:lang w:val="en-GB"/>
        </w:rPr>
      </w:pPr>
    </w:p>
    <w:p w14:paraId="294A3893" w14:textId="77777777" w:rsidR="00EF5532" w:rsidRPr="00481C2A" w:rsidRDefault="00EF5532" w:rsidP="00EE5681">
      <w:pPr>
        <w:pStyle w:val="NormalWeb"/>
        <w:spacing w:line="360" w:lineRule="auto"/>
        <w:rPr>
          <w:color w:val="000000"/>
          <w:lang w:val="en-GB"/>
        </w:rPr>
      </w:pPr>
    </w:p>
    <w:p w14:paraId="2BB2078A" w14:textId="77777777" w:rsidR="00E71481" w:rsidRPr="00481C2A" w:rsidRDefault="00E71481" w:rsidP="00EE5681">
      <w:pPr>
        <w:pStyle w:val="NormalWeb"/>
        <w:spacing w:line="360" w:lineRule="auto"/>
        <w:rPr>
          <w:color w:val="000000"/>
          <w:lang w:val="en-GB"/>
        </w:rPr>
      </w:pPr>
    </w:p>
    <w:p w14:paraId="64C1CA21" w14:textId="77777777" w:rsidR="00E71481" w:rsidRPr="00481C2A" w:rsidRDefault="00E71481" w:rsidP="00EE5681">
      <w:pPr>
        <w:pStyle w:val="NormalWeb"/>
        <w:spacing w:line="360" w:lineRule="auto"/>
        <w:rPr>
          <w:color w:val="000000"/>
          <w:lang w:val="en-GB"/>
        </w:rPr>
      </w:pPr>
    </w:p>
    <w:p w14:paraId="7E4A736B" w14:textId="77777777" w:rsidR="00E71481" w:rsidRPr="00481C2A" w:rsidRDefault="00E71481" w:rsidP="00EE5681">
      <w:pPr>
        <w:pStyle w:val="NormalWeb"/>
        <w:spacing w:line="360" w:lineRule="auto"/>
        <w:rPr>
          <w:color w:val="000000"/>
          <w:lang w:val="en-GB"/>
        </w:rPr>
      </w:pPr>
    </w:p>
    <w:p w14:paraId="2FE5BF4E" w14:textId="77777777" w:rsidR="00E71481" w:rsidRPr="00481C2A" w:rsidRDefault="00E71481" w:rsidP="00EE5681">
      <w:pPr>
        <w:pStyle w:val="NormalWeb"/>
        <w:spacing w:line="360" w:lineRule="auto"/>
        <w:rPr>
          <w:color w:val="000000"/>
          <w:lang w:val="en-GB"/>
        </w:rPr>
      </w:pPr>
    </w:p>
    <w:p w14:paraId="52164690" w14:textId="77777777" w:rsidR="00E71481" w:rsidRPr="00481C2A" w:rsidRDefault="00E71481" w:rsidP="00EE5681">
      <w:pPr>
        <w:pStyle w:val="NormalWeb"/>
        <w:spacing w:line="360" w:lineRule="auto"/>
        <w:rPr>
          <w:color w:val="000000"/>
          <w:lang w:val="en-GB"/>
        </w:rPr>
      </w:pPr>
    </w:p>
    <w:p w14:paraId="0F2ACAE3" w14:textId="77777777" w:rsidR="00E71481" w:rsidRPr="00481C2A" w:rsidRDefault="00E71481" w:rsidP="00EE5681">
      <w:pPr>
        <w:spacing w:line="360" w:lineRule="auto"/>
        <w:rPr>
          <w:rFonts w:ascii="Times New Roman" w:hAnsi="Times New Roman" w:cs="Times New Roman"/>
          <w:b/>
          <w:bCs/>
          <w:lang w:val="en-GB"/>
        </w:rPr>
      </w:pPr>
    </w:p>
    <w:p w14:paraId="5AA937A9" w14:textId="77777777" w:rsidR="00C44497" w:rsidRPr="00481C2A" w:rsidRDefault="00C44497" w:rsidP="00EE5681">
      <w:pPr>
        <w:spacing w:line="360" w:lineRule="auto"/>
        <w:rPr>
          <w:rFonts w:ascii="Times New Roman" w:hAnsi="Times New Roman" w:cs="Times New Roman"/>
          <w:b/>
          <w:bCs/>
          <w:lang w:val="en-GB"/>
        </w:rPr>
      </w:pPr>
    </w:p>
    <w:p w14:paraId="47A93C83" w14:textId="77777777" w:rsidR="00C44497" w:rsidRPr="00481C2A" w:rsidRDefault="00C44497" w:rsidP="00EE5681">
      <w:pPr>
        <w:spacing w:line="360" w:lineRule="auto"/>
        <w:rPr>
          <w:rFonts w:ascii="Times New Roman" w:hAnsi="Times New Roman" w:cs="Times New Roman"/>
          <w:b/>
          <w:bCs/>
          <w:lang w:val="en-GB"/>
        </w:rPr>
      </w:pPr>
    </w:p>
    <w:p w14:paraId="425DACDD" w14:textId="77777777" w:rsidR="00C44497" w:rsidRPr="00481C2A" w:rsidRDefault="00C44497" w:rsidP="00EE5681">
      <w:pPr>
        <w:spacing w:line="360" w:lineRule="auto"/>
        <w:rPr>
          <w:rFonts w:ascii="Times New Roman" w:hAnsi="Times New Roman" w:cs="Times New Roman"/>
          <w:b/>
          <w:bCs/>
          <w:lang w:val="en-GB"/>
        </w:rPr>
      </w:pPr>
    </w:p>
    <w:sectPr w:rsidR="00C44497" w:rsidRPr="00481C2A">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FF360D" w14:textId="77777777" w:rsidR="00024FD7" w:rsidRDefault="00024FD7" w:rsidP="001E1624">
      <w:pPr>
        <w:spacing w:after="0" w:line="240" w:lineRule="auto"/>
      </w:pPr>
      <w:r>
        <w:separator/>
      </w:r>
    </w:p>
  </w:endnote>
  <w:endnote w:type="continuationSeparator" w:id="0">
    <w:p w14:paraId="28327D32" w14:textId="77777777" w:rsidR="00024FD7" w:rsidRDefault="00024FD7" w:rsidP="001E1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04997396"/>
      <w:docPartObj>
        <w:docPartGallery w:val="Page Numbers (Bottom of Page)"/>
        <w:docPartUnique/>
      </w:docPartObj>
    </w:sdtPr>
    <w:sdtEndPr>
      <w:rPr>
        <w:rStyle w:val="PageNumber"/>
      </w:rPr>
    </w:sdtEndPr>
    <w:sdtContent>
      <w:p w14:paraId="1EB02C56" w14:textId="415D6247" w:rsidR="001E1624" w:rsidRDefault="001E1624" w:rsidP="00C4449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BAF0AF" w14:textId="77777777" w:rsidR="001E1624" w:rsidRDefault="001E16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3593566"/>
      <w:docPartObj>
        <w:docPartGallery w:val="Page Numbers (Bottom of Page)"/>
        <w:docPartUnique/>
      </w:docPartObj>
    </w:sdtPr>
    <w:sdtEndPr>
      <w:rPr>
        <w:noProof/>
      </w:rPr>
    </w:sdtEndPr>
    <w:sdtContent>
      <w:p w14:paraId="421AD918" w14:textId="04970535" w:rsidR="007B01F4" w:rsidRDefault="007B01F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168817" w14:textId="77777777" w:rsidR="001E1624" w:rsidRDefault="001E16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F1CC5" w14:textId="77777777" w:rsidR="00944360" w:rsidRDefault="009443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1ED798" w14:textId="77777777" w:rsidR="00024FD7" w:rsidRDefault="00024FD7" w:rsidP="001E1624">
      <w:pPr>
        <w:spacing w:after="0" w:line="240" w:lineRule="auto"/>
      </w:pPr>
      <w:r>
        <w:separator/>
      </w:r>
    </w:p>
  </w:footnote>
  <w:footnote w:type="continuationSeparator" w:id="0">
    <w:p w14:paraId="2431791D" w14:textId="77777777" w:rsidR="00024FD7" w:rsidRDefault="00024FD7" w:rsidP="001E16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55716" w14:textId="7F4DD457" w:rsidR="00944360" w:rsidRDefault="00944360">
    <w:pPr>
      <w:pStyle w:val="Header"/>
    </w:pPr>
    <w:r>
      <w:rPr>
        <w:noProof/>
      </w:rPr>
      <w:pict w14:anchorId="4EF746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092235"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177D3" w14:textId="0D2D59EE" w:rsidR="00944360" w:rsidRDefault="00944360">
    <w:pPr>
      <w:pStyle w:val="Header"/>
    </w:pPr>
    <w:r>
      <w:rPr>
        <w:noProof/>
      </w:rPr>
      <w:pict w14:anchorId="1B9062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092236"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66DA9" w14:textId="25454C72" w:rsidR="00944360" w:rsidRDefault="00944360">
    <w:pPr>
      <w:pStyle w:val="Header"/>
    </w:pPr>
    <w:r>
      <w:rPr>
        <w:noProof/>
      </w:rPr>
      <w:pict w14:anchorId="490A25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092234"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682B28"/>
    <w:multiLevelType w:val="multilevel"/>
    <w:tmpl w:val="CCC65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0E1F9D"/>
    <w:multiLevelType w:val="hybridMultilevel"/>
    <w:tmpl w:val="E5E05B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3A74BE7"/>
    <w:multiLevelType w:val="multilevel"/>
    <w:tmpl w:val="46383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D80077A"/>
    <w:multiLevelType w:val="hybridMultilevel"/>
    <w:tmpl w:val="E700827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0B090C"/>
    <w:multiLevelType w:val="multilevel"/>
    <w:tmpl w:val="640A6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A11"/>
    <w:rsid w:val="00024FD7"/>
    <w:rsid w:val="000B2753"/>
    <w:rsid w:val="000B6347"/>
    <w:rsid w:val="000C5983"/>
    <w:rsid w:val="000F49FF"/>
    <w:rsid w:val="001376CE"/>
    <w:rsid w:val="001E1624"/>
    <w:rsid w:val="001F6539"/>
    <w:rsid w:val="003F6A11"/>
    <w:rsid w:val="00453A0D"/>
    <w:rsid w:val="00481C2A"/>
    <w:rsid w:val="004A3503"/>
    <w:rsid w:val="004F6BFF"/>
    <w:rsid w:val="005867DF"/>
    <w:rsid w:val="00732DDE"/>
    <w:rsid w:val="007338CE"/>
    <w:rsid w:val="007B01F4"/>
    <w:rsid w:val="007E7F70"/>
    <w:rsid w:val="008F5653"/>
    <w:rsid w:val="00921A86"/>
    <w:rsid w:val="00944360"/>
    <w:rsid w:val="009D6F89"/>
    <w:rsid w:val="00A10E20"/>
    <w:rsid w:val="00A67DEB"/>
    <w:rsid w:val="00AA259B"/>
    <w:rsid w:val="00B43177"/>
    <w:rsid w:val="00C44497"/>
    <w:rsid w:val="00CB53C1"/>
    <w:rsid w:val="00CF3B41"/>
    <w:rsid w:val="00D078A1"/>
    <w:rsid w:val="00DC301B"/>
    <w:rsid w:val="00E71481"/>
    <w:rsid w:val="00EA492C"/>
    <w:rsid w:val="00EE5681"/>
    <w:rsid w:val="00EF5532"/>
    <w:rsid w:val="00F1334E"/>
    <w:rsid w:val="00F33351"/>
    <w:rsid w:val="00F63B8B"/>
    <w:rsid w:val="00FA368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7C322F"/>
  <w15:chartTrackingRefBased/>
  <w15:docId w15:val="{21851D0E-9A73-2A4B-ADC3-5C38DAC29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6A1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F6A1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F6A1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F6A1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F6A1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F6A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6A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6A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6A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6A1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F6A1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F6A1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F6A1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F6A1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F6A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6A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6A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6A11"/>
    <w:rPr>
      <w:rFonts w:eastAsiaTheme="majorEastAsia" w:cstheme="majorBidi"/>
      <w:color w:val="272727" w:themeColor="text1" w:themeTint="D8"/>
    </w:rPr>
  </w:style>
  <w:style w:type="paragraph" w:styleId="Title">
    <w:name w:val="Title"/>
    <w:basedOn w:val="Normal"/>
    <w:next w:val="Normal"/>
    <w:link w:val="TitleChar"/>
    <w:uiPriority w:val="10"/>
    <w:qFormat/>
    <w:rsid w:val="003F6A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6A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6A1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6A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6A11"/>
    <w:pPr>
      <w:spacing w:before="160"/>
      <w:jc w:val="center"/>
    </w:pPr>
    <w:rPr>
      <w:i/>
      <w:iCs/>
      <w:color w:val="404040" w:themeColor="text1" w:themeTint="BF"/>
    </w:rPr>
  </w:style>
  <w:style w:type="character" w:customStyle="1" w:styleId="QuoteChar">
    <w:name w:val="Quote Char"/>
    <w:basedOn w:val="DefaultParagraphFont"/>
    <w:link w:val="Quote"/>
    <w:uiPriority w:val="29"/>
    <w:rsid w:val="003F6A11"/>
    <w:rPr>
      <w:i/>
      <w:iCs/>
      <w:color w:val="404040" w:themeColor="text1" w:themeTint="BF"/>
    </w:rPr>
  </w:style>
  <w:style w:type="paragraph" w:styleId="ListParagraph">
    <w:name w:val="List Paragraph"/>
    <w:basedOn w:val="Normal"/>
    <w:uiPriority w:val="34"/>
    <w:qFormat/>
    <w:rsid w:val="003F6A11"/>
    <w:pPr>
      <w:ind w:left="720"/>
      <w:contextualSpacing/>
    </w:pPr>
  </w:style>
  <w:style w:type="character" w:styleId="IntenseEmphasis">
    <w:name w:val="Intense Emphasis"/>
    <w:basedOn w:val="DefaultParagraphFont"/>
    <w:uiPriority w:val="21"/>
    <w:qFormat/>
    <w:rsid w:val="003F6A11"/>
    <w:rPr>
      <w:i/>
      <w:iCs/>
      <w:color w:val="0F4761" w:themeColor="accent1" w:themeShade="BF"/>
    </w:rPr>
  </w:style>
  <w:style w:type="paragraph" w:styleId="IntenseQuote">
    <w:name w:val="Intense Quote"/>
    <w:basedOn w:val="Normal"/>
    <w:next w:val="Normal"/>
    <w:link w:val="IntenseQuoteChar"/>
    <w:uiPriority w:val="30"/>
    <w:qFormat/>
    <w:rsid w:val="003F6A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F6A11"/>
    <w:rPr>
      <w:i/>
      <w:iCs/>
      <w:color w:val="0F4761" w:themeColor="accent1" w:themeShade="BF"/>
    </w:rPr>
  </w:style>
  <w:style w:type="character" w:styleId="IntenseReference">
    <w:name w:val="Intense Reference"/>
    <w:basedOn w:val="DefaultParagraphFont"/>
    <w:uiPriority w:val="32"/>
    <w:qFormat/>
    <w:rsid w:val="003F6A11"/>
    <w:rPr>
      <w:b/>
      <w:bCs/>
      <w:smallCaps/>
      <w:color w:val="0F4761" w:themeColor="accent1" w:themeShade="BF"/>
      <w:spacing w:val="5"/>
    </w:rPr>
  </w:style>
  <w:style w:type="paragraph" w:styleId="NormalWeb">
    <w:name w:val="Normal (Web)"/>
    <w:basedOn w:val="Normal"/>
    <w:uiPriority w:val="99"/>
    <w:unhideWhenUsed/>
    <w:rsid w:val="00E71481"/>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apple-converted-space">
    <w:name w:val="apple-converted-space"/>
    <w:basedOn w:val="DefaultParagraphFont"/>
    <w:rsid w:val="00E71481"/>
  </w:style>
  <w:style w:type="character" w:styleId="Strong">
    <w:name w:val="Strong"/>
    <w:basedOn w:val="DefaultParagraphFont"/>
    <w:uiPriority w:val="22"/>
    <w:qFormat/>
    <w:rsid w:val="00E71481"/>
    <w:rPr>
      <w:b/>
      <w:bCs/>
    </w:rPr>
  </w:style>
  <w:style w:type="character" w:styleId="Emphasis">
    <w:name w:val="Emphasis"/>
    <w:basedOn w:val="DefaultParagraphFont"/>
    <w:uiPriority w:val="20"/>
    <w:qFormat/>
    <w:rsid w:val="00E71481"/>
    <w:rPr>
      <w:i/>
      <w:iCs/>
    </w:rPr>
  </w:style>
  <w:style w:type="paragraph" w:styleId="Footer">
    <w:name w:val="footer"/>
    <w:basedOn w:val="Normal"/>
    <w:link w:val="FooterChar"/>
    <w:uiPriority w:val="99"/>
    <w:unhideWhenUsed/>
    <w:rsid w:val="001E16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1624"/>
  </w:style>
  <w:style w:type="character" w:styleId="PageNumber">
    <w:name w:val="page number"/>
    <w:basedOn w:val="DefaultParagraphFont"/>
    <w:uiPriority w:val="99"/>
    <w:semiHidden/>
    <w:unhideWhenUsed/>
    <w:rsid w:val="001E1624"/>
  </w:style>
  <w:style w:type="paragraph" w:customStyle="1" w:styleId="Author">
    <w:name w:val="Author"/>
    <w:basedOn w:val="Normal"/>
    <w:rsid w:val="007B01F4"/>
    <w:pPr>
      <w:spacing w:after="0" w:line="280" w:lineRule="exact"/>
      <w:jc w:val="right"/>
    </w:pPr>
    <w:rPr>
      <w:rFonts w:ascii="Helvetica" w:eastAsia="Times New Roman" w:hAnsi="Helvetica" w:cs="Times New Roman"/>
      <w:b/>
      <w:kern w:val="0"/>
      <w:szCs w:val="20"/>
      <w:lang w:val="en-US"/>
      <w14:ligatures w14:val="none"/>
    </w:rPr>
  </w:style>
  <w:style w:type="paragraph" w:customStyle="1" w:styleId="Affiliation">
    <w:name w:val="Affiliation"/>
    <w:basedOn w:val="Normal"/>
    <w:rsid w:val="007B01F4"/>
    <w:pPr>
      <w:spacing w:after="240" w:line="240" w:lineRule="exact"/>
      <w:jc w:val="right"/>
    </w:pPr>
    <w:rPr>
      <w:rFonts w:ascii="Helvetica" w:eastAsia="Times New Roman" w:hAnsi="Helvetica" w:cs="Times New Roman"/>
      <w:kern w:val="0"/>
      <w:sz w:val="20"/>
      <w:szCs w:val="20"/>
      <w:lang w:val="en-US"/>
      <w14:ligatures w14:val="none"/>
    </w:rPr>
  </w:style>
  <w:style w:type="paragraph" w:styleId="Header">
    <w:name w:val="header"/>
    <w:basedOn w:val="Normal"/>
    <w:link w:val="HeaderChar"/>
    <w:uiPriority w:val="99"/>
    <w:unhideWhenUsed/>
    <w:rsid w:val="007B01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01F4"/>
  </w:style>
  <w:style w:type="paragraph" w:customStyle="1" w:styleId="ReferHead">
    <w:name w:val="Refer Head"/>
    <w:basedOn w:val="Normal"/>
    <w:rsid w:val="00EF5532"/>
    <w:pPr>
      <w:keepNext/>
      <w:spacing w:after="240" w:line="240" w:lineRule="auto"/>
    </w:pPr>
    <w:rPr>
      <w:rFonts w:ascii="Helvetica" w:eastAsia="Times New Roman" w:hAnsi="Helvetica" w:cs="Times New Roman"/>
      <w:b/>
      <w:caps/>
      <w:kern w:val="0"/>
      <w:sz w:val="22"/>
      <w:szCs w:val="20"/>
      <w:lang w:val="en-US"/>
      <w14:ligatures w14:val="none"/>
    </w:rPr>
  </w:style>
  <w:style w:type="character" w:styleId="Hyperlink">
    <w:name w:val="Hyperlink"/>
    <w:basedOn w:val="DefaultParagraphFont"/>
    <w:uiPriority w:val="99"/>
    <w:unhideWhenUsed/>
    <w:rsid w:val="00732DDE"/>
    <w:rPr>
      <w:color w:val="467886" w:themeColor="hyperlink"/>
      <w:u w:val="single"/>
    </w:rPr>
  </w:style>
  <w:style w:type="character" w:styleId="UnresolvedMention">
    <w:name w:val="Unresolved Mention"/>
    <w:basedOn w:val="DefaultParagraphFont"/>
    <w:uiPriority w:val="99"/>
    <w:semiHidden/>
    <w:unhideWhenUsed/>
    <w:rsid w:val="00732D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9AD2EA9-A671-8248-B47F-EAAFED85869F}">
  <we:reference id="f78a3046-9e99-4300-aa2b-5814002b01a2" version="1.46.0.0" store="EXCatalog" storeType="EXCatalog"/>
  <we:alternateReferences>
    <we:reference id="WA104382081" version="1.46.0.0" store="en-IN"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926826-9110-4BBF-9044-B04E06D67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6</Pages>
  <Words>1587</Words>
  <Characters>9047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NILAKSHI BANERJEE-150101542</dc:creator>
  <cp:keywords/>
  <dc:description/>
  <cp:lastModifiedBy>SDI 1084</cp:lastModifiedBy>
  <cp:revision>29</cp:revision>
  <dcterms:created xsi:type="dcterms:W3CDTF">2025-07-14T16:51:00Z</dcterms:created>
  <dcterms:modified xsi:type="dcterms:W3CDTF">2025-08-13T14:27:00Z</dcterms:modified>
</cp:coreProperties>
</file>