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697ACC" w14:textId="77777777" w:rsidR="00E57A1C" w:rsidRDefault="00E57A1C" w:rsidP="00F67B20">
      <w:pPr>
        <w:spacing w:line="240" w:lineRule="auto"/>
        <w:jc w:val="both"/>
        <w:rPr>
          <w:rFonts w:ascii="Arial" w:hAnsi="Arial" w:cs="Arial"/>
          <w:b/>
          <w:iCs/>
          <w:sz w:val="24"/>
          <w:szCs w:val="24"/>
        </w:rPr>
      </w:pPr>
      <w:r w:rsidRPr="00E57A1C">
        <w:rPr>
          <w:rFonts w:ascii="Arial" w:hAnsi="Arial" w:cs="Arial"/>
          <w:b/>
          <w:iCs/>
          <w:sz w:val="24"/>
          <w:szCs w:val="24"/>
        </w:rPr>
        <w:t>Original Research Article</w:t>
      </w:r>
    </w:p>
    <w:p w14:paraId="105DB257" w14:textId="3BFD1DB5" w:rsidR="00352417" w:rsidRPr="00F67B20" w:rsidRDefault="00FA2E5F" w:rsidP="00F67B20">
      <w:pPr>
        <w:spacing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F67B20">
        <w:rPr>
          <w:rFonts w:ascii="Arial" w:hAnsi="Arial" w:cs="Arial"/>
          <w:b/>
          <w:iCs/>
          <w:sz w:val="24"/>
          <w:szCs w:val="24"/>
        </w:rPr>
        <w:t xml:space="preserve">Assessment of </w:t>
      </w:r>
      <w:r w:rsidR="00124A9F">
        <w:rPr>
          <w:rFonts w:ascii="Arial" w:hAnsi="Arial" w:cs="Arial"/>
          <w:b/>
          <w:iCs/>
          <w:sz w:val="24"/>
          <w:szCs w:val="24"/>
        </w:rPr>
        <w:t>A</w:t>
      </w:r>
      <w:r w:rsidRPr="00F67B20">
        <w:rPr>
          <w:rFonts w:ascii="Arial" w:hAnsi="Arial" w:cs="Arial"/>
          <w:b/>
          <w:iCs/>
          <w:sz w:val="24"/>
          <w:szCs w:val="24"/>
        </w:rPr>
        <w:t>ntibacterial</w:t>
      </w:r>
      <w:r w:rsidR="00773AC4" w:rsidRPr="00F67B20">
        <w:rPr>
          <w:rFonts w:ascii="Arial" w:hAnsi="Arial" w:cs="Arial"/>
          <w:b/>
          <w:iCs/>
          <w:sz w:val="24"/>
          <w:szCs w:val="24"/>
        </w:rPr>
        <w:t xml:space="preserve">, </w:t>
      </w:r>
      <w:r w:rsidR="00124A9F">
        <w:rPr>
          <w:rFonts w:ascii="Arial" w:hAnsi="Arial" w:cs="Arial"/>
          <w:b/>
          <w:iCs/>
          <w:sz w:val="24"/>
          <w:szCs w:val="24"/>
        </w:rPr>
        <w:t>A</w:t>
      </w:r>
      <w:r w:rsidR="00773AC4" w:rsidRPr="00F67B20">
        <w:rPr>
          <w:rFonts w:ascii="Arial" w:hAnsi="Arial" w:cs="Arial"/>
          <w:b/>
          <w:iCs/>
          <w:sz w:val="24"/>
          <w:szCs w:val="24"/>
        </w:rPr>
        <w:t>nti-</w:t>
      </w:r>
      <w:r w:rsidR="00124A9F">
        <w:rPr>
          <w:rFonts w:ascii="Arial" w:hAnsi="Arial" w:cs="Arial"/>
          <w:b/>
          <w:iCs/>
          <w:sz w:val="24"/>
          <w:szCs w:val="24"/>
        </w:rPr>
        <w:t>B</w:t>
      </w:r>
      <w:r w:rsidR="00773AC4" w:rsidRPr="00F67B20">
        <w:rPr>
          <w:rFonts w:ascii="Arial" w:hAnsi="Arial" w:cs="Arial"/>
          <w:b/>
          <w:iCs/>
          <w:sz w:val="24"/>
          <w:szCs w:val="24"/>
        </w:rPr>
        <w:t>iofilm,</w:t>
      </w:r>
      <w:r w:rsidR="00532AF9" w:rsidRPr="00F67B20">
        <w:rPr>
          <w:rFonts w:ascii="Arial" w:hAnsi="Arial" w:cs="Arial"/>
          <w:b/>
          <w:iCs/>
          <w:sz w:val="24"/>
          <w:szCs w:val="24"/>
        </w:rPr>
        <w:t xml:space="preserve"> </w:t>
      </w:r>
      <w:r w:rsidRPr="00F67B20">
        <w:rPr>
          <w:rFonts w:ascii="Arial" w:hAnsi="Arial" w:cs="Arial"/>
          <w:b/>
          <w:iCs/>
          <w:sz w:val="24"/>
          <w:szCs w:val="24"/>
        </w:rPr>
        <w:t xml:space="preserve">and </w:t>
      </w:r>
      <w:r w:rsidR="00124A9F">
        <w:rPr>
          <w:rFonts w:ascii="Arial" w:hAnsi="Arial" w:cs="Arial"/>
          <w:b/>
          <w:iCs/>
          <w:sz w:val="24"/>
          <w:szCs w:val="24"/>
        </w:rPr>
        <w:t>A</w:t>
      </w:r>
      <w:r w:rsidRPr="00F67B20">
        <w:rPr>
          <w:rFonts w:ascii="Arial" w:hAnsi="Arial" w:cs="Arial"/>
          <w:b/>
          <w:iCs/>
          <w:sz w:val="24"/>
          <w:szCs w:val="24"/>
        </w:rPr>
        <w:t>nti-</w:t>
      </w:r>
      <w:r w:rsidR="00124A9F">
        <w:rPr>
          <w:rFonts w:ascii="Arial" w:hAnsi="Arial" w:cs="Arial"/>
          <w:b/>
          <w:iCs/>
          <w:sz w:val="24"/>
          <w:szCs w:val="24"/>
        </w:rPr>
        <w:t>I</w:t>
      </w:r>
      <w:r w:rsidRPr="00F67B20">
        <w:rPr>
          <w:rFonts w:ascii="Arial" w:hAnsi="Arial" w:cs="Arial"/>
          <w:b/>
          <w:iCs/>
          <w:sz w:val="24"/>
          <w:szCs w:val="24"/>
        </w:rPr>
        <w:t xml:space="preserve">nflammatory </w:t>
      </w:r>
      <w:r w:rsidR="00124A9F">
        <w:rPr>
          <w:rFonts w:ascii="Arial" w:hAnsi="Arial" w:cs="Arial"/>
          <w:b/>
          <w:iCs/>
          <w:sz w:val="24"/>
          <w:szCs w:val="24"/>
        </w:rPr>
        <w:t>P</w:t>
      </w:r>
      <w:r w:rsidRPr="00F67B20">
        <w:rPr>
          <w:rFonts w:ascii="Arial" w:hAnsi="Arial" w:cs="Arial"/>
          <w:b/>
          <w:iCs/>
          <w:sz w:val="24"/>
          <w:szCs w:val="24"/>
        </w:rPr>
        <w:t xml:space="preserve">roperties of </w:t>
      </w:r>
      <w:proofErr w:type="spellStart"/>
      <w:r w:rsidR="004C6588" w:rsidRPr="00F67B20">
        <w:rPr>
          <w:rFonts w:ascii="Arial" w:hAnsi="Arial" w:cs="Arial"/>
          <w:b/>
          <w:i/>
          <w:iCs/>
          <w:sz w:val="24"/>
          <w:szCs w:val="24"/>
        </w:rPr>
        <w:t>Azadirachta</w:t>
      </w:r>
      <w:proofErr w:type="spellEnd"/>
      <w:r w:rsidR="004C6588" w:rsidRPr="00F67B20">
        <w:rPr>
          <w:rFonts w:ascii="Arial" w:hAnsi="Arial" w:cs="Arial"/>
          <w:b/>
          <w:i/>
          <w:iCs/>
          <w:sz w:val="24"/>
          <w:szCs w:val="24"/>
        </w:rPr>
        <w:t xml:space="preserve"> </w:t>
      </w:r>
      <w:proofErr w:type="spellStart"/>
      <w:r w:rsidR="004C6588" w:rsidRPr="00F67B20">
        <w:rPr>
          <w:rFonts w:ascii="Arial" w:hAnsi="Arial" w:cs="Arial"/>
          <w:b/>
          <w:i/>
          <w:iCs/>
          <w:sz w:val="24"/>
          <w:szCs w:val="24"/>
        </w:rPr>
        <w:t>indica</w:t>
      </w:r>
      <w:proofErr w:type="spellEnd"/>
      <w:r w:rsidR="004C6588" w:rsidRPr="00F67B20">
        <w:rPr>
          <w:rFonts w:ascii="Arial" w:hAnsi="Arial" w:cs="Arial"/>
          <w:b/>
          <w:i/>
          <w:iCs/>
          <w:sz w:val="24"/>
          <w:szCs w:val="24"/>
        </w:rPr>
        <w:t xml:space="preserve"> </w:t>
      </w:r>
      <w:r w:rsidR="004C6588" w:rsidRPr="00F67B20">
        <w:rPr>
          <w:rFonts w:ascii="Arial" w:hAnsi="Arial" w:cs="Arial"/>
          <w:b/>
          <w:sz w:val="24"/>
          <w:szCs w:val="24"/>
        </w:rPr>
        <w:t xml:space="preserve">A. Juss (Neem) </w:t>
      </w:r>
      <w:r w:rsidR="00124A9F">
        <w:rPr>
          <w:rFonts w:ascii="Arial" w:hAnsi="Arial" w:cs="Arial"/>
          <w:b/>
          <w:sz w:val="24"/>
          <w:szCs w:val="24"/>
        </w:rPr>
        <w:t>O</w:t>
      </w:r>
      <w:r w:rsidR="004C6588" w:rsidRPr="00F67B20">
        <w:rPr>
          <w:rFonts w:ascii="Arial" w:hAnsi="Arial" w:cs="Arial"/>
          <w:b/>
          <w:sz w:val="24"/>
          <w:szCs w:val="24"/>
        </w:rPr>
        <w:t xml:space="preserve">il </w:t>
      </w:r>
      <w:r w:rsidR="00124A9F">
        <w:rPr>
          <w:rFonts w:ascii="Arial" w:hAnsi="Arial" w:cs="Arial"/>
          <w:b/>
          <w:sz w:val="24"/>
          <w:szCs w:val="24"/>
        </w:rPr>
        <w:t>A</w:t>
      </w:r>
      <w:r w:rsidR="004C6588" w:rsidRPr="00F67B20">
        <w:rPr>
          <w:rFonts w:ascii="Arial" w:hAnsi="Arial" w:cs="Arial"/>
          <w:b/>
          <w:sz w:val="24"/>
          <w:szCs w:val="24"/>
        </w:rPr>
        <w:t xml:space="preserve">gainst </w:t>
      </w:r>
      <w:r w:rsidR="00124A9F">
        <w:rPr>
          <w:rFonts w:ascii="Arial" w:hAnsi="Arial" w:cs="Arial"/>
          <w:b/>
          <w:sz w:val="24"/>
          <w:szCs w:val="24"/>
        </w:rPr>
        <w:t>M</w:t>
      </w:r>
      <w:r w:rsidR="00773AC4" w:rsidRPr="00F67B20">
        <w:rPr>
          <w:rFonts w:ascii="Arial" w:hAnsi="Arial" w:cs="Arial"/>
          <w:b/>
          <w:sz w:val="24"/>
          <w:szCs w:val="24"/>
        </w:rPr>
        <w:t>ultidrug-</w:t>
      </w:r>
      <w:r w:rsidR="00124A9F">
        <w:rPr>
          <w:rFonts w:ascii="Arial" w:hAnsi="Arial" w:cs="Arial"/>
          <w:b/>
          <w:sz w:val="24"/>
          <w:szCs w:val="24"/>
        </w:rPr>
        <w:t>R</w:t>
      </w:r>
      <w:r w:rsidR="00773AC4" w:rsidRPr="00F67B20">
        <w:rPr>
          <w:rFonts w:ascii="Arial" w:hAnsi="Arial" w:cs="Arial"/>
          <w:b/>
          <w:sz w:val="24"/>
          <w:szCs w:val="24"/>
        </w:rPr>
        <w:t>esistant</w:t>
      </w:r>
      <w:r w:rsidRPr="00F67B20">
        <w:rPr>
          <w:rFonts w:ascii="Arial" w:hAnsi="Arial" w:cs="Arial"/>
          <w:b/>
          <w:sz w:val="24"/>
          <w:szCs w:val="24"/>
        </w:rPr>
        <w:t xml:space="preserve"> </w:t>
      </w:r>
      <w:r w:rsidR="00124A9F">
        <w:rPr>
          <w:rFonts w:ascii="Arial" w:hAnsi="Arial" w:cs="Arial"/>
          <w:b/>
          <w:sz w:val="24"/>
          <w:szCs w:val="24"/>
        </w:rPr>
        <w:t>P</w:t>
      </w:r>
      <w:r w:rsidRPr="00F67B20">
        <w:rPr>
          <w:rFonts w:ascii="Arial" w:hAnsi="Arial" w:cs="Arial"/>
          <w:b/>
          <w:sz w:val="24"/>
          <w:szCs w:val="24"/>
        </w:rPr>
        <w:t>athogens</w:t>
      </w:r>
    </w:p>
    <w:p w14:paraId="59CFAB7F" w14:textId="77777777" w:rsidR="0030549C" w:rsidRDefault="0030549C" w:rsidP="00B556FD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1CE37833" w14:textId="77777777" w:rsidR="0030549C" w:rsidRDefault="0030549C" w:rsidP="00B556FD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38AAC8DC" w14:textId="0EF30A6C" w:rsidR="00B67BAD" w:rsidRPr="00F67B20" w:rsidRDefault="00B556FD" w:rsidP="00B556FD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F67B20">
        <w:rPr>
          <w:rFonts w:ascii="Arial" w:hAnsi="Arial" w:cs="Arial"/>
          <w:b/>
          <w:bCs/>
          <w:sz w:val="24"/>
          <w:szCs w:val="24"/>
        </w:rPr>
        <w:t>ABSTRACT</w:t>
      </w:r>
    </w:p>
    <w:p w14:paraId="02918980" w14:textId="37472227" w:rsidR="0024050A" w:rsidRPr="001C1958" w:rsidRDefault="008720DF" w:rsidP="00F67B20">
      <w:pPr>
        <w:spacing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F67B20">
        <w:rPr>
          <w:rFonts w:ascii="Arial" w:hAnsi="Arial" w:cs="Arial"/>
          <w:bCs/>
          <w:sz w:val="24"/>
          <w:szCs w:val="24"/>
        </w:rPr>
        <w:t xml:space="preserve">The </w:t>
      </w:r>
      <w:r w:rsidR="00532AF9" w:rsidRPr="00F67B20">
        <w:rPr>
          <w:rFonts w:ascii="Arial" w:hAnsi="Arial" w:cs="Arial"/>
          <w:bCs/>
          <w:sz w:val="24"/>
          <w:szCs w:val="24"/>
        </w:rPr>
        <w:t>Extended</w:t>
      </w:r>
      <w:r w:rsidR="000215E0" w:rsidRPr="00F67B20">
        <w:rPr>
          <w:rFonts w:ascii="Arial" w:hAnsi="Arial" w:cs="Arial"/>
          <w:bCs/>
          <w:sz w:val="24"/>
          <w:szCs w:val="24"/>
        </w:rPr>
        <w:t xml:space="preserve"> Spectrum beta lactamase (ESBL),</w:t>
      </w:r>
      <w:r w:rsidR="00532AF9" w:rsidRPr="00F67B20">
        <w:rPr>
          <w:rFonts w:ascii="Arial" w:hAnsi="Arial" w:cs="Arial"/>
          <w:bCs/>
          <w:sz w:val="24"/>
          <w:szCs w:val="24"/>
        </w:rPr>
        <w:t xml:space="preserve"> </w:t>
      </w:r>
      <w:r w:rsidR="0024050A" w:rsidRPr="00F67B20">
        <w:rPr>
          <w:rFonts w:ascii="Arial" w:hAnsi="Arial" w:cs="Arial"/>
          <w:bCs/>
          <w:i/>
          <w:iCs/>
          <w:sz w:val="24"/>
          <w:szCs w:val="24"/>
        </w:rPr>
        <w:t>E</w:t>
      </w:r>
      <w:r w:rsidR="0032393C" w:rsidRPr="00F67B20">
        <w:rPr>
          <w:rFonts w:ascii="Arial" w:hAnsi="Arial" w:cs="Arial"/>
          <w:bCs/>
          <w:i/>
          <w:iCs/>
          <w:sz w:val="24"/>
          <w:szCs w:val="24"/>
        </w:rPr>
        <w:t>scheri</w:t>
      </w:r>
      <w:r w:rsidR="00FC533A" w:rsidRPr="00F67B20">
        <w:rPr>
          <w:rFonts w:ascii="Arial" w:hAnsi="Arial" w:cs="Arial"/>
          <w:bCs/>
          <w:i/>
          <w:iCs/>
          <w:sz w:val="24"/>
          <w:szCs w:val="24"/>
        </w:rPr>
        <w:t>chia</w:t>
      </w:r>
      <w:r w:rsidR="0024050A" w:rsidRPr="00F67B20">
        <w:rPr>
          <w:rFonts w:ascii="Arial" w:hAnsi="Arial" w:cs="Arial"/>
          <w:bCs/>
          <w:i/>
          <w:iCs/>
          <w:sz w:val="24"/>
          <w:szCs w:val="24"/>
        </w:rPr>
        <w:t xml:space="preserve"> coli</w:t>
      </w:r>
      <w:r w:rsidR="000215E0" w:rsidRPr="00F67B20">
        <w:rPr>
          <w:rFonts w:ascii="Arial" w:hAnsi="Arial" w:cs="Arial"/>
          <w:bCs/>
          <w:i/>
          <w:iCs/>
          <w:sz w:val="24"/>
          <w:szCs w:val="24"/>
        </w:rPr>
        <w:t>,</w:t>
      </w:r>
      <w:r w:rsidR="0024050A" w:rsidRPr="00F67B20">
        <w:rPr>
          <w:rFonts w:ascii="Arial" w:hAnsi="Arial" w:cs="Arial"/>
          <w:bCs/>
          <w:sz w:val="24"/>
          <w:szCs w:val="24"/>
        </w:rPr>
        <w:t xml:space="preserve"> and Methicillin-resistant </w:t>
      </w:r>
      <w:r w:rsidR="0024050A" w:rsidRPr="00F67B20">
        <w:rPr>
          <w:rFonts w:ascii="Arial" w:hAnsi="Arial" w:cs="Arial"/>
          <w:bCs/>
          <w:i/>
          <w:iCs/>
          <w:sz w:val="24"/>
          <w:szCs w:val="24"/>
        </w:rPr>
        <w:t xml:space="preserve">Staphylococcus aureus </w:t>
      </w:r>
      <w:r w:rsidR="0024050A" w:rsidRPr="00F67B20">
        <w:rPr>
          <w:rFonts w:ascii="Arial" w:hAnsi="Arial" w:cs="Arial"/>
          <w:bCs/>
          <w:sz w:val="24"/>
          <w:szCs w:val="24"/>
        </w:rPr>
        <w:t xml:space="preserve">(MRSA) infections </w:t>
      </w:r>
      <w:r w:rsidR="00532AF9" w:rsidRPr="00F67B20">
        <w:rPr>
          <w:rFonts w:ascii="Arial" w:hAnsi="Arial" w:cs="Arial"/>
          <w:bCs/>
          <w:sz w:val="24"/>
          <w:szCs w:val="24"/>
        </w:rPr>
        <w:t>have</w:t>
      </w:r>
      <w:r w:rsidR="0024050A" w:rsidRPr="00F67B20">
        <w:rPr>
          <w:rFonts w:ascii="Arial" w:hAnsi="Arial" w:cs="Arial"/>
          <w:bCs/>
          <w:sz w:val="24"/>
          <w:szCs w:val="24"/>
        </w:rPr>
        <w:t xml:space="preserve"> sparked research on alternative herbal medicines for treat</w:t>
      </w:r>
      <w:r w:rsidR="0021794B" w:rsidRPr="00F67B20">
        <w:rPr>
          <w:rFonts w:ascii="Arial" w:hAnsi="Arial" w:cs="Arial"/>
          <w:bCs/>
          <w:sz w:val="24"/>
          <w:szCs w:val="24"/>
        </w:rPr>
        <w:t>ment</w:t>
      </w:r>
      <w:r w:rsidR="0024050A" w:rsidRPr="00F67B20">
        <w:rPr>
          <w:rFonts w:ascii="Arial" w:hAnsi="Arial" w:cs="Arial"/>
          <w:bCs/>
          <w:sz w:val="24"/>
          <w:szCs w:val="24"/>
        </w:rPr>
        <w:t xml:space="preserve">. The present investigation assessed </w:t>
      </w:r>
      <w:proofErr w:type="spellStart"/>
      <w:r w:rsidR="0024050A" w:rsidRPr="00F67B20">
        <w:rPr>
          <w:rFonts w:ascii="Arial" w:hAnsi="Arial" w:cs="Arial"/>
          <w:bCs/>
          <w:i/>
          <w:iCs/>
          <w:sz w:val="24"/>
          <w:szCs w:val="24"/>
        </w:rPr>
        <w:t>Azadirachta</w:t>
      </w:r>
      <w:proofErr w:type="spellEnd"/>
      <w:r w:rsidR="0024050A" w:rsidRPr="00F67B20">
        <w:rPr>
          <w:rFonts w:ascii="Arial" w:hAnsi="Arial" w:cs="Arial"/>
          <w:bCs/>
          <w:i/>
          <w:iCs/>
          <w:sz w:val="24"/>
          <w:szCs w:val="24"/>
        </w:rPr>
        <w:t xml:space="preserve"> </w:t>
      </w:r>
      <w:proofErr w:type="spellStart"/>
      <w:r w:rsidR="0024050A" w:rsidRPr="00F67B20">
        <w:rPr>
          <w:rFonts w:ascii="Arial" w:hAnsi="Arial" w:cs="Arial"/>
          <w:bCs/>
          <w:i/>
          <w:iCs/>
          <w:sz w:val="24"/>
          <w:szCs w:val="24"/>
        </w:rPr>
        <w:t>indica</w:t>
      </w:r>
      <w:proofErr w:type="spellEnd"/>
      <w:r w:rsidR="0024050A" w:rsidRPr="00F67B20">
        <w:rPr>
          <w:rFonts w:ascii="Arial" w:hAnsi="Arial" w:cs="Arial"/>
          <w:bCs/>
          <w:i/>
          <w:iCs/>
          <w:sz w:val="24"/>
          <w:szCs w:val="24"/>
        </w:rPr>
        <w:t xml:space="preserve"> </w:t>
      </w:r>
      <w:r w:rsidR="0024050A" w:rsidRPr="00F67B20">
        <w:rPr>
          <w:rFonts w:ascii="Arial" w:hAnsi="Arial" w:cs="Arial"/>
          <w:bCs/>
          <w:sz w:val="24"/>
          <w:szCs w:val="24"/>
        </w:rPr>
        <w:t xml:space="preserve">A. Juss (Neem) oil's antibacterial, anti-inflammatory, and anti-biofilm properties on </w:t>
      </w:r>
      <w:r w:rsidR="00B345FC" w:rsidRPr="00F67B20">
        <w:rPr>
          <w:rFonts w:ascii="Arial" w:hAnsi="Arial" w:cs="Arial"/>
          <w:bCs/>
          <w:sz w:val="24"/>
          <w:szCs w:val="24"/>
        </w:rPr>
        <w:t xml:space="preserve">Extended-Spectrum Beta-Lactamase (ESBL) </w:t>
      </w:r>
      <w:r w:rsidR="00532AF9" w:rsidRPr="00F67B20">
        <w:rPr>
          <w:rFonts w:ascii="Arial" w:hAnsi="Arial" w:cs="Arial"/>
          <w:bCs/>
          <w:sz w:val="24"/>
          <w:szCs w:val="24"/>
        </w:rPr>
        <w:t>and MRSA</w:t>
      </w:r>
      <w:r w:rsidRPr="00F67B20">
        <w:rPr>
          <w:rFonts w:ascii="Arial" w:hAnsi="Arial" w:cs="Arial"/>
          <w:bCs/>
          <w:sz w:val="24"/>
          <w:szCs w:val="24"/>
        </w:rPr>
        <w:t xml:space="preserve"> pathogens</w:t>
      </w:r>
      <w:r w:rsidR="0024050A" w:rsidRPr="00F67B20">
        <w:rPr>
          <w:rFonts w:ascii="Arial" w:hAnsi="Arial" w:cs="Arial"/>
          <w:bCs/>
          <w:sz w:val="24"/>
          <w:szCs w:val="24"/>
        </w:rPr>
        <w:t>.</w:t>
      </w:r>
      <w:r w:rsidR="001C1958">
        <w:rPr>
          <w:rFonts w:ascii="Arial" w:hAnsi="Arial" w:cs="Arial"/>
          <w:bCs/>
          <w:sz w:val="24"/>
          <w:szCs w:val="24"/>
        </w:rPr>
        <w:t xml:space="preserve"> </w:t>
      </w:r>
      <w:r w:rsidR="00D62AEC">
        <w:rPr>
          <w:rFonts w:ascii="Arial" w:hAnsi="Arial" w:cs="Arial"/>
          <w:sz w:val="24"/>
          <w:szCs w:val="24"/>
        </w:rPr>
        <w:t>The antimicrobial activity of a formulated neem oil (NO) was evaluated in vitro by determining the MIC, MBC values, and time-kill kinetics, as well as bacteriostatic and bactericidal activity against</w:t>
      </w:r>
      <w:r w:rsidR="0024050A" w:rsidRPr="00F67B20">
        <w:rPr>
          <w:rFonts w:ascii="Arial" w:hAnsi="Arial" w:cs="Arial"/>
          <w:sz w:val="24"/>
          <w:szCs w:val="24"/>
        </w:rPr>
        <w:t xml:space="preserve"> the experimental isolates. </w:t>
      </w:r>
      <w:r w:rsidR="0027038D" w:rsidRPr="00F67B20">
        <w:rPr>
          <w:rFonts w:ascii="Arial" w:hAnsi="Arial" w:cs="Arial"/>
          <w:sz w:val="24"/>
          <w:szCs w:val="24"/>
        </w:rPr>
        <w:t xml:space="preserve">MTT and Crystal Violet assays </w:t>
      </w:r>
      <w:r w:rsidRPr="00F67B20">
        <w:rPr>
          <w:rFonts w:ascii="Arial" w:hAnsi="Arial" w:cs="Arial"/>
          <w:sz w:val="24"/>
          <w:szCs w:val="24"/>
        </w:rPr>
        <w:t>assessed anti</w:t>
      </w:r>
      <w:r w:rsidR="0024050A" w:rsidRPr="00F67B20">
        <w:rPr>
          <w:rFonts w:ascii="Arial" w:hAnsi="Arial" w:cs="Arial"/>
          <w:sz w:val="24"/>
          <w:szCs w:val="24"/>
        </w:rPr>
        <w:t>-biofilm activity. Anti-inflammatory properties were assessed in vi</w:t>
      </w:r>
      <w:r w:rsidR="00A60255" w:rsidRPr="00F67B20">
        <w:rPr>
          <w:rFonts w:ascii="Arial" w:hAnsi="Arial" w:cs="Arial"/>
          <w:sz w:val="24"/>
          <w:szCs w:val="24"/>
        </w:rPr>
        <w:t>tro</w:t>
      </w:r>
      <w:r w:rsidR="0024050A" w:rsidRPr="00F67B20">
        <w:rPr>
          <w:rFonts w:ascii="Arial" w:hAnsi="Arial" w:cs="Arial"/>
          <w:sz w:val="24"/>
          <w:szCs w:val="24"/>
        </w:rPr>
        <w:t xml:space="preserve"> by </w:t>
      </w:r>
      <w:r w:rsidR="00773AC4" w:rsidRPr="00F67B20">
        <w:rPr>
          <w:rFonts w:ascii="Arial" w:hAnsi="Arial" w:cs="Arial"/>
          <w:sz w:val="24"/>
          <w:szCs w:val="24"/>
        </w:rPr>
        <w:t>the</w:t>
      </w:r>
      <w:r w:rsidR="00A60255" w:rsidRPr="00F67B20">
        <w:rPr>
          <w:rFonts w:ascii="Arial" w:hAnsi="Arial" w:cs="Arial"/>
          <w:sz w:val="24"/>
          <w:szCs w:val="24"/>
        </w:rPr>
        <w:t xml:space="preserve"> Nitric Oxide estimation assay.</w:t>
      </w:r>
      <w:r w:rsidR="0024050A" w:rsidRPr="00F67B20">
        <w:rPr>
          <w:rFonts w:ascii="Arial" w:hAnsi="Arial" w:cs="Arial"/>
          <w:sz w:val="24"/>
          <w:szCs w:val="24"/>
        </w:rPr>
        <w:t xml:space="preserve"> </w:t>
      </w:r>
      <w:r w:rsidR="0024050A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The MIC and MBC values determined showed lower MIC </w:t>
      </w:r>
      <w:r w:rsidR="00E816D9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values </w:t>
      </w:r>
      <w:r w:rsidR="00F07F82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(40 µL/mL) </w:t>
      </w:r>
      <w:r w:rsidR="00E816D9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against MRSA </w:t>
      </w:r>
      <w:r w:rsidR="000052A7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compared to </w:t>
      </w:r>
      <w:r w:rsidR="00773AC4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>ESBL</w:t>
      </w:r>
      <w:r w:rsidR="00A60255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 </w:t>
      </w:r>
      <w:r w:rsidR="007817EC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>(80 µL/mL)</w:t>
      </w:r>
      <w:r w:rsidR="00773AC4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>, indicating higher effectiveness against MRSA</w:t>
      </w:r>
      <w:r w:rsidR="0024050A" w:rsidRPr="00F67B20">
        <w:rPr>
          <w:rFonts w:ascii="Arial" w:hAnsi="Arial" w:cs="Arial"/>
          <w:sz w:val="24"/>
          <w:szCs w:val="24"/>
        </w:rPr>
        <w:t xml:space="preserve">. </w:t>
      </w:r>
      <w:r w:rsidR="00A60255" w:rsidRPr="00F67B20">
        <w:rPr>
          <w:rFonts w:ascii="Arial" w:hAnsi="Arial" w:cs="Arial"/>
          <w:sz w:val="24"/>
          <w:szCs w:val="24"/>
        </w:rPr>
        <w:t xml:space="preserve">From the Time kill kinetics assessment, </w:t>
      </w:r>
      <w:r w:rsidR="00A60255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it is evident from the results obtained that at a concentration corresponding to 2x MIC, the CFU/mL decreased appreciably than that at concentrations corresponding to the MIC. At ½ x MIC concentration, no effective change in CFU/mL could be observed against both ESBL and MRSA. </w:t>
      </w:r>
      <w:r w:rsidR="0024050A" w:rsidRPr="00F67B20">
        <w:rPr>
          <w:rFonts w:ascii="Arial" w:hAnsi="Arial" w:cs="Arial"/>
          <w:sz w:val="24"/>
          <w:szCs w:val="24"/>
        </w:rPr>
        <w:t>Biofilm suppression is evident</w:t>
      </w:r>
      <w:r w:rsidR="00773AC4" w:rsidRPr="00F67B20">
        <w:rPr>
          <w:rFonts w:ascii="Arial" w:hAnsi="Arial" w:cs="Arial"/>
          <w:sz w:val="24"/>
          <w:szCs w:val="24"/>
        </w:rPr>
        <w:t>,</w:t>
      </w:r>
      <w:r w:rsidR="0024050A" w:rsidRPr="00F67B20">
        <w:rPr>
          <w:rFonts w:ascii="Arial" w:hAnsi="Arial" w:cs="Arial"/>
          <w:sz w:val="24"/>
          <w:szCs w:val="24"/>
        </w:rPr>
        <w:t xml:space="preserve"> and biofilm inhibition of NO was comparatively higher against </w:t>
      </w:r>
      <w:r w:rsidR="0024050A" w:rsidRPr="00F67B20">
        <w:rPr>
          <w:rFonts w:ascii="Arial" w:hAnsi="Arial" w:cs="Arial"/>
          <w:i/>
          <w:iCs/>
          <w:sz w:val="24"/>
          <w:szCs w:val="24"/>
        </w:rPr>
        <w:t>Klebsiella</w:t>
      </w:r>
      <w:r w:rsidR="0024050A" w:rsidRPr="00F67B20">
        <w:rPr>
          <w:rFonts w:ascii="Arial" w:hAnsi="Arial" w:cs="Arial"/>
          <w:sz w:val="24"/>
          <w:szCs w:val="24"/>
        </w:rPr>
        <w:t xml:space="preserve"> than </w:t>
      </w:r>
      <w:r w:rsidR="0024050A" w:rsidRPr="00F67B20">
        <w:rPr>
          <w:rFonts w:ascii="Arial" w:hAnsi="Arial" w:cs="Arial"/>
          <w:i/>
          <w:sz w:val="24"/>
          <w:szCs w:val="24"/>
        </w:rPr>
        <w:t>E. coli</w:t>
      </w:r>
      <w:r w:rsidR="0024050A" w:rsidRPr="00F67B20">
        <w:rPr>
          <w:rFonts w:ascii="Arial" w:hAnsi="Arial" w:cs="Arial"/>
          <w:sz w:val="24"/>
          <w:szCs w:val="24"/>
        </w:rPr>
        <w:t xml:space="preserve">. </w:t>
      </w:r>
      <w:r w:rsidR="00070DDC" w:rsidRPr="00F67B20">
        <w:rPr>
          <w:rFonts w:ascii="Arial" w:hAnsi="Arial" w:cs="Arial"/>
          <w:sz w:val="24"/>
          <w:szCs w:val="24"/>
        </w:rPr>
        <w:t xml:space="preserve">The maximum inhibition is achieved at higher concentrations of 25 and 30 µL/mL of NO. </w:t>
      </w:r>
      <w:r w:rsidR="00C972F7" w:rsidRPr="00F67B20">
        <w:rPr>
          <w:rFonts w:ascii="Arial" w:hAnsi="Arial" w:cs="Arial"/>
          <w:sz w:val="24"/>
          <w:szCs w:val="24"/>
        </w:rPr>
        <w:t>I</w:t>
      </w:r>
      <w:r w:rsidR="0024050A" w:rsidRPr="00F67B20">
        <w:rPr>
          <w:rFonts w:ascii="Arial" w:hAnsi="Arial" w:cs="Arial"/>
          <w:sz w:val="24"/>
          <w:szCs w:val="24"/>
        </w:rPr>
        <w:t xml:space="preserve">n </w:t>
      </w:r>
      <w:r w:rsidR="00773AC4" w:rsidRPr="00F67B20">
        <w:rPr>
          <w:rFonts w:ascii="Arial" w:hAnsi="Arial" w:cs="Arial"/>
          <w:sz w:val="24"/>
          <w:szCs w:val="24"/>
        </w:rPr>
        <w:t xml:space="preserve">the </w:t>
      </w:r>
      <w:r w:rsidRPr="00F67B20">
        <w:rPr>
          <w:rFonts w:ascii="Arial" w:hAnsi="Arial" w:cs="Arial"/>
          <w:sz w:val="24"/>
          <w:szCs w:val="24"/>
        </w:rPr>
        <w:t>lipopolysaccharide-stimulated</w:t>
      </w:r>
      <w:r w:rsidR="0024050A" w:rsidRPr="00F67B20">
        <w:rPr>
          <w:rFonts w:ascii="Arial" w:hAnsi="Arial" w:cs="Arial"/>
          <w:sz w:val="24"/>
          <w:szCs w:val="24"/>
        </w:rPr>
        <w:t xml:space="preserve"> macrophage cell line</w:t>
      </w:r>
      <w:r w:rsidR="00773AC4" w:rsidRPr="00F67B20">
        <w:rPr>
          <w:rFonts w:ascii="Arial" w:hAnsi="Arial" w:cs="Arial"/>
          <w:b/>
          <w:bCs/>
          <w:sz w:val="24"/>
          <w:szCs w:val="24"/>
        </w:rPr>
        <w:t>,</w:t>
      </w:r>
      <w:r w:rsidR="00532AF9" w:rsidRPr="00F67B20">
        <w:rPr>
          <w:rFonts w:ascii="Arial" w:hAnsi="Arial" w:cs="Arial"/>
          <w:b/>
          <w:bCs/>
          <w:sz w:val="24"/>
          <w:szCs w:val="24"/>
        </w:rPr>
        <w:t xml:space="preserve"> </w:t>
      </w:r>
      <w:r w:rsidR="00C972F7" w:rsidRPr="00F67B20">
        <w:rPr>
          <w:rFonts w:ascii="Arial" w:hAnsi="Arial" w:cs="Arial"/>
          <w:sz w:val="24"/>
          <w:szCs w:val="24"/>
        </w:rPr>
        <w:t xml:space="preserve">NO reduced </w:t>
      </w:r>
      <w:r w:rsidR="00773AC4" w:rsidRPr="00F67B20">
        <w:rPr>
          <w:rFonts w:ascii="Arial" w:hAnsi="Arial" w:cs="Arial"/>
          <w:sz w:val="24"/>
          <w:szCs w:val="24"/>
        </w:rPr>
        <w:t xml:space="preserve">the </w:t>
      </w:r>
      <w:r w:rsidR="00C972F7" w:rsidRPr="00F67B20">
        <w:rPr>
          <w:rFonts w:ascii="Arial" w:hAnsi="Arial" w:cs="Arial"/>
          <w:sz w:val="24"/>
          <w:szCs w:val="24"/>
        </w:rPr>
        <w:t>synthesis of nitric oxide</w:t>
      </w:r>
      <w:r w:rsidR="0024050A" w:rsidRPr="00F67B20">
        <w:rPr>
          <w:rFonts w:ascii="Arial" w:hAnsi="Arial" w:cs="Arial"/>
          <w:sz w:val="24"/>
          <w:szCs w:val="24"/>
        </w:rPr>
        <w:t>.</w:t>
      </w:r>
      <w:r w:rsidR="00070DDC" w:rsidRPr="00F67B20">
        <w:rPr>
          <w:rFonts w:ascii="Arial" w:hAnsi="Arial" w:cs="Arial"/>
          <w:sz w:val="24"/>
          <w:szCs w:val="24"/>
        </w:rPr>
        <w:t xml:space="preserve"> </w:t>
      </w:r>
      <w:r w:rsidR="00070DDC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The anti-inflammatory ability of Neem oil in a murine model showed a decrease in nitrite levels, with a 50 </w:t>
      </w:r>
      <w:proofErr w:type="spellStart"/>
      <w:r w:rsidR="00070DDC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>μL</w:t>
      </w:r>
      <w:proofErr w:type="spellEnd"/>
      <w:r w:rsidR="00070DDC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 dose of being the most effective.</w:t>
      </w:r>
      <w:r w:rsidR="001C1958">
        <w:rPr>
          <w:rFonts w:ascii="Arial" w:hAnsi="Arial" w:cs="Arial"/>
          <w:bCs/>
          <w:sz w:val="24"/>
          <w:szCs w:val="24"/>
        </w:rPr>
        <w:t xml:space="preserve"> </w:t>
      </w:r>
      <w:r w:rsidR="0024050A" w:rsidRPr="00F67B20">
        <w:rPr>
          <w:rFonts w:ascii="Arial" w:hAnsi="Arial" w:cs="Arial"/>
          <w:sz w:val="24"/>
          <w:szCs w:val="24"/>
        </w:rPr>
        <w:t xml:space="preserve">The results indicate the efficacy of the neem oil formulation </w:t>
      </w:r>
      <w:r w:rsidR="000052A7" w:rsidRPr="00F67B20">
        <w:rPr>
          <w:rFonts w:ascii="Arial" w:hAnsi="Arial" w:cs="Arial"/>
          <w:sz w:val="24"/>
          <w:szCs w:val="24"/>
        </w:rPr>
        <w:t xml:space="preserve">used </w:t>
      </w:r>
      <w:r w:rsidR="0024050A" w:rsidRPr="00F67B20">
        <w:rPr>
          <w:rFonts w:ascii="Arial" w:hAnsi="Arial" w:cs="Arial"/>
          <w:sz w:val="24"/>
          <w:szCs w:val="24"/>
        </w:rPr>
        <w:t>as a potential antimicrobial and anti-inflammatory herbal product.</w:t>
      </w:r>
    </w:p>
    <w:p w14:paraId="2454AA46" w14:textId="08A3B0E4" w:rsidR="008720DF" w:rsidRPr="00F67B20" w:rsidRDefault="00532AF9" w:rsidP="00F67B20">
      <w:pPr>
        <w:spacing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F67B20">
        <w:rPr>
          <w:rFonts w:ascii="Arial" w:hAnsi="Arial" w:cs="Arial"/>
          <w:b/>
          <w:sz w:val="24"/>
          <w:szCs w:val="24"/>
        </w:rPr>
        <w:t>Keywords</w:t>
      </w:r>
      <w:r w:rsidR="00CF7CE1" w:rsidRPr="00F67B20">
        <w:rPr>
          <w:rFonts w:ascii="Arial" w:hAnsi="Arial" w:cs="Arial"/>
          <w:b/>
          <w:sz w:val="24"/>
          <w:szCs w:val="24"/>
        </w:rPr>
        <w:t>:</w:t>
      </w:r>
      <w:r w:rsidRPr="00F67B20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CF7CE1" w:rsidRPr="00F67B20">
        <w:rPr>
          <w:rFonts w:ascii="Arial" w:hAnsi="Arial" w:cs="Arial"/>
          <w:i/>
          <w:iCs/>
          <w:sz w:val="24"/>
          <w:szCs w:val="24"/>
        </w:rPr>
        <w:t>Azadirachta</w:t>
      </w:r>
      <w:proofErr w:type="spellEnd"/>
      <w:r w:rsidR="00CF7CE1" w:rsidRPr="00F67B20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CF7CE1" w:rsidRPr="00F67B20">
        <w:rPr>
          <w:rFonts w:ascii="Arial" w:hAnsi="Arial" w:cs="Arial"/>
          <w:i/>
          <w:iCs/>
          <w:sz w:val="24"/>
          <w:szCs w:val="24"/>
        </w:rPr>
        <w:t>indica</w:t>
      </w:r>
      <w:proofErr w:type="spellEnd"/>
      <w:r w:rsidR="00CF7CE1" w:rsidRPr="00F67B20">
        <w:rPr>
          <w:rFonts w:ascii="Arial" w:hAnsi="Arial" w:cs="Arial"/>
          <w:i/>
          <w:iCs/>
          <w:sz w:val="24"/>
          <w:szCs w:val="24"/>
        </w:rPr>
        <w:t xml:space="preserve"> </w:t>
      </w:r>
      <w:r w:rsidR="00CF7CE1" w:rsidRPr="00F67B20">
        <w:rPr>
          <w:rFonts w:ascii="Arial" w:hAnsi="Arial" w:cs="Arial"/>
          <w:sz w:val="24"/>
          <w:szCs w:val="24"/>
        </w:rPr>
        <w:t>A. Juss (Neem)</w:t>
      </w:r>
      <w:r w:rsidR="00CF7CE1" w:rsidRPr="00F67B20">
        <w:rPr>
          <w:rFonts w:ascii="Arial" w:hAnsi="Arial" w:cs="Arial"/>
          <w:bCs/>
          <w:sz w:val="24"/>
          <w:szCs w:val="24"/>
        </w:rPr>
        <w:t>, MRSA, ESBL, Biofilm, Anti-Inflammatory</w:t>
      </w:r>
    </w:p>
    <w:p w14:paraId="5F1510CD" w14:textId="77777777" w:rsidR="00C53BFA" w:rsidRPr="00F67B20" w:rsidRDefault="00C53BFA" w:rsidP="00F67B20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F67B20">
        <w:rPr>
          <w:rFonts w:ascii="Arial" w:hAnsi="Arial" w:cs="Arial"/>
          <w:b/>
          <w:sz w:val="24"/>
          <w:szCs w:val="24"/>
        </w:rPr>
        <w:br w:type="page"/>
      </w:r>
    </w:p>
    <w:p w14:paraId="34BCFACF" w14:textId="6BBA7ADF" w:rsidR="00A92885" w:rsidRPr="00F67B20" w:rsidRDefault="001C1958" w:rsidP="00F67B20">
      <w:pPr>
        <w:spacing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 xml:space="preserve">1. </w:t>
      </w:r>
      <w:r w:rsidRPr="00F67B20">
        <w:rPr>
          <w:rFonts w:ascii="Arial" w:hAnsi="Arial" w:cs="Arial"/>
          <w:b/>
          <w:bCs/>
          <w:sz w:val="24"/>
          <w:szCs w:val="24"/>
        </w:rPr>
        <w:t>INTRODUCTION</w:t>
      </w:r>
    </w:p>
    <w:p w14:paraId="50EEA62C" w14:textId="0574BAA4" w:rsidR="00352417" w:rsidRPr="00F67B20" w:rsidRDefault="003D7474" w:rsidP="00F67B20">
      <w:pPr>
        <w:spacing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en-IN"/>
        </w:rPr>
      </w:pPr>
      <w:r w:rsidRPr="00F67B20">
        <w:rPr>
          <w:rFonts w:ascii="Arial" w:hAnsi="Arial" w:cs="Arial"/>
          <w:sz w:val="24"/>
          <w:szCs w:val="24"/>
        </w:rPr>
        <w:t>In recent years</w:t>
      </w:r>
      <w:r w:rsidR="001C1958">
        <w:rPr>
          <w:rFonts w:ascii="Arial" w:hAnsi="Arial" w:cs="Arial"/>
          <w:sz w:val="24"/>
          <w:szCs w:val="24"/>
        </w:rPr>
        <w:t xml:space="preserve">, antimicrobial resistance has become the biggest risk to global public health, as many </w:t>
      </w:r>
      <w:r w:rsidRPr="00F67B20">
        <w:rPr>
          <w:rFonts w:ascii="Arial" w:hAnsi="Arial" w:cs="Arial"/>
          <w:sz w:val="24"/>
          <w:szCs w:val="24"/>
        </w:rPr>
        <w:t xml:space="preserve">standard antibiotics </w:t>
      </w:r>
      <w:r w:rsidR="00527777" w:rsidRPr="00F67B20">
        <w:rPr>
          <w:rFonts w:ascii="Arial" w:hAnsi="Arial" w:cs="Arial"/>
          <w:sz w:val="24"/>
          <w:szCs w:val="24"/>
        </w:rPr>
        <w:t>have</w:t>
      </w:r>
      <w:r w:rsidRPr="00F67B20">
        <w:rPr>
          <w:rFonts w:ascii="Arial" w:hAnsi="Arial" w:cs="Arial"/>
          <w:sz w:val="24"/>
          <w:szCs w:val="24"/>
        </w:rPr>
        <w:t xml:space="preserve"> become ineffective against </w:t>
      </w:r>
      <w:r w:rsidR="00C04B53" w:rsidRPr="00F67B20">
        <w:rPr>
          <w:rFonts w:ascii="Arial" w:hAnsi="Arial" w:cs="Arial"/>
          <w:sz w:val="24"/>
          <w:szCs w:val="24"/>
        </w:rPr>
        <w:t>common</w:t>
      </w:r>
      <w:r w:rsidRPr="00F67B20">
        <w:rPr>
          <w:rFonts w:ascii="Arial" w:hAnsi="Arial" w:cs="Arial"/>
          <w:sz w:val="24"/>
          <w:szCs w:val="24"/>
        </w:rPr>
        <w:t xml:space="preserve"> bacterial pathogens. </w:t>
      </w:r>
      <w:r w:rsidR="00C04B53" w:rsidRPr="00F67B20">
        <w:rPr>
          <w:rFonts w:ascii="Arial" w:hAnsi="Arial" w:cs="Arial"/>
          <w:sz w:val="24"/>
          <w:szCs w:val="24"/>
        </w:rPr>
        <w:t>Of concern is the fact that high resistance rates</w:t>
      </w:r>
      <w:r w:rsidR="00B42697" w:rsidRPr="00F67B20">
        <w:rPr>
          <w:rFonts w:ascii="Arial" w:hAnsi="Arial" w:cs="Arial"/>
          <w:sz w:val="24"/>
          <w:szCs w:val="24"/>
        </w:rPr>
        <w:t xml:space="preserve"> have been reported </w:t>
      </w:r>
      <w:r w:rsidR="00A45CF0" w:rsidRPr="00F67B20">
        <w:rPr>
          <w:rFonts w:ascii="Arial" w:hAnsi="Arial" w:cs="Arial"/>
          <w:sz w:val="24"/>
          <w:szCs w:val="24"/>
        </w:rPr>
        <w:t>in 76 countries</w:t>
      </w:r>
      <w:r w:rsidR="00170D93" w:rsidRPr="00F67B20">
        <w:rPr>
          <w:rFonts w:ascii="Arial" w:hAnsi="Arial" w:cs="Arial"/>
          <w:sz w:val="24"/>
          <w:szCs w:val="24"/>
        </w:rPr>
        <w:t xml:space="preserve"> </w:t>
      </w:r>
      <w:r w:rsidR="00C04B53" w:rsidRPr="00F67B20">
        <w:rPr>
          <w:rFonts w:ascii="Arial" w:hAnsi="Arial" w:cs="Arial"/>
          <w:sz w:val="24"/>
          <w:szCs w:val="24"/>
        </w:rPr>
        <w:t xml:space="preserve">for various common </w:t>
      </w:r>
      <w:r w:rsidR="00BC6851" w:rsidRPr="00F67B20">
        <w:rPr>
          <w:rFonts w:ascii="Arial" w:hAnsi="Arial" w:cs="Arial"/>
          <w:sz w:val="24"/>
          <w:szCs w:val="24"/>
        </w:rPr>
        <w:t xml:space="preserve">clinical </w:t>
      </w:r>
      <w:r w:rsidR="00C04B53" w:rsidRPr="00F67B20">
        <w:rPr>
          <w:rFonts w:ascii="Arial" w:hAnsi="Arial" w:cs="Arial"/>
          <w:sz w:val="24"/>
          <w:szCs w:val="24"/>
        </w:rPr>
        <w:t>pathogens</w:t>
      </w:r>
      <w:r w:rsidR="001C1958">
        <w:rPr>
          <w:rFonts w:ascii="Arial" w:hAnsi="Arial" w:cs="Arial"/>
          <w:sz w:val="24"/>
          <w:szCs w:val="24"/>
        </w:rPr>
        <w:t>,</w:t>
      </w:r>
      <w:r w:rsidR="00C04B53" w:rsidRPr="00F67B20">
        <w:rPr>
          <w:rFonts w:ascii="Arial" w:hAnsi="Arial" w:cs="Arial"/>
          <w:sz w:val="24"/>
          <w:szCs w:val="24"/>
        </w:rPr>
        <w:t xml:space="preserve"> </w:t>
      </w:r>
      <w:r w:rsidR="00F070A2" w:rsidRPr="00F67B20">
        <w:rPr>
          <w:rFonts w:ascii="Arial" w:hAnsi="Arial" w:cs="Arial"/>
          <w:sz w:val="24"/>
          <w:szCs w:val="24"/>
        </w:rPr>
        <w:t>viz.,</w:t>
      </w:r>
      <w:r w:rsidR="00532AF9" w:rsidRPr="00F67B20">
        <w:rPr>
          <w:rFonts w:ascii="Arial" w:hAnsi="Arial" w:cs="Arial"/>
          <w:sz w:val="24"/>
          <w:szCs w:val="24"/>
        </w:rPr>
        <w:t xml:space="preserve"> </w:t>
      </w:r>
      <w:r w:rsidR="00C13726" w:rsidRPr="00F67B20">
        <w:rPr>
          <w:rFonts w:ascii="Arial" w:hAnsi="Arial" w:cs="Arial"/>
          <w:i/>
          <w:sz w:val="24"/>
          <w:szCs w:val="24"/>
        </w:rPr>
        <w:t>E. coli</w:t>
      </w:r>
      <w:r w:rsidR="00430463" w:rsidRPr="00F67B20">
        <w:rPr>
          <w:rFonts w:ascii="Arial" w:hAnsi="Arial" w:cs="Arial"/>
          <w:i/>
          <w:sz w:val="24"/>
          <w:szCs w:val="24"/>
        </w:rPr>
        <w:t>,</w:t>
      </w:r>
      <w:r w:rsidR="00C04B53" w:rsidRPr="00F67B20">
        <w:rPr>
          <w:rFonts w:ascii="Arial" w:hAnsi="Arial" w:cs="Arial"/>
          <w:sz w:val="24"/>
          <w:szCs w:val="24"/>
        </w:rPr>
        <w:t xml:space="preserve">42% </w:t>
      </w:r>
      <w:r w:rsidR="00430463" w:rsidRPr="00F67B20">
        <w:rPr>
          <w:rFonts w:ascii="Arial" w:hAnsi="Arial" w:cs="Arial"/>
          <w:sz w:val="24"/>
          <w:szCs w:val="24"/>
        </w:rPr>
        <w:t>of</w:t>
      </w:r>
      <w:r w:rsidR="00C04B53" w:rsidRPr="00F67B20">
        <w:rPr>
          <w:rFonts w:ascii="Arial" w:hAnsi="Arial" w:cs="Arial"/>
          <w:sz w:val="24"/>
          <w:szCs w:val="24"/>
        </w:rPr>
        <w:t xml:space="preserve"> which is resistant to third-generation cephalosporins (ESBL), and </w:t>
      </w:r>
      <w:r w:rsidR="00447B0A" w:rsidRPr="00F67B20">
        <w:rPr>
          <w:rFonts w:ascii="Arial" w:hAnsi="Arial" w:cs="Arial"/>
          <w:i/>
          <w:sz w:val="24"/>
          <w:szCs w:val="24"/>
        </w:rPr>
        <w:t>Staphylococcus aureus</w:t>
      </w:r>
      <w:r w:rsidR="00430463" w:rsidRPr="00F67B20">
        <w:rPr>
          <w:rFonts w:ascii="Arial" w:hAnsi="Arial" w:cs="Arial"/>
          <w:i/>
          <w:sz w:val="24"/>
          <w:szCs w:val="24"/>
        </w:rPr>
        <w:t>,</w:t>
      </w:r>
      <w:r w:rsidR="00C04B53" w:rsidRPr="00F67B20">
        <w:rPr>
          <w:rFonts w:ascii="Arial" w:hAnsi="Arial" w:cs="Arial"/>
          <w:sz w:val="24"/>
          <w:szCs w:val="24"/>
        </w:rPr>
        <w:t>35%</w:t>
      </w:r>
      <w:r w:rsidR="00430463" w:rsidRPr="00F67B20">
        <w:rPr>
          <w:rFonts w:ascii="Arial" w:hAnsi="Arial" w:cs="Arial"/>
          <w:sz w:val="24"/>
          <w:szCs w:val="24"/>
        </w:rPr>
        <w:t xml:space="preserve"> of</w:t>
      </w:r>
      <w:r w:rsidR="00C04B53" w:rsidRPr="00F67B20">
        <w:rPr>
          <w:rFonts w:ascii="Arial" w:hAnsi="Arial" w:cs="Arial"/>
          <w:sz w:val="24"/>
          <w:szCs w:val="24"/>
        </w:rPr>
        <w:t xml:space="preserve"> which is resistant to methicillin (MRSA)</w:t>
      </w:r>
      <w:r w:rsidR="009E2C83" w:rsidRPr="00F67B20">
        <w:rPr>
          <w:rFonts w:ascii="Arial" w:hAnsi="Arial" w:cs="Arial"/>
          <w:sz w:val="24"/>
          <w:szCs w:val="24"/>
        </w:rPr>
        <w:t xml:space="preserve"> (Murray </w:t>
      </w:r>
      <w:r w:rsidR="00D11537" w:rsidRPr="00F67B20">
        <w:rPr>
          <w:rFonts w:ascii="Arial" w:hAnsi="Arial" w:cs="Arial"/>
          <w:i/>
          <w:iCs/>
          <w:sz w:val="24"/>
          <w:szCs w:val="24"/>
        </w:rPr>
        <w:t>et al.,</w:t>
      </w:r>
      <w:r w:rsidR="009E2C83" w:rsidRPr="00F67B20">
        <w:rPr>
          <w:rFonts w:ascii="Arial" w:hAnsi="Arial" w:cs="Arial"/>
          <w:sz w:val="24"/>
          <w:szCs w:val="24"/>
        </w:rPr>
        <w:t xml:space="preserve"> 2022).</w:t>
      </w:r>
      <w:r w:rsidR="001C1958">
        <w:rPr>
          <w:rFonts w:ascii="Arial" w:hAnsi="Arial" w:cs="Arial"/>
          <w:sz w:val="24"/>
          <w:szCs w:val="24"/>
        </w:rPr>
        <w:t xml:space="preserve"> </w:t>
      </w:r>
      <w:r w:rsidR="00C04B53" w:rsidRPr="00F67B20">
        <w:rPr>
          <w:rFonts w:ascii="Arial" w:hAnsi="Arial" w:cs="Arial"/>
          <w:sz w:val="24"/>
          <w:szCs w:val="24"/>
        </w:rPr>
        <w:t xml:space="preserve">Exacerbating the problem is the </w:t>
      </w:r>
      <w:r w:rsidR="00144264" w:rsidRPr="00F67B20">
        <w:rPr>
          <w:rFonts w:ascii="Arial" w:hAnsi="Arial" w:cs="Arial"/>
          <w:sz w:val="24"/>
          <w:szCs w:val="24"/>
        </w:rPr>
        <w:t>high dissemination rates of these pathogens</w:t>
      </w:r>
      <w:r w:rsidR="00532AF9" w:rsidRPr="00F67B20">
        <w:rPr>
          <w:rFonts w:ascii="Arial" w:hAnsi="Arial" w:cs="Arial"/>
          <w:sz w:val="24"/>
          <w:szCs w:val="24"/>
        </w:rPr>
        <w:t xml:space="preserve"> </w:t>
      </w:r>
      <w:r w:rsidR="00144264" w:rsidRPr="00F67B20">
        <w:rPr>
          <w:rFonts w:ascii="Arial" w:hAnsi="Arial" w:cs="Arial"/>
          <w:sz w:val="24"/>
          <w:szCs w:val="24"/>
        </w:rPr>
        <w:t>from the environment</w:t>
      </w:r>
      <w:r w:rsidR="00527777" w:rsidRPr="00F67B20">
        <w:rPr>
          <w:rFonts w:ascii="Arial" w:hAnsi="Arial" w:cs="Arial"/>
          <w:sz w:val="24"/>
          <w:szCs w:val="24"/>
        </w:rPr>
        <w:t>,</w:t>
      </w:r>
      <w:r w:rsidR="00532AF9" w:rsidRPr="00F67B20">
        <w:rPr>
          <w:rFonts w:ascii="Arial" w:hAnsi="Arial" w:cs="Arial"/>
          <w:sz w:val="24"/>
          <w:szCs w:val="24"/>
        </w:rPr>
        <w:t xml:space="preserve"> </w:t>
      </w:r>
      <w:r w:rsidR="00C32DD2" w:rsidRPr="00F67B20">
        <w:rPr>
          <w:rFonts w:ascii="Arial" w:hAnsi="Arial" w:cs="Arial"/>
          <w:sz w:val="24"/>
          <w:szCs w:val="24"/>
        </w:rPr>
        <w:t>especially</w:t>
      </w:r>
      <w:r w:rsidR="00144264" w:rsidRPr="00F67B20">
        <w:rPr>
          <w:rFonts w:ascii="Arial" w:hAnsi="Arial" w:cs="Arial"/>
          <w:sz w:val="24"/>
          <w:szCs w:val="24"/>
        </w:rPr>
        <w:t xml:space="preserve"> the </w:t>
      </w:r>
      <w:r w:rsidR="007315F8" w:rsidRPr="00F67B20">
        <w:rPr>
          <w:rFonts w:ascii="Arial" w:hAnsi="Arial" w:cs="Arial"/>
          <w:sz w:val="24"/>
          <w:szCs w:val="24"/>
        </w:rPr>
        <w:t>aquatic</w:t>
      </w:r>
      <w:r w:rsidR="00144264" w:rsidRPr="00F67B20">
        <w:rPr>
          <w:rFonts w:ascii="Arial" w:hAnsi="Arial" w:cs="Arial"/>
          <w:sz w:val="24"/>
          <w:szCs w:val="24"/>
        </w:rPr>
        <w:t xml:space="preserve"> environment</w:t>
      </w:r>
      <w:r w:rsidR="001A4A7E" w:rsidRPr="00F67B20">
        <w:rPr>
          <w:rFonts w:ascii="Arial" w:hAnsi="Arial" w:cs="Arial"/>
          <w:sz w:val="24"/>
          <w:szCs w:val="24"/>
        </w:rPr>
        <w:t>,</w:t>
      </w:r>
      <w:r w:rsidR="00144264" w:rsidRPr="00F67B20">
        <w:rPr>
          <w:rFonts w:ascii="Arial" w:hAnsi="Arial" w:cs="Arial"/>
          <w:sz w:val="24"/>
          <w:szCs w:val="24"/>
        </w:rPr>
        <w:t xml:space="preserve"> to </w:t>
      </w:r>
      <w:r w:rsidR="001D4B35" w:rsidRPr="00F67B20">
        <w:rPr>
          <w:rFonts w:ascii="Arial" w:hAnsi="Arial" w:cs="Arial"/>
          <w:sz w:val="24"/>
          <w:szCs w:val="24"/>
        </w:rPr>
        <w:t>humans’</w:t>
      </w:r>
      <w:r w:rsidR="00144264" w:rsidRPr="00F67B20">
        <w:rPr>
          <w:rFonts w:ascii="Arial" w:hAnsi="Arial" w:cs="Arial"/>
          <w:sz w:val="24"/>
          <w:szCs w:val="24"/>
        </w:rPr>
        <w:t xml:space="preserve"> food and companion animals</w:t>
      </w:r>
      <w:r w:rsidR="00B21903" w:rsidRPr="00F67B20">
        <w:rPr>
          <w:rFonts w:ascii="Arial" w:hAnsi="Arial" w:cs="Arial"/>
          <w:sz w:val="24"/>
          <w:szCs w:val="24"/>
        </w:rPr>
        <w:t xml:space="preserve"> (Das </w:t>
      </w:r>
      <w:r w:rsidR="00D11537" w:rsidRPr="00F67B20">
        <w:rPr>
          <w:rFonts w:ascii="Arial" w:hAnsi="Arial" w:cs="Arial"/>
          <w:i/>
          <w:iCs/>
          <w:sz w:val="24"/>
          <w:szCs w:val="24"/>
        </w:rPr>
        <w:t>et al.,</w:t>
      </w:r>
      <w:r w:rsidR="00B21903" w:rsidRPr="00F67B20">
        <w:rPr>
          <w:rFonts w:ascii="Arial" w:hAnsi="Arial" w:cs="Arial"/>
          <w:sz w:val="24"/>
          <w:szCs w:val="24"/>
        </w:rPr>
        <w:t xml:space="preserve"> 2023)</w:t>
      </w:r>
      <w:r w:rsidR="005C7C74" w:rsidRPr="00F67B20">
        <w:rPr>
          <w:rFonts w:ascii="Arial" w:hAnsi="Arial" w:cs="Arial"/>
          <w:sz w:val="24"/>
          <w:szCs w:val="24"/>
        </w:rPr>
        <w:t>.</w:t>
      </w:r>
      <w:r w:rsidR="00CA1962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 MRSA is a widespread</w:t>
      </w:r>
      <w:r w:rsidR="00532AF9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 </w:t>
      </w:r>
      <w:r w:rsidR="00570E8B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and </w:t>
      </w:r>
      <w:r w:rsidR="00CA1962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>prevalent source of skin and wound infections, as well as soft tissue infections</w:t>
      </w:r>
      <w:r w:rsidR="005C7C74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 (</w:t>
      </w:r>
      <w:r w:rsidR="005C7C74" w:rsidRPr="00F67B20">
        <w:rPr>
          <w:rFonts w:ascii="Arial" w:hAnsi="Arial" w:cs="Arial"/>
          <w:sz w:val="24"/>
          <w:szCs w:val="24"/>
        </w:rPr>
        <w:t xml:space="preserve">Garonzik </w:t>
      </w:r>
      <w:r w:rsidR="00D11537" w:rsidRPr="00F67B20">
        <w:rPr>
          <w:rFonts w:ascii="Arial" w:hAnsi="Arial" w:cs="Arial"/>
          <w:i/>
          <w:iCs/>
          <w:sz w:val="24"/>
          <w:szCs w:val="24"/>
        </w:rPr>
        <w:t>et al.,</w:t>
      </w:r>
      <w:r w:rsidR="005C7C74" w:rsidRPr="00F67B20">
        <w:rPr>
          <w:rFonts w:ascii="Arial" w:hAnsi="Arial" w:cs="Arial"/>
          <w:sz w:val="24"/>
          <w:szCs w:val="24"/>
        </w:rPr>
        <w:t xml:space="preserve"> 2016</w:t>
      </w:r>
      <w:r w:rsidR="005C7C74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>)</w:t>
      </w:r>
      <w:r w:rsidR="00CA1962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>.</w:t>
      </w:r>
      <w:r w:rsidR="00170D93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 </w:t>
      </w:r>
      <w:r w:rsidR="00AC5464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>Pathogenic bacteria</w:t>
      </w:r>
      <w:r w:rsidR="001C1958">
        <w:rPr>
          <w:rFonts w:ascii="Arial" w:eastAsia="Times New Roman" w:hAnsi="Arial" w:cs="Arial"/>
          <w:kern w:val="0"/>
          <w:sz w:val="24"/>
          <w:szCs w:val="24"/>
          <w:lang w:eastAsia="en-IN"/>
        </w:rPr>
        <w:t>, such as E. coli and Klebsiella pneumoniae-producing ESBL, frequently cause urinary tract infections and can be challenging to treat due to</w:t>
      </w:r>
      <w:r w:rsidR="00A92885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 antibiotic resistance.</w:t>
      </w:r>
      <w:r w:rsidR="00532AF9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 </w:t>
      </w:r>
      <w:r w:rsidR="00A92885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>Serious bloodstream infections, gastrointestinal</w:t>
      </w:r>
      <w:r w:rsidR="00532AF9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 </w:t>
      </w:r>
      <w:r w:rsidR="00A441E2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or </w:t>
      </w:r>
      <w:r w:rsidR="00A92885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>gut infections,</w:t>
      </w:r>
      <w:r w:rsidR="00532AF9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 </w:t>
      </w:r>
      <w:proofErr w:type="spellStart"/>
      <w:r w:rsidR="00527777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>diarrhea</w:t>
      </w:r>
      <w:proofErr w:type="spellEnd"/>
      <w:r w:rsidR="00A92885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>, and vomiting in animals</w:t>
      </w:r>
      <w:r w:rsidR="00532AF9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 </w:t>
      </w:r>
      <w:r w:rsidR="00A92885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>are reported</w:t>
      </w:r>
      <w:r w:rsidR="00532AF9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 </w:t>
      </w:r>
      <w:r w:rsidR="00F1343A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>due</w:t>
      </w:r>
      <w:r w:rsidR="00A92885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 to </w:t>
      </w:r>
      <w:r w:rsidR="00A92885" w:rsidRPr="00F67B20">
        <w:rPr>
          <w:rFonts w:ascii="Arial" w:eastAsia="Times New Roman" w:hAnsi="Arial" w:cs="Arial"/>
          <w:i/>
          <w:kern w:val="0"/>
          <w:sz w:val="24"/>
          <w:szCs w:val="24"/>
          <w:lang w:eastAsia="en-IN"/>
        </w:rPr>
        <w:t>E. coli</w:t>
      </w:r>
      <w:r w:rsidR="00A92885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 and </w:t>
      </w:r>
      <w:r w:rsidR="00A92885" w:rsidRPr="00F67B20">
        <w:rPr>
          <w:rFonts w:ascii="Arial" w:eastAsia="Times New Roman" w:hAnsi="Arial" w:cs="Arial"/>
          <w:i/>
          <w:kern w:val="0"/>
          <w:sz w:val="24"/>
          <w:szCs w:val="24"/>
          <w:lang w:eastAsia="en-IN"/>
        </w:rPr>
        <w:t>Klebsiella</w:t>
      </w:r>
      <w:r w:rsidR="00532AF9" w:rsidRPr="00F67B20">
        <w:rPr>
          <w:rFonts w:ascii="Arial" w:eastAsia="Times New Roman" w:hAnsi="Arial" w:cs="Arial"/>
          <w:i/>
          <w:kern w:val="0"/>
          <w:sz w:val="24"/>
          <w:szCs w:val="24"/>
          <w:lang w:eastAsia="en-IN"/>
        </w:rPr>
        <w:t xml:space="preserve"> </w:t>
      </w:r>
      <w:r w:rsidR="00EB028E" w:rsidRPr="00F67B20">
        <w:rPr>
          <w:rFonts w:ascii="Arial" w:eastAsia="Times New Roman" w:hAnsi="Arial" w:cs="Arial"/>
          <w:iCs/>
          <w:kern w:val="0"/>
          <w:sz w:val="24"/>
          <w:szCs w:val="24"/>
          <w:lang w:eastAsia="en-IN"/>
        </w:rPr>
        <w:t xml:space="preserve">infections </w:t>
      </w:r>
      <w:r w:rsidR="005C7C74" w:rsidRPr="00F67B20">
        <w:rPr>
          <w:rFonts w:ascii="Arial" w:eastAsia="Times New Roman" w:hAnsi="Arial" w:cs="Arial"/>
          <w:iCs/>
          <w:kern w:val="0"/>
          <w:sz w:val="24"/>
          <w:szCs w:val="24"/>
          <w:lang w:eastAsia="en-IN"/>
        </w:rPr>
        <w:t>(</w:t>
      </w:r>
      <w:r w:rsidR="005C7C74" w:rsidRPr="00F67B20">
        <w:rPr>
          <w:rFonts w:ascii="Arial" w:hAnsi="Arial" w:cs="Arial"/>
          <w:sz w:val="24"/>
          <w:szCs w:val="24"/>
        </w:rPr>
        <w:t xml:space="preserve">Denkel </w:t>
      </w:r>
      <w:r w:rsidR="00D11537" w:rsidRPr="00F67B20">
        <w:rPr>
          <w:rFonts w:ascii="Arial" w:hAnsi="Arial" w:cs="Arial"/>
          <w:i/>
          <w:iCs/>
          <w:sz w:val="24"/>
          <w:szCs w:val="24"/>
        </w:rPr>
        <w:t>et al.,</w:t>
      </w:r>
      <w:r w:rsidR="005C7C74" w:rsidRPr="00F67B20">
        <w:rPr>
          <w:rFonts w:ascii="Arial" w:hAnsi="Arial" w:cs="Arial"/>
          <w:sz w:val="24"/>
          <w:szCs w:val="24"/>
        </w:rPr>
        <w:t xml:space="preserve"> 2020</w:t>
      </w:r>
      <w:r w:rsidR="005C7C74" w:rsidRPr="00F67B20">
        <w:rPr>
          <w:rFonts w:ascii="Arial" w:eastAsia="Times New Roman" w:hAnsi="Arial" w:cs="Arial"/>
          <w:iCs/>
          <w:kern w:val="0"/>
          <w:sz w:val="24"/>
          <w:szCs w:val="24"/>
          <w:lang w:eastAsia="en-IN"/>
        </w:rPr>
        <w:t>).</w:t>
      </w:r>
      <w:r w:rsidR="00170D93" w:rsidRPr="00F67B20">
        <w:rPr>
          <w:rFonts w:ascii="Arial" w:eastAsia="Times New Roman" w:hAnsi="Arial" w:cs="Arial"/>
          <w:iCs/>
          <w:kern w:val="0"/>
          <w:sz w:val="24"/>
          <w:szCs w:val="24"/>
          <w:lang w:eastAsia="en-IN"/>
        </w:rPr>
        <w:t xml:space="preserve"> </w:t>
      </w:r>
      <w:r w:rsidR="00527777" w:rsidRPr="00F67B20">
        <w:rPr>
          <w:rFonts w:ascii="Arial" w:hAnsi="Arial" w:cs="Arial"/>
          <w:sz w:val="24"/>
          <w:szCs w:val="24"/>
        </w:rPr>
        <w:t xml:space="preserve">ESBL-producing </w:t>
      </w:r>
      <w:r w:rsidR="001C1958" w:rsidRPr="00F67B20">
        <w:rPr>
          <w:rFonts w:ascii="Arial" w:hAnsi="Arial" w:cs="Arial"/>
          <w:i/>
          <w:iCs/>
          <w:sz w:val="24"/>
          <w:szCs w:val="24"/>
        </w:rPr>
        <w:t>E. coli</w:t>
      </w:r>
      <w:r w:rsidR="00A92885" w:rsidRPr="00F67B20">
        <w:rPr>
          <w:rFonts w:ascii="Arial" w:hAnsi="Arial" w:cs="Arial"/>
          <w:sz w:val="24"/>
          <w:szCs w:val="24"/>
        </w:rPr>
        <w:t xml:space="preserve"> and </w:t>
      </w:r>
      <w:r w:rsidR="00A92885" w:rsidRPr="00F67B20">
        <w:rPr>
          <w:rFonts w:ascii="Arial" w:hAnsi="Arial" w:cs="Arial"/>
          <w:i/>
          <w:sz w:val="24"/>
          <w:szCs w:val="24"/>
        </w:rPr>
        <w:t>Klebsiella</w:t>
      </w:r>
      <w:r w:rsidR="00532AF9" w:rsidRPr="00F67B20">
        <w:rPr>
          <w:rFonts w:ascii="Arial" w:hAnsi="Arial" w:cs="Arial"/>
          <w:i/>
          <w:sz w:val="24"/>
          <w:szCs w:val="24"/>
        </w:rPr>
        <w:t xml:space="preserve"> </w:t>
      </w:r>
      <w:r w:rsidR="00C03D99" w:rsidRPr="00F67B20">
        <w:rPr>
          <w:rFonts w:ascii="Arial" w:hAnsi="Arial" w:cs="Arial"/>
          <w:iCs/>
          <w:sz w:val="24"/>
          <w:szCs w:val="24"/>
        </w:rPr>
        <w:t>also</w:t>
      </w:r>
      <w:r w:rsidR="00532AF9" w:rsidRPr="00F67B20">
        <w:rPr>
          <w:rFonts w:ascii="Arial" w:hAnsi="Arial" w:cs="Arial"/>
          <w:iCs/>
          <w:sz w:val="24"/>
          <w:szCs w:val="24"/>
        </w:rPr>
        <w:t xml:space="preserve"> </w:t>
      </w:r>
      <w:r w:rsidR="00A92885" w:rsidRPr="00F67B20">
        <w:rPr>
          <w:rFonts w:ascii="Arial" w:hAnsi="Arial" w:cs="Arial"/>
          <w:sz w:val="24"/>
          <w:szCs w:val="24"/>
        </w:rPr>
        <w:t>form robust biofilms</w:t>
      </w:r>
      <w:r w:rsidR="001A4A7E" w:rsidRPr="00F67B20">
        <w:rPr>
          <w:rFonts w:ascii="Arial" w:hAnsi="Arial" w:cs="Arial"/>
          <w:sz w:val="24"/>
          <w:szCs w:val="24"/>
        </w:rPr>
        <w:t>,</w:t>
      </w:r>
      <w:r w:rsidR="00A92885" w:rsidRPr="00F67B20">
        <w:rPr>
          <w:rFonts w:ascii="Arial" w:hAnsi="Arial" w:cs="Arial"/>
          <w:sz w:val="24"/>
          <w:szCs w:val="24"/>
        </w:rPr>
        <w:t xml:space="preserve"> which in turn cause serious infections in animals</w:t>
      </w:r>
      <w:r w:rsidR="00FE6CC1" w:rsidRPr="00F67B20">
        <w:rPr>
          <w:rFonts w:ascii="Arial" w:hAnsi="Arial" w:cs="Arial"/>
          <w:sz w:val="24"/>
          <w:szCs w:val="24"/>
        </w:rPr>
        <w:t xml:space="preserve"> (Gharavi </w:t>
      </w:r>
      <w:r w:rsidR="00D11537" w:rsidRPr="00F67B20">
        <w:rPr>
          <w:rFonts w:ascii="Arial" w:hAnsi="Arial" w:cs="Arial"/>
          <w:i/>
          <w:iCs/>
          <w:sz w:val="24"/>
          <w:szCs w:val="24"/>
        </w:rPr>
        <w:t>et al.,</w:t>
      </w:r>
      <w:r w:rsidR="00FE6CC1" w:rsidRPr="00F67B20">
        <w:rPr>
          <w:rFonts w:ascii="Arial" w:hAnsi="Arial" w:cs="Arial"/>
          <w:sz w:val="24"/>
          <w:szCs w:val="24"/>
        </w:rPr>
        <w:t xml:space="preserve"> 2021).</w:t>
      </w:r>
      <w:r w:rsidR="00170D93" w:rsidRPr="00F67B20">
        <w:rPr>
          <w:rFonts w:ascii="Arial" w:hAnsi="Arial" w:cs="Arial"/>
          <w:sz w:val="24"/>
          <w:szCs w:val="24"/>
        </w:rPr>
        <w:t xml:space="preserve"> </w:t>
      </w:r>
      <w:r w:rsidR="00A92885" w:rsidRPr="00F67B20">
        <w:rPr>
          <w:rFonts w:ascii="Arial" w:hAnsi="Arial" w:cs="Arial"/>
          <w:sz w:val="24"/>
          <w:szCs w:val="24"/>
        </w:rPr>
        <w:t>Unfortunately, most of these infections</w:t>
      </w:r>
      <w:r w:rsidR="00C03D99" w:rsidRPr="00F67B20">
        <w:rPr>
          <w:rFonts w:ascii="Arial" w:hAnsi="Arial" w:cs="Arial"/>
          <w:sz w:val="24"/>
          <w:szCs w:val="24"/>
        </w:rPr>
        <w:t xml:space="preserve"> at present are reported</w:t>
      </w:r>
      <w:r w:rsidR="00532AF9" w:rsidRPr="00F67B20">
        <w:rPr>
          <w:rFonts w:ascii="Arial" w:hAnsi="Arial" w:cs="Arial"/>
          <w:sz w:val="24"/>
          <w:szCs w:val="24"/>
        </w:rPr>
        <w:t xml:space="preserve"> </w:t>
      </w:r>
      <w:r w:rsidR="001A4A7E" w:rsidRPr="00F67B20">
        <w:rPr>
          <w:rFonts w:ascii="Arial" w:hAnsi="Arial" w:cs="Arial"/>
          <w:sz w:val="24"/>
          <w:szCs w:val="24"/>
        </w:rPr>
        <w:t xml:space="preserve">to be </w:t>
      </w:r>
      <w:r w:rsidR="00A92885" w:rsidRPr="00F67B20">
        <w:rPr>
          <w:rFonts w:ascii="Arial" w:hAnsi="Arial" w:cs="Arial"/>
          <w:sz w:val="24"/>
          <w:szCs w:val="24"/>
        </w:rPr>
        <w:t xml:space="preserve">non-responsive to conventional antimicrobial therapy. Hence, there is an urgent need </w:t>
      </w:r>
      <w:r w:rsidR="00430463" w:rsidRPr="00F67B20">
        <w:rPr>
          <w:rFonts w:ascii="Arial" w:hAnsi="Arial" w:cs="Arial"/>
          <w:sz w:val="24"/>
          <w:szCs w:val="24"/>
        </w:rPr>
        <w:t>to explore</w:t>
      </w:r>
      <w:r w:rsidR="00532AF9" w:rsidRPr="00F67B20">
        <w:rPr>
          <w:rFonts w:ascii="Arial" w:hAnsi="Arial" w:cs="Arial"/>
          <w:sz w:val="24"/>
          <w:szCs w:val="24"/>
        </w:rPr>
        <w:t xml:space="preserve"> </w:t>
      </w:r>
      <w:r w:rsidR="00A92885" w:rsidRPr="00F67B20">
        <w:rPr>
          <w:rFonts w:ascii="Arial" w:eastAsia="Times New Roman" w:hAnsi="Arial" w:cs="Arial"/>
          <w:sz w:val="24"/>
          <w:szCs w:val="24"/>
          <w:lang w:eastAsia="en-IN"/>
        </w:rPr>
        <w:t xml:space="preserve">therapies utilizing herbal </w:t>
      </w:r>
      <w:r w:rsidR="00AB5AF6" w:rsidRPr="00F67B20">
        <w:rPr>
          <w:rFonts w:ascii="Arial" w:eastAsia="Times New Roman" w:hAnsi="Arial" w:cs="Arial"/>
          <w:sz w:val="24"/>
          <w:szCs w:val="24"/>
          <w:lang w:eastAsia="en-IN"/>
        </w:rPr>
        <w:t>formulations</w:t>
      </w:r>
      <w:r w:rsidR="007B2FF9" w:rsidRPr="00F67B20">
        <w:rPr>
          <w:rFonts w:ascii="Arial" w:eastAsia="Times New Roman" w:hAnsi="Arial" w:cs="Arial"/>
          <w:sz w:val="24"/>
          <w:szCs w:val="24"/>
          <w:lang w:eastAsia="en-IN"/>
        </w:rPr>
        <w:t xml:space="preserve"> and</w:t>
      </w:r>
      <w:r w:rsidR="00A92885" w:rsidRPr="00F67B20">
        <w:rPr>
          <w:rFonts w:ascii="Arial" w:eastAsia="Times New Roman" w:hAnsi="Arial" w:cs="Arial"/>
          <w:sz w:val="24"/>
          <w:szCs w:val="24"/>
          <w:lang w:eastAsia="en-IN"/>
        </w:rPr>
        <w:t xml:space="preserve"> essential oils as viable alternatives</w:t>
      </w:r>
      <w:r w:rsidR="00A92885" w:rsidRPr="00F67B20">
        <w:rPr>
          <w:rFonts w:ascii="Arial" w:hAnsi="Arial" w:cs="Arial"/>
          <w:sz w:val="24"/>
          <w:szCs w:val="24"/>
        </w:rPr>
        <w:t xml:space="preserve"> to antimicrobials (AMs) to tackle these </w:t>
      </w:r>
      <w:r w:rsidR="005021AA" w:rsidRPr="00F67B20">
        <w:rPr>
          <w:rFonts w:ascii="Arial" w:hAnsi="Arial" w:cs="Arial"/>
          <w:sz w:val="24"/>
          <w:szCs w:val="24"/>
        </w:rPr>
        <w:t>infections</w:t>
      </w:r>
      <w:r w:rsidR="00A92885" w:rsidRPr="00F67B20">
        <w:rPr>
          <w:rFonts w:ascii="Arial" w:hAnsi="Arial" w:cs="Arial"/>
          <w:sz w:val="24"/>
          <w:szCs w:val="24"/>
        </w:rPr>
        <w:t xml:space="preserve">. </w:t>
      </w:r>
      <w:r w:rsidR="00A92885" w:rsidRPr="00F67B20">
        <w:rPr>
          <w:rFonts w:ascii="Arial" w:eastAsia="Times New Roman" w:hAnsi="Arial" w:cs="Arial"/>
          <w:sz w:val="24"/>
          <w:szCs w:val="24"/>
          <w:lang w:eastAsia="en-IN"/>
        </w:rPr>
        <w:t xml:space="preserve">Numerous herbal drugs have simultaneous antibacterial, anti-inflammatory, and antibiofilm </w:t>
      </w:r>
      <w:r w:rsidR="009B59CD" w:rsidRPr="00F67B20">
        <w:rPr>
          <w:rFonts w:ascii="Arial" w:eastAsia="Times New Roman" w:hAnsi="Arial" w:cs="Arial"/>
          <w:sz w:val="24"/>
          <w:szCs w:val="24"/>
          <w:lang w:eastAsia="en-IN"/>
        </w:rPr>
        <w:t>properties</w:t>
      </w:r>
      <w:r w:rsidR="00FE6CC1" w:rsidRPr="00F67B20">
        <w:rPr>
          <w:rFonts w:ascii="Arial" w:eastAsia="Times New Roman" w:hAnsi="Arial" w:cs="Arial"/>
          <w:sz w:val="24"/>
          <w:szCs w:val="24"/>
          <w:lang w:eastAsia="en-IN"/>
        </w:rPr>
        <w:t xml:space="preserve"> (</w:t>
      </w:r>
      <w:r w:rsidR="00FE6CC1" w:rsidRPr="00F67B20">
        <w:rPr>
          <w:rFonts w:ascii="Arial" w:hAnsi="Arial" w:cs="Arial"/>
          <w:sz w:val="24"/>
          <w:szCs w:val="24"/>
        </w:rPr>
        <w:t xml:space="preserve">Boakye </w:t>
      </w:r>
      <w:r w:rsidR="00D11537" w:rsidRPr="00F67B20">
        <w:rPr>
          <w:rFonts w:ascii="Arial" w:hAnsi="Arial" w:cs="Arial"/>
          <w:i/>
          <w:iCs/>
          <w:sz w:val="24"/>
          <w:szCs w:val="24"/>
        </w:rPr>
        <w:t>et al.,</w:t>
      </w:r>
      <w:r w:rsidR="00FE6CC1" w:rsidRPr="00F67B20">
        <w:rPr>
          <w:rFonts w:ascii="Arial" w:hAnsi="Arial" w:cs="Arial"/>
          <w:sz w:val="24"/>
          <w:szCs w:val="24"/>
        </w:rPr>
        <w:t xml:space="preserve"> 2019</w:t>
      </w:r>
      <w:r w:rsidR="00FE6CC1" w:rsidRPr="00F67B20">
        <w:rPr>
          <w:rFonts w:ascii="Arial" w:eastAsia="Times New Roman" w:hAnsi="Arial" w:cs="Arial"/>
          <w:sz w:val="24"/>
          <w:szCs w:val="24"/>
          <w:lang w:eastAsia="en-IN"/>
        </w:rPr>
        <w:t>).</w:t>
      </w:r>
      <w:r w:rsidR="001C1958">
        <w:rPr>
          <w:rFonts w:ascii="Arial" w:eastAsia="Times New Roman" w:hAnsi="Arial" w:cs="Arial"/>
          <w:sz w:val="24"/>
          <w:szCs w:val="24"/>
          <w:lang w:eastAsia="en-IN"/>
        </w:rPr>
        <w:t xml:space="preserve"> </w:t>
      </w:r>
      <w:proofErr w:type="spellStart"/>
      <w:r w:rsidR="009B59CD" w:rsidRPr="00F67B20">
        <w:rPr>
          <w:rFonts w:ascii="Arial" w:eastAsia="Times New Roman" w:hAnsi="Arial" w:cs="Arial"/>
          <w:i/>
          <w:kern w:val="0"/>
          <w:sz w:val="24"/>
          <w:szCs w:val="24"/>
          <w:lang w:eastAsia="en-IN"/>
        </w:rPr>
        <w:t>Azadirachta</w:t>
      </w:r>
      <w:proofErr w:type="spellEnd"/>
      <w:r w:rsidR="009B59CD" w:rsidRPr="00F67B20">
        <w:rPr>
          <w:rFonts w:ascii="Arial" w:eastAsia="Times New Roman" w:hAnsi="Arial" w:cs="Arial"/>
          <w:i/>
          <w:kern w:val="0"/>
          <w:sz w:val="24"/>
          <w:szCs w:val="24"/>
          <w:lang w:eastAsia="en-IN"/>
        </w:rPr>
        <w:t xml:space="preserve"> </w:t>
      </w:r>
      <w:proofErr w:type="spellStart"/>
      <w:r w:rsidR="009B59CD" w:rsidRPr="00F67B20">
        <w:rPr>
          <w:rFonts w:ascii="Arial" w:eastAsia="Times New Roman" w:hAnsi="Arial" w:cs="Arial"/>
          <w:i/>
          <w:kern w:val="0"/>
          <w:sz w:val="24"/>
          <w:szCs w:val="24"/>
          <w:lang w:eastAsia="en-IN"/>
        </w:rPr>
        <w:t>indica</w:t>
      </w:r>
      <w:proofErr w:type="spellEnd"/>
      <w:r w:rsidR="009B59CD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 (</w:t>
      </w:r>
      <w:proofErr w:type="spellStart"/>
      <w:r w:rsidR="009B59CD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>Meliaceae</w:t>
      </w:r>
      <w:proofErr w:type="spellEnd"/>
      <w:r w:rsidR="009B59CD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>),</w:t>
      </w:r>
      <w:r w:rsidR="001C1958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 </w:t>
      </w:r>
      <w:r w:rsidR="00032F2E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>commonly called</w:t>
      </w:r>
      <w:r w:rsidR="00532AF9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 </w:t>
      </w:r>
      <w:r w:rsidR="00CC2D8B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the </w:t>
      </w:r>
      <w:r w:rsidR="009B59CD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neem tree, </w:t>
      </w:r>
      <w:r w:rsidR="0041043B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has </w:t>
      </w:r>
      <w:r w:rsidR="0059542E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a </w:t>
      </w:r>
      <w:r w:rsidR="00B93E4B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>history of use</w:t>
      </w:r>
      <w:r w:rsidR="00BB16FD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 as a </w:t>
      </w:r>
      <w:r w:rsidR="0059542E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>traditional medicine for over</w:t>
      </w:r>
      <w:r w:rsidR="0041043B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 2000 years</w:t>
      </w:r>
      <w:r w:rsidR="00532AF9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 </w:t>
      </w:r>
      <w:r w:rsidR="00ED52EF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in India </w:t>
      </w:r>
      <w:r w:rsidR="00D8795F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(Kumar and Navaratnam, 2013; Kurimoto </w:t>
      </w:r>
      <w:r w:rsidR="00D11537" w:rsidRPr="00F67B20">
        <w:rPr>
          <w:rFonts w:ascii="Arial" w:eastAsia="Times New Roman" w:hAnsi="Arial" w:cs="Arial"/>
          <w:i/>
          <w:iCs/>
          <w:kern w:val="0"/>
          <w:sz w:val="24"/>
          <w:szCs w:val="24"/>
          <w:lang w:eastAsia="en-IN"/>
        </w:rPr>
        <w:t>et al.,</w:t>
      </w:r>
      <w:r w:rsidR="00D8795F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 2014</w:t>
      </w:r>
      <w:r w:rsidR="001C1958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>). Abundantly</w:t>
      </w:r>
      <w:r w:rsidR="00DC672E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 prevalent in</w:t>
      </w:r>
      <w:r w:rsidR="00532AF9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 </w:t>
      </w:r>
      <w:r w:rsidR="00DC672E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>Africa</w:t>
      </w:r>
      <w:r w:rsidR="001A4A7E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>,</w:t>
      </w:r>
      <w:r w:rsidR="00DC672E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 India</w:t>
      </w:r>
      <w:r w:rsidR="001A4A7E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>,</w:t>
      </w:r>
      <w:r w:rsidR="0073573F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 and South Asia</w:t>
      </w:r>
      <w:r w:rsidR="001A4A7E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>,</w:t>
      </w:r>
      <w:r w:rsidR="000B5400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 t</w:t>
      </w:r>
      <w:r w:rsidR="009239ED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>he plant</w:t>
      </w:r>
      <w:r w:rsidR="00532AF9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 </w:t>
      </w:r>
      <w:r w:rsidR="00B80D63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forms a rich source of </w:t>
      </w:r>
      <w:r w:rsidR="0073794C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>secondary metabolites</w:t>
      </w:r>
      <w:r w:rsidR="00DF4C98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>.</w:t>
      </w:r>
      <w:r w:rsidR="00532AF9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 </w:t>
      </w:r>
      <w:r w:rsidR="008720DF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>The antibacterial</w:t>
      </w:r>
      <w:r w:rsidR="00CD3C35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, </w:t>
      </w:r>
      <w:r w:rsidR="00A92885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>anti-</w:t>
      </w:r>
      <w:r w:rsidR="008720DF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>inflammatory, anti</w:t>
      </w:r>
      <w:r w:rsidR="00A92885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>-malarial, and anti-oxidant activities</w:t>
      </w:r>
      <w:r w:rsidR="00CD3C35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 of</w:t>
      </w:r>
      <w:r w:rsidR="00A92885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 Neem oil (NO)</w:t>
      </w:r>
      <w:r w:rsidR="003719A8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 formed from</w:t>
      </w:r>
      <w:r w:rsidR="00246E43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 extracts</w:t>
      </w:r>
      <w:r w:rsidR="00A92885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 of </w:t>
      </w:r>
      <w:r w:rsidR="00B12432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>various</w:t>
      </w:r>
      <w:r w:rsidR="00A92885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 parts of </w:t>
      </w:r>
      <w:proofErr w:type="spellStart"/>
      <w:r w:rsidR="00A92885" w:rsidRPr="00F67B20">
        <w:rPr>
          <w:rFonts w:ascii="Arial" w:eastAsia="Times New Roman" w:hAnsi="Arial" w:cs="Arial"/>
          <w:i/>
          <w:kern w:val="0"/>
          <w:sz w:val="24"/>
          <w:szCs w:val="24"/>
          <w:lang w:eastAsia="en-IN"/>
        </w:rPr>
        <w:t>Azadirachta</w:t>
      </w:r>
      <w:proofErr w:type="spellEnd"/>
      <w:r w:rsidR="00A92885" w:rsidRPr="00F67B20">
        <w:rPr>
          <w:rFonts w:ascii="Arial" w:eastAsia="Times New Roman" w:hAnsi="Arial" w:cs="Arial"/>
          <w:i/>
          <w:kern w:val="0"/>
          <w:sz w:val="24"/>
          <w:szCs w:val="24"/>
          <w:lang w:eastAsia="en-IN"/>
        </w:rPr>
        <w:t xml:space="preserve"> </w:t>
      </w:r>
      <w:proofErr w:type="spellStart"/>
      <w:r w:rsidR="00A92885" w:rsidRPr="00F67B20">
        <w:rPr>
          <w:rFonts w:ascii="Arial" w:eastAsia="Times New Roman" w:hAnsi="Arial" w:cs="Arial"/>
          <w:i/>
          <w:kern w:val="0"/>
          <w:sz w:val="24"/>
          <w:szCs w:val="24"/>
          <w:lang w:eastAsia="en-IN"/>
        </w:rPr>
        <w:t>indica</w:t>
      </w:r>
      <w:proofErr w:type="spellEnd"/>
      <w:r w:rsidR="00A92885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 A. Juss (neem),</w:t>
      </w:r>
      <w:r w:rsidR="001C1958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 </w:t>
      </w:r>
      <w:r w:rsidR="001A4A7E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>are</w:t>
      </w:r>
      <w:r w:rsidR="00532AF9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 </w:t>
      </w:r>
      <w:r w:rsidR="00315CC0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abundantly </w:t>
      </w:r>
      <w:r w:rsidR="00EB5450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>reflected</w:t>
      </w:r>
      <w:r w:rsidR="00532AF9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 </w:t>
      </w:r>
      <w:r w:rsidR="00315CC0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since it </w:t>
      </w:r>
      <w:r w:rsidR="00A92885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>contains a variety of constituents</w:t>
      </w:r>
      <w:r w:rsidR="001A4A7E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>,</w:t>
      </w:r>
      <w:r w:rsidR="00532AF9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 </w:t>
      </w:r>
      <w:r w:rsidR="009B59CD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including </w:t>
      </w:r>
      <w:proofErr w:type="spellStart"/>
      <w:r w:rsidR="009B59CD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>azadirachtin</w:t>
      </w:r>
      <w:proofErr w:type="spellEnd"/>
      <w:r w:rsidR="009B59CD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, </w:t>
      </w:r>
      <w:proofErr w:type="spellStart"/>
      <w:r w:rsidR="0059542E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>Nimbin</w:t>
      </w:r>
      <w:proofErr w:type="spellEnd"/>
      <w:r w:rsidR="009B59CD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, </w:t>
      </w:r>
      <w:proofErr w:type="spellStart"/>
      <w:r w:rsidR="009B59CD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>nimbolide</w:t>
      </w:r>
      <w:proofErr w:type="spellEnd"/>
      <w:r w:rsidR="009B59CD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, </w:t>
      </w:r>
      <w:proofErr w:type="spellStart"/>
      <w:r w:rsidR="009B59CD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>nimbidiol</w:t>
      </w:r>
      <w:proofErr w:type="spellEnd"/>
      <w:r w:rsidR="009B59CD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, </w:t>
      </w:r>
      <w:proofErr w:type="spellStart"/>
      <w:r w:rsidR="009B59CD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>geduin</w:t>
      </w:r>
      <w:proofErr w:type="spellEnd"/>
      <w:r w:rsidR="009B59CD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, tannin, and quercetin </w:t>
      </w:r>
      <w:r w:rsidR="00A92885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>that have antibacterial and anti-inflammatory properties</w:t>
      </w:r>
      <w:r w:rsidR="00527777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>.</w:t>
      </w:r>
      <w:r w:rsidR="00532AF9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 </w:t>
      </w:r>
      <w:r w:rsidR="00F70B84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>I</w:t>
      </w:r>
      <w:r w:rsidR="00E6043F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nvestigators have </w:t>
      </w:r>
      <w:r w:rsidR="00215B70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also </w:t>
      </w:r>
      <w:r w:rsidR="00E6043F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reported </w:t>
      </w:r>
      <w:r w:rsidR="00A441E2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that neem seed oil inhibits the growth of </w:t>
      </w:r>
      <w:r w:rsidR="00A441E2" w:rsidRPr="00F67B20">
        <w:rPr>
          <w:rFonts w:ascii="Arial" w:eastAsia="Times New Roman" w:hAnsi="Arial" w:cs="Arial"/>
          <w:i/>
          <w:iCs/>
          <w:kern w:val="0"/>
          <w:sz w:val="24"/>
          <w:szCs w:val="24"/>
          <w:lang w:eastAsia="en-IN"/>
        </w:rPr>
        <w:t>S. aureus</w:t>
      </w:r>
      <w:r w:rsidR="00A441E2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 and </w:t>
      </w:r>
      <w:r w:rsidR="00A441E2" w:rsidRPr="00F67B20">
        <w:rPr>
          <w:rFonts w:ascii="Arial" w:eastAsia="Times New Roman" w:hAnsi="Arial" w:cs="Arial"/>
          <w:i/>
          <w:iCs/>
          <w:kern w:val="0"/>
          <w:sz w:val="24"/>
          <w:szCs w:val="24"/>
          <w:lang w:eastAsia="en-IN"/>
        </w:rPr>
        <w:t>E. coli</w:t>
      </w:r>
      <w:r w:rsidR="00D8795F" w:rsidRPr="00F67B20">
        <w:rPr>
          <w:rFonts w:ascii="Arial" w:eastAsia="Times New Roman" w:hAnsi="Arial" w:cs="Arial"/>
          <w:iCs/>
          <w:kern w:val="0"/>
          <w:sz w:val="24"/>
          <w:szCs w:val="24"/>
          <w:lang w:eastAsia="en-IN"/>
        </w:rPr>
        <w:t xml:space="preserve"> (</w:t>
      </w:r>
      <w:proofErr w:type="spellStart"/>
      <w:r w:rsidR="00D8795F" w:rsidRPr="00F67B20">
        <w:rPr>
          <w:rFonts w:ascii="Arial" w:hAnsi="Arial" w:cs="Arial"/>
          <w:sz w:val="24"/>
          <w:szCs w:val="24"/>
        </w:rPr>
        <w:t>Alzohairy</w:t>
      </w:r>
      <w:proofErr w:type="spellEnd"/>
      <w:r w:rsidR="00D8795F" w:rsidRPr="00F67B20">
        <w:rPr>
          <w:rFonts w:ascii="Arial" w:hAnsi="Arial" w:cs="Arial"/>
          <w:sz w:val="24"/>
          <w:szCs w:val="24"/>
        </w:rPr>
        <w:t xml:space="preserve">, 2016; Shilpa </w:t>
      </w:r>
      <w:r w:rsidR="00D11537" w:rsidRPr="00F67B20">
        <w:rPr>
          <w:rFonts w:ascii="Arial" w:hAnsi="Arial" w:cs="Arial"/>
          <w:i/>
          <w:iCs/>
          <w:sz w:val="24"/>
          <w:szCs w:val="24"/>
        </w:rPr>
        <w:t>et al.,</w:t>
      </w:r>
      <w:r w:rsidR="00D8795F" w:rsidRPr="00F67B20">
        <w:rPr>
          <w:rFonts w:ascii="Arial" w:hAnsi="Arial" w:cs="Arial"/>
          <w:sz w:val="24"/>
          <w:szCs w:val="24"/>
        </w:rPr>
        <w:t xml:space="preserve"> 2017</w:t>
      </w:r>
      <w:r w:rsidR="00D8795F" w:rsidRPr="00F67B20">
        <w:rPr>
          <w:rFonts w:ascii="Arial" w:eastAsia="Times New Roman" w:hAnsi="Arial" w:cs="Arial"/>
          <w:iCs/>
          <w:kern w:val="0"/>
          <w:sz w:val="24"/>
          <w:szCs w:val="24"/>
          <w:lang w:eastAsia="en-IN"/>
        </w:rPr>
        <w:t>).</w:t>
      </w:r>
      <w:r w:rsidR="001C1958">
        <w:rPr>
          <w:rFonts w:ascii="Arial" w:eastAsia="Times New Roman" w:hAnsi="Arial" w:cs="Arial"/>
          <w:iCs/>
          <w:kern w:val="0"/>
          <w:sz w:val="24"/>
          <w:szCs w:val="24"/>
          <w:lang w:eastAsia="en-IN"/>
        </w:rPr>
        <w:t xml:space="preserve"> </w:t>
      </w:r>
      <w:r w:rsidR="00A92885" w:rsidRPr="00F67B20">
        <w:rPr>
          <w:rFonts w:ascii="Arial" w:eastAsia="Times New Roman" w:hAnsi="Arial" w:cs="Arial"/>
          <w:sz w:val="24"/>
          <w:szCs w:val="24"/>
          <w:lang w:eastAsia="en-IN"/>
        </w:rPr>
        <w:t xml:space="preserve">Considering the </w:t>
      </w:r>
      <w:proofErr w:type="spellStart"/>
      <w:r w:rsidR="0059542E" w:rsidRPr="00F67B20">
        <w:rPr>
          <w:rFonts w:ascii="Arial" w:eastAsia="Times New Roman" w:hAnsi="Arial" w:cs="Arial"/>
          <w:sz w:val="24"/>
          <w:szCs w:val="24"/>
          <w:lang w:eastAsia="en-IN"/>
        </w:rPr>
        <w:t>meager</w:t>
      </w:r>
      <w:proofErr w:type="spellEnd"/>
      <w:r w:rsidR="00532AF9" w:rsidRPr="00F67B20">
        <w:rPr>
          <w:rFonts w:ascii="Arial" w:eastAsia="Times New Roman" w:hAnsi="Arial" w:cs="Arial"/>
          <w:sz w:val="24"/>
          <w:szCs w:val="24"/>
          <w:lang w:eastAsia="en-IN"/>
        </w:rPr>
        <w:t xml:space="preserve"> </w:t>
      </w:r>
      <w:r w:rsidR="00A92885" w:rsidRPr="00F67B20">
        <w:rPr>
          <w:rFonts w:ascii="Arial" w:eastAsia="Times New Roman" w:hAnsi="Arial" w:cs="Arial"/>
          <w:sz w:val="24"/>
          <w:szCs w:val="24"/>
          <w:lang w:eastAsia="en-IN"/>
        </w:rPr>
        <w:t>investigations conducted on the potential antimicrobial properties of neem oil</w:t>
      </w:r>
      <w:r w:rsidR="001C1958">
        <w:rPr>
          <w:rFonts w:ascii="Arial" w:eastAsia="Times New Roman" w:hAnsi="Arial" w:cs="Arial"/>
          <w:sz w:val="24"/>
          <w:szCs w:val="24"/>
          <w:lang w:eastAsia="en-IN"/>
        </w:rPr>
        <w:t>,</w:t>
      </w:r>
      <w:r w:rsidR="00A92885" w:rsidRPr="00F67B20">
        <w:rPr>
          <w:rFonts w:ascii="Arial" w:eastAsia="Times New Roman" w:hAnsi="Arial" w:cs="Arial"/>
          <w:sz w:val="24"/>
          <w:szCs w:val="24"/>
          <w:lang w:eastAsia="en-IN"/>
        </w:rPr>
        <w:t xml:space="preserve"> the present study has been conducted to holistically assess</w:t>
      </w:r>
      <w:r w:rsidR="00493690" w:rsidRPr="00F67B20">
        <w:rPr>
          <w:rFonts w:ascii="Arial" w:eastAsia="Times New Roman" w:hAnsi="Arial" w:cs="Arial"/>
          <w:sz w:val="24"/>
          <w:szCs w:val="24"/>
          <w:lang w:eastAsia="en-IN"/>
        </w:rPr>
        <w:t xml:space="preserve"> the potentiality of</w:t>
      </w:r>
      <w:r w:rsidR="00532AF9" w:rsidRPr="00F67B20">
        <w:rPr>
          <w:rFonts w:ascii="Arial" w:eastAsia="Times New Roman" w:hAnsi="Arial" w:cs="Arial"/>
          <w:sz w:val="24"/>
          <w:szCs w:val="24"/>
          <w:lang w:eastAsia="en-IN"/>
        </w:rPr>
        <w:t xml:space="preserve"> </w:t>
      </w:r>
      <w:r w:rsidR="00FD6EF6" w:rsidRPr="00F67B20">
        <w:rPr>
          <w:rFonts w:ascii="Arial" w:eastAsia="Times New Roman" w:hAnsi="Arial" w:cs="Arial"/>
          <w:sz w:val="24"/>
          <w:szCs w:val="24"/>
          <w:lang w:eastAsia="en-IN"/>
        </w:rPr>
        <w:t xml:space="preserve">a specially formulated </w:t>
      </w:r>
      <w:r w:rsidR="00A92885" w:rsidRPr="00F67B20">
        <w:rPr>
          <w:rFonts w:ascii="Arial" w:eastAsia="Times New Roman" w:hAnsi="Arial" w:cs="Arial"/>
          <w:sz w:val="24"/>
          <w:szCs w:val="24"/>
          <w:lang w:eastAsia="en-IN"/>
        </w:rPr>
        <w:t xml:space="preserve">neem </w:t>
      </w:r>
      <w:r w:rsidR="00144264" w:rsidRPr="00F67B20">
        <w:rPr>
          <w:rFonts w:ascii="Arial" w:eastAsia="Times New Roman" w:hAnsi="Arial" w:cs="Arial"/>
          <w:sz w:val="24"/>
          <w:szCs w:val="24"/>
          <w:lang w:eastAsia="en-IN"/>
        </w:rPr>
        <w:t>oil</w:t>
      </w:r>
      <w:r w:rsidR="00532AF9" w:rsidRPr="00F67B20">
        <w:rPr>
          <w:rFonts w:ascii="Arial" w:eastAsia="Times New Roman" w:hAnsi="Arial" w:cs="Arial"/>
          <w:sz w:val="24"/>
          <w:szCs w:val="24"/>
          <w:lang w:eastAsia="en-IN"/>
        </w:rPr>
        <w:t xml:space="preserve"> </w:t>
      </w:r>
      <w:r w:rsidR="005A1019" w:rsidRPr="00F67B20">
        <w:rPr>
          <w:rFonts w:ascii="Arial" w:eastAsia="Times New Roman" w:hAnsi="Arial" w:cs="Arial"/>
          <w:sz w:val="24"/>
          <w:szCs w:val="24"/>
          <w:lang w:eastAsia="en-IN"/>
        </w:rPr>
        <w:t xml:space="preserve">for its </w:t>
      </w:r>
      <w:r w:rsidR="00A92885" w:rsidRPr="00F67B20">
        <w:rPr>
          <w:rFonts w:ascii="Arial" w:eastAsia="Times New Roman" w:hAnsi="Arial" w:cs="Arial"/>
          <w:sz w:val="24"/>
          <w:szCs w:val="24"/>
          <w:lang w:eastAsia="en-IN"/>
        </w:rPr>
        <w:t>antibacterial</w:t>
      </w:r>
      <w:r w:rsidR="00532AF9" w:rsidRPr="00F67B20">
        <w:rPr>
          <w:rFonts w:ascii="Arial" w:eastAsia="Times New Roman" w:hAnsi="Arial" w:cs="Arial"/>
          <w:sz w:val="24"/>
          <w:szCs w:val="24"/>
          <w:lang w:eastAsia="en-IN"/>
        </w:rPr>
        <w:t xml:space="preserve"> </w:t>
      </w:r>
      <w:r w:rsidR="00A92885" w:rsidRPr="00F67B20">
        <w:rPr>
          <w:rFonts w:ascii="Arial" w:eastAsia="Times New Roman" w:hAnsi="Arial" w:cs="Arial"/>
          <w:sz w:val="24"/>
          <w:szCs w:val="24"/>
          <w:lang w:eastAsia="en-IN"/>
        </w:rPr>
        <w:t>and antibiofilm</w:t>
      </w:r>
      <w:r w:rsidR="001C1958">
        <w:rPr>
          <w:rFonts w:ascii="Arial" w:eastAsia="Times New Roman" w:hAnsi="Arial" w:cs="Arial"/>
          <w:sz w:val="24"/>
          <w:szCs w:val="24"/>
          <w:lang w:eastAsia="en-IN"/>
        </w:rPr>
        <w:t>,</w:t>
      </w:r>
      <w:r w:rsidR="00A92885" w:rsidRPr="00F67B20">
        <w:rPr>
          <w:rFonts w:ascii="Arial" w:eastAsia="Times New Roman" w:hAnsi="Arial" w:cs="Arial"/>
          <w:sz w:val="24"/>
          <w:szCs w:val="24"/>
          <w:lang w:eastAsia="en-IN"/>
        </w:rPr>
        <w:t xml:space="preserve"> </w:t>
      </w:r>
      <w:r w:rsidR="0043729F" w:rsidRPr="00F67B20">
        <w:rPr>
          <w:rFonts w:ascii="Arial" w:eastAsia="Times New Roman" w:hAnsi="Arial" w:cs="Arial"/>
          <w:sz w:val="24"/>
          <w:szCs w:val="24"/>
          <w:lang w:eastAsia="en-IN"/>
        </w:rPr>
        <w:t xml:space="preserve">and anti-inflammatory </w:t>
      </w:r>
      <w:r w:rsidR="00A92885" w:rsidRPr="00F67B20">
        <w:rPr>
          <w:rFonts w:ascii="Arial" w:eastAsia="Times New Roman" w:hAnsi="Arial" w:cs="Arial"/>
          <w:sz w:val="24"/>
          <w:szCs w:val="24"/>
          <w:lang w:eastAsia="en-IN"/>
        </w:rPr>
        <w:t xml:space="preserve">properties on the multidrug-resistant pathogenic </w:t>
      </w:r>
      <w:r w:rsidR="00A92885" w:rsidRPr="00F67B20">
        <w:rPr>
          <w:rFonts w:ascii="Arial" w:eastAsia="Times New Roman" w:hAnsi="Arial" w:cs="Arial"/>
          <w:i/>
          <w:sz w:val="24"/>
          <w:szCs w:val="24"/>
          <w:lang w:eastAsia="en-IN"/>
        </w:rPr>
        <w:t>Staphylococcus aureus</w:t>
      </w:r>
      <w:r w:rsidR="00A92885" w:rsidRPr="00F67B20">
        <w:rPr>
          <w:rFonts w:ascii="Arial" w:eastAsia="Times New Roman" w:hAnsi="Arial" w:cs="Arial"/>
          <w:sz w:val="24"/>
          <w:szCs w:val="24"/>
          <w:lang w:eastAsia="en-IN"/>
        </w:rPr>
        <w:t xml:space="preserve"> (MRSA) and ESBL</w:t>
      </w:r>
      <w:r w:rsidR="00A92885" w:rsidRPr="00F67B20">
        <w:rPr>
          <w:rFonts w:ascii="Arial" w:eastAsia="Times New Roman" w:hAnsi="Arial" w:cs="Arial"/>
          <w:i/>
          <w:sz w:val="24"/>
          <w:szCs w:val="24"/>
          <w:lang w:eastAsia="en-IN"/>
        </w:rPr>
        <w:t xml:space="preserve"> </w:t>
      </w:r>
      <w:r w:rsidR="001C1958" w:rsidRPr="00F67B20">
        <w:rPr>
          <w:rFonts w:ascii="Arial" w:eastAsia="Times New Roman" w:hAnsi="Arial" w:cs="Arial"/>
          <w:i/>
          <w:sz w:val="24"/>
          <w:szCs w:val="24"/>
          <w:lang w:eastAsia="en-IN"/>
        </w:rPr>
        <w:t>E. coli.</w:t>
      </w:r>
      <w:r w:rsidR="001C1958" w:rsidRPr="00F67B20">
        <w:rPr>
          <w:rFonts w:ascii="Arial" w:eastAsia="Times New Roman" w:hAnsi="Arial" w:cs="Arial"/>
          <w:sz w:val="24"/>
          <w:szCs w:val="24"/>
          <w:lang w:eastAsia="en-IN"/>
        </w:rPr>
        <w:t xml:space="preserve"> </w:t>
      </w:r>
      <w:r w:rsidR="001C1958">
        <w:rPr>
          <w:rFonts w:ascii="Arial" w:eastAsia="Times New Roman" w:hAnsi="Arial" w:cs="Arial"/>
          <w:sz w:val="24"/>
          <w:szCs w:val="24"/>
          <w:lang w:eastAsia="en-IN"/>
        </w:rPr>
        <w:t>a</w:t>
      </w:r>
      <w:r w:rsidR="001C1958" w:rsidRPr="00F67B20">
        <w:rPr>
          <w:rFonts w:ascii="Arial" w:eastAsia="Times New Roman" w:hAnsi="Arial" w:cs="Arial"/>
          <w:sz w:val="24"/>
          <w:szCs w:val="24"/>
          <w:lang w:eastAsia="en-IN"/>
        </w:rPr>
        <w:t>nd</w:t>
      </w:r>
      <w:r w:rsidR="00E6043F" w:rsidRPr="00F67B20">
        <w:rPr>
          <w:rFonts w:ascii="Arial" w:eastAsia="Times New Roman" w:hAnsi="Arial" w:cs="Arial"/>
          <w:sz w:val="24"/>
          <w:szCs w:val="24"/>
          <w:lang w:eastAsia="en-IN"/>
        </w:rPr>
        <w:t xml:space="preserve"> </w:t>
      </w:r>
      <w:r w:rsidR="00FB28E0" w:rsidRPr="00F67B20">
        <w:rPr>
          <w:rFonts w:ascii="Arial" w:eastAsia="Times New Roman" w:hAnsi="Arial" w:cs="Arial"/>
          <w:i/>
          <w:iCs/>
          <w:sz w:val="24"/>
          <w:szCs w:val="24"/>
          <w:lang w:eastAsia="en-IN"/>
        </w:rPr>
        <w:t xml:space="preserve">Klebsiella </w:t>
      </w:r>
      <w:r w:rsidR="00B857E4" w:rsidRPr="00F67B20">
        <w:rPr>
          <w:rFonts w:ascii="Arial" w:eastAsia="Times New Roman" w:hAnsi="Arial" w:cs="Arial"/>
          <w:sz w:val="24"/>
          <w:szCs w:val="24"/>
          <w:lang w:eastAsia="en-IN"/>
        </w:rPr>
        <w:t>through</w:t>
      </w:r>
      <w:r w:rsidR="00E6043F" w:rsidRPr="00F67B20">
        <w:rPr>
          <w:rFonts w:ascii="Arial" w:eastAsia="Times New Roman" w:hAnsi="Arial" w:cs="Arial"/>
          <w:sz w:val="24"/>
          <w:szCs w:val="24"/>
          <w:lang w:eastAsia="en-IN"/>
        </w:rPr>
        <w:t xml:space="preserve"> </w:t>
      </w:r>
      <w:r w:rsidR="001C1958">
        <w:rPr>
          <w:rFonts w:ascii="Arial" w:eastAsia="Times New Roman" w:hAnsi="Arial" w:cs="Arial"/>
          <w:sz w:val="24"/>
          <w:szCs w:val="24"/>
          <w:lang w:eastAsia="en-IN"/>
        </w:rPr>
        <w:t>in vitro</w:t>
      </w:r>
      <w:r w:rsidR="00E6043F" w:rsidRPr="00F67B20">
        <w:rPr>
          <w:rFonts w:ascii="Arial" w:eastAsia="Times New Roman" w:hAnsi="Arial" w:cs="Arial"/>
          <w:sz w:val="24"/>
          <w:szCs w:val="24"/>
          <w:lang w:eastAsia="en-IN"/>
        </w:rPr>
        <w:t xml:space="preserve"> and in vivo trials</w:t>
      </w:r>
      <w:r w:rsidR="00527777" w:rsidRPr="00F67B20">
        <w:rPr>
          <w:rFonts w:ascii="Arial" w:eastAsia="Times New Roman" w:hAnsi="Arial" w:cs="Arial"/>
          <w:sz w:val="24"/>
          <w:szCs w:val="24"/>
          <w:lang w:eastAsia="en-IN"/>
        </w:rPr>
        <w:t>.</w:t>
      </w:r>
    </w:p>
    <w:p w14:paraId="6E69D10E" w14:textId="4E102A79" w:rsidR="0093699B" w:rsidRPr="00F67B20" w:rsidRDefault="001C1958" w:rsidP="00F67B20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2. </w:t>
      </w:r>
      <w:r w:rsidRPr="00F67B20">
        <w:rPr>
          <w:rFonts w:ascii="Arial" w:hAnsi="Arial" w:cs="Arial"/>
          <w:b/>
          <w:bCs/>
          <w:sz w:val="24"/>
          <w:szCs w:val="24"/>
        </w:rPr>
        <w:t>METHODS AND MATERIALS</w:t>
      </w:r>
    </w:p>
    <w:p w14:paraId="6C85F594" w14:textId="4D2AB99A" w:rsidR="00DA7E34" w:rsidRPr="00F67B20" w:rsidRDefault="001D326A" w:rsidP="00F67B20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en-IN"/>
        </w:rPr>
      </w:pPr>
      <w:r>
        <w:rPr>
          <w:rFonts w:ascii="Arial" w:hAnsi="Arial" w:cs="Arial"/>
          <w:b/>
          <w:bCs/>
          <w:sz w:val="24"/>
          <w:szCs w:val="24"/>
        </w:rPr>
        <w:t xml:space="preserve">2.1 </w:t>
      </w:r>
      <w:r w:rsidR="00305A3F" w:rsidRPr="001D326A">
        <w:rPr>
          <w:rFonts w:ascii="Arial" w:hAnsi="Arial" w:cs="Arial"/>
          <w:b/>
          <w:bCs/>
          <w:sz w:val="24"/>
          <w:szCs w:val="24"/>
        </w:rPr>
        <w:t xml:space="preserve">Ayurvedic </w:t>
      </w:r>
      <w:r w:rsidR="0033224A" w:rsidRPr="001D326A">
        <w:rPr>
          <w:rFonts w:ascii="Arial" w:hAnsi="Arial" w:cs="Arial"/>
          <w:b/>
          <w:bCs/>
          <w:sz w:val="24"/>
          <w:szCs w:val="24"/>
        </w:rPr>
        <w:t xml:space="preserve">Neem </w:t>
      </w:r>
      <w:r w:rsidR="001209AC">
        <w:rPr>
          <w:rFonts w:ascii="Arial" w:hAnsi="Arial" w:cs="Arial"/>
          <w:b/>
          <w:bCs/>
          <w:sz w:val="24"/>
          <w:szCs w:val="24"/>
        </w:rPr>
        <w:t>O</w:t>
      </w:r>
      <w:r w:rsidR="0033224A" w:rsidRPr="001D326A">
        <w:rPr>
          <w:rFonts w:ascii="Arial" w:hAnsi="Arial" w:cs="Arial"/>
          <w:b/>
          <w:bCs/>
          <w:sz w:val="24"/>
          <w:szCs w:val="24"/>
        </w:rPr>
        <w:t xml:space="preserve">il </w:t>
      </w:r>
      <w:r w:rsidR="001209AC">
        <w:rPr>
          <w:rFonts w:ascii="Arial" w:hAnsi="Arial" w:cs="Arial"/>
          <w:b/>
          <w:bCs/>
          <w:sz w:val="24"/>
          <w:szCs w:val="24"/>
        </w:rPr>
        <w:t>F</w:t>
      </w:r>
      <w:r w:rsidR="0011525B" w:rsidRPr="001D326A">
        <w:rPr>
          <w:rFonts w:ascii="Arial" w:hAnsi="Arial" w:cs="Arial"/>
          <w:b/>
          <w:bCs/>
          <w:sz w:val="24"/>
          <w:szCs w:val="24"/>
        </w:rPr>
        <w:t xml:space="preserve">ormulation </w:t>
      </w:r>
      <w:r w:rsidR="001209AC">
        <w:rPr>
          <w:rFonts w:ascii="Arial" w:hAnsi="Arial" w:cs="Arial"/>
          <w:b/>
          <w:bCs/>
          <w:sz w:val="24"/>
          <w:szCs w:val="24"/>
        </w:rPr>
        <w:t>U</w:t>
      </w:r>
      <w:r w:rsidR="0011525B" w:rsidRPr="001D326A">
        <w:rPr>
          <w:rFonts w:ascii="Arial" w:hAnsi="Arial" w:cs="Arial"/>
          <w:b/>
          <w:bCs/>
          <w:sz w:val="24"/>
          <w:szCs w:val="24"/>
        </w:rPr>
        <w:t xml:space="preserve">sed in the </w:t>
      </w:r>
      <w:r w:rsidR="001209AC">
        <w:rPr>
          <w:rFonts w:ascii="Arial" w:hAnsi="Arial" w:cs="Arial"/>
          <w:b/>
          <w:bCs/>
          <w:sz w:val="24"/>
          <w:szCs w:val="24"/>
        </w:rPr>
        <w:t>E</w:t>
      </w:r>
      <w:r w:rsidR="0011525B" w:rsidRPr="001D326A">
        <w:rPr>
          <w:rFonts w:ascii="Arial" w:hAnsi="Arial" w:cs="Arial"/>
          <w:b/>
          <w:bCs/>
          <w:sz w:val="24"/>
          <w:szCs w:val="24"/>
        </w:rPr>
        <w:t>xperiment</w:t>
      </w:r>
      <w:r w:rsidR="00115EA5" w:rsidRPr="001D326A">
        <w:rPr>
          <w:rFonts w:ascii="Arial" w:hAnsi="Arial" w:cs="Arial"/>
          <w:sz w:val="24"/>
          <w:szCs w:val="24"/>
        </w:rPr>
        <w:t>:</w:t>
      </w:r>
      <w:r w:rsidR="00902ADA" w:rsidRPr="00F67B20">
        <w:rPr>
          <w:rFonts w:ascii="Arial" w:hAnsi="Arial" w:cs="Arial"/>
          <w:sz w:val="24"/>
          <w:szCs w:val="24"/>
        </w:rPr>
        <w:t xml:space="preserve"> </w:t>
      </w:r>
      <w:r w:rsidR="0011525B" w:rsidRPr="00F67B20">
        <w:rPr>
          <w:rFonts w:ascii="Arial" w:hAnsi="Arial" w:cs="Arial"/>
          <w:sz w:val="24"/>
          <w:szCs w:val="24"/>
        </w:rPr>
        <w:t xml:space="preserve">A </w:t>
      </w:r>
      <w:r w:rsidR="00902ADA" w:rsidRPr="00F67B20">
        <w:rPr>
          <w:rFonts w:ascii="Arial" w:hAnsi="Arial" w:cs="Arial"/>
          <w:sz w:val="24"/>
          <w:szCs w:val="24"/>
        </w:rPr>
        <w:t>prepared Neem</w:t>
      </w:r>
      <w:r w:rsidR="00537E15" w:rsidRPr="00F67B20">
        <w:rPr>
          <w:rFonts w:ascii="Arial" w:hAnsi="Arial" w:cs="Arial"/>
          <w:sz w:val="24"/>
          <w:szCs w:val="24"/>
        </w:rPr>
        <w:t xml:space="preserve"> oil formulation</w:t>
      </w:r>
      <w:r w:rsidR="00537E15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 used in the present investigation</w:t>
      </w:r>
      <w:r w:rsidR="004960E3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 was </w:t>
      </w:r>
      <w:r w:rsidR="00902ADA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obtained from </w:t>
      </w:r>
      <w:proofErr w:type="spellStart"/>
      <w:r w:rsidR="00902ADA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>Rasashastra</w:t>
      </w:r>
      <w:proofErr w:type="spellEnd"/>
      <w:r w:rsidR="00902ADA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 Laboratory</w:t>
      </w:r>
      <w:r w:rsidR="008720DF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>,</w:t>
      </w:r>
      <w:r w:rsidR="00902ADA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 </w:t>
      </w:r>
      <w:r w:rsidR="00BE1AC5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>J. B. Roy State Ayurvedic Medical College and Hospital</w:t>
      </w:r>
      <w:r w:rsidR="00836594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>,</w:t>
      </w:r>
      <w:r w:rsidR="00902ADA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 </w:t>
      </w:r>
      <w:r w:rsidR="00C32DD2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Kolkata. </w:t>
      </w:r>
    </w:p>
    <w:p w14:paraId="6A2B1364" w14:textId="77777777" w:rsidR="00527777" w:rsidRPr="00F67B20" w:rsidRDefault="00527777" w:rsidP="00F67B20">
      <w:pPr>
        <w:pStyle w:val="ListParagraph"/>
        <w:spacing w:after="0" w:line="240" w:lineRule="auto"/>
        <w:jc w:val="both"/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en-IN"/>
        </w:rPr>
      </w:pPr>
    </w:p>
    <w:p w14:paraId="1193E170" w14:textId="73109B80" w:rsidR="00FC5D12" w:rsidRPr="00F67B20" w:rsidRDefault="001D326A" w:rsidP="00F67B20">
      <w:pPr>
        <w:spacing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en-IN"/>
        </w:rPr>
        <w:t xml:space="preserve">2.2 </w:t>
      </w:r>
      <w:r w:rsidR="00D8514F" w:rsidRPr="001D326A">
        <w:rPr>
          <w:rFonts w:ascii="Arial" w:eastAsia="Times New Roman" w:hAnsi="Arial" w:cs="Arial"/>
          <w:b/>
          <w:bCs/>
          <w:kern w:val="0"/>
          <w:sz w:val="24"/>
          <w:szCs w:val="24"/>
          <w:lang w:eastAsia="en-IN"/>
        </w:rPr>
        <w:t xml:space="preserve">Bacterial </w:t>
      </w:r>
      <w:r w:rsidR="001209AC">
        <w:rPr>
          <w:rFonts w:ascii="Arial" w:eastAsia="Times New Roman" w:hAnsi="Arial" w:cs="Arial"/>
          <w:b/>
          <w:bCs/>
          <w:kern w:val="0"/>
          <w:sz w:val="24"/>
          <w:szCs w:val="24"/>
          <w:lang w:eastAsia="en-IN"/>
        </w:rPr>
        <w:t>S</w:t>
      </w:r>
      <w:r w:rsidR="00D8514F" w:rsidRPr="001D326A">
        <w:rPr>
          <w:rFonts w:ascii="Arial" w:eastAsia="Times New Roman" w:hAnsi="Arial" w:cs="Arial"/>
          <w:b/>
          <w:bCs/>
          <w:kern w:val="0"/>
          <w:sz w:val="24"/>
          <w:szCs w:val="24"/>
          <w:lang w:eastAsia="en-IN"/>
        </w:rPr>
        <w:t>trains</w:t>
      </w:r>
      <w:r w:rsidR="00AC4C9D" w:rsidRPr="001D326A">
        <w:rPr>
          <w:rFonts w:ascii="Arial" w:eastAsia="Times New Roman" w:hAnsi="Arial" w:cs="Arial"/>
          <w:b/>
          <w:bCs/>
          <w:kern w:val="0"/>
          <w:sz w:val="24"/>
          <w:szCs w:val="24"/>
          <w:lang w:eastAsia="en-IN"/>
        </w:rPr>
        <w:t>:</w:t>
      </w:r>
      <w:r w:rsidR="00902ADA" w:rsidRPr="00F67B20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en-IN"/>
        </w:rPr>
        <w:t xml:space="preserve"> </w:t>
      </w:r>
      <w:r w:rsidR="0059542E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>I</w:t>
      </w:r>
      <w:r w:rsidR="00AC4C9D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solates of the ESBL ivkdr6 and MRSA-SCC </w:t>
      </w:r>
      <w:proofErr w:type="spellStart"/>
      <w:r w:rsidR="00AC4C9D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>mec</w:t>
      </w:r>
      <w:proofErr w:type="spellEnd"/>
      <w:r w:rsidR="00AC4C9D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-V-spa t267 strains </w:t>
      </w:r>
      <w:r w:rsidR="006A28E1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used for the investigation were </w:t>
      </w:r>
      <w:r w:rsidR="006D369B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obtained from </w:t>
      </w:r>
      <w:r w:rsidR="00AC4C9D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the </w:t>
      </w:r>
      <w:r w:rsidR="00680970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repository of </w:t>
      </w:r>
      <w:r w:rsidR="0059542E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the </w:t>
      </w:r>
      <w:r w:rsidR="00AC4C9D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>Indian Veterinary Research Institute, ERS Kolkata</w:t>
      </w:r>
      <w:r w:rsidR="0059542E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>.</w:t>
      </w:r>
    </w:p>
    <w:p w14:paraId="713C2DB2" w14:textId="0EB1354B" w:rsidR="0093699B" w:rsidRPr="00F67B20" w:rsidRDefault="001D326A" w:rsidP="00F67B20">
      <w:pPr>
        <w:spacing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 xml:space="preserve">2.3 </w:t>
      </w:r>
      <w:r w:rsidR="0093699B" w:rsidRPr="00F67B20">
        <w:rPr>
          <w:rFonts w:ascii="Arial" w:hAnsi="Arial" w:cs="Arial"/>
          <w:b/>
          <w:sz w:val="24"/>
          <w:szCs w:val="24"/>
        </w:rPr>
        <w:t xml:space="preserve">Antimicrobial </w:t>
      </w:r>
      <w:r w:rsidR="001209AC">
        <w:rPr>
          <w:rFonts w:ascii="Arial" w:hAnsi="Arial" w:cs="Arial"/>
          <w:b/>
          <w:sz w:val="24"/>
          <w:szCs w:val="24"/>
        </w:rPr>
        <w:t>A</w:t>
      </w:r>
      <w:r w:rsidR="0093699B" w:rsidRPr="00F67B20">
        <w:rPr>
          <w:rFonts w:ascii="Arial" w:hAnsi="Arial" w:cs="Arial"/>
          <w:b/>
          <w:sz w:val="24"/>
          <w:szCs w:val="24"/>
        </w:rPr>
        <w:t>ctivity</w:t>
      </w:r>
      <w:r w:rsidR="00305A3F" w:rsidRPr="00F67B20">
        <w:rPr>
          <w:rFonts w:ascii="Arial" w:hAnsi="Arial" w:cs="Arial"/>
          <w:b/>
          <w:sz w:val="24"/>
          <w:szCs w:val="24"/>
        </w:rPr>
        <w:t xml:space="preserve"> </w:t>
      </w:r>
      <w:r w:rsidR="001209AC">
        <w:rPr>
          <w:rFonts w:ascii="Arial" w:hAnsi="Arial" w:cs="Arial"/>
          <w:b/>
          <w:sz w:val="24"/>
          <w:szCs w:val="24"/>
        </w:rPr>
        <w:t>E</w:t>
      </w:r>
      <w:r w:rsidR="00305A3F" w:rsidRPr="00F67B20">
        <w:rPr>
          <w:rFonts w:ascii="Arial" w:hAnsi="Arial" w:cs="Arial"/>
          <w:b/>
          <w:sz w:val="24"/>
          <w:szCs w:val="24"/>
        </w:rPr>
        <w:t>valuation</w:t>
      </w:r>
    </w:p>
    <w:p w14:paraId="2CB205B8" w14:textId="58C35284" w:rsidR="008D2D00" w:rsidRPr="00F67B20" w:rsidRDefault="001D326A" w:rsidP="00F67B20">
      <w:pPr>
        <w:spacing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en-IN"/>
        </w:rPr>
      </w:pPr>
      <w:r>
        <w:rPr>
          <w:rFonts w:ascii="Arial" w:hAnsi="Arial" w:cs="Arial"/>
          <w:b/>
          <w:sz w:val="24"/>
          <w:szCs w:val="24"/>
        </w:rPr>
        <w:t xml:space="preserve">2.3.1 </w:t>
      </w:r>
      <w:r w:rsidR="0093699B" w:rsidRPr="001D326A">
        <w:rPr>
          <w:rFonts w:ascii="Arial" w:hAnsi="Arial" w:cs="Arial"/>
          <w:b/>
          <w:sz w:val="24"/>
          <w:szCs w:val="24"/>
        </w:rPr>
        <w:t xml:space="preserve">MIC (Minimum </w:t>
      </w:r>
      <w:r w:rsidR="001209AC" w:rsidRPr="001D326A">
        <w:rPr>
          <w:rFonts w:ascii="Arial" w:hAnsi="Arial" w:cs="Arial"/>
          <w:b/>
          <w:sz w:val="24"/>
          <w:szCs w:val="24"/>
        </w:rPr>
        <w:t>Inhibitory Concentration</w:t>
      </w:r>
      <w:r w:rsidR="0093699B" w:rsidRPr="001D326A">
        <w:rPr>
          <w:rFonts w:ascii="Arial" w:hAnsi="Arial" w:cs="Arial"/>
          <w:b/>
          <w:sz w:val="24"/>
          <w:szCs w:val="24"/>
        </w:rPr>
        <w:t xml:space="preserve">), and MBC (Minimum </w:t>
      </w:r>
      <w:r w:rsidR="001209AC" w:rsidRPr="001D326A">
        <w:rPr>
          <w:rFonts w:ascii="Arial" w:hAnsi="Arial" w:cs="Arial"/>
          <w:b/>
          <w:sz w:val="24"/>
          <w:szCs w:val="24"/>
        </w:rPr>
        <w:t>Bactericidal Concentration</w:t>
      </w:r>
      <w:r w:rsidR="0093699B" w:rsidRPr="001D326A">
        <w:rPr>
          <w:rFonts w:ascii="Arial" w:hAnsi="Arial" w:cs="Arial"/>
          <w:b/>
          <w:sz w:val="24"/>
          <w:szCs w:val="24"/>
        </w:rPr>
        <w:t>)</w:t>
      </w:r>
      <w:r w:rsidR="00F67B20" w:rsidRPr="001D326A">
        <w:rPr>
          <w:rFonts w:ascii="Arial" w:hAnsi="Arial" w:cs="Arial"/>
          <w:b/>
          <w:sz w:val="24"/>
          <w:szCs w:val="24"/>
        </w:rPr>
        <w:t xml:space="preserve"> </w:t>
      </w:r>
      <w:r w:rsidR="009646BB" w:rsidRPr="001D326A">
        <w:rPr>
          <w:rFonts w:ascii="Arial" w:hAnsi="Arial" w:cs="Arial"/>
          <w:b/>
          <w:sz w:val="24"/>
          <w:szCs w:val="24"/>
        </w:rPr>
        <w:t>Determination</w:t>
      </w:r>
      <w:r w:rsidR="000758A7" w:rsidRPr="001D326A">
        <w:rPr>
          <w:rFonts w:ascii="Arial" w:eastAsia="Times New Roman" w:hAnsi="Arial" w:cs="Arial"/>
          <w:b/>
          <w:kern w:val="0"/>
          <w:sz w:val="24"/>
          <w:szCs w:val="24"/>
          <w:lang w:eastAsia="en-IN"/>
        </w:rPr>
        <w:t>:</w:t>
      </w:r>
      <w:r w:rsidR="000C2147" w:rsidRPr="00F67B20">
        <w:rPr>
          <w:rFonts w:ascii="Arial" w:eastAsia="Times New Roman" w:hAnsi="Arial" w:cs="Arial"/>
          <w:b/>
          <w:kern w:val="0"/>
          <w:sz w:val="24"/>
          <w:szCs w:val="24"/>
          <w:lang w:eastAsia="en-IN"/>
        </w:rPr>
        <w:t xml:space="preserve"> </w:t>
      </w:r>
      <w:r w:rsidR="0093699B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>To ascertain the MIC of Neem oil (NO)</w:t>
      </w:r>
      <w:r w:rsidR="00AC4C9D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>,</w:t>
      </w:r>
      <w:r w:rsidR="0093699B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 two different methods were applied</w:t>
      </w:r>
      <w:r w:rsidR="00902ADA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>,</w:t>
      </w:r>
      <w:r w:rsidR="0093699B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 viz</w:t>
      </w:r>
      <w:r w:rsidR="00352389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>.,</w:t>
      </w:r>
      <w:r w:rsidR="00902ADA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 </w:t>
      </w:r>
      <w:proofErr w:type="spellStart"/>
      <w:r w:rsidR="00352389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>i</w:t>
      </w:r>
      <w:proofErr w:type="spellEnd"/>
      <w:r w:rsidR="00352389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) </w:t>
      </w:r>
      <w:r w:rsidR="0093699B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evaluation through optical density </w:t>
      </w:r>
      <w:r w:rsidR="000C2147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>and ii</w:t>
      </w:r>
      <w:r w:rsidR="00352389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>)</w:t>
      </w:r>
      <w:r w:rsidR="000C2147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 a </w:t>
      </w:r>
      <w:r w:rsidR="00352389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>mathematical</w:t>
      </w:r>
      <w:r w:rsidR="0093699B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 </w:t>
      </w:r>
      <w:r w:rsidR="000C2147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>analysis method</w:t>
      </w:r>
      <w:r w:rsidR="0093699B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 using </w:t>
      </w:r>
      <w:r w:rsidR="00AC4C9D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>a</w:t>
      </w:r>
      <w:r w:rsidR="0093699B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 previously established model with certain modifications</w:t>
      </w:r>
      <w:r w:rsidR="00161DD8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 (Lambert and Pearson, 2000)</w:t>
      </w:r>
      <w:r w:rsidR="0093699B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>.</w:t>
      </w:r>
      <w:r w:rsidR="00902ADA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 </w:t>
      </w:r>
      <w:r w:rsidR="00B15708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Both these methods provided complementary insights. </w:t>
      </w:r>
      <w:r w:rsidR="00B15708" w:rsidRPr="00F67B20">
        <w:rPr>
          <w:rFonts w:ascii="Arial" w:hAnsi="Arial" w:cs="Arial"/>
          <w:sz w:val="24"/>
          <w:szCs w:val="24"/>
        </w:rPr>
        <w:t xml:space="preserve">The Optical Density (OD) method provided a direct, real-time measurement of microbial growth inhibition under experimental conditions. </w:t>
      </w:r>
      <w:r w:rsidR="00B15708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>The mathematical model allowed quantitative analysis of the dose-response relationship, identifying MIC based on sigmoidal curve fitting and inflection points.</w:t>
      </w:r>
    </w:p>
    <w:p w14:paraId="449227A7" w14:textId="51C3B55C" w:rsidR="004C34AA" w:rsidRPr="00F67B20" w:rsidRDefault="001D326A" w:rsidP="00F67B20">
      <w:pPr>
        <w:spacing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en-IN"/>
        </w:rPr>
      </w:pPr>
      <w:r>
        <w:rPr>
          <w:rFonts w:ascii="Arial" w:eastAsia="Times New Roman" w:hAnsi="Arial" w:cs="Arial"/>
          <w:b/>
          <w:iCs/>
          <w:kern w:val="0"/>
          <w:sz w:val="24"/>
          <w:szCs w:val="24"/>
          <w:lang w:eastAsia="en-IN"/>
        </w:rPr>
        <w:t xml:space="preserve">2.3.2 </w:t>
      </w:r>
      <w:r w:rsidR="0093699B" w:rsidRPr="001D326A">
        <w:rPr>
          <w:rFonts w:ascii="Arial" w:eastAsia="Times New Roman" w:hAnsi="Arial" w:cs="Arial"/>
          <w:b/>
          <w:iCs/>
          <w:kern w:val="0"/>
          <w:sz w:val="24"/>
          <w:szCs w:val="24"/>
          <w:lang w:eastAsia="en-IN"/>
        </w:rPr>
        <w:t xml:space="preserve">Optical </w:t>
      </w:r>
      <w:r w:rsidR="001209AC" w:rsidRPr="001D326A">
        <w:rPr>
          <w:rFonts w:ascii="Arial" w:eastAsia="Times New Roman" w:hAnsi="Arial" w:cs="Arial"/>
          <w:b/>
          <w:iCs/>
          <w:kern w:val="0"/>
          <w:sz w:val="24"/>
          <w:szCs w:val="24"/>
          <w:lang w:eastAsia="en-IN"/>
        </w:rPr>
        <w:t>Density Method (</w:t>
      </w:r>
      <w:r w:rsidR="00FA4508" w:rsidRPr="001D326A">
        <w:rPr>
          <w:rFonts w:ascii="Arial" w:eastAsia="Times New Roman" w:hAnsi="Arial" w:cs="Arial"/>
          <w:b/>
          <w:iCs/>
          <w:kern w:val="0"/>
          <w:sz w:val="24"/>
          <w:szCs w:val="24"/>
          <w:lang w:eastAsia="en-IN"/>
        </w:rPr>
        <w:t xml:space="preserve">Broth </w:t>
      </w:r>
      <w:r w:rsidR="001209AC" w:rsidRPr="001D326A">
        <w:rPr>
          <w:rFonts w:ascii="Arial" w:eastAsia="Times New Roman" w:hAnsi="Arial" w:cs="Arial"/>
          <w:b/>
          <w:iCs/>
          <w:kern w:val="0"/>
          <w:sz w:val="24"/>
          <w:szCs w:val="24"/>
          <w:lang w:eastAsia="en-IN"/>
        </w:rPr>
        <w:t>Microdilution)</w:t>
      </w:r>
      <w:r w:rsidR="001209AC" w:rsidRPr="001D326A">
        <w:rPr>
          <w:rFonts w:ascii="Arial" w:eastAsia="Times New Roman" w:hAnsi="Arial" w:cs="Arial"/>
          <w:bCs/>
          <w:iCs/>
          <w:kern w:val="0"/>
          <w:sz w:val="24"/>
          <w:szCs w:val="24"/>
          <w:lang w:eastAsia="en-IN"/>
        </w:rPr>
        <w:t>:</w:t>
      </w:r>
      <w:r w:rsidR="001209AC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 </w:t>
      </w:r>
      <w:r w:rsidR="000C2147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>In each microtiter</w:t>
      </w:r>
      <w:r w:rsidR="000A695A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 plate well</w:t>
      </w:r>
      <w:r w:rsidR="00500F3E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>,</w:t>
      </w:r>
      <w:r w:rsidR="0093699B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>100 µL of Mueller Hinton Broth</w:t>
      </w:r>
      <w:r w:rsidR="00757435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 (MHB)</w:t>
      </w:r>
      <w:r w:rsidR="0093699B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 medium was first added</w:t>
      </w:r>
      <w:r w:rsidR="00975124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>.</w:t>
      </w:r>
      <w:r w:rsidR="00E65A59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 NO</w:t>
      </w:r>
      <w:r w:rsidR="0093699B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 was evenly distributed throughout </w:t>
      </w:r>
      <w:r w:rsidR="00FA4508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the </w:t>
      </w:r>
      <w:r w:rsidR="0093699B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>broth at final concentrations of 1.25,</w:t>
      </w:r>
      <w:r w:rsidR="00125A46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 2.5,</w:t>
      </w:r>
      <w:r w:rsidR="0093699B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 5, 10, 20, 40, 80, 160, 320, and 640 µ</w:t>
      </w:r>
      <w:r w:rsidR="00460677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>L</w:t>
      </w:r>
      <w:r w:rsidR="0093699B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>/</w:t>
      </w:r>
      <w:proofErr w:type="spellStart"/>
      <w:r w:rsidR="0093699B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>m</w:t>
      </w:r>
      <w:r w:rsidR="00460677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>L</w:t>
      </w:r>
      <w:r w:rsidR="0093699B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>.</w:t>
      </w:r>
      <w:proofErr w:type="spellEnd"/>
      <w:r w:rsid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 </w:t>
      </w:r>
      <w:r w:rsidR="00FA4508" w:rsidRPr="00F67B20">
        <w:rPr>
          <w:rFonts w:ascii="Arial" w:hAnsi="Arial" w:cs="Arial"/>
          <w:sz w:val="24"/>
          <w:szCs w:val="24"/>
        </w:rPr>
        <w:t>An inoculum was prepared by suspending fresh (18–24 h</w:t>
      </w:r>
      <w:r w:rsidR="00125A46" w:rsidRPr="00F67B20">
        <w:rPr>
          <w:rFonts w:ascii="Arial" w:hAnsi="Arial" w:cs="Arial"/>
          <w:sz w:val="24"/>
          <w:szCs w:val="24"/>
        </w:rPr>
        <w:t>r</w:t>
      </w:r>
      <w:r w:rsidR="00A756DA" w:rsidRPr="00F67B20">
        <w:rPr>
          <w:rFonts w:ascii="Arial" w:hAnsi="Arial" w:cs="Arial"/>
          <w:sz w:val="24"/>
          <w:szCs w:val="24"/>
        </w:rPr>
        <w:t>s</w:t>
      </w:r>
      <w:r w:rsidR="00125A46" w:rsidRPr="00F67B20">
        <w:rPr>
          <w:rFonts w:ascii="Arial" w:hAnsi="Arial" w:cs="Arial"/>
          <w:sz w:val="24"/>
          <w:szCs w:val="24"/>
        </w:rPr>
        <w:t>.</w:t>
      </w:r>
      <w:r w:rsidR="00F67B20">
        <w:rPr>
          <w:rFonts w:ascii="Arial" w:hAnsi="Arial" w:cs="Arial"/>
          <w:sz w:val="24"/>
          <w:szCs w:val="24"/>
        </w:rPr>
        <w:t>.</w:t>
      </w:r>
      <w:r w:rsidR="00FA4508" w:rsidRPr="00F67B20">
        <w:rPr>
          <w:rFonts w:ascii="Arial" w:hAnsi="Arial" w:cs="Arial"/>
          <w:sz w:val="24"/>
          <w:szCs w:val="24"/>
        </w:rPr>
        <w:t xml:space="preserve">) bacterial (ESBL and MRSA) colonies in Luria broth to </w:t>
      </w:r>
      <w:r w:rsidR="008F0CC1" w:rsidRPr="00F67B20">
        <w:rPr>
          <w:rFonts w:ascii="Arial" w:hAnsi="Arial" w:cs="Arial"/>
          <w:sz w:val="24"/>
          <w:szCs w:val="24"/>
        </w:rPr>
        <w:t>attain a</w:t>
      </w:r>
      <w:r w:rsidR="00FA4508" w:rsidRPr="00F67B20">
        <w:rPr>
          <w:rFonts w:ascii="Arial" w:hAnsi="Arial" w:cs="Arial"/>
          <w:sz w:val="24"/>
          <w:szCs w:val="24"/>
        </w:rPr>
        <w:t xml:space="preserve"> turbidity of 0.5 McFarland standard measured using a colorimeter, corresponding to approx. 1.5 × </w:t>
      </w:r>
      <w:r w:rsidR="00902ADA" w:rsidRPr="00F67B20">
        <w:rPr>
          <w:rFonts w:ascii="Arial" w:hAnsi="Arial" w:cs="Arial"/>
          <w:sz w:val="24"/>
          <w:szCs w:val="24"/>
        </w:rPr>
        <w:t>10^8 CFU</w:t>
      </w:r>
      <w:r w:rsidR="00FA4508" w:rsidRPr="00F67B20">
        <w:rPr>
          <w:rFonts w:ascii="Arial" w:hAnsi="Arial" w:cs="Arial"/>
          <w:sz w:val="24"/>
          <w:szCs w:val="24"/>
        </w:rPr>
        <w:t>/m</w:t>
      </w:r>
      <w:r w:rsidR="00460677" w:rsidRPr="00F67B20">
        <w:rPr>
          <w:rFonts w:ascii="Arial" w:hAnsi="Arial" w:cs="Arial"/>
          <w:sz w:val="24"/>
          <w:szCs w:val="24"/>
        </w:rPr>
        <w:t>L</w:t>
      </w:r>
      <w:r w:rsidR="00EB028E" w:rsidRPr="00F67B20">
        <w:rPr>
          <w:rFonts w:ascii="Arial" w:hAnsi="Arial" w:cs="Arial"/>
          <w:sz w:val="24"/>
          <w:szCs w:val="24"/>
        </w:rPr>
        <w:t>.</w:t>
      </w:r>
      <w:r w:rsidR="00E65A59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>2</w:t>
      </w:r>
      <w:r w:rsidR="00A756DA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>μL</w:t>
      </w:r>
      <w:r w:rsidR="0093699B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of </w:t>
      </w:r>
      <w:r w:rsidR="00FA4508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>this</w:t>
      </w:r>
      <w:r w:rsidR="00902ADA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 </w:t>
      </w:r>
      <w:r w:rsidR="0093699B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bacterial culture </w:t>
      </w:r>
      <w:r w:rsidR="00F3342C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>was</w:t>
      </w:r>
      <w:r w:rsidR="0093699B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 added to each well in a 96-well plate. </w:t>
      </w:r>
      <w:r w:rsidR="00B70FE0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>The MIC and MBC were calculated</w:t>
      </w:r>
      <w:r w:rsidR="004A5759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 as per standard methods</w:t>
      </w:r>
      <w:r w:rsidR="007121CC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 (</w:t>
      </w:r>
      <w:r w:rsidR="007121CC" w:rsidRPr="00F67B20">
        <w:rPr>
          <w:rFonts w:ascii="Arial" w:hAnsi="Arial" w:cs="Arial"/>
          <w:sz w:val="24"/>
          <w:szCs w:val="24"/>
        </w:rPr>
        <w:t xml:space="preserve">Fazeli-Nasab </w:t>
      </w:r>
      <w:r w:rsidR="007121CC" w:rsidRPr="00DB64D1">
        <w:rPr>
          <w:rFonts w:ascii="Arial" w:hAnsi="Arial" w:cs="Arial"/>
          <w:i/>
          <w:iCs/>
          <w:sz w:val="24"/>
          <w:szCs w:val="24"/>
        </w:rPr>
        <w:t>et al</w:t>
      </w:r>
      <w:r w:rsidR="00DB64D1">
        <w:rPr>
          <w:rFonts w:ascii="Arial" w:hAnsi="Arial" w:cs="Arial"/>
          <w:sz w:val="24"/>
          <w:szCs w:val="24"/>
        </w:rPr>
        <w:t>.</w:t>
      </w:r>
      <w:r w:rsidR="007121CC" w:rsidRPr="00F67B20">
        <w:rPr>
          <w:rFonts w:ascii="Arial" w:hAnsi="Arial" w:cs="Arial"/>
          <w:sz w:val="24"/>
          <w:szCs w:val="24"/>
        </w:rPr>
        <w:t>, 2021</w:t>
      </w:r>
      <w:r w:rsidR="007121CC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>).</w:t>
      </w:r>
    </w:p>
    <w:p w14:paraId="36081A45" w14:textId="620AC98C" w:rsidR="0093699B" w:rsidRPr="00F67B20" w:rsidRDefault="001D326A" w:rsidP="00F67B20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iCs/>
          <w:sz w:val="24"/>
          <w:szCs w:val="24"/>
        </w:rPr>
        <w:t xml:space="preserve">2.3.3 </w:t>
      </w:r>
      <w:r w:rsidR="0093699B" w:rsidRPr="001D326A">
        <w:rPr>
          <w:rFonts w:ascii="Arial" w:hAnsi="Arial" w:cs="Arial"/>
          <w:b/>
          <w:iCs/>
          <w:sz w:val="24"/>
          <w:szCs w:val="24"/>
        </w:rPr>
        <w:t xml:space="preserve">Mathematical </w:t>
      </w:r>
      <w:r w:rsidR="001209AC" w:rsidRPr="001D326A">
        <w:rPr>
          <w:rFonts w:ascii="Arial" w:hAnsi="Arial" w:cs="Arial"/>
          <w:b/>
          <w:iCs/>
          <w:sz w:val="24"/>
          <w:szCs w:val="24"/>
        </w:rPr>
        <w:t>Analysis Method</w:t>
      </w:r>
      <w:r w:rsidR="001209AC" w:rsidRPr="001D326A">
        <w:rPr>
          <w:rFonts w:ascii="Arial" w:hAnsi="Arial" w:cs="Arial"/>
          <w:bCs/>
          <w:iCs/>
          <w:sz w:val="24"/>
          <w:szCs w:val="24"/>
        </w:rPr>
        <w:t>:</w:t>
      </w:r>
      <w:r w:rsidR="001209AC" w:rsidRPr="00F67B20">
        <w:rPr>
          <w:rFonts w:ascii="Arial" w:hAnsi="Arial" w:cs="Arial"/>
          <w:bCs/>
          <w:iCs/>
          <w:sz w:val="24"/>
          <w:szCs w:val="24"/>
        </w:rPr>
        <w:t xml:space="preserve"> </w:t>
      </w:r>
      <w:r w:rsidR="0093699B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>From the OD values obtained</w:t>
      </w:r>
      <w:r w:rsidR="00B15708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>,</w:t>
      </w:r>
      <w:r w:rsidR="0093699B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 mathematical analysis was carried out to calculate the MIC by applying the Gompertz equation as established by a model of </w:t>
      </w:r>
      <w:r w:rsidR="0093699B" w:rsidRPr="00F67B20">
        <w:rPr>
          <w:rFonts w:ascii="Arial" w:hAnsi="Arial" w:cs="Arial"/>
          <w:sz w:val="24"/>
          <w:szCs w:val="24"/>
        </w:rPr>
        <w:t>Lambert–Pearson (LPM)</w:t>
      </w:r>
      <w:r w:rsidR="00500F3E" w:rsidRPr="00F67B20">
        <w:rPr>
          <w:rFonts w:ascii="Arial" w:hAnsi="Arial" w:cs="Arial"/>
          <w:sz w:val="24"/>
          <w:szCs w:val="24"/>
        </w:rPr>
        <w:t>,</w:t>
      </w:r>
      <w:r w:rsidR="00902ADA" w:rsidRPr="00F67B20">
        <w:rPr>
          <w:rFonts w:ascii="Arial" w:hAnsi="Arial" w:cs="Arial"/>
          <w:sz w:val="24"/>
          <w:szCs w:val="24"/>
        </w:rPr>
        <w:t xml:space="preserve"> </w:t>
      </w:r>
      <w:r w:rsidR="0001753C" w:rsidRPr="00F67B20">
        <w:rPr>
          <w:rFonts w:ascii="Arial" w:hAnsi="Arial" w:cs="Arial"/>
          <w:sz w:val="24"/>
          <w:szCs w:val="24"/>
        </w:rPr>
        <w:t>which was</w:t>
      </w:r>
      <w:r w:rsidR="0093699B" w:rsidRPr="00F67B20">
        <w:rPr>
          <w:rFonts w:ascii="Arial" w:hAnsi="Arial" w:cs="Arial"/>
          <w:sz w:val="24"/>
          <w:szCs w:val="24"/>
        </w:rPr>
        <w:t xml:space="preserve"> later updated</w:t>
      </w:r>
      <w:r w:rsidR="003C41C0" w:rsidRPr="00F67B20">
        <w:rPr>
          <w:rFonts w:ascii="Arial" w:hAnsi="Arial" w:cs="Arial"/>
          <w:sz w:val="24"/>
          <w:szCs w:val="24"/>
        </w:rPr>
        <w:t xml:space="preserve"> (Lambert and Lambert, 2003).</w:t>
      </w:r>
    </w:p>
    <w:p w14:paraId="6FE4926B" w14:textId="77777777" w:rsidR="0093699B" w:rsidRPr="00F67B20" w:rsidRDefault="0093699B" w:rsidP="00F67B20">
      <w:pPr>
        <w:spacing w:after="0" w:line="240" w:lineRule="auto"/>
        <w:ind w:left="360"/>
        <w:jc w:val="both"/>
        <w:rPr>
          <w:rFonts w:ascii="Arial" w:hAnsi="Arial" w:cs="Arial"/>
          <w:bCs/>
          <w:i/>
          <w:iCs/>
          <w:sz w:val="24"/>
          <w:szCs w:val="24"/>
        </w:rPr>
      </w:pPr>
      <w:r w:rsidRPr="00F67B20">
        <w:rPr>
          <w:rFonts w:ascii="Arial" w:hAnsi="Arial" w:cs="Arial"/>
          <w:bCs/>
          <w:i/>
          <w:iCs/>
          <w:sz w:val="24"/>
          <w:szCs w:val="24"/>
        </w:rPr>
        <w:t xml:space="preserve">                                      fa = exp [-(x /P</w:t>
      </w:r>
      <w:proofErr w:type="gramStart"/>
      <w:r w:rsidRPr="00F67B20">
        <w:rPr>
          <w:rFonts w:ascii="Arial" w:hAnsi="Arial" w:cs="Arial"/>
          <w:bCs/>
          <w:i/>
          <w:iCs/>
          <w:sz w:val="24"/>
          <w:szCs w:val="24"/>
        </w:rPr>
        <w:t>1)</w:t>
      </w:r>
      <w:r w:rsidRPr="00F67B20">
        <w:rPr>
          <w:rFonts w:ascii="Arial" w:hAnsi="Arial" w:cs="Arial"/>
          <w:bCs/>
          <w:i/>
          <w:iCs/>
          <w:sz w:val="24"/>
          <w:szCs w:val="24"/>
          <w:vertAlign w:val="superscript"/>
        </w:rPr>
        <w:t>P</w:t>
      </w:r>
      <w:proofErr w:type="gramEnd"/>
      <w:r w:rsidRPr="00F67B20">
        <w:rPr>
          <w:rFonts w:ascii="Arial" w:hAnsi="Arial" w:cs="Arial"/>
          <w:bCs/>
          <w:i/>
          <w:iCs/>
          <w:sz w:val="24"/>
          <w:szCs w:val="24"/>
          <w:vertAlign w:val="superscript"/>
        </w:rPr>
        <w:t>2</w:t>
      </w:r>
      <w:r w:rsidRPr="00F67B20">
        <w:rPr>
          <w:rFonts w:ascii="Arial" w:hAnsi="Arial" w:cs="Arial"/>
          <w:bCs/>
          <w:i/>
          <w:iCs/>
          <w:sz w:val="24"/>
          <w:szCs w:val="24"/>
        </w:rPr>
        <w:t>]</w:t>
      </w:r>
      <w:r w:rsidRPr="00F67B20">
        <w:rPr>
          <w:rFonts w:ascii="Arial" w:hAnsi="Arial" w:cs="Arial"/>
          <w:sz w:val="24"/>
          <w:szCs w:val="24"/>
        </w:rPr>
        <w:t>……………</w:t>
      </w:r>
      <w:r w:rsidRPr="00F67B20">
        <w:rPr>
          <w:rFonts w:ascii="Arial" w:hAnsi="Arial" w:cs="Arial"/>
          <w:bCs/>
          <w:i/>
          <w:iCs/>
          <w:sz w:val="24"/>
          <w:szCs w:val="24"/>
        </w:rPr>
        <w:t>(</w:t>
      </w:r>
      <w:proofErr w:type="spellStart"/>
      <w:r w:rsidRPr="00F67B20">
        <w:rPr>
          <w:rFonts w:ascii="Arial" w:hAnsi="Arial" w:cs="Arial"/>
          <w:bCs/>
          <w:i/>
          <w:iCs/>
          <w:sz w:val="24"/>
          <w:szCs w:val="24"/>
        </w:rPr>
        <w:t>i</w:t>
      </w:r>
      <w:proofErr w:type="spellEnd"/>
      <w:r w:rsidRPr="00F67B20">
        <w:rPr>
          <w:rFonts w:ascii="Arial" w:hAnsi="Arial" w:cs="Arial"/>
          <w:bCs/>
          <w:i/>
          <w:iCs/>
          <w:sz w:val="24"/>
          <w:szCs w:val="24"/>
        </w:rPr>
        <w:t>)</w:t>
      </w:r>
    </w:p>
    <w:p w14:paraId="2ED20C68" w14:textId="77777777" w:rsidR="0093699B" w:rsidRPr="00F67B20" w:rsidRDefault="007414EE" w:rsidP="00F67B20">
      <w:pPr>
        <w:spacing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en-IN"/>
        </w:rPr>
      </w:pPr>
      <w:r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>where</w:t>
      </w:r>
      <w:r w:rsidR="0093699B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 the concentration at the maximum slope </w:t>
      </w:r>
      <w:r w:rsidR="00DA0F34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P1 </w:t>
      </w:r>
      <w:r w:rsidR="0093699B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(on a log x vs. fa plot), x </w:t>
      </w:r>
      <w:r w:rsidR="00CB0A69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>represents</w:t>
      </w:r>
      <w:r w:rsidR="0093699B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 the inhibitor (NO) concentration, fa </w:t>
      </w:r>
      <w:r w:rsidR="00481300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>represents</w:t>
      </w:r>
      <w:r w:rsidR="0093699B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 the fractional area, and P2 is a slope parameter. </w:t>
      </w:r>
      <w:r w:rsidR="00B15708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The Minimum Inhibitory Concentration was determined as the point where the tangent to the fa vs. log(concentration) curve — representing the steepest gradient — intersects the concentration axis. This point corresponds to the concentration at which the drug exhibits its most rapid increase in inhibitory effect. </w:t>
      </w:r>
      <w:r w:rsidR="0093699B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>This was put forth as:</w:t>
      </w:r>
    </w:p>
    <w:p w14:paraId="4B32BD3C" w14:textId="03A0DF96" w:rsidR="0093699B" w:rsidRPr="00F67B20" w:rsidRDefault="00170D93" w:rsidP="00F67B20">
      <w:pPr>
        <w:pStyle w:val="ListParagraph"/>
        <w:spacing w:line="240" w:lineRule="auto"/>
        <w:ind w:left="1080"/>
        <w:jc w:val="both"/>
        <w:rPr>
          <w:rFonts w:ascii="Arial" w:hAnsi="Arial" w:cs="Arial"/>
          <w:bCs/>
          <w:i/>
          <w:iCs/>
          <w:sz w:val="24"/>
          <w:szCs w:val="24"/>
        </w:rPr>
      </w:pPr>
      <w:r w:rsidRPr="00F67B20">
        <w:rPr>
          <w:rFonts w:ascii="Arial" w:hAnsi="Arial" w:cs="Arial"/>
          <w:bCs/>
          <w:i/>
          <w:iCs/>
          <w:sz w:val="24"/>
          <w:szCs w:val="24"/>
        </w:rPr>
        <w:t xml:space="preserve">                        </w:t>
      </w:r>
      <w:r w:rsidR="0093699B" w:rsidRPr="00F67B20">
        <w:rPr>
          <w:rFonts w:ascii="Arial" w:hAnsi="Arial" w:cs="Arial"/>
          <w:bCs/>
          <w:i/>
          <w:iCs/>
          <w:sz w:val="24"/>
          <w:szCs w:val="24"/>
        </w:rPr>
        <w:t>MIC = P1 exp (1/P</w:t>
      </w:r>
      <w:proofErr w:type="gramStart"/>
      <w:r w:rsidR="0093699B" w:rsidRPr="00F67B20">
        <w:rPr>
          <w:rFonts w:ascii="Arial" w:hAnsi="Arial" w:cs="Arial"/>
          <w:bCs/>
          <w:i/>
          <w:iCs/>
          <w:sz w:val="24"/>
          <w:szCs w:val="24"/>
        </w:rPr>
        <w:t>2)…</w:t>
      </w:r>
      <w:proofErr w:type="gramEnd"/>
      <w:r w:rsidR="0093699B" w:rsidRPr="00F67B20">
        <w:rPr>
          <w:rFonts w:ascii="Arial" w:hAnsi="Arial" w:cs="Arial"/>
          <w:bCs/>
          <w:i/>
          <w:iCs/>
          <w:sz w:val="24"/>
          <w:szCs w:val="24"/>
        </w:rPr>
        <w:t>………..(ii</w:t>
      </w:r>
      <w:r w:rsidR="00E83D9A" w:rsidRPr="00F67B20">
        <w:rPr>
          <w:rFonts w:ascii="Arial" w:hAnsi="Arial" w:cs="Arial"/>
          <w:bCs/>
          <w:i/>
          <w:iCs/>
          <w:sz w:val="24"/>
          <w:szCs w:val="24"/>
        </w:rPr>
        <w:t>)</w:t>
      </w:r>
    </w:p>
    <w:p w14:paraId="74927D43" w14:textId="45BCD49E" w:rsidR="0093699B" w:rsidRPr="00F67B20" w:rsidRDefault="001D326A" w:rsidP="00F67B20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en-IN"/>
        </w:rPr>
      </w:pPr>
      <w:r>
        <w:rPr>
          <w:rFonts w:ascii="Arial" w:hAnsi="Arial" w:cs="Arial"/>
          <w:b/>
          <w:sz w:val="24"/>
          <w:szCs w:val="24"/>
        </w:rPr>
        <w:t xml:space="preserve">2.3.4 </w:t>
      </w:r>
      <w:r w:rsidR="00322E19" w:rsidRPr="00F67B20">
        <w:rPr>
          <w:rFonts w:ascii="Arial" w:hAnsi="Arial" w:cs="Arial"/>
          <w:b/>
          <w:sz w:val="24"/>
          <w:szCs w:val="24"/>
        </w:rPr>
        <w:t>Time</w:t>
      </w:r>
      <w:r w:rsidR="00D27D3E" w:rsidRPr="00F67B20">
        <w:rPr>
          <w:rFonts w:ascii="Arial" w:hAnsi="Arial" w:cs="Arial"/>
          <w:b/>
          <w:sz w:val="24"/>
          <w:szCs w:val="24"/>
        </w:rPr>
        <w:t>-</w:t>
      </w:r>
      <w:r w:rsidR="001209AC">
        <w:rPr>
          <w:rFonts w:ascii="Arial" w:hAnsi="Arial" w:cs="Arial"/>
          <w:b/>
          <w:sz w:val="24"/>
          <w:szCs w:val="24"/>
        </w:rPr>
        <w:t>K</w:t>
      </w:r>
      <w:r w:rsidR="0093699B" w:rsidRPr="00F67B20">
        <w:rPr>
          <w:rFonts w:ascii="Arial" w:hAnsi="Arial" w:cs="Arial"/>
          <w:b/>
          <w:sz w:val="24"/>
          <w:szCs w:val="24"/>
        </w:rPr>
        <w:t xml:space="preserve">ill </w:t>
      </w:r>
      <w:r w:rsidR="001209AC">
        <w:rPr>
          <w:rFonts w:ascii="Arial" w:hAnsi="Arial" w:cs="Arial"/>
          <w:b/>
          <w:sz w:val="24"/>
          <w:szCs w:val="24"/>
        </w:rPr>
        <w:t>K</w:t>
      </w:r>
      <w:r w:rsidR="0093699B" w:rsidRPr="00F67B20">
        <w:rPr>
          <w:rFonts w:ascii="Arial" w:hAnsi="Arial" w:cs="Arial"/>
          <w:b/>
          <w:sz w:val="24"/>
          <w:szCs w:val="24"/>
        </w:rPr>
        <w:t xml:space="preserve">inetics </w:t>
      </w:r>
      <w:r w:rsidR="001209AC">
        <w:rPr>
          <w:rFonts w:ascii="Arial" w:hAnsi="Arial" w:cs="Arial"/>
          <w:b/>
          <w:sz w:val="24"/>
          <w:szCs w:val="24"/>
        </w:rPr>
        <w:t>A</w:t>
      </w:r>
      <w:r w:rsidR="0093699B" w:rsidRPr="00F67B20">
        <w:rPr>
          <w:rFonts w:ascii="Arial" w:hAnsi="Arial" w:cs="Arial"/>
          <w:b/>
          <w:sz w:val="24"/>
          <w:szCs w:val="24"/>
        </w:rPr>
        <w:t>ssay</w:t>
      </w:r>
      <w:r w:rsidR="00F3342C" w:rsidRPr="00F67B20">
        <w:rPr>
          <w:rFonts w:ascii="Arial" w:hAnsi="Arial" w:cs="Arial"/>
          <w:b/>
          <w:sz w:val="24"/>
          <w:szCs w:val="24"/>
        </w:rPr>
        <w:t>:</w:t>
      </w:r>
      <w:r w:rsidR="00F07F82" w:rsidRPr="00F67B20">
        <w:rPr>
          <w:rFonts w:ascii="Arial" w:hAnsi="Arial" w:cs="Arial"/>
          <w:b/>
          <w:sz w:val="24"/>
          <w:szCs w:val="24"/>
        </w:rPr>
        <w:t xml:space="preserve"> </w:t>
      </w:r>
      <w:r w:rsidR="006F2B21" w:rsidRPr="00F67B20">
        <w:rPr>
          <w:rFonts w:ascii="Arial" w:hAnsi="Arial" w:cs="Arial"/>
          <w:bCs/>
          <w:sz w:val="24"/>
          <w:szCs w:val="24"/>
        </w:rPr>
        <w:t xml:space="preserve">NO </w:t>
      </w:r>
      <w:r w:rsidR="006F2B21" w:rsidRPr="00F67B20">
        <w:rPr>
          <w:rFonts w:ascii="Arial" w:eastAsia="Times New Roman" w:hAnsi="Arial" w:cs="Arial"/>
          <w:bCs/>
          <w:kern w:val="0"/>
          <w:sz w:val="24"/>
          <w:szCs w:val="24"/>
          <w:lang w:eastAsia="en-IN"/>
        </w:rPr>
        <w:t>bacteriostatic and bactericidal effects were</w:t>
      </w:r>
      <w:r w:rsidR="00CC5BA0" w:rsidRPr="00F67B20">
        <w:rPr>
          <w:rFonts w:ascii="Arial" w:eastAsia="Times New Roman" w:hAnsi="Arial" w:cs="Arial"/>
          <w:bCs/>
          <w:kern w:val="0"/>
          <w:sz w:val="24"/>
          <w:szCs w:val="24"/>
          <w:lang w:eastAsia="en-IN"/>
        </w:rPr>
        <w:t xml:space="preserve"> evaluated u</w:t>
      </w:r>
      <w:r w:rsidR="0093699B" w:rsidRPr="00F67B20">
        <w:rPr>
          <w:rFonts w:ascii="Arial" w:eastAsia="Times New Roman" w:hAnsi="Arial" w:cs="Arial"/>
          <w:bCs/>
          <w:kern w:val="0"/>
          <w:sz w:val="24"/>
          <w:szCs w:val="24"/>
          <w:lang w:eastAsia="en-IN"/>
        </w:rPr>
        <w:t>sing kill kinetics profiling</w:t>
      </w:r>
      <w:r w:rsidR="00F07F82" w:rsidRPr="00F67B20">
        <w:rPr>
          <w:rFonts w:ascii="Arial" w:eastAsia="Times New Roman" w:hAnsi="Arial" w:cs="Arial"/>
          <w:bCs/>
          <w:kern w:val="0"/>
          <w:sz w:val="24"/>
          <w:szCs w:val="24"/>
          <w:lang w:eastAsia="en-IN"/>
        </w:rPr>
        <w:t xml:space="preserve"> </w:t>
      </w:r>
      <w:r w:rsidR="0093699B" w:rsidRPr="00F67B20">
        <w:rPr>
          <w:rFonts w:ascii="Arial" w:eastAsia="Times New Roman" w:hAnsi="Arial" w:cs="Arial"/>
          <w:bCs/>
          <w:kern w:val="0"/>
          <w:sz w:val="24"/>
          <w:szCs w:val="24"/>
          <w:lang w:eastAsia="en-IN"/>
        </w:rPr>
        <w:t>against</w:t>
      </w:r>
      <w:r w:rsidR="00F3342C" w:rsidRPr="00F67B20">
        <w:rPr>
          <w:rFonts w:ascii="Arial" w:eastAsia="Times New Roman" w:hAnsi="Arial" w:cs="Arial"/>
          <w:bCs/>
          <w:kern w:val="0"/>
          <w:sz w:val="24"/>
          <w:szCs w:val="24"/>
          <w:lang w:eastAsia="en-IN"/>
        </w:rPr>
        <w:t xml:space="preserve"> the ten i</w:t>
      </w:r>
      <w:r w:rsidR="00F3342C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solates of </w:t>
      </w:r>
      <w:r w:rsidR="0093699B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MRSA and ESBL. Both strains were cultured on Luria broth (LB) media and incubated for 24 h at </w:t>
      </w:r>
      <w:r w:rsidR="00D27D3E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>37°C</w:t>
      </w:r>
      <w:r w:rsidR="0093699B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. To obtain log phase cultures, </w:t>
      </w:r>
      <w:r w:rsidR="00BE076B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a suspension of </w:t>
      </w:r>
      <w:r w:rsidR="0093699B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>approximately 1.5 × 10</w:t>
      </w:r>
      <w:r w:rsidR="0093699B" w:rsidRPr="00F67B20">
        <w:rPr>
          <w:rFonts w:ascii="Arial" w:eastAsia="Times New Roman" w:hAnsi="Arial" w:cs="Arial"/>
          <w:kern w:val="0"/>
          <w:sz w:val="24"/>
          <w:szCs w:val="24"/>
          <w:vertAlign w:val="superscript"/>
          <w:lang w:eastAsia="en-IN"/>
        </w:rPr>
        <w:t>8</w:t>
      </w:r>
      <w:r w:rsidR="0093699B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 cells/m</w:t>
      </w:r>
      <w:r w:rsidR="001A07D6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>L</w:t>
      </w:r>
      <w:r w:rsidR="0093699B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 (0.5 McFarland standard) </w:t>
      </w:r>
      <w:r w:rsidR="00D87428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>was made</w:t>
      </w:r>
      <w:r w:rsidR="0074623D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 in LB and incubated </w:t>
      </w:r>
      <w:r w:rsidR="0093699B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for 24 hours at </w:t>
      </w:r>
      <w:r w:rsidR="00125A46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>37°C</w:t>
      </w:r>
      <w:r w:rsidR="0093699B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. In 3 ml of LB, concentrations of NO as per its MIC,1/2x MIC, and 2x MIC values were prepared and </w:t>
      </w:r>
      <w:r>
        <w:rPr>
          <w:rFonts w:ascii="Arial" w:eastAsia="Times New Roman" w:hAnsi="Arial" w:cs="Arial"/>
          <w:kern w:val="0"/>
          <w:sz w:val="24"/>
          <w:szCs w:val="24"/>
          <w:lang w:eastAsia="en-IN"/>
        </w:rPr>
        <w:t>added with</w:t>
      </w:r>
      <w:r w:rsidR="0093699B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 30 µl of each organism's 24-hour culture. </w:t>
      </w:r>
      <w:r w:rsidR="002F379F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>Duplicate colony counts</w:t>
      </w:r>
      <w:r w:rsidR="003806EB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 at intervals of</w:t>
      </w:r>
      <w:r w:rsidR="00F07F82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 </w:t>
      </w:r>
      <w:r w:rsidR="003806EB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>2,4,8, a</w:t>
      </w:r>
      <w:r w:rsidR="00D918D1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>n</w:t>
      </w:r>
      <w:r w:rsidR="003806EB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>d 24 hrs</w:t>
      </w:r>
      <w:r w:rsidR="00C35338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 were obtained as per the standard methods elucidated</w:t>
      </w:r>
      <w:r w:rsidR="002212E5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 (</w:t>
      </w:r>
      <w:r w:rsidR="00312093" w:rsidRPr="00F67B20">
        <w:rPr>
          <w:rFonts w:ascii="Arial" w:hAnsi="Arial" w:cs="Arial"/>
          <w:sz w:val="24"/>
          <w:szCs w:val="24"/>
        </w:rPr>
        <w:t xml:space="preserve">Bandyopadhyay </w:t>
      </w:r>
      <w:r w:rsidR="00D11537" w:rsidRPr="00F67B20">
        <w:rPr>
          <w:rFonts w:ascii="Arial" w:hAnsi="Arial" w:cs="Arial"/>
          <w:i/>
          <w:iCs/>
          <w:sz w:val="24"/>
          <w:szCs w:val="24"/>
        </w:rPr>
        <w:t>et al.,</w:t>
      </w:r>
      <w:r w:rsidR="00312093" w:rsidRPr="00F67B20">
        <w:rPr>
          <w:rFonts w:ascii="Arial" w:hAnsi="Arial" w:cs="Arial"/>
          <w:sz w:val="24"/>
          <w:szCs w:val="24"/>
        </w:rPr>
        <w:t xml:space="preserve"> 2021</w:t>
      </w:r>
      <w:r w:rsidR="002212E5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>).</w:t>
      </w:r>
    </w:p>
    <w:p w14:paraId="0C92900A" w14:textId="77777777" w:rsidR="00070DDC" w:rsidRPr="00F67B20" w:rsidRDefault="00070DDC" w:rsidP="00F67B20">
      <w:pPr>
        <w:spacing w:after="0" w:line="240" w:lineRule="auto"/>
        <w:jc w:val="both"/>
        <w:rPr>
          <w:rFonts w:ascii="Arial" w:eastAsia="Times New Roman" w:hAnsi="Arial" w:cs="Arial"/>
          <w:b/>
          <w:kern w:val="0"/>
          <w:sz w:val="24"/>
          <w:szCs w:val="24"/>
          <w:lang w:eastAsia="en-IN"/>
        </w:rPr>
      </w:pPr>
    </w:p>
    <w:p w14:paraId="32DC64B5" w14:textId="73DA0BF6" w:rsidR="0093699B" w:rsidRPr="00F67B20" w:rsidRDefault="001D326A" w:rsidP="00F67B20">
      <w:pPr>
        <w:spacing w:after="0" w:line="240" w:lineRule="auto"/>
        <w:jc w:val="both"/>
        <w:rPr>
          <w:rFonts w:ascii="Arial" w:eastAsia="Times New Roman" w:hAnsi="Arial" w:cs="Arial"/>
          <w:b/>
          <w:kern w:val="0"/>
          <w:sz w:val="24"/>
          <w:szCs w:val="24"/>
          <w:lang w:eastAsia="en-IN"/>
        </w:rPr>
      </w:pPr>
      <w:r>
        <w:rPr>
          <w:rFonts w:ascii="Arial" w:eastAsia="Times New Roman" w:hAnsi="Arial" w:cs="Arial"/>
          <w:b/>
          <w:kern w:val="0"/>
          <w:sz w:val="24"/>
          <w:szCs w:val="24"/>
          <w:lang w:eastAsia="en-IN"/>
        </w:rPr>
        <w:t xml:space="preserve">2.4 </w:t>
      </w:r>
      <w:r w:rsidR="0093699B" w:rsidRPr="00F67B20">
        <w:rPr>
          <w:rFonts w:ascii="Arial" w:eastAsia="Times New Roman" w:hAnsi="Arial" w:cs="Arial"/>
          <w:b/>
          <w:kern w:val="0"/>
          <w:sz w:val="24"/>
          <w:szCs w:val="24"/>
          <w:lang w:eastAsia="en-IN"/>
        </w:rPr>
        <w:t xml:space="preserve">Antibiofilm </w:t>
      </w:r>
      <w:r w:rsidR="00F3342C" w:rsidRPr="00F67B20">
        <w:rPr>
          <w:rFonts w:ascii="Arial" w:eastAsia="Times New Roman" w:hAnsi="Arial" w:cs="Arial"/>
          <w:b/>
          <w:kern w:val="0"/>
          <w:sz w:val="24"/>
          <w:szCs w:val="24"/>
          <w:lang w:eastAsia="en-IN"/>
        </w:rPr>
        <w:t>Activity Assessment</w:t>
      </w:r>
    </w:p>
    <w:p w14:paraId="4C1046D9" w14:textId="6431BB5A" w:rsidR="00FC5D12" w:rsidRPr="00F67B20" w:rsidRDefault="001D326A" w:rsidP="00F67B20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en-IN"/>
        </w:rPr>
      </w:pPr>
      <w:r>
        <w:rPr>
          <w:rFonts w:ascii="Arial" w:eastAsia="Times New Roman" w:hAnsi="Arial" w:cs="Arial"/>
          <w:b/>
          <w:kern w:val="0"/>
          <w:sz w:val="24"/>
          <w:szCs w:val="24"/>
          <w:lang w:eastAsia="en-IN"/>
        </w:rPr>
        <w:t xml:space="preserve">2.4.1 </w:t>
      </w:r>
      <w:r w:rsidR="0093699B" w:rsidRPr="001D326A">
        <w:rPr>
          <w:rFonts w:ascii="Arial" w:eastAsia="Times New Roman" w:hAnsi="Arial" w:cs="Arial"/>
          <w:b/>
          <w:kern w:val="0"/>
          <w:sz w:val="24"/>
          <w:szCs w:val="24"/>
          <w:lang w:eastAsia="en-IN"/>
        </w:rPr>
        <w:t xml:space="preserve">Crystal </w:t>
      </w:r>
      <w:r w:rsidR="001209AC">
        <w:rPr>
          <w:rFonts w:ascii="Arial" w:eastAsia="Times New Roman" w:hAnsi="Arial" w:cs="Arial"/>
          <w:b/>
          <w:kern w:val="0"/>
          <w:sz w:val="24"/>
          <w:szCs w:val="24"/>
          <w:lang w:eastAsia="en-IN"/>
        </w:rPr>
        <w:t>V</w:t>
      </w:r>
      <w:r w:rsidR="0093699B" w:rsidRPr="001D326A">
        <w:rPr>
          <w:rFonts w:ascii="Arial" w:eastAsia="Times New Roman" w:hAnsi="Arial" w:cs="Arial"/>
          <w:b/>
          <w:kern w:val="0"/>
          <w:sz w:val="24"/>
          <w:szCs w:val="24"/>
          <w:lang w:eastAsia="en-IN"/>
        </w:rPr>
        <w:t xml:space="preserve">iolet </w:t>
      </w:r>
      <w:r w:rsidR="001209AC">
        <w:rPr>
          <w:rFonts w:ascii="Arial" w:eastAsia="Times New Roman" w:hAnsi="Arial" w:cs="Arial"/>
          <w:b/>
          <w:kern w:val="0"/>
          <w:sz w:val="24"/>
          <w:szCs w:val="24"/>
          <w:lang w:eastAsia="en-IN"/>
        </w:rPr>
        <w:t>A</w:t>
      </w:r>
      <w:r w:rsidR="0093699B" w:rsidRPr="001D326A">
        <w:rPr>
          <w:rFonts w:ascii="Arial" w:eastAsia="Times New Roman" w:hAnsi="Arial" w:cs="Arial"/>
          <w:b/>
          <w:kern w:val="0"/>
          <w:sz w:val="24"/>
          <w:szCs w:val="24"/>
          <w:lang w:eastAsia="en-IN"/>
        </w:rPr>
        <w:t>ssay</w:t>
      </w:r>
      <w:r w:rsidR="008D2D00" w:rsidRPr="001D326A">
        <w:rPr>
          <w:rFonts w:ascii="Arial" w:eastAsia="Times New Roman" w:hAnsi="Arial" w:cs="Arial"/>
          <w:b/>
          <w:kern w:val="0"/>
          <w:sz w:val="24"/>
          <w:szCs w:val="24"/>
          <w:lang w:eastAsia="en-IN"/>
        </w:rPr>
        <w:t xml:space="preserve"> (TCP)</w:t>
      </w:r>
      <w:r w:rsidR="00322E19" w:rsidRPr="001D326A">
        <w:rPr>
          <w:rFonts w:ascii="Arial" w:eastAsia="Times New Roman" w:hAnsi="Arial" w:cs="Arial"/>
          <w:b/>
          <w:kern w:val="0"/>
          <w:sz w:val="24"/>
          <w:szCs w:val="24"/>
          <w:lang w:eastAsia="en-IN"/>
        </w:rPr>
        <w:t>:</w:t>
      </w:r>
      <w:r w:rsidR="00F07F82" w:rsidRPr="00F67B20">
        <w:rPr>
          <w:rFonts w:ascii="Arial" w:eastAsia="Times New Roman" w:hAnsi="Arial" w:cs="Arial"/>
          <w:b/>
          <w:i/>
          <w:iCs/>
          <w:kern w:val="0"/>
          <w:sz w:val="24"/>
          <w:szCs w:val="24"/>
          <w:lang w:eastAsia="en-IN"/>
        </w:rPr>
        <w:t xml:space="preserve"> </w:t>
      </w:r>
      <w:r w:rsidR="0080214D" w:rsidRPr="00F67B20">
        <w:rPr>
          <w:rFonts w:ascii="Arial" w:eastAsia="Times New Roman" w:hAnsi="Arial" w:cs="Arial"/>
          <w:bCs/>
          <w:kern w:val="0"/>
          <w:sz w:val="24"/>
          <w:szCs w:val="24"/>
          <w:lang w:eastAsia="en-IN"/>
        </w:rPr>
        <w:t>B</w:t>
      </w:r>
      <w:r w:rsidR="0093699B" w:rsidRPr="00F67B20">
        <w:rPr>
          <w:rFonts w:ascii="Arial" w:eastAsia="Times New Roman" w:hAnsi="Arial" w:cs="Arial"/>
          <w:bCs/>
          <w:kern w:val="0"/>
          <w:sz w:val="24"/>
          <w:szCs w:val="24"/>
          <w:lang w:eastAsia="en-IN"/>
        </w:rPr>
        <w:t xml:space="preserve">acterial cultures </w:t>
      </w:r>
      <w:r w:rsidR="00F4421D" w:rsidRPr="00F67B20">
        <w:rPr>
          <w:rFonts w:ascii="Arial" w:eastAsia="Times New Roman" w:hAnsi="Arial" w:cs="Arial"/>
          <w:bCs/>
          <w:kern w:val="0"/>
          <w:sz w:val="24"/>
          <w:szCs w:val="24"/>
          <w:lang w:eastAsia="en-IN"/>
        </w:rPr>
        <w:t>of</w:t>
      </w:r>
      <w:r w:rsidR="00F07F82" w:rsidRPr="00F67B20">
        <w:rPr>
          <w:rFonts w:ascii="Arial" w:eastAsia="Times New Roman" w:hAnsi="Arial" w:cs="Arial"/>
          <w:bCs/>
          <w:kern w:val="0"/>
          <w:sz w:val="24"/>
          <w:szCs w:val="24"/>
          <w:lang w:eastAsia="en-IN"/>
        </w:rPr>
        <w:t xml:space="preserve"> </w:t>
      </w:r>
      <w:r w:rsidR="000E4471" w:rsidRPr="00F67B20">
        <w:rPr>
          <w:rFonts w:ascii="Arial" w:eastAsia="Times New Roman" w:hAnsi="Arial" w:cs="Arial"/>
          <w:bCs/>
          <w:i/>
          <w:iCs/>
          <w:kern w:val="0"/>
          <w:sz w:val="24"/>
          <w:szCs w:val="24"/>
          <w:lang w:eastAsia="en-IN"/>
        </w:rPr>
        <w:t>E. coli</w:t>
      </w:r>
      <w:r w:rsidR="000E4471" w:rsidRPr="00F67B20">
        <w:rPr>
          <w:rFonts w:ascii="Arial" w:eastAsia="Times New Roman" w:hAnsi="Arial" w:cs="Arial"/>
          <w:bCs/>
          <w:kern w:val="0"/>
          <w:sz w:val="24"/>
          <w:szCs w:val="24"/>
          <w:lang w:eastAsia="en-IN"/>
        </w:rPr>
        <w:t xml:space="preserve"> and </w:t>
      </w:r>
      <w:r w:rsidR="000E4471" w:rsidRPr="00F67B20">
        <w:rPr>
          <w:rFonts w:ascii="Arial" w:eastAsia="Times New Roman" w:hAnsi="Arial" w:cs="Arial"/>
          <w:bCs/>
          <w:i/>
          <w:iCs/>
          <w:kern w:val="0"/>
          <w:sz w:val="24"/>
          <w:szCs w:val="24"/>
          <w:lang w:eastAsia="en-IN"/>
        </w:rPr>
        <w:t>Klebsiella</w:t>
      </w:r>
      <w:r w:rsidR="00F07F82" w:rsidRPr="00F67B20">
        <w:rPr>
          <w:rFonts w:ascii="Arial" w:eastAsia="Times New Roman" w:hAnsi="Arial" w:cs="Arial"/>
          <w:bCs/>
          <w:i/>
          <w:iCs/>
          <w:kern w:val="0"/>
          <w:sz w:val="24"/>
          <w:szCs w:val="24"/>
          <w:lang w:eastAsia="en-IN"/>
        </w:rPr>
        <w:t xml:space="preserve"> </w:t>
      </w:r>
      <w:r w:rsidR="00CC2D8B" w:rsidRPr="00F67B20">
        <w:rPr>
          <w:rFonts w:ascii="Arial" w:eastAsia="Times New Roman" w:hAnsi="Arial" w:cs="Arial"/>
          <w:bCs/>
          <w:kern w:val="0"/>
          <w:sz w:val="24"/>
          <w:szCs w:val="24"/>
          <w:lang w:eastAsia="en-IN"/>
        </w:rPr>
        <w:t xml:space="preserve">identified as </w:t>
      </w:r>
      <w:r w:rsidR="00556498" w:rsidRPr="00F67B20">
        <w:rPr>
          <w:rFonts w:ascii="Arial" w:eastAsia="Times New Roman" w:hAnsi="Arial" w:cs="Arial"/>
          <w:bCs/>
          <w:kern w:val="0"/>
          <w:sz w:val="24"/>
          <w:szCs w:val="24"/>
          <w:lang w:eastAsia="en-IN"/>
        </w:rPr>
        <w:t>ESBL</w:t>
      </w:r>
      <w:r w:rsidR="00F07F82" w:rsidRPr="00F67B20">
        <w:rPr>
          <w:rFonts w:ascii="Arial" w:eastAsia="Times New Roman" w:hAnsi="Arial" w:cs="Arial"/>
          <w:bCs/>
          <w:kern w:val="0"/>
          <w:sz w:val="24"/>
          <w:szCs w:val="24"/>
          <w:lang w:eastAsia="en-IN"/>
        </w:rPr>
        <w:t xml:space="preserve"> </w:t>
      </w:r>
      <w:r w:rsidR="00F4421D" w:rsidRPr="00F67B20">
        <w:rPr>
          <w:rFonts w:ascii="Arial" w:eastAsia="Times New Roman" w:hAnsi="Arial" w:cs="Arial"/>
          <w:bCs/>
          <w:kern w:val="0"/>
          <w:sz w:val="24"/>
          <w:szCs w:val="24"/>
          <w:lang w:eastAsia="en-IN"/>
        </w:rPr>
        <w:t>were</w:t>
      </w:r>
      <w:r w:rsidR="00F07F82" w:rsidRPr="00F67B20">
        <w:rPr>
          <w:rFonts w:ascii="Arial" w:eastAsia="Times New Roman" w:hAnsi="Arial" w:cs="Arial"/>
          <w:bCs/>
          <w:kern w:val="0"/>
          <w:sz w:val="24"/>
          <w:szCs w:val="24"/>
          <w:lang w:eastAsia="en-IN"/>
        </w:rPr>
        <w:t xml:space="preserve"> </w:t>
      </w:r>
      <w:r w:rsidR="00E25ABE" w:rsidRPr="00F67B20">
        <w:rPr>
          <w:rFonts w:ascii="Arial" w:eastAsia="Times New Roman" w:hAnsi="Arial" w:cs="Arial"/>
          <w:bCs/>
          <w:kern w:val="0"/>
          <w:sz w:val="24"/>
          <w:szCs w:val="24"/>
          <w:lang w:eastAsia="en-IN"/>
        </w:rPr>
        <w:t xml:space="preserve">inoculated </w:t>
      </w:r>
      <w:r w:rsidR="0093699B" w:rsidRPr="00F67B20">
        <w:rPr>
          <w:rFonts w:ascii="Arial" w:eastAsia="Times New Roman" w:hAnsi="Arial" w:cs="Arial"/>
          <w:bCs/>
          <w:kern w:val="0"/>
          <w:sz w:val="24"/>
          <w:szCs w:val="24"/>
          <w:lang w:eastAsia="en-IN"/>
        </w:rPr>
        <w:t xml:space="preserve">in test tubes containing 3 mL LB broth </w:t>
      </w:r>
      <w:r w:rsidR="0046094A" w:rsidRPr="00F67B20">
        <w:rPr>
          <w:rFonts w:ascii="Arial" w:eastAsia="Times New Roman" w:hAnsi="Arial" w:cs="Arial"/>
          <w:bCs/>
          <w:kern w:val="0"/>
          <w:sz w:val="24"/>
          <w:szCs w:val="24"/>
          <w:lang w:eastAsia="en-IN"/>
        </w:rPr>
        <w:t xml:space="preserve">overnight </w:t>
      </w:r>
      <w:r w:rsidR="0093699B" w:rsidRPr="00F67B20">
        <w:rPr>
          <w:rFonts w:ascii="Arial" w:eastAsia="Times New Roman" w:hAnsi="Arial" w:cs="Arial"/>
          <w:bCs/>
          <w:kern w:val="0"/>
          <w:sz w:val="24"/>
          <w:szCs w:val="24"/>
          <w:lang w:eastAsia="en-IN"/>
        </w:rPr>
        <w:t>and incubat</w:t>
      </w:r>
      <w:r w:rsidR="00885DA0" w:rsidRPr="00F67B20">
        <w:rPr>
          <w:rFonts w:ascii="Arial" w:eastAsia="Times New Roman" w:hAnsi="Arial" w:cs="Arial"/>
          <w:bCs/>
          <w:kern w:val="0"/>
          <w:sz w:val="24"/>
          <w:szCs w:val="24"/>
          <w:lang w:eastAsia="en-IN"/>
        </w:rPr>
        <w:t>ed</w:t>
      </w:r>
      <w:r w:rsidR="0093699B" w:rsidRPr="00F67B20">
        <w:rPr>
          <w:rFonts w:ascii="Arial" w:eastAsia="Times New Roman" w:hAnsi="Arial" w:cs="Arial"/>
          <w:bCs/>
          <w:kern w:val="0"/>
          <w:sz w:val="24"/>
          <w:szCs w:val="24"/>
          <w:lang w:eastAsia="en-IN"/>
        </w:rPr>
        <w:t xml:space="preserve"> </w:t>
      </w:r>
      <w:r w:rsidR="0093699B" w:rsidRPr="00F67B20">
        <w:rPr>
          <w:rFonts w:ascii="Arial" w:eastAsia="Times New Roman" w:hAnsi="Arial" w:cs="Arial"/>
          <w:bCs/>
          <w:kern w:val="0"/>
          <w:sz w:val="24"/>
          <w:szCs w:val="24"/>
          <w:lang w:eastAsia="en-IN"/>
        </w:rPr>
        <w:lastRenderedPageBreak/>
        <w:t>at 37 ºC in a shaking incubator</w:t>
      </w:r>
      <w:r w:rsidR="00E83D9A" w:rsidRPr="00F67B20">
        <w:rPr>
          <w:rFonts w:ascii="Arial" w:eastAsia="Times New Roman" w:hAnsi="Arial" w:cs="Arial"/>
          <w:bCs/>
          <w:kern w:val="0"/>
          <w:sz w:val="24"/>
          <w:szCs w:val="24"/>
          <w:lang w:eastAsia="en-IN"/>
        </w:rPr>
        <w:t xml:space="preserve"> for the organisms to form biofilms</w:t>
      </w:r>
      <w:r w:rsidR="0093699B" w:rsidRPr="00F67B20">
        <w:rPr>
          <w:rFonts w:ascii="Arial" w:eastAsia="Times New Roman" w:hAnsi="Arial" w:cs="Arial"/>
          <w:bCs/>
          <w:kern w:val="0"/>
          <w:sz w:val="24"/>
          <w:szCs w:val="24"/>
          <w:lang w:eastAsia="en-IN"/>
        </w:rPr>
        <w:t>. 2 µL</w:t>
      </w:r>
      <w:r w:rsidR="0093699B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 of the bacterial culture was added in varying concentrations of </w:t>
      </w:r>
      <w:r w:rsidR="008D2D00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>NO</w:t>
      </w:r>
      <w:r w:rsidR="0093699B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 </w:t>
      </w:r>
      <w:r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>viz.,</w:t>
      </w:r>
      <w:r w:rsidRPr="00F67B20">
        <w:rPr>
          <w:rFonts w:ascii="Arial" w:hAnsi="Arial" w:cs="Arial"/>
          <w:sz w:val="24"/>
          <w:szCs w:val="24"/>
        </w:rPr>
        <w:t xml:space="preserve"> (</w:t>
      </w:r>
      <w:r w:rsidR="0093699B" w:rsidRPr="00F67B20">
        <w:rPr>
          <w:rFonts w:ascii="Arial" w:hAnsi="Arial" w:cs="Arial"/>
          <w:sz w:val="24"/>
          <w:szCs w:val="24"/>
        </w:rPr>
        <w:t>2.5,5,10,15,20,25 and 30) µ</w:t>
      </w:r>
      <w:r w:rsidR="001A07D6" w:rsidRPr="00F67B20">
        <w:rPr>
          <w:rFonts w:ascii="Arial" w:hAnsi="Arial" w:cs="Arial"/>
          <w:sz w:val="24"/>
          <w:szCs w:val="24"/>
        </w:rPr>
        <w:t>L</w:t>
      </w:r>
      <w:r w:rsidR="0093699B" w:rsidRPr="00F67B20">
        <w:rPr>
          <w:rFonts w:ascii="Arial" w:hAnsi="Arial" w:cs="Arial"/>
          <w:sz w:val="24"/>
          <w:szCs w:val="24"/>
        </w:rPr>
        <w:t>/m</w:t>
      </w:r>
      <w:r w:rsidR="001A07D6" w:rsidRPr="00F67B20">
        <w:rPr>
          <w:rFonts w:ascii="Arial" w:hAnsi="Arial" w:cs="Arial"/>
          <w:sz w:val="24"/>
          <w:szCs w:val="24"/>
        </w:rPr>
        <w:t>L</w:t>
      </w:r>
      <w:r w:rsidR="00F07F82" w:rsidRPr="00F67B20">
        <w:rPr>
          <w:rFonts w:ascii="Arial" w:hAnsi="Arial" w:cs="Arial"/>
          <w:sz w:val="24"/>
          <w:szCs w:val="24"/>
        </w:rPr>
        <w:t xml:space="preserve"> </w:t>
      </w:r>
      <w:r w:rsidR="0093699B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separately to the wells of the </w:t>
      </w:r>
      <w:r w:rsidR="00E606DA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>microtiter</w:t>
      </w:r>
      <w:r w:rsidR="0093699B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 plate</w:t>
      </w:r>
      <w:r w:rsidR="00556498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>,</w:t>
      </w:r>
      <w:r w:rsidR="0093699B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 and the </w:t>
      </w:r>
      <w:r w:rsidR="0019759E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>remaining</w:t>
      </w:r>
      <w:r w:rsidR="0093699B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 total volume of 200 µ</w:t>
      </w:r>
      <w:r w:rsidR="001A07D6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>L</w:t>
      </w:r>
      <w:r w:rsidR="0093699B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 was adjusted with growth media. PBS was utilized as a negative control</w:t>
      </w:r>
      <w:r w:rsidR="00E83D9A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. </w:t>
      </w:r>
      <w:r w:rsidR="00A316C8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>TCP assay was performed</w:t>
      </w:r>
      <w:r w:rsidR="00344AE7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 using </w:t>
      </w:r>
      <w:r w:rsidR="00DA27CA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a </w:t>
      </w:r>
      <w:r w:rsidR="00344AE7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>method</w:t>
      </w:r>
      <w:r w:rsidR="00F07F82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 </w:t>
      </w:r>
      <w:r w:rsidR="00DA27CA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>standardized</w:t>
      </w:r>
      <w:r w:rsidR="002212E5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 (</w:t>
      </w:r>
      <w:proofErr w:type="spellStart"/>
      <w:r w:rsidR="00312093" w:rsidRPr="00F67B20">
        <w:rPr>
          <w:rFonts w:ascii="Arial" w:hAnsi="Arial" w:cs="Arial"/>
          <w:sz w:val="24"/>
          <w:szCs w:val="24"/>
        </w:rPr>
        <w:t>Teanpaisan</w:t>
      </w:r>
      <w:proofErr w:type="spellEnd"/>
      <w:r w:rsidR="00F07F82" w:rsidRPr="00F67B20">
        <w:rPr>
          <w:rFonts w:ascii="Arial" w:hAnsi="Arial" w:cs="Arial"/>
          <w:sz w:val="24"/>
          <w:szCs w:val="24"/>
        </w:rPr>
        <w:t xml:space="preserve"> </w:t>
      </w:r>
      <w:r w:rsidR="00D11537" w:rsidRPr="00F67B20">
        <w:rPr>
          <w:rFonts w:ascii="Arial" w:hAnsi="Arial" w:cs="Arial"/>
          <w:i/>
          <w:iCs/>
          <w:sz w:val="24"/>
          <w:szCs w:val="24"/>
        </w:rPr>
        <w:t>et al.,</w:t>
      </w:r>
      <w:r w:rsidR="00312093" w:rsidRPr="00F67B20">
        <w:rPr>
          <w:rFonts w:ascii="Arial" w:hAnsi="Arial" w:cs="Arial"/>
          <w:sz w:val="24"/>
          <w:szCs w:val="24"/>
        </w:rPr>
        <w:t xml:space="preserve"> 2017</w:t>
      </w:r>
      <w:r w:rsidR="002212E5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>).</w:t>
      </w:r>
    </w:p>
    <w:p w14:paraId="2F91770F" w14:textId="182FC1B5" w:rsidR="00DA27CA" w:rsidRPr="00F67B20" w:rsidRDefault="001D326A" w:rsidP="00F67B20">
      <w:pPr>
        <w:spacing w:after="120" w:line="240" w:lineRule="auto"/>
        <w:jc w:val="both"/>
        <w:rPr>
          <w:rFonts w:ascii="Arial" w:eastAsia="Times New Roman" w:hAnsi="Arial" w:cs="Arial"/>
          <w:b/>
          <w:i/>
          <w:iCs/>
          <w:kern w:val="0"/>
          <w:sz w:val="24"/>
          <w:szCs w:val="24"/>
          <w:lang w:eastAsia="en-IN"/>
        </w:rPr>
      </w:pPr>
      <w:r>
        <w:rPr>
          <w:rFonts w:ascii="Arial" w:hAnsi="Arial" w:cs="Arial"/>
          <w:b/>
          <w:sz w:val="24"/>
          <w:szCs w:val="24"/>
        </w:rPr>
        <w:t xml:space="preserve">2.4.2 </w:t>
      </w:r>
      <w:r w:rsidR="0093699B" w:rsidRPr="001D326A">
        <w:rPr>
          <w:rFonts w:ascii="Arial" w:hAnsi="Arial" w:cs="Arial"/>
          <w:b/>
          <w:sz w:val="24"/>
          <w:szCs w:val="24"/>
        </w:rPr>
        <w:t xml:space="preserve">MTT </w:t>
      </w:r>
      <w:r w:rsidR="001209AC">
        <w:rPr>
          <w:rFonts w:ascii="Arial" w:hAnsi="Arial" w:cs="Arial"/>
          <w:b/>
          <w:sz w:val="24"/>
          <w:szCs w:val="24"/>
        </w:rPr>
        <w:t>A</w:t>
      </w:r>
      <w:r w:rsidR="0093699B" w:rsidRPr="001D326A">
        <w:rPr>
          <w:rFonts w:ascii="Arial" w:hAnsi="Arial" w:cs="Arial"/>
          <w:b/>
          <w:sz w:val="24"/>
          <w:szCs w:val="24"/>
        </w:rPr>
        <w:t>ssay</w:t>
      </w:r>
      <w:r w:rsidR="00322E19" w:rsidRPr="001D326A">
        <w:rPr>
          <w:rFonts w:ascii="Arial" w:hAnsi="Arial" w:cs="Arial"/>
          <w:bCs/>
          <w:sz w:val="24"/>
          <w:szCs w:val="24"/>
        </w:rPr>
        <w:t>:</w:t>
      </w:r>
      <w:r w:rsidR="00322E19" w:rsidRPr="00F67B20">
        <w:rPr>
          <w:rFonts w:ascii="Arial" w:hAnsi="Arial" w:cs="Arial"/>
          <w:bCs/>
          <w:sz w:val="24"/>
          <w:szCs w:val="24"/>
        </w:rPr>
        <w:t xml:space="preserve"> </w:t>
      </w:r>
      <w:r w:rsidR="0093699B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>MTT test</w:t>
      </w:r>
      <w:r w:rsidR="008D2D00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 was</w:t>
      </w:r>
      <w:r w:rsidR="00F07F82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 </w:t>
      </w:r>
      <w:r w:rsidR="008D2D00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>applied to assess</w:t>
      </w:r>
      <w:r w:rsidR="0093699B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 the impact of </w:t>
      </w:r>
      <w:r w:rsidR="008D2D00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>NO</w:t>
      </w:r>
      <w:r w:rsidR="0093699B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 on </w:t>
      </w:r>
      <w:r w:rsidR="0093699B" w:rsidRPr="00F67B20">
        <w:rPr>
          <w:rFonts w:ascii="Arial" w:eastAsia="Times New Roman" w:hAnsi="Arial" w:cs="Arial"/>
          <w:i/>
          <w:kern w:val="0"/>
          <w:sz w:val="24"/>
          <w:szCs w:val="24"/>
          <w:lang w:eastAsia="en-IN"/>
        </w:rPr>
        <w:t>Klebsiella</w:t>
      </w:r>
      <w:r w:rsidR="0093699B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 and </w:t>
      </w:r>
      <w:r w:rsidR="0093699B" w:rsidRPr="00F67B20">
        <w:rPr>
          <w:rFonts w:ascii="Arial" w:eastAsia="Times New Roman" w:hAnsi="Arial" w:cs="Arial"/>
          <w:i/>
          <w:kern w:val="0"/>
          <w:sz w:val="24"/>
          <w:szCs w:val="24"/>
          <w:lang w:eastAsia="en-IN"/>
        </w:rPr>
        <w:t>E. coli</w:t>
      </w:r>
      <w:r w:rsidR="0093699B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 biofilm development. </w:t>
      </w:r>
      <w:r w:rsidR="00B932EC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NO </w:t>
      </w:r>
      <w:r w:rsidR="0093699B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>used in this test</w:t>
      </w:r>
      <w:r w:rsidR="001C1958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 </w:t>
      </w:r>
      <w:r w:rsidR="0093699B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>was also</w:t>
      </w:r>
      <w:r w:rsidR="004D0DAD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 prepared</w:t>
      </w:r>
      <w:r w:rsidR="0093699B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 at the same concentrations as those </w:t>
      </w:r>
      <w:r w:rsidR="00401C10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>tested</w:t>
      </w:r>
      <w:r w:rsidR="0093699B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 in the TCP procedure</w:t>
      </w:r>
      <w:r w:rsidR="002212E5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 (</w:t>
      </w:r>
      <w:proofErr w:type="spellStart"/>
      <w:r w:rsidR="00312093" w:rsidRPr="00F67B20">
        <w:rPr>
          <w:rFonts w:ascii="Arial" w:hAnsi="Arial" w:cs="Arial"/>
          <w:sz w:val="24"/>
          <w:szCs w:val="24"/>
        </w:rPr>
        <w:t>Guchhait</w:t>
      </w:r>
      <w:proofErr w:type="spellEnd"/>
      <w:r w:rsidR="001C1958">
        <w:rPr>
          <w:rFonts w:ascii="Arial" w:hAnsi="Arial" w:cs="Arial"/>
          <w:sz w:val="24"/>
          <w:szCs w:val="24"/>
        </w:rPr>
        <w:t xml:space="preserve"> </w:t>
      </w:r>
      <w:r w:rsidR="00D11537" w:rsidRPr="00F67B20">
        <w:rPr>
          <w:rFonts w:ascii="Arial" w:hAnsi="Arial" w:cs="Arial"/>
          <w:i/>
          <w:iCs/>
          <w:sz w:val="24"/>
          <w:szCs w:val="24"/>
        </w:rPr>
        <w:t>et al.,</w:t>
      </w:r>
      <w:r w:rsidR="00312093" w:rsidRPr="00F67B20">
        <w:rPr>
          <w:rFonts w:ascii="Arial" w:hAnsi="Arial" w:cs="Arial"/>
          <w:sz w:val="24"/>
          <w:szCs w:val="24"/>
        </w:rPr>
        <w:t xml:space="preserve"> 2022</w:t>
      </w:r>
      <w:r w:rsidR="002212E5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>).</w:t>
      </w:r>
    </w:p>
    <w:p w14:paraId="7A914D51" w14:textId="11E49A02" w:rsidR="0093699B" w:rsidRPr="00F67B20" w:rsidRDefault="001D326A" w:rsidP="00F67B20">
      <w:pPr>
        <w:spacing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en-IN"/>
        </w:rPr>
      </w:pPr>
      <w:r>
        <w:rPr>
          <w:rFonts w:ascii="Arial" w:eastAsia="Times New Roman" w:hAnsi="Arial" w:cs="Arial"/>
          <w:b/>
          <w:kern w:val="0"/>
          <w:sz w:val="24"/>
          <w:szCs w:val="24"/>
          <w:lang w:eastAsia="en-IN"/>
        </w:rPr>
        <w:t xml:space="preserve">2.4.3 </w:t>
      </w:r>
      <w:r w:rsidR="0093699B" w:rsidRPr="001D326A">
        <w:rPr>
          <w:rFonts w:ascii="Arial" w:eastAsia="Times New Roman" w:hAnsi="Arial" w:cs="Arial"/>
          <w:b/>
          <w:kern w:val="0"/>
          <w:sz w:val="24"/>
          <w:szCs w:val="24"/>
          <w:lang w:eastAsia="en-IN"/>
        </w:rPr>
        <w:t xml:space="preserve">Determination of the % </w:t>
      </w:r>
      <w:r w:rsidR="001209AC">
        <w:rPr>
          <w:rFonts w:ascii="Arial" w:eastAsia="Times New Roman" w:hAnsi="Arial" w:cs="Arial"/>
          <w:b/>
          <w:kern w:val="0"/>
          <w:sz w:val="24"/>
          <w:szCs w:val="24"/>
          <w:lang w:eastAsia="en-IN"/>
        </w:rPr>
        <w:t>B</w:t>
      </w:r>
      <w:r w:rsidR="0093699B" w:rsidRPr="001D326A">
        <w:rPr>
          <w:rFonts w:ascii="Arial" w:eastAsia="Times New Roman" w:hAnsi="Arial" w:cs="Arial"/>
          <w:b/>
          <w:kern w:val="0"/>
          <w:sz w:val="24"/>
          <w:szCs w:val="24"/>
          <w:lang w:eastAsia="en-IN"/>
        </w:rPr>
        <w:t xml:space="preserve">iofilm </w:t>
      </w:r>
      <w:r w:rsidR="001209AC">
        <w:rPr>
          <w:rFonts w:ascii="Arial" w:eastAsia="Times New Roman" w:hAnsi="Arial" w:cs="Arial"/>
          <w:b/>
          <w:kern w:val="0"/>
          <w:sz w:val="24"/>
          <w:szCs w:val="24"/>
          <w:lang w:eastAsia="en-IN"/>
        </w:rPr>
        <w:t>I</w:t>
      </w:r>
      <w:r w:rsidR="0093699B" w:rsidRPr="001D326A">
        <w:rPr>
          <w:rFonts w:ascii="Arial" w:eastAsia="Times New Roman" w:hAnsi="Arial" w:cs="Arial"/>
          <w:b/>
          <w:kern w:val="0"/>
          <w:sz w:val="24"/>
          <w:szCs w:val="24"/>
          <w:lang w:eastAsia="en-IN"/>
        </w:rPr>
        <w:t>nhibition</w:t>
      </w:r>
      <w:r w:rsidR="008F0A86" w:rsidRPr="001D326A">
        <w:rPr>
          <w:rFonts w:ascii="Arial" w:eastAsia="Times New Roman" w:hAnsi="Arial" w:cs="Arial"/>
          <w:b/>
          <w:kern w:val="0"/>
          <w:sz w:val="24"/>
          <w:szCs w:val="24"/>
          <w:lang w:eastAsia="en-IN"/>
        </w:rPr>
        <w:t>:</w:t>
      </w:r>
      <w:r w:rsidR="00F07F82" w:rsidRPr="00F67B20">
        <w:rPr>
          <w:rFonts w:ascii="Arial" w:eastAsia="Times New Roman" w:hAnsi="Arial" w:cs="Arial"/>
          <w:bCs/>
          <w:kern w:val="0"/>
          <w:sz w:val="24"/>
          <w:szCs w:val="24"/>
          <w:lang w:eastAsia="en-IN"/>
        </w:rPr>
        <w:t xml:space="preserve"> </w:t>
      </w:r>
      <w:r w:rsidR="0093699B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>The % biofilm inhibition was determined using the formula</w:t>
      </w:r>
      <w:r w:rsidR="00E83D9A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>:</w:t>
      </w:r>
    </w:p>
    <w:p w14:paraId="33501895" w14:textId="0B746E71" w:rsidR="0093699B" w:rsidRPr="00F67B20" w:rsidRDefault="0093699B" w:rsidP="00F67B20">
      <w:pPr>
        <w:spacing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en-IN"/>
        </w:rPr>
      </w:pPr>
      <w:r w:rsidRPr="00F67B20">
        <w:rPr>
          <w:rFonts w:ascii="Arial" w:hAnsi="Arial" w:cs="Arial"/>
          <w:bCs/>
          <w:i/>
          <w:iCs/>
          <w:sz w:val="24"/>
          <w:szCs w:val="24"/>
        </w:rPr>
        <w:t>Inhibition% = (</w:t>
      </w:r>
      <w:proofErr w:type="spellStart"/>
      <w:r w:rsidRPr="00F67B20">
        <w:rPr>
          <w:rFonts w:ascii="Arial" w:hAnsi="Arial" w:cs="Arial"/>
          <w:bCs/>
          <w:i/>
          <w:iCs/>
          <w:sz w:val="24"/>
          <w:szCs w:val="24"/>
        </w:rPr>
        <w:t>OD</w:t>
      </w:r>
      <w:r w:rsidRPr="00F67B20">
        <w:rPr>
          <w:rFonts w:ascii="Arial" w:hAnsi="Arial" w:cs="Arial"/>
          <w:bCs/>
          <w:i/>
          <w:iCs/>
          <w:sz w:val="24"/>
          <w:szCs w:val="24"/>
          <w:vertAlign w:val="subscript"/>
        </w:rPr>
        <w:t>untreated</w:t>
      </w:r>
      <w:proofErr w:type="spellEnd"/>
      <w:r w:rsidR="00B556FD">
        <w:rPr>
          <w:rFonts w:ascii="Arial" w:hAnsi="Arial" w:cs="Arial"/>
          <w:bCs/>
          <w:i/>
          <w:iCs/>
          <w:sz w:val="24"/>
          <w:szCs w:val="24"/>
          <w:vertAlign w:val="subscript"/>
        </w:rPr>
        <w:t xml:space="preserve"> </w:t>
      </w:r>
      <w:r w:rsidR="00322E19" w:rsidRPr="00F67B20">
        <w:rPr>
          <w:rFonts w:ascii="Arial" w:hAnsi="Arial" w:cs="Arial"/>
          <w:bCs/>
          <w:i/>
          <w:iCs/>
          <w:sz w:val="24"/>
          <w:szCs w:val="24"/>
        </w:rPr>
        <w:t>–</w:t>
      </w:r>
      <w:proofErr w:type="spellStart"/>
      <w:r w:rsidRPr="00F67B20">
        <w:rPr>
          <w:rFonts w:ascii="Arial" w:hAnsi="Arial" w:cs="Arial"/>
          <w:bCs/>
          <w:i/>
          <w:iCs/>
          <w:sz w:val="24"/>
          <w:szCs w:val="24"/>
        </w:rPr>
        <w:t>OD</w:t>
      </w:r>
      <w:r w:rsidRPr="00F67B20">
        <w:rPr>
          <w:rFonts w:ascii="Arial" w:hAnsi="Arial" w:cs="Arial"/>
          <w:bCs/>
          <w:i/>
          <w:iCs/>
          <w:sz w:val="24"/>
          <w:szCs w:val="24"/>
          <w:vertAlign w:val="subscript"/>
        </w:rPr>
        <w:t>treated</w:t>
      </w:r>
      <w:proofErr w:type="spellEnd"/>
      <w:r w:rsidRPr="00F67B20">
        <w:rPr>
          <w:rFonts w:ascii="Arial" w:hAnsi="Arial" w:cs="Arial"/>
          <w:bCs/>
          <w:i/>
          <w:iCs/>
          <w:sz w:val="24"/>
          <w:szCs w:val="24"/>
        </w:rPr>
        <w:t>)/</w:t>
      </w:r>
      <w:proofErr w:type="spellStart"/>
      <w:r w:rsidRPr="00F67B20">
        <w:rPr>
          <w:rFonts w:ascii="Arial" w:hAnsi="Arial" w:cs="Arial"/>
          <w:bCs/>
          <w:i/>
          <w:iCs/>
          <w:sz w:val="24"/>
          <w:szCs w:val="24"/>
        </w:rPr>
        <w:t>OD</w:t>
      </w:r>
      <w:r w:rsidRPr="00F67B20">
        <w:rPr>
          <w:rFonts w:ascii="Arial" w:hAnsi="Arial" w:cs="Arial"/>
          <w:bCs/>
          <w:i/>
          <w:iCs/>
          <w:sz w:val="24"/>
          <w:szCs w:val="24"/>
          <w:vertAlign w:val="subscript"/>
        </w:rPr>
        <w:t>untreated</w:t>
      </w:r>
      <w:proofErr w:type="spellEnd"/>
      <w:r w:rsidRPr="00F67B20">
        <w:rPr>
          <w:rFonts w:ascii="Arial" w:hAnsi="Arial" w:cs="Arial"/>
          <w:bCs/>
          <w:i/>
          <w:iCs/>
          <w:sz w:val="24"/>
          <w:szCs w:val="24"/>
        </w:rPr>
        <w:t xml:space="preserve"> × 100% </w:t>
      </w:r>
      <w:r w:rsidR="002212E5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>(</w:t>
      </w:r>
      <w:r w:rsidR="008B38F5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>Fortier and Falk, 1994</w:t>
      </w:r>
      <w:r w:rsidR="002212E5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>).</w:t>
      </w:r>
    </w:p>
    <w:p w14:paraId="12AFFAEA" w14:textId="4A5C0293" w:rsidR="00B515F9" w:rsidRPr="00F67B20" w:rsidRDefault="001D326A" w:rsidP="00F67B20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2.5 </w:t>
      </w:r>
      <w:r w:rsidR="00682DF0" w:rsidRPr="00F67B20">
        <w:rPr>
          <w:rFonts w:ascii="Arial" w:hAnsi="Arial" w:cs="Arial"/>
          <w:b/>
          <w:sz w:val="24"/>
          <w:szCs w:val="24"/>
        </w:rPr>
        <w:t xml:space="preserve">Assessment </w:t>
      </w:r>
      <w:r w:rsidR="000271B3" w:rsidRPr="00F67B20">
        <w:rPr>
          <w:rFonts w:ascii="Arial" w:hAnsi="Arial" w:cs="Arial"/>
          <w:b/>
          <w:sz w:val="24"/>
          <w:szCs w:val="24"/>
        </w:rPr>
        <w:t xml:space="preserve">of </w:t>
      </w:r>
      <w:r w:rsidR="0093699B" w:rsidRPr="00F67B20">
        <w:rPr>
          <w:rFonts w:ascii="Arial" w:hAnsi="Arial" w:cs="Arial"/>
          <w:b/>
          <w:sz w:val="24"/>
          <w:szCs w:val="24"/>
        </w:rPr>
        <w:t>Anti-</w:t>
      </w:r>
      <w:r w:rsidR="001209AC">
        <w:rPr>
          <w:rFonts w:ascii="Arial" w:hAnsi="Arial" w:cs="Arial"/>
          <w:b/>
          <w:sz w:val="24"/>
          <w:szCs w:val="24"/>
        </w:rPr>
        <w:t>I</w:t>
      </w:r>
      <w:r w:rsidR="0093699B" w:rsidRPr="00F67B20">
        <w:rPr>
          <w:rFonts w:ascii="Arial" w:hAnsi="Arial" w:cs="Arial"/>
          <w:b/>
          <w:sz w:val="24"/>
          <w:szCs w:val="24"/>
        </w:rPr>
        <w:t xml:space="preserve">nflammatory </w:t>
      </w:r>
      <w:r w:rsidR="001209AC">
        <w:rPr>
          <w:rFonts w:ascii="Arial" w:hAnsi="Arial" w:cs="Arial"/>
          <w:b/>
          <w:sz w:val="24"/>
          <w:szCs w:val="24"/>
        </w:rPr>
        <w:t>A</w:t>
      </w:r>
      <w:r w:rsidR="0093699B" w:rsidRPr="00F67B20">
        <w:rPr>
          <w:rFonts w:ascii="Arial" w:hAnsi="Arial" w:cs="Arial"/>
          <w:b/>
          <w:sz w:val="24"/>
          <w:szCs w:val="24"/>
        </w:rPr>
        <w:t xml:space="preserve">ctivity </w:t>
      </w:r>
      <w:r w:rsidR="00DC290A" w:rsidRPr="00F67B20">
        <w:rPr>
          <w:rFonts w:ascii="Arial" w:hAnsi="Arial" w:cs="Arial"/>
          <w:b/>
          <w:sz w:val="24"/>
          <w:szCs w:val="24"/>
        </w:rPr>
        <w:t>(</w:t>
      </w:r>
      <w:r w:rsidR="00DC290A" w:rsidRPr="00F67B20">
        <w:rPr>
          <w:rFonts w:ascii="Arial" w:hAnsi="Arial" w:cs="Arial"/>
          <w:b/>
          <w:i/>
          <w:sz w:val="24"/>
          <w:szCs w:val="24"/>
        </w:rPr>
        <w:t>In vi</w:t>
      </w:r>
      <w:r w:rsidR="00170D93" w:rsidRPr="00F67B20">
        <w:rPr>
          <w:rFonts w:ascii="Arial" w:hAnsi="Arial" w:cs="Arial"/>
          <w:b/>
          <w:i/>
          <w:sz w:val="24"/>
          <w:szCs w:val="24"/>
        </w:rPr>
        <w:t>tro</w:t>
      </w:r>
      <w:r w:rsidR="00DC290A" w:rsidRPr="00F67B20">
        <w:rPr>
          <w:rFonts w:ascii="Arial" w:hAnsi="Arial" w:cs="Arial"/>
          <w:bCs/>
          <w:sz w:val="24"/>
          <w:szCs w:val="24"/>
        </w:rPr>
        <w:t>)</w:t>
      </w:r>
    </w:p>
    <w:p w14:paraId="0439AA6B" w14:textId="0E403887" w:rsidR="00C1773E" w:rsidRPr="00F67B20" w:rsidRDefault="00871218" w:rsidP="00F67B20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2.5.1 </w:t>
      </w:r>
      <w:r w:rsidR="00C1773E" w:rsidRPr="00F67B20">
        <w:rPr>
          <w:rFonts w:ascii="Arial" w:hAnsi="Arial" w:cs="Arial"/>
          <w:b/>
          <w:sz w:val="24"/>
          <w:szCs w:val="24"/>
        </w:rPr>
        <w:t xml:space="preserve">Estimation of Nitric Oxide </w:t>
      </w:r>
      <w:r w:rsidR="001209AC">
        <w:rPr>
          <w:rFonts w:ascii="Arial" w:hAnsi="Arial" w:cs="Arial"/>
          <w:b/>
          <w:sz w:val="24"/>
          <w:szCs w:val="24"/>
        </w:rPr>
        <w:t>L</w:t>
      </w:r>
      <w:r w:rsidR="00C1773E" w:rsidRPr="00F67B20">
        <w:rPr>
          <w:rFonts w:ascii="Arial" w:hAnsi="Arial" w:cs="Arial"/>
          <w:b/>
          <w:sz w:val="24"/>
          <w:szCs w:val="24"/>
        </w:rPr>
        <w:t xml:space="preserve">evels in </w:t>
      </w:r>
      <w:r w:rsidR="001209AC">
        <w:rPr>
          <w:rFonts w:ascii="Arial" w:hAnsi="Arial" w:cs="Arial"/>
          <w:b/>
          <w:sz w:val="24"/>
          <w:szCs w:val="24"/>
        </w:rPr>
        <w:t>M</w:t>
      </w:r>
      <w:r w:rsidR="00C1773E" w:rsidRPr="00F67B20">
        <w:rPr>
          <w:rFonts w:ascii="Arial" w:hAnsi="Arial" w:cs="Arial"/>
          <w:b/>
          <w:sz w:val="24"/>
          <w:szCs w:val="24"/>
        </w:rPr>
        <w:t xml:space="preserve">urine </w:t>
      </w:r>
      <w:r w:rsidR="001209AC">
        <w:rPr>
          <w:rFonts w:ascii="Arial" w:hAnsi="Arial" w:cs="Arial"/>
          <w:b/>
          <w:sz w:val="24"/>
          <w:szCs w:val="24"/>
        </w:rPr>
        <w:t>M</w:t>
      </w:r>
      <w:r w:rsidR="00C1773E" w:rsidRPr="00F67B20">
        <w:rPr>
          <w:rFonts w:ascii="Arial" w:hAnsi="Arial" w:cs="Arial"/>
          <w:b/>
          <w:sz w:val="24"/>
          <w:szCs w:val="24"/>
        </w:rPr>
        <w:t xml:space="preserve">acrophage </w:t>
      </w:r>
      <w:r w:rsidR="001209AC">
        <w:rPr>
          <w:rFonts w:ascii="Arial" w:hAnsi="Arial" w:cs="Arial"/>
          <w:b/>
          <w:sz w:val="24"/>
          <w:szCs w:val="24"/>
        </w:rPr>
        <w:t>C</w:t>
      </w:r>
      <w:r w:rsidR="00C1773E" w:rsidRPr="00F67B20">
        <w:rPr>
          <w:rFonts w:ascii="Arial" w:hAnsi="Arial" w:cs="Arial"/>
          <w:b/>
          <w:sz w:val="24"/>
          <w:szCs w:val="24"/>
        </w:rPr>
        <w:t xml:space="preserve">ell </w:t>
      </w:r>
      <w:r w:rsidR="001209AC">
        <w:rPr>
          <w:rFonts w:ascii="Arial" w:hAnsi="Arial" w:cs="Arial"/>
          <w:b/>
          <w:sz w:val="24"/>
          <w:szCs w:val="24"/>
        </w:rPr>
        <w:t>L</w:t>
      </w:r>
      <w:r w:rsidR="00C1773E" w:rsidRPr="00F67B20">
        <w:rPr>
          <w:rFonts w:ascii="Arial" w:hAnsi="Arial" w:cs="Arial"/>
          <w:b/>
          <w:sz w:val="24"/>
          <w:szCs w:val="24"/>
        </w:rPr>
        <w:t>ine</w:t>
      </w:r>
    </w:p>
    <w:p w14:paraId="334B8252" w14:textId="32265050" w:rsidR="008D72A4" w:rsidRPr="00F67B20" w:rsidRDefault="006F600D" w:rsidP="00F67B20">
      <w:pPr>
        <w:spacing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871218">
        <w:rPr>
          <w:rFonts w:ascii="Arial" w:hAnsi="Arial" w:cs="Arial"/>
          <w:b/>
          <w:sz w:val="24"/>
          <w:szCs w:val="24"/>
        </w:rPr>
        <w:t xml:space="preserve">Preparation of </w:t>
      </w:r>
      <w:r w:rsidR="009D0469">
        <w:rPr>
          <w:rFonts w:ascii="Arial" w:hAnsi="Arial" w:cs="Arial"/>
          <w:b/>
          <w:sz w:val="24"/>
          <w:szCs w:val="24"/>
        </w:rPr>
        <w:t>A</w:t>
      </w:r>
      <w:r w:rsidRPr="00871218">
        <w:rPr>
          <w:rFonts w:ascii="Arial" w:hAnsi="Arial" w:cs="Arial"/>
          <w:b/>
          <w:sz w:val="24"/>
          <w:szCs w:val="24"/>
        </w:rPr>
        <w:t>nimals</w:t>
      </w:r>
      <w:r w:rsidR="008D72A4" w:rsidRPr="00871218">
        <w:rPr>
          <w:rFonts w:ascii="Arial" w:hAnsi="Arial" w:cs="Arial"/>
          <w:b/>
          <w:sz w:val="24"/>
          <w:szCs w:val="24"/>
        </w:rPr>
        <w:t>:</w:t>
      </w:r>
      <w:r w:rsidR="00BA57F2" w:rsidRPr="00F67B20">
        <w:rPr>
          <w:rFonts w:ascii="Arial" w:hAnsi="Arial" w:cs="Arial"/>
          <w:b/>
          <w:i/>
          <w:iCs/>
          <w:sz w:val="24"/>
          <w:szCs w:val="24"/>
        </w:rPr>
        <w:t xml:space="preserve"> </w:t>
      </w:r>
      <w:r w:rsidR="008D72A4" w:rsidRPr="00F67B20">
        <w:rPr>
          <w:rFonts w:ascii="Arial" w:hAnsi="Arial" w:cs="Arial"/>
          <w:bCs/>
          <w:sz w:val="24"/>
          <w:szCs w:val="24"/>
        </w:rPr>
        <w:t>Mice in a group of three were maintained under standard conditions of food, water, and temperature in the animal room of the Indian Veterinary Research Institute, ERS, Kolkata.</w:t>
      </w:r>
    </w:p>
    <w:p w14:paraId="72D34726" w14:textId="2EBC068F" w:rsidR="00E44683" w:rsidRPr="00F67B20" w:rsidRDefault="00E44683" w:rsidP="00F67B20">
      <w:pPr>
        <w:spacing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871218">
        <w:rPr>
          <w:rFonts w:ascii="Arial" w:hAnsi="Arial" w:cs="Arial"/>
          <w:b/>
          <w:sz w:val="24"/>
          <w:szCs w:val="24"/>
        </w:rPr>
        <w:t xml:space="preserve">Preparation of the </w:t>
      </w:r>
      <w:r w:rsidR="009D0469">
        <w:rPr>
          <w:rFonts w:ascii="Arial" w:hAnsi="Arial" w:cs="Arial"/>
          <w:b/>
          <w:sz w:val="24"/>
          <w:szCs w:val="24"/>
        </w:rPr>
        <w:t>C</w:t>
      </w:r>
      <w:r w:rsidRPr="00871218">
        <w:rPr>
          <w:rFonts w:ascii="Arial" w:hAnsi="Arial" w:cs="Arial"/>
          <w:b/>
          <w:sz w:val="24"/>
          <w:szCs w:val="24"/>
        </w:rPr>
        <w:t xml:space="preserve">ell </w:t>
      </w:r>
      <w:r w:rsidR="009D0469">
        <w:rPr>
          <w:rFonts w:ascii="Arial" w:hAnsi="Arial" w:cs="Arial"/>
          <w:b/>
          <w:sz w:val="24"/>
          <w:szCs w:val="24"/>
        </w:rPr>
        <w:t>C</w:t>
      </w:r>
      <w:r w:rsidRPr="00871218">
        <w:rPr>
          <w:rFonts w:ascii="Arial" w:hAnsi="Arial" w:cs="Arial"/>
          <w:b/>
          <w:sz w:val="24"/>
          <w:szCs w:val="24"/>
        </w:rPr>
        <w:t xml:space="preserve">ulture </w:t>
      </w:r>
      <w:r w:rsidR="009D0469">
        <w:rPr>
          <w:rFonts w:ascii="Arial" w:hAnsi="Arial" w:cs="Arial"/>
          <w:b/>
          <w:sz w:val="24"/>
          <w:szCs w:val="24"/>
        </w:rPr>
        <w:t>M</w:t>
      </w:r>
      <w:r w:rsidR="00BA57F2" w:rsidRPr="00871218">
        <w:rPr>
          <w:rFonts w:ascii="Arial" w:hAnsi="Arial" w:cs="Arial"/>
          <w:b/>
          <w:sz w:val="24"/>
          <w:szCs w:val="24"/>
        </w:rPr>
        <w:t xml:space="preserve">edium: </w:t>
      </w:r>
      <w:r w:rsidR="00BA57F2" w:rsidRPr="00F67B20">
        <w:rPr>
          <w:rFonts w:ascii="Arial" w:hAnsi="Arial" w:cs="Arial"/>
          <w:bCs/>
          <w:sz w:val="24"/>
          <w:szCs w:val="24"/>
        </w:rPr>
        <w:t xml:space="preserve">A 15 mL test tube was filled with 5 mL of the cell culture medium, RPMI 1640 (phenol red-free, </w:t>
      </w:r>
      <w:proofErr w:type="spellStart"/>
      <w:r w:rsidR="00BA57F2" w:rsidRPr="00F67B20">
        <w:rPr>
          <w:rFonts w:ascii="Arial" w:hAnsi="Arial" w:cs="Arial"/>
          <w:bCs/>
          <w:sz w:val="24"/>
          <w:szCs w:val="24"/>
        </w:rPr>
        <w:t>Himedia</w:t>
      </w:r>
      <w:proofErr w:type="spellEnd"/>
      <w:r w:rsidR="00BA57F2" w:rsidRPr="00F67B20">
        <w:rPr>
          <w:rFonts w:ascii="Arial" w:hAnsi="Arial" w:cs="Arial"/>
          <w:bCs/>
          <w:sz w:val="24"/>
          <w:szCs w:val="24"/>
        </w:rPr>
        <w:t xml:space="preserve"> Laboratories</w:t>
      </w:r>
      <w:r w:rsidR="00C34EBF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>, India). To this was added 700 µ</w:t>
      </w:r>
      <w:r w:rsidR="000D483A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>L</w:t>
      </w:r>
      <w:r w:rsidR="00C34EBF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 of FCS</w:t>
      </w:r>
      <w:r w:rsidR="00556498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 (</w:t>
      </w:r>
      <w:r w:rsidR="00FA48C1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>Foetal</w:t>
      </w:r>
      <w:r w:rsidR="00556498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 calf serum)</w:t>
      </w:r>
      <w:r w:rsidR="00C34EBF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>, 10 µ</w:t>
      </w:r>
      <w:r w:rsidR="000D483A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>L</w:t>
      </w:r>
      <w:r w:rsidR="00C34EBF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 of the antibiotic </w:t>
      </w:r>
      <w:r w:rsidR="00556498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>G</w:t>
      </w:r>
      <w:r w:rsidR="00C34EBF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>entamicin, and 10 µ</w:t>
      </w:r>
      <w:r w:rsidR="000D483A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>L</w:t>
      </w:r>
      <w:r w:rsidR="00C34EBF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 of the antifungal Amphotericin </w:t>
      </w:r>
      <w:r w:rsidR="00EA0B41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>B</w:t>
      </w:r>
      <w:r w:rsidR="00C34EBF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 (Hi</w:t>
      </w:r>
      <w:r w:rsidR="004004E6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>-</w:t>
      </w:r>
      <w:r w:rsidR="00C34EBF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media laboratories, India). The entire procedure was carried out under regular anti-contamination procedures inside a BSL grade II </w:t>
      </w:r>
      <w:r w:rsidR="00A1566D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>B</w:t>
      </w:r>
      <w:r w:rsidR="00C34EBF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>iosafety cabinet.</w:t>
      </w:r>
    </w:p>
    <w:p w14:paraId="2E5D61F6" w14:textId="072F4F77" w:rsidR="008D72A4" w:rsidRPr="00F67B20" w:rsidRDefault="008F0A86" w:rsidP="00F67B20">
      <w:pPr>
        <w:spacing w:after="24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en-IN"/>
        </w:rPr>
      </w:pPr>
      <w:r w:rsidRPr="00871218">
        <w:rPr>
          <w:rFonts w:ascii="Arial" w:hAnsi="Arial" w:cs="Arial"/>
          <w:b/>
          <w:sz w:val="24"/>
          <w:szCs w:val="24"/>
          <w:lang w:val="en-US"/>
        </w:rPr>
        <w:t xml:space="preserve">Activation and Isolation of </w:t>
      </w:r>
      <w:r w:rsidR="009D0469" w:rsidRPr="00871218">
        <w:rPr>
          <w:rFonts w:ascii="Arial" w:hAnsi="Arial" w:cs="Arial"/>
          <w:b/>
          <w:sz w:val="24"/>
          <w:szCs w:val="24"/>
          <w:lang w:val="en-US"/>
        </w:rPr>
        <w:t>Murine Macrophages</w:t>
      </w:r>
      <w:r w:rsidRPr="00871218">
        <w:rPr>
          <w:rFonts w:ascii="Arial" w:hAnsi="Arial" w:cs="Arial"/>
          <w:b/>
          <w:sz w:val="24"/>
          <w:szCs w:val="24"/>
          <w:lang w:val="en-US"/>
        </w:rPr>
        <w:t>:</w:t>
      </w:r>
      <w:r w:rsidR="00BA57F2" w:rsidRPr="00F67B20">
        <w:rPr>
          <w:rFonts w:ascii="Arial" w:hAnsi="Arial" w:cs="Arial"/>
          <w:b/>
          <w:i/>
          <w:iCs/>
          <w:sz w:val="24"/>
          <w:szCs w:val="24"/>
          <w:lang w:val="en-US"/>
        </w:rPr>
        <w:t xml:space="preserve"> </w:t>
      </w:r>
      <w:r w:rsidR="00693D1C" w:rsidRPr="00F67B20">
        <w:rPr>
          <w:rFonts w:ascii="Arial" w:hAnsi="Arial" w:cs="Arial"/>
          <w:bCs/>
          <w:sz w:val="24"/>
          <w:szCs w:val="24"/>
          <w:lang w:val="en-US"/>
        </w:rPr>
        <w:t>Murine</w:t>
      </w:r>
      <w:r w:rsidR="00D7490A" w:rsidRPr="00F67B20">
        <w:rPr>
          <w:rFonts w:ascii="Arial" w:hAnsi="Arial" w:cs="Arial"/>
          <w:bCs/>
          <w:sz w:val="24"/>
          <w:szCs w:val="24"/>
          <w:lang w:val="en-US"/>
        </w:rPr>
        <w:t xml:space="preserve"> macrophage cells from the peritoneal cavity</w:t>
      </w:r>
      <w:r w:rsidR="00B25C6E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 were</w:t>
      </w:r>
      <w:r w:rsidR="005C6D4E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 isolated </w:t>
      </w:r>
      <w:r w:rsidR="00896859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>post-activation</w:t>
      </w:r>
      <w:r w:rsidR="005C6D4E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 following</w:t>
      </w:r>
      <w:r w:rsidR="00896859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 an</w:t>
      </w:r>
      <w:r w:rsidR="00425A36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 elucidated standard</w:t>
      </w:r>
      <w:r w:rsidR="002212E5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 (</w:t>
      </w:r>
      <w:r w:rsidR="00271242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Sastry </w:t>
      </w:r>
      <w:r w:rsidR="00D11537" w:rsidRPr="00F67B20">
        <w:rPr>
          <w:rFonts w:ascii="Arial" w:eastAsia="Times New Roman" w:hAnsi="Arial" w:cs="Arial"/>
          <w:i/>
          <w:iCs/>
          <w:kern w:val="0"/>
          <w:sz w:val="24"/>
          <w:szCs w:val="24"/>
          <w:lang w:eastAsia="en-IN"/>
        </w:rPr>
        <w:t>et al.,</w:t>
      </w:r>
      <w:r w:rsidR="00271242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 2006</w:t>
      </w:r>
      <w:r w:rsidR="002212E5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>).</w:t>
      </w:r>
    </w:p>
    <w:p w14:paraId="4F83D63C" w14:textId="62C262C4" w:rsidR="00E44683" w:rsidRPr="00F67B20" w:rsidRDefault="00E44683" w:rsidP="00F67B20">
      <w:pPr>
        <w:spacing w:after="240" w:line="240" w:lineRule="auto"/>
        <w:jc w:val="both"/>
        <w:rPr>
          <w:rFonts w:ascii="Arial" w:hAnsi="Arial" w:cs="Arial"/>
          <w:sz w:val="24"/>
          <w:szCs w:val="24"/>
        </w:rPr>
      </w:pPr>
      <w:r w:rsidRPr="00871218">
        <w:rPr>
          <w:rFonts w:ascii="Arial" w:eastAsia="Times New Roman" w:hAnsi="Arial" w:cs="Arial"/>
          <w:b/>
          <w:bCs/>
          <w:kern w:val="0"/>
          <w:sz w:val="24"/>
          <w:szCs w:val="24"/>
          <w:lang w:eastAsia="en-IN"/>
        </w:rPr>
        <w:t>P</w:t>
      </w:r>
      <w:r w:rsidR="008D72A4" w:rsidRPr="00871218">
        <w:rPr>
          <w:rFonts w:ascii="Arial" w:eastAsia="Times New Roman" w:hAnsi="Arial" w:cs="Arial"/>
          <w:b/>
          <w:bCs/>
          <w:kern w:val="0"/>
          <w:sz w:val="24"/>
          <w:szCs w:val="24"/>
          <w:lang w:eastAsia="en-IN"/>
        </w:rPr>
        <w:t xml:space="preserve">lating of the </w:t>
      </w:r>
      <w:r w:rsidR="009D0469" w:rsidRPr="00871218">
        <w:rPr>
          <w:rFonts w:ascii="Arial" w:eastAsia="Times New Roman" w:hAnsi="Arial" w:cs="Arial"/>
          <w:b/>
          <w:bCs/>
          <w:kern w:val="0"/>
          <w:sz w:val="24"/>
          <w:szCs w:val="24"/>
          <w:lang w:eastAsia="en-IN"/>
        </w:rPr>
        <w:t xml:space="preserve">Cell Exudates </w:t>
      </w:r>
      <w:r w:rsidR="008D72A4" w:rsidRPr="00871218">
        <w:rPr>
          <w:rFonts w:ascii="Arial" w:eastAsia="Times New Roman" w:hAnsi="Arial" w:cs="Arial"/>
          <w:b/>
          <w:bCs/>
          <w:kern w:val="0"/>
          <w:sz w:val="24"/>
          <w:szCs w:val="24"/>
          <w:lang w:eastAsia="en-IN"/>
        </w:rPr>
        <w:t xml:space="preserve">and </w:t>
      </w:r>
      <w:r w:rsidR="009D0469" w:rsidRPr="00871218">
        <w:rPr>
          <w:rFonts w:ascii="Arial" w:eastAsia="Times New Roman" w:hAnsi="Arial" w:cs="Arial"/>
          <w:b/>
          <w:bCs/>
          <w:kern w:val="0"/>
          <w:sz w:val="24"/>
          <w:szCs w:val="24"/>
          <w:lang w:eastAsia="en-IN"/>
        </w:rPr>
        <w:t xml:space="preserve">Estimation </w:t>
      </w:r>
      <w:r w:rsidR="008D72A4" w:rsidRPr="00871218">
        <w:rPr>
          <w:rFonts w:ascii="Arial" w:eastAsia="Times New Roman" w:hAnsi="Arial" w:cs="Arial"/>
          <w:b/>
          <w:bCs/>
          <w:kern w:val="0"/>
          <w:sz w:val="24"/>
          <w:szCs w:val="24"/>
          <w:lang w:eastAsia="en-IN"/>
        </w:rPr>
        <w:t xml:space="preserve">of NO </w:t>
      </w:r>
      <w:r w:rsidR="009D0469" w:rsidRPr="00871218">
        <w:rPr>
          <w:rFonts w:ascii="Arial" w:eastAsia="Times New Roman" w:hAnsi="Arial" w:cs="Arial"/>
          <w:b/>
          <w:bCs/>
          <w:kern w:val="0"/>
          <w:sz w:val="24"/>
          <w:szCs w:val="24"/>
          <w:lang w:eastAsia="en-IN"/>
        </w:rPr>
        <w:t>Level</w:t>
      </w:r>
      <w:r w:rsidR="008D72A4" w:rsidRPr="00871218">
        <w:rPr>
          <w:rFonts w:ascii="Arial" w:eastAsia="Times New Roman" w:hAnsi="Arial" w:cs="Arial"/>
          <w:b/>
          <w:bCs/>
          <w:kern w:val="0"/>
          <w:sz w:val="24"/>
          <w:szCs w:val="24"/>
          <w:lang w:eastAsia="en-IN"/>
        </w:rPr>
        <w:t>s</w:t>
      </w:r>
      <w:r w:rsidRPr="00871218">
        <w:rPr>
          <w:rFonts w:ascii="Arial" w:eastAsia="Times New Roman" w:hAnsi="Arial" w:cs="Arial"/>
          <w:b/>
          <w:bCs/>
          <w:kern w:val="0"/>
          <w:sz w:val="24"/>
          <w:szCs w:val="24"/>
          <w:lang w:eastAsia="en-IN"/>
        </w:rPr>
        <w:t>:</w:t>
      </w:r>
      <w:r w:rsidR="00BA57F2" w:rsidRPr="00F67B20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en-IN"/>
        </w:rPr>
        <w:t xml:space="preserve"> </w:t>
      </w:r>
      <w:r w:rsidR="00BA57F2" w:rsidRPr="00F67B20">
        <w:rPr>
          <w:rFonts w:ascii="Arial" w:hAnsi="Arial" w:cs="Arial"/>
          <w:sz w:val="24"/>
          <w:szCs w:val="24"/>
        </w:rPr>
        <w:t>A 48-well</w:t>
      </w:r>
      <w:r w:rsidR="00EB1EF1" w:rsidRPr="00F67B20">
        <w:rPr>
          <w:rFonts w:ascii="Arial" w:hAnsi="Arial" w:cs="Arial"/>
          <w:sz w:val="24"/>
          <w:szCs w:val="24"/>
        </w:rPr>
        <w:t xml:space="preserve"> tissue culture plate was taken. About 400</w:t>
      </w:r>
      <w:r w:rsidR="00896859" w:rsidRPr="00F67B20">
        <w:rPr>
          <w:rFonts w:ascii="Arial" w:hAnsi="Arial" w:cs="Arial"/>
          <w:sz w:val="24"/>
          <w:szCs w:val="24"/>
        </w:rPr>
        <w:t xml:space="preserve"> µL</w:t>
      </w:r>
      <w:r w:rsidR="00EB1EF1" w:rsidRPr="00F67B20">
        <w:rPr>
          <w:rFonts w:ascii="Arial" w:hAnsi="Arial" w:cs="Arial"/>
          <w:sz w:val="24"/>
          <w:szCs w:val="24"/>
        </w:rPr>
        <w:t xml:space="preserve"> of the cell suspension resuspended in the media prepared was plated into 5 wells individually. It was then kept for half an hour</w:t>
      </w:r>
      <w:r w:rsidR="001C1958">
        <w:rPr>
          <w:rFonts w:ascii="Arial" w:hAnsi="Arial" w:cs="Arial"/>
          <w:sz w:val="24"/>
          <w:szCs w:val="24"/>
        </w:rPr>
        <w:t>,</w:t>
      </w:r>
      <w:r w:rsidR="00EB1EF1" w:rsidRPr="00F67B20">
        <w:rPr>
          <w:rFonts w:ascii="Arial" w:hAnsi="Arial" w:cs="Arial"/>
          <w:sz w:val="24"/>
          <w:szCs w:val="24"/>
        </w:rPr>
        <w:t xml:space="preserve"> and 1µl of 2.5µg/</w:t>
      </w:r>
      <w:r w:rsidR="00BA57F2" w:rsidRPr="00F67B20">
        <w:rPr>
          <w:rFonts w:ascii="Arial" w:hAnsi="Arial" w:cs="Arial"/>
          <w:sz w:val="24"/>
          <w:szCs w:val="24"/>
        </w:rPr>
        <w:t>mL LPS</w:t>
      </w:r>
      <w:r w:rsidR="00EB1EF1" w:rsidRPr="00F67B20">
        <w:rPr>
          <w:rFonts w:ascii="Arial" w:hAnsi="Arial" w:cs="Arial"/>
          <w:sz w:val="24"/>
          <w:szCs w:val="24"/>
        </w:rPr>
        <w:t xml:space="preserve"> (lipopolysaccharide)</w:t>
      </w:r>
      <w:r w:rsidR="004F0063" w:rsidRPr="00F67B20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4F0063" w:rsidRPr="00F67B20">
        <w:rPr>
          <w:rFonts w:ascii="Arial" w:hAnsi="Arial" w:cs="Arial"/>
          <w:sz w:val="24"/>
          <w:szCs w:val="24"/>
        </w:rPr>
        <w:t>Himedia</w:t>
      </w:r>
      <w:proofErr w:type="spellEnd"/>
      <w:r w:rsidR="004F0063" w:rsidRPr="00F67B20">
        <w:rPr>
          <w:rFonts w:ascii="Arial" w:hAnsi="Arial" w:cs="Arial"/>
          <w:sz w:val="24"/>
          <w:szCs w:val="24"/>
        </w:rPr>
        <w:t>, India)</w:t>
      </w:r>
      <w:r w:rsidR="00170D93" w:rsidRPr="00F67B20">
        <w:rPr>
          <w:rFonts w:ascii="Arial" w:hAnsi="Arial" w:cs="Arial"/>
          <w:sz w:val="24"/>
          <w:szCs w:val="24"/>
        </w:rPr>
        <w:t xml:space="preserve"> </w:t>
      </w:r>
      <w:r w:rsidR="00EB1EF1" w:rsidRPr="00F67B20">
        <w:rPr>
          <w:rFonts w:ascii="Arial" w:hAnsi="Arial" w:cs="Arial"/>
          <w:sz w:val="24"/>
          <w:szCs w:val="24"/>
        </w:rPr>
        <w:t>was added into the wells except for the blank</w:t>
      </w:r>
      <w:r w:rsidR="00BA57F2" w:rsidRPr="00F67B20">
        <w:rPr>
          <w:rFonts w:ascii="Arial" w:hAnsi="Arial" w:cs="Arial"/>
          <w:sz w:val="24"/>
          <w:szCs w:val="24"/>
        </w:rPr>
        <w:t>,</w:t>
      </w:r>
      <w:r w:rsidR="00EB1EF1" w:rsidRPr="00F67B20">
        <w:rPr>
          <w:rFonts w:ascii="Arial" w:hAnsi="Arial" w:cs="Arial"/>
          <w:sz w:val="24"/>
          <w:szCs w:val="24"/>
        </w:rPr>
        <w:t xml:space="preserve"> and cells suspended singly with media </w:t>
      </w:r>
      <w:r w:rsidR="001C1958">
        <w:rPr>
          <w:rFonts w:ascii="Arial" w:hAnsi="Arial" w:cs="Arial"/>
          <w:sz w:val="24"/>
          <w:szCs w:val="24"/>
        </w:rPr>
        <w:t xml:space="preserve">were </w:t>
      </w:r>
      <w:r w:rsidR="00EB1EF1" w:rsidRPr="00F67B20">
        <w:rPr>
          <w:rFonts w:ascii="Arial" w:hAnsi="Arial" w:cs="Arial"/>
          <w:sz w:val="24"/>
          <w:szCs w:val="24"/>
        </w:rPr>
        <w:t>used as negative controls in the experiment. Three different concentrations of NO</w:t>
      </w:r>
      <w:r w:rsidR="001C1958">
        <w:rPr>
          <w:rFonts w:ascii="Arial" w:hAnsi="Arial" w:cs="Arial"/>
          <w:sz w:val="24"/>
          <w:szCs w:val="24"/>
        </w:rPr>
        <w:t>,</w:t>
      </w:r>
      <w:r w:rsidR="00EB1EF1" w:rsidRPr="00F67B20">
        <w:rPr>
          <w:rFonts w:ascii="Arial" w:hAnsi="Arial" w:cs="Arial"/>
          <w:sz w:val="24"/>
          <w:szCs w:val="24"/>
        </w:rPr>
        <w:t xml:space="preserve"> viz</w:t>
      </w:r>
      <w:r w:rsidR="001C1958">
        <w:rPr>
          <w:rFonts w:ascii="Arial" w:hAnsi="Arial" w:cs="Arial"/>
          <w:sz w:val="24"/>
          <w:szCs w:val="24"/>
        </w:rPr>
        <w:t xml:space="preserve">, </w:t>
      </w:r>
      <w:r w:rsidR="00EB1EF1" w:rsidRPr="00F67B20">
        <w:rPr>
          <w:rFonts w:ascii="Arial" w:hAnsi="Arial" w:cs="Arial"/>
          <w:sz w:val="24"/>
          <w:szCs w:val="24"/>
        </w:rPr>
        <w:t>12.5, 25</w:t>
      </w:r>
      <w:r w:rsidR="00AC09BF" w:rsidRPr="00F67B20">
        <w:rPr>
          <w:rFonts w:ascii="Arial" w:hAnsi="Arial" w:cs="Arial"/>
          <w:sz w:val="24"/>
          <w:szCs w:val="24"/>
        </w:rPr>
        <w:t>,</w:t>
      </w:r>
      <w:r w:rsidR="00EB1EF1" w:rsidRPr="00F67B20">
        <w:rPr>
          <w:rFonts w:ascii="Arial" w:hAnsi="Arial" w:cs="Arial"/>
          <w:sz w:val="24"/>
          <w:szCs w:val="24"/>
        </w:rPr>
        <w:t xml:space="preserve"> and 50 µ</w:t>
      </w:r>
      <w:r w:rsidR="000D483A" w:rsidRPr="00F67B20">
        <w:rPr>
          <w:rFonts w:ascii="Arial" w:hAnsi="Arial" w:cs="Arial"/>
          <w:sz w:val="24"/>
          <w:szCs w:val="24"/>
        </w:rPr>
        <w:t>L</w:t>
      </w:r>
      <w:r w:rsidR="001C1958">
        <w:rPr>
          <w:rFonts w:ascii="Arial" w:hAnsi="Arial" w:cs="Arial"/>
          <w:sz w:val="24"/>
          <w:szCs w:val="24"/>
        </w:rPr>
        <w:t>,</w:t>
      </w:r>
      <w:r w:rsidR="00EB1EF1" w:rsidRPr="00F67B20">
        <w:rPr>
          <w:rFonts w:ascii="Arial" w:hAnsi="Arial" w:cs="Arial"/>
          <w:sz w:val="24"/>
          <w:szCs w:val="24"/>
        </w:rPr>
        <w:t xml:space="preserve"> were added to the stimulated cells along with media in the wells. The experiment was performed in duplicate and the entire setup was kept under CO</w:t>
      </w:r>
      <w:r w:rsidR="00EB1EF1" w:rsidRPr="00F67B20">
        <w:rPr>
          <w:rFonts w:ascii="Arial" w:hAnsi="Arial" w:cs="Arial"/>
          <w:sz w:val="24"/>
          <w:szCs w:val="24"/>
          <w:vertAlign w:val="subscript"/>
        </w:rPr>
        <w:t xml:space="preserve">2 </w:t>
      </w:r>
      <w:r w:rsidR="00EB1EF1" w:rsidRPr="00F67B20">
        <w:rPr>
          <w:rFonts w:ascii="Arial" w:hAnsi="Arial" w:cs="Arial"/>
          <w:sz w:val="24"/>
          <w:szCs w:val="24"/>
        </w:rPr>
        <w:t xml:space="preserve">incubation for 24 hours. Following </w:t>
      </w:r>
      <w:r w:rsidR="008702D3" w:rsidRPr="00F67B20">
        <w:rPr>
          <w:rFonts w:ascii="Arial" w:hAnsi="Arial" w:cs="Arial"/>
          <w:sz w:val="24"/>
          <w:szCs w:val="24"/>
        </w:rPr>
        <w:t>incubation,</w:t>
      </w:r>
      <w:r w:rsidR="00EB1EF1" w:rsidRPr="00F67B20">
        <w:rPr>
          <w:rFonts w:ascii="Arial" w:hAnsi="Arial" w:cs="Arial"/>
          <w:sz w:val="24"/>
          <w:szCs w:val="24"/>
        </w:rPr>
        <w:t xml:space="preserve"> the </w:t>
      </w:r>
      <w:r w:rsidR="005E1F53" w:rsidRPr="00F67B20">
        <w:rPr>
          <w:rFonts w:ascii="Arial" w:hAnsi="Arial" w:cs="Arial"/>
          <w:sz w:val="24"/>
          <w:szCs w:val="24"/>
        </w:rPr>
        <w:t xml:space="preserve">experiment was performed following the standard protocols provided in the </w:t>
      </w:r>
      <w:r w:rsidR="00460677" w:rsidRPr="00F67B20">
        <w:rPr>
          <w:rFonts w:ascii="Arial" w:hAnsi="Arial" w:cs="Arial"/>
          <w:sz w:val="24"/>
          <w:szCs w:val="24"/>
        </w:rPr>
        <w:t>EZ assay</w:t>
      </w:r>
      <w:r w:rsidR="005E1F53" w:rsidRPr="00F67B20">
        <w:rPr>
          <w:rFonts w:ascii="Arial" w:hAnsi="Arial" w:cs="Arial"/>
          <w:sz w:val="24"/>
          <w:szCs w:val="24"/>
        </w:rPr>
        <w:t xml:space="preserve"> Nitric Oxide estimation kit by </w:t>
      </w:r>
      <w:proofErr w:type="spellStart"/>
      <w:r w:rsidR="005E1F53" w:rsidRPr="00F67B20">
        <w:rPr>
          <w:rFonts w:ascii="Arial" w:hAnsi="Arial" w:cs="Arial"/>
          <w:sz w:val="24"/>
          <w:szCs w:val="24"/>
        </w:rPr>
        <w:t>Himedia</w:t>
      </w:r>
      <w:proofErr w:type="spellEnd"/>
      <w:r w:rsidR="00170D93" w:rsidRPr="00F67B20">
        <w:rPr>
          <w:rFonts w:ascii="Arial" w:hAnsi="Arial" w:cs="Arial"/>
          <w:sz w:val="24"/>
          <w:szCs w:val="24"/>
        </w:rPr>
        <w:t xml:space="preserve"> </w:t>
      </w:r>
      <w:r w:rsidR="00DB2908" w:rsidRPr="00F67B20">
        <w:rPr>
          <w:rFonts w:ascii="Arial" w:hAnsi="Arial" w:cs="Arial"/>
          <w:sz w:val="24"/>
          <w:szCs w:val="24"/>
        </w:rPr>
        <w:t>Laboratories</w:t>
      </w:r>
      <w:r w:rsidR="00170D93" w:rsidRPr="00F67B20">
        <w:rPr>
          <w:rFonts w:ascii="Arial" w:hAnsi="Arial" w:cs="Arial"/>
          <w:sz w:val="24"/>
          <w:szCs w:val="24"/>
        </w:rPr>
        <w:t xml:space="preserve"> </w:t>
      </w:r>
      <w:r w:rsidR="005E1F53" w:rsidRPr="00F67B20">
        <w:rPr>
          <w:rFonts w:ascii="Arial" w:hAnsi="Arial" w:cs="Arial"/>
          <w:sz w:val="24"/>
          <w:szCs w:val="24"/>
        </w:rPr>
        <w:t>India</w:t>
      </w:r>
      <w:r w:rsidR="008702D3" w:rsidRPr="00F67B20">
        <w:rPr>
          <w:rFonts w:ascii="Arial" w:hAnsi="Arial" w:cs="Arial"/>
          <w:sz w:val="24"/>
          <w:szCs w:val="24"/>
        </w:rPr>
        <w:t>,</w:t>
      </w:r>
      <w:r w:rsidR="005E1F53" w:rsidRPr="00F67B20">
        <w:rPr>
          <w:rFonts w:ascii="Arial" w:hAnsi="Arial" w:cs="Arial"/>
          <w:sz w:val="24"/>
          <w:szCs w:val="24"/>
        </w:rPr>
        <w:t xml:space="preserve"> and </w:t>
      </w:r>
      <w:r w:rsidR="00460677" w:rsidRPr="00F67B20">
        <w:rPr>
          <w:rFonts w:ascii="Arial" w:hAnsi="Arial" w:cs="Arial"/>
          <w:sz w:val="24"/>
          <w:szCs w:val="24"/>
        </w:rPr>
        <w:t>the Nitrite</w:t>
      </w:r>
      <w:r w:rsidR="00EB1EF1" w:rsidRPr="00F67B20">
        <w:rPr>
          <w:rFonts w:ascii="Arial" w:hAnsi="Arial" w:cs="Arial"/>
          <w:sz w:val="24"/>
          <w:szCs w:val="24"/>
        </w:rPr>
        <w:t xml:space="preserve"> levels </w:t>
      </w:r>
      <w:r w:rsidR="005E1F53" w:rsidRPr="00F67B20">
        <w:rPr>
          <w:rFonts w:ascii="Arial" w:hAnsi="Arial" w:cs="Arial"/>
          <w:sz w:val="24"/>
          <w:szCs w:val="24"/>
        </w:rPr>
        <w:t xml:space="preserve">(µM concentration) </w:t>
      </w:r>
      <w:r w:rsidR="00DB2908" w:rsidRPr="00F67B20">
        <w:rPr>
          <w:rFonts w:ascii="Arial" w:hAnsi="Arial" w:cs="Arial"/>
          <w:sz w:val="24"/>
          <w:szCs w:val="24"/>
        </w:rPr>
        <w:t>were</w:t>
      </w:r>
      <w:r w:rsidR="005E1F53" w:rsidRPr="00F67B20">
        <w:rPr>
          <w:rFonts w:ascii="Arial" w:hAnsi="Arial" w:cs="Arial"/>
          <w:sz w:val="24"/>
          <w:szCs w:val="24"/>
        </w:rPr>
        <w:t xml:space="preserve"> generated from </w:t>
      </w:r>
      <w:r w:rsidR="00EE61A1" w:rsidRPr="00F67B20">
        <w:rPr>
          <w:rFonts w:ascii="Arial" w:hAnsi="Arial" w:cs="Arial"/>
          <w:sz w:val="24"/>
          <w:szCs w:val="24"/>
        </w:rPr>
        <w:t xml:space="preserve">a </w:t>
      </w:r>
      <w:r w:rsidR="005E1F53" w:rsidRPr="00F67B20">
        <w:rPr>
          <w:rFonts w:ascii="Arial" w:hAnsi="Arial" w:cs="Arial"/>
          <w:sz w:val="24"/>
          <w:szCs w:val="24"/>
        </w:rPr>
        <w:t>standard curve calibration.</w:t>
      </w:r>
    </w:p>
    <w:p w14:paraId="1A28FB1F" w14:textId="77777777" w:rsidR="00BA57F2" w:rsidRPr="00F67B20" w:rsidRDefault="00BA57F2" w:rsidP="00F67B20">
      <w:pPr>
        <w:spacing w:after="24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161BB727" w14:textId="77777777" w:rsidR="00BA57F2" w:rsidRPr="00F67B20" w:rsidRDefault="00BA57F2" w:rsidP="00F67B20">
      <w:pPr>
        <w:spacing w:after="24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787B2DD8" w14:textId="77777777" w:rsidR="00170D93" w:rsidRPr="00F67B20" w:rsidRDefault="00170D93" w:rsidP="00F67B20">
      <w:pPr>
        <w:spacing w:after="24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0FBE9AA9" w14:textId="185A9B2E" w:rsidR="00D70956" w:rsidRPr="00F67B20" w:rsidRDefault="00871218" w:rsidP="00F67B20">
      <w:pPr>
        <w:spacing w:after="24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 xml:space="preserve">2.6 </w:t>
      </w:r>
      <w:r w:rsidR="00D70956" w:rsidRPr="00F67B20">
        <w:rPr>
          <w:rFonts w:ascii="Arial" w:hAnsi="Arial" w:cs="Arial"/>
          <w:b/>
          <w:bCs/>
          <w:sz w:val="24"/>
          <w:szCs w:val="24"/>
        </w:rPr>
        <w:t xml:space="preserve">Statistical </w:t>
      </w:r>
      <w:r w:rsidR="001209AC">
        <w:rPr>
          <w:rFonts w:ascii="Arial" w:hAnsi="Arial" w:cs="Arial"/>
          <w:b/>
          <w:bCs/>
          <w:sz w:val="24"/>
          <w:szCs w:val="24"/>
        </w:rPr>
        <w:t>A</w:t>
      </w:r>
      <w:r w:rsidR="00D70956" w:rsidRPr="00F67B20">
        <w:rPr>
          <w:rFonts w:ascii="Arial" w:hAnsi="Arial" w:cs="Arial"/>
          <w:b/>
          <w:bCs/>
          <w:sz w:val="24"/>
          <w:szCs w:val="24"/>
        </w:rPr>
        <w:t>nalysis:</w:t>
      </w:r>
    </w:p>
    <w:p w14:paraId="1E3FF739" w14:textId="77777777" w:rsidR="00D70956" w:rsidRPr="00F67B20" w:rsidRDefault="000A5DCA" w:rsidP="00F67B20">
      <w:pPr>
        <w:spacing w:after="24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en-IN"/>
        </w:rPr>
      </w:pPr>
      <w:r w:rsidRPr="00F67B20">
        <w:rPr>
          <w:rFonts w:ascii="Arial" w:hAnsi="Arial" w:cs="Arial"/>
          <w:sz w:val="24"/>
          <w:szCs w:val="24"/>
        </w:rPr>
        <w:t>Data analys</w:t>
      </w:r>
      <w:r w:rsidR="00C77120" w:rsidRPr="00F67B20">
        <w:rPr>
          <w:rFonts w:ascii="Arial" w:hAnsi="Arial" w:cs="Arial"/>
          <w:sz w:val="24"/>
          <w:szCs w:val="24"/>
        </w:rPr>
        <w:t xml:space="preserve">is was done </w:t>
      </w:r>
      <w:r w:rsidR="00D70956" w:rsidRPr="00F67B20">
        <w:rPr>
          <w:rFonts w:ascii="Arial" w:hAnsi="Arial" w:cs="Arial"/>
          <w:sz w:val="24"/>
          <w:szCs w:val="24"/>
        </w:rPr>
        <w:t xml:space="preserve">using Mean ± SD and </w:t>
      </w:r>
      <w:r w:rsidR="00896859" w:rsidRPr="00F67B20">
        <w:rPr>
          <w:rFonts w:ascii="Arial" w:hAnsi="Arial" w:cs="Arial"/>
          <w:sz w:val="24"/>
          <w:szCs w:val="24"/>
        </w:rPr>
        <w:t>One-way</w:t>
      </w:r>
      <w:r w:rsidR="00D70956" w:rsidRPr="00F67B20">
        <w:rPr>
          <w:rFonts w:ascii="Arial" w:hAnsi="Arial" w:cs="Arial"/>
          <w:sz w:val="24"/>
          <w:szCs w:val="24"/>
        </w:rPr>
        <w:t xml:space="preserve"> ANOVA in GraphPad Prism software 10.0.</w:t>
      </w:r>
    </w:p>
    <w:p w14:paraId="16FC1788" w14:textId="044C3214" w:rsidR="0093699B" w:rsidRPr="00F67B20" w:rsidRDefault="00871218" w:rsidP="00F67B20">
      <w:pPr>
        <w:spacing w:line="240" w:lineRule="auto"/>
        <w:jc w:val="both"/>
        <w:rPr>
          <w:rFonts w:ascii="Arial" w:eastAsia="Times New Roman" w:hAnsi="Arial" w:cs="Arial"/>
          <w:b/>
          <w:kern w:val="0"/>
          <w:sz w:val="24"/>
          <w:szCs w:val="24"/>
          <w:lang w:eastAsia="en-IN"/>
        </w:rPr>
      </w:pPr>
      <w:r>
        <w:rPr>
          <w:rFonts w:ascii="Arial" w:eastAsia="Times New Roman" w:hAnsi="Arial" w:cs="Arial"/>
          <w:b/>
          <w:kern w:val="0"/>
          <w:sz w:val="24"/>
          <w:szCs w:val="24"/>
          <w:lang w:eastAsia="en-IN"/>
        </w:rPr>
        <w:t xml:space="preserve">3. </w:t>
      </w:r>
      <w:r w:rsidR="001D326A" w:rsidRPr="00F67B20">
        <w:rPr>
          <w:rFonts w:ascii="Arial" w:eastAsia="Times New Roman" w:hAnsi="Arial" w:cs="Arial"/>
          <w:b/>
          <w:kern w:val="0"/>
          <w:sz w:val="24"/>
          <w:szCs w:val="24"/>
          <w:lang w:eastAsia="en-IN"/>
        </w:rPr>
        <w:t>RESULTS &amp; DISCUSSION</w:t>
      </w:r>
    </w:p>
    <w:p w14:paraId="601F7D5E" w14:textId="414DE71C" w:rsidR="00CA71C7" w:rsidRPr="00F67B20" w:rsidRDefault="001209AC" w:rsidP="00F67B20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3.1 </w:t>
      </w:r>
      <w:r w:rsidR="009D0539" w:rsidRPr="00F67B20">
        <w:rPr>
          <w:rFonts w:ascii="Arial" w:hAnsi="Arial" w:cs="Arial"/>
          <w:b/>
          <w:bCs/>
          <w:sz w:val="24"/>
          <w:szCs w:val="24"/>
        </w:rPr>
        <w:t>Determination of MIC and MB</w:t>
      </w:r>
      <w:r w:rsidR="00421BB7" w:rsidRPr="00F67B20">
        <w:rPr>
          <w:rFonts w:ascii="Arial" w:hAnsi="Arial" w:cs="Arial"/>
          <w:b/>
          <w:bCs/>
          <w:sz w:val="24"/>
          <w:szCs w:val="24"/>
        </w:rPr>
        <w:t>C</w:t>
      </w:r>
    </w:p>
    <w:p w14:paraId="33196B7F" w14:textId="4F507B28" w:rsidR="00FC5D12" w:rsidRPr="00F67B20" w:rsidRDefault="0079345D" w:rsidP="00F67B20">
      <w:pPr>
        <w:spacing w:line="240" w:lineRule="auto"/>
        <w:jc w:val="both"/>
        <w:rPr>
          <w:rFonts w:ascii="Arial" w:eastAsia="Times New Roman" w:hAnsi="Arial" w:cs="Arial"/>
          <w:b/>
          <w:bCs/>
          <w:kern w:val="0"/>
          <w:sz w:val="24"/>
          <w:szCs w:val="24"/>
          <w:lang w:eastAsia="en-IN"/>
        </w:rPr>
      </w:pPr>
      <w:r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The OD values obtained corresponding to the concentrations used in the experiment by the </w:t>
      </w:r>
      <w:r w:rsidR="009D0539" w:rsidRPr="00F67B20">
        <w:rPr>
          <w:rFonts w:ascii="Arial" w:hAnsi="Arial" w:cs="Arial"/>
          <w:bCs/>
          <w:iCs/>
          <w:sz w:val="24"/>
          <w:szCs w:val="24"/>
        </w:rPr>
        <w:t xml:space="preserve">Optical density </w:t>
      </w:r>
      <w:r w:rsidR="00896859" w:rsidRPr="00F67B20">
        <w:rPr>
          <w:rFonts w:ascii="Arial" w:hAnsi="Arial" w:cs="Arial"/>
          <w:bCs/>
          <w:iCs/>
          <w:sz w:val="24"/>
          <w:szCs w:val="24"/>
        </w:rPr>
        <w:t>method are</w:t>
      </w:r>
      <w:r w:rsidR="009D0539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 depicted in Table 1. The results show a considerable decrease in bacterial growth at a concentration of 40 µ</w:t>
      </w:r>
      <w:r w:rsidR="000D483A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>L</w:t>
      </w:r>
      <w:r w:rsidR="009D0539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>/m</w:t>
      </w:r>
      <w:r w:rsidR="000D483A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>L</w:t>
      </w:r>
      <w:r w:rsidR="005F5DC2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>,</w:t>
      </w:r>
      <w:r w:rsidR="009D0539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 which was considered to be the MIC value</w:t>
      </w:r>
      <w:r w:rsidR="004249EE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>.</w:t>
      </w:r>
      <w:r w:rsidR="005F5DC2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 </w:t>
      </w:r>
      <w:r w:rsidR="004249EE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>At</w:t>
      </w:r>
      <w:r w:rsidR="009D0539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 4 times the MIC concentration of 160 µ</w:t>
      </w:r>
      <w:r w:rsidR="000D483A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>L</w:t>
      </w:r>
      <w:r w:rsidR="009D0539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>/m</w:t>
      </w:r>
      <w:r w:rsidR="000D483A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>L</w:t>
      </w:r>
      <w:r w:rsidR="009D0539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>, the corresponding OD value was reduced to zero</w:t>
      </w:r>
      <w:r w:rsidR="00487E18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>,</w:t>
      </w:r>
      <w:r w:rsidR="009D0539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 indicating </w:t>
      </w:r>
      <w:r w:rsidR="004249EE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>nil</w:t>
      </w:r>
      <w:r w:rsidR="009D0539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 growth, and hence was considered the MBC value</w:t>
      </w:r>
      <w:r w:rsidR="00E26B16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>.</w:t>
      </w:r>
      <w:r w:rsidR="00F07F82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 Against ESBL</w:t>
      </w:r>
      <w:r w:rsidR="005F5DC2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>,</w:t>
      </w:r>
      <w:r w:rsidR="00F07F82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 however</w:t>
      </w:r>
      <w:r w:rsidR="005F5DC2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>,</w:t>
      </w:r>
      <w:r w:rsidR="00F07F82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 the MIC was obtained at a concentration of 80 µL/mL</w:t>
      </w:r>
      <w:r w:rsidR="005F5DC2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, and the corresponding MBC </w:t>
      </w:r>
      <w:r w:rsidR="003B05BF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>value was obtained at a concentration of 320 µL/</w:t>
      </w:r>
      <w:proofErr w:type="spellStart"/>
      <w:r w:rsidR="003B05BF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>mL.</w:t>
      </w:r>
      <w:proofErr w:type="spellEnd"/>
    </w:p>
    <w:p w14:paraId="4D1A652A" w14:textId="327A28FE" w:rsidR="009D0539" w:rsidRPr="00F67B20" w:rsidRDefault="00F40C09" w:rsidP="00F67B20">
      <w:pPr>
        <w:spacing w:line="240" w:lineRule="auto"/>
        <w:jc w:val="center"/>
        <w:rPr>
          <w:rFonts w:ascii="Arial" w:hAnsi="Arial" w:cs="Arial"/>
          <w:b/>
          <w:bCs/>
          <w:iCs/>
          <w:sz w:val="24"/>
          <w:szCs w:val="24"/>
        </w:rPr>
      </w:pPr>
      <w:bookmarkStart w:id="0" w:name="_Hlk161829025"/>
      <w:r w:rsidRPr="00F67B20">
        <w:rPr>
          <w:rFonts w:ascii="Arial" w:hAnsi="Arial" w:cs="Arial"/>
          <w:b/>
          <w:bCs/>
          <w:iCs/>
          <w:sz w:val="24"/>
          <w:szCs w:val="24"/>
        </w:rPr>
        <w:t>T</w:t>
      </w:r>
      <w:r w:rsidR="00FC5D12" w:rsidRPr="00F67B20">
        <w:rPr>
          <w:rFonts w:ascii="Arial" w:hAnsi="Arial" w:cs="Arial"/>
          <w:b/>
          <w:bCs/>
          <w:iCs/>
          <w:sz w:val="24"/>
          <w:szCs w:val="24"/>
        </w:rPr>
        <w:t xml:space="preserve">able 1: </w:t>
      </w:r>
      <w:r w:rsidR="009D0539" w:rsidRPr="00F67B20">
        <w:rPr>
          <w:rFonts w:ascii="Arial" w:hAnsi="Arial" w:cs="Arial"/>
          <w:b/>
          <w:bCs/>
          <w:iCs/>
          <w:sz w:val="24"/>
          <w:szCs w:val="24"/>
        </w:rPr>
        <w:t>MIC calculation against MRSA and ESBL</w:t>
      </w:r>
    </w:p>
    <w:tbl>
      <w:tblPr>
        <w:tblStyle w:val="TableGrid"/>
        <w:tblW w:w="9356" w:type="dxa"/>
        <w:tblInd w:w="108" w:type="dxa"/>
        <w:tblLook w:val="04A0" w:firstRow="1" w:lastRow="0" w:firstColumn="1" w:lastColumn="0" w:noHBand="0" w:noVBand="1"/>
      </w:tblPr>
      <w:tblGrid>
        <w:gridCol w:w="1843"/>
        <w:gridCol w:w="1886"/>
        <w:gridCol w:w="1901"/>
        <w:gridCol w:w="1930"/>
        <w:gridCol w:w="1796"/>
      </w:tblGrid>
      <w:tr w:rsidR="00BA57F2" w:rsidRPr="00F67B20" w14:paraId="26AFA211" w14:textId="77777777" w:rsidTr="00EC3864">
        <w:trPr>
          <w:trHeight w:val="824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7EB9B" w14:textId="77777777" w:rsidR="009D0539" w:rsidRPr="00F67B20" w:rsidRDefault="009D0539" w:rsidP="00F67B20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F67B20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Concentration (µL/m</w:t>
            </w:r>
            <w:r w:rsidR="00B515F9" w:rsidRPr="00F67B20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L</w:t>
            </w:r>
            <w:r w:rsidRPr="00F67B20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)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649A4" w14:textId="77777777" w:rsidR="009D0539" w:rsidRPr="00F67B20" w:rsidRDefault="009D0539" w:rsidP="00F67B20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F67B20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MIC</w:t>
            </w:r>
          </w:p>
          <w:p w14:paraId="6543D21F" w14:textId="77777777" w:rsidR="009D0539" w:rsidRPr="00F67B20" w:rsidRDefault="009D0539" w:rsidP="00F67B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F67B20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MRSA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0DC48" w14:textId="77777777" w:rsidR="009D0539" w:rsidRPr="00F67B20" w:rsidRDefault="009D0539" w:rsidP="00F67B20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F67B20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MBC</w:t>
            </w:r>
          </w:p>
          <w:p w14:paraId="4E6F9B02" w14:textId="77777777" w:rsidR="009D0539" w:rsidRPr="00F67B20" w:rsidRDefault="009D0539" w:rsidP="00F67B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F67B20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MRSA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A8873" w14:textId="77777777" w:rsidR="009D0539" w:rsidRPr="00F67B20" w:rsidRDefault="009D0539" w:rsidP="00F67B20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F67B20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MIC</w:t>
            </w:r>
          </w:p>
          <w:p w14:paraId="05716CC3" w14:textId="77777777" w:rsidR="009D0539" w:rsidRPr="00F67B20" w:rsidRDefault="009D0539" w:rsidP="00F67B20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F67B20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ESBL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6252B" w14:textId="77777777" w:rsidR="009D0539" w:rsidRPr="00F67B20" w:rsidRDefault="009D0539" w:rsidP="00F67B20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F67B20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MBC</w:t>
            </w:r>
          </w:p>
          <w:p w14:paraId="48ACC287" w14:textId="77777777" w:rsidR="009D0539" w:rsidRPr="00F67B20" w:rsidRDefault="009D0539" w:rsidP="00F67B20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F67B20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ESBL</w:t>
            </w:r>
          </w:p>
        </w:tc>
      </w:tr>
      <w:tr w:rsidR="00BA57F2" w:rsidRPr="00F67B20" w14:paraId="7F39C401" w14:textId="77777777" w:rsidTr="00EC3864">
        <w:trPr>
          <w:trHeight w:val="324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924AB" w14:textId="77777777" w:rsidR="009D0539" w:rsidRPr="00F67B20" w:rsidRDefault="009D0539" w:rsidP="00F67B20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F67B20">
              <w:rPr>
                <w:rFonts w:ascii="Arial" w:hAnsi="Arial" w:cs="Arial"/>
                <w:sz w:val="24"/>
                <w:szCs w:val="24"/>
              </w:rPr>
              <w:t>1.25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07A55" w14:textId="77777777" w:rsidR="009D0539" w:rsidRPr="00F67B20" w:rsidRDefault="009D0539" w:rsidP="00F67B20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F67B20">
              <w:rPr>
                <w:rFonts w:ascii="Arial" w:hAnsi="Arial" w:cs="Arial"/>
                <w:bCs/>
                <w:sz w:val="24"/>
                <w:szCs w:val="24"/>
              </w:rPr>
              <w:t>+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1C9EC" w14:textId="77777777" w:rsidR="009D0539" w:rsidRPr="00F67B20" w:rsidRDefault="009D0539" w:rsidP="00F67B20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F67B20">
              <w:rPr>
                <w:rFonts w:ascii="Arial" w:hAnsi="Arial" w:cs="Arial"/>
                <w:bCs/>
                <w:sz w:val="24"/>
                <w:szCs w:val="24"/>
              </w:rPr>
              <w:t>+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C41AA" w14:textId="77777777" w:rsidR="009D0539" w:rsidRPr="00F67B20" w:rsidRDefault="009D0539" w:rsidP="00F67B20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F67B20">
              <w:rPr>
                <w:rFonts w:ascii="Arial" w:hAnsi="Arial" w:cs="Arial"/>
                <w:bCs/>
                <w:iCs/>
                <w:sz w:val="24"/>
                <w:szCs w:val="24"/>
              </w:rPr>
              <w:t>+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01C49" w14:textId="77777777" w:rsidR="009D0539" w:rsidRPr="00F67B20" w:rsidRDefault="009D0539" w:rsidP="00F67B20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F67B20">
              <w:rPr>
                <w:rFonts w:ascii="Arial" w:hAnsi="Arial" w:cs="Arial"/>
                <w:bCs/>
                <w:iCs/>
                <w:sz w:val="24"/>
                <w:szCs w:val="24"/>
              </w:rPr>
              <w:t>+</w:t>
            </w:r>
          </w:p>
        </w:tc>
      </w:tr>
      <w:tr w:rsidR="00BA57F2" w:rsidRPr="00F67B20" w14:paraId="64BBFE42" w14:textId="77777777" w:rsidTr="00EC3864">
        <w:trPr>
          <w:trHeight w:val="309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15000" w14:textId="77777777" w:rsidR="009D0539" w:rsidRPr="00F67B20" w:rsidRDefault="009D0539" w:rsidP="00F67B20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F67B20">
              <w:rPr>
                <w:rFonts w:ascii="Arial" w:hAnsi="Arial" w:cs="Arial"/>
                <w:bCs/>
                <w:iCs/>
                <w:sz w:val="24"/>
                <w:szCs w:val="24"/>
              </w:rPr>
              <w:t>2.5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6FC20" w14:textId="77777777" w:rsidR="009D0539" w:rsidRPr="00F67B20" w:rsidRDefault="009D0539" w:rsidP="00F67B20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F67B20">
              <w:rPr>
                <w:rFonts w:ascii="Arial" w:hAnsi="Arial" w:cs="Arial"/>
                <w:bCs/>
                <w:sz w:val="24"/>
                <w:szCs w:val="24"/>
              </w:rPr>
              <w:t>+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30F39" w14:textId="77777777" w:rsidR="009D0539" w:rsidRPr="00F67B20" w:rsidRDefault="009D0539" w:rsidP="00F67B20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F67B20">
              <w:rPr>
                <w:rFonts w:ascii="Arial" w:hAnsi="Arial" w:cs="Arial"/>
                <w:bCs/>
                <w:sz w:val="24"/>
                <w:szCs w:val="24"/>
              </w:rPr>
              <w:t>+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BCF01" w14:textId="77777777" w:rsidR="009D0539" w:rsidRPr="00F67B20" w:rsidRDefault="009D0539" w:rsidP="00F67B20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F67B20">
              <w:rPr>
                <w:rFonts w:ascii="Arial" w:hAnsi="Arial" w:cs="Arial"/>
                <w:bCs/>
                <w:iCs/>
                <w:sz w:val="24"/>
                <w:szCs w:val="24"/>
              </w:rPr>
              <w:t>+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13645" w14:textId="77777777" w:rsidR="009D0539" w:rsidRPr="00F67B20" w:rsidRDefault="009D0539" w:rsidP="00F67B20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F67B20">
              <w:rPr>
                <w:rFonts w:ascii="Arial" w:hAnsi="Arial" w:cs="Arial"/>
                <w:bCs/>
                <w:iCs/>
                <w:sz w:val="24"/>
                <w:szCs w:val="24"/>
              </w:rPr>
              <w:t>+</w:t>
            </w:r>
          </w:p>
        </w:tc>
      </w:tr>
      <w:tr w:rsidR="00BA57F2" w:rsidRPr="00F67B20" w14:paraId="1C6F616D" w14:textId="77777777" w:rsidTr="00EC3864">
        <w:trPr>
          <w:trHeight w:val="324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61A4C" w14:textId="77777777" w:rsidR="009D0539" w:rsidRPr="00F67B20" w:rsidRDefault="009D0539" w:rsidP="00F67B20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F67B20">
              <w:rPr>
                <w:rFonts w:ascii="Arial" w:hAnsi="Arial" w:cs="Arial"/>
                <w:bCs/>
                <w:iCs/>
                <w:sz w:val="24"/>
                <w:szCs w:val="24"/>
              </w:rPr>
              <w:t>5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B93CD" w14:textId="77777777" w:rsidR="009D0539" w:rsidRPr="00F67B20" w:rsidRDefault="009D0539" w:rsidP="00F67B20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F67B20">
              <w:rPr>
                <w:rFonts w:ascii="Arial" w:hAnsi="Arial" w:cs="Arial"/>
                <w:bCs/>
                <w:sz w:val="24"/>
                <w:szCs w:val="24"/>
              </w:rPr>
              <w:t>+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1F02D" w14:textId="77777777" w:rsidR="009D0539" w:rsidRPr="00F67B20" w:rsidRDefault="009D0539" w:rsidP="00F67B20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F67B20">
              <w:rPr>
                <w:rFonts w:ascii="Arial" w:hAnsi="Arial" w:cs="Arial"/>
                <w:bCs/>
                <w:sz w:val="24"/>
                <w:szCs w:val="24"/>
              </w:rPr>
              <w:t>+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79383" w14:textId="77777777" w:rsidR="009D0539" w:rsidRPr="00F67B20" w:rsidRDefault="009D0539" w:rsidP="00F67B20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F67B20">
              <w:rPr>
                <w:rFonts w:ascii="Arial" w:hAnsi="Arial" w:cs="Arial"/>
                <w:bCs/>
                <w:iCs/>
                <w:sz w:val="24"/>
                <w:szCs w:val="24"/>
              </w:rPr>
              <w:t>+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2E606" w14:textId="77777777" w:rsidR="009D0539" w:rsidRPr="00F67B20" w:rsidRDefault="009D0539" w:rsidP="00F67B20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F67B20">
              <w:rPr>
                <w:rFonts w:ascii="Arial" w:hAnsi="Arial" w:cs="Arial"/>
                <w:bCs/>
                <w:iCs/>
                <w:sz w:val="24"/>
                <w:szCs w:val="24"/>
              </w:rPr>
              <w:t>+</w:t>
            </w:r>
          </w:p>
        </w:tc>
      </w:tr>
      <w:tr w:rsidR="00BA57F2" w:rsidRPr="00F67B20" w14:paraId="6CAD1EBC" w14:textId="77777777" w:rsidTr="00EC3864">
        <w:trPr>
          <w:trHeight w:val="324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965FD" w14:textId="77777777" w:rsidR="009D0539" w:rsidRPr="00F67B20" w:rsidRDefault="009D0539" w:rsidP="00F67B20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F67B20">
              <w:rPr>
                <w:rFonts w:ascii="Arial" w:hAnsi="Arial" w:cs="Arial"/>
                <w:bCs/>
                <w:iCs/>
                <w:sz w:val="24"/>
                <w:szCs w:val="24"/>
              </w:rPr>
              <w:t>10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AA17B" w14:textId="77777777" w:rsidR="009D0539" w:rsidRPr="00F67B20" w:rsidRDefault="009D0539" w:rsidP="00F67B20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F67B20">
              <w:rPr>
                <w:rFonts w:ascii="Arial" w:hAnsi="Arial" w:cs="Arial"/>
                <w:bCs/>
                <w:sz w:val="24"/>
                <w:szCs w:val="24"/>
              </w:rPr>
              <w:t>+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1CE37" w14:textId="77777777" w:rsidR="009D0539" w:rsidRPr="00F67B20" w:rsidRDefault="009D0539" w:rsidP="00F67B20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F67B20">
              <w:rPr>
                <w:rFonts w:ascii="Arial" w:hAnsi="Arial" w:cs="Arial"/>
                <w:bCs/>
                <w:sz w:val="24"/>
                <w:szCs w:val="24"/>
              </w:rPr>
              <w:t>+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0E85A" w14:textId="77777777" w:rsidR="009D0539" w:rsidRPr="00F67B20" w:rsidRDefault="009D0539" w:rsidP="00F67B20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F67B20">
              <w:rPr>
                <w:rFonts w:ascii="Arial" w:hAnsi="Arial" w:cs="Arial"/>
                <w:bCs/>
                <w:iCs/>
                <w:sz w:val="24"/>
                <w:szCs w:val="24"/>
              </w:rPr>
              <w:t>+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8C66" w14:textId="77777777" w:rsidR="009D0539" w:rsidRPr="00F67B20" w:rsidRDefault="009D0539" w:rsidP="00F67B20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F67B20">
              <w:rPr>
                <w:rFonts w:ascii="Arial" w:hAnsi="Arial" w:cs="Arial"/>
                <w:bCs/>
                <w:iCs/>
                <w:sz w:val="24"/>
                <w:szCs w:val="24"/>
              </w:rPr>
              <w:t>+</w:t>
            </w:r>
          </w:p>
        </w:tc>
      </w:tr>
      <w:tr w:rsidR="00BA57F2" w:rsidRPr="00F67B20" w14:paraId="1CDED5A0" w14:textId="77777777" w:rsidTr="00EC3864">
        <w:trPr>
          <w:trHeight w:val="324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111E6" w14:textId="77777777" w:rsidR="009D0539" w:rsidRPr="00F67B20" w:rsidRDefault="009D0539" w:rsidP="00F67B20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F67B20">
              <w:rPr>
                <w:rFonts w:ascii="Arial" w:hAnsi="Arial" w:cs="Arial"/>
                <w:bCs/>
                <w:iCs/>
                <w:sz w:val="24"/>
                <w:szCs w:val="24"/>
              </w:rPr>
              <w:t>20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88B49" w14:textId="77777777" w:rsidR="009D0539" w:rsidRPr="00F67B20" w:rsidRDefault="009D0539" w:rsidP="00F67B20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F67B20">
              <w:rPr>
                <w:rFonts w:ascii="Arial" w:hAnsi="Arial" w:cs="Arial"/>
                <w:bCs/>
                <w:sz w:val="24"/>
                <w:szCs w:val="24"/>
              </w:rPr>
              <w:t>+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4241E" w14:textId="77777777" w:rsidR="009D0539" w:rsidRPr="00F67B20" w:rsidRDefault="009D0539" w:rsidP="00F67B20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F67B20">
              <w:rPr>
                <w:rFonts w:ascii="Arial" w:hAnsi="Arial" w:cs="Arial"/>
                <w:bCs/>
                <w:sz w:val="24"/>
                <w:szCs w:val="24"/>
              </w:rPr>
              <w:t>+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A805F" w14:textId="77777777" w:rsidR="009D0539" w:rsidRPr="00F67B20" w:rsidRDefault="009D0539" w:rsidP="00F67B20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F67B20">
              <w:rPr>
                <w:rFonts w:ascii="Arial" w:hAnsi="Arial" w:cs="Arial"/>
                <w:bCs/>
                <w:iCs/>
                <w:sz w:val="24"/>
                <w:szCs w:val="24"/>
              </w:rPr>
              <w:t>+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B7E73" w14:textId="77777777" w:rsidR="009D0539" w:rsidRPr="00F67B20" w:rsidRDefault="009D0539" w:rsidP="00F67B20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F67B20">
              <w:rPr>
                <w:rFonts w:ascii="Arial" w:hAnsi="Arial" w:cs="Arial"/>
                <w:bCs/>
                <w:iCs/>
                <w:sz w:val="24"/>
                <w:szCs w:val="24"/>
              </w:rPr>
              <w:t>+</w:t>
            </w:r>
          </w:p>
        </w:tc>
      </w:tr>
      <w:tr w:rsidR="00BA57F2" w:rsidRPr="00F67B20" w14:paraId="1AA0CE52" w14:textId="77777777" w:rsidTr="00EC3864">
        <w:trPr>
          <w:trHeight w:val="324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6186B" w14:textId="77777777" w:rsidR="009D0539" w:rsidRPr="00F67B20" w:rsidRDefault="009D0539" w:rsidP="00F67B20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F67B20">
              <w:rPr>
                <w:rFonts w:ascii="Arial" w:hAnsi="Arial" w:cs="Arial"/>
                <w:bCs/>
                <w:iCs/>
                <w:sz w:val="24"/>
                <w:szCs w:val="24"/>
              </w:rPr>
              <w:t>40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38AAE" w14:textId="77777777" w:rsidR="009D0539" w:rsidRPr="00F67B20" w:rsidRDefault="009D0539" w:rsidP="00F67B20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F67B20">
              <w:rPr>
                <w:rFonts w:ascii="Arial" w:hAnsi="Arial" w:cs="Arial"/>
                <w:bCs/>
                <w:sz w:val="24"/>
                <w:szCs w:val="24"/>
              </w:rPr>
              <w:t>+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BE576" w14:textId="77777777" w:rsidR="009D0539" w:rsidRPr="00F67B20" w:rsidRDefault="009D0539" w:rsidP="00F67B20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F67B20">
              <w:rPr>
                <w:rFonts w:ascii="Arial" w:hAnsi="Arial" w:cs="Arial"/>
                <w:bCs/>
                <w:sz w:val="24"/>
                <w:szCs w:val="24"/>
              </w:rPr>
              <w:t>+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EDF2B" w14:textId="77777777" w:rsidR="009D0539" w:rsidRPr="00F67B20" w:rsidRDefault="009D0539" w:rsidP="00F67B20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F67B20">
              <w:rPr>
                <w:rFonts w:ascii="Arial" w:hAnsi="Arial" w:cs="Arial"/>
                <w:bCs/>
                <w:iCs/>
                <w:sz w:val="24"/>
                <w:szCs w:val="24"/>
              </w:rPr>
              <w:t>+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465C4" w14:textId="77777777" w:rsidR="009D0539" w:rsidRPr="00F67B20" w:rsidRDefault="009D0539" w:rsidP="00F67B20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F67B20">
              <w:rPr>
                <w:rFonts w:ascii="Arial" w:hAnsi="Arial" w:cs="Arial"/>
                <w:bCs/>
                <w:iCs/>
                <w:sz w:val="24"/>
                <w:szCs w:val="24"/>
              </w:rPr>
              <w:t>+</w:t>
            </w:r>
          </w:p>
        </w:tc>
      </w:tr>
      <w:tr w:rsidR="00BA57F2" w:rsidRPr="00F67B20" w14:paraId="57F8EDF3" w14:textId="77777777" w:rsidTr="00EC3864">
        <w:trPr>
          <w:trHeight w:val="324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7E985" w14:textId="77777777" w:rsidR="009D0539" w:rsidRPr="00F67B20" w:rsidRDefault="009D0539" w:rsidP="00F67B20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F67B20">
              <w:rPr>
                <w:rFonts w:ascii="Arial" w:hAnsi="Arial" w:cs="Arial"/>
                <w:bCs/>
                <w:iCs/>
                <w:sz w:val="24"/>
                <w:szCs w:val="24"/>
              </w:rPr>
              <w:t>80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662F6" w14:textId="77777777" w:rsidR="009D0539" w:rsidRPr="00F67B20" w:rsidRDefault="009D0539" w:rsidP="00F67B20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F67B20">
              <w:rPr>
                <w:rFonts w:ascii="Arial" w:hAnsi="Arial" w:cs="Arial"/>
                <w:bCs/>
                <w:iCs/>
                <w:sz w:val="24"/>
                <w:szCs w:val="24"/>
              </w:rPr>
              <w:t>-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F7ACB" w14:textId="77777777" w:rsidR="009D0539" w:rsidRPr="00F67B20" w:rsidRDefault="009D0539" w:rsidP="00F67B20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F67B20">
              <w:rPr>
                <w:rFonts w:ascii="Arial" w:hAnsi="Arial" w:cs="Arial"/>
                <w:bCs/>
                <w:sz w:val="24"/>
                <w:szCs w:val="24"/>
              </w:rPr>
              <w:t>+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6884C" w14:textId="77777777" w:rsidR="009D0539" w:rsidRPr="00F67B20" w:rsidRDefault="009D0539" w:rsidP="00F67B20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F67B20">
              <w:rPr>
                <w:rFonts w:ascii="Arial" w:hAnsi="Arial" w:cs="Arial"/>
                <w:bCs/>
                <w:iCs/>
                <w:sz w:val="24"/>
                <w:szCs w:val="24"/>
              </w:rPr>
              <w:t>+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7C18B" w14:textId="77777777" w:rsidR="009D0539" w:rsidRPr="00F67B20" w:rsidRDefault="009D0539" w:rsidP="00F67B20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F67B20">
              <w:rPr>
                <w:rFonts w:ascii="Arial" w:hAnsi="Arial" w:cs="Arial"/>
                <w:bCs/>
                <w:iCs/>
                <w:sz w:val="24"/>
                <w:szCs w:val="24"/>
              </w:rPr>
              <w:t>+</w:t>
            </w:r>
          </w:p>
        </w:tc>
      </w:tr>
      <w:tr w:rsidR="00BA57F2" w:rsidRPr="00F67B20" w14:paraId="6A2517AB" w14:textId="77777777" w:rsidTr="00EC3864">
        <w:trPr>
          <w:trHeight w:val="309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D783F" w14:textId="77777777" w:rsidR="009D0539" w:rsidRPr="00F67B20" w:rsidRDefault="009D0539" w:rsidP="00F67B20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F67B20">
              <w:rPr>
                <w:rFonts w:ascii="Arial" w:hAnsi="Arial" w:cs="Arial"/>
                <w:bCs/>
                <w:iCs/>
                <w:sz w:val="24"/>
                <w:szCs w:val="24"/>
              </w:rPr>
              <w:t>160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AAAC0" w14:textId="77777777" w:rsidR="009D0539" w:rsidRPr="00F67B20" w:rsidRDefault="009D0539" w:rsidP="00F67B20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F67B20">
              <w:rPr>
                <w:rFonts w:ascii="Arial" w:hAnsi="Arial" w:cs="Arial"/>
                <w:bCs/>
                <w:iCs/>
                <w:sz w:val="24"/>
                <w:szCs w:val="24"/>
              </w:rPr>
              <w:t>-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58BD9" w14:textId="77777777" w:rsidR="009D0539" w:rsidRPr="00F67B20" w:rsidRDefault="009D0539" w:rsidP="00F67B20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F67B20">
              <w:rPr>
                <w:rFonts w:ascii="Arial" w:hAnsi="Arial" w:cs="Arial"/>
                <w:bCs/>
                <w:sz w:val="24"/>
                <w:szCs w:val="24"/>
              </w:rPr>
              <w:t>+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2E6AA" w14:textId="77777777" w:rsidR="009D0539" w:rsidRPr="00F67B20" w:rsidRDefault="009D0539" w:rsidP="00F67B20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F67B20">
              <w:rPr>
                <w:rFonts w:ascii="Arial" w:hAnsi="Arial" w:cs="Arial"/>
                <w:bCs/>
                <w:iCs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7D1B6" w14:textId="77777777" w:rsidR="009D0539" w:rsidRPr="00F67B20" w:rsidRDefault="009D0539" w:rsidP="00F67B20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F67B20">
              <w:rPr>
                <w:rFonts w:ascii="Arial" w:hAnsi="Arial" w:cs="Arial"/>
                <w:bCs/>
                <w:iCs/>
                <w:sz w:val="24"/>
                <w:szCs w:val="24"/>
              </w:rPr>
              <w:t>+</w:t>
            </w:r>
          </w:p>
        </w:tc>
      </w:tr>
      <w:tr w:rsidR="00BA57F2" w:rsidRPr="00F67B20" w14:paraId="5BD8B255" w14:textId="77777777" w:rsidTr="00EC3864">
        <w:trPr>
          <w:trHeight w:val="324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9F22F" w14:textId="77777777" w:rsidR="009D0539" w:rsidRPr="00F67B20" w:rsidRDefault="009D0539" w:rsidP="00F67B20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F67B20">
              <w:rPr>
                <w:rFonts w:ascii="Arial" w:hAnsi="Arial" w:cs="Arial"/>
                <w:bCs/>
                <w:iCs/>
                <w:sz w:val="24"/>
                <w:szCs w:val="24"/>
              </w:rPr>
              <w:t>320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CC09B" w14:textId="77777777" w:rsidR="009D0539" w:rsidRPr="00F67B20" w:rsidRDefault="009D0539" w:rsidP="00F67B20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F67B20">
              <w:rPr>
                <w:rFonts w:ascii="Arial" w:hAnsi="Arial" w:cs="Arial"/>
                <w:bCs/>
                <w:iCs/>
                <w:sz w:val="24"/>
                <w:szCs w:val="24"/>
              </w:rPr>
              <w:t>-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5B161" w14:textId="77777777" w:rsidR="009D0539" w:rsidRPr="00F67B20" w:rsidRDefault="009D0539" w:rsidP="00F67B20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F67B20">
              <w:rPr>
                <w:rFonts w:ascii="Arial" w:hAnsi="Arial" w:cs="Arial"/>
                <w:bCs/>
                <w:iCs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2C37B" w14:textId="77777777" w:rsidR="009D0539" w:rsidRPr="00F67B20" w:rsidRDefault="009D0539" w:rsidP="00F67B20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F67B20">
              <w:rPr>
                <w:rFonts w:ascii="Arial" w:hAnsi="Arial" w:cs="Arial"/>
                <w:bCs/>
                <w:iCs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23F71" w14:textId="77777777" w:rsidR="009D0539" w:rsidRPr="00F67B20" w:rsidRDefault="009D0539" w:rsidP="00F67B20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F67B20">
              <w:rPr>
                <w:rFonts w:ascii="Arial" w:hAnsi="Arial" w:cs="Arial"/>
                <w:bCs/>
                <w:iCs/>
                <w:sz w:val="24"/>
                <w:szCs w:val="24"/>
              </w:rPr>
              <w:t>+</w:t>
            </w:r>
          </w:p>
        </w:tc>
      </w:tr>
      <w:tr w:rsidR="00BA57F2" w:rsidRPr="00F67B20" w14:paraId="06119ECC" w14:textId="77777777" w:rsidTr="00EC3864">
        <w:trPr>
          <w:trHeight w:val="324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E5061" w14:textId="77777777" w:rsidR="009D0539" w:rsidRPr="00F67B20" w:rsidRDefault="009D0539" w:rsidP="00F67B20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F67B20">
              <w:rPr>
                <w:rFonts w:ascii="Arial" w:hAnsi="Arial" w:cs="Arial"/>
                <w:bCs/>
                <w:iCs/>
                <w:sz w:val="24"/>
                <w:szCs w:val="24"/>
              </w:rPr>
              <w:t>640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E697D" w14:textId="77777777" w:rsidR="009D0539" w:rsidRPr="00F67B20" w:rsidRDefault="009D0539" w:rsidP="00F67B20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F67B20">
              <w:rPr>
                <w:rFonts w:ascii="Arial" w:hAnsi="Arial" w:cs="Arial"/>
                <w:bCs/>
                <w:iCs/>
                <w:sz w:val="24"/>
                <w:szCs w:val="24"/>
              </w:rPr>
              <w:t>-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1A87D" w14:textId="77777777" w:rsidR="009D0539" w:rsidRPr="00F67B20" w:rsidRDefault="009D0539" w:rsidP="00F67B20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F67B20">
              <w:rPr>
                <w:rFonts w:ascii="Arial" w:hAnsi="Arial" w:cs="Arial"/>
                <w:bCs/>
                <w:iCs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9B992" w14:textId="77777777" w:rsidR="009D0539" w:rsidRPr="00F67B20" w:rsidRDefault="009D0539" w:rsidP="00F67B20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F67B20">
              <w:rPr>
                <w:rFonts w:ascii="Arial" w:hAnsi="Arial" w:cs="Arial"/>
                <w:bCs/>
                <w:iCs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1010A" w14:textId="77777777" w:rsidR="009D0539" w:rsidRPr="00F67B20" w:rsidRDefault="009D0539" w:rsidP="00F67B20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F67B20">
              <w:rPr>
                <w:rFonts w:ascii="Arial" w:hAnsi="Arial" w:cs="Arial"/>
                <w:bCs/>
                <w:iCs/>
                <w:sz w:val="24"/>
                <w:szCs w:val="24"/>
              </w:rPr>
              <w:t>-</w:t>
            </w:r>
          </w:p>
        </w:tc>
      </w:tr>
    </w:tbl>
    <w:bookmarkEnd w:id="0"/>
    <w:p w14:paraId="6D05BA7E" w14:textId="77777777" w:rsidR="0079345D" w:rsidRDefault="00AC09BF" w:rsidP="00F67B20">
      <w:pPr>
        <w:spacing w:after="0" w:line="240" w:lineRule="auto"/>
        <w:jc w:val="both"/>
        <w:rPr>
          <w:rFonts w:ascii="Arial" w:hAnsi="Arial" w:cs="Arial"/>
          <w:i/>
          <w:iCs/>
          <w:sz w:val="24"/>
          <w:szCs w:val="24"/>
        </w:rPr>
      </w:pPr>
      <w:r w:rsidRPr="00F67B20">
        <w:rPr>
          <w:rFonts w:ascii="Arial" w:hAnsi="Arial" w:cs="Arial"/>
          <w:sz w:val="24"/>
          <w:szCs w:val="24"/>
        </w:rPr>
        <w:t xml:space="preserve"> </w:t>
      </w:r>
      <w:r w:rsidRPr="00871218">
        <w:rPr>
          <w:rFonts w:ascii="Arial" w:hAnsi="Arial" w:cs="Arial"/>
          <w:i/>
          <w:iCs/>
          <w:sz w:val="24"/>
          <w:szCs w:val="24"/>
        </w:rPr>
        <w:t>+ indicates the presence of bacterial growth and – indicates nil or no growth</w:t>
      </w:r>
    </w:p>
    <w:p w14:paraId="31684952" w14:textId="77777777" w:rsidR="00871218" w:rsidRPr="00871218" w:rsidRDefault="00871218" w:rsidP="00F67B20">
      <w:pPr>
        <w:spacing w:after="0" w:line="240" w:lineRule="auto"/>
        <w:jc w:val="both"/>
        <w:rPr>
          <w:rFonts w:ascii="Arial" w:hAnsi="Arial" w:cs="Arial"/>
          <w:i/>
          <w:iCs/>
          <w:sz w:val="24"/>
          <w:szCs w:val="24"/>
        </w:rPr>
      </w:pPr>
    </w:p>
    <w:p w14:paraId="0FD0716E" w14:textId="7B8BCB23" w:rsidR="00140015" w:rsidRPr="00F67B20" w:rsidRDefault="0079345D" w:rsidP="00F67B2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67B20">
        <w:rPr>
          <w:rFonts w:ascii="Arial" w:eastAsia="Times New Roman" w:hAnsi="Arial" w:cs="Arial"/>
          <w:bCs/>
          <w:iCs/>
          <w:kern w:val="0"/>
          <w:sz w:val="24"/>
          <w:szCs w:val="24"/>
          <w:lang w:eastAsia="en-IN"/>
        </w:rPr>
        <w:t>The results obtained through the m</w:t>
      </w:r>
      <w:r w:rsidR="009D0539" w:rsidRPr="00F67B20">
        <w:rPr>
          <w:rFonts w:ascii="Arial" w:eastAsia="Times New Roman" w:hAnsi="Arial" w:cs="Arial"/>
          <w:bCs/>
          <w:iCs/>
          <w:kern w:val="0"/>
          <w:sz w:val="24"/>
          <w:szCs w:val="24"/>
          <w:lang w:eastAsia="en-IN"/>
        </w:rPr>
        <w:t>athematical analysis method</w:t>
      </w:r>
      <w:r w:rsidRPr="00F67B20">
        <w:rPr>
          <w:rFonts w:ascii="Arial" w:eastAsia="Times New Roman" w:hAnsi="Arial" w:cs="Arial"/>
          <w:bCs/>
          <w:iCs/>
          <w:kern w:val="0"/>
          <w:sz w:val="24"/>
          <w:szCs w:val="24"/>
          <w:lang w:eastAsia="en-IN"/>
        </w:rPr>
        <w:t xml:space="preserve"> are depicted in </w:t>
      </w:r>
      <w:r w:rsidR="009D0539" w:rsidRPr="00F67B20">
        <w:rPr>
          <w:rFonts w:ascii="Arial" w:hAnsi="Arial" w:cs="Arial"/>
          <w:sz w:val="24"/>
          <w:szCs w:val="24"/>
        </w:rPr>
        <w:t>Fig</w:t>
      </w:r>
      <w:r w:rsidR="00000FC5" w:rsidRPr="00F67B20">
        <w:rPr>
          <w:rFonts w:ascii="Arial" w:hAnsi="Arial" w:cs="Arial"/>
          <w:sz w:val="24"/>
          <w:szCs w:val="24"/>
        </w:rPr>
        <w:t>.</w:t>
      </w:r>
      <w:r w:rsidR="007817EC" w:rsidRPr="00F67B20">
        <w:rPr>
          <w:rFonts w:ascii="Arial" w:hAnsi="Arial" w:cs="Arial"/>
          <w:sz w:val="24"/>
          <w:szCs w:val="24"/>
        </w:rPr>
        <w:t>1</w:t>
      </w:r>
      <w:r w:rsidR="00F0765C" w:rsidRPr="00F67B20">
        <w:rPr>
          <w:rFonts w:ascii="Arial" w:hAnsi="Arial" w:cs="Arial"/>
          <w:sz w:val="24"/>
          <w:szCs w:val="24"/>
        </w:rPr>
        <w:t xml:space="preserve"> </w:t>
      </w:r>
      <w:r w:rsidR="009D0539" w:rsidRPr="00F67B20">
        <w:rPr>
          <w:rFonts w:ascii="Arial" w:hAnsi="Arial" w:cs="Arial"/>
          <w:sz w:val="24"/>
          <w:szCs w:val="24"/>
        </w:rPr>
        <w:t>and Fig</w:t>
      </w:r>
      <w:r w:rsidR="00000FC5" w:rsidRPr="00F67B20">
        <w:rPr>
          <w:rFonts w:ascii="Arial" w:hAnsi="Arial" w:cs="Arial"/>
          <w:sz w:val="24"/>
          <w:szCs w:val="24"/>
        </w:rPr>
        <w:t>.</w:t>
      </w:r>
      <w:r w:rsidR="007817EC" w:rsidRPr="00F67B20">
        <w:rPr>
          <w:rFonts w:ascii="Arial" w:hAnsi="Arial" w:cs="Arial"/>
          <w:sz w:val="24"/>
          <w:szCs w:val="24"/>
        </w:rPr>
        <w:t>2</w:t>
      </w:r>
      <w:r w:rsidR="009D0539" w:rsidRPr="00F67B20">
        <w:rPr>
          <w:rFonts w:ascii="Arial" w:hAnsi="Arial" w:cs="Arial"/>
          <w:sz w:val="24"/>
          <w:szCs w:val="24"/>
        </w:rPr>
        <w:t>. It is evident from the figures that</w:t>
      </w:r>
      <w:r w:rsidR="00A2300D" w:rsidRPr="00F67B20">
        <w:rPr>
          <w:rFonts w:ascii="Arial" w:hAnsi="Arial" w:cs="Arial"/>
          <w:sz w:val="24"/>
          <w:szCs w:val="24"/>
        </w:rPr>
        <w:t>,</w:t>
      </w:r>
      <w:r w:rsidR="003739D3" w:rsidRPr="00F67B20">
        <w:rPr>
          <w:rFonts w:ascii="Arial" w:hAnsi="Arial" w:cs="Arial"/>
          <w:sz w:val="24"/>
          <w:szCs w:val="24"/>
        </w:rPr>
        <w:t xml:space="preserve"> </w:t>
      </w:r>
      <w:r w:rsidR="00A2300D" w:rsidRPr="00F67B20">
        <w:rPr>
          <w:rFonts w:ascii="Arial" w:hAnsi="Arial" w:cs="Arial"/>
          <w:sz w:val="24"/>
          <w:szCs w:val="24"/>
        </w:rPr>
        <w:t>comparatively</w:t>
      </w:r>
      <w:r w:rsidRPr="00F67B20">
        <w:rPr>
          <w:rFonts w:ascii="Arial" w:hAnsi="Arial" w:cs="Arial"/>
          <w:sz w:val="24"/>
          <w:szCs w:val="24"/>
        </w:rPr>
        <w:t xml:space="preserve"> inhibitory concentration of NO against ESBL </w:t>
      </w:r>
      <w:r w:rsidR="00070DDC" w:rsidRPr="00F67B20">
        <w:rPr>
          <w:rFonts w:ascii="Arial" w:hAnsi="Arial" w:cs="Arial"/>
          <w:sz w:val="24"/>
          <w:szCs w:val="24"/>
        </w:rPr>
        <w:t>was almost</w:t>
      </w:r>
      <w:r w:rsidR="009D0539" w:rsidRPr="00F67B20">
        <w:rPr>
          <w:rFonts w:ascii="Arial" w:hAnsi="Arial" w:cs="Arial"/>
          <w:sz w:val="24"/>
          <w:szCs w:val="24"/>
        </w:rPr>
        <w:t xml:space="preserve"> twice the MIC obtained against MRSA</w:t>
      </w:r>
      <w:r w:rsidRPr="00F67B20">
        <w:rPr>
          <w:rFonts w:ascii="Arial" w:hAnsi="Arial" w:cs="Arial"/>
          <w:sz w:val="24"/>
          <w:szCs w:val="24"/>
        </w:rPr>
        <w:t>. This finding led to the preliminary conclusion that NO</w:t>
      </w:r>
      <w:r w:rsidR="00034CF2" w:rsidRPr="00F67B20">
        <w:rPr>
          <w:rFonts w:ascii="Arial" w:hAnsi="Arial" w:cs="Arial"/>
          <w:sz w:val="24"/>
          <w:szCs w:val="24"/>
        </w:rPr>
        <w:t xml:space="preserve"> was more effective</w:t>
      </w:r>
      <w:r w:rsidRPr="00F67B20">
        <w:rPr>
          <w:rFonts w:ascii="Arial" w:hAnsi="Arial" w:cs="Arial"/>
          <w:sz w:val="24"/>
          <w:szCs w:val="24"/>
        </w:rPr>
        <w:t xml:space="preserve"> against MRSA than ESBL</w:t>
      </w:r>
      <w:r w:rsidR="00034CF2" w:rsidRPr="00F67B20">
        <w:rPr>
          <w:rFonts w:ascii="Arial" w:hAnsi="Arial" w:cs="Arial"/>
          <w:sz w:val="24"/>
          <w:szCs w:val="24"/>
        </w:rPr>
        <w:t xml:space="preserve"> bacteria</w:t>
      </w:r>
      <w:r w:rsidR="003739D3" w:rsidRPr="00F67B20">
        <w:rPr>
          <w:rFonts w:ascii="Arial" w:hAnsi="Arial" w:cs="Arial"/>
          <w:sz w:val="24"/>
          <w:szCs w:val="24"/>
        </w:rP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7"/>
        <w:gridCol w:w="4703"/>
      </w:tblGrid>
      <w:tr w:rsidR="00BA57F2" w:rsidRPr="00F67B20" w14:paraId="4D0C927B" w14:textId="77777777" w:rsidTr="00170769">
        <w:tc>
          <w:tcPr>
            <w:tcW w:w="4774" w:type="dxa"/>
          </w:tcPr>
          <w:p w14:paraId="4A9C53F7" w14:textId="77777777" w:rsidR="00CC4905" w:rsidRPr="00F67B20" w:rsidRDefault="00CC4905" w:rsidP="00F67B2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67B20">
              <w:rPr>
                <w:rFonts w:ascii="Arial" w:eastAsia="Times New Roman" w:hAnsi="Arial" w:cs="Arial"/>
                <w:noProof/>
                <w:kern w:val="0"/>
                <w:sz w:val="24"/>
                <w:szCs w:val="24"/>
                <w:lang w:val="en-US"/>
              </w:rPr>
              <w:lastRenderedPageBreak/>
              <w:drawing>
                <wp:inline distT="0" distB="0" distL="0" distR="0" wp14:anchorId="0BDD1F94" wp14:editId="3D113A45">
                  <wp:extent cx="2883268" cy="2047875"/>
                  <wp:effectExtent l="0" t="0" r="0" b="0"/>
                  <wp:docPr id="8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07629" cy="20651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02" w:type="dxa"/>
          </w:tcPr>
          <w:p w14:paraId="6A4DFDC0" w14:textId="77777777" w:rsidR="00CC4905" w:rsidRPr="00F67B20" w:rsidRDefault="00CC4905" w:rsidP="00F67B2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67B20">
              <w:rPr>
                <w:rFonts w:ascii="Arial" w:eastAsia="Times New Roman" w:hAnsi="Arial" w:cs="Arial"/>
                <w:noProof/>
                <w:kern w:val="0"/>
                <w:sz w:val="24"/>
                <w:szCs w:val="24"/>
                <w:lang w:val="en-US"/>
              </w:rPr>
              <w:drawing>
                <wp:inline distT="0" distB="0" distL="0" distR="0" wp14:anchorId="58F54A2C" wp14:editId="552B6368">
                  <wp:extent cx="2912278" cy="2047875"/>
                  <wp:effectExtent l="0" t="0" r="0" b="0"/>
                  <wp:docPr id="9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1805" cy="20545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A57F2" w:rsidRPr="00F67B20" w14:paraId="7DF03963" w14:textId="77777777" w:rsidTr="00170769">
        <w:tc>
          <w:tcPr>
            <w:tcW w:w="4774" w:type="dxa"/>
          </w:tcPr>
          <w:p w14:paraId="765C4974" w14:textId="1E9514E1" w:rsidR="00CC4905" w:rsidRPr="00F67B20" w:rsidRDefault="006379C0" w:rsidP="00F67B2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1" w:name="_Hlk193315603"/>
            <w:bookmarkStart w:id="2" w:name="_Hlk193315616"/>
            <w:r w:rsidRPr="00F67B20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IN"/>
              </w:rPr>
              <w:t>Fig</w:t>
            </w:r>
            <w:r w:rsidR="000911CC" w:rsidRPr="00F67B20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IN"/>
              </w:rPr>
              <w:t>.</w:t>
            </w:r>
            <w:r w:rsidR="00CC4905" w:rsidRPr="00F67B20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IN"/>
              </w:rPr>
              <w:t xml:space="preserve"> </w:t>
            </w:r>
            <w:r w:rsidR="007817EC" w:rsidRPr="00F67B20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IN"/>
              </w:rPr>
              <w:t>1</w:t>
            </w:r>
            <w:r w:rsidR="00CC4905" w:rsidRPr="00F67B20"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en-IN"/>
              </w:rPr>
              <w:t>:</w:t>
            </w:r>
            <w:r w:rsidR="00CC4905" w:rsidRPr="00F67B20">
              <w:rPr>
                <w:rFonts w:ascii="Arial" w:eastAsia="Times New Roman" w:hAnsi="Arial" w:cs="Arial"/>
                <w:kern w:val="0"/>
                <w:sz w:val="24"/>
                <w:szCs w:val="24"/>
                <w:lang w:eastAsia="en-IN"/>
              </w:rPr>
              <w:t xml:space="preserve"> MIC determined against MRSA using </w:t>
            </w:r>
            <w:r w:rsidR="001C1958">
              <w:rPr>
                <w:rFonts w:ascii="Arial" w:eastAsia="Times New Roman" w:hAnsi="Arial" w:cs="Arial"/>
                <w:kern w:val="0"/>
                <w:sz w:val="24"/>
                <w:szCs w:val="24"/>
                <w:lang w:eastAsia="en-IN"/>
              </w:rPr>
              <w:t xml:space="preserve">a </w:t>
            </w:r>
            <w:r w:rsidR="00AC09BF" w:rsidRPr="00F67B20">
              <w:rPr>
                <w:rFonts w:ascii="Arial" w:eastAsia="Times New Roman" w:hAnsi="Arial" w:cs="Arial"/>
                <w:kern w:val="0"/>
                <w:sz w:val="24"/>
                <w:szCs w:val="24"/>
                <w:lang w:eastAsia="en-IN"/>
              </w:rPr>
              <w:t>non-linear</w:t>
            </w:r>
            <w:r w:rsidR="00CC4905" w:rsidRPr="00F67B20">
              <w:rPr>
                <w:rFonts w:ascii="Arial" w:eastAsia="Times New Roman" w:hAnsi="Arial" w:cs="Arial"/>
                <w:kern w:val="0"/>
                <w:sz w:val="24"/>
                <w:szCs w:val="24"/>
                <w:lang w:eastAsia="en-IN"/>
              </w:rPr>
              <w:t xml:space="preserve"> regression fit following </w:t>
            </w:r>
            <w:r w:rsidR="00AC09BF" w:rsidRPr="00F67B20">
              <w:rPr>
                <w:rFonts w:ascii="Arial" w:eastAsia="Times New Roman" w:hAnsi="Arial" w:cs="Arial"/>
                <w:kern w:val="0"/>
                <w:sz w:val="24"/>
                <w:szCs w:val="24"/>
                <w:lang w:eastAsia="en-IN"/>
              </w:rPr>
              <w:t xml:space="preserve">the </w:t>
            </w:r>
            <w:r w:rsidR="00CC4905" w:rsidRPr="00F67B20">
              <w:rPr>
                <w:rFonts w:ascii="Arial" w:eastAsia="Times New Roman" w:hAnsi="Arial" w:cs="Arial"/>
                <w:kern w:val="0"/>
                <w:sz w:val="24"/>
                <w:szCs w:val="24"/>
                <w:lang w:eastAsia="en-IN"/>
              </w:rPr>
              <w:t>Gompertz equation</w:t>
            </w:r>
            <w:r w:rsidR="00B515F9" w:rsidRPr="00F67B20">
              <w:rPr>
                <w:rFonts w:ascii="Arial" w:eastAsia="Times New Roman" w:hAnsi="Arial" w:cs="Arial"/>
                <w:kern w:val="0"/>
                <w:sz w:val="24"/>
                <w:szCs w:val="24"/>
                <w:lang w:eastAsia="en-IN"/>
              </w:rPr>
              <w:t>.</w:t>
            </w:r>
            <w:bookmarkEnd w:id="1"/>
          </w:p>
        </w:tc>
        <w:tc>
          <w:tcPr>
            <w:tcW w:w="4802" w:type="dxa"/>
          </w:tcPr>
          <w:p w14:paraId="4D7AE000" w14:textId="14339D5E" w:rsidR="00CC4905" w:rsidRPr="00F67B20" w:rsidRDefault="006379C0" w:rsidP="00F67B2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67B20"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en-IN"/>
              </w:rPr>
              <w:t>Fig</w:t>
            </w:r>
            <w:r w:rsidR="000911CC" w:rsidRPr="00F67B20"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en-IN"/>
              </w:rPr>
              <w:t>.</w:t>
            </w:r>
            <w:r w:rsidR="00CC4905" w:rsidRPr="00F67B20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IN"/>
              </w:rPr>
              <w:t xml:space="preserve"> </w:t>
            </w:r>
            <w:r w:rsidR="007817EC" w:rsidRPr="00F67B20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IN"/>
              </w:rPr>
              <w:t>2</w:t>
            </w:r>
            <w:r w:rsidR="00CC4905" w:rsidRPr="00F67B20"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en-IN"/>
              </w:rPr>
              <w:t>:</w:t>
            </w:r>
            <w:r w:rsidR="00CC4905" w:rsidRPr="00F67B20">
              <w:rPr>
                <w:rFonts w:ascii="Arial" w:eastAsia="Times New Roman" w:hAnsi="Arial" w:cs="Arial"/>
                <w:kern w:val="0"/>
                <w:sz w:val="24"/>
                <w:szCs w:val="24"/>
                <w:lang w:eastAsia="en-IN"/>
              </w:rPr>
              <w:t xml:space="preserve"> MIC determined against ESBL using </w:t>
            </w:r>
            <w:r w:rsidR="00AC09BF" w:rsidRPr="00F67B20">
              <w:rPr>
                <w:rFonts w:ascii="Arial" w:eastAsia="Times New Roman" w:hAnsi="Arial" w:cs="Arial"/>
                <w:kern w:val="0"/>
                <w:sz w:val="24"/>
                <w:szCs w:val="24"/>
                <w:lang w:eastAsia="en-IN"/>
              </w:rPr>
              <w:t>non-linear</w:t>
            </w:r>
            <w:r w:rsidR="00CC4905" w:rsidRPr="00F67B20">
              <w:rPr>
                <w:rFonts w:ascii="Arial" w:eastAsia="Times New Roman" w:hAnsi="Arial" w:cs="Arial"/>
                <w:kern w:val="0"/>
                <w:sz w:val="24"/>
                <w:szCs w:val="24"/>
                <w:lang w:eastAsia="en-IN"/>
              </w:rPr>
              <w:t xml:space="preserve"> regression fit following </w:t>
            </w:r>
            <w:r w:rsidR="00AC09BF" w:rsidRPr="00F67B20">
              <w:rPr>
                <w:rFonts w:ascii="Arial" w:eastAsia="Times New Roman" w:hAnsi="Arial" w:cs="Arial"/>
                <w:kern w:val="0"/>
                <w:sz w:val="24"/>
                <w:szCs w:val="24"/>
                <w:lang w:eastAsia="en-IN"/>
              </w:rPr>
              <w:t xml:space="preserve">the </w:t>
            </w:r>
            <w:r w:rsidR="00CC4905" w:rsidRPr="00F67B20">
              <w:rPr>
                <w:rFonts w:ascii="Arial" w:eastAsia="Times New Roman" w:hAnsi="Arial" w:cs="Arial"/>
                <w:kern w:val="0"/>
                <w:sz w:val="24"/>
                <w:szCs w:val="24"/>
                <w:lang w:eastAsia="en-IN"/>
              </w:rPr>
              <w:t>Gompertz equation</w:t>
            </w:r>
            <w:r w:rsidR="00B515F9" w:rsidRPr="00F67B20">
              <w:rPr>
                <w:rFonts w:ascii="Arial" w:eastAsia="Times New Roman" w:hAnsi="Arial" w:cs="Arial"/>
                <w:kern w:val="0"/>
                <w:sz w:val="24"/>
                <w:szCs w:val="24"/>
                <w:lang w:eastAsia="en-IN"/>
              </w:rPr>
              <w:t>.</w:t>
            </w:r>
          </w:p>
        </w:tc>
      </w:tr>
      <w:bookmarkEnd w:id="2"/>
    </w:tbl>
    <w:p w14:paraId="7566CAFF" w14:textId="77777777" w:rsidR="001C1958" w:rsidRDefault="001C1958" w:rsidP="00F67B20">
      <w:pPr>
        <w:spacing w:after="24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en-IN"/>
        </w:rPr>
      </w:pPr>
    </w:p>
    <w:p w14:paraId="56E83656" w14:textId="20FB5EA1" w:rsidR="00CC2D8B" w:rsidRPr="00F67B20" w:rsidRDefault="002A21A6" w:rsidP="00F67B20">
      <w:pPr>
        <w:spacing w:after="240" w:line="240" w:lineRule="auto"/>
        <w:jc w:val="both"/>
        <w:rPr>
          <w:rFonts w:ascii="Arial" w:eastAsia="Times New Roman" w:hAnsi="Arial" w:cs="Arial"/>
          <w:b/>
          <w:bCs/>
          <w:kern w:val="0"/>
          <w:sz w:val="24"/>
          <w:szCs w:val="24"/>
          <w:lang w:eastAsia="en-IN"/>
        </w:rPr>
      </w:pPr>
      <w:r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The MIC and MBC values determined showed </w:t>
      </w:r>
      <w:r w:rsidR="001F6DE8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a </w:t>
      </w:r>
      <w:r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>lower MIC value against MRSA compared to ESBL</w:t>
      </w:r>
      <w:r w:rsidR="001F6DE8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>,</w:t>
      </w:r>
      <w:r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 indicating higher effectiveness against MRSA than ESBL.</w:t>
      </w:r>
      <w:r w:rsidR="00BA57F2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 </w:t>
      </w:r>
      <w:r w:rsidR="00B73A0F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>The MBC values obtained also</w:t>
      </w:r>
      <w:r w:rsidR="002F781C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 showed a similar pattern</w:t>
      </w:r>
      <w:r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. In an earlier </w:t>
      </w:r>
      <w:r w:rsidR="000758A7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>study</w:t>
      </w:r>
      <w:r w:rsidR="001F6DE8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>,</w:t>
      </w:r>
      <w:r w:rsidR="00BA57F2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 </w:t>
      </w:r>
      <w:r w:rsidR="000758A7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>MIC</w:t>
      </w:r>
      <w:r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 values of Neem oil active constituents showed greater effectiveness against Gram-positive isolates </w:t>
      </w:r>
      <w:r w:rsidR="005218D8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>compared to</w:t>
      </w:r>
      <w:r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 Gram-negative isolates</w:t>
      </w:r>
      <w:r w:rsidR="002212E5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 (</w:t>
      </w:r>
      <w:proofErr w:type="spellStart"/>
      <w:r w:rsidR="00271242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>Chorianopoulos</w:t>
      </w:r>
      <w:proofErr w:type="spellEnd"/>
      <w:r w:rsidR="00070DDC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 </w:t>
      </w:r>
      <w:r w:rsidR="00D11537" w:rsidRPr="00F67B20">
        <w:rPr>
          <w:rFonts w:ascii="Arial" w:eastAsia="Times New Roman" w:hAnsi="Arial" w:cs="Arial"/>
          <w:i/>
          <w:iCs/>
          <w:kern w:val="0"/>
          <w:sz w:val="24"/>
          <w:szCs w:val="24"/>
          <w:lang w:eastAsia="en-IN"/>
        </w:rPr>
        <w:t>et al.,</w:t>
      </w:r>
      <w:r w:rsidR="00271242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 2006</w:t>
      </w:r>
      <w:r w:rsidR="002212E5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>)</w:t>
      </w:r>
      <w:r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. </w:t>
      </w:r>
      <w:r w:rsidR="002957F2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>In a</w:t>
      </w:r>
      <w:r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>nother study conducted</w:t>
      </w:r>
      <w:r w:rsidR="000670C7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 by </w:t>
      </w:r>
      <w:r w:rsidR="000670C7" w:rsidRPr="00F67B20">
        <w:rPr>
          <w:rFonts w:ascii="Arial" w:hAnsi="Arial" w:cs="Arial"/>
          <w:sz w:val="24"/>
          <w:szCs w:val="24"/>
        </w:rPr>
        <w:t xml:space="preserve">Okemo </w:t>
      </w:r>
      <w:r w:rsidR="000670C7" w:rsidRPr="00F67B20">
        <w:rPr>
          <w:rFonts w:ascii="Arial" w:hAnsi="Arial" w:cs="Arial"/>
          <w:i/>
          <w:iCs/>
          <w:sz w:val="24"/>
          <w:szCs w:val="24"/>
        </w:rPr>
        <w:t>et al.</w:t>
      </w:r>
      <w:r w:rsidR="00DB64D1">
        <w:rPr>
          <w:rFonts w:ascii="Arial" w:hAnsi="Arial" w:cs="Arial"/>
          <w:i/>
          <w:iCs/>
          <w:sz w:val="24"/>
          <w:szCs w:val="24"/>
        </w:rPr>
        <w:t xml:space="preserve"> </w:t>
      </w:r>
      <w:r w:rsidR="000670C7" w:rsidRPr="00F67B20">
        <w:rPr>
          <w:rFonts w:ascii="Arial" w:hAnsi="Arial" w:cs="Arial"/>
          <w:sz w:val="24"/>
          <w:szCs w:val="24"/>
        </w:rPr>
        <w:t>2001</w:t>
      </w:r>
      <w:r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 where </w:t>
      </w:r>
      <w:r w:rsidR="00040175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the </w:t>
      </w:r>
      <w:r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determination of MIC values of </w:t>
      </w:r>
      <w:proofErr w:type="spellStart"/>
      <w:r w:rsidRPr="00F67B20">
        <w:rPr>
          <w:rFonts w:ascii="Arial" w:eastAsia="Times New Roman" w:hAnsi="Arial" w:cs="Arial"/>
          <w:i/>
          <w:iCs/>
          <w:kern w:val="0"/>
          <w:sz w:val="24"/>
          <w:szCs w:val="24"/>
          <w:lang w:eastAsia="en-IN"/>
        </w:rPr>
        <w:t>Satureja</w:t>
      </w:r>
      <w:proofErr w:type="spellEnd"/>
      <w:r w:rsidRPr="00F67B20">
        <w:rPr>
          <w:rFonts w:ascii="Arial" w:eastAsia="Times New Roman" w:hAnsi="Arial" w:cs="Arial"/>
          <w:i/>
          <w:iCs/>
          <w:kern w:val="0"/>
          <w:sz w:val="24"/>
          <w:szCs w:val="24"/>
          <w:lang w:eastAsia="en-IN"/>
        </w:rPr>
        <w:t xml:space="preserve"> </w:t>
      </w:r>
      <w:r w:rsidR="00BA57F2" w:rsidRPr="00F67B20">
        <w:rPr>
          <w:rFonts w:ascii="Arial" w:eastAsia="Times New Roman" w:hAnsi="Arial" w:cs="Arial"/>
          <w:i/>
          <w:iCs/>
          <w:kern w:val="0"/>
          <w:sz w:val="24"/>
          <w:szCs w:val="24"/>
          <w:lang w:eastAsia="en-IN"/>
        </w:rPr>
        <w:t>spinosa essential</w:t>
      </w:r>
      <w:r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 </w:t>
      </w:r>
      <w:r w:rsidR="00BA57F2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>oil was</w:t>
      </w:r>
      <w:r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 determined </w:t>
      </w:r>
      <w:r w:rsidR="002F517C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>using</w:t>
      </w:r>
      <w:r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 </w:t>
      </w:r>
      <w:r w:rsidR="00BA57F2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the </w:t>
      </w:r>
      <w:r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optical density method and </w:t>
      </w:r>
      <w:r w:rsidR="00040175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a </w:t>
      </w:r>
      <w:r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>novel impedimetric method</w:t>
      </w:r>
      <w:r w:rsidR="00040175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>,</w:t>
      </w:r>
      <w:r w:rsidR="001C1958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 revealing </w:t>
      </w:r>
      <w:r w:rsidRPr="00F67B20">
        <w:rPr>
          <w:rFonts w:ascii="Arial" w:eastAsia="Times New Roman" w:hAnsi="Arial" w:cs="Arial"/>
          <w:i/>
          <w:iCs/>
          <w:kern w:val="0"/>
          <w:sz w:val="24"/>
          <w:szCs w:val="24"/>
          <w:lang w:eastAsia="en-IN"/>
        </w:rPr>
        <w:t>Enteritidis</w:t>
      </w:r>
      <w:r w:rsidR="001C1958">
        <w:rPr>
          <w:rFonts w:ascii="Arial" w:eastAsia="Times New Roman" w:hAnsi="Arial" w:cs="Arial"/>
          <w:i/>
          <w:iCs/>
          <w:kern w:val="0"/>
          <w:sz w:val="24"/>
          <w:szCs w:val="24"/>
          <w:lang w:eastAsia="en-IN"/>
        </w:rPr>
        <w:t xml:space="preserve"> </w:t>
      </w:r>
      <w:r w:rsidR="002F517C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>to</w:t>
      </w:r>
      <w:r w:rsidR="001C1958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 </w:t>
      </w:r>
      <w:r w:rsidR="002F517C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>be</w:t>
      </w:r>
      <w:r w:rsidR="001C1958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 </w:t>
      </w:r>
      <w:r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least </w:t>
      </w:r>
      <w:r w:rsidR="00CC2D8B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effective </w:t>
      </w:r>
      <w:r w:rsidR="00BA57F2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>against S</w:t>
      </w:r>
      <w:r w:rsidRPr="00F67B20">
        <w:rPr>
          <w:rFonts w:ascii="Arial" w:eastAsia="Times New Roman" w:hAnsi="Arial" w:cs="Arial"/>
          <w:i/>
          <w:kern w:val="0"/>
          <w:sz w:val="24"/>
          <w:szCs w:val="24"/>
          <w:lang w:eastAsia="en-IN"/>
        </w:rPr>
        <w:t>. spinosa</w:t>
      </w:r>
      <w:r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 essential oil, followed by </w:t>
      </w:r>
      <w:r w:rsidRPr="00F67B20">
        <w:rPr>
          <w:rFonts w:ascii="Arial" w:eastAsia="Times New Roman" w:hAnsi="Arial" w:cs="Arial"/>
          <w:i/>
          <w:iCs/>
          <w:kern w:val="0"/>
          <w:sz w:val="24"/>
          <w:szCs w:val="24"/>
          <w:lang w:eastAsia="en-IN"/>
        </w:rPr>
        <w:t>L. monocytogenes, E. coli, B. cereus, and S. aureus</w:t>
      </w:r>
      <w:r w:rsidR="00040175" w:rsidRPr="00F67B20">
        <w:rPr>
          <w:rFonts w:ascii="Arial" w:eastAsia="Times New Roman" w:hAnsi="Arial" w:cs="Arial"/>
          <w:i/>
          <w:iCs/>
          <w:kern w:val="0"/>
          <w:sz w:val="24"/>
          <w:szCs w:val="24"/>
          <w:lang w:eastAsia="en-IN"/>
        </w:rPr>
        <w:t>.</w:t>
      </w:r>
      <w:r w:rsidR="00BA57F2" w:rsidRPr="00F67B20">
        <w:rPr>
          <w:rFonts w:ascii="Arial" w:eastAsia="Times New Roman" w:hAnsi="Arial" w:cs="Arial"/>
          <w:i/>
          <w:iCs/>
          <w:kern w:val="0"/>
          <w:sz w:val="24"/>
          <w:szCs w:val="24"/>
          <w:lang w:eastAsia="en-IN"/>
        </w:rPr>
        <w:t xml:space="preserve"> </w:t>
      </w:r>
      <w:r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Our assessment of the MIC values for NO using both these methods has provided further evidence towards the fact that Gram-positive isolates are more </w:t>
      </w:r>
      <w:r w:rsidR="00754F80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>vulnerable</w:t>
      </w:r>
      <w:r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 to NO than Gram-negative resistan</w:t>
      </w:r>
      <w:r w:rsidR="00424334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>t ones</w:t>
      </w:r>
      <w:r w:rsidR="00CB4DB0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>,</w:t>
      </w:r>
      <w:r w:rsidR="00BA57F2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 </w:t>
      </w:r>
      <w:r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emphasizing the </w:t>
      </w:r>
      <w:r w:rsidR="007F34ED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earlier </w:t>
      </w:r>
      <w:r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evidence obtained that the MIC values </w:t>
      </w:r>
      <w:r w:rsidR="00BA57F2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are </w:t>
      </w:r>
      <w:r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reduced </w:t>
      </w:r>
      <w:r w:rsidR="00CB4DB0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>twofold</w:t>
      </w:r>
      <w:r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 against MRSA than ESBL.</w:t>
      </w:r>
    </w:p>
    <w:p w14:paraId="25797396" w14:textId="1313AB12" w:rsidR="00F04626" w:rsidRPr="00F67B20" w:rsidRDefault="00200F22" w:rsidP="00F67B20">
      <w:pPr>
        <w:spacing w:after="240" w:line="240" w:lineRule="auto"/>
        <w:jc w:val="both"/>
        <w:rPr>
          <w:rFonts w:ascii="Arial" w:eastAsia="Times New Roman" w:hAnsi="Arial" w:cs="Arial"/>
          <w:b/>
          <w:bCs/>
          <w:kern w:val="0"/>
          <w:sz w:val="24"/>
          <w:szCs w:val="24"/>
          <w:lang w:eastAsia="en-IN"/>
        </w:rPr>
      </w:pP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en-IN"/>
        </w:rPr>
        <w:t xml:space="preserve">3.2 </w:t>
      </w:r>
      <w:r w:rsidR="00B27A89" w:rsidRPr="00F67B20">
        <w:rPr>
          <w:rFonts w:ascii="Arial" w:eastAsia="Times New Roman" w:hAnsi="Arial" w:cs="Arial"/>
          <w:b/>
          <w:bCs/>
          <w:kern w:val="0"/>
          <w:sz w:val="24"/>
          <w:szCs w:val="24"/>
          <w:lang w:eastAsia="en-IN"/>
        </w:rPr>
        <w:t xml:space="preserve">Kill </w:t>
      </w:r>
      <w:r w:rsidR="009D0469">
        <w:rPr>
          <w:rFonts w:ascii="Arial" w:eastAsia="Times New Roman" w:hAnsi="Arial" w:cs="Arial"/>
          <w:b/>
          <w:bCs/>
          <w:kern w:val="0"/>
          <w:sz w:val="24"/>
          <w:szCs w:val="24"/>
          <w:lang w:eastAsia="en-IN"/>
        </w:rPr>
        <w:t>K</w:t>
      </w:r>
      <w:r w:rsidR="00B27A89" w:rsidRPr="00F67B20">
        <w:rPr>
          <w:rFonts w:ascii="Arial" w:eastAsia="Times New Roman" w:hAnsi="Arial" w:cs="Arial"/>
          <w:b/>
          <w:bCs/>
          <w:kern w:val="0"/>
          <w:sz w:val="24"/>
          <w:szCs w:val="24"/>
          <w:lang w:eastAsia="en-IN"/>
        </w:rPr>
        <w:t xml:space="preserve">inetics </w:t>
      </w:r>
      <w:r w:rsidR="009D0469">
        <w:rPr>
          <w:rFonts w:ascii="Arial" w:eastAsia="Times New Roman" w:hAnsi="Arial" w:cs="Arial"/>
          <w:b/>
          <w:bCs/>
          <w:kern w:val="0"/>
          <w:sz w:val="24"/>
          <w:szCs w:val="24"/>
          <w:lang w:eastAsia="en-IN"/>
        </w:rPr>
        <w:t>A</w:t>
      </w:r>
      <w:r w:rsidR="00B27A89" w:rsidRPr="00F67B20">
        <w:rPr>
          <w:rFonts w:ascii="Arial" w:eastAsia="Times New Roman" w:hAnsi="Arial" w:cs="Arial"/>
          <w:b/>
          <w:bCs/>
          <w:kern w:val="0"/>
          <w:sz w:val="24"/>
          <w:szCs w:val="24"/>
          <w:lang w:eastAsia="en-IN"/>
        </w:rPr>
        <w:t xml:space="preserve">ssessment of </w:t>
      </w:r>
      <w:r w:rsidR="00034CF2" w:rsidRPr="00F67B20">
        <w:rPr>
          <w:rFonts w:ascii="Arial" w:eastAsia="Times New Roman" w:hAnsi="Arial" w:cs="Arial"/>
          <w:b/>
          <w:bCs/>
          <w:kern w:val="0"/>
          <w:sz w:val="24"/>
          <w:szCs w:val="24"/>
          <w:lang w:eastAsia="en-IN"/>
        </w:rPr>
        <w:t xml:space="preserve">NO </w:t>
      </w:r>
      <w:r w:rsidR="009D0469">
        <w:rPr>
          <w:rFonts w:ascii="Arial" w:eastAsia="Times New Roman" w:hAnsi="Arial" w:cs="Arial"/>
          <w:b/>
          <w:bCs/>
          <w:kern w:val="0"/>
          <w:sz w:val="24"/>
          <w:szCs w:val="24"/>
          <w:lang w:eastAsia="en-IN"/>
        </w:rPr>
        <w:t>A</w:t>
      </w:r>
      <w:r w:rsidR="00B27A89" w:rsidRPr="00F67B20">
        <w:rPr>
          <w:rFonts w:ascii="Arial" w:eastAsia="Times New Roman" w:hAnsi="Arial" w:cs="Arial"/>
          <w:b/>
          <w:bCs/>
          <w:kern w:val="0"/>
          <w:sz w:val="24"/>
          <w:szCs w:val="24"/>
          <w:lang w:eastAsia="en-IN"/>
        </w:rPr>
        <w:t xml:space="preserve">gainst </w:t>
      </w:r>
      <w:r w:rsidR="009D0469">
        <w:rPr>
          <w:rFonts w:ascii="Arial" w:eastAsia="Times New Roman" w:hAnsi="Arial" w:cs="Arial"/>
          <w:b/>
          <w:bCs/>
          <w:kern w:val="0"/>
          <w:sz w:val="24"/>
          <w:szCs w:val="24"/>
          <w:lang w:eastAsia="en-IN"/>
        </w:rPr>
        <w:t>B</w:t>
      </w:r>
      <w:r w:rsidR="00B27A89" w:rsidRPr="00F67B20">
        <w:rPr>
          <w:rFonts w:ascii="Arial" w:eastAsia="Times New Roman" w:hAnsi="Arial" w:cs="Arial"/>
          <w:b/>
          <w:bCs/>
          <w:kern w:val="0"/>
          <w:sz w:val="24"/>
          <w:szCs w:val="24"/>
          <w:lang w:eastAsia="en-IN"/>
        </w:rPr>
        <w:t xml:space="preserve">acterial </w:t>
      </w:r>
      <w:r w:rsidR="009D0469">
        <w:rPr>
          <w:rFonts w:ascii="Arial" w:eastAsia="Times New Roman" w:hAnsi="Arial" w:cs="Arial"/>
          <w:b/>
          <w:bCs/>
          <w:kern w:val="0"/>
          <w:sz w:val="24"/>
          <w:szCs w:val="24"/>
          <w:lang w:eastAsia="en-IN"/>
        </w:rPr>
        <w:t>G</w:t>
      </w:r>
      <w:r w:rsidR="00B27A89" w:rsidRPr="00F67B20">
        <w:rPr>
          <w:rFonts w:ascii="Arial" w:eastAsia="Times New Roman" w:hAnsi="Arial" w:cs="Arial"/>
          <w:b/>
          <w:bCs/>
          <w:kern w:val="0"/>
          <w:sz w:val="24"/>
          <w:szCs w:val="24"/>
          <w:lang w:eastAsia="en-IN"/>
        </w:rPr>
        <w:t>rowth</w:t>
      </w:r>
    </w:p>
    <w:p w14:paraId="3F53FC03" w14:textId="723111DA" w:rsidR="00140015" w:rsidRPr="00F67B20" w:rsidRDefault="00B27A89" w:rsidP="00F67B20">
      <w:pPr>
        <w:spacing w:after="24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en-IN"/>
        </w:rPr>
      </w:pPr>
      <w:r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The </w:t>
      </w:r>
      <w:r w:rsidR="00D43B25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variations in the </w:t>
      </w:r>
      <w:r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bacterial colony counts obtained from plated cultures at the defined intervals are depicted </w:t>
      </w:r>
      <w:r w:rsidR="00D43B25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>graphically in Fig</w:t>
      </w:r>
      <w:r w:rsidR="006379C0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>.</w:t>
      </w:r>
      <w:r w:rsidR="00D43B25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 </w:t>
      </w:r>
      <w:r w:rsidR="007817EC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>3</w:t>
      </w:r>
      <w:r w:rsidR="00D43B25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 and Fig</w:t>
      </w:r>
      <w:r w:rsidR="006379C0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>.</w:t>
      </w:r>
      <w:r w:rsidR="00D43B25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 </w:t>
      </w:r>
      <w:r w:rsidR="007817EC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>4</w:t>
      </w:r>
      <w:r w:rsidR="00D43B25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>.</w:t>
      </w:r>
      <w:r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 It is evident from the results obtained that at a concentration corresponding to 2x MIC, the CFU/m</w:t>
      </w:r>
      <w:r w:rsidR="00950A3E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>L</w:t>
      </w:r>
      <w:r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 decreased appreciably than that at concentrations corresponding to the MIC. At ½ x MIC concentration, no effective change in CFU/m</w:t>
      </w:r>
      <w:r w:rsidR="000D483A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>L</w:t>
      </w:r>
      <w:r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 could be observed against both ESBL and MRSA. The reduction in CFU was higher against MRSA </w:t>
      </w:r>
      <w:r w:rsidR="00915BBA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>compared to</w:t>
      </w:r>
      <w:r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 ESBL at all of the concentrations </w:t>
      </w:r>
      <w:r w:rsidR="00896859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>tested</w:t>
      </w:r>
      <w:r w:rsidR="00D43B25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>.</w:t>
      </w:r>
      <w:r w:rsidR="00BA57F2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 </w:t>
      </w:r>
      <w:r w:rsidR="00915BBA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>T</w:t>
      </w:r>
      <w:r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he kill kinetic curves against both ESBL and MRSA </w:t>
      </w:r>
      <w:r w:rsidR="00915BBA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graphically </w:t>
      </w:r>
      <w:r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>depicted in Fig</w:t>
      </w:r>
      <w:r w:rsidR="006379C0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>.</w:t>
      </w:r>
      <w:r w:rsidR="007817EC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>3</w:t>
      </w:r>
      <w:r w:rsidR="00D43B25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 </w:t>
      </w:r>
      <w:r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and </w:t>
      </w:r>
      <w:r w:rsidR="007817EC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4 </w:t>
      </w:r>
      <w:r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reveal </w:t>
      </w:r>
      <w:r w:rsidR="00915BBA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>the</w:t>
      </w:r>
      <w:r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 bactericidal action of NO against MRSA </w:t>
      </w:r>
      <w:r w:rsidR="00915BBA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>from</w:t>
      </w:r>
      <w:r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 24 hrs</w:t>
      </w:r>
      <w:r w:rsidR="000D483A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>.</w:t>
      </w:r>
      <w:r w:rsidR="007817EC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 </w:t>
      </w:r>
      <w:r w:rsidR="00915BBA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>o</w:t>
      </w:r>
      <w:r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nwards, with the </w:t>
      </w:r>
      <w:r w:rsidR="000D483A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>onset of</w:t>
      </w:r>
      <w:r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 a rapid decline in growth activity at 8 hours. However, against ESBL NO displayed bacteriostatic activity post </w:t>
      </w:r>
      <w:r w:rsidR="00140015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>8 hours.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4"/>
        <w:gridCol w:w="4686"/>
      </w:tblGrid>
      <w:tr w:rsidR="00BA57F2" w:rsidRPr="00F67B20" w14:paraId="68A03780" w14:textId="77777777" w:rsidTr="00F73FBE">
        <w:trPr>
          <w:trHeight w:val="2780"/>
        </w:trPr>
        <w:tc>
          <w:tcPr>
            <w:tcW w:w="4788" w:type="dxa"/>
          </w:tcPr>
          <w:p w14:paraId="13F7D39D" w14:textId="77777777" w:rsidR="00950A3E" w:rsidRPr="00F67B20" w:rsidRDefault="00950A3E" w:rsidP="00F67B20">
            <w:pPr>
              <w:spacing w:after="240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en-IN"/>
              </w:rPr>
            </w:pPr>
            <w:r w:rsidRPr="00F67B20">
              <w:rPr>
                <w:rFonts w:ascii="Arial" w:hAnsi="Arial" w:cs="Arial"/>
                <w:noProof/>
                <w:sz w:val="24"/>
                <w:szCs w:val="24"/>
                <w:lang w:val="en-US"/>
              </w:rPr>
              <w:lastRenderedPageBreak/>
              <w:drawing>
                <wp:inline distT="0" distB="0" distL="0" distR="0" wp14:anchorId="7C917C6C" wp14:editId="745F2DCC">
                  <wp:extent cx="2768000" cy="1737360"/>
                  <wp:effectExtent l="0" t="0" r="0" b="0"/>
                  <wp:docPr id="1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21529" cy="17709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8" w:type="dxa"/>
          </w:tcPr>
          <w:p w14:paraId="257DDD51" w14:textId="77777777" w:rsidR="00950A3E" w:rsidRPr="00F67B20" w:rsidRDefault="00950A3E" w:rsidP="00F67B20">
            <w:pPr>
              <w:spacing w:after="240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en-IN"/>
              </w:rPr>
            </w:pPr>
            <w:r w:rsidRPr="00F67B20">
              <w:rPr>
                <w:rFonts w:ascii="Arial" w:hAnsi="Arial" w:cs="Arial"/>
                <w:noProof/>
                <w:sz w:val="24"/>
                <w:szCs w:val="24"/>
                <w:lang w:val="en-US"/>
              </w:rPr>
              <w:drawing>
                <wp:inline distT="0" distB="0" distL="0" distR="0" wp14:anchorId="026CE0FA" wp14:editId="25FF7FA8">
                  <wp:extent cx="2781300" cy="1745710"/>
                  <wp:effectExtent l="0" t="0" r="0" b="0"/>
                  <wp:docPr id="13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2909" cy="17781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50A3E" w:rsidRPr="00F67B20" w14:paraId="288602FC" w14:textId="77777777" w:rsidTr="00F73FBE">
        <w:tc>
          <w:tcPr>
            <w:tcW w:w="4788" w:type="dxa"/>
          </w:tcPr>
          <w:p w14:paraId="657E29DA" w14:textId="509EF007" w:rsidR="00950A3E" w:rsidRPr="00F67B20" w:rsidRDefault="006379C0" w:rsidP="00F67B20">
            <w:pPr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en-IN"/>
              </w:rPr>
            </w:pPr>
            <w:bookmarkStart w:id="3" w:name="_Hlk193315736"/>
            <w:bookmarkStart w:id="4" w:name="_Hlk193315839"/>
            <w:r w:rsidRPr="00F67B20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IN"/>
              </w:rPr>
              <w:t>Fig</w:t>
            </w:r>
            <w:r w:rsidR="000911CC" w:rsidRPr="00F67B20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IN"/>
              </w:rPr>
              <w:t>.</w:t>
            </w:r>
            <w:r w:rsidR="007817EC" w:rsidRPr="00F67B20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IN"/>
              </w:rPr>
              <w:t>3</w:t>
            </w:r>
            <w:r w:rsidR="00950A3E" w:rsidRPr="00F67B20">
              <w:rPr>
                <w:rFonts w:ascii="Arial" w:hAnsi="Arial" w:cs="Arial"/>
                <w:b/>
                <w:sz w:val="24"/>
                <w:szCs w:val="24"/>
              </w:rPr>
              <w:t>:</w:t>
            </w:r>
            <w:r w:rsidR="00950A3E" w:rsidRPr="00F67B20">
              <w:rPr>
                <w:rFonts w:ascii="Arial" w:hAnsi="Arial" w:cs="Arial"/>
                <w:sz w:val="24"/>
                <w:szCs w:val="24"/>
              </w:rPr>
              <w:t xml:space="preserve"> Kill kinetic profile of NO at 1/2x MIC, 2x MIC, and MIC against MRSA.</w:t>
            </w:r>
            <w:bookmarkEnd w:id="3"/>
          </w:p>
        </w:tc>
        <w:tc>
          <w:tcPr>
            <w:tcW w:w="4788" w:type="dxa"/>
          </w:tcPr>
          <w:p w14:paraId="34186FCE" w14:textId="59E924FE" w:rsidR="00950A3E" w:rsidRPr="00F67B20" w:rsidRDefault="006379C0" w:rsidP="00F67B20">
            <w:pPr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en-IN"/>
              </w:rPr>
            </w:pPr>
            <w:r w:rsidRPr="00F67B20"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en-IN"/>
              </w:rPr>
              <w:t>Fig</w:t>
            </w:r>
            <w:r w:rsidR="000911CC" w:rsidRPr="00F67B20"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en-IN"/>
              </w:rPr>
              <w:t>.</w:t>
            </w:r>
            <w:r w:rsidR="00950A3E" w:rsidRPr="00F67B20"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en-IN"/>
              </w:rPr>
              <w:t xml:space="preserve"> </w:t>
            </w:r>
            <w:r w:rsidR="007817EC" w:rsidRPr="00F67B20"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en-IN"/>
              </w:rPr>
              <w:t>4</w:t>
            </w:r>
            <w:r w:rsidR="00950A3E" w:rsidRPr="00F67B20"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en-IN"/>
              </w:rPr>
              <w:t>:</w:t>
            </w:r>
            <w:r w:rsidR="00950A3E" w:rsidRPr="00F67B20">
              <w:rPr>
                <w:rFonts w:ascii="Arial" w:eastAsia="Times New Roman" w:hAnsi="Arial" w:cs="Arial"/>
                <w:kern w:val="0"/>
                <w:sz w:val="24"/>
                <w:szCs w:val="24"/>
                <w:lang w:eastAsia="en-IN"/>
              </w:rPr>
              <w:t xml:space="preserve"> Kill kinetic profile of NO at 1/2x MIC, 2x MIC, and MIC against ESBL.</w:t>
            </w:r>
          </w:p>
        </w:tc>
      </w:tr>
      <w:bookmarkEnd w:id="4"/>
    </w:tbl>
    <w:p w14:paraId="382D4C86" w14:textId="77777777" w:rsidR="00950A3E" w:rsidRPr="00F67B20" w:rsidRDefault="00950A3E" w:rsidP="00F67B20">
      <w:pPr>
        <w:spacing w:after="24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en-IN"/>
        </w:rPr>
      </w:pPr>
    </w:p>
    <w:p w14:paraId="16ED4676" w14:textId="7B1F71A4" w:rsidR="005218D8" w:rsidRPr="00F67B20" w:rsidRDefault="00221689" w:rsidP="00F67B20">
      <w:pPr>
        <w:spacing w:after="240" w:line="240" w:lineRule="auto"/>
        <w:jc w:val="both"/>
        <w:rPr>
          <w:rFonts w:ascii="Arial" w:eastAsia="Times New Roman" w:hAnsi="Arial" w:cs="Arial"/>
          <w:b/>
          <w:bCs/>
          <w:kern w:val="0"/>
          <w:sz w:val="24"/>
          <w:szCs w:val="24"/>
          <w:lang w:eastAsia="en-IN"/>
        </w:rPr>
      </w:pPr>
      <w:r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Similar studies on neem oil by other investigators revealed that at </w:t>
      </w:r>
      <w:r w:rsidR="00D037A0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sub-inhibitory concentrations, i.e., 1/4x MIC and 1/2x MIC of Neem leaf extracts tested against P. </w:t>
      </w:r>
      <w:r w:rsidR="005218D8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>a</w:t>
      </w:r>
      <w:r w:rsidR="00D037A0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>eruginosa, bacterial growth remained almost static after 4 hours; however, effective killing was observed at the MIC after</w:t>
      </w:r>
      <w:r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 8 hours</w:t>
      </w:r>
      <w:r w:rsidR="002212E5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 (</w:t>
      </w:r>
      <w:r w:rsidR="00271242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Banerjee </w:t>
      </w:r>
      <w:r w:rsidR="00D11537" w:rsidRPr="00F67B20">
        <w:rPr>
          <w:rFonts w:ascii="Arial" w:eastAsia="Times New Roman" w:hAnsi="Arial" w:cs="Arial"/>
          <w:i/>
          <w:iCs/>
          <w:kern w:val="0"/>
          <w:sz w:val="24"/>
          <w:szCs w:val="24"/>
          <w:lang w:eastAsia="en-IN"/>
        </w:rPr>
        <w:t>et al.,</w:t>
      </w:r>
      <w:r w:rsidR="00271242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 2021</w:t>
      </w:r>
      <w:r w:rsidR="002212E5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>).</w:t>
      </w:r>
      <w:r w:rsidR="00902ADA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 </w:t>
      </w:r>
      <w:r w:rsidR="00BD7AB6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Sarkar </w:t>
      </w:r>
      <w:r w:rsidR="00BD7AB6" w:rsidRPr="00F67B20">
        <w:rPr>
          <w:rFonts w:ascii="Arial" w:eastAsia="Times New Roman" w:hAnsi="Arial" w:cs="Arial"/>
          <w:i/>
          <w:iCs/>
          <w:kern w:val="0"/>
          <w:sz w:val="24"/>
          <w:szCs w:val="24"/>
          <w:lang w:eastAsia="en-IN"/>
        </w:rPr>
        <w:t>et al.</w:t>
      </w:r>
      <w:r w:rsidR="00D037A0" w:rsidRPr="00F67B20">
        <w:rPr>
          <w:rFonts w:ascii="Arial" w:eastAsia="Times New Roman" w:hAnsi="Arial" w:cs="Arial"/>
          <w:i/>
          <w:iCs/>
          <w:kern w:val="0"/>
          <w:sz w:val="24"/>
          <w:szCs w:val="24"/>
          <w:lang w:eastAsia="en-IN"/>
        </w:rPr>
        <w:t xml:space="preserve"> (2016) </w:t>
      </w:r>
      <w:r w:rsidR="00D037A0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>observed a time-linked reduction in log CFU/mL of cells, with a significant decrease in MRSA and MSSA to 2 and 3.5 log CFU/mL at 8 and 12 h, respectively. Complete</w:t>
      </w:r>
      <w:r w:rsidRPr="00F67B20">
        <w:rPr>
          <w:rFonts w:ascii="Arial" w:hAnsi="Arial" w:cs="Arial"/>
          <w:sz w:val="24"/>
          <w:szCs w:val="24"/>
        </w:rPr>
        <w:t xml:space="preserve"> bactericidal action</w:t>
      </w:r>
      <w:r w:rsidR="00F04E8C" w:rsidRPr="00F67B20">
        <w:rPr>
          <w:rFonts w:ascii="Arial" w:hAnsi="Arial" w:cs="Arial"/>
          <w:sz w:val="24"/>
          <w:szCs w:val="24"/>
        </w:rPr>
        <w:t xml:space="preserve"> was recorded</w:t>
      </w:r>
      <w:r w:rsidR="002212E5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>.</w:t>
      </w:r>
      <w:r w:rsidR="00902ADA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 </w:t>
      </w:r>
      <w:r w:rsidR="008C7815" w:rsidRPr="00F67B20">
        <w:rPr>
          <w:rFonts w:ascii="Arial" w:hAnsi="Arial" w:cs="Arial"/>
          <w:sz w:val="24"/>
          <w:szCs w:val="24"/>
        </w:rPr>
        <w:t>A</w:t>
      </w:r>
      <w:r w:rsidR="00896859" w:rsidRPr="00F67B20">
        <w:rPr>
          <w:rFonts w:ascii="Arial" w:hAnsi="Arial" w:cs="Arial"/>
          <w:sz w:val="24"/>
          <w:szCs w:val="24"/>
        </w:rPr>
        <w:t xml:space="preserve"> t</w:t>
      </w:r>
      <w:r w:rsidRPr="00F67B20">
        <w:rPr>
          <w:rFonts w:ascii="Arial" w:hAnsi="Arial" w:cs="Arial"/>
          <w:sz w:val="24"/>
          <w:szCs w:val="24"/>
        </w:rPr>
        <w:t>ime-kill</w:t>
      </w:r>
      <w:r w:rsidRPr="00F67B20">
        <w:rPr>
          <w:rFonts w:ascii="Arial" w:hAnsi="Arial" w:cs="Arial"/>
          <w:kern w:val="0"/>
          <w:sz w:val="24"/>
          <w:szCs w:val="24"/>
        </w:rPr>
        <w:t xml:space="preserve"> kinetic study </w:t>
      </w:r>
      <w:r w:rsidR="001B5511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on </w:t>
      </w:r>
      <w:proofErr w:type="spellStart"/>
      <w:r w:rsidR="001B5511" w:rsidRPr="00F67B20">
        <w:rPr>
          <w:rFonts w:ascii="Arial" w:hAnsi="Arial" w:cs="Arial"/>
          <w:kern w:val="0"/>
          <w:sz w:val="24"/>
          <w:szCs w:val="24"/>
        </w:rPr>
        <w:t>Nimbolide</w:t>
      </w:r>
      <w:proofErr w:type="spellEnd"/>
      <w:r w:rsidR="00AB6E94" w:rsidRPr="00F67B20">
        <w:rPr>
          <w:rFonts w:ascii="Arial" w:hAnsi="Arial" w:cs="Arial"/>
          <w:kern w:val="0"/>
          <w:sz w:val="24"/>
          <w:szCs w:val="24"/>
        </w:rPr>
        <w:t xml:space="preserve"> and methicillin </w:t>
      </w:r>
      <w:r w:rsidR="00D533DF" w:rsidRPr="00F67B20">
        <w:rPr>
          <w:rFonts w:ascii="Arial" w:hAnsi="Arial" w:cs="Arial"/>
          <w:kern w:val="0"/>
          <w:sz w:val="24"/>
          <w:szCs w:val="24"/>
        </w:rPr>
        <w:t xml:space="preserve">by </w:t>
      </w:r>
      <w:r w:rsidR="00D533DF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>(</w:t>
      </w:r>
      <w:r w:rsidR="00902ADA" w:rsidRPr="00F67B20">
        <w:rPr>
          <w:rFonts w:ascii="Arial" w:hAnsi="Arial" w:cs="Arial"/>
          <w:sz w:val="24"/>
          <w:szCs w:val="24"/>
        </w:rPr>
        <w:t>Chou et</w:t>
      </w:r>
      <w:r w:rsidR="00D533DF" w:rsidRPr="00F67B20">
        <w:rPr>
          <w:rFonts w:ascii="Arial" w:eastAsia="Times New Roman" w:hAnsi="Arial" w:cs="Arial"/>
          <w:i/>
          <w:iCs/>
          <w:kern w:val="0"/>
          <w:sz w:val="24"/>
          <w:szCs w:val="24"/>
          <w:lang w:eastAsia="en-IN"/>
        </w:rPr>
        <w:t xml:space="preserve"> al.,</w:t>
      </w:r>
      <w:r w:rsidR="00D533DF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>2013)</w:t>
      </w:r>
      <w:r w:rsidR="00AB6E94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 revealed </w:t>
      </w:r>
      <w:r w:rsidR="00902ADA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>that at</w:t>
      </w:r>
      <w:r w:rsidRPr="00F67B20">
        <w:rPr>
          <w:rFonts w:ascii="Arial" w:hAnsi="Arial" w:cs="Arial"/>
          <w:kern w:val="0"/>
          <w:sz w:val="24"/>
          <w:szCs w:val="24"/>
        </w:rPr>
        <w:t xml:space="preserve"> a concentration of 32 </w:t>
      </w:r>
      <w:proofErr w:type="spellStart"/>
      <w:r w:rsidRPr="00F67B20">
        <w:rPr>
          <w:rFonts w:ascii="Arial" w:hAnsi="Arial" w:cs="Arial"/>
          <w:kern w:val="0"/>
          <w:sz w:val="24"/>
          <w:szCs w:val="24"/>
        </w:rPr>
        <w:t>μg</w:t>
      </w:r>
      <w:proofErr w:type="spellEnd"/>
      <w:r w:rsidRPr="00F67B20">
        <w:rPr>
          <w:rFonts w:ascii="Arial" w:hAnsi="Arial" w:cs="Arial"/>
          <w:kern w:val="0"/>
          <w:sz w:val="24"/>
          <w:szCs w:val="24"/>
        </w:rPr>
        <w:t>/</w:t>
      </w:r>
      <w:r w:rsidR="001B5511" w:rsidRPr="00F67B20">
        <w:rPr>
          <w:rFonts w:ascii="Arial" w:hAnsi="Arial" w:cs="Arial"/>
          <w:kern w:val="0"/>
          <w:sz w:val="24"/>
          <w:szCs w:val="24"/>
        </w:rPr>
        <w:t>mL</w:t>
      </w:r>
      <w:r w:rsidR="004D5083" w:rsidRPr="00F67B20">
        <w:rPr>
          <w:rFonts w:ascii="Arial" w:hAnsi="Arial" w:cs="Arial"/>
          <w:kern w:val="0"/>
          <w:sz w:val="24"/>
          <w:szCs w:val="24"/>
        </w:rPr>
        <w:t>,</w:t>
      </w:r>
      <w:r w:rsidR="00902ADA" w:rsidRPr="00F67B20">
        <w:rPr>
          <w:rFonts w:ascii="Arial" w:hAnsi="Arial" w:cs="Arial"/>
          <w:kern w:val="0"/>
          <w:sz w:val="24"/>
          <w:szCs w:val="24"/>
        </w:rPr>
        <w:t xml:space="preserve"> they exhibited</w:t>
      </w:r>
      <w:r w:rsidR="001B5511" w:rsidRPr="00F67B20">
        <w:rPr>
          <w:rFonts w:ascii="Arial" w:hAnsi="Arial" w:cs="Arial"/>
          <w:kern w:val="0"/>
          <w:sz w:val="24"/>
          <w:szCs w:val="24"/>
        </w:rPr>
        <w:t xml:space="preserve"> a</w:t>
      </w:r>
      <w:r w:rsidRPr="00F67B20">
        <w:rPr>
          <w:rFonts w:ascii="Arial" w:hAnsi="Arial" w:cs="Arial"/>
          <w:kern w:val="0"/>
          <w:sz w:val="24"/>
          <w:szCs w:val="24"/>
        </w:rPr>
        <w:t xml:space="preserve"> ~2.5- to 4.5-log reduction in viable cell number (CFU) within 24 hours for </w:t>
      </w:r>
      <w:r w:rsidRPr="00F67B20">
        <w:rPr>
          <w:rFonts w:ascii="Arial" w:hAnsi="Arial" w:cs="Arial"/>
          <w:i/>
          <w:kern w:val="0"/>
          <w:sz w:val="24"/>
          <w:szCs w:val="24"/>
        </w:rPr>
        <w:t>S. aureus</w:t>
      </w:r>
      <w:r w:rsidRPr="00F67B20">
        <w:rPr>
          <w:rFonts w:ascii="Arial" w:hAnsi="Arial" w:cs="Arial"/>
          <w:kern w:val="0"/>
          <w:sz w:val="24"/>
          <w:szCs w:val="24"/>
        </w:rPr>
        <w:t xml:space="preserve"> PCS111 and </w:t>
      </w:r>
      <w:r w:rsidRPr="00F67B20">
        <w:rPr>
          <w:rFonts w:ascii="Arial" w:hAnsi="Arial" w:cs="Arial"/>
          <w:i/>
          <w:kern w:val="0"/>
          <w:sz w:val="24"/>
          <w:szCs w:val="24"/>
        </w:rPr>
        <w:t>S. aureus</w:t>
      </w:r>
      <w:r w:rsidRPr="00F67B20">
        <w:rPr>
          <w:rFonts w:ascii="Arial" w:hAnsi="Arial" w:cs="Arial"/>
          <w:kern w:val="0"/>
          <w:sz w:val="24"/>
          <w:szCs w:val="24"/>
        </w:rPr>
        <w:t xml:space="preserve"> ATCC 25923, compared to the untreated control</w:t>
      </w:r>
      <w:r w:rsidR="00757435" w:rsidRPr="00F67B20">
        <w:rPr>
          <w:rFonts w:ascii="Arial" w:hAnsi="Arial" w:cs="Arial"/>
          <w:kern w:val="0"/>
          <w:sz w:val="24"/>
          <w:szCs w:val="24"/>
        </w:rPr>
        <w:t>.</w:t>
      </w:r>
    </w:p>
    <w:p w14:paraId="27B4DB22" w14:textId="1B96B503" w:rsidR="00140015" w:rsidRPr="00F67B20" w:rsidRDefault="00200F22" w:rsidP="00F67B20">
      <w:pPr>
        <w:spacing w:after="240" w:line="240" w:lineRule="auto"/>
        <w:jc w:val="both"/>
        <w:rPr>
          <w:rFonts w:ascii="Arial" w:eastAsia="Times New Roman" w:hAnsi="Arial" w:cs="Arial"/>
          <w:b/>
          <w:bCs/>
          <w:kern w:val="0"/>
          <w:sz w:val="24"/>
          <w:szCs w:val="24"/>
          <w:lang w:eastAsia="en-IN"/>
        </w:rPr>
      </w:pP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en-IN"/>
        </w:rPr>
        <w:t xml:space="preserve">3.3 </w:t>
      </w:r>
      <w:r w:rsidR="00140015" w:rsidRPr="00F67B20">
        <w:rPr>
          <w:rFonts w:ascii="Arial" w:eastAsia="Times New Roman" w:hAnsi="Arial" w:cs="Arial"/>
          <w:b/>
          <w:bCs/>
          <w:kern w:val="0"/>
          <w:sz w:val="24"/>
          <w:szCs w:val="24"/>
          <w:lang w:eastAsia="en-IN"/>
        </w:rPr>
        <w:t>Anti-</w:t>
      </w:r>
      <w:r w:rsidR="009D0469">
        <w:rPr>
          <w:rFonts w:ascii="Arial" w:eastAsia="Times New Roman" w:hAnsi="Arial" w:cs="Arial"/>
          <w:b/>
          <w:bCs/>
          <w:kern w:val="0"/>
          <w:sz w:val="24"/>
          <w:szCs w:val="24"/>
          <w:lang w:eastAsia="en-IN"/>
        </w:rPr>
        <w:t>B</w:t>
      </w:r>
      <w:r w:rsidR="00140015" w:rsidRPr="00F67B20">
        <w:rPr>
          <w:rFonts w:ascii="Arial" w:eastAsia="Times New Roman" w:hAnsi="Arial" w:cs="Arial"/>
          <w:b/>
          <w:bCs/>
          <w:kern w:val="0"/>
          <w:sz w:val="24"/>
          <w:szCs w:val="24"/>
          <w:lang w:eastAsia="en-IN"/>
        </w:rPr>
        <w:t xml:space="preserve">iofilm </w:t>
      </w:r>
      <w:r w:rsidR="009D0469">
        <w:rPr>
          <w:rFonts w:ascii="Arial" w:eastAsia="Times New Roman" w:hAnsi="Arial" w:cs="Arial"/>
          <w:b/>
          <w:bCs/>
          <w:kern w:val="0"/>
          <w:sz w:val="24"/>
          <w:szCs w:val="24"/>
          <w:lang w:eastAsia="en-IN"/>
        </w:rPr>
        <w:t>A</w:t>
      </w:r>
      <w:r w:rsidR="00140015" w:rsidRPr="00F67B20">
        <w:rPr>
          <w:rFonts w:ascii="Arial" w:eastAsia="Times New Roman" w:hAnsi="Arial" w:cs="Arial"/>
          <w:b/>
          <w:bCs/>
          <w:kern w:val="0"/>
          <w:sz w:val="24"/>
          <w:szCs w:val="24"/>
          <w:lang w:eastAsia="en-IN"/>
        </w:rPr>
        <w:t xml:space="preserve">ctivity </w:t>
      </w:r>
      <w:r w:rsidR="009D0469">
        <w:rPr>
          <w:rFonts w:ascii="Arial" w:eastAsia="Times New Roman" w:hAnsi="Arial" w:cs="Arial"/>
          <w:b/>
          <w:bCs/>
          <w:kern w:val="0"/>
          <w:sz w:val="24"/>
          <w:szCs w:val="24"/>
          <w:lang w:eastAsia="en-IN"/>
        </w:rPr>
        <w:t>A</w:t>
      </w:r>
      <w:r w:rsidR="00A17298" w:rsidRPr="00F67B20">
        <w:rPr>
          <w:rFonts w:ascii="Arial" w:eastAsia="Times New Roman" w:hAnsi="Arial" w:cs="Arial"/>
          <w:b/>
          <w:bCs/>
          <w:kern w:val="0"/>
          <w:sz w:val="24"/>
          <w:szCs w:val="24"/>
          <w:lang w:eastAsia="en-IN"/>
        </w:rPr>
        <w:t>ssessment</w:t>
      </w:r>
      <w:r w:rsidR="00140015" w:rsidRPr="00F67B20">
        <w:rPr>
          <w:rFonts w:ascii="Arial" w:eastAsia="Times New Roman" w:hAnsi="Arial" w:cs="Arial"/>
          <w:b/>
          <w:bCs/>
          <w:kern w:val="0"/>
          <w:sz w:val="24"/>
          <w:szCs w:val="24"/>
          <w:lang w:eastAsia="en-IN"/>
        </w:rPr>
        <w:t xml:space="preserve"> of Neem </w:t>
      </w:r>
      <w:r w:rsidR="009D0469">
        <w:rPr>
          <w:rFonts w:ascii="Arial" w:eastAsia="Times New Roman" w:hAnsi="Arial" w:cs="Arial"/>
          <w:b/>
          <w:bCs/>
          <w:kern w:val="0"/>
          <w:sz w:val="24"/>
          <w:szCs w:val="24"/>
          <w:lang w:eastAsia="en-IN"/>
        </w:rPr>
        <w:t>O</w:t>
      </w:r>
      <w:r w:rsidR="00140015" w:rsidRPr="00F67B20">
        <w:rPr>
          <w:rFonts w:ascii="Arial" w:eastAsia="Times New Roman" w:hAnsi="Arial" w:cs="Arial"/>
          <w:b/>
          <w:bCs/>
          <w:kern w:val="0"/>
          <w:sz w:val="24"/>
          <w:szCs w:val="24"/>
          <w:lang w:eastAsia="en-IN"/>
        </w:rPr>
        <w:t>il</w:t>
      </w:r>
    </w:p>
    <w:p w14:paraId="60477F04" w14:textId="0EE6C508" w:rsidR="00234E88" w:rsidRPr="00F67B20" w:rsidRDefault="008110B2" w:rsidP="00F67B20">
      <w:pPr>
        <w:spacing w:after="24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en-IN"/>
        </w:rPr>
      </w:pPr>
      <w:r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>A</w:t>
      </w:r>
      <w:r w:rsidR="00140015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 visible reduction in OD values in the treatment wells of the microtiter plate at higher concentrations of NO indicat</w:t>
      </w:r>
      <w:r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>ed</w:t>
      </w:r>
      <w:r w:rsidR="00140015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 greater inhibition of </w:t>
      </w:r>
      <w:r w:rsidR="00AC09BF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the </w:t>
      </w:r>
      <w:r w:rsidR="00140015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>biofilm formation capacity of NO against both strains (</w:t>
      </w:r>
      <w:r w:rsidR="000C25F9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>Fig</w:t>
      </w:r>
      <w:r w:rsidR="006379C0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>.</w:t>
      </w:r>
      <w:r w:rsidR="007817EC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>5</w:t>
      </w:r>
      <w:r w:rsidR="00140015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>A</w:t>
      </w:r>
      <w:r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>,</w:t>
      </w:r>
      <w:r w:rsidR="00902ADA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 </w:t>
      </w:r>
      <w:r w:rsidR="00B424D1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>C</w:t>
      </w:r>
      <w:r w:rsidR="00140015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). However, the efficacy of NO against </w:t>
      </w:r>
      <w:r w:rsidR="00140015" w:rsidRPr="00F67B20">
        <w:rPr>
          <w:rFonts w:ascii="Arial" w:eastAsia="Times New Roman" w:hAnsi="Arial" w:cs="Arial"/>
          <w:i/>
          <w:iCs/>
          <w:kern w:val="0"/>
          <w:sz w:val="24"/>
          <w:szCs w:val="24"/>
          <w:lang w:eastAsia="en-IN"/>
        </w:rPr>
        <w:t>Klebsiella</w:t>
      </w:r>
      <w:r w:rsidR="00140015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 was </w:t>
      </w:r>
      <w:r w:rsidR="000C25F9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>comparatively</w:t>
      </w:r>
      <w:r w:rsidR="00140015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 higher than </w:t>
      </w:r>
      <w:r w:rsidR="00902ADA" w:rsidRPr="00F67B20">
        <w:rPr>
          <w:rFonts w:ascii="Arial" w:eastAsia="Times New Roman" w:hAnsi="Arial" w:cs="Arial"/>
          <w:i/>
          <w:iCs/>
          <w:kern w:val="0"/>
          <w:sz w:val="24"/>
          <w:szCs w:val="24"/>
          <w:lang w:eastAsia="en-IN"/>
        </w:rPr>
        <w:t>E. coli, as</w:t>
      </w:r>
      <w:r w:rsidR="00140015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 </w:t>
      </w:r>
      <w:r w:rsidR="00902ADA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>evident in</w:t>
      </w:r>
      <w:r w:rsidR="00140015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 both</w:t>
      </w:r>
      <w:r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 TCP and MTT</w:t>
      </w:r>
      <w:r w:rsidR="00B424D1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 assays</w:t>
      </w:r>
      <w:r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 (Fig</w:t>
      </w:r>
      <w:r w:rsidR="00FA48C1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>.</w:t>
      </w:r>
      <w:r w:rsidR="007817EC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>5</w:t>
      </w:r>
      <w:r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>B,</w:t>
      </w:r>
      <w:r w:rsidR="007817EC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 </w:t>
      </w:r>
      <w:r w:rsidR="00B424D1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>D</w:t>
      </w:r>
      <w:r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>).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BA57F2" w:rsidRPr="00F67B20" w14:paraId="16171901" w14:textId="77777777" w:rsidTr="00CB4DB0">
        <w:tc>
          <w:tcPr>
            <w:tcW w:w="4675" w:type="dxa"/>
          </w:tcPr>
          <w:p w14:paraId="31E0AA39" w14:textId="77777777" w:rsidR="00CB4DB0" w:rsidRPr="00F67B20" w:rsidRDefault="00CB4DB0" w:rsidP="00F67B20">
            <w:pPr>
              <w:spacing w:after="240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en-IN"/>
              </w:rPr>
            </w:pPr>
            <w:r w:rsidRPr="00F67B20">
              <w:rPr>
                <w:rFonts w:ascii="Arial" w:eastAsia="Times New Roman" w:hAnsi="Arial" w:cs="Arial"/>
                <w:kern w:val="0"/>
                <w:sz w:val="24"/>
                <w:szCs w:val="24"/>
                <w:lang w:eastAsia="en-IN"/>
              </w:rPr>
              <w:t>A.</w:t>
            </w:r>
          </w:p>
          <w:p w14:paraId="12EF2A85" w14:textId="77777777" w:rsidR="00CB4DB0" w:rsidRPr="00F67B20" w:rsidRDefault="00CB4DB0" w:rsidP="00F67B20">
            <w:pPr>
              <w:spacing w:after="240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en-IN"/>
              </w:rPr>
            </w:pPr>
            <w:r w:rsidRPr="00F67B20">
              <w:rPr>
                <w:rFonts w:ascii="Arial" w:hAnsi="Arial" w:cs="Arial"/>
                <w:noProof/>
                <w:sz w:val="24"/>
                <w:szCs w:val="24"/>
                <w:lang w:val="en-US"/>
              </w:rPr>
              <w:drawing>
                <wp:inline distT="0" distB="0" distL="0" distR="0" wp14:anchorId="55D129A6" wp14:editId="54379913">
                  <wp:extent cx="2181860" cy="571500"/>
                  <wp:effectExtent l="0" t="0" r="8890" b="0"/>
                  <wp:docPr id="190027148" name="Picture 1900271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186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5" w:type="dxa"/>
          </w:tcPr>
          <w:p w14:paraId="7C3EF3AC" w14:textId="77777777" w:rsidR="00CB4DB0" w:rsidRPr="00F67B20" w:rsidRDefault="00CB4DB0" w:rsidP="00F67B20">
            <w:pPr>
              <w:spacing w:after="240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en-IN"/>
              </w:rPr>
            </w:pPr>
            <w:r w:rsidRPr="00F67B20">
              <w:rPr>
                <w:rFonts w:ascii="Arial" w:eastAsia="Times New Roman" w:hAnsi="Arial" w:cs="Arial"/>
                <w:kern w:val="0"/>
                <w:sz w:val="24"/>
                <w:szCs w:val="24"/>
                <w:lang w:eastAsia="en-IN"/>
              </w:rPr>
              <w:t>B.</w:t>
            </w:r>
            <w:r w:rsidRPr="00F67B20">
              <w:rPr>
                <w:rFonts w:ascii="Arial" w:hAnsi="Arial" w:cs="Arial"/>
                <w:noProof/>
                <w:sz w:val="24"/>
                <w:szCs w:val="24"/>
                <w:lang w:val="en-US"/>
              </w:rPr>
              <w:drawing>
                <wp:inline distT="0" distB="0" distL="0" distR="0" wp14:anchorId="73F84A96" wp14:editId="175250C9">
                  <wp:extent cx="2805430" cy="2005330"/>
                  <wp:effectExtent l="0" t="0" r="0" b="0"/>
                  <wp:docPr id="486699148" name="Picture 4866991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05430" cy="2005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A57F2" w:rsidRPr="00F67B20" w14:paraId="6D1FF482" w14:textId="77777777" w:rsidTr="00CB4DB0">
        <w:tc>
          <w:tcPr>
            <w:tcW w:w="4675" w:type="dxa"/>
          </w:tcPr>
          <w:p w14:paraId="0F26F73C" w14:textId="77777777" w:rsidR="00CB4DB0" w:rsidRPr="00F67B20" w:rsidRDefault="00CB4DB0" w:rsidP="00F67B20">
            <w:pPr>
              <w:spacing w:after="240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en-IN"/>
              </w:rPr>
            </w:pPr>
            <w:r w:rsidRPr="00F67B20">
              <w:rPr>
                <w:rFonts w:ascii="Arial" w:eastAsia="Times New Roman" w:hAnsi="Arial" w:cs="Arial"/>
                <w:kern w:val="0"/>
                <w:sz w:val="24"/>
                <w:szCs w:val="24"/>
                <w:lang w:eastAsia="en-IN"/>
              </w:rPr>
              <w:lastRenderedPageBreak/>
              <w:t>C.</w:t>
            </w:r>
          </w:p>
          <w:p w14:paraId="64E7714A" w14:textId="77777777" w:rsidR="00CB4DB0" w:rsidRPr="00F67B20" w:rsidRDefault="00CB4DB0" w:rsidP="00F67B20">
            <w:pPr>
              <w:spacing w:after="240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en-IN"/>
              </w:rPr>
            </w:pPr>
            <w:r w:rsidRPr="00F67B20">
              <w:rPr>
                <w:rFonts w:ascii="Arial" w:hAnsi="Arial" w:cs="Arial"/>
                <w:noProof/>
                <w:sz w:val="24"/>
                <w:szCs w:val="24"/>
                <w:lang w:val="en-US"/>
              </w:rPr>
              <w:drawing>
                <wp:inline distT="0" distB="0" distL="0" distR="0" wp14:anchorId="4BF1DEE6" wp14:editId="78FB9A40">
                  <wp:extent cx="2130425" cy="633730"/>
                  <wp:effectExtent l="0" t="0" r="3175" b="0"/>
                  <wp:docPr id="52" name="Picture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207" r="69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0425" cy="633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5" w:type="dxa"/>
          </w:tcPr>
          <w:p w14:paraId="1DF22270" w14:textId="77777777" w:rsidR="00CB4DB0" w:rsidRPr="00F67B20" w:rsidRDefault="00CB4DB0" w:rsidP="00F67B20">
            <w:pPr>
              <w:spacing w:after="240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en-IN"/>
              </w:rPr>
            </w:pPr>
            <w:r w:rsidRPr="00F67B20">
              <w:rPr>
                <w:rFonts w:ascii="Arial" w:eastAsia="Times New Roman" w:hAnsi="Arial" w:cs="Arial"/>
                <w:kern w:val="0"/>
                <w:sz w:val="24"/>
                <w:szCs w:val="24"/>
                <w:lang w:eastAsia="en-IN"/>
              </w:rPr>
              <w:t>D.</w:t>
            </w:r>
            <w:r w:rsidRPr="00F67B20">
              <w:rPr>
                <w:rFonts w:ascii="Arial" w:hAnsi="Arial" w:cs="Arial"/>
                <w:noProof/>
                <w:sz w:val="24"/>
                <w:szCs w:val="24"/>
                <w:lang w:val="en-US"/>
              </w:rPr>
              <w:drawing>
                <wp:inline distT="0" distB="0" distL="0" distR="0" wp14:anchorId="55844AD6" wp14:editId="4F37D659">
                  <wp:extent cx="2805430" cy="2005330"/>
                  <wp:effectExtent l="0" t="0" r="0" b="0"/>
                  <wp:docPr id="51" name="Picture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05430" cy="2005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B4DB0" w:rsidRPr="00F67B20" w14:paraId="15AC3BA6" w14:textId="77777777" w:rsidTr="00CB4DB0">
        <w:tc>
          <w:tcPr>
            <w:tcW w:w="9350" w:type="dxa"/>
            <w:gridSpan w:val="2"/>
          </w:tcPr>
          <w:p w14:paraId="7DF4068D" w14:textId="1F1B6E24" w:rsidR="00CB4DB0" w:rsidRPr="00F67B20" w:rsidRDefault="00CB4DB0" w:rsidP="00F67B20">
            <w:pPr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en-IN"/>
              </w:rPr>
            </w:pPr>
            <w:bookmarkStart w:id="5" w:name="_Hlk193315888"/>
            <w:r w:rsidRPr="00F67B20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IN"/>
              </w:rPr>
              <w:t xml:space="preserve">Fig. </w:t>
            </w:r>
            <w:r w:rsidR="007817EC" w:rsidRPr="00F67B20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IN"/>
              </w:rPr>
              <w:t>5</w:t>
            </w:r>
            <w:r w:rsidRPr="00F67B20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IN"/>
              </w:rPr>
              <w:t>: A and C</w:t>
            </w:r>
            <w:r w:rsidRPr="00F67B20"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en-IN"/>
              </w:rPr>
              <w:t>:</w:t>
            </w:r>
            <w:r w:rsidRPr="00F67B20">
              <w:rPr>
                <w:rFonts w:ascii="Arial" w:eastAsia="Times New Roman" w:hAnsi="Arial" w:cs="Arial"/>
                <w:kern w:val="0"/>
                <w:sz w:val="24"/>
                <w:szCs w:val="24"/>
                <w:lang w:eastAsia="en-IN"/>
              </w:rPr>
              <w:t xml:space="preserve"> wells of the NO-treated microtiter plates of </w:t>
            </w:r>
            <w:r w:rsidRPr="00F67B20"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:lang w:eastAsia="en-IN"/>
              </w:rPr>
              <w:t>E. coli</w:t>
            </w:r>
            <w:r w:rsidRPr="00F67B20">
              <w:rPr>
                <w:rFonts w:ascii="Arial" w:eastAsia="Times New Roman" w:hAnsi="Arial" w:cs="Arial"/>
                <w:kern w:val="0"/>
                <w:sz w:val="24"/>
                <w:szCs w:val="24"/>
                <w:lang w:eastAsia="en-IN"/>
              </w:rPr>
              <w:t xml:space="preserve"> and</w:t>
            </w:r>
            <w:r w:rsidRPr="00F67B20"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:lang w:eastAsia="en-IN"/>
              </w:rPr>
              <w:t xml:space="preserve"> Klebsiella</w:t>
            </w:r>
            <w:r w:rsidRPr="00F67B20">
              <w:rPr>
                <w:rFonts w:ascii="Arial" w:eastAsia="Times New Roman" w:hAnsi="Arial" w:cs="Arial"/>
                <w:kern w:val="0"/>
                <w:sz w:val="24"/>
                <w:szCs w:val="24"/>
                <w:lang w:eastAsia="en-IN"/>
              </w:rPr>
              <w:t xml:space="preserve"> for TCP and MTT assays. </w:t>
            </w:r>
            <w:r w:rsidRPr="00F67B20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IN"/>
              </w:rPr>
              <w:t>B and D</w:t>
            </w:r>
            <w:r w:rsidRPr="00F67B20">
              <w:rPr>
                <w:rFonts w:ascii="Arial" w:eastAsia="Times New Roman" w:hAnsi="Arial" w:cs="Arial"/>
                <w:kern w:val="0"/>
                <w:sz w:val="24"/>
                <w:szCs w:val="24"/>
                <w:lang w:eastAsia="en-IN"/>
              </w:rPr>
              <w:t>: Changes in the OD values with change in NO concentrations depicted via column plot.</w:t>
            </w:r>
            <w:bookmarkEnd w:id="5"/>
          </w:p>
        </w:tc>
      </w:tr>
    </w:tbl>
    <w:p w14:paraId="0B78FC7D" w14:textId="77777777" w:rsidR="00CB4DB0" w:rsidRPr="00F67B20" w:rsidRDefault="00CB4DB0" w:rsidP="00F67B20">
      <w:pPr>
        <w:spacing w:line="240" w:lineRule="auto"/>
        <w:jc w:val="both"/>
        <w:rPr>
          <w:rFonts w:ascii="Arial" w:eastAsia="Times New Roman" w:hAnsi="Arial" w:cs="Arial"/>
          <w:b/>
          <w:bCs/>
          <w:noProof/>
          <w:kern w:val="0"/>
          <w:sz w:val="24"/>
          <w:szCs w:val="24"/>
          <w:lang w:eastAsia="en-IN"/>
        </w:rPr>
      </w:pPr>
    </w:p>
    <w:p w14:paraId="3B7B0F31" w14:textId="0E2089E8" w:rsidR="00CB4DB0" w:rsidRPr="00F67B20" w:rsidRDefault="00CB4DB0" w:rsidP="00F67B20">
      <w:pPr>
        <w:spacing w:line="240" w:lineRule="auto"/>
        <w:jc w:val="both"/>
        <w:rPr>
          <w:rFonts w:ascii="Arial" w:eastAsia="Times New Roman" w:hAnsi="Arial" w:cs="Arial"/>
          <w:noProof/>
          <w:kern w:val="0"/>
          <w:sz w:val="24"/>
          <w:szCs w:val="24"/>
          <w:lang w:eastAsia="en-IN"/>
        </w:rPr>
      </w:pPr>
      <w:r w:rsidRPr="00F67B20">
        <w:rPr>
          <w:rFonts w:ascii="Arial" w:eastAsia="Times New Roman" w:hAnsi="Arial" w:cs="Arial"/>
          <w:noProof/>
          <w:kern w:val="0"/>
          <w:sz w:val="24"/>
          <w:szCs w:val="24"/>
          <w:lang w:eastAsia="en-IN"/>
        </w:rPr>
        <w:t>Multiple studies have confirmed similar findings</w:t>
      </w:r>
      <w:r w:rsidR="00192F5B">
        <w:rPr>
          <w:rFonts w:ascii="Arial" w:eastAsia="Times New Roman" w:hAnsi="Arial" w:cs="Arial"/>
          <w:noProof/>
          <w:kern w:val="0"/>
          <w:sz w:val="24"/>
          <w:szCs w:val="24"/>
          <w:lang w:eastAsia="en-IN"/>
        </w:rPr>
        <w:t>,</w:t>
      </w:r>
      <w:r w:rsidRPr="00F67B20">
        <w:rPr>
          <w:rFonts w:ascii="Arial" w:eastAsia="Times New Roman" w:hAnsi="Arial" w:cs="Arial"/>
          <w:noProof/>
          <w:kern w:val="0"/>
          <w:sz w:val="24"/>
          <w:szCs w:val="24"/>
          <w:lang w:eastAsia="en-IN"/>
        </w:rPr>
        <w:t xml:space="preserve"> stating Neem oil </w:t>
      </w:r>
      <w:r w:rsidR="00192F5B">
        <w:rPr>
          <w:rFonts w:ascii="Arial" w:eastAsia="Times New Roman" w:hAnsi="Arial" w:cs="Arial"/>
          <w:noProof/>
          <w:kern w:val="0"/>
          <w:sz w:val="24"/>
          <w:szCs w:val="24"/>
          <w:lang w:eastAsia="en-IN"/>
        </w:rPr>
        <w:t>exhibits</w:t>
      </w:r>
      <w:r w:rsidRPr="00F67B20">
        <w:rPr>
          <w:rFonts w:ascii="Arial" w:eastAsia="Times New Roman" w:hAnsi="Arial" w:cs="Arial"/>
          <w:noProof/>
          <w:kern w:val="0"/>
          <w:sz w:val="24"/>
          <w:szCs w:val="24"/>
          <w:lang w:eastAsia="en-IN"/>
        </w:rPr>
        <w:t xml:space="preserve"> a concentration-dependent inhibition of biofilm formation in both </w:t>
      </w:r>
      <w:r w:rsidRPr="00F67B20">
        <w:rPr>
          <w:rFonts w:ascii="Arial" w:eastAsia="Times New Roman" w:hAnsi="Arial" w:cs="Arial"/>
          <w:i/>
          <w:iCs/>
          <w:noProof/>
          <w:kern w:val="0"/>
          <w:sz w:val="24"/>
          <w:szCs w:val="24"/>
          <w:lang w:eastAsia="en-IN"/>
        </w:rPr>
        <w:t>Klebsiella pneumoniae</w:t>
      </w:r>
      <w:r w:rsidRPr="00F67B20">
        <w:rPr>
          <w:rFonts w:ascii="Arial" w:eastAsia="Times New Roman" w:hAnsi="Arial" w:cs="Arial"/>
          <w:noProof/>
          <w:kern w:val="0"/>
          <w:sz w:val="24"/>
          <w:szCs w:val="24"/>
          <w:lang w:eastAsia="en-IN"/>
        </w:rPr>
        <w:t> and </w:t>
      </w:r>
      <w:r w:rsidRPr="00F67B20">
        <w:rPr>
          <w:rFonts w:ascii="Arial" w:eastAsia="Times New Roman" w:hAnsi="Arial" w:cs="Arial"/>
          <w:i/>
          <w:iCs/>
          <w:noProof/>
          <w:kern w:val="0"/>
          <w:sz w:val="24"/>
          <w:szCs w:val="24"/>
          <w:lang w:eastAsia="en-IN"/>
        </w:rPr>
        <w:t>Escherichia coli</w:t>
      </w:r>
      <w:r w:rsidR="00192F5B">
        <w:rPr>
          <w:rFonts w:ascii="Arial" w:eastAsia="Times New Roman" w:hAnsi="Arial" w:cs="Arial"/>
          <w:i/>
          <w:iCs/>
          <w:noProof/>
          <w:kern w:val="0"/>
          <w:sz w:val="24"/>
          <w:szCs w:val="24"/>
          <w:lang w:eastAsia="en-IN"/>
        </w:rPr>
        <w:t>,</w:t>
      </w:r>
      <w:r w:rsidRPr="00F67B20">
        <w:rPr>
          <w:rFonts w:ascii="Arial" w:eastAsia="Times New Roman" w:hAnsi="Arial" w:cs="Arial"/>
          <w:i/>
          <w:iCs/>
          <w:noProof/>
          <w:kern w:val="0"/>
          <w:sz w:val="24"/>
          <w:szCs w:val="24"/>
          <w:lang w:eastAsia="en-IN"/>
        </w:rPr>
        <w:t xml:space="preserve"> </w:t>
      </w:r>
      <w:r w:rsidRPr="00F67B20">
        <w:rPr>
          <w:rFonts w:ascii="Arial" w:eastAsia="Times New Roman" w:hAnsi="Arial" w:cs="Arial"/>
          <w:noProof/>
          <w:kern w:val="0"/>
          <w:sz w:val="24"/>
          <w:szCs w:val="24"/>
          <w:lang w:eastAsia="en-IN"/>
        </w:rPr>
        <w:t>where</w:t>
      </w:r>
      <w:r w:rsidR="00192F5B">
        <w:rPr>
          <w:rFonts w:ascii="Arial" w:eastAsia="Times New Roman" w:hAnsi="Arial" w:cs="Arial"/>
          <w:noProof/>
          <w:kern w:val="0"/>
          <w:sz w:val="24"/>
          <w:szCs w:val="24"/>
          <w:lang w:eastAsia="en-IN"/>
        </w:rPr>
        <w:t xml:space="preserve"> </w:t>
      </w:r>
      <w:r w:rsidRPr="00F67B20">
        <w:rPr>
          <w:rFonts w:ascii="Arial" w:eastAsia="Times New Roman" w:hAnsi="Arial" w:cs="Arial"/>
          <w:noProof/>
          <w:kern w:val="0"/>
          <w:sz w:val="24"/>
          <w:szCs w:val="24"/>
          <w:lang w:eastAsia="en-IN"/>
        </w:rPr>
        <w:t xml:space="preserve">increasing Neem oil concentrations lead to greater reductions in optical density (OD) values in microtiter plate assays, indicating more effective inhibition of biofilm biomass (Mahmoud </w:t>
      </w:r>
      <w:r w:rsidRPr="00F67B20">
        <w:rPr>
          <w:rFonts w:ascii="Arial" w:eastAsia="Times New Roman" w:hAnsi="Arial" w:cs="Arial"/>
          <w:i/>
          <w:iCs/>
          <w:noProof/>
          <w:kern w:val="0"/>
          <w:sz w:val="24"/>
          <w:szCs w:val="24"/>
          <w:lang w:eastAsia="en-IN"/>
        </w:rPr>
        <w:t>et al.</w:t>
      </w:r>
      <w:r w:rsidRPr="00F67B20">
        <w:rPr>
          <w:rFonts w:ascii="Arial" w:eastAsia="Times New Roman" w:hAnsi="Arial" w:cs="Arial"/>
          <w:noProof/>
          <w:kern w:val="0"/>
          <w:sz w:val="24"/>
          <w:szCs w:val="24"/>
          <w:lang w:eastAsia="en-IN"/>
        </w:rPr>
        <w:t>, 2024). Also</w:t>
      </w:r>
      <w:r w:rsidR="00192F5B">
        <w:rPr>
          <w:rFonts w:ascii="Arial" w:eastAsia="Times New Roman" w:hAnsi="Arial" w:cs="Arial"/>
          <w:noProof/>
          <w:kern w:val="0"/>
          <w:sz w:val="24"/>
          <w:szCs w:val="24"/>
          <w:lang w:eastAsia="en-IN"/>
        </w:rPr>
        <w:t>,</w:t>
      </w:r>
      <w:r w:rsidRPr="00F67B20">
        <w:rPr>
          <w:rFonts w:ascii="Arial" w:eastAsia="Times New Roman" w:hAnsi="Arial" w:cs="Arial"/>
          <w:noProof/>
          <w:kern w:val="0"/>
          <w:sz w:val="24"/>
          <w:szCs w:val="24"/>
          <w:lang w:eastAsia="en-IN"/>
        </w:rPr>
        <w:t xml:space="preserve"> </w:t>
      </w:r>
      <w:r w:rsidR="00192F5B">
        <w:rPr>
          <w:rFonts w:ascii="Arial" w:eastAsia="Times New Roman" w:hAnsi="Arial" w:cs="Arial"/>
          <w:noProof/>
          <w:kern w:val="0"/>
          <w:sz w:val="24"/>
          <w:szCs w:val="24"/>
          <w:lang w:eastAsia="en-IN"/>
        </w:rPr>
        <w:t>evidence is reporting</w:t>
      </w:r>
      <w:r w:rsidRPr="00F67B20">
        <w:rPr>
          <w:rFonts w:ascii="Arial" w:eastAsia="Times New Roman" w:hAnsi="Arial" w:cs="Arial"/>
          <w:noProof/>
          <w:kern w:val="0"/>
          <w:sz w:val="24"/>
          <w:szCs w:val="24"/>
          <w:lang w:eastAsia="en-IN"/>
        </w:rPr>
        <w:t xml:space="preserve"> </w:t>
      </w:r>
      <w:r w:rsidRPr="00F67B20">
        <w:rPr>
          <w:rFonts w:ascii="Arial" w:eastAsia="Times New Roman" w:hAnsi="Arial" w:cs="Arial"/>
          <w:i/>
          <w:iCs/>
          <w:noProof/>
          <w:kern w:val="0"/>
          <w:sz w:val="24"/>
          <w:szCs w:val="24"/>
          <w:lang w:eastAsia="en-IN"/>
        </w:rPr>
        <w:t>Klebsiella</w:t>
      </w:r>
      <w:r w:rsidRPr="00F67B20">
        <w:rPr>
          <w:rFonts w:ascii="Arial" w:eastAsia="Times New Roman" w:hAnsi="Arial" w:cs="Arial"/>
          <w:noProof/>
          <w:kern w:val="0"/>
          <w:sz w:val="24"/>
          <w:szCs w:val="24"/>
          <w:lang w:eastAsia="en-IN"/>
        </w:rPr>
        <w:t> to show a sharper decline in both OD-based biomass and metabolic activity (as measured by MTT assays) upon Neem oil exposure, compared to </w:t>
      </w:r>
      <w:r w:rsidRPr="00F67B20">
        <w:rPr>
          <w:rFonts w:ascii="Arial" w:eastAsia="Times New Roman" w:hAnsi="Arial" w:cs="Arial"/>
          <w:i/>
          <w:iCs/>
          <w:noProof/>
          <w:kern w:val="0"/>
          <w:sz w:val="24"/>
          <w:szCs w:val="24"/>
          <w:lang w:eastAsia="en-IN"/>
        </w:rPr>
        <w:t xml:space="preserve">E. coli </w:t>
      </w:r>
      <w:r w:rsidRPr="00F67B20">
        <w:rPr>
          <w:rFonts w:ascii="Arial" w:eastAsia="Times New Roman" w:hAnsi="Arial" w:cs="Arial"/>
          <w:noProof/>
          <w:kern w:val="0"/>
          <w:sz w:val="24"/>
          <w:szCs w:val="24"/>
          <w:lang w:eastAsia="en-IN"/>
        </w:rPr>
        <w:t>(Omar</w:t>
      </w:r>
      <w:r w:rsidRPr="00F67B20">
        <w:rPr>
          <w:rFonts w:ascii="Arial" w:eastAsia="Times New Roman" w:hAnsi="Arial" w:cs="Arial"/>
          <w:i/>
          <w:iCs/>
          <w:noProof/>
          <w:kern w:val="0"/>
          <w:sz w:val="24"/>
          <w:szCs w:val="24"/>
          <w:lang w:eastAsia="en-IN"/>
        </w:rPr>
        <w:t xml:space="preserve"> et al., </w:t>
      </w:r>
      <w:r w:rsidRPr="00F67B20">
        <w:rPr>
          <w:rFonts w:ascii="Arial" w:eastAsia="Times New Roman" w:hAnsi="Arial" w:cs="Arial"/>
          <w:noProof/>
          <w:kern w:val="0"/>
          <w:sz w:val="24"/>
          <w:szCs w:val="24"/>
          <w:lang w:eastAsia="en-IN"/>
        </w:rPr>
        <w:t>2024)</w:t>
      </w:r>
      <w:r w:rsidR="00192F5B">
        <w:rPr>
          <w:rFonts w:ascii="Arial" w:eastAsia="Times New Roman" w:hAnsi="Arial" w:cs="Arial"/>
          <w:noProof/>
          <w:kern w:val="0"/>
          <w:sz w:val="24"/>
          <w:szCs w:val="24"/>
          <w:lang w:eastAsia="en-IN"/>
        </w:rPr>
        <w:t>.</w:t>
      </w:r>
    </w:p>
    <w:p w14:paraId="7B02A516" w14:textId="5F63C600" w:rsidR="0061319A" w:rsidRPr="00F67B20" w:rsidRDefault="00200F22" w:rsidP="00F67B20">
      <w:pPr>
        <w:spacing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3.4 </w:t>
      </w:r>
      <w:r w:rsidR="00BA57F2" w:rsidRPr="00F67B20">
        <w:rPr>
          <w:rFonts w:ascii="Arial" w:hAnsi="Arial" w:cs="Arial"/>
          <w:b/>
          <w:bCs/>
          <w:sz w:val="24"/>
          <w:szCs w:val="24"/>
        </w:rPr>
        <w:t xml:space="preserve">Percent </w:t>
      </w:r>
      <w:r w:rsidR="009D0469" w:rsidRPr="00F67B20">
        <w:rPr>
          <w:rFonts w:ascii="Arial" w:hAnsi="Arial" w:cs="Arial"/>
          <w:b/>
          <w:bCs/>
          <w:sz w:val="24"/>
          <w:szCs w:val="24"/>
        </w:rPr>
        <w:t>Biofilm Inhibition Assessment</w:t>
      </w:r>
    </w:p>
    <w:p w14:paraId="2F84387A" w14:textId="7C86F41D" w:rsidR="00F04626" w:rsidRPr="00F67B20" w:rsidRDefault="00846F5B" w:rsidP="00F67B20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F67B20">
        <w:rPr>
          <w:rFonts w:ascii="Arial" w:hAnsi="Arial" w:cs="Arial"/>
          <w:sz w:val="24"/>
          <w:szCs w:val="24"/>
        </w:rPr>
        <w:t>It is evident from the graphical depictions in Fig</w:t>
      </w:r>
      <w:r w:rsidR="006379C0" w:rsidRPr="00F67B20">
        <w:rPr>
          <w:rFonts w:ascii="Arial" w:hAnsi="Arial" w:cs="Arial"/>
          <w:sz w:val="24"/>
          <w:szCs w:val="24"/>
        </w:rPr>
        <w:t>.</w:t>
      </w:r>
      <w:r w:rsidR="007817EC" w:rsidRPr="00F67B20">
        <w:rPr>
          <w:rFonts w:ascii="Arial" w:hAnsi="Arial" w:cs="Arial"/>
          <w:sz w:val="24"/>
          <w:szCs w:val="24"/>
        </w:rPr>
        <w:t>6</w:t>
      </w:r>
      <w:r w:rsidRPr="00F67B20">
        <w:rPr>
          <w:rFonts w:ascii="Arial" w:hAnsi="Arial" w:cs="Arial"/>
          <w:sz w:val="24"/>
          <w:szCs w:val="24"/>
        </w:rPr>
        <w:t xml:space="preserve"> and Fig</w:t>
      </w:r>
      <w:r w:rsidR="006379C0" w:rsidRPr="00F67B20">
        <w:rPr>
          <w:rFonts w:ascii="Arial" w:hAnsi="Arial" w:cs="Arial"/>
          <w:sz w:val="24"/>
          <w:szCs w:val="24"/>
        </w:rPr>
        <w:t>.</w:t>
      </w:r>
      <w:r w:rsidR="007817EC" w:rsidRPr="00F67B20">
        <w:rPr>
          <w:rFonts w:ascii="Arial" w:hAnsi="Arial" w:cs="Arial"/>
          <w:sz w:val="24"/>
          <w:szCs w:val="24"/>
        </w:rPr>
        <w:t>7</w:t>
      </w:r>
      <w:r w:rsidRPr="00F67B20">
        <w:rPr>
          <w:rFonts w:ascii="Arial" w:hAnsi="Arial" w:cs="Arial"/>
          <w:sz w:val="24"/>
          <w:szCs w:val="24"/>
        </w:rPr>
        <w:t xml:space="preserve"> that the </w:t>
      </w:r>
      <w:r w:rsidR="000C25F9" w:rsidRPr="00F67B20">
        <w:rPr>
          <w:rFonts w:ascii="Arial" w:hAnsi="Arial" w:cs="Arial"/>
          <w:sz w:val="24"/>
          <w:szCs w:val="24"/>
        </w:rPr>
        <w:t>percent</w:t>
      </w:r>
      <w:r w:rsidRPr="00F67B20">
        <w:rPr>
          <w:rFonts w:ascii="Arial" w:hAnsi="Arial" w:cs="Arial"/>
          <w:sz w:val="24"/>
          <w:szCs w:val="24"/>
        </w:rPr>
        <w:t xml:space="preserve"> biofilm inhibition capacity of </w:t>
      </w:r>
      <w:r w:rsidR="007817EC" w:rsidRPr="00F67B20">
        <w:rPr>
          <w:rFonts w:ascii="Arial" w:hAnsi="Arial" w:cs="Arial"/>
          <w:sz w:val="24"/>
          <w:szCs w:val="24"/>
        </w:rPr>
        <w:t>NO differs</w:t>
      </w:r>
      <w:r w:rsidRPr="00F67B20">
        <w:rPr>
          <w:rFonts w:ascii="Arial" w:hAnsi="Arial" w:cs="Arial"/>
          <w:sz w:val="24"/>
          <w:szCs w:val="24"/>
        </w:rPr>
        <w:t xml:space="preserve"> with </w:t>
      </w:r>
      <w:r w:rsidR="002718D6" w:rsidRPr="00F67B20">
        <w:rPr>
          <w:rFonts w:ascii="Arial" w:hAnsi="Arial" w:cs="Arial"/>
          <w:sz w:val="24"/>
          <w:szCs w:val="24"/>
        </w:rPr>
        <w:t>changes</w:t>
      </w:r>
      <w:r w:rsidRPr="00F67B20">
        <w:rPr>
          <w:rFonts w:ascii="Arial" w:hAnsi="Arial" w:cs="Arial"/>
          <w:sz w:val="24"/>
          <w:szCs w:val="24"/>
        </w:rPr>
        <w:t xml:space="preserve"> in concentrations against both strains studied</w:t>
      </w:r>
      <w:r w:rsidR="00F0328C" w:rsidRPr="00F67B20">
        <w:rPr>
          <w:rFonts w:ascii="Arial" w:hAnsi="Arial" w:cs="Arial"/>
          <w:sz w:val="24"/>
          <w:szCs w:val="24"/>
        </w:rPr>
        <w:t>.</w:t>
      </w:r>
      <w:r w:rsidRPr="00F67B20">
        <w:rPr>
          <w:rFonts w:ascii="Arial" w:hAnsi="Arial" w:cs="Arial"/>
          <w:sz w:val="24"/>
          <w:szCs w:val="24"/>
        </w:rPr>
        <w:t xml:space="preserve"> The maximum inhibit</w:t>
      </w:r>
      <w:r w:rsidR="00F0328C" w:rsidRPr="00F67B20">
        <w:rPr>
          <w:rFonts w:ascii="Arial" w:hAnsi="Arial" w:cs="Arial"/>
          <w:sz w:val="24"/>
          <w:szCs w:val="24"/>
        </w:rPr>
        <w:t xml:space="preserve">ion is </w:t>
      </w:r>
      <w:r w:rsidRPr="00F67B20">
        <w:rPr>
          <w:rFonts w:ascii="Arial" w:hAnsi="Arial" w:cs="Arial"/>
          <w:sz w:val="24"/>
          <w:szCs w:val="24"/>
        </w:rPr>
        <w:t xml:space="preserve">achieved at higher concentrations </w:t>
      </w:r>
      <w:r w:rsidR="00F0328C" w:rsidRPr="00F67B20">
        <w:rPr>
          <w:rFonts w:ascii="Arial" w:hAnsi="Arial" w:cs="Arial"/>
          <w:sz w:val="24"/>
          <w:szCs w:val="24"/>
        </w:rPr>
        <w:t>of</w:t>
      </w:r>
      <w:r w:rsidRPr="00F67B20">
        <w:rPr>
          <w:rFonts w:ascii="Arial" w:hAnsi="Arial" w:cs="Arial"/>
          <w:sz w:val="24"/>
          <w:szCs w:val="24"/>
        </w:rPr>
        <w:t xml:space="preserve"> 25 and 30 µ</w:t>
      </w:r>
      <w:r w:rsidR="00950A3E" w:rsidRPr="00F67B20">
        <w:rPr>
          <w:rFonts w:ascii="Arial" w:hAnsi="Arial" w:cs="Arial"/>
          <w:sz w:val="24"/>
          <w:szCs w:val="24"/>
        </w:rPr>
        <w:t>L</w:t>
      </w:r>
      <w:r w:rsidRPr="00F67B20">
        <w:rPr>
          <w:rFonts w:ascii="Arial" w:hAnsi="Arial" w:cs="Arial"/>
          <w:sz w:val="24"/>
          <w:szCs w:val="24"/>
        </w:rPr>
        <w:t>/m</w:t>
      </w:r>
      <w:r w:rsidR="00950A3E" w:rsidRPr="00F67B20">
        <w:rPr>
          <w:rFonts w:ascii="Arial" w:hAnsi="Arial" w:cs="Arial"/>
          <w:sz w:val="24"/>
          <w:szCs w:val="24"/>
        </w:rPr>
        <w:t>L</w:t>
      </w:r>
      <w:r w:rsidRPr="00F67B20">
        <w:rPr>
          <w:rFonts w:ascii="Arial" w:hAnsi="Arial" w:cs="Arial"/>
          <w:sz w:val="24"/>
          <w:szCs w:val="24"/>
        </w:rPr>
        <w:t xml:space="preserve"> of NO.</w:t>
      </w:r>
      <w:r w:rsidR="007817EC" w:rsidRPr="00F67B20">
        <w:rPr>
          <w:rFonts w:ascii="Arial" w:hAnsi="Arial" w:cs="Arial"/>
          <w:sz w:val="24"/>
          <w:szCs w:val="24"/>
        </w:rPr>
        <w:t xml:space="preserve"> </w:t>
      </w:r>
      <w:r w:rsidR="005323C4" w:rsidRPr="00F67B20">
        <w:rPr>
          <w:rFonts w:ascii="Arial" w:eastAsia="Times New Roman" w:hAnsi="Arial" w:cs="Arial"/>
          <w:noProof/>
          <w:kern w:val="0"/>
          <w:sz w:val="24"/>
          <w:szCs w:val="24"/>
          <w:lang w:eastAsia="en-IN"/>
        </w:rPr>
        <w:t xml:space="preserve">Mahmoud </w:t>
      </w:r>
      <w:r w:rsidR="005323C4" w:rsidRPr="00F67B20">
        <w:rPr>
          <w:rFonts w:ascii="Arial" w:eastAsia="Times New Roman" w:hAnsi="Arial" w:cs="Arial"/>
          <w:i/>
          <w:iCs/>
          <w:noProof/>
          <w:kern w:val="0"/>
          <w:sz w:val="24"/>
          <w:szCs w:val="24"/>
          <w:lang w:eastAsia="en-IN"/>
        </w:rPr>
        <w:t>et al.</w:t>
      </w:r>
      <w:r w:rsidR="005323C4" w:rsidRPr="00F67B20">
        <w:rPr>
          <w:rFonts w:ascii="Arial" w:eastAsia="Times New Roman" w:hAnsi="Arial" w:cs="Arial"/>
          <w:noProof/>
          <w:kern w:val="0"/>
          <w:sz w:val="24"/>
          <w:szCs w:val="24"/>
          <w:lang w:eastAsia="en-IN"/>
        </w:rPr>
        <w:t xml:space="preserve"> (2024) in </w:t>
      </w:r>
      <w:r w:rsidR="007817EC" w:rsidRPr="00F67B20">
        <w:rPr>
          <w:rFonts w:ascii="Arial" w:eastAsia="Times New Roman" w:hAnsi="Arial" w:cs="Arial"/>
          <w:noProof/>
          <w:kern w:val="0"/>
          <w:sz w:val="24"/>
          <w:szCs w:val="24"/>
          <w:lang w:eastAsia="en-IN"/>
        </w:rPr>
        <w:t>their</w:t>
      </w:r>
      <w:r w:rsidR="005323C4" w:rsidRPr="00F67B20">
        <w:rPr>
          <w:rFonts w:ascii="Arial" w:eastAsia="Times New Roman" w:hAnsi="Arial" w:cs="Arial"/>
          <w:noProof/>
          <w:kern w:val="0"/>
          <w:sz w:val="24"/>
          <w:szCs w:val="24"/>
          <w:lang w:eastAsia="en-IN"/>
        </w:rPr>
        <w:t xml:space="preserve"> findings reported that in </w:t>
      </w:r>
      <w:r w:rsidR="00475796" w:rsidRPr="00F67B20">
        <w:rPr>
          <w:rFonts w:ascii="Arial" w:hAnsi="Arial" w:cs="Arial"/>
          <w:sz w:val="24"/>
          <w:szCs w:val="24"/>
        </w:rPr>
        <w:t>microtiter plate-based assays, the percentage of biofilm inhibition by Neem extract can reach over 70% for </w:t>
      </w:r>
      <w:r w:rsidR="00475796" w:rsidRPr="00F67B20">
        <w:rPr>
          <w:rFonts w:ascii="Arial" w:hAnsi="Arial" w:cs="Arial"/>
          <w:i/>
          <w:iCs/>
          <w:sz w:val="24"/>
          <w:szCs w:val="24"/>
        </w:rPr>
        <w:t>Klebsiella pneumoniae</w:t>
      </w:r>
      <w:r w:rsidR="00475796" w:rsidRPr="00F67B20">
        <w:rPr>
          <w:rFonts w:ascii="Arial" w:hAnsi="Arial" w:cs="Arial"/>
          <w:sz w:val="24"/>
          <w:szCs w:val="24"/>
        </w:rPr>
        <w:t xml:space="preserve"> at higher concentrations (100 </w:t>
      </w:r>
      <w:proofErr w:type="spellStart"/>
      <w:r w:rsidR="00475796" w:rsidRPr="00F67B20">
        <w:rPr>
          <w:rFonts w:ascii="Arial" w:hAnsi="Arial" w:cs="Arial"/>
          <w:sz w:val="24"/>
          <w:szCs w:val="24"/>
        </w:rPr>
        <w:t>μg</w:t>
      </w:r>
      <w:proofErr w:type="spellEnd"/>
      <w:r w:rsidR="00475796" w:rsidRPr="00F67B20">
        <w:rPr>
          <w:rFonts w:ascii="Arial" w:hAnsi="Arial" w:cs="Arial"/>
          <w:sz w:val="24"/>
          <w:szCs w:val="24"/>
        </w:rPr>
        <w:t>/mL), while the inhibition for </w:t>
      </w:r>
      <w:r w:rsidR="00475796" w:rsidRPr="00F67B20">
        <w:rPr>
          <w:rFonts w:ascii="Arial" w:hAnsi="Arial" w:cs="Arial"/>
          <w:i/>
          <w:iCs/>
          <w:sz w:val="24"/>
          <w:szCs w:val="24"/>
        </w:rPr>
        <w:t>E. coli</w:t>
      </w:r>
      <w:r w:rsidR="00475796" w:rsidRPr="00F67B20">
        <w:rPr>
          <w:rFonts w:ascii="Arial" w:hAnsi="Arial" w:cs="Arial"/>
          <w:sz w:val="24"/>
          <w:szCs w:val="24"/>
        </w:rPr>
        <w:t> is generally lower at similar doses</w:t>
      </w:r>
      <w:r w:rsidR="005323C4" w:rsidRPr="00F67B20">
        <w:rPr>
          <w:rFonts w:ascii="Arial" w:hAnsi="Arial" w:cs="Arial"/>
          <w:sz w:val="24"/>
          <w:szCs w:val="24"/>
        </w:rPr>
        <w:t>.</w:t>
      </w:r>
    </w:p>
    <w:p w14:paraId="7E7760FB" w14:textId="6669FED5" w:rsidR="00D5269D" w:rsidRPr="00F67B20" w:rsidRDefault="000D1DC7" w:rsidP="00F67B20">
      <w:pPr>
        <w:spacing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en-IN"/>
        </w:rPr>
      </w:pPr>
      <w:r w:rsidRPr="00F67B20">
        <w:rPr>
          <w:rFonts w:ascii="Arial" w:hAnsi="Arial" w:cs="Arial"/>
          <w:sz w:val="24"/>
          <w:szCs w:val="24"/>
        </w:rPr>
        <w:t xml:space="preserve">ESBL pathogens contributing to the spread of biofilm-related diseases </w:t>
      </w:r>
      <w:r w:rsidR="00CB4DB0" w:rsidRPr="00F67B20">
        <w:rPr>
          <w:rFonts w:ascii="Arial" w:hAnsi="Arial" w:cs="Arial"/>
          <w:sz w:val="24"/>
          <w:szCs w:val="24"/>
        </w:rPr>
        <w:t>are</w:t>
      </w:r>
      <w:r w:rsidRPr="00F67B20">
        <w:rPr>
          <w:rFonts w:ascii="Arial" w:hAnsi="Arial" w:cs="Arial"/>
          <w:sz w:val="24"/>
          <w:szCs w:val="24"/>
        </w:rPr>
        <w:t xml:space="preserve"> an alarming aspect of tackling antimicrobial resistance.</w:t>
      </w:r>
      <w:r w:rsidR="007817EC" w:rsidRPr="00F67B20">
        <w:rPr>
          <w:rFonts w:ascii="Arial" w:hAnsi="Arial" w:cs="Arial"/>
          <w:sz w:val="24"/>
          <w:szCs w:val="24"/>
        </w:rPr>
        <w:t xml:space="preserve"> </w:t>
      </w:r>
      <w:r w:rsidR="00D91028" w:rsidRPr="00F67B20">
        <w:rPr>
          <w:rFonts w:ascii="Arial" w:hAnsi="Arial" w:cs="Arial"/>
          <w:sz w:val="24"/>
          <w:szCs w:val="24"/>
        </w:rPr>
        <w:t>T</w:t>
      </w:r>
      <w:r w:rsidRPr="00F67B20">
        <w:rPr>
          <w:rFonts w:ascii="Arial" w:hAnsi="Arial" w:cs="Arial"/>
          <w:sz w:val="24"/>
          <w:szCs w:val="24"/>
        </w:rPr>
        <w:t>he anti-biofilm</w:t>
      </w:r>
      <w:r w:rsidR="00D91028" w:rsidRPr="00F67B20">
        <w:rPr>
          <w:rFonts w:ascii="Arial" w:hAnsi="Arial" w:cs="Arial"/>
          <w:sz w:val="24"/>
          <w:szCs w:val="24"/>
        </w:rPr>
        <w:t xml:space="preserve"> properties</w:t>
      </w:r>
      <w:r w:rsidRPr="00F67B20">
        <w:rPr>
          <w:rFonts w:ascii="Arial" w:hAnsi="Arial" w:cs="Arial"/>
          <w:sz w:val="24"/>
          <w:szCs w:val="24"/>
        </w:rPr>
        <w:t xml:space="preserve"> of Neem oil</w:t>
      </w:r>
      <w:r w:rsidR="00601EBE" w:rsidRPr="00F67B20">
        <w:rPr>
          <w:rFonts w:ascii="Arial" w:hAnsi="Arial" w:cs="Arial"/>
          <w:sz w:val="24"/>
          <w:szCs w:val="24"/>
        </w:rPr>
        <w:t xml:space="preserve"> studied in the present investig</w:t>
      </w:r>
      <w:r w:rsidR="0096311F" w:rsidRPr="00F67B20">
        <w:rPr>
          <w:rFonts w:ascii="Arial" w:hAnsi="Arial" w:cs="Arial"/>
          <w:sz w:val="24"/>
          <w:szCs w:val="24"/>
        </w:rPr>
        <w:t>a</w:t>
      </w:r>
      <w:r w:rsidR="00601EBE" w:rsidRPr="00F67B20">
        <w:rPr>
          <w:rFonts w:ascii="Arial" w:hAnsi="Arial" w:cs="Arial"/>
          <w:sz w:val="24"/>
          <w:szCs w:val="24"/>
        </w:rPr>
        <w:t>tion</w:t>
      </w:r>
      <w:r w:rsidR="00CB4DB0" w:rsidRPr="00F67B20">
        <w:rPr>
          <w:rFonts w:ascii="Arial" w:hAnsi="Arial" w:cs="Arial"/>
          <w:sz w:val="24"/>
          <w:szCs w:val="24"/>
        </w:rPr>
        <w:t>,</w:t>
      </w:r>
      <w:r w:rsidR="00070DDC" w:rsidRPr="00F67B20">
        <w:rPr>
          <w:rFonts w:ascii="Arial" w:hAnsi="Arial" w:cs="Arial"/>
          <w:sz w:val="24"/>
          <w:szCs w:val="24"/>
        </w:rPr>
        <w:t xml:space="preserve"> </w:t>
      </w:r>
      <w:r w:rsidRPr="00F67B20">
        <w:rPr>
          <w:rFonts w:ascii="Arial" w:hAnsi="Arial" w:cs="Arial"/>
          <w:sz w:val="24"/>
          <w:szCs w:val="24"/>
        </w:rPr>
        <w:t xml:space="preserve">based on </w:t>
      </w:r>
      <w:r w:rsidR="00A60255" w:rsidRPr="00F67B20">
        <w:rPr>
          <w:rFonts w:ascii="Arial" w:hAnsi="Arial" w:cs="Arial"/>
          <w:sz w:val="24"/>
          <w:szCs w:val="24"/>
        </w:rPr>
        <w:t>the crystal</w:t>
      </w:r>
      <w:r w:rsidRPr="00F67B20">
        <w:rPr>
          <w:rFonts w:ascii="Arial" w:hAnsi="Arial" w:cs="Arial"/>
          <w:sz w:val="24"/>
          <w:szCs w:val="24"/>
        </w:rPr>
        <w:t xml:space="preserve"> violet and MTT assay</w:t>
      </w:r>
      <w:r w:rsidR="00CB4DB0" w:rsidRPr="00F67B20">
        <w:rPr>
          <w:rFonts w:ascii="Arial" w:hAnsi="Arial" w:cs="Arial"/>
          <w:sz w:val="24"/>
          <w:szCs w:val="24"/>
        </w:rPr>
        <w:t>,</w:t>
      </w:r>
      <w:r w:rsidR="00A60255" w:rsidRPr="00F67B20">
        <w:rPr>
          <w:rFonts w:ascii="Arial" w:hAnsi="Arial" w:cs="Arial"/>
          <w:sz w:val="24"/>
          <w:szCs w:val="24"/>
        </w:rPr>
        <w:t xml:space="preserve"> </w:t>
      </w:r>
      <w:r w:rsidR="007636D1" w:rsidRPr="00F67B20">
        <w:rPr>
          <w:rFonts w:ascii="Arial" w:hAnsi="Arial" w:cs="Arial"/>
          <w:sz w:val="24"/>
          <w:szCs w:val="24"/>
        </w:rPr>
        <w:t>indicate t</w:t>
      </w:r>
      <w:r w:rsidRPr="00F67B20">
        <w:rPr>
          <w:rFonts w:ascii="Arial" w:hAnsi="Arial" w:cs="Arial"/>
          <w:sz w:val="24"/>
          <w:szCs w:val="24"/>
        </w:rPr>
        <w:t xml:space="preserve">hat NO at higher concentrations was able to inhibit biofilm production of </w:t>
      </w:r>
      <w:r w:rsidR="00A60255" w:rsidRPr="00F67B20">
        <w:rPr>
          <w:rFonts w:ascii="Arial" w:hAnsi="Arial" w:cs="Arial"/>
          <w:sz w:val="24"/>
          <w:szCs w:val="24"/>
        </w:rPr>
        <w:t xml:space="preserve">ESBL-producing </w:t>
      </w:r>
      <w:r w:rsidR="00A60255" w:rsidRPr="00030640">
        <w:rPr>
          <w:rFonts w:ascii="Arial" w:hAnsi="Arial" w:cs="Arial"/>
          <w:i/>
          <w:iCs/>
          <w:sz w:val="24"/>
          <w:szCs w:val="24"/>
        </w:rPr>
        <w:t>Klebsiella</w:t>
      </w:r>
      <w:r w:rsidR="00A60255" w:rsidRPr="00F67B20">
        <w:rPr>
          <w:rFonts w:ascii="Arial" w:hAnsi="Arial" w:cs="Arial"/>
          <w:sz w:val="24"/>
          <w:szCs w:val="24"/>
        </w:rPr>
        <w:t xml:space="preserve"> and </w:t>
      </w:r>
      <w:r w:rsidR="00A60255" w:rsidRPr="00030640">
        <w:rPr>
          <w:rFonts w:ascii="Arial" w:hAnsi="Arial" w:cs="Arial"/>
          <w:i/>
          <w:iCs/>
          <w:sz w:val="24"/>
          <w:szCs w:val="24"/>
        </w:rPr>
        <w:t>E. coli</w:t>
      </w:r>
      <w:r w:rsidRPr="00F67B20">
        <w:rPr>
          <w:rFonts w:ascii="Arial" w:hAnsi="Arial" w:cs="Arial"/>
          <w:i/>
          <w:iCs/>
          <w:sz w:val="24"/>
          <w:szCs w:val="24"/>
        </w:rPr>
        <w:t>.</w:t>
      </w:r>
      <w:r w:rsidR="00070DDC" w:rsidRPr="00F67B20">
        <w:rPr>
          <w:rFonts w:ascii="Arial" w:hAnsi="Arial" w:cs="Arial"/>
          <w:i/>
          <w:iCs/>
          <w:sz w:val="24"/>
          <w:szCs w:val="24"/>
        </w:rPr>
        <w:t xml:space="preserve"> </w:t>
      </w:r>
      <w:r w:rsidRPr="00F67B20">
        <w:rPr>
          <w:rFonts w:ascii="Arial" w:hAnsi="Arial" w:cs="Arial"/>
          <w:sz w:val="24"/>
          <w:szCs w:val="24"/>
        </w:rPr>
        <w:t>The MBIC values varied between 15-20 µL/</w:t>
      </w:r>
      <w:proofErr w:type="spellStart"/>
      <w:r w:rsidRPr="00F67B20">
        <w:rPr>
          <w:rFonts w:ascii="Arial" w:hAnsi="Arial" w:cs="Arial"/>
          <w:sz w:val="24"/>
          <w:szCs w:val="24"/>
        </w:rPr>
        <w:t>mL.</w:t>
      </w:r>
      <w:proofErr w:type="spellEnd"/>
      <w:r w:rsidR="00070DDC" w:rsidRPr="00F67B20">
        <w:rPr>
          <w:rFonts w:ascii="Arial" w:hAnsi="Arial" w:cs="Arial"/>
          <w:sz w:val="24"/>
          <w:szCs w:val="24"/>
        </w:rPr>
        <w:t xml:space="preserve"> </w:t>
      </w:r>
      <w:r w:rsidR="00036AB9" w:rsidRPr="00F67B20">
        <w:rPr>
          <w:rFonts w:ascii="Arial" w:hAnsi="Arial" w:cs="Arial"/>
          <w:sz w:val="24"/>
          <w:szCs w:val="24"/>
        </w:rPr>
        <w:t xml:space="preserve">Fehrenbacher </w:t>
      </w:r>
      <w:r w:rsidR="00036AB9" w:rsidRPr="00F67B20">
        <w:rPr>
          <w:rFonts w:ascii="Arial" w:eastAsia="Times New Roman" w:hAnsi="Arial" w:cs="Arial"/>
          <w:i/>
          <w:iCs/>
          <w:kern w:val="0"/>
          <w:sz w:val="24"/>
          <w:szCs w:val="24"/>
          <w:lang w:eastAsia="en-IN"/>
        </w:rPr>
        <w:t>et al.,</w:t>
      </w:r>
      <w:r w:rsidR="00036AB9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 2021</w:t>
      </w:r>
      <w:r w:rsidR="00FF2B0B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 study</w:t>
      </w:r>
      <w:r w:rsidR="00E37FC6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 indicated</w:t>
      </w:r>
      <w:r w:rsidRPr="00F67B20">
        <w:rPr>
          <w:rFonts w:ascii="Arial" w:hAnsi="Arial" w:cs="Arial"/>
          <w:sz w:val="24"/>
          <w:szCs w:val="24"/>
        </w:rPr>
        <w:t xml:space="preserve"> MBIC values of unripe and ripe neem seed extracts to be 100 and 75 µg/mL against </w:t>
      </w:r>
      <w:r w:rsidRPr="00F67B20">
        <w:rPr>
          <w:rFonts w:ascii="Arial" w:hAnsi="Arial" w:cs="Arial"/>
          <w:i/>
          <w:iCs/>
          <w:sz w:val="24"/>
          <w:szCs w:val="24"/>
        </w:rPr>
        <w:t>S.</w:t>
      </w:r>
      <w:r w:rsidR="00DB64D1">
        <w:rPr>
          <w:rFonts w:ascii="Arial" w:hAnsi="Arial" w:cs="Arial"/>
          <w:i/>
          <w:iCs/>
          <w:sz w:val="24"/>
          <w:szCs w:val="24"/>
        </w:rPr>
        <w:t xml:space="preserve"> </w:t>
      </w:r>
      <w:r w:rsidRPr="00F67B20">
        <w:rPr>
          <w:rFonts w:ascii="Arial" w:hAnsi="Arial" w:cs="Arial"/>
          <w:i/>
          <w:iCs/>
          <w:sz w:val="24"/>
          <w:szCs w:val="24"/>
        </w:rPr>
        <w:t>aureus</w:t>
      </w:r>
      <w:r w:rsidR="007817EC" w:rsidRPr="00F67B20">
        <w:rPr>
          <w:rFonts w:ascii="Arial" w:hAnsi="Arial" w:cs="Arial"/>
          <w:i/>
          <w:iCs/>
          <w:sz w:val="24"/>
          <w:szCs w:val="24"/>
        </w:rPr>
        <w:t xml:space="preserve"> </w:t>
      </w:r>
      <w:r w:rsidRPr="00F67B20">
        <w:rPr>
          <w:rFonts w:ascii="Arial" w:hAnsi="Arial" w:cs="Arial"/>
          <w:sz w:val="24"/>
          <w:szCs w:val="24"/>
        </w:rPr>
        <w:t xml:space="preserve">and 300 µg/mL against </w:t>
      </w:r>
      <w:r w:rsidRPr="00F67B20">
        <w:rPr>
          <w:rFonts w:ascii="Arial" w:hAnsi="Arial" w:cs="Arial"/>
          <w:i/>
          <w:iCs/>
          <w:sz w:val="24"/>
          <w:szCs w:val="24"/>
        </w:rPr>
        <w:t xml:space="preserve">Vibrio </w:t>
      </w:r>
      <w:r w:rsidR="00070DDC" w:rsidRPr="00F67B20">
        <w:rPr>
          <w:rFonts w:ascii="Arial" w:hAnsi="Arial" w:cs="Arial"/>
          <w:i/>
          <w:iCs/>
          <w:sz w:val="24"/>
          <w:szCs w:val="24"/>
        </w:rPr>
        <w:t>cholerae,</w:t>
      </w:r>
      <w:r w:rsidRPr="00F67B20">
        <w:rPr>
          <w:rFonts w:ascii="Arial" w:hAnsi="Arial" w:cs="Arial"/>
          <w:i/>
          <w:iCs/>
          <w:sz w:val="24"/>
          <w:szCs w:val="24"/>
        </w:rPr>
        <w:t xml:space="preserve"> </w:t>
      </w:r>
      <w:r w:rsidRPr="00F67B20">
        <w:rPr>
          <w:rFonts w:ascii="Arial" w:hAnsi="Arial" w:cs="Arial"/>
          <w:iCs/>
          <w:sz w:val="24"/>
          <w:szCs w:val="24"/>
        </w:rPr>
        <w:t>respectively</w:t>
      </w:r>
      <w:r w:rsidR="002212E5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>.</w:t>
      </w:r>
    </w:p>
    <w:tbl>
      <w:tblPr>
        <w:tblStyle w:val="TableGrid"/>
        <w:tblW w:w="11368" w:type="dxa"/>
        <w:tblInd w:w="-10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40"/>
        <w:gridCol w:w="5832"/>
      </w:tblGrid>
      <w:tr w:rsidR="00BA57F2" w:rsidRPr="00F67B20" w14:paraId="6D9A2203" w14:textId="77777777" w:rsidTr="009638DE">
        <w:trPr>
          <w:trHeight w:val="3400"/>
        </w:trPr>
        <w:tc>
          <w:tcPr>
            <w:tcW w:w="5764" w:type="dxa"/>
          </w:tcPr>
          <w:p w14:paraId="44D07405" w14:textId="77777777" w:rsidR="00D53064" w:rsidRPr="00F67B20" w:rsidRDefault="00D53064" w:rsidP="00F67B20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67B20">
              <w:rPr>
                <w:rFonts w:ascii="Arial" w:hAnsi="Arial" w:cs="Arial"/>
                <w:b/>
                <w:bCs/>
                <w:noProof/>
                <w:sz w:val="24"/>
                <w:szCs w:val="24"/>
                <w:lang w:val="en-US"/>
              </w:rPr>
              <w:lastRenderedPageBreak/>
              <w:drawing>
                <wp:inline distT="0" distB="0" distL="0" distR="0" wp14:anchorId="2C26EFAC" wp14:editId="6CC55D11">
                  <wp:extent cx="3634838" cy="2026920"/>
                  <wp:effectExtent l="0" t="0" r="0" b="0"/>
                  <wp:docPr id="971358663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9188" cy="20404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04" w:type="dxa"/>
          </w:tcPr>
          <w:p w14:paraId="0BFFC0F5" w14:textId="77777777" w:rsidR="00D53064" w:rsidRPr="00F67B20" w:rsidRDefault="00D53064" w:rsidP="00F67B20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67B20">
              <w:rPr>
                <w:rFonts w:ascii="Arial" w:hAnsi="Arial" w:cs="Arial"/>
                <w:b/>
                <w:bCs/>
                <w:noProof/>
                <w:sz w:val="24"/>
                <w:szCs w:val="24"/>
                <w:lang w:val="en-US"/>
              </w:rPr>
              <w:drawing>
                <wp:inline distT="0" distB="0" distL="0" distR="0" wp14:anchorId="6A904F3B" wp14:editId="3D3C8697">
                  <wp:extent cx="3566160" cy="1988622"/>
                  <wp:effectExtent l="0" t="0" r="0" b="0"/>
                  <wp:docPr id="1366185654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3864" cy="19984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A57F2" w:rsidRPr="00F67B20" w14:paraId="3E14A0F6" w14:textId="77777777" w:rsidTr="009638DE">
        <w:trPr>
          <w:trHeight w:val="426"/>
        </w:trPr>
        <w:tc>
          <w:tcPr>
            <w:tcW w:w="5764" w:type="dxa"/>
          </w:tcPr>
          <w:p w14:paraId="4D17B0F8" w14:textId="623252D3" w:rsidR="00D53064" w:rsidRPr="00F67B20" w:rsidRDefault="00D53064" w:rsidP="00F67B2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67B2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Fig </w:t>
            </w:r>
            <w:r w:rsidR="007817EC" w:rsidRPr="00F67B20">
              <w:rPr>
                <w:rFonts w:ascii="Arial" w:hAnsi="Arial" w:cs="Arial"/>
                <w:b/>
                <w:bCs/>
                <w:sz w:val="24"/>
                <w:szCs w:val="24"/>
              </w:rPr>
              <w:t>6</w:t>
            </w:r>
            <w:r w:rsidRPr="00F67B2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: </w:t>
            </w:r>
            <w:r w:rsidRPr="00F67B20">
              <w:rPr>
                <w:rFonts w:ascii="Arial" w:hAnsi="Arial" w:cs="Arial"/>
                <w:sz w:val="24"/>
                <w:szCs w:val="24"/>
              </w:rPr>
              <w:t>Variation of inhibition percentage with increasing concentration in MTT assay.</w:t>
            </w:r>
          </w:p>
        </w:tc>
        <w:tc>
          <w:tcPr>
            <w:tcW w:w="5604" w:type="dxa"/>
          </w:tcPr>
          <w:p w14:paraId="20ECF8E1" w14:textId="04965142" w:rsidR="00D53064" w:rsidRPr="00F67B20" w:rsidRDefault="00D53064" w:rsidP="00F67B2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67B2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Fig </w:t>
            </w:r>
            <w:r w:rsidR="007817EC" w:rsidRPr="00F67B20">
              <w:rPr>
                <w:rFonts w:ascii="Arial" w:hAnsi="Arial" w:cs="Arial"/>
                <w:b/>
                <w:bCs/>
                <w:sz w:val="24"/>
                <w:szCs w:val="24"/>
              </w:rPr>
              <w:t>7</w:t>
            </w:r>
            <w:r w:rsidRPr="00F67B2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: </w:t>
            </w:r>
            <w:r w:rsidRPr="00F67B20">
              <w:rPr>
                <w:rFonts w:ascii="Arial" w:hAnsi="Arial" w:cs="Arial"/>
                <w:sz w:val="24"/>
                <w:szCs w:val="24"/>
              </w:rPr>
              <w:t>Variation of inhibition percentage with increasing concentration in TCP assay.</w:t>
            </w:r>
          </w:p>
        </w:tc>
      </w:tr>
    </w:tbl>
    <w:p w14:paraId="386FD350" w14:textId="77777777" w:rsidR="00D53064" w:rsidRPr="00F67B20" w:rsidRDefault="00D53064" w:rsidP="00F67B20">
      <w:pPr>
        <w:spacing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350A64A7" w14:textId="1916160C" w:rsidR="00113CF6" w:rsidRPr="00F67B20" w:rsidRDefault="00200F22" w:rsidP="00F67B20">
      <w:pPr>
        <w:spacing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3.5 </w:t>
      </w:r>
      <w:r w:rsidR="00E400EF" w:rsidRPr="00F67B20">
        <w:rPr>
          <w:rFonts w:ascii="Arial" w:hAnsi="Arial" w:cs="Arial"/>
          <w:b/>
          <w:bCs/>
          <w:sz w:val="24"/>
          <w:szCs w:val="24"/>
        </w:rPr>
        <w:t xml:space="preserve">Assessment of </w:t>
      </w:r>
      <w:r w:rsidR="00113CF6" w:rsidRPr="00F67B20">
        <w:rPr>
          <w:rFonts w:ascii="Arial" w:hAnsi="Arial" w:cs="Arial"/>
          <w:b/>
          <w:bCs/>
          <w:sz w:val="24"/>
          <w:szCs w:val="24"/>
        </w:rPr>
        <w:t>Anti-</w:t>
      </w:r>
      <w:r w:rsidR="009D0469">
        <w:rPr>
          <w:rFonts w:ascii="Arial" w:hAnsi="Arial" w:cs="Arial"/>
          <w:b/>
          <w:bCs/>
          <w:sz w:val="24"/>
          <w:szCs w:val="24"/>
        </w:rPr>
        <w:t>I</w:t>
      </w:r>
      <w:r w:rsidR="00113CF6" w:rsidRPr="00F67B20">
        <w:rPr>
          <w:rFonts w:ascii="Arial" w:hAnsi="Arial" w:cs="Arial"/>
          <w:b/>
          <w:bCs/>
          <w:sz w:val="24"/>
          <w:szCs w:val="24"/>
        </w:rPr>
        <w:t xml:space="preserve">nflammatory </w:t>
      </w:r>
      <w:r w:rsidR="009D0469">
        <w:rPr>
          <w:rFonts w:ascii="Arial" w:hAnsi="Arial" w:cs="Arial"/>
          <w:b/>
          <w:bCs/>
          <w:sz w:val="24"/>
          <w:szCs w:val="24"/>
        </w:rPr>
        <w:t>A</w:t>
      </w:r>
      <w:r w:rsidR="00113CF6" w:rsidRPr="00F67B20">
        <w:rPr>
          <w:rFonts w:ascii="Arial" w:hAnsi="Arial" w:cs="Arial"/>
          <w:b/>
          <w:bCs/>
          <w:sz w:val="24"/>
          <w:szCs w:val="24"/>
        </w:rPr>
        <w:t xml:space="preserve">ctivity of </w:t>
      </w:r>
      <w:r w:rsidR="00F0328C" w:rsidRPr="00F67B20">
        <w:rPr>
          <w:rFonts w:ascii="Arial" w:hAnsi="Arial" w:cs="Arial"/>
          <w:b/>
          <w:bCs/>
          <w:sz w:val="24"/>
          <w:szCs w:val="24"/>
        </w:rPr>
        <w:t>NO</w:t>
      </w:r>
    </w:p>
    <w:p w14:paraId="490D478E" w14:textId="7F8DAB28" w:rsidR="00F83DFD" w:rsidRPr="00F67B20" w:rsidRDefault="00201B41" w:rsidP="00F67B20">
      <w:pPr>
        <w:spacing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en-IN"/>
        </w:rPr>
      </w:pPr>
      <w:r>
        <w:rPr>
          <w:rFonts w:ascii="Arial" w:hAnsi="Arial" w:cs="Arial"/>
          <w:b/>
          <w:bCs/>
          <w:iCs/>
          <w:sz w:val="24"/>
          <w:szCs w:val="24"/>
        </w:rPr>
        <w:t xml:space="preserve">3.5.1 </w:t>
      </w:r>
      <w:r w:rsidR="00113CF6" w:rsidRPr="00200F22">
        <w:rPr>
          <w:rFonts w:ascii="Arial" w:hAnsi="Arial" w:cs="Arial"/>
          <w:b/>
          <w:bCs/>
          <w:iCs/>
          <w:sz w:val="24"/>
          <w:szCs w:val="24"/>
        </w:rPr>
        <w:t xml:space="preserve">In vitro </w:t>
      </w:r>
      <w:r w:rsidR="000C25F9" w:rsidRPr="00200F22">
        <w:rPr>
          <w:rFonts w:ascii="Arial" w:hAnsi="Arial" w:cs="Arial"/>
          <w:b/>
          <w:bCs/>
          <w:iCs/>
          <w:sz w:val="24"/>
          <w:szCs w:val="24"/>
        </w:rPr>
        <w:t>i</w:t>
      </w:r>
      <w:r w:rsidR="003E51EE" w:rsidRPr="00200F22">
        <w:rPr>
          <w:rFonts w:ascii="Arial" w:hAnsi="Arial" w:cs="Arial"/>
          <w:b/>
          <w:bCs/>
          <w:iCs/>
          <w:sz w:val="24"/>
          <w:szCs w:val="24"/>
        </w:rPr>
        <w:t>nhibition of Nitric Oxide in murine macrophage cell line</w:t>
      </w:r>
      <w:r w:rsidR="00F04626" w:rsidRPr="00200F22">
        <w:rPr>
          <w:rFonts w:ascii="Arial" w:hAnsi="Arial" w:cs="Arial"/>
          <w:b/>
          <w:bCs/>
          <w:iCs/>
          <w:sz w:val="24"/>
          <w:szCs w:val="24"/>
        </w:rPr>
        <w:t>:</w:t>
      </w:r>
      <w:r w:rsidR="00BA57F2" w:rsidRPr="00F67B20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="007817EC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>NO anti-inflammatory</w:t>
      </w:r>
      <w:r w:rsidR="00F83DFD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 </w:t>
      </w:r>
      <w:r w:rsidR="00C53756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efficacy </w:t>
      </w:r>
      <w:r w:rsidR="00BA57F2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>was recorded in</w:t>
      </w:r>
      <w:r w:rsidR="00C538C8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 LPS</w:t>
      </w:r>
      <w:r w:rsidR="00FE46DC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 (Lipopolysaccharide)</w:t>
      </w:r>
      <w:r w:rsidR="00C538C8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>-stimulated</w:t>
      </w:r>
      <w:r w:rsidR="00F83DFD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 cells</w:t>
      </w:r>
      <w:r w:rsidR="003E51EE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>,</w:t>
      </w:r>
      <w:r w:rsidR="00B47F8B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 indicating</w:t>
      </w:r>
      <w:r w:rsidR="003E51EE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 the peak rate of N</w:t>
      </w:r>
      <w:r w:rsidR="00C538C8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itric </w:t>
      </w:r>
      <w:r w:rsidR="003E51EE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>O</w:t>
      </w:r>
      <w:r w:rsidR="00C538C8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xide </w:t>
      </w:r>
      <w:r w:rsidR="003E51EE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generation </w:t>
      </w:r>
      <w:r w:rsidR="005D0CAA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>occurred</w:t>
      </w:r>
      <w:r w:rsidR="003E51EE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 18–</w:t>
      </w:r>
      <w:r w:rsidR="00F83DFD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24 </w:t>
      </w:r>
      <w:r w:rsidR="003E51EE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>hours after the activator w</w:t>
      </w:r>
      <w:r w:rsidR="00F83DFD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>as</w:t>
      </w:r>
      <w:r w:rsidR="003E51EE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 added</w:t>
      </w:r>
      <w:r w:rsidR="00F83DFD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. </w:t>
      </w:r>
      <w:r w:rsidR="003E51EE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The result </w:t>
      </w:r>
      <w:r w:rsidR="005D0CAA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obtained on </w:t>
      </w:r>
      <w:r w:rsidR="00FE46DC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>adding</w:t>
      </w:r>
      <w:r w:rsidR="00F83DFD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 the </w:t>
      </w:r>
      <w:r w:rsidR="00C53756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>specified concentrations</w:t>
      </w:r>
      <w:r w:rsidR="00C538C8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 of </w:t>
      </w:r>
      <w:r w:rsidR="00E75E6C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>NO</w:t>
      </w:r>
      <w:r w:rsidR="00FE46DC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 to</w:t>
      </w:r>
      <w:r w:rsidR="00C538C8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 the cell</w:t>
      </w:r>
      <w:r w:rsidR="003E51EE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 nitrite generation </w:t>
      </w:r>
      <w:r w:rsidR="005D0CAA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showed that </w:t>
      </w:r>
      <w:r w:rsidR="00C53756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the </w:t>
      </w:r>
      <w:r w:rsidR="00BA57F2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>administration reduced</w:t>
      </w:r>
      <w:r w:rsidR="00F83DFD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 synthesis of N</w:t>
      </w:r>
      <w:r w:rsidR="00C538C8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itric Oxide </w:t>
      </w:r>
      <w:r w:rsidR="00F83DFD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in a dose-dependent way </w:t>
      </w:r>
      <w:r w:rsidR="00F83DFD" w:rsidRPr="00F67B20">
        <w:rPr>
          <w:rFonts w:ascii="Arial" w:eastAsia="Times New Roman" w:hAnsi="Arial" w:cs="Arial"/>
          <w:kern w:val="0"/>
          <w:sz w:val="24"/>
          <w:szCs w:val="24"/>
          <w:u w:val="single"/>
          <w:lang w:eastAsia="en-IN"/>
        </w:rPr>
        <w:t>(</w:t>
      </w:r>
      <w:r w:rsidR="00F83DFD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>Fig</w:t>
      </w:r>
      <w:r w:rsidR="006379C0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>.</w:t>
      </w:r>
      <w:r w:rsidR="007817EC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>8</w:t>
      </w:r>
      <w:r w:rsidR="00F83DFD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>).</w:t>
      </w:r>
      <w:r w:rsidR="00C53756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 Generation</w:t>
      </w:r>
      <w:r w:rsidR="00F83DFD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 was suppressed </w:t>
      </w:r>
      <w:r w:rsidR="003050BF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prominently </w:t>
      </w:r>
      <w:r w:rsidR="00F83DFD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>at</w:t>
      </w:r>
      <w:r w:rsidR="003050BF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 50</w:t>
      </w:r>
      <w:r w:rsidR="0011371C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 µl of </w:t>
      </w:r>
      <w:r w:rsidR="00E75E6C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>NO</w:t>
      </w:r>
      <w:r w:rsidR="005D0CAA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 and its</w:t>
      </w:r>
      <w:r w:rsidR="003050BF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 half and </w:t>
      </w:r>
      <w:r w:rsidR="00B47F8B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>one-fourth</w:t>
      </w:r>
      <w:r w:rsidR="003050BF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 concentrations,</w:t>
      </w:r>
      <w:r w:rsidR="0011371C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 the </w:t>
      </w:r>
      <w:r w:rsidR="003050BF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levels of </w:t>
      </w:r>
      <w:r w:rsidR="00F83DFD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>N</w:t>
      </w:r>
      <w:r w:rsidR="0011371C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>itri</w:t>
      </w:r>
      <w:r w:rsidR="003050BF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te </w:t>
      </w:r>
      <w:r w:rsidR="00C53756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>generation reduced</w:t>
      </w:r>
      <w:r w:rsidR="003050BF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 as compared to the cells administered with LPS singly.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0"/>
      </w:tblGrid>
      <w:tr w:rsidR="00BA57F2" w:rsidRPr="00F67B20" w14:paraId="2A045A7A" w14:textId="77777777" w:rsidTr="00075AA2">
        <w:tc>
          <w:tcPr>
            <w:tcW w:w="9350" w:type="dxa"/>
          </w:tcPr>
          <w:p w14:paraId="1D7EF186" w14:textId="77777777" w:rsidR="005725AB" w:rsidRPr="00F67B20" w:rsidRDefault="005725AB" w:rsidP="00F67B20">
            <w:pPr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en-IN"/>
              </w:rPr>
            </w:pPr>
            <w:r w:rsidRPr="00F67B20">
              <w:rPr>
                <w:rFonts w:ascii="Arial" w:eastAsia="Times New Roman" w:hAnsi="Arial" w:cs="Arial"/>
                <w:noProof/>
                <w:kern w:val="0"/>
                <w:sz w:val="24"/>
                <w:szCs w:val="24"/>
                <w:lang w:val="en-US"/>
              </w:rPr>
              <w:drawing>
                <wp:inline distT="0" distB="0" distL="0" distR="0" wp14:anchorId="2C7A1757" wp14:editId="62DE2AE3">
                  <wp:extent cx="5935980" cy="2545080"/>
                  <wp:effectExtent l="0" t="0" r="0" b="0"/>
                  <wp:docPr id="10164273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35980" cy="2545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725AB" w:rsidRPr="00F67B20" w14:paraId="6C794F84" w14:textId="77777777" w:rsidTr="00075AA2">
        <w:tc>
          <w:tcPr>
            <w:tcW w:w="9350" w:type="dxa"/>
          </w:tcPr>
          <w:p w14:paraId="040FC806" w14:textId="2B9A1749" w:rsidR="005725AB" w:rsidRPr="00F67B20" w:rsidRDefault="00FE46DC" w:rsidP="00F67B20">
            <w:pPr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en-IN"/>
              </w:rPr>
            </w:pPr>
            <w:r w:rsidRPr="00F67B20"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en-IN"/>
              </w:rPr>
              <w:t>F</w:t>
            </w:r>
            <w:r w:rsidR="006379C0" w:rsidRPr="00F67B20"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en-IN"/>
              </w:rPr>
              <w:t>ig.</w:t>
            </w:r>
            <w:r w:rsidR="007817EC" w:rsidRPr="00F67B20"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en-IN"/>
              </w:rPr>
              <w:t>8</w:t>
            </w:r>
            <w:r w:rsidRPr="00F67B20"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en-IN"/>
              </w:rPr>
              <w:t>:</w:t>
            </w:r>
            <w:r w:rsidR="00C1773E" w:rsidRPr="00F67B20">
              <w:rPr>
                <w:rFonts w:ascii="Arial" w:eastAsia="Times New Roman" w:hAnsi="Arial" w:cs="Arial"/>
                <w:kern w:val="0"/>
                <w:sz w:val="24"/>
                <w:szCs w:val="24"/>
                <w:lang w:eastAsia="en-IN"/>
              </w:rPr>
              <w:t xml:space="preserve"> Cell </w:t>
            </w:r>
            <w:r w:rsidRPr="00F67B20">
              <w:rPr>
                <w:rFonts w:ascii="Arial" w:eastAsia="Times New Roman" w:hAnsi="Arial" w:cs="Arial"/>
                <w:kern w:val="0"/>
                <w:sz w:val="24"/>
                <w:szCs w:val="24"/>
                <w:lang w:eastAsia="en-IN"/>
              </w:rPr>
              <w:t xml:space="preserve">Nitrite release levels shown </w:t>
            </w:r>
            <w:r w:rsidR="00C1773E" w:rsidRPr="00F67B20">
              <w:rPr>
                <w:rFonts w:ascii="Arial" w:eastAsia="Times New Roman" w:hAnsi="Arial" w:cs="Arial"/>
                <w:kern w:val="0"/>
                <w:sz w:val="24"/>
                <w:szCs w:val="24"/>
                <w:lang w:eastAsia="en-IN"/>
              </w:rPr>
              <w:t>at the different concentrations of NO administered.</w:t>
            </w:r>
          </w:p>
        </w:tc>
      </w:tr>
    </w:tbl>
    <w:p w14:paraId="04EC63C8" w14:textId="77777777" w:rsidR="005725AB" w:rsidRPr="00F67B20" w:rsidRDefault="005725AB" w:rsidP="00F67B20">
      <w:pPr>
        <w:spacing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en-IN"/>
        </w:rPr>
      </w:pPr>
    </w:p>
    <w:p w14:paraId="3D3F9363" w14:textId="6D62BE85" w:rsidR="00B81F2C" w:rsidRPr="00F67B20" w:rsidRDefault="00AD0BF1" w:rsidP="00F67B20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ESBL and </w:t>
      </w:r>
      <w:r w:rsidR="00027CE2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>MRSA-related diseases</w:t>
      </w:r>
      <w:r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 are often associated with chronic inflammation </w:t>
      </w:r>
      <w:r w:rsidR="005C09E8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>at</w:t>
      </w:r>
      <w:r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 the initiation </w:t>
      </w:r>
      <w:r w:rsidR="00027CE2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>of infection</w:t>
      </w:r>
      <w:r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. The present </w:t>
      </w:r>
      <w:r w:rsidR="00902ADA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>investigation's assessment</w:t>
      </w:r>
      <w:r w:rsidR="005218D8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 of</w:t>
      </w:r>
      <w:r w:rsidR="001918FA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 the</w:t>
      </w:r>
      <w:r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 anti-inflammatory </w:t>
      </w:r>
      <w:r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lastRenderedPageBreak/>
        <w:t xml:space="preserve">ability of Neem oil in a murine model </w:t>
      </w:r>
      <w:r w:rsidR="00027CE2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>show</w:t>
      </w:r>
      <w:r w:rsidR="0054613D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>ed</w:t>
      </w:r>
      <w:r w:rsidR="00027CE2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 a</w:t>
      </w:r>
      <w:r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 decrease in nitrite levels with a 50 </w:t>
      </w:r>
      <w:proofErr w:type="spellStart"/>
      <w:r w:rsidR="00902ADA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>μL</w:t>
      </w:r>
      <w:proofErr w:type="spellEnd"/>
      <w:r w:rsidR="00902ADA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 dose</w:t>
      </w:r>
      <w:r w:rsidR="00AF0CA6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 </w:t>
      </w:r>
      <w:r w:rsidR="0054613D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of </w:t>
      </w:r>
      <w:r w:rsidR="00902ADA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>being</w:t>
      </w:r>
      <w:r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 the most effective.</w:t>
      </w:r>
      <w:r w:rsidR="00902ADA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 </w:t>
      </w:r>
      <w:r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Prior </w:t>
      </w:r>
      <w:r w:rsidR="00902ADA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>research by</w:t>
      </w:r>
      <w:r w:rsidR="00F2587F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 </w:t>
      </w:r>
      <w:r w:rsidR="00FC161D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Chou </w:t>
      </w:r>
      <w:r w:rsidR="00FC161D" w:rsidRPr="00F67B20">
        <w:rPr>
          <w:rFonts w:ascii="Arial" w:eastAsia="Times New Roman" w:hAnsi="Arial" w:cs="Arial"/>
          <w:i/>
          <w:iCs/>
          <w:kern w:val="0"/>
          <w:sz w:val="24"/>
          <w:szCs w:val="24"/>
          <w:lang w:eastAsia="en-IN"/>
        </w:rPr>
        <w:t>et a</w:t>
      </w:r>
      <w:r w:rsidR="00FC161D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>l</w:t>
      </w:r>
      <w:r w:rsidR="00BA3241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>. (</w:t>
      </w:r>
      <w:r w:rsidR="00FC161D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>2013</w:t>
      </w:r>
      <w:r w:rsidR="00BA3241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>)</w:t>
      </w:r>
      <w:r w:rsidR="000119FE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 </w:t>
      </w:r>
      <w:r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indicated </w:t>
      </w:r>
      <w:r w:rsidRPr="00F67B20">
        <w:rPr>
          <w:rFonts w:ascii="Arial" w:hAnsi="Arial" w:cs="Arial"/>
          <w:i/>
          <w:sz w:val="24"/>
          <w:szCs w:val="24"/>
        </w:rPr>
        <w:t>A. millefolium</w:t>
      </w:r>
      <w:r w:rsidRPr="00F67B20">
        <w:rPr>
          <w:rFonts w:ascii="Arial" w:hAnsi="Arial" w:cs="Arial"/>
          <w:sz w:val="24"/>
          <w:szCs w:val="24"/>
        </w:rPr>
        <w:t xml:space="preserve"> essential oil reduces the nitrite levels in RAW 264.7 macrophage cell line by 35% at a concentration of 80 mg/</w:t>
      </w:r>
      <w:proofErr w:type="spellStart"/>
      <w:r w:rsidRPr="00F67B20">
        <w:rPr>
          <w:rFonts w:ascii="Arial" w:hAnsi="Arial" w:cs="Arial"/>
          <w:sz w:val="24"/>
          <w:szCs w:val="24"/>
        </w:rPr>
        <w:t>mL</w:t>
      </w:r>
      <w:r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>.</w:t>
      </w:r>
      <w:proofErr w:type="spellEnd"/>
      <w:r w:rsidR="00DB64D1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 </w:t>
      </w:r>
      <w:r w:rsidRPr="00F67B20">
        <w:rPr>
          <w:rFonts w:ascii="Arial" w:hAnsi="Arial" w:cs="Arial"/>
          <w:sz w:val="24"/>
          <w:szCs w:val="24"/>
        </w:rPr>
        <w:t>In</w:t>
      </w:r>
      <w:r w:rsidR="00644CF9" w:rsidRPr="00F67B20">
        <w:rPr>
          <w:rFonts w:ascii="Arial" w:hAnsi="Arial" w:cs="Arial"/>
          <w:sz w:val="24"/>
          <w:szCs w:val="24"/>
        </w:rPr>
        <w:t xml:space="preserve"> the present</w:t>
      </w:r>
      <w:r w:rsidRPr="00F67B20">
        <w:rPr>
          <w:rFonts w:ascii="Arial" w:hAnsi="Arial" w:cs="Arial"/>
          <w:sz w:val="24"/>
          <w:szCs w:val="24"/>
        </w:rPr>
        <w:t xml:space="preserve"> experiment, a significant decrease (p&lt; 0.0001)</w:t>
      </w:r>
      <w:r w:rsidRPr="00F67B20">
        <w:rPr>
          <w:rFonts w:ascii="Arial" w:hAnsi="Arial" w:cs="Arial"/>
          <w:sz w:val="24"/>
          <w:szCs w:val="24"/>
          <w:vertAlign w:val="superscript"/>
        </w:rPr>
        <w:t xml:space="preserve"> ****</w:t>
      </w:r>
      <w:r w:rsidRPr="00F67B20">
        <w:rPr>
          <w:rFonts w:ascii="Arial" w:hAnsi="Arial" w:cs="Arial"/>
          <w:sz w:val="24"/>
          <w:szCs w:val="24"/>
        </w:rPr>
        <w:t>in total leucocytes (×10</w:t>
      </w:r>
      <w:r w:rsidRPr="00F67B20">
        <w:rPr>
          <w:rFonts w:ascii="Arial" w:hAnsi="Arial" w:cs="Arial"/>
          <w:sz w:val="24"/>
          <w:szCs w:val="24"/>
          <w:vertAlign w:val="superscript"/>
        </w:rPr>
        <w:t xml:space="preserve">6 </w:t>
      </w:r>
      <w:r w:rsidRPr="00F67B20">
        <w:rPr>
          <w:rFonts w:ascii="Arial" w:hAnsi="Arial" w:cs="Arial"/>
          <w:sz w:val="24"/>
          <w:szCs w:val="24"/>
        </w:rPr>
        <w:t xml:space="preserve">cells/mL) from the </w:t>
      </w:r>
      <w:r w:rsidR="00634CD4" w:rsidRPr="00F67B20">
        <w:rPr>
          <w:rFonts w:ascii="Arial" w:hAnsi="Arial" w:cs="Arial"/>
          <w:sz w:val="24"/>
          <w:szCs w:val="24"/>
        </w:rPr>
        <w:t>mice</w:t>
      </w:r>
      <w:r w:rsidRPr="00F67B20">
        <w:rPr>
          <w:rFonts w:ascii="Arial" w:hAnsi="Arial" w:cs="Arial"/>
          <w:sz w:val="24"/>
          <w:szCs w:val="24"/>
        </w:rPr>
        <w:t xml:space="preserve"> air </w:t>
      </w:r>
      <w:r w:rsidR="00902ADA" w:rsidRPr="00F67B20">
        <w:rPr>
          <w:rFonts w:ascii="Arial" w:hAnsi="Arial" w:cs="Arial"/>
          <w:sz w:val="24"/>
          <w:szCs w:val="24"/>
        </w:rPr>
        <w:t>pouch was observed</w:t>
      </w:r>
      <w:r w:rsidR="00203845" w:rsidRPr="00F67B20">
        <w:rPr>
          <w:rFonts w:ascii="Arial" w:hAnsi="Arial" w:cs="Arial"/>
          <w:sz w:val="24"/>
          <w:szCs w:val="24"/>
        </w:rPr>
        <w:t xml:space="preserve"> along </w:t>
      </w:r>
      <w:r w:rsidR="00902ADA" w:rsidRPr="00F67B20">
        <w:rPr>
          <w:rFonts w:ascii="Arial" w:hAnsi="Arial" w:cs="Arial"/>
          <w:sz w:val="24"/>
          <w:szCs w:val="24"/>
        </w:rPr>
        <w:t>with the</w:t>
      </w:r>
      <w:r w:rsidR="004D5083" w:rsidRPr="00F67B20">
        <w:rPr>
          <w:rFonts w:ascii="Arial" w:hAnsi="Arial" w:cs="Arial"/>
          <w:sz w:val="24"/>
          <w:szCs w:val="24"/>
        </w:rPr>
        <w:t xml:space="preserve"> </w:t>
      </w:r>
      <w:r w:rsidRPr="00F67B20">
        <w:rPr>
          <w:rFonts w:ascii="Arial" w:hAnsi="Arial" w:cs="Arial"/>
          <w:sz w:val="24"/>
          <w:szCs w:val="24"/>
        </w:rPr>
        <w:t>reduction in granulation tissue weight and pouch exudate volume in the NO-treated group as compared to the control group</w:t>
      </w:r>
      <w:r w:rsidR="00775755" w:rsidRPr="00F67B20">
        <w:rPr>
          <w:rFonts w:ascii="Arial" w:hAnsi="Arial" w:cs="Arial"/>
          <w:sz w:val="24"/>
          <w:szCs w:val="24"/>
        </w:rPr>
        <w:t>.</w:t>
      </w:r>
      <w:r w:rsidR="00902ADA" w:rsidRPr="00F67B20">
        <w:rPr>
          <w:rFonts w:ascii="Arial" w:hAnsi="Arial" w:cs="Arial"/>
          <w:sz w:val="24"/>
          <w:szCs w:val="24"/>
        </w:rPr>
        <w:t xml:space="preserve"> </w:t>
      </w:r>
    </w:p>
    <w:p w14:paraId="0F779944" w14:textId="7A899425" w:rsidR="00526F60" w:rsidRPr="00F67B20" w:rsidRDefault="00DE3752" w:rsidP="00F67B20">
      <w:pPr>
        <w:spacing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en-IN"/>
        </w:rPr>
      </w:pP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en-IN"/>
        </w:rPr>
        <w:t>4</w:t>
      </w:r>
      <w:r w:rsidR="00200F22" w:rsidRPr="00F67B20">
        <w:rPr>
          <w:rFonts w:ascii="Arial" w:eastAsia="Times New Roman" w:hAnsi="Arial" w:cs="Arial"/>
          <w:b/>
          <w:bCs/>
          <w:kern w:val="0"/>
          <w:sz w:val="24"/>
          <w:szCs w:val="24"/>
          <w:lang w:eastAsia="en-IN"/>
        </w:rPr>
        <w:t xml:space="preserve">. CONCLUSIONS: </w:t>
      </w:r>
    </w:p>
    <w:p w14:paraId="7A3F8E28" w14:textId="75ACC658" w:rsidR="00526F60" w:rsidRPr="00F67B20" w:rsidRDefault="00526F60" w:rsidP="00F67B20">
      <w:pPr>
        <w:spacing w:line="240" w:lineRule="auto"/>
        <w:jc w:val="both"/>
        <w:rPr>
          <w:rFonts w:ascii="Arial" w:eastAsia="Times New Roman" w:hAnsi="Arial" w:cs="Arial"/>
          <w:b/>
          <w:bCs/>
          <w:kern w:val="0"/>
          <w:sz w:val="24"/>
          <w:szCs w:val="24"/>
          <w:lang w:eastAsia="en-IN"/>
        </w:rPr>
      </w:pPr>
      <w:r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The study </w:t>
      </w:r>
      <w:r w:rsidR="00B81F2C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>demonstrated that</w:t>
      </w:r>
      <w:r w:rsidR="0089728D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 </w:t>
      </w:r>
      <w:r w:rsidR="00411CF5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the  </w:t>
      </w:r>
      <w:r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 Neem oil (NO)</w:t>
      </w:r>
      <w:r w:rsidR="00411CF5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 </w:t>
      </w:r>
      <w:r w:rsidR="00B81F2C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>formulation had</w:t>
      </w:r>
      <w:r w:rsidR="00B26E4D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 potent</w:t>
      </w:r>
      <w:r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 antibacterial</w:t>
      </w:r>
      <w:r w:rsidR="005C4477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 and </w:t>
      </w:r>
      <w:r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biofilm reduction </w:t>
      </w:r>
      <w:r w:rsidR="00AF40B9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>properties</w:t>
      </w:r>
      <w:r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 against both ESBL and MRSA isolates. </w:t>
      </w:r>
      <w:r w:rsidR="0089728D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It also displayed a significant anti-inflammatory effect when tested by both </w:t>
      </w:r>
      <w:r w:rsidR="0062167D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the </w:t>
      </w:r>
      <w:r w:rsidR="0089728D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in vitro and in vivo methods. </w:t>
      </w:r>
      <w:r w:rsidR="00B81D2A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>It is suggested that</w:t>
      </w:r>
      <w:r w:rsidR="00CB7DF6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 t</w:t>
      </w:r>
      <w:r w:rsidR="0079263A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he formulation </w:t>
      </w:r>
      <w:r w:rsidR="00B81D2A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>w</w:t>
      </w:r>
      <w:r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ith </w:t>
      </w:r>
      <w:r w:rsidR="00B81F2C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>its easy-to-use topical application</w:t>
      </w:r>
      <w:r w:rsidR="00AF40B9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 could be of </w:t>
      </w:r>
      <w:r w:rsidR="00A257D9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immense </w:t>
      </w:r>
      <w:r w:rsidR="00AF40B9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>use</w:t>
      </w:r>
      <w:r w:rsidR="00E25117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 singly or in combination</w:t>
      </w:r>
      <w:r w:rsidR="00A942FC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 with other antibacterial agents</w:t>
      </w:r>
      <w:r w:rsidR="00AF40B9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 in combating biofilm accumulation in clinical setups</w:t>
      </w:r>
      <w:r w:rsidR="0089728D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>,</w:t>
      </w:r>
      <w:r w:rsidR="00AF40B9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 besides tackling host infections. </w:t>
      </w:r>
      <w:r w:rsidR="003F4EE3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>However</w:t>
      </w:r>
      <w:r w:rsidR="00E25DE9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>, it is suggested that</w:t>
      </w:r>
      <w:r w:rsidR="00AF40B9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 further dosage standardization experiments </w:t>
      </w:r>
      <w:proofErr w:type="gramStart"/>
      <w:r w:rsidR="0062167D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>needs</w:t>
      </w:r>
      <w:proofErr w:type="gramEnd"/>
      <w:r w:rsidR="0062167D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 to be </w:t>
      </w:r>
      <w:r w:rsidR="009B095E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taken up through clinical trials on </w:t>
      </w:r>
      <w:r w:rsidR="00B47A10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>companion animals</w:t>
      </w:r>
      <w:r w:rsidR="00AF40B9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 to </w:t>
      </w:r>
      <w:r w:rsidR="00B47A10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>combat</w:t>
      </w:r>
      <w:r w:rsidR="00AF40B9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 infections in animals caused by drug-resistant pathogens.</w:t>
      </w:r>
    </w:p>
    <w:p w14:paraId="4870808C" w14:textId="1CBD3842" w:rsidR="00F67B20" w:rsidRPr="00F67B20" w:rsidRDefault="00F67B20" w:rsidP="00F67B20">
      <w:pPr>
        <w:spacing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bookmarkStart w:id="6" w:name="_GoBack"/>
      <w:bookmarkEnd w:id="6"/>
      <w:r w:rsidRPr="00F67B20">
        <w:rPr>
          <w:rFonts w:ascii="Arial" w:hAnsi="Arial" w:cs="Arial"/>
          <w:b/>
          <w:bCs/>
          <w:sz w:val="24"/>
          <w:szCs w:val="24"/>
        </w:rPr>
        <w:t>DISCLAIMER (ARTIFICIAL INTELLIGENCE)</w:t>
      </w:r>
    </w:p>
    <w:p w14:paraId="1F990FA8" w14:textId="64F7EF6F" w:rsidR="00F67B20" w:rsidRPr="00F67B20" w:rsidRDefault="00F67B20" w:rsidP="00F67B20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F67B20">
        <w:rPr>
          <w:rFonts w:ascii="Arial" w:hAnsi="Arial" w:cs="Arial"/>
          <w:sz w:val="24"/>
          <w:szCs w:val="24"/>
        </w:rPr>
        <w:t xml:space="preserve">Author(s) hereby </w:t>
      </w:r>
      <w:r w:rsidR="00F214BC">
        <w:rPr>
          <w:rFonts w:ascii="Arial" w:hAnsi="Arial" w:cs="Arial"/>
          <w:sz w:val="24"/>
          <w:szCs w:val="24"/>
        </w:rPr>
        <w:t>declares</w:t>
      </w:r>
      <w:r w:rsidRPr="00F67B20">
        <w:rPr>
          <w:rFonts w:ascii="Arial" w:hAnsi="Arial" w:cs="Arial"/>
          <w:sz w:val="24"/>
          <w:szCs w:val="24"/>
        </w:rPr>
        <w:t xml:space="preserve"> that NO generative AI technologies such as Large Language Models (ChatGPT, COPILOT, etc.)   and text-to-image generators have been used during the writing or editing of this manuscript.</w:t>
      </w:r>
    </w:p>
    <w:p w14:paraId="7BF68570" w14:textId="07CCD9FA" w:rsidR="002F6F13" w:rsidRPr="00F67B20" w:rsidRDefault="007C0C18" w:rsidP="00F67B20">
      <w:pPr>
        <w:spacing w:line="240" w:lineRule="auto"/>
        <w:jc w:val="both"/>
        <w:rPr>
          <w:rFonts w:ascii="Arial" w:eastAsia="Times New Roman" w:hAnsi="Arial" w:cs="Arial"/>
          <w:b/>
          <w:bCs/>
          <w:kern w:val="0"/>
          <w:sz w:val="24"/>
          <w:szCs w:val="24"/>
          <w:lang w:eastAsia="en-IN"/>
        </w:rPr>
      </w:pPr>
      <w:r w:rsidRPr="00F67B20">
        <w:rPr>
          <w:rFonts w:ascii="Arial" w:eastAsia="Times New Roman" w:hAnsi="Arial" w:cs="Arial"/>
          <w:b/>
          <w:bCs/>
          <w:kern w:val="0"/>
          <w:sz w:val="24"/>
          <w:szCs w:val="24"/>
          <w:lang w:eastAsia="en-IN"/>
        </w:rPr>
        <w:t>DATA AVAILABILITY STATEMENT</w:t>
      </w:r>
    </w:p>
    <w:p w14:paraId="3B6A1DF0" w14:textId="77777777" w:rsidR="00A976DA" w:rsidRPr="00F67B20" w:rsidRDefault="00573ED0" w:rsidP="00F67B20">
      <w:pPr>
        <w:spacing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en-IN"/>
        </w:rPr>
      </w:pPr>
      <w:r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The data </w:t>
      </w:r>
      <w:r w:rsidR="00F32CFA"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>supporting this study’s findings</w:t>
      </w:r>
      <w:r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 are available from the corresponding author upon reasonable request.</w:t>
      </w:r>
    </w:p>
    <w:p w14:paraId="710B4A97" w14:textId="4D8220F0" w:rsidR="00487E18" w:rsidRPr="00F67B20" w:rsidRDefault="007C0C18" w:rsidP="00F67B20">
      <w:pPr>
        <w:spacing w:line="240" w:lineRule="auto"/>
        <w:jc w:val="both"/>
        <w:rPr>
          <w:rFonts w:ascii="Arial" w:eastAsia="Times New Roman" w:hAnsi="Arial" w:cs="Arial"/>
          <w:b/>
          <w:bCs/>
          <w:kern w:val="0"/>
          <w:sz w:val="24"/>
          <w:szCs w:val="24"/>
          <w:lang w:eastAsia="en-IN"/>
        </w:rPr>
      </w:pPr>
      <w:r w:rsidRPr="00F67B20">
        <w:rPr>
          <w:rFonts w:ascii="Arial" w:eastAsia="Times New Roman" w:hAnsi="Arial" w:cs="Arial"/>
          <w:b/>
          <w:bCs/>
          <w:kern w:val="0"/>
          <w:sz w:val="24"/>
          <w:szCs w:val="24"/>
          <w:lang w:eastAsia="en-IN"/>
        </w:rPr>
        <w:t>ETHICAL APPROVAL STATEMENT</w:t>
      </w:r>
    </w:p>
    <w:p w14:paraId="0AC531E6" w14:textId="4ABFD236" w:rsidR="004E7FAA" w:rsidRPr="00F67B20" w:rsidRDefault="00F8721B" w:rsidP="00F67B20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F67B20">
        <w:rPr>
          <w:rFonts w:ascii="Arial" w:eastAsia="Times New Roman" w:hAnsi="Arial" w:cs="Arial"/>
          <w:kern w:val="0"/>
          <w:sz w:val="24"/>
          <w:szCs w:val="24"/>
          <w:lang w:eastAsia="en-IN"/>
        </w:rPr>
        <w:t xml:space="preserve">The experiment was duly approved by the IAEC with an approval number of </w:t>
      </w:r>
      <w:r w:rsidRPr="00F67B20">
        <w:rPr>
          <w:rFonts w:ascii="Arial" w:hAnsi="Arial" w:cs="Arial"/>
          <w:kern w:val="0"/>
          <w:sz w:val="24"/>
          <w:szCs w:val="24"/>
        </w:rPr>
        <w:t xml:space="preserve">ERS/IAEC/2022-23/INST/004. </w:t>
      </w:r>
    </w:p>
    <w:p w14:paraId="4A17EBF7" w14:textId="3E81E485" w:rsidR="00CE4E6E" w:rsidRPr="00F67B20" w:rsidRDefault="007C0C18" w:rsidP="00F67B20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F67B20">
        <w:rPr>
          <w:rFonts w:ascii="Arial" w:hAnsi="Arial" w:cs="Arial"/>
          <w:b/>
          <w:sz w:val="24"/>
          <w:szCs w:val="24"/>
        </w:rPr>
        <w:t>REFERENCES:</w:t>
      </w:r>
    </w:p>
    <w:p w14:paraId="362719ED" w14:textId="77777777" w:rsidR="002F09D3" w:rsidRPr="00F67B20" w:rsidRDefault="002F09D3" w:rsidP="00775EE1">
      <w:pPr>
        <w:spacing w:after="120" w:line="240" w:lineRule="auto"/>
        <w:ind w:left="851" w:hanging="851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proofErr w:type="spellStart"/>
      <w:r w:rsidRPr="00F67B20">
        <w:rPr>
          <w:rFonts w:ascii="Arial" w:hAnsi="Arial" w:cs="Arial"/>
          <w:bCs/>
          <w:color w:val="000000" w:themeColor="text1"/>
          <w:sz w:val="24"/>
          <w:szCs w:val="24"/>
        </w:rPr>
        <w:t>Alzohairy</w:t>
      </w:r>
      <w:proofErr w:type="spellEnd"/>
      <w:r w:rsidRPr="00F67B20">
        <w:rPr>
          <w:rFonts w:ascii="Arial" w:hAnsi="Arial" w:cs="Arial"/>
          <w:bCs/>
          <w:color w:val="000000" w:themeColor="text1"/>
          <w:sz w:val="24"/>
          <w:szCs w:val="24"/>
        </w:rPr>
        <w:t xml:space="preserve">, M. A. (2016). Therapeutics role of </w:t>
      </w:r>
      <w:proofErr w:type="spellStart"/>
      <w:r w:rsidRPr="00F67B20">
        <w:rPr>
          <w:rFonts w:ascii="Arial" w:hAnsi="Arial" w:cs="Arial"/>
          <w:bCs/>
          <w:i/>
          <w:iCs/>
          <w:color w:val="000000" w:themeColor="text1"/>
          <w:sz w:val="24"/>
          <w:szCs w:val="24"/>
        </w:rPr>
        <w:t>Azadirachta</w:t>
      </w:r>
      <w:proofErr w:type="spellEnd"/>
      <w:r w:rsidRPr="00F67B20">
        <w:rPr>
          <w:rFonts w:ascii="Arial" w:hAnsi="Arial" w:cs="Arial"/>
          <w:bCs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F67B20">
        <w:rPr>
          <w:rFonts w:ascii="Arial" w:hAnsi="Arial" w:cs="Arial"/>
          <w:bCs/>
          <w:i/>
          <w:iCs/>
          <w:color w:val="000000" w:themeColor="text1"/>
          <w:sz w:val="24"/>
          <w:szCs w:val="24"/>
        </w:rPr>
        <w:t>indica</w:t>
      </w:r>
      <w:proofErr w:type="spellEnd"/>
      <w:r w:rsidRPr="00F67B20">
        <w:rPr>
          <w:rFonts w:ascii="Arial" w:hAnsi="Arial" w:cs="Arial"/>
          <w:bCs/>
          <w:color w:val="000000" w:themeColor="text1"/>
          <w:sz w:val="24"/>
          <w:szCs w:val="24"/>
        </w:rPr>
        <w:t xml:space="preserve"> (Neem) and their active constituents in diseases prevention and treatment. </w:t>
      </w:r>
      <w:r w:rsidRPr="00F67B20">
        <w:rPr>
          <w:rFonts w:ascii="Arial" w:hAnsi="Arial" w:cs="Arial"/>
          <w:bCs/>
          <w:i/>
          <w:iCs/>
          <w:color w:val="000000" w:themeColor="text1"/>
          <w:sz w:val="24"/>
          <w:szCs w:val="24"/>
        </w:rPr>
        <w:t>Evidence</w:t>
      </w:r>
      <w:r w:rsidRPr="00F67B20">
        <w:rPr>
          <w:rFonts w:ascii="Cambria Math" w:hAnsi="Cambria Math" w:cs="Cambria Math"/>
          <w:bCs/>
          <w:i/>
          <w:iCs/>
          <w:color w:val="000000" w:themeColor="text1"/>
          <w:sz w:val="24"/>
          <w:szCs w:val="24"/>
        </w:rPr>
        <w:t>‐</w:t>
      </w:r>
      <w:r w:rsidRPr="00F67B20">
        <w:rPr>
          <w:rFonts w:ascii="Arial" w:hAnsi="Arial" w:cs="Arial"/>
          <w:bCs/>
          <w:i/>
          <w:iCs/>
          <w:color w:val="000000" w:themeColor="text1"/>
          <w:sz w:val="24"/>
          <w:szCs w:val="24"/>
        </w:rPr>
        <w:t>Based Complementary and Alternative Medicine</w:t>
      </w:r>
      <w:r w:rsidRPr="00F67B20">
        <w:rPr>
          <w:rFonts w:ascii="Arial" w:hAnsi="Arial" w:cs="Arial"/>
          <w:bCs/>
          <w:color w:val="000000" w:themeColor="text1"/>
          <w:sz w:val="24"/>
          <w:szCs w:val="24"/>
        </w:rPr>
        <w:t>, </w:t>
      </w:r>
      <w:r w:rsidRPr="00F67B20">
        <w:rPr>
          <w:rFonts w:ascii="Arial" w:hAnsi="Arial" w:cs="Arial"/>
          <w:bCs/>
          <w:i/>
          <w:iCs/>
          <w:color w:val="000000" w:themeColor="text1"/>
          <w:sz w:val="24"/>
          <w:szCs w:val="24"/>
        </w:rPr>
        <w:t>2016</w:t>
      </w:r>
      <w:r w:rsidRPr="00F67B20">
        <w:rPr>
          <w:rFonts w:ascii="Arial" w:hAnsi="Arial" w:cs="Arial"/>
          <w:bCs/>
          <w:color w:val="000000" w:themeColor="text1"/>
          <w:sz w:val="24"/>
          <w:szCs w:val="24"/>
        </w:rPr>
        <w:t>(1), 7382506.</w:t>
      </w:r>
    </w:p>
    <w:p w14:paraId="151A60CF" w14:textId="20AD0026" w:rsidR="002F09D3" w:rsidRPr="00F67B20" w:rsidRDefault="002F09D3" w:rsidP="00775EE1">
      <w:pPr>
        <w:spacing w:after="120" w:line="240" w:lineRule="auto"/>
        <w:ind w:left="851" w:hanging="851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F67B20">
        <w:rPr>
          <w:rFonts w:ascii="Arial" w:hAnsi="Arial" w:cs="Arial"/>
          <w:bCs/>
          <w:color w:val="000000" w:themeColor="text1"/>
          <w:sz w:val="24"/>
          <w:szCs w:val="24"/>
        </w:rPr>
        <w:t xml:space="preserve">Baldwin, P. R., Reeves, A. Z., Powell, K. R., Napier, R. J., Swimm, A. I., Sun, A., &amp; Kalman, D. (2015). </w:t>
      </w:r>
      <w:proofErr w:type="spellStart"/>
      <w:r w:rsidRPr="00F67B20">
        <w:rPr>
          <w:rFonts w:ascii="Arial" w:hAnsi="Arial" w:cs="Arial"/>
          <w:bCs/>
          <w:color w:val="000000" w:themeColor="text1"/>
          <w:sz w:val="24"/>
          <w:szCs w:val="24"/>
        </w:rPr>
        <w:t>Monocarbonyl</w:t>
      </w:r>
      <w:proofErr w:type="spellEnd"/>
      <w:r w:rsidRPr="00F67B20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proofErr w:type="spellStart"/>
      <w:r w:rsidRPr="00F67B20">
        <w:rPr>
          <w:rFonts w:ascii="Arial" w:hAnsi="Arial" w:cs="Arial"/>
          <w:bCs/>
          <w:color w:val="000000" w:themeColor="text1"/>
          <w:sz w:val="24"/>
          <w:szCs w:val="24"/>
        </w:rPr>
        <w:t>analogs</w:t>
      </w:r>
      <w:proofErr w:type="spellEnd"/>
      <w:r w:rsidRPr="00F67B20">
        <w:rPr>
          <w:rFonts w:ascii="Arial" w:hAnsi="Arial" w:cs="Arial"/>
          <w:bCs/>
          <w:color w:val="000000" w:themeColor="text1"/>
          <w:sz w:val="24"/>
          <w:szCs w:val="24"/>
        </w:rPr>
        <w:t xml:space="preserve"> of curcumin inhibit growth of antibiotic sensitive and resistant strains of </w:t>
      </w:r>
      <w:r w:rsidRPr="00F67B20">
        <w:rPr>
          <w:rFonts w:ascii="Arial" w:hAnsi="Arial" w:cs="Arial"/>
          <w:bCs/>
          <w:i/>
          <w:iCs/>
          <w:color w:val="000000" w:themeColor="text1"/>
          <w:sz w:val="24"/>
          <w:szCs w:val="24"/>
        </w:rPr>
        <w:t>Mycobacterium tuberculosis</w:t>
      </w:r>
      <w:r w:rsidRPr="00F67B20">
        <w:rPr>
          <w:rFonts w:ascii="Arial" w:hAnsi="Arial" w:cs="Arial"/>
          <w:bCs/>
          <w:color w:val="000000" w:themeColor="text1"/>
          <w:sz w:val="24"/>
          <w:szCs w:val="24"/>
        </w:rPr>
        <w:t>. </w:t>
      </w:r>
      <w:r w:rsidRPr="00F67B20">
        <w:rPr>
          <w:rFonts w:ascii="Arial" w:hAnsi="Arial" w:cs="Arial"/>
          <w:bCs/>
          <w:i/>
          <w:iCs/>
          <w:color w:val="000000" w:themeColor="text1"/>
          <w:sz w:val="24"/>
          <w:szCs w:val="24"/>
        </w:rPr>
        <w:t>European Journal of Medicinal Chemistry</w:t>
      </w:r>
      <w:r w:rsidRPr="00F67B20">
        <w:rPr>
          <w:rFonts w:ascii="Arial" w:hAnsi="Arial" w:cs="Arial"/>
          <w:bCs/>
          <w:color w:val="000000" w:themeColor="text1"/>
          <w:sz w:val="24"/>
          <w:szCs w:val="24"/>
        </w:rPr>
        <w:t>, </w:t>
      </w:r>
      <w:r w:rsidRPr="00F67B20">
        <w:rPr>
          <w:rFonts w:ascii="Arial" w:hAnsi="Arial" w:cs="Arial"/>
          <w:bCs/>
          <w:i/>
          <w:iCs/>
          <w:color w:val="000000" w:themeColor="text1"/>
          <w:sz w:val="24"/>
          <w:szCs w:val="24"/>
        </w:rPr>
        <w:t>92</w:t>
      </w:r>
      <w:r w:rsidRPr="00F67B20">
        <w:rPr>
          <w:rFonts w:ascii="Arial" w:hAnsi="Arial" w:cs="Arial"/>
          <w:bCs/>
          <w:color w:val="000000" w:themeColor="text1"/>
          <w:sz w:val="24"/>
          <w:szCs w:val="24"/>
        </w:rPr>
        <w:t>, 693-699.</w:t>
      </w:r>
    </w:p>
    <w:p w14:paraId="30009228" w14:textId="77777777" w:rsidR="002F09D3" w:rsidRPr="00F67B20" w:rsidRDefault="002F09D3" w:rsidP="00775EE1">
      <w:pPr>
        <w:spacing w:after="120" w:line="240" w:lineRule="auto"/>
        <w:ind w:left="851" w:hanging="851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F67B20">
        <w:rPr>
          <w:rFonts w:ascii="Arial" w:hAnsi="Arial" w:cs="Arial"/>
          <w:bCs/>
          <w:color w:val="000000" w:themeColor="text1"/>
          <w:sz w:val="24"/>
          <w:szCs w:val="24"/>
        </w:rPr>
        <w:t xml:space="preserve">Bandyopadhyay, S., Bhattacharyya, D., Samanta, I., Banerjee, J., Habib, M., Dutta, T. K., &amp; Dutt, T. (2021). Characterization of multidrug-resistant biofilm-producing </w:t>
      </w:r>
      <w:r w:rsidRPr="00F67B20">
        <w:rPr>
          <w:rFonts w:ascii="Arial" w:hAnsi="Arial" w:cs="Arial"/>
          <w:bCs/>
          <w:i/>
          <w:iCs/>
          <w:color w:val="000000" w:themeColor="text1"/>
          <w:sz w:val="24"/>
          <w:szCs w:val="24"/>
        </w:rPr>
        <w:t>Escherichia coli</w:t>
      </w:r>
      <w:r w:rsidRPr="00F67B20">
        <w:rPr>
          <w:rFonts w:ascii="Arial" w:hAnsi="Arial" w:cs="Arial"/>
          <w:bCs/>
          <w:color w:val="000000" w:themeColor="text1"/>
          <w:sz w:val="24"/>
          <w:szCs w:val="24"/>
        </w:rPr>
        <w:t xml:space="preserve"> and </w:t>
      </w:r>
      <w:r w:rsidRPr="00F67B20">
        <w:rPr>
          <w:rFonts w:ascii="Arial" w:hAnsi="Arial" w:cs="Arial"/>
          <w:bCs/>
          <w:i/>
          <w:iCs/>
          <w:color w:val="000000" w:themeColor="text1"/>
          <w:sz w:val="24"/>
          <w:szCs w:val="24"/>
        </w:rPr>
        <w:t>Klebsiella pneumoniae</w:t>
      </w:r>
      <w:r w:rsidRPr="00F67B20">
        <w:rPr>
          <w:rFonts w:ascii="Arial" w:hAnsi="Arial" w:cs="Arial"/>
          <w:bCs/>
          <w:color w:val="000000" w:themeColor="text1"/>
          <w:sz w:val="24"/>
          <w:szCs w:val="24"/>
        </w:rPr>
        <w:t xml:space="preserve"> in healthy cattle and cattle with </w:t>
      </w:r>
      <w:proofErr w:type="spellStart"/>
      <w:r w:rsidRPr="00F67B20">
        <w:rPr>
          <w:rFonts w:ascii="Arial" w:hAnsi="Arial" w:cs="Arial"/>
          <w:bCs/>
          <w:color w:val="000000" w:themeColor="text1"/>
          <w:sz w:val="24"/>
          <w:szCs w:val="24"/>
        </w:rPr>
        <w:t>diarrhea</w:t>
      </w:r>
      <w:proofErr w:type="spellEnd"/>
      <w:r w:rsidRPr="00F67B20">
        <w:rPr>
          <w:rFonts w:ascii="Arial" w:hAnsi="Arial" w:cs="Arial"/>
          <w:bCs/>
          <w:color w:val="000000" w:themeColor="text1"/>
          <w:sz w:val="24"/>
          <w:szCs w:val="24"/>
        </w:rPr>
        <w:t>. </w:t>
      </w:r>
      <w:r w:rsidRPr="00F67B20">
        <w:rPr>
          <w:rFonts w:ascii="Arial" w:hAnsi="Arial" w:cs="Arial"/>
          <w:bCs/>
          <w:i/>
          <w:iCs/>
          <w:color w:val="000000" w:themeColor="text1"/>
          <w:sz w:val="24"/>
          <w:szCs w:val="24"/>
        </w:rPr>
        <w:t>Microbial Drug Resistance</w:t>
      </w:r>
      <w:r w:rsidRPr="00F67B20">
        <w:rPr>
          <w:rFonts w:ascii="Arial" w:hAnsi="Arial" w:cs="Arial"/>
          <w:bCs/>
          <w:color w:val="000000" w:themeColor="text1"/>
          <w:sz w:val="24"/>
          <w:szCs w:val="24"/>
        </w:rPr>
        <w:t>, </w:t>
      </w:r>
      <w:r w:rsidRPr="00F67B20">
        <w:rPr>
          <w:rFonts w:ascii="Arial" w:hAnsi="Arial" w:cs="Arial"/>
          <w:bCs/>
          <w:i/>
          <w:iCs/>
          <w:color w:val="000000" w:themeColor="text1"/>
          <w:sz w:val="24"/>
          <w:szCs w:val="24"/>
        </w:rPr>
        <w:t>27</w:t>
      </w:r>
      <w:r w:rsidRPr="00F67B20">
        <w:rPr>
          <w:rFonts w:ascii="Arial" w:hAnsi="Arial" w:cs="Arial"/>
          <w:bCs/>
          <w:color w:val="000000" w:themeColor="text1"/>
          <w:sz w:val="24"/>
          <w:szCs w:val="24"/>
        </w:rPr>
        <w:t>(11), 1457-1469.</w:t>
      </w:r>
    </w:p>
    <w:p w14:paraId="20F3E1C6" w14:textId="77777777" w:rsidR="002F09D3" w:rsidRPr="00F67B20" w:rsidRDefault="002F09D3" w:rsidP="00775EE1">
      <w:pPr>
        <w:spacing w:after="120" w:line="240" w:lineRule="auto"/>
        <w:ind w:left="851" w:hanging="851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F67B20">
        <w:rPr>
          <w:rFonts w:ascii="Arial" w:hAnsi="Arial" w:cs="Arial"/>
          <w:bCs/>
          <w:color w:val="000000" w:themeColor="text1"/>
          <w:sz w:val="24"/>
          <w:szCs w:val="24"/>
        </w:rPr>
        <w:lastRenderedPageBreak/>
        <w:t xml:space="preserve">Banerjee, K., Chatterjee, M., Sandur, R., </w:t>
      </w:r>
      <w:proofErr w:type="spellStart"/>
      <w:r w:rsidRPr="00F67B20">
        <w:rPr>
          <w:rFonts w:ascii="Arial" w:hAnsi="Arial" w:cs="Arial"/>
          <w:bCs/>
          <w:color w:val="000000" w:themeColor="text1"/>
          <w:sz w:val="24"/>
          <w:szCs w:val="24"/>
        </w:rPr>
        <w:t>Nachimuthu</w:t>
      </w:r>
      <w:proofErr w:type="spellEnd"/>
      <w:r w:rsidRPr="00F67B20">
        <w:rPr>
          <w:rFonts w:ascii="Arial" w:hAnsi="Arial" w:cs="Arial"/>
          <w:bCs/>
          <w:color w:val="000000" w:themeColor="text1"/>
          <w:sz w:val="24"/>
          <w:szCs w:val="24"/>
        </w:rPr>
        <w:t xml:space="preserve">, R., </w:t>
      </w:r>
      <w:proofErr w:type="spellStart"/>
      <w:r w:rsidRPr="00F67B20">
        <w:rPr>
          <w:rFonts w:ascii="Arial" w:hAnsi="Arial" w:cs="Arial"/>
          <w:bCs/>
          <w:color w:val="000000" w:themeColor="text1"/>
          <w:sz w:val="24"/>
          <w:szCs w:val="24"/>
        </w:rPr>
        <w:t>Madhyastha</w:t>
      </w:r>
      <w:proofErr w:type="spellEnd"/>
      <w:r w:rsidRPr="00F67B20">
        <w:rPr>
          <w:rFonts w:ascii="Arial" w:hAnsi="Arial" w:cs="Arial"/>
          <w:bCs/>
          <w:color w:val="000000" w:themeColor="text1"/>
          <w:sz w:val="24"/>
          <w:szCs w:val="24"/>
        </w:rPr>
        <w:t xml:space="preserve">, H., &amp; Thiagarajan, P. (2021). </w:t>
      </w:r>
      <w:proofErr w:type="spellStart"/>
      <w:r w:rsidRPr="00F67B20">
        <w:rPr>
          <w:rFonts w:ascii="Arial" w:hAnsi="Arial" w:cs="Arial"/>
          <w:bCs/>
          <w:color w:val="000000" w:themeColor="text1"/>
          <w:sz w:val="24"/>
          <w:szCs w:val="24"/>
        </w:rPr>
        <w:t>Azadirachta</w:t>
      </w:r>
      <w:proofErr w:type="spellEnd"/>
      <w:r w:rsidRPr="00F67B20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proofErr w:type="spellStart"/>
      <w:r w:rsidRPr="00F67B20">
        <w:rPr>
          <w:rFonts w:ascii="Arial" w:hAnsi="Arial" w:cs="Arial"/>
          <w:bCs/>
          <w:color w:val="000000" w:themeColor="text1"/>
          <w:sz w:val="24"/>
          <w:szCs w:val="24"/>
        </w:rPr>
        <w:t>indica</w:t>
      </w:r>
      <w:proofErr w:type="spellEnd"/>
      <w:r w:rsidRPr="00F67B20">
        <w:rPr>
          <w:rFonts w:ascii="Arial" w:hAnsi="Arial" w:cs="Arial"/>
          <w:bCs/>
          <w:color w:val="000000" w:themeColor="text1"/>
          <w:sz w:val="24"/>
          <w:szCs w:val="24"/>
        </w:rPr>
        <w:t xml:space="preserve"> A. Juss (Neem) oil topical formulation with liquid crystals ensconcing depot water for anti-inflammatory, wound healing and anti-methicillin resistant </w:t>
      </w:r>
      <w:r w:rsidRPr="00F67B20">
        <w:rPr>
          <w:rFonts w:ascii="Arial" w:hAnsi="Arial" w:cs="Arial"/>
          <w:bCs/>
          <w:i/>
          <w:iCs/>
          <w:color w:val="000000" w:themeColor="text1"/>
          <w:sz w:val="24"/>
          <w:szCs w:val="24"/>
        </w:rPr>
        <w:t>Staphylococcus aureus</w:t>
      </w:r>
      <w:r w:rsidRPr="00F67B20">
        <w:rPr>
          <w:rFonts w:ascii="Arial" w:hAnsi="Arial" w:cs="Arial"/>
          <w:bCs/>
          <w:color w:val="000000" w:themeColor="text1"/>
          <w:sz w:val="24"/>
          <w:szCs w:val="24"/>
        </w:rPr>
        <w:t xml:space="preserve"> activities. </w:t>
      </w:r>
      <w:r w:rsidRPr="00F67B20">
        <w:rPr>
          <w:rFonts w:ascii="Arial" w:hAnsi="Arial" w:cs="Arial"/>
          <w:bCs/>
          <w:i/>
          <w:iCs/>
          <w:color w:val="000000" w:themeColor="text1"/>
          <w:sz w:val="24"/>
          <w:szCs w:val="24"/>
        </w:rPr>
        <w:t>Journal of Drug Delivery Science and Technology</w:t>
      </w:r>
      <w:r w:rsidRPr="00F67B20">
        <w:rPr>
          <w:rFonts w:ascii="Arial" w:hAnsi="Arial" w:cs="Arial"/>
          <w:bCs/>
          <w:color w:val="000000" w:themeColor="text1"/>
          <w:sz w:val="24"/>
          <w:szCs w:val="24"/>
        </w:rPr>
        <w:t>, </w:t>
      </w:r>
      <w:r w:rsidRPr="00F67B20">
        <w:rPr>
          <w:rFonts w:ascii="Arial" w:hAnsi="Arial" w:cs="Arial"/>
          <w:bCs/>
          <w:i/>
          <w:iCs/>
          <w:color w:val="000000" w:themeColor="text1"/>
          <w:sz w:val="24"/>
          <w:szCs w:val="24"/>
        </w:rPr>
        <w:t>64</w:t>
      </w:r>
      <w:r w:rsidRPr="00F67B20">
        <w:rPr>
          <w:rFonts w:ascii="Arial" w:hAnsi="Arial" w:cs="Arial"/>
          <w:bCs/>
          <w:color w:val="000000" w:themeColor="text1"/>
          <w:sz w:val="24"/>
          <w:szCs w:val="24"/>
        </w:rPr>
        <w:t>, 102563.</w:t>
      </w:r>
    </w:p>
    <w:p w14:paraId="47292938" w14:textId="77777777" w:rsidR="002F09D3" w:rsidRPr="00F67B20" w:rsidRDefault="002F09D3" w:rsidP="00775EE1">
      <w:pPr>
        <w:spacing w:after="120" w:line="240" w:lineRule="auto"/>
        <w:ind w:left="851" w:hanging="851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F67B20">
        <w:rPr>
          <w:rFonts w:ascii="Arial" w:hAnsi="Arial" w:cs="Arial"/>
          <w:bCs/>
          <w:color w:val="000000" w:themeColor="text1"/>
          <w:sz w:val="24"/>
          <w:szCs w:val="24"/>
        </w:rPr>
        <w:t>Boakye, Y. D., Osafo, N., Danquah, C. A., Adu, F., &amp; Agyare, C. (2019). Antimicrobial agents: Antibacterial agents, anti-biofilm agents, antibacterial natural compounds, and antibacterial chemicals. In </w:t>
      </w:r>
      <w:r w:rsidRPr="00F67B20">
        <w:rPr>
          <w:rFonts w:ascii="Arial" w:hAnsi="Arial" w:cs="Arial"/>
          <w:bCs/>
          <w:i/>
          <w:iCs/>
          <w:color w:val="000000" w:themeColor="text1"/>
          <w:sz w:val="24"/>
          <w:szCs w:val="24"/>
        </w:rPr>
        <w:t>Antimicrobials, Antibiotic Resistance, Antibiofilm Strategies and Activity Methods</w:t>
      </w:r>
      <w:r w:rsidRPr="00F67B20">
        <w:rPr>
          <w:rFonts w:ascii="Arial" w:hAnsi="Arial" w:cs="Arial"/>
          <w:bCs/>
          <w:color w:val="000000" w:themeColor="text1"/>
          <w:sz w:val="24"/>
          <w:szCs w:val="24"/>
        </w:rPr>
        <w:t xml:space="preserve">. </w:t>
      </w:r>
      <w:proofErr w:type="spellStart"/>
      <w:r w:rsidRPr="00F67B20">
        <w:rPr>
          <w:rFonts w:ascii="Arial" w:hAnsi="Arial" w:cs="Arial"/>
          <w:bCs/>
          <w:color w:val="000000" w:themeColor="text1"/>
          <w:sz w:val="24"/>
          <w:szCs w:val="24"/>
        </w:rPr>
        <w:t>IntechOpen</w:t>
      </w:r>
      <w:proofErr w:type="spellEnd"/>
      <w:r w:rsidRPr="00F67B20">
        <w:rPr>
          <w:rFonts w:ascii="Arial" w:hAnsi="Arial" w:cs="Arial"/>
          <w:bCs/>
          <w:color w:val="000000" w:themeColor="text1"/>
          <w:sz w:val="24"/>
          <w:szCs w:val="24"/>
        </w:rPr>
        <w:t>.</w:t>
      </w:r>
    </w:p>
    <w:p w14:paraId="111F1D57" w14:textId="77777777" w:rsidR="002F09D3" w:rsidRPr="00F67B20" w:rsidRDefault="002F09D3" w:rsidP="00775EE1">
      <w:pPr>
        <w:spacing w:after="120" w:line="240" w:lineRule="auto"/>
        <w:ind w:left="851" w:hanging="851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proofErr w:type="spellStart"/>
      <w:r w:rsidRPr="00F67B20">
        <w:rPr>
          <w:rFonts w:ascii="Arial" w:hAnsi="Arial" w:cs="Arial"/>
          <w:bCs/>
          <w:color w:val="000000" w:themeColor="text1"/>
          <w:sz w:val="24"/>
          <w:szCs w:val="24"/>
        </w:rPr>
        <w:t>Chorianopoulos</w:t>
      </w:r>
      <w:proofErr w:type="spellEnd"/>
      <w:r w:rsidRPr="00F67B20">
        <w:rPr>
          <w:rFonts w:ascii="Arial" w:hAnsi="Arial" w:cs="Arial"/>
          <w:bCs/>
          <w:color w:val="000000" w:themeColor="text1"/>
          <w:sz w:val="24"/>
          <w:szCs w:val="24"/>
        </w:rPr>
        <w:t xml:space="preserve">, N. G., Lambert, R. J. W., Skandamis, P. N., </w:t>
      </w:r>
      <w:proofErr w:type="spellStart"/>
      <w:r w:rsidRPr="00F67B20">
        <w:rPr>
          <w:rFonts w:ascii="Arial" w:hAnsi="Arial" w:cs="Arial"/>
          <w:bCs/>
          <w:color w:val="000000" w:themeColor="text1"/>
          <w:sz w:val="24"/>
          <w:szCs w:val="24"/>
        </w:rPr>
        <w:t>Evergetis</w:t>
      </w:r>
      <w:proofErr w:type="spellEnd"/>
      <w:r w:rsidRPr="00F67B20">
        <w:rPr>
          <w:rFonts w:ascii="Arial" w:hAnsi="Arial" w:cs="Arial"/>
          <w:bCs/>
          <w:color w:val="000000" w:themeColor="text1"/>
          <w:sz w:val="24"/>
          <w:szCs w:val="24"/>
        </w:rPr>
        <w:t xml:space="preserve">, E. T., Haroutounian, S. A., &amp; </w:t>
      </w:r>
      <w:proofErr w:type="spellStart"/>
      <w:r w:rsidRPr="00F67B20">
        <w:rPr>
          <w:rFonts w:ascii="Arial" w:hAnsi="Arial" w:cs="Arial"/>
          <w:bCs/>
          <w:color w:val="000000" w:themeColor="text1"/>
          <w:sz w:val="24"/>
          <w:szCs w:val="24"/>
        </w:rPr>
        <w:t>Nychas</w:t>
      </w:r>
      <w:proofErr w:type="spellEnd"/>
      <w:r w:rsidRPr="00F67B20">
        <w:rPr>
          <w:rFonts w:ascii="Arial" w:hAnsi="Arial" w:cs="Arial"/>
          <w:bCs/>
          <w:color w:val="000000" w:themeColor="text1"/>
          <w:sz w:val="24"/>
          <w:szCs w:val="24"/>
        </w:rPr>
        <w:t xml:space="preserve">, G. J. (2006). A newly developed assay to study the minimum inhibitory concentration of </w:t>
      </w:r>
      <w:proofErr w:type="spellStart"/>
      <w:r w:rsidRPr="00F67B20">
        <w:rPr>
          <w:rFonts w:ascii="Arial" w:hAnsi="Arial" w:cs="Arial"/>
          <w:bCs/>
          <w:color w:val="000000" w:themeColor="text1"/>
          <w:sz w:val="24"/>
          <w:szCs w:val="24"/>
        </w:rPr>
        <w:t>Satureja</w:t>
      </w:r>
      <w:proofErr w:type="spellEnd"/>
      <w:r w:rsidRPr="00F67B20">
        <w:rPr>
          <w:rFonts w:ascii="Arial" w:hAnsi="Arial" w:cs="Arial"/>
          <w:bCs/>
          <w:color w:val="000000" w:themeColor="text1"/>
          <w:sz w:val="24"/>
          <w:szCs w:val="24"/>
        </w:rPr>
        <w:t xml:space="preserve"> spinosa essential oil. </w:t>
      </w:r>
      <w:r w:rsidRPr="00F67B20">
        <w:rPr>
          <w:rFonts w:ascii="Arial" w:hAnsi="Arial" w:cs="Arial"/>
          <w:bCs/>
          <w:i/>
          <w:iCs/>
          <w:color w:val="000000" w:themeColor="text1"/>
          <w:sz w:val="24"/>
          <w:szCs w:val="24"/>
        </w:rPr>
        <w:t>Journal of applied microbiology</w:t>
      </w:r>
      <w:r w:rsidRPr="00F67B20">
        <w:rPr>
          <w:rFonts w:ascii="Arial" w:hAnsi="Arial" w:cs="Arial"/>
          <w:bCs/>
          <w:color w:val="000000" w:themeColor="text1"/>
          <w:sz w:val="24"/>
          <w:szCs w:val="24"/>
        </w:rPr>
        <w:t>, </w:t>
      </w:r>
      <w:r w:rsidRPr="00F67B20">
        <w:rPr>
          <w:rFonts w:ascii="Arial" w:hAnsi="Arial" w:cs="Arial"/>
          <w:bCs/>
          <w:i/>
          <w:iCs/>
          <w:color w:val="000000" w:themeColor="text1"/>
          <w:sz w:val="24"/>
          <w:szCs w:val="24"/>
        </w:rPr>
        <w:t>100</w:t>
      </w:r>
      <w:r w:rsidRPr="00F67B20">
        <w:rPr>
          <w:rFonts w:ascii="Arial" w:hAnsi="Arial" w:cs="Arial"/>
          <w:bCs/>
          <w:color w:val="000000" w:themeColor="text1"/>
          <w:sz w:val="24"/>
          <w:szCs w:val="24"/>
        </w:rPr>
        <w:t>(4), 778-786.</w:t>
      </w:r>
    </w:p>
    <w:p w14:paraId="71B55DD5" w14:textId="77777777" w:rsidR="002F09D3" w:rsidRPr="00F67B20" w:rsidRDefault="002F09D3" w:rsidP="00775EE1">
      <w:pPr>
        <w:spacing w:after="120" w:line="240" w:lineRule="auto"/>
        <w:ind w:left="851" w:hanging="851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F67B20">
        <w:rPr>
          <w:rFonts w:ascii="Arial" w:hAnsi="Arial" w:cs="Arial"/>
          <w:bCs/>
          <w:color w:val="000000" w:themeColor="text1"/>
          <w:sz w:val="24"/>
          <w:szCs w:val="24"/>
        </w:rPr>
        <w:t>Chou, S. T., Peng, H. Y., Hsu, J. C., Lin, C. C., &amp; Shih, Y. (2013). Achillea millefolium L. essential oil inhibits LPS-induced oxidative stress and nitric oxide production in RAW 264.7 macrophages. </w:t>
      </w:r>
      <w:r w:rsidRPr="00F67B20">
        <w:rPr>
          <w:rFonts w:ascii="Arial" w:hAnsi="Arial" w:cs="Arial"/>
          <w:bCs/>
          <w:i/>
          <w:iCs/>
          <w:color w:val="000000" w:themeColor="text1"/>
          <w:sz w:val="24"/>
          <w:szCs w:val="24"/>
        </w:rPr>
        <w:t>International journal of molecular sciences</w:t>
      </w:r>
      <w:r w:rsidRPr="00F67B20">
        <w:rPr>
          <w:rFonts w:ascii="Arial" w:hAnsi="Arial" w:cs="Arial"/>
          <w:bCs/>
          <w:color w:val="000000" w:themeColor="text1"/>
          <w:sz w:val="24"/>
          <w:szCs w:val="24"/>
        </w:rPr>
        <w:t>, </w:t>
      </w:r>
      <w:r w:rsidRPr="00F67B20">
        <w:rPr>
          <w:rFonts w:ascii="Arial" w:hAnsi="Arial" w:cs="Arial"/>
          <w:bCs/>
          <w:i/>
          <w:iCs/>
          <w:color w:val="000000" w:themeColor="text1"/>
          <w:sz w:val="24"/>
          <w:szCs w:val="24"/>
        </w:rPr>
        <w:t>14</w:t>
      </w:r>
      <w:r w:rsidRPr="00F67B20">
        <w:rPr>
          <w:rFonts w:ascii="Arial" w:hAnsi="Arial" w:cs="Arial"/>
          <w:bCs/>
          <w:color w:val="000000" w:themeColor="text1"/>
          <w:sz w:val="24"/>
          <w:szCs w:val="24"/>
        </w:rPr>
        <w:t>(7), 12978-12993.</w:t>
      </w:r>
    </w:p>
    <w:p w14:paraId="55DD9C4E" w14:textId="77777777" w:rsidR="002F09D3" w:rsidRPr="00F67B20" w:rsidRDefault="002F09D3" w:rsidP="00775EE1">
      <w:pPr>
        <w:spacing w:after="120" w:line="240" w:lineRule="auto"/>
        <w:ind w:left="851" w:hanging="851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F67B20">
        <w:rPr>
          <w:rFonts w:ascii="Arial" w:hAnsi="Arial" w:cs="Arial"/>
          <w:bCs/>
          <w:color w:val="000000" w:themeColor="text1"/>
          <w:sz w:val="24"/>
          <w:szCs w:val="24"/>
        </w:rPr>
        <w:t>Das, M. K., Das, S., &amp; Srivastava, P. K. (2023). An overview on the prevalence and potential impact of antimicrobials and antimicrobial resistance in the aquatic environment of India. </w:t>
      </w:r>
      <w:r w:rsidRPr="00F67B20">
        <w:rPr>
          <w:rFonts w:ascii="Arial" w:hAnsi="Arial" w:cs="Arial"/>
          <w:bCs/>
          <w:i/>
          <w:iCs/>
          <w:color w:val="000000" w:themeColor="text1"/>
          <w:sz w:val="24"/>
          <w:szCs w:val="24"/>
        </w:rPr>
        <w:t>Environmental Monitoring and Assessment</w:t>
      </w:r>
      <w:r w:rsidRPr="00F67B20">
        <w:rPr>
          <w:rFonts w:ascii="Arial" w:hAnsi="Arial" w:cs="Arial"/>
          <w:bCs/>
          <w:color w:val="000000" w:themeColor="text1"/>
          <w:sz w:val="24"/>
          <w:szCs w:val="24"/>
        </w:rPr>
        <w:t>, </w:t>
      </w:r>
      <w:r w:rsidRPr="00F67B20">
        <w:rPr>
          <w:rFonts w:ascii="Arial" w:hAnsi="Arial" w:cs="Arial"/>
          <w:bCs/>
          <w:i/>
          <w:iCs/>
          <w:color w:val="000000" w:themeColor="text1"/>
          <w:sz w:val="24"/>
          <w:szCs w:val="24"/>
        </w:rPr>
        <w:t>195</w:t>
      </w:r>
      <w:r w:rsidRPr="00F67B20">
        <w:rPr>
          <w:rFonts w:ascii="Arial" w:hAnsi="Arial" w:cs="Arial"/>
          <w:bCs/>
          <w:color w:val="000000" w:themeColor="text1"/>
          <w:sz w:val="24"/>
          <w:szCs w:val="24"/>
        </w:rPr>
        <w:t>(9), 1015.</w:t>
      </w:r>
    </w:p>
    <w:p w14:paraId="31C233C7" w14:textId="77777777" w:rsidR="002F09D3" w:rsidRPr="00F67B20" w:rsidRDefault="002F09D3" w:rsidP="00775EE1">
      <w:pPr>
        <w:spacing w:after="120" w:line="240" w:lineRule="auto"/>
        <w:ind w:left="851" w:hanging="851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F67B20">
        <w:rPr>
          <w:rFonts w:ascii="Arial" w:hAnsi="Arial" w:cs="Arial"/>
          <w:bCs/>
          <w:color w:val="000000" w:themeColor="text1"/>
          <w:sz w:val="24"/>
          <w:szCs w:val="24"/>
        </w:rPr>
        <w:t xml:space="preserve">Denkel, L. A., </w:t>
      </w:r>
      <w:proofErr w:type="spellStart"/>
      <w:r w:rsidRPr="00F67B20">
        <w:rPr>
          <w:rFonts w:ascii="Arial" w:hAnsi="Arial" w:cs="Arial"/>
          <w:bCs/>
          <w:color w:val="000000" w:themeColor="text1"/>
          <w:sz w:val="24"/>
          <w:szCs w:val="24"/>
        </w:rPr>
        <w:t>Maechler</w:t>
      </w:r>
      <w:proofErr w:type="spellEnd"/>
      <w:r w:rsidRPr="00F67B20">
        <w:rPr>
          <w:rFonts w:ascii="Arial" w:hAnsi="Arial" w:cs="Arial"/>
          <w:bCs/>
          <w:color w:val="000000" w:themeColor="text1"/>
          <w:sz w:val="24"/>
          <w:szCs w:val="24"/>
        </w:rPr>
        <w:t xml:space="preserve">, F., Schwab, F., Kola, A., Weber, A., </w:t>
      </w:r>
      <w:proofErr w:type="spellStart"/>
      <w:r w:rsidRPr="00F67B20">
        <w:rPr>
          <w:rFonts w:ascii="Arial" w:hAnsi="Arial" w:cs="Arial"/>
          <w:bCs/>
          <w:color w:val="000000" w:themeColor="text1"/>
          <w:sz w:val="24"/>
          <w:szCs w:val="24"/>
        </w:rPr>
        <w:t>Gastmeier</w:t>
      </w:r>
      <w:proofErr w:type="spellEnd"/>
      <w:r w:rsidRPr="00F67B20">
        <w:rPr>
          <w:rFonts w:ascii="Arial" w:hAnsi="Arial" w:cs="Arial"/>
          <w:bCs/>
          <w:color w:val="000000" w:themeColor="text1"/>
          <w:sz w:val="24"/>
          <w:szCs w:val="24"/>
        </w:rPr>
        <w:t xml:space="preserve">, P., ... &amp; Leistner, R. (2020). Infections caused by extended-spectrum β-lactamase-producing </w:t>
      </w:r>
      <w:proofErr w:type="spellStart"/>
      <w:r w:rsidRPr="00F67B20">
        <w:rPr>
          <w:rFonts w:ascii="Arial" w:hAnsi="Arial" w:cs="Arial"/>
          <w:bCs/>
          <w:color w:val="000000" w:themeColor="text1"/>
          <w:sz w:val="24"/>
          <w:szCs w:val="24"/>
        </w:rPr>
        <w:t>Enterobacterales</w:t>
      </w:r>
      <w:proofErr w:type="spellEnd"/>
      <w:r w:rsidRPr="00F67B20">
        <w:rPr>
          <w:rFonts w:ascii="Arial" w:hAnsi="Arial" w:cs="Arial"/>
          <w:bCs/>
          <w:color w:val="000000" w:themeColor="text1"/>
          <w:sz w:val="24"/>
          <w:szCs w:val="24"/>
        </w:rPr>
        <w:t xml:space="preserve"> after rectal colonization with ESBL-producing </w:t>
      </w:r>
      <w:r w:rsidRPr="00F67B20">
        <w:rPr>
          <w:rFonts w:ascii="Arial" w:hAnsi="Arial" w:cs="Arial"/>
          <w:bCs/>
          <w:i/>
          <w:iCs/>
          <w:color w:val="000000" w:themeColor="text1"/>
          <w:sz w:val="24"/>
          <w:szCs w:val="24"/>
        </w:rPr>
        <w:t>Escherichia coli</w:t>
      </w:r>
      <w:r w:rsidRPr="00F67B20">
        <w:rPr>
          <w:rFonts w:ascii="Arial" w:hAnsi="Arial" w:cs="Arial"/>
          <w:bCs/>
          <w:color w:val="000000" w:themeColor="text1"/>
          <w:sz w:val="24"/>
          <w:szCs w:val="24"/>
        </w:rPr>
        <w:t xml:space="preserve"> or </w:t>
      </w:r>
      <w:r w:rsidRPr="00F67B20">
        <w:rPr>
          <w:rFonts w:ascii="Arial" w:hAnsi="Arial" w:cs="Arial"/>
          <w:bCs/>
          <w:i/>
          <w:iCs/>
          <w:color w:val="000000" w:themeColor="text1"/>
          <w:sz w:val="24"/>
          <w:szCs w:val="24"/>
        </w:rPr>
        <w:t>Klebsiella pneumoniae</w:t>
      </w:r>
      <w:r w:rsidRPr="00F67B20">
        <w:rPr>
          <w:rFonts w:ascii="Arial" w:hAnsi="Arial" w:cs="Arial"/>
          <w:bCs/>
          <w:color w:val="000000" w:themeColor="text1"/>
          <w:sz w:val="24"/>
          <w:szCs w:val="24"/>
        </w:rPr>
        <w:t>. </w:t>
      </w:r>
      <w:r w:rsidRPr="00F67B20">
        <w:rPr>
          <w:rFonts w:ascii="Arial" w:hAnsi="Arial" w:cs="Arial"/>
          <w:bCs/>
          <w:i/>
          <w:iCs/>
          <w:color w:val="000000" w:themeColor="text1"/>
          <w:sz w:val="24"/>
          <w:szCs w:val="24"/>
        </w:rPr>
        <w:t>Clinical Microbiology and Infection</w:t>
      </w:r>
      <w:r w:rsidRPr="00F67B20">
        <w:rPr>
          <w:rFonts w:ascii="Arial" w:hAnsi="Arial" w:cs="Arial"/>
          <w:bCs/>
          <w:color w:val="000000" w:themeColor="text1"/>
          <w:sz w:val="24"/>
          <w:szCs w:val="24"/>
        </w:rPr>
        <w:t>, </w:t>
      </w:r>
      <w:r w:rsidRPr="00F67B20">
        <w:rPr>
          <w:rFonts w:ascii="Arial" w:hAnsi="Arial" w:cs="Arial"/>
          <w:bCs/>
          <w:i/>
          <w:iCs/>
          <w:color w:val="000000" w:themeColor="text1"/>
          <w:sz w:val="24"/>
          <w:szCs w:val="24"/>
        </w:rPr>
        <w:t>26</w:t>
      </w:r>
      <w:r w:rsidRPr="00F67B20">
        <w:rPr>
          <w:rFonts w:ascii="Arial" w:hAnsi="Arial" w:cs="Arial"/>
          <w:bCs/>
          <w:color w:val="000000" w:themeColor="text1"/>
          <w:sz w:val="24"/>
          <w:szCs w:val="24"/>
        </w:rPr>
        <w:t>(8), 1046-1051.</w:t>
      </w:r>
    </w:p>
    <w:p w14:paraId="02493229" w14:textId="77777777" w:rsidR="002F09D3" w:rsidRPr="00F67B20" w:rsidRDefault="002F09D3" w:rsidP="00775EE1">
      <w:pPr>
        <w:spacing w:after="120" w:line="240" w:lineRule="auto"/>
        <w:ind w:left="851" w:hanging="851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F67B20">
        <w:rPr>
          <w:rFonts w:ascii="Arial" w:hAnsi="Arial" w:cs="Arial"/>
          <w:bCs/>
          <w:color w:val="000000" w:themeColor="text1"/>
          <w:sz w:val="24"/>
          <w:szCs w:val="24"/>
        </w:rPr>
        <w:t xml:space="preserve">Fazeli-Nasab, B., Ghafari, M., &amp; </w:t>
      </w:r>
      <w:proofErr w:type="spellStart"/>
      <w:r w:rsidRPr="00F67B20">
        <w:rPr>
          <w:rFonts w:ascii="Arial" w:hAnsi="Arial" w:cs="Arial"/>
          <w:bCs/>
          <w:color w:val="000000" w:themeColor="text1"/>
          <w:sz w:val="24"/>
          <w:szCs w:val="24"/>
        </w:rPr>
        <w:t>Saravani</w:t>
      </w:r>
      <w:proofErr w:type="spellEnd"/>
      <w:r w:rsidRPr="00F67B20">
        <w:rPr>
          <w:rFonts w:ascii="Arial" w:hAnsi="Arial" w:cs="Arial"/>
          <w:bCs/>
          <w:color w:val="000000" w:themeColor="text1"/>
          <w:sz w:val="24"/>
          <w:szCs w:val="24"/>
        </w:rPr>
        <w:t xml:space="preserve">, S. (2021). The Effects of Different Solvents on the Growth-inhibitory Activity of </w:t>
      </w:r>
      <w:proofErr w:type="spellStart"/>
      <w:r w:rsidRPr="00F67B20">
        <w:rPr>
          <w:rFonts w:ascii="Arial" w:hAnsi="Arial" w:cs="Arial"/>
          <w:bCs/>
          <w:color w:val="000000" w:themeColor="text1"/>
          <w:sz w:val="24"/>
          <w:szCs w:val="24"/>
        </w:rPr>
        <w:t>Rhazya</w:t>
      </w:r>
      <w:proofErr w:type="spellEnd"/>
      <w:r w:rsidRPr="00F67B20">
        <w:rPr>
          <w:rFonts w:ascii="Arial" w:hAnsi="Arial" w:cs="Arial"/>
          <w:bCs/>
          <w:color w:val="000000" w:themeColor="text1"/>
          <w:sz w:val="24"/>
          <w:szCs w:val="24"/>
        </w:rPr>
        <w:t xml:space="preserve"> stricta Extract Against Antibiotic-Resistant </w:t>
      </w:r>
      <w:r w:rsidRPr="00F67B20">
        <w:rPr>
          <w:rFonts w:ascii="Arial" w:hAnsi="Arial" w:cs="Arial"/>
          <w:bCs/>
          <w:i/>
          <w:iCs/>
          <w:color w:val="000000" w:themeColor="text1"/>
          <w:sz w:val="24"/>
          <w:szCs w:val="24"/>
        </w:rPr>
        <w:t>Escherichia coli</w:t>
      </w:r>
      <w:r w:rsidRPr="00F67B20">
        <w:rPr>
          <w:rFonts w:ascii="Arial" w:hAnsi="Arial" w:cs="Arial"/>
          <w:bCs/>
          <w:color w:val="000000" w:themeColor="text1"/>
          <w:sz w:val="24"/>
          <w:szCs w:val="24"/>
        </w:rPr>
        <w:t>. </w:t>
      </w:r>
      <w:r w:rsidRPr="00F67B20">
        <w:rPr>
          <w:rFonts w:ascii="Arial" w:hAnsi="Arial" w:cs="Arial"/>
          <w:bCs/>
          <w:i/>
          <w:iCs/>
          <w:color w:val="000000" w:themeColor="text1"/>
          <w:sz w:val="24"/>
          <w:szCs w:val="24"/>
        </w:rPr>
        <w:t>Gene, Cell and Tissue</w:t>
      </w:r>
      <w:r w:rsidRPr="00F67B20">
        <w:rPr>
          <w:rFonts w:ascii="Arial" w:hAnsi="Arial" w:cs="Arial"/>
          <w:bCs/>
          <w:color w:val="000000" w:themeColor="text1"/>
          <w:sz w:val="24"/>
          <w:szCs w:val="24"/>
        </w:rPr>
        <w:t>, </w:t>
      </w:r>
      <w:r w:rsidRPr="00F67B20">
        <w:rPr>
          <w:rFonts w:ascii="Arial" w:hAnsi="Arial" w:cs="Arial"/>
          <w:bCs/>
          <w:i/>
          <w:iCs/>
          <w:color w:val="000000" w:themeColor="text1"/>
          <w:sz w:val="24"/>
          <w:szCs w:val="24"/>
        </w:rPr>
        <w:t>8</w:t>
      </w:r>
      <w:r w:rsidRPr="00F67B20">
        <w:rPr>
          <w:rFonts w:ascii="Arial" w:hAnsi="Arial" w:cs="Arial"/>
          <w:bCs/>
          <w:color w:val="000000" w:themeColor="text1"/>
          <w:sz w:val="24"/>
          <w:szCs w:val="24"/>
        </w:rPr>
        <w:t>(2).</w:t>
      </w:r>
    </w:p>
    <w:p w14:paraId="4D1612B4" w14:textId="77777777" w:rsidR="002F09D3" w:rsidRPr="00F67B20" w:rsidRDefault="002F09D3" w:rsidP="00775EE1">
      <w:pPr>
        <w:spacing w:after="120" w:line="240" w:lineRule="auto"/>
        <w:ind w:left="851" w:hanging="851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F67B20">
        <w:rPr>
          <w:rFonts w:ascii="Arial" w:hAnsi="Arial" w:cs="Arial"/>
          <w:bCs/>
          <w:color w:val="000000" w:themeColor="text1"/>
          <w:sz w:val="24"/>
          <w:szCs w:val="24"/>
        </w:rPr>
        <w:t>Fortier, A. H., &amp; Falk, L. A. (1994). Isolation of murine macrophages. </w:t>
      </w:r>
      <w:r w:rsidRPr="00F67B20">
        <w:rPr>
          <w:rFonts w:ascii="Arial" w:hAnsi="Arial" w:cs="Arial"/>
          <w:bCs/>
          <w:i/>
          <w:iCs/>
          <w:color w:val="000000" w:themeColor="text1"/>
          <w:sz w:val="24"/>
          <w:szCs w:val="24"/>
        </w:rPr>
        <w:t>Current protocols in immunology</w:t>
      </w:r>
      <w:r w:rsidRPr="00F67B20">
        <w:rPr>
          <w:rFonts w:ascii="Arial" w:hAnsi="Arial" w:cs="Arial"/>
          <w:bCs/>
          <w:color w:val="000000" w:themeColor="text1"/>
          <w:sz w:val="24"/>
          <w:szCs w:val="24"/>
        </w:rPr>
        <w:t>, </w:t>
      </w:r>
      <w:r w:rsidRPr="00F67B20">
        <w:rPr>
          <w:rFonts w:ascii="Arial" w:hAnsi="Arial" w:cs="Arial"/>
          <w:bCs/>
          <w:i/>
          <w:iCs/>
          <w:color w:val="000000" w:themeColor="text1"/>
          <w:sz w:val="24"/>
          <w:szCs w:val="24"/>
        </w:rPr>
        <w:t>11</w:t>
      </w:r>
      <w:r w:rsidRPr="00F67B20">
        <w:rPr>
          <w:rFonts w:ascii="Arial" w:hAnsi="Arial" w:cs="Arial"/>
          <w:bCs/>
          <w:color w:val="000000" w:themeColor="text1"/>
          <w:sz w:val="24"/>
          <w:szCs w:val="24"/>
        </w:rPr>
        <w:t>(1), 14-1.</w:t>
      </w:r>
    </w:p>
    <w:p w14:paraId="62D86BFE" w14:textId="77777777" w:rsidR="002F09D3" w:rsidRPr="00F67B20" w:rsidRDefault="002F09D3" w:rsidP="00775EE1">
      <w:pPr>
        <w:spacing w:after="120" w:line="240" w:lineRule="auto"/>
        <w:ind w:left="851" w:hanging="851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F67B20">
        <w:rPr>
          <w:rFonts w:ascii="Arial" w:hAnsi="Arial" w:cs="Arial"/>
          <w:bCs/>
          <w:color w:val="000000" w:themeColor="text1"/>
          <w:sz w:val="24"/>
          <w:szCs w:val="24"/>
        </w:rPr>
        <w:t xml:space="preserve">Garonzik, S. M., Lenhard, J. R., Forrest, A., Holden, P. N., </w:t>
      </w:r>
      <w:proofErr w:type="spellStart"/>
      <w:r w:rsidRPr="00F67B20">
        <w:rPr>
          <w:rFonts w:ascii="Arial" w:hAnsi="Arial" w:cs="Arial"/>
          <w:bCs/>
          <w:color w:val="000000" w:themeColor="text1"/>
          <w:sz w:val="24"/>
          <w:szCs w:val="24"/>
        </w:rPr>
        <w:t>Bulitta</w:t>
      </w:r>
      <w:proofErr w:type="spellEnd"/>
      <w:r w:rsidRPr="00F67B20">
        <w:rPr>
          <w:rFonts w:ascii="Arial" w:hAnsi="Arial" w:cs="Arial"/>
          <w:bCs/>
          <w:color w:val="000000" w:themeColor="text1"/>
          <w:sz w:val="24"/>
          <w:szCs w:val="24"/>
        </w:rPr>
        <w:t xml:space="preserve">, J. B., &amp; Tsuji, B. T. (2016). Defining the active fraction of daptomycin against methicillin-resistant </w:t>
      </w:r>
      <w:r w:rsidRPr="00F67B20">
        <w:rPr>
          <w:rFonts w:ascii="Arial" w:hAnsi="Arial" w:cs="Arial"/>
          <w:bCs/>
          <w:i/>
          <w:iCs/>
          <w:color w:val="000000" w:themeColor="text1"/>
          <w:sz w:val="24"/>
          <w:szCs w:val="24"/>
        </w:rPr>
        <w:t>Staphylococcus aureus</w:t>
      </w:r>
      <w:r w:rsidRPr="00F67B20">
        <w:rPr>
          <w:rFonts w:ascii="Arial" w:hAnsi="Arial" w:cs="Arial"/>
          <w:bCs/>
          <w:color w:val="000000" w:themeColor="text1"/>
          <w:sz w:val="24"/>
          <w:szCs w:val="24"/>
        </w:rPr>
        <w:t xml:space="preserve"> (MRSA) using a pharmacokinetic and pharmacodynamic approach. </w:t>
      </w:r>
      <w:proofErr w:type="spellStart"/>
      <w:r w:rsidRPr="00F67B20">
        <w:rPr>
          <w:rFonts w:ascii="Arial" w:hAnsi="Arial" w:cs="Arial"/>
          <w:bCs/>
          <w:i/>
          <w:iCs/>
          <w:color w:val="000000" w:themeColor="text1"/>
          <w:sz w:val="24"/>
          <w:szCs w:val="24"/>
        </w:rPr>
        <w:t>Plos</w:t>
      </w:r>
      <w:proofErr w:type="spellEnd"/>
      <w:r w:rsidRPr="00F67B20">
        <w:rPr>
          <w:rFonts w:ascii="Arial" w:hAnsi="Arial" w:cs="Arial"/>
          <w:bCs/>
          <w:i/>
          <w:iCs/>
          <w:color w:val="000000" w:themeColor="text1"/>
          <w:sz w:val="24"/>
          <w:szCs w:val="24"/>
        </w:rPr>
        <w:t xml:space="preserve"> one</w:t>
      </w:r>
      <w:r w:rsidRPr="00F67B20">
        <w:rPr>
          <w:rFonts w:ascii="Arial" w:hAnsi="Arial" w:cs="Arial"/>
          <w:bCs/>
          <w:color w:val="000000" w:themeColor="text1"/>
          <w:sz w:val="24"/>
          <w:szCs w:val="24"/>
        </w:rPr>
        <w:t>, </w:t>
      </w:r>
      <w:r w:rsidRPr="00F67B20">
        <w:rPr>
          <w:rFonts w:ascii="Arial" w:hAnsi="Arial" w:cs="Arial"/>
          <w:bCs/>
          <w:i/>
          <w:iCs/>
          <w:color w:val="000000" w:themeColor="text1"/>
          <w:sz w:val="24"/>
          <w:szCs w:val="24"/>
        </w:rPr>
        <w:t>11</w:t>
      </w:r>
      <w:r w:rsidRPr="00F67B20">
        <w:rPr>
          <w:rFonts w:ascii="Arial" w:hAnsi="Arial" w:cs="Arial"/>
          <w:bCs/>
          <w:color w:val="000000" w:themeColor="text1"/>
          <w:sz w:val="24"/>
          <w:szCs w:val="24"/>
        </w:rPr>
        <w:t>(6), e0156131.</w:t>
      </w:r>
    </w:p>
    <w:p w14:paraId="23B3CFA2" w14:textId="77777777" w:rsidR="002F09D3" w:rsidRPr="00F67B20" w:rsidRDefault="002F09D3" w:rsidP="00775EE1">
      <w:pPr>
        <w:spacing w:after="120" w:line="240" w:lineRule="auto"/>
        <w:ind w:left="851" w:hanging="851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F67B20">
        <w:rPr>
          <w:rFonts w:ascii="Arial" w:hAnsi="Arial" w:cs="Arial"/>
          <w:bCs/>
          <w:color w:val="000000" w:themeColor="text1"/>
          <w:sz w:val="24"/>
          <w:szCs w:val="24"/>
        </w:rPr>
        <w:t xml:space="preserve">Gharavi, M. J., Zarei, J., Roshani-Asl, P., </w:t>
      </w:r>
      <w:proofErr w:type="spellStart"/>
      <w:r w:rsidRPr="00F67B20">
        <w:rPr>
          <w:rFonts w:ascii="Arial" w:hAnsi="Arial" w:cs="Arial"/>
          <w:bCs/>
          <w:color w:val="000000" w:themeColor="text1"/>
          <w:sz w:val="24"/>
          <w:szCs w:val="24"/>
        </w:rPr>
        <w:t>Yazdanyar</w:t>
      </w:r>
      <w:proofErr w:type="spellEnd"/>
      <w:r w:rsidRPr="00F67B20">
        <w:rPr>
          <w:rFonts w:ascii="Arial" w:hAnsi="Arial" w:cs="Arial"/>
          <w:bCs/>
          <w:color w:val="000000" w:themeColor="text1"/>
          <w:sz w:val="24"/>
          <w:szCs w:val="24"/>
        </w:rPr>
        <w:t>, Z., Sharif, M., &amp; Rashidi, N. (2021). Comprehensive study of antimicrobial susceptibility pattern and extended spectrum beta-lactamase (ESBL) prevalence in bacteria isolated from urine samples. </w:t>
      </w:r>
      <w:r w:rsidRPr="00F67B20">
        <w:rPr>
          <w:rFonts w:ascii="Arial" w:hAnsi="Arial" w:cs="Arial"/>
          <w:bCs/>
          <w:i/>
          <w:iCs/>
          <w:color w:val="000000" w:themeColor="text1"/>
          <w:sz w:val="24"/>
          <w:szCs w:val="24"/>
        </w:rPr>
        <w:t>Scientific reports</w:t>
      </w:r>
      <w:r w:rsidRPr="00F67B20">
        <w:rPr>
          <w:rFonts w:ascii="Arial" w:hAnsi="Arial" w:cs="Arial"/>
          <w:bCs/>
          <w:color w:val="000000" w:themeColor="text1"/>
          <w:sz w:val="24"/>
          <w:szCs w:val="24"/>
        </w:rPr>
        <w:t>, </w:t>
      </w:r>
      <w:r w:rsidRPr="00F67B20">
        <w:rPr>
          <w:rFonts w:ascii="Arial" w:hAnsi="Arial" w:cs="Arial"/>
          <w:bCs/>
          <w:i/>
          <w:iCs/>
          <w:color w:val="000000" w:themeColor="text1"/>
          <w:sz w:val="24"/>
          <w:szCs w:val="24"/>
        </w:rPr>
        <w:t>11</w:t>
      </w:r>
      <w:r w:rsidRPr="00F67B20">
        <w:rPr>
          <w:rFonts w:ascii="Arial" w:hAnsi="Arial" w:cs="Arial"/>
          <w:bCs/>
          <w:color w:val="000000" w:themeColor="text1"/>
          <w:sz w:val="24"/>
          <w:szCs w:val="24"/>
        </w:rPr>
        <w:t>(1), 578.</w:t>
      </w:r>
    </w:p>
    <w:p w14:paraId="443143F5" w14:textId="77777777" w:rsidR="002F09D3" w:rsidRPr="00F67B20" w:rsidRDefault="002F09D3" w:rsidP="00775EE1">
      <w:pPr>
        <w:spacing w:after="120" w:line="240" w:lineRule="auto"/>
        <w:ind w:left="851" w:hanging="851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proofErr w:type="spellStart"/>
      <w:r w:rsidRPr="00F67B20">
        <w:rPr>
          <w:rFonts w:ascii="Arial" w:hAnsi="Arial" w:cs="Arial"/>
          <w:bCs/>
          <w:color w:val="000000" w:themeColor="text1"/>
          <w:sz w:val="24"/>
          <w:szCs w:val="24"/>
        </w:rPr>
        <w:t>Guchhait</w:t>
      </w:r>
      <w:proofErr w:type="spellEnd"/>
      <w:r w:rsidRPr="00F67B20">
        <w:rPr>
          <w:rFonts w:ascii="Arial" w:hAnsi="Arial" w:cs="Arial"/>
          <w:bCs/>
          <w:color w:val="000000" w:themeColor="text1"/>
          <w:sz w:val="24"/>
          <w:szCs w:val="24"/>
        </w:rPr>
        <w:t xml:space="preserve">, K. C., Manna, T., Barai, M., Karmakar, M., Nandi, S. K., Jana, D., ... &amp; Ghosh, C. (2022). Antibiofilm and anticancer activities of unripe and ripe </w:t>
      </w:r>
      <w:proofErr w:type="spellStart"/>
      <w:r w:rsidRPr="00F67B20">
        <w:rPr>
          <w:rFonts w:ascii="Arial" w:hAnsi="Arial" w:cs="Arial"/>
          <w:bCs/>
          <w:i/>
          <w:iCs/>
          <w:color w:val="000000" w:themeColor="text1"/>
          <w:sz w:val="24"/>
          <w:szCs w:val="24"/>
        </w:rPr>
        <w:t>Azadirachta</w:t>
      </w:r>
      <w:proofErr w:type="spellEnd"/>
      <w:r w:rsidRPr="00F67B20">
        <w:rPr>
          <w:rFonts w:ascii="Arial" w:hAnsi="Arial" w:cs="Arial"/>
          <w:bCs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F67B20">
        <w:rPr>
          <w:rFonts w:ascii="Arial" w:hAnsi="Arial" w:cs="Arial"/>
          <w:bCs/>
          <w:i/>
          <w:iCs/>
          <w:color w:val="000000" w:themeColor="text1"/>
          <w:sz w:val="24"/>
          <w:szCs w:val="24"/>
        </w:rPr>
        <w:t>indica</w:t>
      </w:r>
      <w:proofErr w:type="spellEnd"/>
      <w:r w:rsidRPr="00F67B20">
        <w:rPr>
          <w:rFonts w:ascii="Arial" w:hAnsi="Arial" w:cs="Arial"/>
          <w:bCs/>
          <w:color w:val="000000" w:themeColor="text1"/>
          <w:sz w:val="24"/>
          <w:szCs w:val="24"/>
        </w:rPr>
        <w:t xml:space="preserve"> (neem) seed extracts. </w:t>
      </w:r>
      <w:r w:rsidRPr="00F67B20">
        <w:rPr>
          <w:rFonts w:ascii="Arial" w:hAnsi="Arial" w:cs="Arial"/>
          <w:bCs/>
          <w:i/>
          <w:iCs/>
          <w:color w:val="000000" w:themeColor="text1"/>
          <w:sz w:val="24"/>
          <w:szCs w:val="24"/>
        </w:rPr>
        <w:t>BMC complementary medicine and therapies</w:t>
      </w:r>
      <w:r w:rsidRPr="00F67B20">
        <w:rPr>
          <w:rFonts w:ascii="Arial" w:hAnsi="Arial" w:cs="Arial"/>
          <w:bCs/>
          <w:color w:val="000000" w:themeColor="text1"/>
          <w:sz w:val="24"/>
          <w:szCs w:val="24"/>
        </w:rPr>
        <w:t>, </w:t>
      </w:r>
      <w:r w:rsidRPr="00F67B20">
        <w:rPr>
          <w:rFonts w:ascii="Arial" w:hAnsi="Arial" w:cs="Arial"/>
          <w:bCs/>
          <w:i/>
          <w:iCs/>
          <w:color w:val="000000" w:themeColor="text1"/>
          <w:sz w:val="24"/>
          <w:szCs w:val="24"/>
        </w:rPr>
        <w:t>22</w:t>
      </w:r>
      <w:r w:rsidRPr="00F67B20">
        <w:rPr>
          <w:rFonts w:ascii="Arial" w:hAnsi="Arial" w:cs="Arial"/>
          <w:bCs/>
          <w:color w:val="000000" w:themeColor="text1"/>
          <w:sz w:val="24"/>
          <w:szCs w:val="24"/>
        </w:rPr>
        <w:t>(1), 42.</w:t>
      </w:r>
    </w:p>
    <w:p w14:paraId="3108DA22" w14:textId="77777777" w:rsidR="002F09D3" w:rsidRPr="00F67B20" w:rsidRDefault="002F09D3" w:rsidP="00775EE1">
      <w:pPr>
        <w:spacing w:after="120" w:line="240" w:lineRule="auto"/>
        <w:ind w:left="851" w:hanging="851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F67B20">
        <w:rPr>
          <w:rFonts w:ascii="Arial" w:hAnsi="Arial" w:cs="Arial"/>
          <w:bCs/>
          <w:color w:val="000000" w:themeColor="text1"/>
          <w:sz w:val="24"/>
          <w:szCs w:val="24"/>
        </w:rPr>
        <w:lastRenderedPageBreak/>
        <w:t>Kumar, V. S., &amp; Navaratnam, V. (2013). Neem (</w:t>
      </w:r>
      <w:proofErr w:type="spellStart"/>
      <w:r w:rsidRPr="00F67B20">
        <w:rPr>
          <w:rFonts w:ascii="Arial" w:hAnsi="Arial" w:cs="Arial"/>
          <w:bCs/>
          <w:i/>
          <w:iCs/>
          <w:color w:val="000000" w:themeColor="text1"/>
          <w:sz w:val="24"/>
          <w:szCs w:val="24"/>
        </w:rPr>
        <w:t>Azadirachta</w:t>
      </w:r>
      <w:proofErr w:type="spellEnd"/>
      <w:r w:rsidRPr="00F67B20">
        <w:rPr>
          <w:rFonts w:ascii="Arial" w:hAnsi="Arial" w:cs="Arial"/>
          <w:bCs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F67B20">
        <w:rPr>
          <w:rFonts w:ascii="Arial" w:hAnsi="Arial" w:cs="Arial"/>
          <w:bCs/>
          <w:i/>
          <w:iCs/>
          <w:color w:val="000000" w:themeColor="text1"/>
          <w:sz w:val="24"/>
          <w:szCs w:val="24"/>
        </w:rPr>
        <w:t>indica</w:t>
      </w:r>
      <w:proofErr w:type="spellEnd"/>
      <w:r w:rsidRPr="00F67B20">
        <w:rPr>
          <w:rFonts w:ascii="Arial" w:hAnsi="Arial" w:cs="Arial"/>
          <w:bCs/>
          <w:color w:val="000000" w:themeColor="text1"/>
          <w:sz w:val="24"/>
          <w:szCs w:val="24"/>
        </w:rPr>
        <w:t>): Prehistory to contemporary medicinal uses to humankind. </w:t>
      </w:r>
      <w:r w:rsidRPr="00F67B20">
        <w:rPr>
          <w:rFonts w:ascii="Arial" w:hAnsi="Arial" w:cs="Arial"/>
          <w:bCs/>
          <w:i/>
          <w:iCs/>
          <w:color w:val="000000" w:themeColor="text1"/>
          <w:sz w:val="24"/>
          <w:szCs w:val="24"/>
        </w:rPr>
        <w:t>Asian Pacific journal of tropical biomedicine</w:t>
      </w:r>
      <w:r w:rsidRPr="00F67B20">
        <w:rPr>
          <w:rFonts w:ascii="Arial" w:hAnsi="Arial" w:cs="Arial"/>
          <w:bCs/>
          <w:color w:val="000000" w:themeColor="text1"/>
          <w:sz w:val="24"/>
          <w:szCs w:val="24"/>
        </w:rPr>
        <w:t>, </w:t>
      </w:r>
      <w:r w:rsidRPr="00F67B20">
        <w:rPr>
          <w:rFonts w:ascii="Arial" w:hAnsi="Arial" w:cs="Arial"/>
          <w:bCs/>
          <w:i/>
          <w:iCs/>
          <w:color w:val="000000" w:themeColor="text1"/>
          <w:sz w:val="24"/>
          <w:szCs w:val="24"/>
        </w:rPr>
        <w:t>3</w:t>
      </w:r>
      <w:r w:rsidRPr="00F67B20">
        <w:rPr>
          <w:rFonts w:ascii="Arial" w:hAnsi="Arial" w:cs="Arial"/>
          <w:bCs/>
          <w:color w:val="000000" w:themeColor="text1"/>
          <w:sz w:val="24"/>
          <w:szCs w:val="24"/>
        </w:rPr>
        <w:t>(7), 505-514.</w:t>
      </w:r>
    </w:p>
    <w:p w14:paraId="3BA512CF" w14:textId="77777777" w:rsidR="002F09D3" w:rsidRPr="00F67B20" w:rsidRDefault="002F09D3" w:rsidP="00775EE1">
      <w:pPr>
        <w:spacing w:after="120" w:line="240" w:lineRule="auto"/>
        <w:ind w:left="851" w:hanging="851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F67B20">
        <w:rPr>
          <w:rFonts w:ascii="Arial" w:hAnsi="Arial" w:cs="Arial"/>
          <w:bCs/>
          <w:color w:val="000000" w:themeColor="text1"/>
          <w:sz w:val="24"/>
          <w:szCs w:val="24"/>
        </w:rPr>
        <w:t xml:space="preserve">Kurimoto, S. I., Takaishi, Y., Ahmed, F. A., &amp; Kashiwada, Y. (2014). Triterpenoids from the fruits of </w:t>
      </w:r>
      <w:proofErr w:type="spellStart"/>
      <w:r w:rsidRPr="00F67B20">
        <w:rPr>
          <w:rFonts w:ascii="Arial" w:hAnsi="Arial" w:cs="Arial"/>
          <w:bCs/>
          <w:i/>
          <w:iCs/>
          <w:color w:val="000000" w:themeColor="text1"/>
          <w:sz w:val="24"/>
          <w:szCs w:val="24"/>
        </w:rPr>
        <w:t>Azadirachta</w:t>
      </w:r>
      <w:proofErr w:type="spellEnd"/>
      <w:r w:rsidRPr="00F67B20">
        <w:rPr>
          <w:rFonts w:ascii="Arial" w:hAnsi="Arial" w:cs="Arial"/>
          <w:bCs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F67B20">
        <w:rPr>
          <w:rFonts w:ascii="Arial" w:hAnsi="Arial" w:cs="Arial"/>
          <w:bCs/>
          <w:i/>
          <w:iCs/>
          <w:color w:val="000000" w:themeColor="text1"/>
          <w:sz w:val="24"/>
          <w:szCs w:val="24"/>
        </w:rPr>
        <w:t>indica</w:t>
      </w:r>
      <w:proofErr w:type="spellEnd"/>
      <w:r w:rsidRPr="00F67B20">
        <w:rPr>
          <w:rFonts w:ascii="Arial" w:hAnsi="Arial" w:cs="Arial"/>
          <w:bCs/>
          <w:color w:val="000000" w:themeColor="text1"/>
          <w:sz w:val="24"/>
          <w:szCs w:val="24"/>
        </w:rPr>
        <w:t xml:space="preserve"> (</w:t>
      </w:r>
      <w:proofErr w:type="spellStart"/>
      <w:r w:rsidRPr="00F67B20">
        <w:rPr>
          <w:rFonts w:ascii="Arial" w:hAnsi="Arial" w:cs="Arial"/>
          <w:bCs/>
          <w:color w:val="000000" w:themeColor="text1"/>
          <w:sz w:val="24"/>
          <w:szCs w:val="24"/>
        </w:rPr>
        <w:t>Meliaceae</w:t>
      </w:r>
      <w:proofErr w:type="spellEnd"/>
      <w:r w:rsidRPr="00F67B20">
        <w:rPr>
          <w:rFonts w:ascii="Arial" w:hAnsi="Arial" w:cs="Arial"/>
          <w:bCs/>
          <w:color w:val="000000" w:themeColor="text1"/>
          <w:sz w:val="24"/>
          <w:szCs w:val="24"/>
        </w:rPr>
        <w:t>). </w:t>
      </w:r>
      <w:proofErr w:type="spellStart"/>
      <w:r w:rsidRPr="00F67B20">
        <w:rPr>
          <w:rFonts w:ascii="Arial" w:hAnsi="Arial" w:cs="Arial"/>
          <w:bCs/>
          <w:i/>
          <w:iCs/>
          <w:color w:val="000000" w:themeColor="text1"/>
          <w:sz w:val="24"/>
          <w:szCs w:val="24"/>
        </w:rPr>
        <w:t>Fitoterapia</w:t>
      </w:r>
      <w:proofErr w:type="spellEnd"/>
      <w:r w:rsidRPr="00F67B20">
        <w:rPr>
          <w:rFonts w:ascii="Arial" w:hAnsi="Arial" w:cs="Arial"/>
          <w:bCs/>
          <w:color w:val="000000" w:themeColor="text1"/>
          <w:sz w:val="24"/>
          <w:szCs w:val="24"/>
        </w:rPr>
        <w:t>, </w:t>
      </w:r>
      <w:r w:rsidRPr="00F67B20">
        <w:rPr>
          <w:rFonts w:ascii="Arial" w:hAnsi="Arial" w:cs="Arial"/>
          <w:bCs/>
          <w:i/>
          <w:iCs/>
          <w:color w:val="000000" w:themeColor="text1"/>
          <w:sz w:val="24"/>
          <w:szCs w:val="24"/>
        </w:rPr>
        <w:t>92</w:t>
      </w:r>
      <w:r w:rsidRPr="00F67B20">
        <w:rPr>
          <w:rFonts w:ascii="Arial" w:hAnsi="Arial" w:cs="Arial"/>
          <w:bCs/>
          <w:color w:val="000000" w:themeColor="text1"/>
          <w:sz w:val="24"/>
          <w:szCs w:val="24"/>
        </w:rPr>
        <w:t>, 200-205.</w:t>
      </w:r>
    </w:p>
    <w:p w14:paraId="46CF5B7A" w14:textId="77777777" w:rsidR="002F09D3" w:rsidRPr="00F67B20" w:rsidRDefault="002F09D3" w:rsidP="00775EE1">
      <w:pPr>
        <w:spacing w:after="120" w:line="240" w:lineRule="auto"/>
        <w:ind w:left="851" w:hanging="851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F67B20">
        <w:rPr>
          <w:rFonts w:ascii="Arial" w:hAnsi="Arial" w:cs="Arial"/>
          <w:bCs/>
          <w:color w:val="000000" w:themeColor="text1"/>
          <w:sz w:val="24"/>
          <w:szCs w:val="24"/>
        </w:rPr>
        <w:t>Lambert, R. J. W., &amp; Lambert, R. (2003). A model for the efficacy of combined inhibitors. </w:t>
      </w:r>
      <w:r w:rsidRPr="00F67B20">
        <w:rPr>
          <w:rFonts w:ascii="Arial" w:hAnsi="Arial" w:cs="Arial"/>
          <w:bCs/>
          <w:i/>
          <w:iCs/>
          <w:color w:val="000000" w:themeColor="text1"/>
          <w:sz w:val="24"/>
          <w:szCs w:val="24"/>
        </w:rPr>
        <w:t>Journal of applied microbiology</w:t>
      </w:r>
      <w:r w:rsidRPr="00F67B20">
        <w:rPr>
          <w:rFonts w:ascii="Arial" w:hAnsi="Arial" w:cs="Arial"/>
          <w:bCs/>
          <w:color w:val="000000" w:themeColor="text1"/>
          <w:sz w:val="24"/>
          <w:szCs w:val="24"/>
        </w:rPr>
        <w:t>, </w:t>
      </w:r>
      <w:r w:rsidRPr="00F67B20">
        <w:rPr>
          <w:rFonts w:ascii="Arial" w:hAnsi="Arial" w:cs="Arial"/>
          <w:bCs/>
          <w:i/>
          <w:iCs/>
          <w:color w:val="000000" w:themeColor="text1"/>
          <w:sz w:val="24"/>
          <w:szCs w:val="24"/>
        </w:rPr>
        <w:t>95</w:t>
      </w:r>
      <w:r w:rsidRPr="00F67B20">
        <w:rPr>
          <w:rFonts w:ascii="Arial" w:hAnsi="Arial" w:cs="Arial"/>
          <w:bCs/>
          <w:color w:val="000000" w:themeColor="text1"/>
          <w:sz w:val="24"/>
          <w:szCs w:val="24"/>
        </w:rPr>
        <w:t>(4), 734-743.</w:t>
      </w:r>
    </w:p>
    <w:p w14:paraId="1BF52DB7" w14:textId="77777777" w:rsidR="002F09D3" w:rsidRPr="00F67B20" w:rsidRDefault="002F09D3" w:rsidP="00775EE1">
      <w:pPr>
        <w:spacing w:after="120" w:line="240" w:lineRule="auto"/>
        <w:ind w:left="851" w:hanging="851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F67B20">
        <w:rPr>
          <w:rFonts w:ascii="Arial" w:hAnsi="Arial" w:cs="Arial"/>
          <w:bCs/>
          <w:color w:val="000000" w:themeColor="text1"/>
          <w:sz w:val="24"/>
          <w:szCs w:val="24"/>
        </w:rPr>
        <w:t>Lambert, R. J. W., &amp; Pearson, J. (2000). Susceptibility testing: accurate and reproducible minimum inhibitory concentration (MIC) and non</w:t>
      </w:r>
      <w:r w:rsidRPr="00F67B20">
        <w:rPr>
          <w:rFonts w:ascii="Cambria Math" w:hAnsi="Cambria Math" w:cs="Cambria Math"/>
          <w:bCs/>
          <w:color w:val="000000" w:themeColor="text1"/>
          <w:sz w:val="24"/>
          <w:szCs w:val="24"/>
        </w:rPr>
        <w:t>‐</w:t>
      </w:r>
      <w:r w:rsidRPr="00F67B20">
        <w:rPr>
          <w:rFonts w:ascii="Arial" w:hAnsi="Arial" w:cs="Arial"/>
          <w:bCs/>
          <w:color w:val="000000" w:themeColor="text1"/>
          <w:sz w:val="24"/>
          <w:szCs w:val="24"/>
        </w:rPr>
        <w:t>inhibitory concentration (NIC) values. </w:t>
      </w:r>
      <w:r w:rsidRPr="00F67B20">
        <w:rPr>
          <w:rFonts w:ascii="Arial" w:hAnsi="Arial" w:cs="Arial"/>
          <w:bCs/>
          <w:i/>
          <w:iCs/>
          <w:color w:val="000000" w:themeColor="text1"/>
          <w:sz w:val="24"/>
          <w:szCs w:val="24"/>
        </w:rPr>
        <w:t>Journal of applied microbiology</w:t>
      </w:r>
      <w:r w:rsidRPr="00F67B20">
        <w:rPr>
          <w:rFonts w:ascii="Arial" w:hAnsi="Arial" w:cs="Arial"/>
          <w:bCs/>
          <w:color w:val="000000" w:themeColor="text1"/>
          <w:sz w:val="24"/>
          <w:szCs w:val="24"/>
        </w:rPr>
        <w:t>, </w:t>
      </w:r>
      <w:r w:rsidRPr="00F67B20">
        <w:rPr>
          <w:rFonts w:ascii="Arial" w:hAnsi="Arial" w:cs="Arial"/>
          <w:bCs/>
          <w:i/>
          <w:iCs/>
          <w:color w:val="000000" w:themeColor="text1"/>
          <w:sz w:val="24"/>
          <w:szCs w:val="24"/>
        </w:rPr>
        <w:t>88</w:t>
      </w:r>
      <w:r w:rsidRPr="00F67B20">
        <w:rPr>
          <w:rFonts w:ascii="Arial" w:hAnsi="Arial" w:cs="Arial"/>
          <w:bCs/>
          <w:color w:val="000000" w:themeColor="text1"/>
          <w:sz w:val="24"/>
          <w:szCs w:val="24"/>
        </w:rPr>
        <w:t>(5), 784-790.</w:t>
      </w:r>
    </w:p>
    <w:p w14:paraId="27E78984" w14:textId="77777777" w:rsidR="002F09D3" w:rsidRPr="00F67B20" w:rsidRDefault="002F09D3" w:rsidP="00775EE1">
      <w:pPr>
        <w:spacing w:after="120" w:line="240" w:lineRule="auto"/>
        <w:ind w:left="851" w:hanging="851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F67B20">
        <w:rPr>
          <w:rFonts w:ascii="Arial" w:hAnsi="Arial" w:cs="Arial"/>
          <w:bCs/>
          <w:color w:val="000000" w:themeColor="text1"/>
          <w:sz w:val="24"/>
          <w:szCs w:val="24"/>
        </w:rPr>
        <w:t>Mahmoud, G. A. E., Rashed, N. M., El-</w:t>
      </w:r>
      <w:proofErr w:type="spellStart"/>
      <w:r w:rsidRPr="00F67B20">
        <w:rPr>
          <w:rFonts w:ascii="Arial" w:hAnsi="Arial" w:cs="Arial"/>
          <w:bCs/>
          <w:color w:val="000000" w:themeColor="text1"/>
          <w:sz w:val="24"/>
          <w:szCs w:val="24"/>
        </w:rPr>
        <w:t>Ganainy</w:t>
      </w:r>
      <w:proofErr w:type="spellEnd"/>
      <w:r w:rsidRPr="00F67B20">
        <w:rPr>
          <w:rFonts w:ascii="Arial" w:hAnsi="Arial" w:cs="Arial"/>
          <w:bCs/>
          <w:color w:val="000000" w:themeColor="text1"/>
          <w:sz w:val="24"/>
          <w:szCs w:val="24"/>
        </w:rPr>
        <w:t>, S. M., &amp; Salem, S. H. (2024). Unveiling the neem (</w:t>
      </w:r>
      <w:proofErr w:type="spellStart"/>
      <w:r w:rsidRPr="00F67B20">
        <w:rPr>
          <w:rFonts w:ascii="Arial" w:hAnsi="Arial" w:cs="Arial"/>
          <w:bCs/>
          <w:i/>
          <w:iCs/>
          <w:color w:val="000000" w:themeColor="text1"/>
          <w:sz w:val="24"/>
          <w:szCs w:val="24"/>
        </w:rPr>
        <w:t>Azadirachta</w:t>
      </w:r>
      <w:proofErr w:type="spellEnd"/>
      <w:r w:rsidRPr="00F67B20">
        <w:rPr>
          <w:rFonts w:ascii="Arial" w:hAnsi="Arial" w:cs="Arial"/>
          <w:bCs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F67B20">
        <w:rPr>
          <w:rFonts w:ascii="Arial" w:hAnsi="Arial" w:cs="Arial"/>
          <w:bCs/>
          <w:i/>
          <w:iCs/>
          <w:color w:val="000000" w:themeColor="text1"/>
          <w:sz w:val="24"/>
          <w:szCs w:val="24"/>
        </w:rPr>
        <w:t>indica</w:t>
      </w:r>
      <w:proofErr w:type="spellEnd"/>
      <w:r w:rsidRPr="00F67B20">
        <w:rPr>
          <w:rFonts w:ascii="Arial" w:hAnsi="Arial" w:cs="Arial"/>
          <w:bCs/>
          <w:color w:val="000000" w:themeColor="text1"/>
          <w:sz w:val="24"/>
          <w:szCs w:val="24"/>
        </w:rPr>
        <w:t>) effects on biofilm formation of food-borne bacteria and the potential mechanism using a molecular docking approach. </w:t>
      </w:r>
      <w:r w:rsidRPr="00F67B20">
        <w:rPr>
          <w:rFonts w:ascii="Arial" w:hAnsi="Arial" w:cs="Arial"/>
          <w:bCs/>
          <w:i/>
          <w:iCs/>
          <w:color w:val="000000" w:themeColor="text1"/>
          <w:sz w:val="24"/>
          <w:szCs w:val="24"/>
        </w:rPr>
        <w:t>Plants</w:t>
      </w:r>
      <w:r w:rsidRPr="00F67B20">
        <w:rPr>
          <w:rFonts w:ascii="Arial" w:hAnsi="Arial" w:cs="Arial"/>
          <w:bCs/>
          <w:color w:val="000000" w:themeColor="text1"/>
          <w:sz w:val="24"/>
          <w:szCs w:val="24"/>
        </w:rPr>
        <w:t>, </w:t>
      </w:r>
      <w:r w:rsidRPr="00F67B20">
        <w:rPr>
          <w:rFonts w:ascii="Arial" w:hAnsi="Arial" w:cs="Arial"/>
          <w:bCs/>
          <w:i/>
          <w:iCs/>
          <w:color w:val="000000" w:themeColor="text1"/>
          <w:sz w:val="24"/>
          <w:szCs w:val="24"/>
        </w:rPr>
        <w:t>13</w:t>
      </w:r>
      <w:r w:rsidRPr="00F67B20">
        <w:rPr>
          <w:rFonts w:ascii="Arial" w:hAnsi="Arial" w:cs="Arial"/>
          <w:bCs/>
          <w:color w:val="000000" w:themeColor="text1"/>
          <w:sz w:val="24"/>
          <w:szCs w:val="24"/>
        </w:rPr>
        <w:t>(18), 2669.</w:t>
      </w:r>
    </w:p>
    <w:p w14:paraId="78936417" w14:textId="77777777" w:rsidR="002F09D3" w:rsidRPr="00F67B20" w:rsidRDefault="002F09D3" w:rsidP="00775EE1">
      <w:pPr>
        <w:spacing w:after="120" w:line="240" w:lineRule="auto"/>
        <w:ind w:left="851" w:hanging="851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F67B20">
        <w:rPr>
          <w:rFonts w:ascii="Arial" w:hAnsi="Arial" w:cs="Arial"/>
          <w:bCs/>
          <w:color w:val="000000" w:themeColor="text1"/>
          <w:sz w:val="24"/>
          <w:szCs w:val="24"/>
        </w:rPr>
        <w:t xml:space="preserve">Murray, C. J., Ikuta, K. S., Sharara, F., </w:t>
      </w:r>
      <w:proofErr w:type="spellStart"/>
      <w:r w:rsidRPr="00F67B20">
        <w:rPr>
          <w:rFonts w:ascii="Arial" w:hAnsi="Arial" w:cs="Arial"/>
          <w:bCs/>
          <w:color w:val="000000" w:themeColor="text1"/>
          <w:sz w:val="24"/>
          <w:szCs w:val="24"/>
        </w:rPr>
        <w:t>Swetschinski</w:t>
      </w:r>
      <w:proofErr w:type="spellEnd"/>
      <w:r w:rsidRPr="00F67B20">
        <w:rPr>
          <w:rFonts w:ascii="Arial" w:hAnsi="Arial" w:cs="Arial"/>
          <w:bCs/>
          <w:color w:val="000000" w:themeColor="text1"/>
          <w:sz w:val="24"/>
          <w:szCs w:val="24"/>
        </w:rPr>
        <w:t>, L., Aguilar, G. R., Gray, A., ... &amp; Tasak, N. (2022). Global burden of bacterial antimicrobial resistance in 2019: a systematic analysis. </w:t>
      </w:r>
      <w:r w:rsidRPr="00F67B20">
        <w:rPr>
          <w:rFonts w:ascii="Arial" w:hAnsi="Arial" w:cs="Arial"/>
          <w:bCs/>
          <w:i/>
          <w:iCs/>
          <w:color w:val="000000" w:themeColor="text1"/>
          <w:sz w:val="24"/>
          <w:szCs w:val="24"/>
        </w:rPr>
        <w:t>The lancet</w:t>
      </w:r>
      <w:r w:rsidRPr="00F67B20">
        <w:rPr>
          <w:rFonts w:ascii="Arial" w:hAnsi="Arial" w:cs="Arial"/>
          <w:bCs/>
          <w:color w:val="000000" w:themeColor="text1"/>
          <w:sz w:val="24"/>
          <w:szCs w:val="24"/>
        </w:rPr>
        <w:t>, </w:t>
      </w:r>
      <w:r w:rsidRPr="00F67B20">
        <w:rPr>
          <w:rFonts w:ascii="Arial" w:hAnsi="Arial" w:cs="Arial"/>
          <w:bCs/>
          <w:i/>
          <w:iCs/>
          <w:color w:val="000000" w:themeColor="text1"/>
          <w:sz w:val="24"/>
          <w:szCs w:val="24"/>
        </w:rPr>
        <w:t>399</w:t>
      </w:r>
      <w:r w:rsidRPr="00F67B20">
        <w:rPr>
          <w:rFonts w:ascii="Arial" w:hAnsi="Arial" w:cs="Arial"/>
          <w:bCs/>
          <w:color w:val="000000" w:themeColor="text1"/>
          <w:sz w:val="24"/>
          <w:szCs w:val="24"/>
        </w:rPr>
        <w:t>(10325), 629-655.</w:t>
      </w:r>
    </w:p>
    <w:p w14:paraId="4973D013" w14:textId="27EB79BD" w:rsidR="002F09D3" w:rsidRPr="00F67B20" w:rsidRDefault="002F09D3" w:rsidP="00775EE1">
      <w:pPr>
        <w:spacing w:after="120" w:line="240" w:lineRule="auto"/>
        <w:ind w:left="851" w:hanging="851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F67B20">
        <w:rPr>
          <w:rFonts w:ascii="Arial" w:hAnsi="Arial" w:cs="Arial"/>
          <w:bCs/>
          <w:color w:val="000000" w:themeColor="text1"/>
          <w:sz w:val="24"/>
          <w:szCs w:val="24"/>
        </w:rPr>
        <w:t xml:space="preserve">Okemo, P. O., </w:t>
      </w:r>
      <w:proofErr w:type="spellStart"/>
      <w:r w:rsidRPr="00F67B20">
        <w:rPr>
          <w:rFonts w:ascii="Arial" w:hAnsi="Arial" w:cs="Arial"/>
          <w:bCs/>
          <w:color w:val="000000" w:themeColor="text1"/>
          <w:sz w:val="24"/>
          <w:szCs w:val="24"/>
        </w:rPr>
        <w:t>Mwatha</w:t>
      </w:r>
      <w:proofErr w:type="spellEnd"/>
      <w:r w:rsidRPr="00F67B20">
        <w:rPr>
          <w:rFonts w:ascii="Arial" w:hAnsi="Arial" w:cs="Arial"/>
          <w:bCs/>
          <w:color w:val="000000" w:themeColor="text1"/>
          <w:sz w:val="24"/>
          <w:szCs w:val="24"/>
        </w:rPr>
        <w:t xml:space="preserve">, W. E., Chhabra, S. C., &amp; Fabry, W. (2001). The kill kinetics of </w:t>
      </w:r>
      <w:proofErr w:type="spellStart"/>
      <w:r w:rsidRPr="00F67B20">
        <w:rPr>
          <w:rFonts w:ascii="Arial" w:hAnsi="Arial" w:cs="Arial"/>
          <w:bCs/>
          <w:i/>
          <w:iCs/>
          <w:color w:val="000000" w:themeColor="text1"/>
          <w:sz w:val="24"/>
          <w:szCs w:val="24"/>
        </w:rPr>
        <w:t>Azadirachta</w:t>
      </w:r>
      <w:proofErr w:type="spellEnd"/>
      <w:r w:rsidRPr="00F67B20">
        <w:rPr>
          <w:rFonts w:ascii="Arial" w:hAnsi="Arial" w:cs="Arial"/>
          <w:bCs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F67B20">
        <w:rPr>
          <w:rFonts w:ascii="Arial" w:hAnsi="Arial" w:cs="Arial"/>
          <w:bCs/>
          <w:i/>
          <w:iCs/>
          <w:color w:val="000000" w:themeColor="text1"/>
          <w:sz w:val="24"/>
          <w:szCs w:val="24"/>
        </w:rPr>
        <w:t>indica</w:t>
      </w:r>
      <w:proofErr w:type="spellEnd"/>
      <w:r w:rsidRPr="00F67B20">
        <w:rPr>
          <w:rFonts w:ascii="Arial" w:hAnsi="Arial" w:cs="Arial"/>
          <w:bCs/>
          <w:color w:val="000000" w:themeColor="text1"/>
          <w:sz w:val="24"/>
          <w:szCs w:val="24"/>
        </w:rPr>
        <w:t xml:space="preserve"> A. Juss. (</w:t>
      </w:r>
      <w:proofErr w:type="spellStart"/>
      <w:r w:rsidRPr="00F67B20">
        <w:rPr>
          <w:rFonts w:ascii="Arial" w:hAnsi="Arial" w:cs="Arial"/>
          <w:bCs/>
          <w:color w:val="000000" w:themeColor="text1"/>
          <w:sz w:val="24"/>
          <w:szCs w:val="24"/>
        </w:rPr>
        <w:t>Meliaceae</w:t>
      </w:r>
      <w:proofErr w:type="spellEnd"/>
      <w:r w:rsidRPr="00F67B20">
        <w:rPr>
          <w:rFonts w:ascii="Arial" w:hAnsi="Arial" w:cs="Arial"/>
          <w:bCs/>
          <w:color w:val="000000" w:themeColor="text1"/>
          <w:sz w:val="24"/>
          <w:szCs w:val="24"/>
        </w:rPr>
        <w:t xml:space="preserve">) extracts on </w:t>
      </w:r>
      <w:r w:rsidRPr="00F67B20">
        <w:rPr>
          <w:rFonts w:ascii="Arial" w:hAnsi="Arial" w:cs="Arial"/>
          <w:bCs/>
          <w:i/>
          <w:iCs/>
          <w:color w:val="000000" w:themeColor="text1"/>
          <w:sz w:val="24"/>
          <w:szCs w:val="24"/>
        </w:rPr>
        <w:t>Staphylococcus aureus</w:t>
      </w:r>
      <w:r w:rsidRPr="00F67B20">
        <w:rPr>
          <w:rFonts w:ascii="Arial" w:hAnsi="Arial" w:cs="Arial"/>
          <w:bCs/>
          <w:color w:val="000000" w:themeColor="text1"/>
          <w:sz w:val="24"/>
          <w:szCs w:val="24"/>
        </w:rPr>
        <w:t xml:space="preserve">, </w:t>
      </w:r>
      <w:r w:rsidRPr="00F67B20">
        <w:rPr>
          <w:rFonts w:ascii="Arial" w:hAnsi="Arial" w:cs="Arial"/>
          <w:bCs/>
          <w:i/>
          <w:iCs/>
          <w:color w:val="000000" w:themeColor="text1"/>
          <w:sz w:val="24"/>
          <w:szCs w:val="24"/>
        </w:rPr>
        <w:t>Escherichia coli</w:t>
      </w:r>
      <w:r w:rsidRPr="00F67B20">
        <w:rPr>
          <w:rFonts w:ascii="Arial" w:hAnsi="Arial" w:cs="Arial"/>
          <w:bCs/>
          <w:color w:val="000000" w:themeColor="text1"/>
          <w:sz w:val="24"/>
          <w:szCs w:val="24"/>
        </w:rPr>
        <w:t xml:space="preserve">, </w:t>
      </w:r>
      <w:r w:rsidRPr="00F67B20">
        <w:rPr>
          <w:rFonts w:ascii="Arial" w:hAnsi="Arial" w:cs="Arial"/>
          <w:bCs/>
          <w:i/>
          <w:iCs/>
          <w:color w:val="000000" w:themeColor="text1"/>
          <w:sz w:val="24"/>
          <w:szCs w:val="24"/>
        </w:rPr>
        <w:t>Pseudomonas aeruginosa</w:t>
      </w:r>
      <w:r w:rsidRPr="00F67B20">
        <w:rPr>
          <w:rFonts w:ascii="Arial" w:hAnsi="Arial" w:cs="Arial"/>
          <w:bCs/>
          <w:color w:val="000000" w:themeColor="text1"/>
          <w:sz w:val="24"/>
          <w:szCs w:val="24"/>
        </w:rPr>
        <w:t xml:space="preserve"> and </w:t>
      </w:r>
      <w:r w:rsidRPr="00F67B20">
        <w:rPr>
          <w:rFonts w:ascii="Arial" w:hAnsi="Arial" w:cs="Arial"/>
          <w:bCs/>
          <w:i/>
          <w:iCs/>
          <w:color w:val="000000" w:themeColor="text1"/>
          <w:sz w:val="24"/>
          <w:szCs w:val="24"/>
        </w:rPr>
        <w:t>Candida albicans</w:t>
      </w:r>
      <w:r w:rsidRPr="00F67B20">
        <w:rPr>
          <w:rFonts w:ascii="Arial" w:hAnsi="Arial" w:cs="Arial"/>
          <w:bCs/>
          <w:color w:val="000000" w:themeColor="text1"/>
          <w:sz w:val="24"/>
          <w:szCs w:val="24"/>
        </w:rPr>
        <w:t>. </w:t>
      </w:r>
      <w:r w:rsidRPr="00F67B20">
        <w:rPr>
          <w:rFonts w:ascii="Arial" w:hAnsi="Arial" w:cs="Arial"/>
          <w:bCs/>
          <w:i/>
          <w:iCs/>
          <w:color w:val="000000" w:themeColor="text1"/>
          <w:sz w:val="24"/>
          <w:szCs w:val="24"/>
        </w:rPr>
        <w:t>African Journal of Science and Technology</w:t>
      </w:r>
      <w:r w:rsidRPr="00F67B20">
        <w:rPr>
          <w:rFonts w:ascii="Arial" w:hAnsi="Arial" w:cs="Arial"/>
          <w:bCs/>
          <w:color w:val="000000" w:themeColor="text1"/>
          <w:sz w:val="24"/>
          <w:szCs w:val="24"/>
        </w:rPr>
        <w:t>, </w:t>
      </w:r>
      <w:r w:rsidRPr="00F67B20">
        <w:rPr>
          <w:rFonts w:ascii="Arial" w:hAnsi="Arial" w:cs="Arial"/>
          <w:bCs/>
          <w:i/>
          <w:iCs/>
          <w:color w:val="000000" w:themeColor="text1"/>
          <w:sz w:val="24"/>
          <w:szCs w:val="24"/>
        </w:rPr>
        <w:t>2</w:t>
      </w:r>
      <w:r w:rsidRPr="00F67B20">
        <w:rPr>
          <w:rFonts w:ascii="Arial" w:hAnsi="Arial" w:cs="Arial"/>
          <w:bCs/>
          <w:color w:val="000000" w:themeColor="text1"/>
          <w:sz w:val="24"/>
          <w:szCs w:val="24"/>
        </w:rPr>
        <w:t>(2), 113-118.</w:t>
      </w:r>
    </w:p>
    <w:p w14:paraId="7B023D58" w14:textId="77777777" w:rsidR="002F09D3" w:rsidRPr="00F67B20" w:rsidRDefault="002F09D3" w:rsidP="00775EE1">
      <w:pPr>
        <w:spacing w:after="120" w:line="240" w:lineRule="auto"/>
        <w:ind w:left="851" w:hanging="851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F67B20">
        <w:rPr>
          <w:rFonts w:ascii="Arial" w:hAnsi="Arial" w:cs="Arial"/>
          <w:bCs/>
          <w:color w:val="000000" w:themeColor="text1"/>
          <w:sz w:val="24"/>
          <w:szCs w:val="24"/>
        </w:rPr>
        <w:t xml:space="preserve">Omar, M. M., Hosseny, E. N., </w:t>
      </w:r>
      <w:proofErr w:type="spellStart"/>
      <w:r w:rsidRPr="00F67B20">
        <w:rPr>
          <w:rFonts w:ascii="Arial" w:hAnsi="Arial" w:cs="Arial"/>
          <w:bCs/>
          <w:color w:val="000000" w:themeColor="text1"/>
          <w:sz w:val="24"/>
          <w:szCs w:val="24"/>
        </w:rPr>
        <w:t>Handak</w:t>
      </w:r>
      <w:proofErr w:type="spellEnd"/>
      <w:r w:rsidRPr="00F67B20">
        <w:rPr>
          <w:rFonts w:ascii="Arial" w:hAnsi="Arial" w:cs="Arial"/>
          <w:bCs/>
          <w:color w:val="000000" w:themeColor="text1"/>
          <w:sz w:val="24"/>
          <w:szCs w:val="24"/>
        </w:rPr>
        <w:t>, E. M., AL-Sarraj, F., &amp; El-</w:t>
      </w:r>
      <w:proofErr w:type="spellStart"/>
      <w:r w:rsidRPr="00F67B20">
        <w:rPr>
          <w:rFonts w:ascii="Arial" w:hAnsi="Arial" w:cs="Arial"/>
          <w:bCs/>
          <w:color w:val="000000" w:themeColor="text1"/>
          <w:sz w:val="24"/>
          <w:szCs w:val="24"/>
        </w:rPr>
        <w:t>Hejin</w:t>
      </w:r>
      <w:proofErr w:type="spellEnd"/>
      <w:r w:rsidRPr="00F67B20">
        <w:rPr>
          <w:rFonts w:ascii="Arial" w:hAnsi="Arial" w:cs="Arial"/>
          <w:bCs/>
          <w:color w:val="000000" w:themeColor="text1"/>
          <w:sz w:val="24"/>
          <w:szCs w:val="24"/>
        </w:rPr>
        <w:t xml:space="preserve">, A. M. (2024). Detection of (CTX-M) Resistance Genes in Extended Spectrum Beta-lactamases Bacterial Isolates of </w:t>
      </w:r>
      <w:r w:rsidRPr="00F67B20">
        <w:rPr>
          <w:rFonts w:ascii="Arial" w:hAnsi="Arial" w:cs="Arial"/>
          <w:bCs/>
          <w:i/>
          <w:iCs/>
          <w:color w:val="000000" w:themeColor="text1"/>
          <w:sz w:val="24"/>
          <w:szCs w:val="24"/>
        </w:rPr>
        <w:t>Escherichia coli</w:t>
      </w:r>
      <w:r w:rsidRPr="00F67B20">
        <w:rPr>
          <w:rFonts w:ascii="Arial" w:hAnsi="Arial" w:cs="Arial"/>
          <w:bCs/>
          <w:color w:val="000000" w:themeColor="text1"/>
          <w:sz w:val="24"/>
          <w:szCs w:val="24"/>
        </w:rPr>
        <w:t xml:space="preserve"> and </w:t>
      </w:r>
      <w:r w:rsidRPr="00F67B20">
        <w:rPr>
          <w:rFonts w:ascii="Arial" w:hAnsi="Arial" w:cs="Arial"/>
          <w:bCs/>
          <w:i/>
          <w:iCs/>
          <w:color w:val="000000" w:themeColor="text1"/>
          <w:sz w:val="24"/>
          <w:szCs w:val="24"/>
        </w:rPr>
        <w:t>Klebsiella pneumonia</w:t>
      </w:r>
      <w:r w:rsidRPr="00F67B20">
        <w:rPr>
          <w:rFonts w:ascii="Arial" w:hAnsi="Arial" w:cs="Arial"/>
          <w:bCs/>
          <w:color w:val="000000" w:themeColor="text1"/>
          <w:sz w:val="24"/>
          <w:szCs w:val="24"/>
        </w:rPr>
        <w:t xml:space="preserve"> and the Antibacterial Effect of Ethanolic Extract of Neem plant (</w:t>
      </w:r>
      <w:proofErr w:type="spellStart"/>
      <w:r w:rsidRPr="00F67B20">
        <w:rPr>
          <w:rFonts w:ascii="Arial" w:hAnsi="Arial" w:cs="Arial"/>
          <w:bCs/>
          <w:i/>
          <w:iCs/>
          <w:color w:val="000000" w:themeColor="text1"/>
          <w:sz w:val="24"/>
          <w:szCs w:val="24"/>
        </w:rPr>
        <w:t>Azadirachta</w:t>
      </w:r>
      <w:proofErr w:type="spellEnd"/>
      <w:r w:rsidRPr="00F67B20">
        <w:rPr>
          <w:rFonts w:ascii="Arial" w:hAnsi="Arial" w:cs="Arial"/>
          <w:bCs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F67B20">
        <w:rPr>
          <w:rFonts w:ascii="Arial" w:hAnsi="Arial" w:cs="Arial"/>
          <w:bCs/>
          <w:i/>
          <w:iCs/>
          <w:color w:val="000000" w:themeColor="text1"/>
          <w:sz w:val="24"/>
          <w:szCs w:val="24"/>
        </w:rPr>
        <w:t>indica</w:t>
      </w:r>
      <w:proofErr w:type="spellEnd"/>
      <w:r w:rsidRPr="00F67B20">
        <w:rPr>
          <w:rFonts w:ascii="Arial" w:hAnsi="Arial" w:cs="Arial"/>
          <w:bCs/>
          <w:color w:val="000000" w:themeColor="text1"/>
          <w:sz w:val="24"/>
          <w:szCs w:val="24"/>
        </w:rPr>
        <w:t>) Against these Bacteria. </w:t>
      </w:r>
      <w:r w:rsidRPr="00F67B20">
        <w:rPr>
          <w:rFonts w:ascii="Arial" w:hAnsi="Arial" w:cs="Arial"/>
          <w:bCs/>
          <w:i/>
          <w:iCs/>
          <w:color w:val="000000" w:themeColor="text1"/>
          <w:sz w:val="24"/>
          <w:szCs w:val="24"/>
        </w:rPr>
        <w:t>Egyptian Journal of Chemistry</w:t>
      </w:r>
      <w:r w:rsidRPr="00F67B20">
        <w:rPr>
          <w:rFonts w:ascii="Arial" w:hAnsi="Arial" w:cs="Arial"/>
          <w:bCs/>
          <w:color w:val="000000" w:themeColor="text1"/>
          <w:sz w:val="24"/>
          <w:szCs w:val="24"/>
        </w:rPr>
        <w:t>, </w:t>
      </w:r>
      <w:r w:rsidRPr="00F67B20">
        <w:rPr>
          <w:rFonts w:ascii="Arial" w:hAnsi="Arial" w:cs="Arial"/>
          <w:bCs/>
          <w:i/>
          <w:iCs/>
          <w:color w:val="000000" w:themeColor="text1"/>
          <w:sz w:val="24"/>
          <w:szCs w:val="24"/>
        </w:rPr>
        <w:t>67</w:t>
      </w:r>
      <w:r w:rsidRPr="00F67B20">
        <w:rPr>
          <w:rFonts w:ascii="Arial" w:hAnsi="Arial" w:cs="Arial"/>
          <w:bCs/>
          <w:color w:val="000000" w:themeColor="text1"/>
          <w:sz w:val="24"/>
          <w:szCs w:val="24"/>
        </w:rPr>
        <w:t>(3), 337-345.</w:t>
      </w:r>
    </w:p>
    <w:p w14:paraId="1FF84E02" w14:textId="77777777" w:rsidR="002F09D3" w:rsidRPr="00F67B20" w:rsidRDefault="002F09D3" w:rsidP="00775EE1">
      <w:pPr>
        <w:spacing w:after="120" w:line="240" w:lineRule="auto"/>
        <w:ind w:left="851" w:hanging="851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F67B20">
        <w:rPr>
          <w:rFonts w:ascii="Arial" w:hAnsi="Arial" w:cs="Arial"/>
          <w:bCs/>
          <w:color w:val="000000" w:themeColor="text1"/>
          <w:sz w:val="24"/>
          <w:szCs w:val="24"/>
        </w:rPr>
        <w:t xml:space="preserve">Sarkar, P., </w:t>
      </w:r>
      <w:proofErr w:type="spellStart"/>
      <w:r w:rsidRPr="00F67B20">
        <w:rPr>
          <w:rFonts w:ascii="Arial" w:hAnsi="Arial" w:cs="Arial"/>
          <w:bCs/>
          <w:color w:val="000000" w:themeColor="text1"/>
          <w:sz w:val="24"/>
          <w:szCs w:val="24"/>
        </w:rPr>
        <w:t>Acharyya</w:t>
      </w:r>
      <w:proofErr w:type="spellEnd"/>
      <w:r w:rsidRPr="00F67B20">
        <w:rPr>
          <w:rFonts w:ascii="Arial" w:hAnsi="Arial" w:cs="Arial"/>
          <w:bCs/>
          <w:color w:val="000000" w:themeColor="text1"/>
          <w:sz w:val="24"/>
          <w:szCs w:val="24"/>
        </w:rPr>
        <w:t xml:space="preserve">, S., Banerjee, A., Patra, A., </w:t>
      </w:r>
      <w:proofErr w:type="spellStart"/>
      <w:r w:rsidRPr="00F67B20">
        <w:rPr>
          <w:rFonts w:ascii="Arial" w:hAnsi="Arial" w:cs="Arial"/>
          <w:bCs/>
          <w:color w:val="000000" w:themeColor="text1"/>
          <w:sz w:val="24"/>
          <w:szCs w:val="24"/>
        </w:rPr>
        <w:t>Thankamani</w:t>
      </w:r>
      <w:proofErr w:type="spellEnd"/>
      <w:r w:rsidRPr="00F67B20">
        <w:rPr>
          <w:rFonts w:ascii="Arial" w:hAnsi="Arial" w:cs="Arial"/>
          <w:bCs/>
          <w:color w:val="000000" w:themeColor="text1"/>
          <w:sz w:val="24"/>
          <w:szCs w:val="24"/>
        </w:rPr>
        <w:t xml:space="preserve">, K., Koley, H., &amp; Bag, P. K. (2016). Intracellular, biofilm-inhibitory and membrane-damaging activities of </w:t>
      </w:r>
      <w:proofErr w:type="spellStart"/>
      <w:r w:rsidRPr="00F67B20">
        <w:rPr>
          <w:rFonts w:ascii="Arial" w:hAnsi="Arial" w:cs="Arial"/>
          <w:bCs/>
          <w:color w:val="000000" w:themeColor="text1"/>
          <w:sz w:val="24"/>
          <w:szCs w:val="24"/>
        </w:rPr>
        <w:t>nimbolide</w:t>
      </w:r>
      <w:proofErr w:type="spellEnd"/>
      <w:r w:rsidRPr="00F67B20">
        <w:rPr>
          <w:rFonts w:ascii="Arial" w:hAnsi="Arial" w:cs="Arial"/>
          <w:bCs/>
          <w:color w:val="000000" w:themeColor="text1"/>
          <w:sz w:val="24"/>
          <w:szCs w:val="24"/>
        </w:rPr>
        <w:t xml:space="preserve"> isolated from </w:t>
      </w:r>
      <w:proofErr w:type="spellStart"/>
      <w:r w:rsidRPr="00F67B20">
        <w:rPr>
          <w:rFonts w:ascii="Arial" w:hAnsi="Arial" w:cs="Arial"/>
          <w:bCs/>
          <w:color w:val="000000" w:themeColor="text1"/>
          <w:sz w:val="24"/>
          <w:szCs w:val="24"/>
        </w:rPr>
        <w:t>Azadirachta</w:t>
      </w:r>
      <w:proofErr w:type="spellEnd"/>
      <w:r w:rsidRPr="00F67B20">
        <w:rPr>
          <w:rFonts w:ascii="Arial" w:hAnsi="Arial" w:cs="Arial"/>
          <w:bCs/>
          <w:color w:val="000000" w:themeColor="text1"/>
          <w:sz w:val="24"/>
          <w:szCs w:val="24"/>
        </w:rPr>
        <w:t xml:space="preserve"> indica A. </w:t>
      </w:r>
      <w:proofErr w:type="spellStart"/>
      <w:r w:rsidRPr="00F67B20">
        <w:rPr>
          <w:rFonts w:ascii="Arial" w:hAnsi="Arial" w:cs="Arial"/>
          <w:bCs/>
          <w:color w:val="000000" w:themeColor="text1"/>
          <w:sz w:val="24"/>
          <w:szCs w:val="24"/>
        </w:rPr>
        <w:t>Juss</w:t>
      </w:r>
      <w:proofErr w:type="spellEnd"/>
      <w:r w:rsidRPr="00F67B20">
        <w:rPr>
          <w:rFonts w:ascii="Arial" w:hAnsi="Arial" w:cs="Arial"/>
          <w:bCs/>
          <w:color w:val="000000" w:themeColor="text1"/>
          <w:sz w:val="24"/>
          <w:szCs w:val="24"/>
        </w:rPr>
        <w:t xml:space="preserve"> (</w:t>
      </w:r>
      <w:proofErr w:type="spellStart"/>
      <w:r w:rsidRPr="00F67B20">
        <w:rPr>
          <w:rFonts w:ascii="Arial" w:hAnsi="Arial" w:cs="Arial"/>
          <w:bCs/>
          <w:color w:val="000000" w:themeColor="text1"/>
          <w:sz w:val="24"/>
          <w:szCs w:val="24"/>
        </w:rPr>
        <w:t>Meliaceae</w:t>
      </w:r>
      <w:proofErr w:type="spellEnd"/>
      <w:r w:rsidRPr="00F67B20">
        <w:rPr>
          <w:rFonts w:ascii="Arial" w:hAnsi="Arial" w:cs="Arial"/>
          <w:bCs/>
          <w:color w:val="000000" w:themeColor="text1"/>
          <w:sz w:val="24"/>
          <w:szCs w:val="24"/>
        </w:rPr>
        <w:t xml:space="preserve">) against </w:t>
      </w:r>
      <w:proofErr w:type="spellStart"/>
      <w:r w:rsidRPr="00F67B20">
        <w:rPr>
          <w:rFonts w:ascii="Arial" w:hAnsi="Arial" w:cs="Arial"/>
          <w:bCs/>
          <w:color w:val="000000" w:themeColor="text1"/>
          <w:sz w:val="24"/>
          <w:szCs w:val="24"/>
        </w:rPr>
        <w:t>meticillin</w:t>
      </w:r>
      <w:proofErr w:type="spellEnd"/>
      <w:r w:rsidRPr="00F67B20">
        <w:rPr>
          <w:rFonts w:ascii="Arial" w:hAnsi="Arial" w:cs="Arial"/>
          <w:bCs/>
          <w:color w:val="000000" w:themeColor="text1"/>
          <w:sz w:val="24"/>
          <w:szCs w:val="24"/>
        </w:rPr>
        <w:t xml:space="preserve">-resistant </w:t>
      </w:r>
      <w:r w:rsidRPr="001D558B">
        <w:rPr>
          <w:rFonts w:ascii="Arial" w:hAnsi="Arial" w:cs="Arial"/>
          <w:bCs/>
          <w:i/>
          <w:iCs/>
          <w:color w:val="000000" w:themeColor="text1"/>
          <w:sz w:val="24"/>
          <w:szCs w:val="24"/>
        </w:rPr>
        <w:t>Staphylococcus aureus</w:t>
      </w:r>
      <w:r w:rsidRPr="00F67B20">
        <w:rPr>
          <w:rFonts w:ascii="Arial" w:hAnsi="Arial" w:cs="Arial"/>
          <w:bCs/>
          <w:color w:val="000000" w:themeColor="text1"/>
          <w:sz w:val="24"/>
          <w:szCs w:val="24"/>
        </w:rPr>
        <w:t>. </w:t>
      </w:r>
      <w:r w:rsidRPr="00F67B20">
        <w:rPr>
          <w:rFonts w:ascii="Arial" w:hAnsi="Arial" w:cs="Arial"/>
          <w:bCs/>
          <w:i/>
          <w:iCs/>
          <w:color w:val="000000" w:themeColor="text1"/>
          <w:sz w:val="24"/>
          <w:szCs w:val="24"/>
        </w:rPr>
        <w:t>Journal of medical microbiology</w:t>
      </w:r>
      <w:r w:rsidRPr="00F67B20">
        <w:rPr>
          <w:rFonts w:ascii="Arial" w:hAnsi="Arial" w:cs="Arial"/>
          <w:bCs/>
          <w:color w:val="000000" w:themeColor="text1"/>
          <w:sz w:val="24"/>
          <w:szCs w:val="24"/>
        </w:rPr>
        <w:t>, </w:t>
      </w:r>
      <w:r w:rsidRPr="00F67B20">
        <w:rPr>
          <w:rFonts w:ascii="Arial" w:hAnsi="Arial" w:cs="Arial"/>
          <w:bCs/>
          <w:i/>
          <w:iCs/>
          <w:color w:val="000000" w:themeColor="text1"/>
          <w:sz w:val="24"/>
          <w:szCs w:val="24"/>
        </w:rPr>
        <w:t>65</w:t>
      </w:r>
      <w:r w:rsidRPr="00F67B20">
        <w:rPr>
          <w:rFonts w:ascii="Arial" w:hAnsi="Arial" w:cs="Arial"/>
          <w:bCs/>
          <w:color w:val="000000" w:themeColor="text1"/>
          <w:sz w:val="24"/>
          <w:szCs w:val="24"/>
        </w:rPr>
        <w:t>(10), 1205-1214.</w:t>
      </w:r>
    </w:p>
    <w:p w14:paraId="13D57214" w14:textId="77777777" w:rsidR="002F09D3" w:rsidRPr="00F67B20" w:rsidRDefault="002F09D3" w:rsidP="00775EE1">
      <w:pPr>
        <w:spacing w:after="120" w:line="240" w:lineRule="auto"/>
        <w:ind w:left="851" w:hanging="851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F67B20">
        <w:rPr>
          <w:rFonts w:ascii="Arial" w:hAnsi="Arial" w:cs="Arial"/>
          <w:bCs/>
          <w:color w:val="000000" w:themeColor="text1"/>
          <w:sz w:val="24"/>
          <w:szCs w:val="24"/>
        </w:rPr>
        <w:t xml:space="preserve">Sastry, B. S., Babu, K. S., Babu, T. H., Chandrasekhar, S., Srinivas, P. V., Saxena, A. K., &amp; Rao, J. M. (2006). Synthesis and biological activity of amide derivatives of </w:t>
      </w:r>
      <w:proofErr w:type="spellStart"/>
      <w:r w:rsidRPr="00F67B20">
        <w:rPr>
          <w:rFonts w:ascii="Arial" w:hAnsi="Arial" w:cs="Arial"/>
          <w:bCs/>
          <w:color w:val="000000" w:themeColor="text1"/>
          <w:sz w:val="24"/>
          <w:szCs w:val="24"/>
        </w:rPr>
        <w:t>nimbolide</w:t>
      </w:r>
      <w:proofErr w:type="spellEnd"/>
      <w:r w:rsidRPr="00F67B20">
        <w:rPr>
          <w:rFonts w:ascii="Arial" w:hAnsi="Arial" w:cs="Arial"/>
          <w:bCs/>
          <w:color w:val="000000" w:themeColor="text1"/>
          <w:sz w:val="24"/>
          <w:szCs w:val="24"/>
        </w:rPr>
        <w:t>. </w:t>
      </w:r>
      <w:r w:rsidRPr="00F67B20">
        <w:rPr>
          <w:rFonts w:ascii="Arial" w:hAnsi="Arial" w:cs="Arial"/>
          <w:bCs/>
          <w:i/>
          <w:iCs/>
          <w:color w:val="000000" w:themeColor="text1"/>
          <w:sz w:val="24"/>
          <w:szCs w:val="24"/>
        </w:rPr>
        <w:t>Bioorganic &amp; medicinal chemistry letters</w:t>
      </w:r>
      <w:r w:rsidRPr="00F67B20">
        <w:rPr>
          <w:rFonts w:ascii="Arial" w:hAnsi="Arial" w:cs="Arial"/>
          <w:bCs/>
          <w:color w:val="000000" w:themeColor="text1"/>
          <w:sz w:val="24"/>
          <w:szCs w:val="24"/>
        </w:rPr>
        <w:t>, </w:t>
      </w:r>
      <w:r w:rsidRPr="00F67B20">
        <w:rPr>
          <w:rFonts w:ascii="Arial" w:hAnsi="Arial" w:cs="Arial"/>
          <w:bCs/>
          <w:i/>
          <w:iCs/>
          <w:color w:val="000000" w:themeColor="text1"/>
          <w:sz w:val="24"/>
          <w:szCs w:val="24"/>
        </w:rPr>
        <w:t>16</w:t>
      </w:r>
      <w:r w:rsidRPr="00F67B20">
        <w:rPr>
          <w:rFonts w:ascii="Arial" w:hAnsi="Arial" w:cs="Arial"/>
          <w:bCs/>
          <w:color w:val="000000" w:themeColor="text1"/>
          <w:sz w:val="24"/>
          <w:szCs w:val="24"/>
        </w:rPr>
        <w:t>(16), 4391-4394.</w:t>
      </w:r>
    </w:p>
    <w:p w14:paraId="7E862A73" w14:textId="08ADEFFE" w:rsidR="002F09D3" w:rsidRPr="00F67B20" w:rsidRDefault="002F09D3" w:rsidP="00775EE1">
      <w:pPr>
        <w:spacing w:after="120" w:line="240" w:lineRule="auto"/>
        <w:ind w:left="851" w:hanging="851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F67B20">
        <w:rPr>
          <w:rFonts w:ascii="Arial" w:hAnsi="Arial" w:cs="Arial"/>
          <w:bCs/>
          <w:color w:val="000000" w:themeColor="text1"/>
          <w:sz w:val="24"/>
          <w:szCs w:val="24"/>
        </w:rPr>
        <w:t xml:space="preserve">Shilpa, G., </w:t>
      </w:r>
      <w:proofErr w:type="spellStart"/>
      <w:r w:rsidRPr="00F67B20">
        <w:rPr>
          <w:rFonts w:ascii="Arial" w:hAnsi="Arial" w:cs="Arial"/>
          <w:bCs/>
          <w:color w:val="000000" w:themeColor="text1"/>
          <w:sz w:val="24"/>
          <w:szCs w:val="24"/>
        </w:rPr>
        <w:t>Renjitha</w:t>
      </w:r>
      <w:proofErr w:type="spellEnd"/>
      <w:r w:rsidRPr="00F67B20">
        <w:rPr>
          <w:rFonts w:ascii="Arial" w:hAnsi="Arial" w:cs="Arial"/>
          <w:bCs/>
          <w:color w:val="000000" w:themeColor="text1"/>
          <w:sz w:val="24"/>
          <w:szCs w:val="24"/>
        </w:rPr>
        <w:t xml:space="preserve">, J., Saranga, R., Sajin, F. K., Nair, M. S., Joy, B., &amp; Priya, S. (2017). Epoxyazadiradione purified from the </w:t>
      </w:r>
      <w:proofErr w:type="spellStart"/>
      <w:r w:rsidRPr="00F67B20">
        <w:rPr>
          <w:rFonts w:ascii="Arial" w:hAnsi="Arial" w:cs="Arial"/>
          <w:bCs/>
          <w:i/>
          <w:iCs/>
          <w:color w:val="000000" w:themeColor="text1"/>
          <w:sz w:val="24"/>
          <w:szCs w:val="24"/>
        </w:rPr>
        <w:t>Azadirachta</w:t>
      </w:r>
      <w:proofErr w:type="spellEnd"/>
      <w:r w:rsidRPr="00F67B20">
        <w:rPr>
          <w:rFonts w:ascii="Arial" w:hAnsi="Arial" w:cs="Arial"/>
          <w:bCs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F67B20">
        <w:rPr>
          <w:rFonts w:ascii="Arial" w:hAnsi="Arial" w:cs="Arial"/>
          <w:bCs/>
          <w:i/>
          <w:iCs/>
          <w:color w:val="000000" w:themeColor="text1"/>
          <w:sz w:val="24"/>
          <w:szCs w:val="24"/>
        </w:rPr>
        <w:t>indica</w:t>
      </w:r>
      <w:proofErr w:type="spellEnd"/>
      <w:r w:rsidRPr="00F67B20">
        <w:rPr>
          <w:rFonts w:ascii="Arial" w:hAnsi="Arial" w:cs="Arial"/>
          <w:bCs/>
          <w:color w:val="000000" w:themeColor="text1"/>
          <w:sz w:val="24"/>
          <w:szCs w:val="24"/>
        </w:rPr>
        <w:t xml:space="preserve"> seed induced mitochondrial apoptosis and inhibition of </w:t>
      </w:r>
      <w:proofErr w:type="spellStart"/>
      <w:r w:rsidRPr="00F67B20">
        <w:rPr>
          <w:rFonts w:ascii="Arial" w:hAnsi="Arial" w:cs="Arial"/>
          <w:bCs/>
          <w:color w:val="000000" w:themeColor="text1"/>
          <w:sz w:val="24"/>
          <w:szCs w:val="24"/>
        </w:rPr>
        <w:t>NFκB</w:t>
      </w:r>
      <w:proofErr w:type="spellEnd"/>
      <w:r w:rsidRPr="00F67B20">
        <w:rPr>
          <w:rFonts w:ascii="Arial" w:hAnsi="Arial" w:cs="Arial"/>
          <w:bCs/>
          <w:color w:val="000000" w:themeColor="text1"/>
          <w:sz w:val="24"/>
          <w:szCs w:val="24"/>
        </w:rPr>
        <w:t xml:space="preserve"> nuclear translocation in human cervical cancer cells. </w:t>
      </w:r>
      <w:r w:rsidRPr="00F67B20">
        <w:rPr>
          <w:rFonts w:ascii="Arial" w:hAnsi="Arial" w:cs="Arial"/>
          <w:bCs/>
          <w:i/>
          <w:iCs/>
          <w:color w:val="000000" w:themeColor="text1"/>
          <w:sz w:val="24"/>
          <w:szCs w:val="24"/>
        </w:rPr>
        <w:t>Phytotherapy Research</w:t>
      </w:r>
      <w:r w:rsidRPr="00F67B20">
        <w:rPr>
          <w:rFonts w:ascii="Arial" w:hAnsi="Arial" w:cs="Arial"/>
          <w:bCs/>
          <w:color w:val="000000" w:themeColor="text1"/>
          <w:sz w:val="24"/>
          <w:szCs w:val="24"/>
        </w:rPr>
        <w:t>, </w:t>
      </w:r>
      <w:r w:rsidRPr="00F67B20">
        <w:rPr>
          <w:rFonts w:ascii="Arial" w:hAnsi="Arial" w:cs="Arial"/>
          <w:bCs/>
          <w:i/>
          <w:iCs/>
          <w:color w:val="000000" w:themeColor="text1"/>
          <w:sz w:val="24"/>
          <w:szCs w:val="24"/>
        </w:rPr>
        <w:t>31</w:t>
      </w:r>
      <w:r w:rsidRPr="00F67B20">
        <w:rPr>
          <w:rFonts w:ascii="Arial" w:hAnsi="Arial" w:cs="Arial"/>
          <w:bCs/>
          <w:color w:val="000000" w:themeColor="text1"/>
          <w:sz w:val="24"/>
          <w:szCs w:val="24"/>
        </w:rPr>
        <w:t>(12), 1892-1902.</w:t>
      </w:r>
    </w:p>
    <w:p w14:paraId="7C177F06" w14:textId="77777777" w:rsidR="002F09D3" w:rsidRPr="00F67B20" w:rsidRDefault="002F09D3" w:rsidP="00775EE1">
      <w:pPr>
        <w:spacing w:after="120" w:line="240" w:lineRule="auto"/>
        <w:ind w:left="851" w:hanging="851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proofErr w:type="spellStart"/>
      <w:r w:rsidRPr="00F67B20">
        <w:rPr>
          <w:rFonts w:ascii="Arial" w:hAnsi="Arial" w:cs="Arial"/>
          <w:bCs/>
          <w:color w:val="000000" w:themeColor="text1"/>
          <w:sz w:val="24"/>
          <w:szCs w:val="24"/>
        </w:rPr>
        <w:t>Teanpaisan</w:t>
      </w:r>
      <w:proofErr w:type="spellEnd"/>
      <w:r w:rsidRPr="00F67B20">
        <w:rPr>
          <w:rFonts w:ascii="Arial" w:hAnsi="Arial" w:cs="Arial"/>
          <w:bCs/>
          <w:color w:val="000000" w:themeColor="text1"/>
          <w:sz w:val="24"/>
          <w:szCs w:val="24"/>
        </w:rPr>
        <w:t xml:space="preserve">, R., </w:t>
      </w:r>
      <w:proofErr w:type="spellStart"/>
      <w:r w:rsidRPr="00F67B20">
        <w:rPr>
          <w:rFonts w:ascii="Arial" w:hAnsi="Arial" w:cs="Arial"/>
          <w:bCs/>
          <w:color w:val="000000" w:themeColor="text1"/>
          <w:sz w:val="24"/>
          <w:szCs w:val="24"/>
        </w:rPr>
        <w:t>Kawsud</w:t>
      </w:r>
      <w:proofErr w:type="spellEnd"/>
      <w:r w:rsidRPr="00F67B20">
        <w:rPr>
          <w:rFonts w:ascii="Arial" w:hAnsi="Arial" w:cs="Arial"/>
          <w:bCs/>
          <w:color w:val="000000" w:themeColor="text1"/>
          <w:sz w:val="24"/>
          <w:szCs w:val="24"/>
        </w:rPr>
        <w:t xml:space="preserve">, P., </w:t>
      </w:r>
      <w:proofErr w:type="spellStart"/>
      <w:r w:rsidRPr="00F67B20">
        <w:rPr>
          <w:rFonts w:ascii="Arial" w:hAnsi="Arial" w:cs="Arial"/>
          <w:bCs/>
          <w:color w:val="000000" w:themeColor="text1"/>
          <w:sz w:val="24"/>
          <w:szCs w:val="24"/>
        </w:rPr>
        <w:t>Pahumunto</w:t>
      </w:r>
      <w:proofErr w:type="spellEnd"/>
      <w:r w:rsidRPr="00F67B20">
        <w:rPr>
          <w:rFonts w:ascii="Arial" w:hAnsi="Arial" w:cs="Arial"/>
          <w:bCs/>
          <w:color w:val="000000" w:themeColor="text1"/>
          <w:sz w:val="24"/>
          <w:szCs w:val="24"/>
        </w:rPr>
        <w:t xml:space="preserve">, N., &amp; </w:t>
      </w:r>
      <w:proofErr w:type="spellStart"/>
      <w:r w:rsidRPr="00F67B20">
        <w:rPr>
          <w:rFonts w:ascii="Arial" w:hAnsi="Arial" w:cs="Arial"/>
          <w:bCs/>
          <w:color w:val="000000" w:themeColor="text1"/>
          <w:sz w:val="24"/>
          <w:szCs w:val="24"/>
        </w:rPr>
        <w:t>Puripattanavong</w:t>
      </w:r>
      <w:proofErr w:type="spellEnd"/>
      <w:r w:rsidRPr="00F67B20">
        <w:rPr>
          <w:rFonts w:ascii="Arial" w:hAnsi="Arial" w:cs="Arial"/>
          <w:bCs/>
          <w:color w:val="000000" w:themeColor="text1"/>
          <w:sz w:val="24"/>
          <w:szCs w:val="24"/>
        </w:rPr>
        <w:t>, J. (2017). Screening for antibacterial and antibiofilm activity in Thai medicinal plant extracts against oral microorganisms. </w:t>
      </w:r>
      <w:r w:rsidRPr="00F67B20">
        <w:rPr>
          <w:rFonts w:ascii="Arial" w:hAnsi="Arial" w:cs="Arial"/>
          <w:bCs/>
          <w:i/>
          <w:iCs/>
          <w:color w:val="000000" w:themeColor="text1"/>
          <w:sz w:val="24"/>
          <w:szCs w:val="24"/>
        </w:rPr>
        <w:t>Journal of traditional and complementary medicine</w:t>
      </w:r>
      <w:r w:rsidRPr="00F67B20">
        <w:rPr>
          <w:rFonts w:ascii="Arial" w:hAnsi="Arial" w:cs="Arial"/>
          <w:bCs/>
          <w:color w:val="000000" w:themeColor="text1"/>
          <w:sz w:val="24"/>
          <w:szCs w:val="24"/>
        </w:rPr>
        <w:t>, </w:t>
      </w:r>
      <w:r w:rsidRPr="00F67B20">
        <w:rPr>
          <w:rFonts w:ascii="Arial" w:hAnsi="Arial" w:cs="Arial"/>
          <w:bCs/>
          <w:i/>
          <w:iCs/>
          <w:color w:val="000000" w:themeColor="text1"/>
          <w:sz w:val="24"/>
          <w:szCs w:val="24"/>
        </w:rPr>
        <w:t>7</w:t>
      </w:r>
      <w:r w:rsidRPr="00F67B20">
        <w:rPr>
          <w:rFonts w:ascii="Arial" w:hAnsi="Arial" w:cs="Arial"/>
          <w:bCs/>
          <w:color w:val="000000" w:themeColor="text1"/>
          <w:sz w:val="24"/>
          <w:szCs w:val="24"/>
        </w:rPr>
        <w:t>(2), 172-177.</w:t>
      </w:r>
    </w:p>
    <w:p w14:paraId="41F0DA5F" w14:textId="77777777" w:rsidR="002F6F13" w:rsidRPr="00F67B20" w:rsidRDefault="002F6F13" w:rsidP="00F67B20">
      <w:pPr>
        <w:spacing w:line="240" w:lineRule="auto"/>
        <w:jc w:val="both"/>
        <w:rPr>
          <w:rFonts w:ascii="Arial" w:eastAsia="Times New Roman" w:hAnsi="Arial" w:cs="Arial"/>
          <w:b/>
          <w:bCs/>
          <w:color w:val="000000" w:themeColor="text1"/>
          <w:kern w:val="0"/>
          <w:sz w:val="24"/>
          <w:szCs w:val="24"/>
          <w:lang w:eastAsia="en-IN"/>
        </w:rPr>
      </w:pPr>
    </w:p>
    <w:p w14:paraId="4FF648F3" w14:textId="77777777" w:rsidR="00F124E7" w:rsidRPr="00F67B20" w:rsidRDefault="00F124E7" w:rsidP="00F67B20">
      <w:pPr>
        <w:spacing w:line="240" w:lineRule="auto"/>
        <w:rPr>
          <w:rFonts w:ascii="Arial" w:eastAsia="Times New Roman" w:hAnsi="Arial" w:cs="Arial"/>
          <w:b/>
          <w:bCs/>
          <w:color w:val="000000" w:themeColor="text1"/>
          <w:kern w:val="0"/>
          <w:sz w:val="24"/>
          <w:szCs w:val="24"/>
          <w:lang w:eastAsia="en-IN"/>
        </w:rPr>
      </w:pPr>
    </w:p>
    <w:sectPr w:rsidR="00F124E7" w:rsidRPr="00F67B20" w:rsidSect="00EC7646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95C0A6" w14:textId="77777777" w:rsidR="00BE2E2D" w:rsidRDefault="00BE2E2D" w:rsidP="00A9335A">
      <w:pPr>
        <w:spacing w:after="0" w:line="240" w:lineRule="auto"/>
      </w:pPr>
      <w:r>
        <w:separator/>
      </w:r>
    </w:p>
  </w:endnote>
  <w:endnote w:type="continuationSeparator" w:id="0">
    <w:p w14:paraId="05309A41" w14:textId="77777777" w:rsidR="00BE2E2D" w:rsidRDefault="00BE2E2D" w:rsidP="00A933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haris SIL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483813" w14:textId="77777777" w:rsidR="0030549C" w:rsidRDefault="0030549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812156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440F1CAC" w14:textId="5D70E361" w:rsidR="00406938" w:rsidRPr="00170769" w:rsidRDefault="009F6FD1">
        <w:pPr>
          <w:pStyle w:val="Footer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170769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7E3AAB" w:rsidRPr="00170769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170769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FE3499">
          <w:rPr>
            <w:rFonts w:ascii="Times New Roman" w:hAnsi="Times New Roman" w:cs="Times New Roman"/>
            <w:noProof/>
            <w:sz w:val="20"/>
            <w:szCs w:val="20"/>
          </w:rPr>
          <w:t>15</w:t>
        </w:r>
        <w:r w:rsidRPr="00170769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p>
    </w:sdtContent>
  </w:sdt>
  <w:p w14:paraId="12CBD013" w14:textId="77777777" w:rsidR="00406938" w:rsidRDefault="0040693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F702D2" w14:textId="77777777" w:rsidR="0030549C" w:rsidRDefault="003054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A521B7" w14:textId="77777777" w:rsidR="00BE2E2D" w:rsidRDefault="00BE2E2D" w:rsidP="00A9335A">
      <w:pPr>
        <w:spacing w:after="0" w:line="240" w:lineRule="auto"/>
      </w:pPr>
      <w:r>
        <w:separator/>
      </w:r>
    </w:p>
  </w:footnote>
  <w:footnote w:type="continuationSeparator" w:id="0">
    <w:p w14:paraId="3D7E99D5" w14:textId="77777777" w:rsidR="00BE2E2D" w:rsidRDefault="00BE2E2D" w:rsidP="00A933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A2A184" w14:textId="16796C37" w:rsidR="0030549C" w:rsidRDefault="0030549C">
    <w:pPr>
      <w:pStyle w:val="Header"/>
    </w:pPr>
    <w:r>
      <w:rPr>
        <w:noProof/>
      </w:rPr>
      <w:pict w14:anchorId="7E4ACBC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5338954" o:spid="_x0000_s2050" type="#_x0000_t136" style="position:absolute;margin-left:0;margin-top:0;width:555.6pt;height:104.1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BC19FE" w14:textId="28CBBA3F" w:rsidR="0030549C" w:rsidRDefault="0030549C">
    <w:pPr>
      <w:pStyle w:val="Header"/>
    </w:pPr>
    <w:r>
      <w:rPr>
        <w:noProof/>
      </w:rPr>
      <w:pict w14:anchorId="566CD8F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5338955" o:spid="_x0000_s2051" type="#_x0000_t136" style="position:absolute;margin-left:0;margin-top:0;width:555.6pt;height:104.1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C2AA4F" w14:textId="7459FC5A" w:rsidR="0030549C" w:rsidRDefault="0030549C">
    <w:pPr>
      <w:pStyle w:val="Header"/>
    </w:pPr>
    <w:r>
      <w:rPr>
        <w:noProof/>
      </w:rPr>
      <w:pict w14:anchorId="3838C13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5338953" o:spid="_x0000_s2049" type="#_x0000_t136" style="position:absolute;margin-left:0;margin-top:0;width:555.6pt;height:104.1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61F58"/>
    <w:multiLevelType w:val="hybridMultilevel"/>
    <w:tmpl w:val="0B2A867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8D1DE0"/>
    <w:multiLevelType w:val="hybridMultilevel"/>
    <w:tmpl w:val="6F8CC1E8"/>
    <w:lvl w:ilvl="0" w:tplc="2DF09DBA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0A48FE"/>
    <w:multiLevelType w:val="hybridMultilevel"/>
    <w:tmpl w:val="A4804EA2"/>
    <w:lvl w:ilvl="0" w:tplc="08400256">
      <w:start w:val="1"/>
      <w:numFmt w:val="decimal"/>
      <w:lvlText w:val="[%1]"/>
      <w:lvlJc w:val="left"/>
      <w:pPr>
        <w:ind w:left="720" w:hanging="360"/>
      </w:pPr>
      <w:rPr>
        <w:rFonts w:hint="default"/>
        <w:color w:val="auto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C13F8"/>
    <w:multiLevelType w:val="multilevel"/>
    <w:tmpl w:val="AECE8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CEB0864"/>
    <w:multiLevelType w:val="hybridMultilevel"/>
    <w:tmpl w:val="0EDAFE0A"/>
    <w:lvl w:ilvl="0" w:tplc="4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A4C65C4"/>
    <w:multiLevelType w:val="hybridMultilevel"/>
    <w:tmpl w:val="25F0EF74"/>
    <w:lvl w:ilvl="0" w:tplc="D8CA72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4571DB"/>
    <w:multiLevelType w:val="hybridMultilevel"/>
    <w:tmpl w:val="E856E29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8241E8"/>
    <w:multiLevelType w:val="hybridMultilevel"/>
    <w:tmpl w:val="B8A41FF8"/>
    <w:lvl w:ilvl="0" w:tplc="0996272A">
      <w:start w:val="1"/>
      <w:numFmt w:val="lowerLetter"/>
      <w:lvlText w:val="%1)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  <w:i/>
        <w:sz w:val="24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0AE63D4"/>
    <w:multiLevelType w:val="hybridMultilevel"/>
    <w:tmpl w:val="FF8E905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E75700"/>
    <w:multiLevelType w:val="hybridMultilevel"/>
    <w:tmpl w:val="23A00E9E"/>
    <w:lvl w:ilvl="0" w:tplc="FFFFFFFF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8B5B93"/>
    <w:multiLevelType w:val="hybridMultilevel"/>
    <w:tmpl w:val="23A00E9E"/>
    <w:lvl w:ilvl="0" w:tplc="F13C21AC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551920"/>
    <w:multiLevelType w:val="hybridMultilevel"/>
    <w:tmpl w:val="42E4B5C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0"/>
  </w:num>
  <w:num w:numId="6">
    <w:abstractNumId w:val="11"/>
  </w:num>
  <w:num w:numId="7">
    <w:abstractNumId w:val="4"/>
  </w:num>
  <w:num w:numId="8">
    <w:abstractNumId w:val="5"/>
  </w:num>
  <w:num w:numId="9">
    <w:abstractNumId w:val="2"/>
  </w:num>
  <w:num w:numId="10">
    <w:abstractNumId w:val="1"/>
  </w:num>
  <w:num w:numId="11">
    <w:abstractNumId w:val="3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4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6BBA"/>
    <w:rsid w:val="00000FC5"/>
    <w:rsid w:val="000052A7"/>
    <w:rsid w:val="000072F6"/>
    <w:rsid w:val="000119FE"/>
    <w:rsid w:val="0001238B"/>
    <w:rsid w:val="0001426D"/>
    <w:rsid w:val="0001753C"/>
    <w:rsid w:val="00017997"/>
    <w:rsid w:val="000215E0"/>
    <w:rsid w:val="00026DB9"/>
    <w:rsid w:val="000271B3"/>
    <w:rsid w:val="00027CE2"/>
    <w:rsid w:val="00030640"/>
    <w:rsid w:val="00032F2E"/>
    <w:rsid w:val="00034CF2"/>
    <w:rsid w:val="00036AB9"/>
    <w:rsid w:val="00040175"/>
    <w:rsid w:val="000504D8"/>
    <w:rsid w:val="0005435F"/>
    <w:rsid w:val="00056DC7"/>
    <w:rsid w:val="000670C7"/>
    <w:rsid w:val="00070DDC"/>
    <w:rsid w:val="000758A7"/>
    <w:rsid w:val="00075A13"/>
    <w:rsid w:val="00075AA2"/>
    <w:rsid w:val="0008126B"/>
    <w:rsid w:val="000852EC"/>
    <w:rsid w:val="00086A21"/>
    <w:rsid w:val="000911CC"/>
    <w:rsid w:val="00091576"/>
    <w:rsid w:val="00092373"/>
    <w:rsid w:val="00092DC6"/>
    <w:rsid w:val="00093037"/>
    <w:rsid w:val="00097D5F"/>
    <w:rsid w:val="000A0DBE"/>
    <w:rsid w:val="000A102D"/>
    <w:rsid w:val="000A234B"/>
    <w:rsid w:val="000A5DCA"/>
    <w:rsid w:val="000A695A"/>
    <w:rsid w:val="000B0B4B"/>
    <w:rsid w:val="000B38BD"/>
    <w:rsid w:val="000B5400"/>
    <w:rsid w:val="000B6FE0"/>
    <w:rsid w:val="000B7222"/>
    <w:rsid w:val="000C15B6"/>
    <w:rsid w:val="000C2147"/>
    <w:rsid w:val="000C25F9"/>
    <w:rsid w:val="000C2EB1"/>
    <w:rsid w:val="000C3281"/>
    <w:rsid w:val="000C459B"/>
    <w:rsid w:val="000D09DE"/>
    <w:rsid w:val="000D1456"/>
    <w:rsid w:val="000D1DC7"/>
    <w:rsid w:val="000D483A"/>
    <w:rsid w:val="000E0032"/>
    <w:rsid w:val="000E1AA0"/>
    <w:rsid w:val="000E2A5A"/>
    <w:rsid w:val="000E2D4F"/>
    <w:rsid w:val="000E4147"/>
    <w:rsid w:val="000E4471"/>
    <w:rsid w:val="000E50CA"/>
    <w:rsid w:val="000E727F"/>
    <w:rsid w:val="000F0E10"/>
    <w:rsid w:val="000F1A10"/>
    <w:rsid w:val="000F2466"/>
    <w:rsid w:val="00100492"/>
    <w:rsid w:val="001004EA"/>
    <w:rsid w:val="001012C1"/>
    <w:rsid w:val="00107850"/>
    <w:rsid w:val="001078CB"/>
    <w:rsid w:val="0011371C"/>
    <w:rsid w:val="00113BA7"/>
    <w:rsid w:val="00113CF6"/>
    <w:rsid w:val="0011525B"/>
    <w:rsid w:val="00115EA5"/>
    <w:rsid w:val="001209AC"/>
    <w:rsid w:val="00124A9F"/>
    <w:rsid w:val="00125A46"/>
    <w:rsid w:val="00130219"/>
    <w:rsid w:val="001316EE"/>
    <w:rsid w:val="00140015"/>
    <w:rsid w:val="00144264"/>
    <w:rsid w:val="00144C77"/>
    <w:rsid w:val="00150CA3"/>
    <w:rsid w:val="00152DF9"/>
    <w:rsid w:val="00156B87"/>
    <w:rsid w:val="00161DD8"/>
    <w:rsid w:val="00162ACC"/>
    <w:rsid w:val="0016462C"/>
    <w:rsid w:val="00170769"/>
    <w:rsid w:val="00170D93"/>
    <w:rsid w:val="00171726"/>
    <w:rsid w:val="00171DCC"/>
    <w:rsid w:val="0017305C"/>
    <w:rsid w:val="00180FBD"/>
    <w:rsid w:val="00185D1A"/>
    <w:rsid w:val="001918FA"/>
    <w:rsid w:val="00192F5B"/>
    <w:rsid w:val="00195463"/>
    <w:rsid w:val="0019759E"/>
    <w:rsid w:val="001A07D6"/>
    <w:rsid w:val="001A1A62"/>
    <w:rsid w:val="001A1A6C"/>
    <w:rsid w:val="001A4A7E"/>
    <w:rsid w:val="001A6AF6"/>
    <w:rsid w:val="001B5511"/>
    <w:rsid w:val="001B7A69"/>
    <w:rsid w:val="001C0C57"/>
    <w:rsid w:val="001C1958"/>
    <w:rsid w:val="001C2A3C"/>
    <w:rsid w:val="001C3C8C"/>
    <w:rsid w:val="001D0D2A"/>
    <w:rsid w:val="001D326A"/>
    <w:rsid w:val="001D4704"/>
    <w:rsid w:val="001D4B35"/>
    <w:rsid w:val="001D558B"/>
    <w:rsid w:val="001D5870"/>
    <w:rsid w:val="001D73F5"/>
    <w:rsid w:val="001F429A"/>
    <w:rsid w:val="001F4CA1"/>
    <w:rsid w:val="001F6DE8"/>
    <w:rsid w:val="00200AB1"/>
    <w:rsid w:val="00200F22"/>
    <w:rsid w:val="00201B41"/>
    <w:rsid w:val="00201D75"/>
    <w:rsid w:val="00203845"/>
    <w:rsid w:val="00203D9F"/>
    <w:rsid w:val="00204E10"/>
    <w:rsid w:val="00206D9E"/>
    <w:rsid w:val="00210555"/>
    <w:rsid w:val="00210B26"/>
    <w:rsid w:val="00213A3A"/>
    <w:rsid w:val="00215B70"/>
    <w:rsid w:val="0021794B"/>
    <w:rsid w:val="00220C44"/>
    <w:rsid w:val="002212E5"/>
    <w:rsid w:val="00221689"/>
    <w:rsid w:val="0022637B"/>
    <w:rsid w:val="00227E1C"/>
    <w:rsid w:val="00233D38"/>
    <w:rsid w:val="00234E88"/>
    <w:rsid w:val="00236561"/>
    <w:rsid w:val="0024050A"/>
    <w:rsid w:val="00246E43"/>
    <w:rsid w:val="00253F2F"/>
    <w:rsid w:val="0025609E"/>
    <w:rsid w:val="00257617"/>
    <w:rsid w:val="00260C5A"/>
    <w:rsid w:val="00266AAD"/>
    <w:rsid w:val="00267C1D"/>
    <w:rsid w:val="0027038D"/>
    <w:rsid w:val="00271242"/>
    <w:rsid w:val="002718D6"/>
    <w:rsid w:val="00274EB6"/>
    <w:rsid w:val="00275ED3"/>
    <w:rsid w:val="00280B97"/>
    <w:rsid w:val="002815B4"/>
    <w:rsid w:val="0028174F"/>
    <w:rsid w:val="0028258A"/>
    <w:rsid w:val="002867CA"/>
    <w:rsid w:val="00291E3F"/>
    <w:rsid w:val="002957F2"/>
    <w:rsid w:val="002968EA"/>
    <w:rsid w:val="002A082B"/>
    <w:rsid w:val="002A21A6"/>
    <w:rsid w:val="002A52A6"/>
    <w:rsid w:val="002A5B9F"/>
    <w:rsid w:val="002B04AA"/>
    <w:rsid w:val="002B0DB3"/>
    <w:rsid w:val="002B32AE"/>
    <w:rsid w:val="002C45EE"/>
    <w:rsid w:val="002C4D5E"/>
    <w:rsid w:val="002D2C6E"/>
    <w:rsid w:val="002D3E54"/>
    <w:rsid w:val="002E1DCB"/>
    <w:rsid w:val="002E738B"/>
    <w:rsid w:val="002E7A6D"/>
    <w:rsid w:val="002F09D3"/>
    <w:rsid w:val="002F1F38"/>
    <w:rsid w:val="002F2E71"/>
    <w:rsid w:val="002F379F"/>
    <w:rsid w:val="002F517C"/>
    <w:rsid w:val="002F5EE8"/>
    <w:rsid w:val="002F6205"/>
    <w:rsid w:val="002F6613"/>
    <w:rsid w:val="002F6F13"/>
    <w:rsid w:val="002F781C"/>
    <w:rsid w:val="00300750"/>
    <w:rsid w:val="00302685"/>
    <w:rsid w:val="003032C5"/>
    <w:rsid w:val="003050BF"/>
    <w:rsid w:val="00305459"/>
    <w:rsid w:val="0030549C"/>
    <w:rsid w:val="00305A3F"/>
    <w:rsid w:val="003065C7"/>
    <w:rsid w:val="00306A70"/>
    <w:rsid w:val="00312093"/>
    <w:rsid w:val="00315CC0"/>
    <w:rsid w:val="00317DA5"/>
    <w:rsid w:val="003206B8"/>
    <w:rsid w:val="00321C2C"/>
    <w:rsid w:val="003220CD"/>
    <w:rsid w:val="00322E19"/>
    <w:rsid w:val="0032393C"/>
    <w:rsid w:val="00327B04"/>
    <w:rsid w:val="0033224A"/>
    <w:rsid w:val="00333B75"/>
    <w:rsid w:val="00340B57"/>
    <w:rsid w:val="003421A9"/>
    <w:rsid w:val="00344258"/>
    <w:rsid w:val="00344AE7"/>
    <w:rsid w:val="00352389"/>
    <w:rsid w:val="00352417"/>
    <w:rsid w:val="0035734B"/>
    <w:rsid w:val="00362092"/>
    <w:rsid w:val="003657C4"/>
    <w:rsid w:val="003719A8"/>
    <w:rsid w:val="00372D72"/>
    <w:rsid w:val="003739D3"/>
    <w:rsid w:val="003803F4"/>
    <w:rsid w:val="003806EB"/>
    <w:rsid w:val="00380FC7"/>
    <w:rsid w:val="00381C24"/>
    <w:rsid w:val="00387859"/>
    <w:rsid w:val="003879DB"/>
    <w:rsid w:val="00390280"/>
    <w:rsid w:val="00390D09"/>
    <w:rsid w:val="00390E68"/>
    <w:rsid w:val="00392005"/>
    <w:rsid w:val="00395337"/>
    <w:rsid w:val="003A20A8"/>
    <w:rsid w:val="003A7FD3"/>
    <w:rsid w:val="003B05BF"/>
    <w:rsid w:val="003B3420"/>
    <w:rsid w:val="003B5D03"/>
    <w:rsid w:val="003B5D4C"/>
    <w:rsid w:val="003C1903"/>
    <w:rsid w:val="003C41C0"/>
    <w:rsid w:val="003C590E"/>
    <w:rsid w:val="003C7C4A"/>
    <w:rsid w:val="003D0345"/>
    <w:rsid w:val="003D6F21"/>
    <w:rsid w:val="003D7474"/>
    <w:rsid w:val="003E3003"/>
    <w:rsid w:val="003E41CD"/>
    <w:rsid w:val="003E4700"/>
    <w:rsid w:val="003E51EE"/>
    <w:rsid w:val="003E743E"/>
    <w:rsid w:val="003F4EE3"/>
    <w:rsid w:val="003F506C"/>
    <w:rsid w:val="003F511B"/>
    <w:rsid w:val="003F70F0"/>
    <w:rsid w:val="004004E6"/>
    <w:rsid w:val="00400642"/>
    <w:rsid w:val="00401C10"/>
    <w:rsid w:val="004036A1"/>
    <w:rsid w:val="00405ACD"/>
    <w:rsid w:val="00406938"/>
    <w:rsid w:val="0040776E"/>
    <w:rsid w:val="0041043B"/>
    <w:rsid w:val="00411CF5"/>
    <w:rsid w:val="00413808"/>
    <w:rsid w:val="00414211"/>
    <w:rsid w:val="004178A2"/>
    <w:rsid w:val="00421BB7"/>
    <w:rsid w:val="00422BB5"/>
    <w:rsid w:val="00424334"/>
    <w:rsid w:val="004249EE"/>
    <w:rsid w:val="0042507D"/>
    <w:rsid w:val="00425A36"/>
    <w:rsid w:val="00430463"/>
    <w:rsid w:val="004318FD"/>
    <w:rsid w:val="00431A5D"/>
    <w:rsid w:val="004329B5"/>
    <w:rsid w:val="0043729F"/>
    <w:rsid w:val="00442C05"/>
    <w:rsid w:val="004446C4"/>
    <w:rsid w:val="004471AC"/>
    <w:rsid w:val="00447B0A"/>
    <w:rsid w:val="00453206"/>
    <w:rsid w:val="004540F8"/>
    <w:rsid w:val="00456868"/>
    <w:rsid w:val="004570BA"/>
    <w:rsid w:val="00460677"/>
    <w:rsid w:val="0046094A"/>
    <w:rsid w:val="00460EC2"/>
    <w:rsid w:val="00464938"/>
    <w:rsid w:val="0046537B"/>
    <w:rsid w:val="00465A63"/>
    <w:rsid w:val="00474A1A"/>
    <w:rsid w:val="00475796"/>
    <w:rsid w:val="00476C57"/>
    <w:rsid w:val="00480866"/>
    <w:rsid w:val="00481300"/>
    <w:rsid w:val="00483AC3"/>
    <w:rsid w:val="00484992"/>
    <w:rsid w:val="00485531"/>
    <w:rsid w:val="00486E2C"/>
    <w:rsid w:val="00487E18"/>
    <w:rsid w:val="004932F0"/>
    <w:rsid w:val="00493690"/>
    <w:rsid w:val="00493A56"/>
    <w:rsid w:val="004960E3"/>
    <w:rsid w:val="00496AF1"/>
    <w:rsid w:val="004A228C"/>
    <w:rsid w:val="004A5759"/>
    <w:rsid w:val="004A7EBF"/>
    <w:rsid w:val="004B1A6E"/>
    <w:rsid w:val="004C34AA"/>
    <w:rsid w:val="004C63C7"/>
    <w:rsid w:val="004C6588"/>
    <w:rsid w:val="004D0DAD"/>
    <w:rsid w:val="004D3190"/>
    <w:rsid w:val="004D5083"/>
    <w:rsid w:val="004D5342"/>
    <w:rsid w:val="004D5D36"/>
    <w:rsid w:val="004D5EB2"/>
    <w:rsid w:val="004E3B83"/>
    <w:rsid w:val="004E7FAA"/>
    <w:rsid w:val="004F0043"/>
    <w:rsid w:val="004F0063"/>
    <w:rsid w:val="004F2B17"/>
    <w:rsid w:val="004F4B3A"/>
    <w:rsid w:val="004F73F0"/>
    <w:rsid w:val="00500F3E"/>
    <w:rsid w:val="005021AA"/>
    <w:rsid w:val="0051224E"/>
    <w:rsid w:val="005129D1"/>
    <w:rsid w:val="00513DC3"/>
    <w:rsid w:val="005144E6"/>
    <w:rsid w:val="00517291"/>
    <w:rsid w:val="005218D8"/>
    <w:rsid w:val="005228A4"/>
    <w:rsid w:val="00522CF3"/>
    <w:rsid w:val="00524113"/>
    <w:rsid w:val="00526F60"/>
    <w:rsid w:val="00527777"/>
    <w:rsid w:val="00527AB2"/>
    <w:rsid w:val="005311E8"/>
    <w:rsid w:val="005323C4"/>
    <w:rsid w:val="00532AF9"/>
    <w:rsid w:val="00532B34"/>
    <w:rsid w:val="00537E15"/>
    <w:rsid w:val="0054083F"/>
    <w:rsid w:val="0054613D"/>
    <w:rsid w:val="005500EB"/>
    <w:rsid w:val="00550EB6"/>
    <w:rsid w:val="00556498"/>
    <w:rsid w:val="005636A8"/>
    <w:rsid w:val="0056593B"/>
    <w:rsid w:val="00570E8B"/>
    <w:rsid w:val="005725AB"/>
    <w:rsid w:val="005729A9"/>
    <w:rsid w:val="00572F46"/>
    <w:rsid w:val="00573ED0"/>
    <w:rsid w:val="005869AC"/>
    <w:rsid w:val="0058791A"/>
    <w:rsid w:val="00592A29"/>
    <w:rsid w:val="0059542E"/>
    <w:rsid w:val="0059629D"/>
    <w:rsid w:val="005A1019"/>
    <w:rsid w:val="005A76B5"/>
    <w:rsid w:val="005B35F3"/>
    <w:rsid w:val="005C09E8"/>
    <w:rsid w:val="005C165D"/>
    <w:rsid w:val="005C3B49"/>
    <w:rsid w:val="005C4477"/>
    <w:rsid w:val="005C6D4E"/>
    <w:rsid w:val="005C70AD"/>
    <w:rsid w:val="005C7631"/>
    <w:rsid w:val="005C7C74"/>
    <w:rsid w:val="005D0CAA"/>
    <w:rsid w:val="005D25F4"/>
    <w:rsid w:val="005D3EFD"/>
    <w:rsid w:val="005E0C5B"/>
    <w:rsid w:val="005E1F53"/>
    <w:rsid w:val="005E76E5"/>
    <w:rsid w:val="005F1041"/>
    <w:rsid w:val="005F24EA"/>
    <w:rsid w:val="005F3474"/>
    <w:rsid w:val="005F5DC2"/>
    <w:rsid w:val="00601EBE"/>
    <w:rsid w:val="00602F9A"/>
    <w:rsid w:val="00603B92"/>
    <w:rsid w:val="006067DF"/>
    <w:rsid w:val="006072E9"/>
    <w:rsid w:val="006113E9"/>
    <w:rsid w:val="0061319A"/>
    <w:rsid w:val="00620410"/>
    <w:rsid w:val="0062167D"/>
    <w:rsid w:val="00630281"/>
    <w:rsid w:val="00634CD4"/>
    <w:rsid w:val="006379C0"/>
    <w:rsid w:val="00640BAD"/>
    <w:rsid w:val="00644CF9"/>
    <w:rsid w:val="006501AC"/>
    <w:rsid w:val="00652EA4"/>
    <w:rsid w:val="00653B05"/>
    <w:rsid w:val="00653CF4"/>
    <w:rsid w:val="00655606"/>
    <w:rsid w:val="00662576"/>
    <w:rsid w:val="00664C78"/>
    <w:rsid w:val="00671288"/>
    <w:rsid w:val="00677750"/>
    <w:rsid w:val="00680970"/>
    <w:rsid w:val="00682DF0"/>
    <w:rsid w:val="00683007"/>
    <w:rsid w:val="00683EFF"/>
    <w:rsid w:val="00693D1C"/>
    <w:rsid w:val="006968C5"/>
    <w:rsid w:val="006A1919"/>
    <w:rsid w:val="006A28E1"/>
    <w:rsid w:val="006A3F98"/>
    <w:rsid w:val="006B1D7C"/>
    <w:rsid w:val="006B2600"/>
    <w:rsid w:val="006B3FD5"/>
    <w:rsid w:val="006B4A0A"/>
    <w:rsid w:val="006B558A"/>
    <w:rsid w:val="006B6058"/>
    <w:rsid w:val="006C11B5"/>
    <w:rsid w:val="006C5E12"/>
    <w:rsid w:val="006D08D7"/>
    <w:rsid w:val="006D0B9F"/>
    <w:rsid w:val="006D1882"/>
    <w:rsid w:val="006D18C3"/>
    <w:rsid w:val="006D2954"/>
    <w:rsid w:val="006D369B"/>
    <w:rsid w:val="006D5366"/>
    <w:rsid w:val="006D6E1C"/>
    <w:rsid w:val="006E1BEB"/>
    <w:rsid w:val="006F2B21"/>
    <w:rsid w:val="006F4C98"/>
    <w:rsid w:val="006F5CB1"/>
    <w:rsid w:val="006F600D"/>
    <w:rsid w:val="007018FF"/>
    <w:rsid w:val="00703E60"/>
    <w:rsid w:val="00705C9B"/>
    <w:rsid w:val="0071130C"/>
    <w:rsid w:val="007121CC"/>
    <w:rsid w:val="00713CE0"/>
    <w:rsid w:val="00722BB2"/>
    <w:rsid w:val="00725DD5"/>
    <w:rsid w:val="0072660B"/>
    <w:rsid w:val="00730C92"/>
    <w:rsid w:val="007315F8"/>
    <w:rsid w:val="007323F2"/>
    <w:rsid w:val="0073573F"/>
    <w:rsid w:val="0073794C"/>
    <w:rsid w:val="007414EE"/>
    <w:rsid w:val="007419AA"/>
    <w:rsid w:val="0074623D"/>
    <w:rsid w:val="00750F71"/>
    <w:rsid w:val="00753FAC"/>
    <w:rsid w:val="00754499"/>
    <w:rsid w:val="00754F55"/>
    <w:rsid w:val="00754F80"/>
    <w:rsid w:val="007557C7"/>
    <w:rsid w:val="00755AB4"/>
    <w:rsid w:val="00756F3F"/>
    <w:rsid w:val="00757435"/>
    <w:rsid w:val="00757732"/>
    <w:rsid w:val="0076020A"/>
    <w:rsid w:val="007627AC"/>
    <w:rsid w:val="007636D1"/>
    <w:rsid w:val="00764C98"/>
    <w:rsid w:val="00765E8A"/>
    <w:rsid w:val="00766A02"/>
    <w:rsid w:val="007720E5"/>
    <w:rsid w:val="00773AC4"/>
    <w:rsid w:val="00775755"/>
    <w:rsid w:val="00775EE1"/>
    <w:rsid w:val="007817EC"/>
    <w:rsid w:val="00783A28"/>
    <w:rsid w:val="00785073"/>
    <w:rsid w:val="007871F6"/>
    <w:rsid w:val="007917F1"/>
    <w:rsid w:val="0079263A"/>
    <w:rsid w:val="00792ACD"/>
    <w:rsid w:val="0079345D"/>
    <w:rsid w:val="007949C5"/>
    <w:rsid w:val="00796AF3"/>
    <w:rsid w:val="007A2765"/>
    <w:rsid w:val="007B222A"/>
    <w:rsid w:val="007B2FF9"/>
    <w:rsid w:val="007B3C9F"/>
    <w:rsid w:val="007B411B"/>
    <w:rsid w:val="007C0C18"/>
    <w:rsid w:val="007C320F"/>
    <w:rsid w:val="007D487C"/>
    <w:rsid w:val="007E3AAB"/>
    <w:rsid w:val="007E56E5"/>
    <w:rsid w:val="007F03ED"/>
    <w:rsid w:val="007F34ED"/>
    <w:rsid w:val="007F4EDF"/>
    <w:rsid w:val="007F76EE"/>
    <w:rsid w:val="0080214D"/>
    <w:rsid w:val="00802FDE"/>
    <w:rsid w:val="008110B2"/>
    <w:rsid w:val="0081510C"/>
    <w:rsid w:val="00836594"/>
    <w:rsid w:val="00836BBA"/>
    <w:rsid w:val="00844FC2"/>
    <w:rsid w:val="00846F5B"/>
    <w:rsid w:val="00855C88"/>
    <w:rsid w:val="00866EEA"/>
    <w:rsid w:val="008702D3"/>
    <w:rsid w:val="00870B8A"/>
    <w:rsid w:val="00871218"/>
    <w:rsid w:val="008720DF"/>
    <w:rsid w:val="008748FE"/>
    <w:rsid w:val="00877175"/>
    <w:rsid w:val="00883C64"/>
    <w:rsid w:val="00885DA0"/>
    <w:rsid w:val="008866C2"/>
    <w:rsid w:val="00886A20"/>
    <w:rsid w:val="00887A1D"/>
    <w:rsid w:val="008909A7"/>
    <w:rsid w:val="0089273F"/>
    <w:rsid w:val="00896859"/>
    <w:rsid w:val="0089728D"/>
    <w:rsid w:val="008B37D8"/>
    <w:rsid w:val="008B38F5"/>
    <w:rsid w:val="008B6E13"/>
    <w:rsid w:val="008C0BF5"/>
    <w:rsid w:val="008C497A"/>
    <w:rsid w:val="008C7815"/>
    <w:rsid w:val="008C7830"/>
    <w:rsid w:val="008D2D00"/>
    <w:rsid w:val="008D6891"/>
    <w:rsid w:val="008D72A4"/>
    <w:rsid w:val="008E2717"/>
    <w:rsid w:val="008E4820"/>
    <w:rsid w:val="008E5778"/>
    <w:rsid w:val="008E5ED4"/>
    <w:rsid w:val="008E7C20"/>
    <w:rsid w:val="008F0172"/>
    <w:rsid w:val="008F0A86"/>
    <w:rsid w:val="008F0CC1"/>
    <w:rsid w:val="008F2646"/>
    <w:rsid w:val="00900F9D"/>
    <w:rsid w:val="00901014"/>
    <w:rsid w:val="00902ADA"/>
    <w:rsid w:val="00904951"/>
    <w:rsid w:val="00910DA9"/>
    <w:rsid w:val="00914019"/>
    <w:rsid w:val="00915BBA"/>
    <w:rsid w:val="009239ED"/>
    <w:rsid w:val="009303C4"/>
    <w:rsid w:val="00931A63"/>
    <w:rsid w:val="00932635"/>
    <w:rsid w:val="0093699B"/>
    <w:rsid w:val="00937449"/>
    <w:rsid w:val="009436E1"/>
    <w:rsid w:val="0094467E"/>
    <w:rsid w:val="00950A3E"/>
    <w:rsid w:val="00954E61"/>
    <w:rsid w:val="00955580"/>
    <w:rsid w:val="00960602"/>
    <w:rsid w:val="00961EBB"/>
    <w:rsid w:val="0096311F"/>
    <w:rsid w:val="009638DE"/>
    <w:rsid w:val="009646BB"/>
    <w:rsid w:val="00966542"/>
    <w:rsid w:val="00970DAD"/>
    <w:rsid w:val="00973A6B"/>
    <w:rsid w:val="00975124"/>
    <w:rsid w:val="00980D93"/>
    <w:rsid w:val="009819D4"/>
    <w:rsid w:val="009836D3"/>
    <w:rsid w:val="00986309"/>
    <w:rsid w:val="009929DB"/>
    <w:rsid w:val="009A076F"/>
    <w:rsid w:val="009A594B"/>
    <w:rsid w:val="009B095E"/>
    <w:rsid w:val="009B23F4"/>
    <w:rsid w:val="009B4C29"/>
    <w:rsid w:val="009B59CD"/>
    <w:rsid w:val="009C7ED9"/>
    <w:rsid w:val="009D0469"/>
    <w:rsid w:val="009D0539"/>
    <w:rsid w:val="009D07F4"/>
    <w:rsid w:val="009E0923"/>
    <w:rsid w:val="009E0BFD"/>
    <w:rsid w:val="009E2C83"/>
    <w:rsid w:val="009E5188"/>
    <w:rsid w:val="009E5636"/>
    <w:rsid w:val="009E6EF8"/>
    <w:rsid w:val="009F3324"/>
    <w:rsid w:val="009F5C8E"/>
    <w:rsid w:val="009F6FD1"/>
    <w:rsid w:val="00A00671"/>
    <w:rsid w:val="00A039CD"/>
    <w:rsid w:val="00A05B55"/>
    <w:rsid w:val="00A1566D"/>
    <w:rsid w:val="00A17298"/>
    <w:rsid w:val="00A2300D"/>
    <w:rsid w:val="00A257D9"/>
    <w:rsid w:val="00A316C8"/>
    <w:rsid w:val="00A31F73"/>
    <w:rsid w:val="00A416B3"/>
    <w:rsid w:val="00A43076"/>
    <w:rsid w:val="00A441E2"/>
    <w:rsid w:val="00A45CF0"/>
    <w:rsid w:val="00A468AC"/>
    <w:rsid w:val="00A52274"/>
    <w:rsid w:val="00A60255"/>
    <w:rsid w:val="00A64030"/>
    <w:rsid w:val="00A66A47"/>
    <w:rsid w:val="00A670F5"/>
    <w:rsid w:val="00A70EC2"/>
    <w:rsid w:val="00A756DA"/>
    <w:rsid w:val="00A76DC7"/>
    <w:rsid w:val="00A813D4"/>
    <w:rsid w:val="00A86842"/>
    <w:rsid w:val="00A92885"/>
    <w:rsid w:val="00A9335A"/>
    <w:rsid w:val="00A942FC"/>
    <w:rsid w:val="00A956B8"/>
    <w:rsid w:val="00A970CF"/>
    <w:rsid w:val="00A976DA"/>
    <w:rsid w:val="00AA4F0C"/>
    <w:rsid w:val="00AA5843"/>
    <w:rsid w:val="00AA7687"/>
    <w:rsid w:val="00AB2C12"/>
    <w:rsid w:val="00AB335E"/>
    <w:rsid w:val="00AB3CC2"/>
    <w:rsid w:val="00AB41ED"/>
    <w:rsid w:val="00AB5AF6"/>
    <w:rsid w:val="00AB6E94"/>
    <w:rsid w:val="00AC0296"/>
    <w:rsid w:val="00AC09BF"/>
    <w:rsid w:val="00AC2754"/>
    <w:rsid w:val="00AC4C9D"/>
    <w:rsid w:val="00AC5464"/>
    <w:rsid w:val="00AD0BF1"/>
    <w:rsid w:val="00AD3FE6"/>
    <w:rsid w:val="00AE0918"/>
    <w:rsid w:val="00AE31C7"/>
    <w:rsid w:val="00AE4D03"/>
    <w:rsid w:val="00AF0CA6"/>
    <w:rsid w:val="00AF40B9"/>
    <w:rsid w:val="00AF509B"/>
    <w:rsid w:val="00AF562D"/>
    <w:rsid w:val="00B12432"/>
    <w:rsid w:val="00B15708"/>
    <w:rsid w:val="00B16F5A"/>
    <w:rsid w:val="00B17339"/>
    <w:rsid w:val="00B21903"/>
    <w:rsid w:val="00B25C6E"/>
    <w:rsid w:val="00B26886"/>
    <w:rsid w:val="00B26E4D"/>
    <w:rsid w:val="00B27A89"/>
    <w:rsid w:val="00B27F44"/>
    <w:rsid w:val="00B334C4"/>
    <w:rsid w:val="00B3369D"/>
    <w:rsid w:val="00B345FC"/>
    <w:rsid w:val="00B35088"/>
    <w:rsid w:val="00B371E3"/>
    <w:rsid w:val="00B3771D"/>
    <w:rsid w:val="00B37962"/>
    <w:rsid w:val="00B41995"/>
    <w:rsid w:val="00B4247B"/>
    <w:rsid w:val="00B424D1"/>
    <w:rsid w:val="00B42697"/>
    <w:rsid w:val="00B47A10"/>
    <w:rsid w:val="00B47F8B"/>
    <w:rsid w:val="00B515F9"/>
    <w:rsid w:val="00B556FD"/>
    <w:rsid w:val="00B56E0D"/>
    <w:rsid w:val="00B645CF"/>
    <w:rsid w:val="00B654D4"/>
    <w:rsid w:val="00B674AE"/>
    <w:rsid w:val="00B67BAD"/>
    <w:rsid w:val="00B70FE0"/>
    <w:rsid w:val="00B73A0F"/>
    <w:rsid w:val="00B80D63"/>
    <w:rsid w:val="00B81D2A"/>
    <w:rsid w:val="00B81F2C"/>
    <w:rsid w:val="00B83371"/>
    <w:rsid w:val="00B83A3D"/>
    <w:rsid w:val="00B857E4"/>
    <w:rsid w:val="00B914EC"/>
    <w:rsid w:val="00B932EC"/>
    <w:rsid w:val="00B93E4B"/>
    <w:rsid w:val="00B94A58"/>
    <w:rsid w:val="00B94CD9"/>
    <w:rsid w:val="00B96C79"/>
    <w:rsid w:val="00BA1570"/>
    <w:rsid w:val="00BA3241"/>
    <w:rsid w:val="00BA53E3"/>
    <w:rsid w:val="00BA57F2"/>
    <w:rsid w:val="00BB0284"/>
    <w:rsid w:val="00BB16FD"/>
    <w:rsid w:val="00BB3B0C"/>
    <w:rsid w:val="00BC1E51"/>
    <w:rsid w:val="00BC3680"/>
    <w:rsid w:val="00BC53D6"/>
    <w:rsid w:val="00BC6851"/>
    <w:rsid w:val="00BC731B"/>
    <w:rsid w:val="00BD0785"/>
    <w:rsid w:val="00BD5394"/>
    <w:rsid w:val="00BD57AA"/>
    <w:rsid w:val="00BD7AB6"/>
    <w:rsid w:val="00BE076B"/>
    <w:rsid w:val="00BE1AC5"/>
    <w:rsid w:val="00BE2E2D"/>
    <w:rsid w:val="00BE422C"/>
    <w:rsid w:val="00BF1918"/>
    <w:rsid w:val="00C03D99"/>
    <w:rsid w:val="00C04B53"/>
    <w:rsid w:val="00C04B9A"/>
    <w:rsid w:val="00C062D0"/>
    <w:rsid w:val="00C13726"/>
    <w:rsid w:val="00C15DC2"/>
    <w:rsid w:val="00C1773E"/>
    <w:rsid w:val="00C215D9"/>
    <w:rsid w:val="00C21DCC"/>
    <w:rsid w:val="00C32BE6"/>
    <w:rsid w:val="00C32DD2"/>
    <w:rsid w:val="00C341F5"/>
    <w:rsid w:val="00C34EBF"/>
    <w:rsid w:val="00C352D9"/>
    <w:rsid w:val="00C35338"/>
    <w:rsid w:val="00C41FB1"/>
    <w:rsid w:val="00C43B31"/>
    <w:rsid w:val="00C47AE5"/>
    <w:rsid w:val="00C53756"/>
    <w:rsid w:val="00C538C8"/>
    <w:rsid w:val="00C53BFA"/>
    <w:rsid w:val="00C5630B"/>
    <w:rsid w:val="00C60904"/>
    <w:rsid w:val="00C645C9"/>
    <w:rsid w:val="00C75381"/>
    <w:rsid w:val="00C77120"/>
    <w:rsid w:val="00C82603"/>
    <w:rsid w:val="00C833FE"/>
    <w:rsid w:val="00C86C26"/>
    <w:rsid w:val="00C92B89"/>
    <w:rsid w:val="00C96412"/>
    <w:rsid w:val="00C972F7"/>
    <w:rsid w:val="00CA1962"/>
    <w:rsid w:val="00CA26FE"/>
    <w:rsid w:val="00CA337A"/>
    <w:rsid w:val="00CA356C"/>
    <w:rsid w:val="00CA6ED0"/>
    <w:rsid w:val="00CA71C7"/>
    <w:rsid w:val="00CB0A69"/>
    <w:rsid w:val="00CB18A3"/>
    <w:rsid w:val="00CB2635"/>
    <w:rsid w:val="00CB4BF4"/>
    <w:rsid w:val="00CB4DB0"/>
    <w:rsid w:val="00CB619D"/>
    <w:rsid w:val="00CB7560"/>
    <w:rsid w:val="00CB7655"/>
    <w:rsid w:val="00CB7DF6"/>
    <w:rsid w:val="00CC2D8B"/>
    <w:rsid w:val="00CC4905"/>
    <w:rsid w:val="00CC5BA0"/>
    <w:rsid w:val="00CD39B3"/>
    <w:rsid w:val="00CD3C35"/>
    <w:rsid w:val="00CD7D73"/>
    <w:rsid w:val="00CE0372"/>
    <w:rsid w:val="00CE4E6E"/>
    <w:rsid w:val="00CE6B1D"/>
    <w:rsid w:val="00CE6FA7"/>
    <w:rsid w:val="00CF043A"/>
    <w:rsid w:val="00CF0AD9"/>
    <w:rsid w:val="00CF349B"/>
    <w:rsid w:val="00CF7CE1"/>
    <w:rsid w:val="00D0212F"/>
    <w:rsid w:val="00D02B62"/>
    <w:rsid w:val="00D037A0"/>
    <w:rsid w:val="00D03D1B"/>
    <w:rsid w:val="00D06337"/>
    <w:rsid w:val="00D11537"/>
    <w:rsid w:val="00D14710"/>
    <w:rsid w:val="00D16767"/>
    <w:rsid w:val="00D246A8"/>
    <w:rsid w:val="00D257AB"/>
    <w:rsid w:val="00D25F08"/>
    <w:rsid w:val="00D26180"/>
    <w:rsid w:val="00D26C12"/>
    <w:rsid w:val="00D27D3E"/>
    <w:rsid w:val="00D311E4"/>
    <w:rsid w:val="00D33A52"/>
    <w:rsid w:val="00D33C62"/>
    <w:rsid w:val="00D4067E"/>
    <w:rsid w:val="00D43B25"/>
    <w:rsid w:val="00D5003B"/>
    <w:rsid w:val="00D520B9"/>
    <w:rsid w:val="00D5269D"/>
    <w:rsid w:val="00D53064"/>
    <w:rsid w:val="00D533A6"/>
    <w:rsid w:val="00D533DF"/>
    <w:rsid w:val="00D57F18"/>
    <w:rsid w:val="00D620F1"/>
    <w:rsid w:val="00D62AEC"/>
    <w:rsid w:val="00D70881"/>
    <w:rsid w:val="00D70956"/>
    <w:rsid w:val="00D73109"/>
    <w:rsid w:val="00D7490A"/>
    <w:rsid w:val="00D813EE"/>
    <w:rsid w:val="00D83C7B"/>
    <w:rsid w:val="00D8514F"/>
    <w:rsid w:val="00D87428"/>
    <w:rsid w:val="00D87912"/>
    <w:rsid w:val="00D8795F"/>
    <w:rsid w:val="00D91028"/>
    <w:rsid w:val="00D918D1"/>
    <w:rsid w:val="00D970CE"/>
    <w:rsid w:val="00DA0F34"/>
    <w:rsid w:val="00DA1BB9"/>
    <w:rsid w:val="00DA27CA"/>
    <w:rsid w:val="00DA435A"/>
    <w:rsid w:val="00DA7E34"/>
    <w:rsid w:val="00DB0BEB"/>
    <w:rsid w:val="00DB2908"/>
    <w:rsid w:val="00DB3815"/>
    <w:rsid w:val="00DB399A"/>
    <w:rsid w:val="00DB64D1"/>
    <w:rsid w:val="00DC0491"/>
    <w:rsid w:val="00DC290A"/>
    <w:rsid w:val="00DC3243"/>
    <w:rsid w:val="00DC672E"/>
    <w:rsid w:val="00DD02BA"/>
    <w:rsid w:val="00DD50AF"/>
    <w:rsid w:val="00DD6542"/>
    <w:rsid w:val="00DD7722"/>
    <w:rsid w:val="00DE16E2"/>
    <w:rsid w:val="00DE2D9F"/>
    <w:rsid w:val="00DE3752"/>
    <w:rsid w:val="00DE69FF"/>
    <w:rsid w:val="00DF1C5C"/>
    <w:rsid w:val="00DF4C11"/>
    <w:rsid w:val="00DF4C98"/>
    <w:rsid w:val="00E21669"/>
    <w:rsid w:val="00E25117"/>
    <w:rsid w:val="00E25A69"/>
    <w:rsid w:val="00E25ABE"/>
    <w:rsid w:val="00E25DE9"/>
    <w:rsid w:val="00E263C0"/>
    <w:rsid w:val="00E26B16"/>
    <w:rsid w:val="00E26F8D"/>
    <w:rsid w:val="00E27947"/>
    <w:rsid w:val="00E330FD"/>
    <w:rsid w:val="00E3492C"/>
    <w:rsid w:val="00E355E5"/>
    <w:rsid w:val="00E37FC6"/>
    <w:rsid w:val="00E400EF"/>
    <w:rsid w:val="00E419B8"/>
    <w:rsid w:val="00E445D5"/>
    <w:rsid w:val="00E44683"/>
    <w:rsid w:val="00E44A38"/>
    <w:rsid w:val="00E5527F"/>
    <w:rsid w:val="00E57A1C"/>
    <w:rsid w:val="00E6043F"/>
    <w:rsid w:val="00E606DA"/>
    <w:rsid w:val="00E613E2"/>
    <w:rsid w:val="00E65A59"/>
    <w:rsid w:val="00E662C7"/>
    <w:rsid w:val="00E7085F"/>
    <w:rsid w:val="00E75E6C"/>
    <w:rsid w:val="00E7608C"/>
    <w:rsid w:val="00E767A8"/>
    <w:rsid w:val="00E778F1"/>
    <w:rsid w:val="00E8046B"/>
    <w:rsid w:val="00E816D9"/>
    <w:rsid w:val="00E8239D"/>
    <w:rsid w:val="00E83D9A"/>
    <w:rsid w:val="00E863C3"/>
    <w:rsid w:val="00E91CA4"/>
    <w:rsid w:val="00EA0B41"/>
    <w:rsid w:val="00EA115F"/>
    <w:rsid w:val="00EA6ADE"/>
    <w:rsid w:val="00EA77F4"/>
    <w:rsid w:val="00EB028E"/>
    <w:rsid w:val="00EB03F5"/>
    <w:rsid w:val="00EB0916"/>
    <w:rsid w:val="00EB1EF1"/>
    <w:rsid w:val="00EB5450"/>
    <w:rsid w:val="00EC198F"/>
    <w:rsid w:val="00EC3864"/>
    <w:rsid w:val="00EC3F33"/>
    <w:rsid w:val="00EC56A2"/>
    <w:rsid w:val="00EC58D2"/>
    <w:rsid w:val="00EC7646"/>
    <w:rsid w:val="00ED1089"/>
    <w:rsid w:val="00ED52EF"/>
    <w:rsid w:val="00EE5A21"/>
    <w:rsid w:val="00EE61A1"/>
    <w:rsid w:val="00EE6E9F"/>
    <w:rsid w:val="00EE7F56"/>
    <w:rsid w:val="00EF53D4"/>
    <w:rsid w:val="00F0217C"/>
    <w:rsid w:val="00F0328C"/>
    <w:rsid w:val="00F0442B"/>
    <w:rsid w:val="00F04626"/>
    <w:rsid w:val="00F04AB5"/>
    <w:rsid w:val="00F04E8C"/>
    <w:rsid w:val="00F05803"/>
    <w:rsid w:val="00F070A2"/>
    <w:rsid w:val="00F0765C"/>
    <w:rsid w:val="00F07F82"/>
    <w:rsid w:val="00F124E7"/>
    <w:rsid w:val="00F1320E"/>
    <w:rsid w:val="00F1343A"/>
    <w:rsid w:val="00F146BB"/>
    <w:rsid w:val="00F150F5"/>
    <w:rsid w:val="00F20197"/>
    <w:rsid w:val="00F214BC"/>
    <w:rsid w:val="00F2206B"/>
    <w:rsid w:val="00F2587F"/>
    <w:rsid w:val="00F25988"/>
    <w:rsid w:val="00F32771"/>
    <w:rsid w:val="00F32CFA"/>
    <w:rsid w:val="00F3342C"/>
    <w:rsid w:val="00F34E16"/>
    <w:rsid w:val="00F37E68"/>
    <w:rsid w:val="00F40203"/>
    <w:rsid w:val="00F40C09"/>
    <w:rsid w:val="00F4295B"/>
    <w:rsid w:val="00F4421D"/>
    <w:rsid w:val="00F4529B"/>
    <w:rsid w:val="00F46465"/>
    <w:rsid w:val="00F50611"/>
    <w:rsid w:val="00F5415F"/>
    <w:rsid w:val="00F6053C"/>
    <w:rsid w:val="00F60B42"/>
    <w:rsid w:val="00F60C0B"/>
    <w:rsid w:val="00F61BA5"/>
    <w:rsid w:val="00F66467"/>
    <w:rsid w:val="00F67258"/>
    <w:rsid w:val="00F67B20"/>
    <w:rsid w:val="00F70B84"/>
    <w:rsid w:val="00F73FBE"/>
    <w:rsid w:val="00F743AA"/>
    <w:rsid w:val="00F80C3A"/>
    <w:rsid w:val="00F8300A"/>
    <w:rsid w:val="00F83DFD"/>
    <w:rsid w:val="00F8721B"/>
    <w:rsid w:val="00F87897"/>
    <w:rsid w:val="00FA25F4"/>
    <w:rsid w:val="00FA2E5F"/>
    <w:rsid w:val="00FA44CE"/>
    <w:rsid w:val="00FA4508"/>
    <w:rsid w:val="00FA48C1"/>
    <w:rsid w:val="00FA72A3"/>
    <w:rsid w:val="00FB22B2"/>
    <w:rsid w:val="00FB28E0"/>
    <w:rsid w:val="00FB3CA9"/>
    <w:rsid w:val="00FC161D"/>
    <w:rsid w:val="00FC358E"/>
    <w:rsid w:val="00FC533A"/>
    <w:rsid w:val="00FC5D12"/>
    <w:rsid w:val="00FC62C9"/>
    <w:rsid w:val="00FD3032"/>
    <w:rsid w:val="00FD6EF6"/>
    <w:rsid w:val="00FE07DD"/>
    <w:rsid w:val="00FE3499"/>
    <w:rsid w:val="00FE46DC"/>
    <w:rsid w:val="00FE48AA"/>
    <w:rsid w:val="00FE6781"/>
    <w:rsid w:val="00FE6CC1"/>
    <w:rsid w:val="00FF250E"/>
    <w:rsid w:val="00FF2B0B"/>
    <w:rsid w:val="00FF33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  <w14:docId w14:val="3F3593E9"/>
  <w15:docId w15:val="{851E2DDE-00CF-4934-9302-8BCBCB071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D0539"/>
  </w:style>
  <w:style w:type="paragraph" w:styleId="Heading1">
    <w:name w:val="heading 1"/>
    <w:basedOn w:val="Normal"/>
    <w:next w:val="Normal"/>
    <w:link w:val="Heading1Char"/>
    <w:uiPriority w:val="9"/>
    <w:qFormat/>
    <w:rsid w:val="001A6AF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539"/>
    <w:pPr>
      <w:ind w:left="720"/>
      <w:contextualSpacing/>
    </w:pPr>
  </w:style>
  <w:style w:type="table" w:styleId="TableGrid">
    <w:name w:val="Table Grid"/>
    <w:basedOn w:val="TableNormal"/>
    <w:uiPriority w:val="39"/>
    <w:rsid w:val="009D0539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172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7298"/>
    <w:rPr>
      <w:rFonts w:ascii="Tahoma" w:hAnsi="Tahoma" w:cs="Tahoma"/>
      <w:sz w:val="16"/>
      <w:szCs w:val="16"/>
    </w:rPr>
  </w:style>
  <w:style w:type="character" w:customStyle="1" w:styleId="A5">
    <w:name w:val="A5"/>
    <w:uiPriority w:val="99"/>
    <w:rsid w:val="00352417"/>
    <w:rPr>
      <w:rFonts w:cs="Century Schoolbook"/>
      <w:color w:val="000000"/>
      <w:sz w:val="22"/>
      <w:szCs w:val="22"/>
    </w:rPr>
  </w:style>
  <w:style w:type="paragraph" w:customStyle="1" w:styleId="Default">
    <w:name w:val="Default"/>
    <w:rsid w:val="002C4D5E"/>
    <w:pPr>
      <w:autoSpaceDE w:val="0"/>
      <w:autoSpaceDN w:val="0"/>
      <w:adjustRightInd w:val="0"/>
      <w:spacing w:after="0" w:line="240" w:lineRule="auto"/>
    </w:pPr>
    <w:rPr>
      <w:rFonts w:ascii="Charis SIL" w:hAnsi="Charis SIL" w:cs="Charis SIL"/>
      <w:color w:val="000000"/>
      <w:kern w:val="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17339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933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335A"/>
  </w:style>
  <w:style w:type="paragraph" w:styleId="Footer">
    <w:name w:val="footer"/>
    <w:basedOn w:val="Normal"/>
    <w:link w:val="FooterChar"/>
    <w:uiPriority w:val="99"/>
    <w:unhideWhenUsed/>
    <w:rsid w:val="00A933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335A"/>
  </w:style>
  <w:style w:type="character" w:customStyle="1" w:styleId="Heading1Char">
    <w:name w:val="Heading 1 Char"/>
    <w:basedOn w:val="DefaultParagraphFont"/>
    <w:link w:val="Heading1"/>
    <w:uiPriority w:val="9"/>
    <w:rsid w:val="001A6A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evision">
    <w:name w:val="Revision"/>
    <w:hidden/>
    <w:uiPriority w:val="99"/>
    <w:semiHidden/>
    <w:rsid w:val="00EC3864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D709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IN"/>
    </w:rPr>
  </w:style>
  <w:style w:type="character" w:styleId="Strong">
    <w:name w:val="Strong"/>
    <w:basedOn w:val="DefaultParagraphFont"/>
    <w:uiPriority w:val="22"/>
    <w:qFormat/>
    <w:rsid w:val="00D70956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E4E6E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27CE2"/>
    <w:rPr>
      <w:color w:val="605E5C"/>
      <w:shd w:val="clear" w:color="auto" w:fill="E1DFDD"/>
    </w:rPr>
  </w:style>
  <w:style w:type="table" w:customStyle="1" w:styleId="TableGridLight1">
    <w:name w:val="Table Grid Light1"/>
    <w:basedOn w:val="TableNormal"/>
    <w:next w:val="TableGridLight"/>
    <w:uiPriority w:val="40"/>
    <w:rsid w:val="00FE3499"/>
    <w:pPr>
      <w:spacing w:after="0" w:line="240" w:lineRule="auto"/>
    </w:pPr>
    <w:rPr>
      <w:kern w:val="0"/>
      <w:lang w:val="en-US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TableGridLight">
    <w:name w:val="Grid Table Light"/>
    <w:basedOn w:val="TableNormal"/>
    <w:uiPriority w:val="40"/>
    <w:rsid w:val="00FE349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99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9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76464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04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64701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76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0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83568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66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3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63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88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5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2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12922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7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35364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56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2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29725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09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9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67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31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47871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80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56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03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29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36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73497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6.emf"/><Relationship Id="rId18" Type="http://schemas.openxmlformats.org/officeDocument/2006/relationships/image" Target="media/image11.emf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emf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9.emf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24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image" Target="media/image8.emf"/><Relationship Id="rId23" Type="http://schemas.openxmlformats.org/officeDocument/2006/relationships/header" Target="header3.xml"/><Relationship Id="rId10" Type="http://schemas.openxmlformats.org/officeDocument/2006/relationships/image" Target="media/image3.emf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7.png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8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FBD9549-E026-4262-9501-2ACA2EEB5F9D}">
  <we:reference id="wa104382081" version="1.55.1.0" store="en-US" storeType="OMEX"/>
  <we:alternateReferences>
    <we:reference id="wa104382081" version="1.55.1.0" store="" storeType="OMEX"/>
  </we:alternateReferences>
  <we:properties>
    <we:property name="MENDELEY_CITATIONS" value="[]"/>
    <we:property name="MENDELEY_CITATIONS_LOCALE_CODE" value="&quot;en-US&quot;"/>
    <we:property name="MENDELEY_CITATIONS_STYLE" value="{&quot;id&quot;:&quot;https://www.zotero.org/styles/current-microbiology&quot;,&quot;title&quot;:&quot;Current Microbiology&quot;,&quot;format&quot;:&quot;numeric&quot;,&quot;defaultLocale&quot;:&quot;en-US&quot;,&quot;isLocaleCodeValid&quot;:true}"/>
  </we:properties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CC9DDF-A201-49DD-9448-5ACCD04A3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1544</TotalTime>
  <Pages>13</Pages>
  <Words>4215</Words>
  <Characters>24027</Characters>
  <Application>Microsoft Office Word</Application>
  <DocSecurity>0</DocSecurity>
  <Lines>200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subhasree das</dc:creator>
  <cp:lastModifiedBy>SDI 1084</cp:lastModifiedBy>
  <cp:revision>39</cp:revision>
  <dcterms:created xsi:type="dcterms:W3CDTF">2025-08-08T06:59:00Z</dcterms:created>
  <dcterms:modified xsi:type="dcterms:W3CDTF">2025-08-11T08:22:00Z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2cac83ac07cf6e31ebc4cb6a1388f66128de7c1b92b6fd6049b89ec9b58bd37b</vt:lpwstr>
  </property>
</Properties>
</file>