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D425" w14:textId="77777777" w:rsidR="00CA11E7" w:rsidRPr="00CA11E7" w:rsidRDefault="00CA11E7" w:rsidP="00CA11E7">
      <w:pPr>
        <w:jc w:val="right"/>
        <w:rPr>
          <w:rFonts w:ascii="Arial" w:hAnsi="Arial" w:cs="Arial"/>
          <w:b/>
          <w:bCs/>
          <w:i/>
          <w:iCs/>
          <w:sz w:val="36"/>
          <w:szCs w:val="36"/>
          <w:u w:val="single"/>
        </w:rPr>
      </w:pPr>
      <w:bookmarkStart w:id="0" w:name="_Hlk136198383"/>
      <w:r w:rsidRPr="00CA11E7">
        <w:rPr>
          <w:rFonts w:ascii="Arial" w:hAnsi="Arial" w:cs="Arial"/>
          <w:b/>
          <w:bCs/>
          <w:i/>
          <w:iCs/>
          <w:sz w:val="36"/>
          <w:szCs w:val="36"/>
          <w:u w:val="single"/>
        </w:rPr>
        <w:t xml:space="preserve">Case report </w:t>
      </w:r>
    </w:p>
    <w:p w14:paraId="14110973" w14:textId="77777777" w:rsidR="00CA11E7" w:rsidRDefault="00CA11E7">
      <w:pPr>
        <w:jc w:val="right"/>
        <w:rPr>
          <w:rFonts w:ascii="Arial" w:hAnsi="Arial" w:cs="Arial"/>
          <w:b/>
          <w:sz w:val="36"/>
          <w:szCs w:val="36"/>
        </w:rPr>
      </w:pPr>
    </w:p>
    <w:p w14:paraId="754CCD42" w14:textId="7527D486" w:rsidR="00EA27B0" w:rsidRDefault="00F42ECF">
      <w:pPr>
        <w:jc w:val="right"/>
        <w:rPr>
          <w:rFonts w:ascii="Arial" w:hAnsi="Arial" w:cs="Arial"/>
          <w:b/>
          <w:sz w:val="36"/>
          <w:szCs w:val="36"/>
        </w:rPr>
      </w:pPr>
      <w:r>
        <w:rPr>
          <w:rFonts w:ascii="Arial" w:hAnsi="Arial" w:cs="Arial"/>
          <w:b/>
          <w:sz w:val="36"/>
          <w:szCs w:val="36"/>
        </w:rPr>
        <w:t>Treatment of hydrocarbon induced acute kidney injury in dog using intermittent hemodialysis</w:t>
      </w:r>
    </w:p>
    <w:bookmarkEnd w:id="0"/>
    <w:p w14:paraId="5217B8BD" w14:textId="77777777" w:rsidR="00E34A92" w:rsidRDefault="00E34A92">
      <w:pPr>
        <w:spacing w:after="0" w:line="360" w:lineRule="auto"/>
        <w:jc w:val="both"/>
        <w:rPr>
          <w:rFonts w:ascii="Arial" w:hAnsi="Arial" w:cs="Arial"/>
          <w:b/>
        </w:rPr>
      </w:pPr>
    </w:p>
    <w:p w14:paraId="181AEAF7" w14:textId="7D236647" w:rsidR="00EA27B0" w:rsidRDefault="00F42ECF">
      <w:pPr>
        <w:spacing w:after="0" w:line="360" w:lineRule="auto"/>
        <w:jc w:val="both"/>
        <w:rPr>
          <w:rFonts w:ascii="Arial" w:hAnsi="Arial" w:cs="Arial"/>
          <w:b/>
        </w:rPr>
      </w:pPr>
      <w:r>
        <w:rPr>
          <w:rFonts w:ascii="Arial" w:hAnsi="Arial" w:cs="Arial"/>
          <w:b/>
        </w:rPr>
        <w:t xml:space="preserve">ABSTRACT </w:t>
      </w:r>
    </w:p>
    <w:p w14:paraId="5BB4C6B1" w14:textId="77777777" w:rsidR="00EA27B0" w:rsidRDefault="00F42ECF">
      <w:pPr>
        <w:spacing w:after="0" w:line="240" w:lineRule="auto"/>
        <w:jc w:val="both"/>
        <w:rPr>
          <w:rFonts w:ascii="Arial" w:hAnsi="Arial" w:cs="Arial"/>
          <w:bCs/>
          <w:sz w:val="20"/>
          <w:szCs w:val="20"/>
        </w:rPr>
      </w:pPr>
      <w:r>
        <w:rPr>
          <w:rFonts w:ascii="Arial" w:hAnsi="Arial" w:cs="Arial"/>
          <w:b/>
        </w:rPr>
        <w:t xml:space="preserve">Aims: </w:t>
      </w:r>
      <w:r>
        <w:rPr>
          <w:rFonts w:ascii="Arial" w:hAnsi="Arial" w:cs="Arial"/>
          <w:bCs/>
          <w:sz w:val="20"/>
          <w:szCs w:val="20"/>
        </w:rPr>
        <w:t xml:space="preserve">This case report shows the importance of intermittent hemodialysis in successful management of hydrocarbon induced acute kidney </w:t>
      </w:r>
      <w:r>
        <w:rPr>
          <w:rFonts w:ascii="Arial" w:hAnsi="Arial" w:cs="Arial"/>
          <w:bCs/>
          <w:sz w:val="20"/>
          <w:szCs w:val="20"/>
        </w:rPr>
        <w:t>injury.</w:t>
      </w:r>
    </w:p>
    <w:p w14:paraId="413760A6" w14:textId="77777777" w:rsidR="00EA27B0" w:rsidRDefault="00F42ECF">
      <w:pPr>
        <w:spacing w:after="0" w:line="240" w:lineRule="auto"/>
        <w:jc w:val="both"/>
        <w:rPr>
          <w:rFonts w:ascii="Arial" w:hAnsi="Arial" w:cs="Arial"/>
          <w:b/>
        </w:rPr>
      </w:pPr>
      <w:r>
        <w:rPr>
          <w:rFonts w:ascii="Arial" w:hAnsi="Arial" w:cs="Arial"/>
          <w:b/>
        </w:rPr>
        <w:t xml:space="preserve">Presentation of Case: </w:t>
      </w:r>
      <w:r>
        <w:rPr>
          <w:rFonts w:ascii="Arial" w:hAnsi="Arial" w:cs="Arial"/>
          <w:sz w:val="20"/>
          <w:szCs w:val="20"/>
        </w:rPr>
        <w:t>A case of 1.5 years old Golden retriever breed dog with history of anorexia, dullness, intermittent vomiting, weight loss, oliguria, melena and coughing since last 6 days was presented in emergency &amp; critical care unit at mult</w:t>
      </w:r>
      <w:r>
        <w:rPr>
          <w:rFonts w:ascii="Arial" w:hAnsi="Arial" w:cs="Arial"/>
          <w:sz w:val="20"/>
          <w:szCs w:val="20"/>
        </w:rPr>
        <w:t xml:space="preserve">ispecialty veterinary hospital, Guru Angad Dev Veterinary and Animal Sciences University, Ludhiana, Punjab. On complete history taking, owner reveals that animal was licking engine oil from last 10 days. Laboratory findings revealed that </w:t>
      </w:r>
      <w:r>
        <w:rPr>
          <w:rFonts w:ascii="Arial" w:hAnsi="Arial" w:cs="Arial"/>
          <w:color w:val="000000" w:themeColor="text1"/>
          <w:sz w:val="20"/>
          <w:szCs w:val="20"/>
        </w:rPr>
        <w:t>BUN- 210 mg/dL, Cr</w:t>
      </w:r>
      <w:r>
        <w:rPr>
          <w:rFonts w:ascii="Arial" w:hAnsi="Arial" w:cs="Arial"/>
          <w:color w:val="000000" w:themeColor="text1"/>
          <w:sz w:val="20"/>
          <w:szCs w:val="20"/>
        </w:rPr>
        <w:t xml:space="preserve">eatinine- 13.7 mg/dL, Na- 146 </w:t>
      </w:r>
      <w:proofErr w:type="spellStart"/>
      <w:r>
        <w:rPr>
          <w:rFonts w:ascii="Arial" w:hAnsi="Arial" w:cs="Arial"/>
          <w:color w:val="000000" w:themeColor="text1"/>
          <w:sz w:val="20"/>
          <w:szCs w:val="20"/>
        </w:rPr>
        <w:t>mEq</w:t>
      </w:r>
      <w:proofErr w:type="spellEnd"/>
      <w:r>
        <w:rPr>
          <w:rFonts w:ascii="Arial" w:hAnsi="Arial" w:cs="Arial"/>
          <w:color w:val="000000" w:themeColor="text1"/>
          <w:sz w:val="20"/>
          <w:szCs w:val="20"/>
        </w:rPr>
        <w:t xml:space="preserve">/L, K- 4.7 </w:t>
      </w:r>
      <w:proofErr w:type="spellStart"/>
      <w:r>
        <w:rPr>
          <w:rFonts w:ascii="Arial" w:hAnsi="Arial" w:cs="Arial"/>
          <w:color w:val="000000" w:themeColor="text1"/>
          <w:sz w:val="20"/>
          <w:szCs w:val="20"/>
        </w:rPr>
        <w:t>mEq</w:t>
      </w:r>
      <w:proofErr w:type="spellEnd"/>
      <w:r>
        <w:rPr>
          <w:rFonts w:ascii="Arial" w:hAnsi="Arial" w:cs="Arial"/>
          <w:color w:val="000000" w:themeColor="text1"/>
          <w:sz w:val="20"/>
          <w:szCs w:val="20"/>
        </w:rPr>
        <w:t xml:space="preserve">/L, Cl- 108 </w:t>
      </w:r>
      <w:proofErr w:type="spellStart"/>
      <w:r>
        <w:rPr>
          <w:rFonts w:ascii="Arial" w:hAnsi="Arial" w:cs="Arial"/>
          <w:color w:val="000000" w:themeColor="text1"/>
          <w:sz w:val="20"/>
          <w:szCs w:val="20"/>
        </w:rPr>
        <w:t>mEq</w:t>
      </w:r>
      <w:proofErr w:type="spellEnd"/>
      <w:r>
        <w:rPr>
          <w:rFonts w:ascii="Arial" w:hAnsi="Arial" w:cs="Arial"/>
          <w:color w:val="000000" w:themeColor="text1"/>
          <w:sz w:val="20"/>
          <w:szCs w:val="20"/>
        </w:rPr>
        <w:t>/L, P- 16.5 mg/dL and Ca- 13.7 mg/dL. Serum total protein and albumin were 6.1 g/dL and 2.7 g/dL, respectively. Abdominal ultrasound revealed Left kidney enlarged with normal cortico-medullary d</w:t>
      </w:r>
      <w:r>
        <w:rPr>
          <w:rFonts w:ascii="Arial" w:hAnsi="Arial" w:cs="Arial"/>
          <w:color w:val="000000" w:themeColor="text1"/>
          <w:sz w:val="20"/>
          <w:szCs w:val="20"/>
        </w:rPr>
        <w:t>ifferentiation (CMD) &amp; right kidney hyperechoic with loss of CMD. Radiographic findings reveals moderate bronchial and interstitial pattern seen in lungs.  As the dog was already on fluids and diuretics from past 5 days without any promising results, inter</w:t>
      </w:r>
      <w:r>
        <w:rPr>
          <w:rFonts w:ascii="Arial" w:hAnsi="Arial" w:cs="Arial"/>
          <w:color w:val="000000" w:themeColor="text1"/>
          <w:sz w:val="20"/>
          <w:szCs w:val="20"/>
        </w:rPr>
        <w:t xml:space="preserve">mittent hemodialysis (IHD) was preferred as a treatment modality of choice to save dog’s life. </w:t>
      </w:r>
    </w:p>
    <w:p w14:paraId="04838CCF" w14:textId="77777777" w:rsidR="00EA27B0" w:rsidRDefault="00F42ECF">
      <w:pPr>
        <w:spacing w:after="0" w:line="240" w:lineRule="auto"/>
        <w:jc w:val="both"/>
        <w:rPr>
          <w:rFonts w:ascii="Arial" w:hAnsi="Arial" w:cs="Arial"/>
          <w:b/>
        </w:rPr>
      </w:pPr>
      <w:r>
        <w:rPr>
          <w:rFonts w:ascii="Arial" w:hAnsi="Arial" w:cs="Arial"/>
          <w:b/>
          <w:bCs/>
          <w:color w:val="000000" w:themeColor="text1"/>
          <w:sz w:val="20"/>
          <w:szCs w:val="20"/>
        </w:rPr>
        <w:t>Discussion and conclusions:</w:t>
      </w:r>
      <w:r>
        <w:rPr>
          <w:rFonts w:ascii="Arial" w:hAnsi="Arial" w:cs="Arial"/>
          <w:color w:val="000000" w:themeColor="text1"/>
          <w:sz w:val="20"/>
          <w:szCs w:val="20"/>
        </w:rPr>
        <w:t xml:space="preserve"> The dog was put on IHD and after dialysis the dog showed good recovery without any further signs of renal injury even after one year</w:t>
      </w:r>
      <w:r>
        <w:rPr>
          <w:rFonts w:ascii="Arial" w:hAnsi="Arial" w:cs="Arial"/>
          <w:color w:val="000000" w:themeColor="text1"/>
          <w:sz w:val="20"/>
          <w:szCs w:val="20"/>
        </w:rPr>
        <w:t xml:space="preserve"> of dialysis.</w:t>
      </w:r>
    </w:p>
    <w:p w14:paraId="45BDA622" w14:textId="77777777" w:rsidR="00EA27B0" w:rsidRDefault="00F42ECF">
      <w:pPr>
        <w:spacing w:after="0" w:line="360" w:lineRule="auto"/>
        <w:jc w:val="both"/>
        <w:rPr>
          <w:rFonts w:ascii="Arial" w:hAnsi="Arial" w:cs="Arial"/>
          <w:sz w:val="20"/>
          <w:szCs w:val="20"/>
        </w:rPr>
      </w:pPr>
      <w:r>
        <w:rPr>
          <w:rFonts w:ascii="Arial" w:hAnsi="Arial" w:cs="Arial"/>
          <w:b/>
          <w:bCs/>
          <w:sz w:val="20"/>
          <w:szCs w:val="20"/>
        </w:rPr>
        <w:t>Keywords:</w:t>
      </w:r>
      <w:r>
        <w:rPr>
          <w:rFonts w:ascii="Arial" w:hAnsi="Arial" w:cs="Arial"/>
          <w:sz w:val="20"/>
          <w:szCs w:val="20"/>
        </w:rPr>
        <w:t xml:space="preserve"> Engine oil, Licking, Acute kidney injury, dog, dialysis.</w:t>
      </w:r>
    </w:p>
    <w:p w14:paraId="179B4464" w14:textId="77777777" w:rsidR="00EA27B0" w:rsidRDefault="00F42ECF">
      <w:pPr>
        <w:pStyle w:val="ListParagraph1"/>
        <w:numPr>
          <w:ilvl w:val="0"/>
          <w:numId w:val="1"/>
        </w:numPr>
        <w:tabs>
          <w:tab w:val="left" w:pos="270"/>
        </w:tabs>
        <w:spacing w:before="240" w:line="360" w:lineRule="auto"/>
        <w:ind w:left="0" w:firstLine="0"/>
        <w:jc w:val="both"/>
        <w:rPr>
          <w:rFonts w:ascii="Arial" w:hAnsi="Arial" w:cs="Arial"/>
        </w:rPr>
      </w:pPr>
      <w:r>
        <w:rPr>
          <w:rFonts w:ascii="Arial" w:hAnsi="Arial" w:cs="Arial"/>
          <w:b/>
          <w:bCs/>
        </w:rPr>
        <w:t>INTRODUCTION</w:t>
      </w:r>
    </w:p>
    <w:p w14:paraId="3A9B623B" w14:textId="77777777" w:rsidR="00EA27B0" w:rsidRDefault="00F42ECF">
      <w:pPr>
        <w:tabs>
          <w:tab w:val="left" w:pos="540"/>
        </w:tabs>
        <w:spacing w:before="240" w:after="0" w:line="240" w:lineRule="auto"/>
        <w:jc w:val="both"/>
        <w:rPr>
          <w:rFonts w:ascii="Arial" w:hAnsi="Arial" w:cs="Arial"/>
          <w:sz w:val="20"/>
          <w:szCs w:val="20"/>
        </w:rPr>
      </w:pPr>
      <w:r>
        <w:rPr>
          <w:rFonts w:ascii="Arial" w:hAnsi="Arial" w:cs="Arial"/>
          <w:sz w:val="20"/>
          <w:szCs w:val="20"/>
        </w:rPr>
        <w:t xml:space="preserve">Acute kidney injury (AKI) in dogs is characterized by an abrupt onset of renal parenchymal injury. It is frequently linked to acid-base, fluid, and electrolyte </w:t>
      </w:r>
      <w:r>
        <w:rPr>
          <w:rFonts w:ascii="Arial" w:hAnsi="Arial" w:cs="Arial"/>
          <w:sz w:val="20"/>
          <w:szCs w:val="20"/>
        </w:rPr>
        <w:t>imbalances, decreased renal function, and retention of uremic waste products (Langston, 2010). Most commonly implicated etiological factors for AKI in dogs include ischemia, inflammation, various infectious diseases and exposure to nephron-toxicants includ</w:t>
      </w:r>
      <w:r>
        <w:rPr>
          <w:rFonts w:ascii="Arial" w:hAnsi="Arial" w:cs="Arial"/>
          <w:sz w:val="20"/>
          <w:szCs w:val="20"/>
        </w:rPr>
        <w:t>ing drugs (NSAIDs), food (grapes, resins) and chemicals (ethylene glycol). Nevertheless, even with a thorough diagnostic workup, many a times the etiology remains unknown and cannot be used to predict prognosis in a significant number of animals with AKI (</w:t>
      </w:r>
      <w:r>
        <w:rPr>
          <w:rFonts w:ascii="Arial" w:hAnsi="Arial" w:cs="Arial"/>
          <w:sz w:val="20"/>
          <w:szCs w:val="20"/>
        </w:rPr>
        <w:t>Segev et al., 2008). As so, even with extensive care, the rates of morbidity and mortality are still significant (Rimer et al., 2022). AKI's short-term prognosis is influenced by a number of factors, such as treatment options, comorbidities, and the etiolo</w:t>
      </w:r>
      <w:r>
        <w:rPr>
          <w:rFonts w:ascii="Arial" w:hAnsi="Arial" w:cs="Arial"/>
          <w:sz w:val="20"/>
          <w:szCs w:val="20"/>
        </w:rPr>
        <w:t>gy, which affects how reversible the injury is (Segev et al., 2008).</w:t>
      </w:r>
    </w:p>
    <w:p w14:paraId="76144A38" w14:textId="77777777" w:rsidR="00EA27B0" w:rsidRDefault="00F42ECF">
      <w:pPr>
        <w:tabs>
          <w:tab w:val="left" w:pos="540"/>
        </w:tabs>
        <w:spacing w:line="240" w:lineRule="auto"/>
        <w:jc w:val="both"/>
        <w:rPr>
          <w:rFonts w:ascii="Arial" w:hAnsi="Arial" w:cs="Arial"/>
          <w:sz w:val="20"/>
          <w:szCs w:val="20"/>
        </w:rPr>
      </w:pPr>
      <w:r>
        <w:rPr>
          <w:rFonts w:ascii="Arial" w:hAnsi="Arial" w:cs="Arial"/>
          <w:sz w:val="20"/>
          <w:szCs w:val="20"/>
        </w:rPr>
        <w:t>Although, not reported in India, ingestion of petroleum or its products like engine oil, brake oil and fuel additives can also lead to either AKI or chronic kidney disease (CKD) depending</w:t>
      </w:r>
      <w:r>
        <w:rPr>
          <w:rFonts w:ascii="Arial" w:hAnsi="Arial" w:cs="Arial"/>
          <w:sz w:val="20"/>
          <w:szCs w:val="20"/>
        </w:rPr>
        <w:t xml:space="preserve"> upon quantity, exposure time and route of exposure. Aromatic hydrocarbons are present in considerable concentrations in unleaded petrol and its products (Ahmed et al., 2009). Among all the aromatic chemicals found, benzene, toluene, and xylenes (BTX) prov</w:t>
      </w:r>
      <w:r>
        <w:rPr>
          <w:rFonts w:ascii="Arial" w:hAnsi="Arial" w:cs="Arial"/>
          <w:sz w:val="20"/>
          <w:szCs w:val="20"/>
        </w:rPr>
        <w:t>ide the most risk (Perigo and Prado, 2005; Adami et al., 2006). Here we present a rare case report involving exposure of a dog to engine oil over a period of 8-10 days leading to AKI and successful treatment involving intermittent hemodialysis.</w:t>
      </w:r>
    </w:p>
    <w:p w14:paraId="03704FEB" w14:textId="77777777" w:rsidR="00EA27B0" w:rsidRDefault="00F42ECF">
      <w:pPr>
        <w:pStyle w:val="ListParagraph1"/>
        <w:numPr>
          <w:ilvl w:val="0"/>
          <w:numId w:val="1"/>
        </w:numPr>
        <w:tabs>
          <w:tab w:val="left" w:pos="270"/>
        </w:tabs>
        <w:spacing w:before="240" w:after="0" w:line="480" w:lineRule="auto"/>
        <w:ind w:left="0" w:firstLine="90"/>
        <w:jc w:val="both"/>
        <w:rPr>
          <w:rFonts w:ascii="Arial" w:hAnsi="Arial" w:cs="Arial"/>
        </w:rPr>
      </w:pPr>
      <w:r>
        <w:rPr>
          <w:rFonts w:ascii="Arial" w:hAnsi="Arial" w:cs="Arial"/>
          <w:b/>
          <w:bCs/>
        </w:rPr>
        <w:t>PRESENTATIO</w:t>
      </w:r>
      <w:r>
        <w:rPr>
          <w:rFonts w:ascii="Arial" w:hAnsi="Arial" w:cs="Arial"/>
          <w:b/>
          <w:bCs/>
        </w:rPr>
        <w:t>N OF CASE</w:t>
      </w:r>
    </w:p>
    <w:p w14:paraId="06B68A5F" w14:textId="77777777" w:rsidR="00EA27B0" w:rsidRDefault="00F42ECF">
      <w:pPr>
        <w:pStyle w:val="ListParagraph1"/>
        <w:tabs>
          <w:tab w:val="left" w:pos="90"/>
        </w:tabs>
        <w:spacing w:before="240" w:after="0" w:line="240" w:lineRule="auto"/>
        <w:ind w:left="90"/>
        <w:jc w:val="both"/>
        <w:rPr>
          <w:rFonts w:ascii="Arial" w:hAnsi="Arial" w:cs="Arial"/>
          <w:sz w:val="20"/>
          <w:szCs w:val="20"/>
        </w:rPr>
      </w:pPr>
      <w:r>
        <w:rPr>
          <w:rFonts w:ascii="Arial" w:hAnsi="Arial" w:cs="Arial"/>
          <w:color w:val="000000" w:themeColor="text1"/>
          <w:sz w:val="20"/>
          <w:szCs w:val="20"/>
        </w:rPr>
        <w:lastRenderedPageBreak/>
        <w:t xml:space="preserve"> A case of 1.5 years old Golden retriever breed dog with history of anorexia, lethargy, 3-4 episodes of vomiting, weight loss, oliguria, </w:t>
      </w:r>
      <w:proofErr w:type="gramStart"/>
      <w:r>
        <w:rPr>
          <w:rFonts w:ascii="Arial" w:hAnsi="Arial" w:cs="Arial"/>
          <w:color w:val="000000" w:themeColor="text1"/>
          <w:sz w:val="20"/>
          <w:szCs w:val="20"/>
        </w:rPr>
        <w:t>melena  since</w:t>
      </w:r>
      <w:proofErr w:type="gramEnd"/>
      <w:r>
        <w:rPr>
          <w:rFonts w:ascii="Arial" w:hAnsi="Arial" w:cs="Arial"/>
          <w:color w:val="000000" w:themeColor="text1"/>
          <w:sz w:val="20"/>
          <w:szCs w:val="20"/>
        </w:rPr>
        <w:t xml:space="preserve"> past 6 days and coughing from last 3 days was presented in dialysis unit, multispecialty veteri</w:t>
      </w:r>
      <w:r>
        <w:rPr>
          <w:rFonts w:ascii="Arial" w:hAnsi="Arial" w:cs="Arial"/>
          <w:color w:val="000000" w:themeColor="text1"/>
          <w:sz w:val="20"/>
          <w:szCs w:val="20"/>
        </w:rPr>
        <w:t xml:space="preserve">nary hospital, Guru Angad Dev Veterinary and Animal Sciences University, Ludhiana, Punjab. Detailed history taking revealed that animal usually having habit of licking engine oil drained from the car from last 20 days and show signs of acute kidney injury </w:t>
      </w:r>
      <w:r>
        <w:rPr>
          <w:rFonts w:ascii="Arial" w:hAnsi="Arial" w:cs="Arial"/>
          <w:color w:val="000000" w:themeColor="text1"/>
          <w:sz w:val="20"/>
          <w:szCs w:val="20"/>
        </w:rPr>
        <w:t>from last 7 days.  On presentation, the dog was having body condition score of 2 with dull activity level, Rectal temperature-101.4</w:t>
      </w:r>
      <w:r>
        <w:rPr>
          <w:rFonts w:ascii="Arial" w:hAnsi="Arial" w:cs="Arial"/>
          <w:color w:val="000000" w:themeColor="text1"/>
          <w:sz w:val="20"/>
          <w:szCs w:val="20"/>
          <w:vertAlign w:val="superscript"/>
        </w:rPr>
        <w:t>0</w:t>
      </w:r>
      <w:r>
        <w:rPr>
          <w:rFonts w:ascii="Arial" w:hAnsi="Arial" w:cs="Arial"/>
          <w:color w:val="000000" w:themeColor="text1"/>
          <w:sz w:val="20"/>
          <w:szCs w:val="20"/>
        </w:rPr>
        <w:t>F, Heart rate-138 bpm, Respiration rate-28 per minute, congested mucous membrane, normal lymph nodes and body weight of 27 K</w:t>
      </w:r>
      <w:r>
        <w:rPr>
          <w:rFonts w:ascii="Arial" w:hAnsi="Arial" w:cs="Arial"/>
          <w:color w:val="000000" w:themeColor="text1"/>
          <w:sz w:val="20"/>
          <w:szCs w:val="20"/>
        </w:rPr>
        <w:t>gs. Laboratory findings revealed moderate anemia with poor regeneration, relative lymphocytosis with mild left shift having hemoglobin (Hb): 7.3 g/dL, total leucocyte count (TLC): 5730, neutrophils (N): 50, lymphocytes (L): 48, packed cell volume (PCV): 18</w:t>
      </w:r>
      <w:r>
        <w:rPr>
          <w:rFonts w:ascii="Arial" w:hAnsi="Arial" w:cs="Arial"/>
          <w:color w:val="000000" w:themeColor="text1"/>
          <w:sz w:val="20"/>
          <w:szCs w:val="20"/>
        </w:rPr>
        <w:t>.1% and platelet count of 192 x 10</w:t>
      </w:r>
      <w:r>
        <w:rPr>
          <w:rFonts w:ascii="Arial" w:hAnsi="Arial" w:cs="Arial"/>
          <w:color w:val="000000" w:themeColor="text1"/>
          <w:sz w:val="20"/>
          <w:szCs w:val="20"/>
          <w:vertAlign w:val="superscript"/>
        </w:rPr>
        <w:t>3</w:t>
      </w:r>
      <w:r>
        <w:rPr>
          <w:rFonts w:ascii="Arial" w:hAnsi="Arial" w:cs="Arial"/>
          <w:color w:val="000000" w:themeColor="text1"/>
          <w:sz w:val="20"/>
          <w:szCs w:val="20"/>
        </w:rPr>
        <w:t>/µL. Renal function profile revealed blood urea nitrogen (BUN): 210mg/dL, creatinine: 13.7mg/dL, sodium (Na): 146mEq/L, potassium (K): 4.7mEq/L, chloride (Cl): 108mEq/L, phosphorus (P): 16.4mg/dL and calcium (Ca): 13.7 mg</w:t>
      </w:r>
      <w:r>
        <w:rPr>
          <w:rFonts w:ascii="Arial" w:hAnsi="Arial" w:cs="Arial"/>
          <w:color w:val="000000" w:themeColor="text1"/>
          <w:sz w:val="20"/>
          <w:szCs w:val="20"/>
        </w:rPr>
        <w:t xml:space="preserve">/dL. Serum total protein and albumin were 6.1g/dL and 2.7g/dL, respectively. Routine urine analysis revealed urine pH: 5.5 and specific gravity of 1.015. The blood report was negative for any </w:t>
      </w:r>
      <w:proofErr w:type="spellStart"/>
      <w:r>
        <w:rPr>
          <w:rFonts w:ascii="Arial" w:hAnsi="Arial" w:cs="Arial"/>
          <w:color w:val="000000" w:themeColor="text1"/>
          <w:sz w:val="20"/>
          <w:szCs w:val="20"/>
        </w:rPr>
        <w:t>hemoprotozoan</w:t>
      </w:r>
      <w:proofErr w:type="spellEnd"/>
      <w:r>
        <w:rPr>
          <w:rFonts w:ascii="Arial" w:hAnsi="Arial" w:cs="Arial"/>
          <w:color w:val="000000" w:themeColor="text1"/>
          <w:sz w:val="20"/>
          <w:szCs w:val="20"/>
        </w:rPr>
        <w:t xml:space="preserve"> infection. The arterial blood pressure (Doppler) w</w:t>
      </w:r>
      <w:r>
        <w:rPr>
          <w:rFonts w:ascii="Arial" w:hAnsi="Arial" w:cs="Arial"/>
          <w:color w:val="000000" w:themeColor="text1"/>
          <w:sz w:val="20"/>
          <w:szCs w:val="20"/>
        </w:rPr>
        <w:t xml:space="preserve">as 110 mm of Hg. Abdominal ultrasound revealed left kidney enlarged with normal CMD (Figure 1) </w:t>
      </w:r>
      <w:proofErr w:type="gramStart"/>
      <w:r>
        <w:rPr>
          <w:rFonts w:ascii="Arial" w:hAnsi="Arial" w:cs="Arial"/>
          <w:color w:val="000000" w:themeColor="text1"/>
          <w:sz w:val="20"/>
          <w:szCs w:val="20"/>
        </w:rPr>
        <w:t>and  right</w:t>
      </w:r>
      <w:proofErr w:type="gramEnd"/>
      <w:r>
        <w:rPr>
          <w:rFonts w:ascii="Arial" w:hAnsi="Arial" w:cs="Arial"/>
          <w:color w:val="000000" w:themeColor="text1"/>
          <w:sz w:val="20"/>
          <w:szCs w:val="20"/>
        </w:rPr>
        <w:t xml:space="preserve"> kidney hyperechoic with loss of CMD (Figure 2). Radiographic findings reveal that moderate bronchial and interstitial pattern was seen in lungs (Figur</w:t>
      </w:r>
      <w:r>
        <w:rPr>
          <w:rFonts w:ascii="Arial" w:hAnsi="Arial" w:cs="Arial"/>
          <w:color w:val="000000" w:themeColor="text1"/>
          <w:sz w:val="20"/>
          <w:szCs w:val="20"/>
        </w:rPr>
        <w:t xml:space="preserve">e 3). As the dog was already on fluids therapy from past 5 days without any promising results, intermittent hemodialysis (IHD) was preferred as a treatment modality of choice to save dog’s life. After aseptically preparing the site, a dedicated 19 cm 11.5 </w:t>
      </w:r>
      <w:r>
        <w:rPr>
          <w:rFonts w:ascii="Arial" w:hAnsi="Arial" w:cs="Arial"/>
          <w:color w:val="000000" w:themeColor="text1"/>
          <w:sz w:val="20"/>
          <w:szCs w:val="20"/>
        </w:rPr>
        <w:t>Fr. double lumen temporary dialysis catheter (DLC) was inserted in left jugular vein to gain vascular access. The catheter tip was carefully placed at the junction of cranial vena-cava and the right atrium in-order to achieve uninterrupted blood flow (Figu</w:t>
      </w:r>
      <w:r>
        <w:rPr>
          <w:rFonts w:ascii="Arial" w:hAnsi="Arial" w:cs="Arial"/>
          <w:color w:val="000000" w:themeColor="text1"/>
          <w:sz w:val="20"/>
          <w:szCs w:val="20"/>
        </w:rPr>
        <w:t>re 4). The dog was put on IHD using Fresenius medical care (Germany) 4008 S (ng) dialysis workstation and showed good recovery with post-dialysis Hb: 7.0, TLC:6000, N: 60, L: 40, PCV: 18% and platelet count of 125x10</w:t>
      </w:r>
      <w:r>
        <w:rPr>
          <w:rFonts w:ascii="Arial" w:hAnsi="Arial" w:cs="Arial"/>
          <w:color w:val="000000" w:themeColor="text1"/>
          <w:sz w:val="20"/>
          <w:szCs w:val="20"/>
          <w:vertAlign w:val="superscript"/>
        </w:rPr>
        <w:t>3</w:t>
      </w:r>
      <w:r>
        <w:rPr>
          <w:rFonts w:ascii="Arial" w:hAnsi="Arial" w:cs="Arial"/>
          <w:color w:val="000000" w:themeColor="text1"/>
          <w:sz w:val="20"/>
          <w:szCs w:val="20"/>
        </w:rPr>
        <w:t>/µl. Renal function profile revealed BU</w:t>
      </w:r>
      <w:r>
        <w:rPr>
          <w:rFonts w:ascii="Arial" w:hAnsi="Arial" w:cs="Arial"/>
          <w:color w:val="000000" w:themeColor="text1"/>
          <w:sz w:val="20"/>
          <w:szCs w:val="20"/>
        </w:rPr>
        <w:t xml:space="preserve">N: 110 mg/dL, Creatinine: 7.6 mg/dL, Na: 144 </w:t>
      </w:r>
      <w:proofErr w:type="spellStart"/>
      <w:r>
        <w:rPr>
          <w:rFonts w:ascii="Arial" w:hAnsi="Arial" w:cs="Arial"/>
          <w:color w:val="000000" w:themeColor="text1"/>
          <w:sz w:val="20"/>
          <w:szCs w:val="20"/>
        </w:rPr>
        <w:t>mEq</w:t>
      </w:r>
      <w:proofErr w:type="spellEnd"/>
      <w:r>
        <w:rPr>
          <w:rFonts w:ascii="Arial" w:hAnsi="Arial" w:cs="Arial"/>
          <w:color w:val="000000" w:themeColor="text1"/>
          <w:sz w:val="20"/>
          <w:szCs w:val="20"/>
        </w:rPr>
        <w:t xml:space="preserve">/L, K:4.2 </w:t>
      </w:r>
      <w:proofErr w:type="spellStart"/>
      <w:r>
        <w:rPr>
          <w:rFonts w:ascii="Arial" w:hAnsi="Arial" w:cs="Arial"/>
          <w:color w:val="000000" w:themeColor="text1"/>
          <w:sz w:val="20"/>
          <w:szCs w:val="20"/>
        </w:rPr>
        <w:t>mEq</w:t>
      </w:r>
      <w:proofErr w:type="spellEnd"/>
      <w:r>
        <w:rPr>
          <w:rFonts w:ascii="Arial" w:hAnsi="Arial" w:cs="Arial"/>
          <w:color w:val="000000" w:themeColor="text1"/>
          <w:sz w:val="20"/>
          <w:szCs w:val="20"/>
        </w:rPr>
        <w:t xml:space="preserve">/L, Cl: 110 </w:t>
      </w:r>
      <w:proofErr w:type="spellStart"/>
      <w:r>
        <w:rPr>
          <w:rFonts w:ascii="Arial" w:hAnsi="Arial" w:cs="Arial"/>
          <w:color w:val="000000" w:themeColor="text1"/>
          <w:sz w:val="20"/>
          <w:szCs w:val="20"/>
        </w:rPr>
        <w:t>mEq</w:t>
      </w:r>
      <w:proofErr w:type="spellEnd"/>
      <w:r>
        <w:rPr>
          <w:rFonts w:ascii="Arial" w:hAnsi="Arial" w:cs="Arial"/>
          <w:color w:val="000000" w:themeColor="text1"/>
          <w:sz w:val="20"/>
          <w:szCs w:val="20"/>
        </w:rPr>
        <w:t>/L, P: 08 mg/dL, Ca:12.6 mg/dL,  (Table 1). The second and third dialysis session was planned for next 2 consecutive days (Table 1). After 3</w:t>
      </w:r>
      <w:r>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session there was significant improve</w:t>
      </w:r>
      <w:r>
        <w:rPr>
          <w:rFonts w:ascii="Arial" w:hAnsi="Arial" w:cs="Arial"/>
          <w:color w:val="000000" w:themeColor="text1"/>
          <w:sz w:val="20"/>
          <w:szCs w:val="20"/>
        </w:rPr>
        <w:t xml:space="preserve">ment seen in animal condition. Post-dialysis medications including proton pump inhibitor, loop diuretic, phosphate binder, Omega-3 and 6 amino acid, and L-carnitine supplementation were continued for next 5 days. On day 6 laboratory tests revealed Hb: 6.4 </w:t>
      </w:r>
      <w:r>
        <w:rPr>
          <w:rFonts w:ascii="Arial" w:hAnsi="Arial" w:cs="Arial"/>
          <w:color w:val="000000" w:themeColor="text1"/>
          <w:sz w:val="20"/>
          <w:szCs w:val="20"/>
        </w:rPr>
        <w:t>g/dL, TLC: 8300, N: 88, L: 12, PCV: 17.5%, platelet count: 65 x10</w:t>
      </w:r>
      <w:r>
        <w:rPr>
          <w:rFonts w:ascii="Arial" w:hAnsi="Arial" w:cs="Arial"/>
          <w:color w:val="000000" w:themeColor="text1"/>
          <w:sz w:val="20"/>
          <w:szCs w:val="20"/>
          <w:vertAlign w:val="superscript"/>
        </w:rPr>
        <w:t>3</w:t>
      </w:r>
      <w:r>
        <w:rPr>
          <w:rFonts w:ascii="Arial" w:hAnsi="Arial" w:cs="Arial"/>
          <w:color w:val="000000" w:themeColor="text1"/>
          <w:sz w:val="20"/>
          <w:szCs w:val="20"/>
        </w:rPr>
        <w:t>/µl, BUN: 10 mg/dL, creatinine: 1.4 mg/dL, Ca: 11.8mg/dL, TP: 5.9g/dL an</w:t>
      </w:r>
      <w:r>
        <w:rPr>
          <w:rFonts w:ascii="Arial" w:hAnsi="Arial" w:cs="Arial"/>
          <w:bCs/>
          <w:color w:val="000000" w:themeColor="text1"/>
          <w:sz w:val="20"/>
          <w:szCs w:val="20"/>
        </w:rPr>
        <w:t>d</w:t>
      </w:r>
      <w:r>
        <w:rPr>
          <w:rFonts w:ascii="Arial" w:hAnsi="Arial" w:cs="Arial"/>
          <w:color w:val="000000" w:themeColor="text1"/>
          <w:sz w:val="20"/>
          <w:szCs w:val="20"/>
        </w:rPr>
        <w:t xml:space="preserve"> albumin: 2.5g/dL. The dog recovered without any further signs of renal injury even after one year of initial present</w:t>
      </w:r>
      <w:r>
        <w:rPr>
          <w:rFonts w:ascii="Arial" w:hAnsi="Arial" w:cs="Arial"/>
          <w:color w:val="000000" w:themeColor="text1"/>
          <w:sz w:val="20"/>
          <w:szCs w:val="20"/>
        </w:rPr>
        <w:t xml:space="preserve">ation. </w:t>
      </w:r>
    </w:p>
    <w:p w14:paraId="23E70121" w14:textId="77777777" w:rsidR="00EA27B0" w:rsidRDefault="00F42ECF">
      <w:pPr>
        <w:pStyle w:val="ListParagraph1"/>
        <w:numPr>
          <w:ilvl w:val="0"/>
          <w:numId w:val="1"/>
        </w:numPr>
        <w:tabs>
          <w:tab w:val="left" w:pos="360"/>
        </w:tabs>
        <w:spacing w:after="0" w:line="360" w:lineRule="auto"/>
        <w:ind w:left="90" w:hanging="90"/>
        <w:jc w:val="both"/>
        <w:rPr>
          <w:rFonts w:ascii="Arial" w:hAnsi="Arial" w:cs="Arial"/>
          <w:b/>
          <w:color w:val="000000" w:themeColor="text1"/>
        </w:rPr>
      </w:pPr>
      <w:r>
        <w:rPr>
          <w:rFonts w:ascii="Arial" w:hAnsi="Arial" w:cs="Arial"/>
          <w:b/>
          <w:color w:val="000000" w:themeColor="text1"/>
        </w:rPr>
        <w:t>DISCUSSION</w:t>
      </w:r>
    </w:p>
    <w:p w14:paraId="702325AD" w14:textId="77777777" w:rsidR="00EA27B0" w:rsidRDefault="00F42ECF">
      <w:pPr>
        <w:pStyle w:val="ListParagraph1"/>
        <w:tabs>
          <w:tab w:val="left" w:pos="360"/>
        </w:tabs>
        <w:spacing w:before="240" w:line="240" w:lineRule="auto"/>
        <w:ind w:left="90"/>
        <w:jc w:val="both"/>
        <w:rPr>
          <w:rFonts w:ascii="Arial" w:hAnsi="Arial" w:cs="Arial"/>
          <w:color w:val="000000" w:themeColor="text1"/>
          <w:sz w:val="20"/>
          <w:szCs w:val="20"/>
        </w:rPr>
      </w:pPr>
      <w:r>
        <w:rPr>
          <w:rFonts w:ascii="Arial" w:hAnsi="Arial" w:cs="Arial"/>
          <w:color w:val="000000" w:themeColor="text1"/>
          <w:sz w:val="20"/>
          <w:szCs w:val="20"/>
        </w:rPr>
        <w:t xml:space="preserve">Acute kidney injury (AKI) in dogs is considered as a </w:t>
      </w:r>
      <w:proofErr w:type="gramStart"/>
      <w:r>
        <w:rPr>
          <w:rFonts w:ascii="Arial" w:hAnsi="Arial" w:cs="Arial"/>
          <w:color w:val="000000" w:themeColor="text1"/>
          <w:sz w:val="20"/>
          <w:szCs w:val="20"/>
        </w:rPr>
        <w:t>life threatening</w:t>
      </w:r>
      <w:proofErr w:type="gramEnd"/>
      <w:r>
        <w:rPr>
          <w:rFonts w:ascii="Arial" w:hAnsi="Arial" w:cs="Arial"/>
          <w:color w:val="000000" w:themeColor="text1"/>
          <w:sz w:val="20"/>
          <w:szCs w:val="20"/>
        </w:rPr>
        <w:t xml:space="preserve"> complication that can arise from ingestion of various incriminating agents including hydrocarbons. The hydrocarbons are regularly used in our day to day</w:t>
      </w:r>
      <w:r>
        <w:rPr>
          <w:rFonts w:ascii="Arial" w:hAnsi="Arial" w:cs="Arial"/>
          <w:color w:val="000000" w:themeColor="text1"/>
          <w:sz w:val="20"/>
          <w:szCs w:val="20"/>
        </w:rPr>
        <w:t xml:space="preserve"> life in motorbikes as well in cars. The exposure to hydrocarbons causes kidney injury by mechanism of developmental, physiological disruption and oxidative stress. Hydrocarbons found in substances like Caroline, gasoline, solvents and motor oil can cause </w:t>
      </w:r>
      <w:r>
        <w:rPr>
          <w:rFonts w:ascii="Arial" w:hAnsi="Arial" w:cs="Arial"/>
          <w:color w:val="000000" w:themeColor="text1"/>
          <w:sz w:val="20"/>
          <w:szCs w:val="20"/>
        </w:rPr>
        <w:t>both direct nephrotoxic damage and systemic effects like oxidative injury, hypotension and hypoxia. This renal injury due to hydrocarbon may be attributed to toxic tubular cell damage and ischemic tubular necrosis, often progressing to oliguria/ anuria alo</w:t>
      </w:r>
      <w:r>
        <w:rPr>
          <w:rFonts w:ascii="Arial" w:hAnsi="Arial" w:cs="Arial"/>
          <w:color w:val="000000" w:themeColor="text1"/>
          <w:sz w:val="20"/>
          <w:szCs w:val="20"/>
        </w:rPr>
        <w:t xml:space="preserve">ng with rapid deterioration of </w:t>
      </w:r>
      <w:proofErr w:type="spellStart"/>
      <w:r>
        <w:rPr>
          <w:rFonts w:ascii="Arial" w:hAnsi="Arial" w:cs="Arial"/>
          <w:color w:val="000000" w:themeColor="text1"/>
          <w:sz w:val="20"/>
          <w:szCs w:val="20"/>
        </w:rPr>
        <w:t>hemato</w:t>
      </w:r>
      <w:proofErr w:type="spellEnd"/>
      <w:r>
        <w:rPr>
          <w:rFonts w:ascii="Arial" w:hAnsi="Arial" w:cs="Arial"/>
          <w:color w:val="000000" w:themeColor="text1"/>
          <w:sz w:val="20"/>
          <w:szCs w:val="20"/>
        </w:rPr>
        <w:t>-biochemical parameters (Osweiler, 2011). In the present case, IHD was employed as renal replacement therapy to manage persistent azotemia and metabolic acidosis which was unresponsive to conservational medicinal therap</w:t>
      </w:r>
      <w:r>
        <w:rPr>
          <w:rFonts w:ascii="Arial" w:hAnsi="Arial" w:cs="Arial"/>
          <w:color w:val="000000" w:themeColor="text1"/>
          <w:sz w:val="20"/>
          <w:szCs w:val="20"/>
        </w:rPr>
        <w:t>y. Hemodialysis is indicated in veterinary patients suffering from AKI when conservative medicinal therapy fails to yield results leading to life threatening complications (Cooper et al., 2016; Singh et al., 2024 &amp; Singh et al., 2025).</w:t>
      </w:r>
    </w:p>
    <w:p w14:paraId="557A899F" w14:textId="77777777" w:rsidR="006D03CF" w:rsidRDefault="006D03CF">
      <w:pPr>
        <w:pStyle w:val="ListParagraph1"/>
        <w:tabs>
          <w:tab w:val="left" w:pos="360"/>
        </w:tabs>
        <w:spacing w:before="240" w:line="240" w:lineRule="auto"/>
        <w:ind w:left="90"/>
        <w:jc w:val="both"/>
        <w:rPr>
          <w:rFonts w:ascii="Arial" w:hAnsi="Arial" w:cs="Arial"/>
          <w:color w:val="000000" w:themeColor="text1"/>
          <w:sz w:val="20"/>
          <w:szCs w:val="20"/>
        </w:rPr>
      </w:pPr>
    </w:p>
    <w:p w14:paraId="0F69641F" w14:textId="77777777" w:rsidR="00EA27B0" w:rsidRDefault="00F42ECF">
      <w:pPr>
        <w:pStyle w:val="ListParagraph1"/>
        <w:tabs>
          <w:tab w:val="left" w:pos="360"/>
        </w:tabs>
        <w:spacing w:after="0" w:line="240" w:lineRule="auto"/>
        <w:ind w:left="90"/>
        <w:jc w:val="both"/>
        <w:rPr>
          <w:rFonts w:ascii="Arial" w:hAnsi="Arial" w:cs="Arial"/>
          <w:color w:val="000000" w:themeColor="text1"/>
          <w:sz w:val="20"/>
          <w:szCs w:val="20"/>
        </w:rPr>
      </w:pPr>
      <w:r>
        <w:rPr>
          <w:rFonts w:ascii="Arial" w:hAnsi="Arial" w:cs="Arial"/>
          <w:color w:val="000000" w:themeColor="text1"/>
          <w:sz w:val="20"/>
          <w:szCs w:val="20"/>
        </w:rPr>
        <w:t xml:space="preserve">  Although most of </w:t>
      </w:r>
      <w:r>
        <w:rPr>
          <w:rFonts w:ascii="Arial" w:hAnsi="Arial" w:cs="Arial"/>
          <w:color w:val="000000" w:themeColor="text1"/>
          <w:sz w:val="20"/>
          <w:szCs w:val="20"/>
        </w:rPr>
        <w:t>the hydrocarbons are lipophilic in nature with large volumes of distribution and are poorly dialyzable but the resulting accumulation of metabolic waste products, uremic toxins and electrolytic disturbances resulting from AKI are readily cleared via IHD (</w:t>
      </w:r>
      <w:proofErr w:type="spellStart"/>
      <w:r>
        <w:rPr>
          <w:rFonts w:ascii="Arial" w:hAnsi="Arial" w:cs="Arial"/>
          <w:color w:val="000000" w:themeColor="text1"/>
          <w:sz w:val="20"/>
          <w:szCs w:val="20"/>
        </w:rPr>
        <w:t>G</w:t>
      </w:r>
      <w:r>
        <w:rPr>
          <w:rFonts w:ascii="Arial" w:hAnsi="Arial" w:cs="Arial"/>
          <w:color w:val="000000" w:themeColor="text1"/>
          <w:sz w:val="20"/>
          <w:szCs w:val="20"/>
        </w:rPr>
        <w:t>raurer</w:t>
      </w:r>
      <w:proofErr w:type="spellEnd"/>
      <w:r>
        <w:rPr>
          <w:rFonts w:ascii="Arial" w:hAnsi="Arial" w:cs="Arial"/>
          <w:color w:val="000000" w:themeColor="text1"/>
          <w:sz w:val="20"/>
          <w:szCs w:val="20"/>
        </w:rPr>
        <w:t xml:space="preserve">, 2008). Apart from this, IHD also facilitates volume control, mitigates accumulated uremic toxins load and allows for rapid correction of acid-base and electrolyte derangements (Ross et al., 2015). An emerging benefit of IHD is its role in managing </w:t>
      </w:r>
      <w:r>
        <w:rPr>
          <w:rFonts w:ascii="Arial" w:hAnsi="Arial" w:cs="Arial"/>
          <w:color w:val="000000" w:themeColor="text1"/>
          <w:sz w:val="20"/>
          <w:szCs w:val="20"/>
        </w:rPr>
        <w:t>oxidative stress which is a key pathophysiological mechanism in ischemic and toxic AKI. Hydrocarbon exposure leads to the generation of reactive oxygen species (ROS) further contributing to renal tubular injury and inflammation. Hemodialysis can indirectly</w:t>
      </w:r>
      <w:r>
        <w:rPr>
          <w:rFonts w:ascii="Arial" w:hAnsi="Arial" w:cs="Arial"/>
          <w:color w:val="000000" w:themeColor="text1"/>
          <w:sz w:val="20"/>
          <w:szCs w:val="20"/>
        </w:rPr>
        <w:t xml:space="preserve"> reduce this oxidative burden by </w:t>
      </w:r>
      <w:r>
        <w:rPr>
          <w:rFonts w:ascii="Arial" w:hAnsi="Arial" w:cs="Arial"/>
          <w:color w:val="000000" w:themeColor="text1"/>
          <w:sz w:val="20"/>
          <w:szCs w:val="20"/>
        </w:rPr>
        <w:lastRenderedPageBreak/>
        <w:t xml:space="preserve">filtering out uremic toxins, inflammatory mediators and improving overall hemodynamic and metabolic stability (Goldstein et al.,2011). </w:t>
      </w:r>
      <w:r>
        <w:rPr>
          <w:rFonts w:ascii="Arial" w:hAnsi="Arial" w:cs="Arial"/>
          <w:sz w:val="20"/>
          <w:szCs w:val="20"/>
        </w:rPr>
        <w:t>Humans are susceptible to either acute or chronic toxicity when petroleum is produced, d</w:t>
      </w:r>
      <w:r>
        <w:rPr>
          <w:rFonts w:ascii="Arial" w:hAnsi="Arial" w:cs="Arial"/>
          <w:sz w:val="20"/>
          <w:szCs w:val="20"/>
        </w:rPr>
        <w:t>istributed, and used</w:t>
      </w:r>
      <w:r>
        <w:rPr>
          <w:rFonts w:ascii="Arial" w:hAnsi="Arial" w:cs="Arial"/>
          <w:color w:val="303030"/>
          <w:sz w:val="20"/>
          <w:szCs w:val="20"/>
          <w:shd w:val="clear" w:color="auto" w:fill="FFFFFF"/>
        </w:rPr>
        <w:t xml:space="preserve"> (Bruckner and Warren</w:t>
      </w:r>
      <w:r>
        <w:rPr>
          <w:rFonts w:ascii="Arial" w:hAnsi="Arial" w:cs="Arial"/>
          <w:sz w:val="20"/>
          <w:szCs w:val="20"/>
        </w:rPr>
        <w:t xml:space="preserve">, 2001). Whereas, pets like dogs may get exposure due to licking of leaked engine oil commonly present </w:t>
      </w:r>
      <w:proofErr w:type="gramStart"/>
      <w:r>
        <w:rPr>
          <w:rFonts w:ascii="Arial" w:hAnsi="Arial" w:cs="Arial"/>
          <w:sz w:val="20"/>
          <w:szCs w:val="20"/>
        </w:rPr>
        <w:t>in home</w:t>
      </w:r>
      <w:proofErr w:type="gramEnd"/>
      <w:r>
        <w:rPr>
          <w:rFonts w:ascii="Arial" w:hAnsi="Arial" w:cs="Arial"/>
          <w:sz w:val="20"/>
          <w:szCs w:val="20"/>
        </w:rPr>
        <w:t xml:space="preserve"> garages to which they have easy access. Xylene and toluene present in petrol and its products can lead to renal tubular acidosis, azotemia, hematuria, proteinuria and pyuria</w:t>
      </w:r>
      <w:r>
        <w:rPr>
          <w:rFonts w:ascii="Arial" w:hAnsi="Arial" w:cs="Arial"/>
          <w:color w:val="303030"/>
          <w:sz w:val="20"/>
          <w:szCs w:val="20"/>
          <w:shd w:val="clear" w:color="auto" w:fill="FFFFFF"/>
        </w:rPr>
        <w:t xml:space="preserve"> (</w:t>
      </w:r>
      <w:proofErr w:type="spellStart"/>
      <w:r>
        <w:rPr>
          <w:rFonts w:ascii="Arial" w:hAnsi="Arial" w:cs="Arial"/>
          <w:color w:val="303030"/>
          <w:sz w:val="20"/>
          <w:szCs w:val="20"/>
          <w:shd w:val="clear" w:color="auto" w:fill="FFFFFF"/>
        </w:rPr>
        <w:t>Nathanae</w:t>
      </w:r>
      <w:proofErr w:type="spellEnd"/>
      <w:r>
        <w:rPr>
          <w:rFonts w:ascii="Arial" w:hAnsi="Arial" w:cs="Arial"/>
          <w:sz w:val="20"/>
          <w:szCs w:val="20"/>
        </w:rPr>
        <w:t>, 2009).</w:t>
      </w:r>
      <w:r>
        <w:rPr>
          <w:rFonts w:ascii="Arial" w:hAnsi="Arial" w:cs="Arial"/>
          <w:color w:val="000000" w:themeColor="text1"/>
          <w:sz w:val="20"/>
          <w:szCs w:val="20"/>
        </w:rPr>
        <w:t xml:space="preserve"> </w:t>
      </w:r>
    </w:p>
    <w:p w14:paraId="5932BFEB" w14:textId="77777777" w:rsidR="00EA27B0" w:rsidRDefault="00EA27B0">
      <w:pPr>
        <w:pStyle w:val="ListParagraph1"/>
        <w:tabs>
          <w:tab w:val="left" w:pos="360"/>
        </w:tabs>
        <w:spacing w:before="240" w:line="240" w:lineRule="auto"/>
        <w:ind w:left="90"/>
        <w:jc w:val="both"/>
        <w:rPr>
          <w:rFonts w:ascii="Arial" w:hAnsi="Arial" w:cs="Arial"/>
          <w:color w:val="000000" w:themeColor="text1"/>
          <w:sz w:val="20"/>
          <w:szCs w:val="20"/>
        </w:rPr>
      </w:pPr>
    </w:p>
    <w:p w14:paraId="0AF97F3A" w14:textId="77777777" w:rsidR="00EA27B0" w:rsidRDefault="00F42ECF">
      <w:pPr>
        <w:pStyle w:val="ListParagraph1"/>
        <w:tabs>
          <w:tab w:val="left" w:pos="360"/>
        </w:tabs>
        <w:spacing w:after="0" w:line="240" w:lineRule="auto"/>
        <w:ind w:left="90"/>
        <w:jc w:val="both"/>
        <w:rPr>
          <w:rFonts w:ascii="Arial" w:hAnsi="Arial" w:cs="Arial"/>
          <w:color w:val="000000" w:themeColor="text1"/>
          <w:sz w:val="20"/>
          <w:szCs w:val="20"/>
        </w:rPr>
      </w:pPr>
      <w:r>
        <w:rPr>
          <w:rFonts w:ascii="Arial" w:hAnsi="Arial" w:cs="Arial"/>
          <w:color w:val="000000" w:themeColor="text1"/>
          <w:sz w:val="20"/>
          <w:szCs w:val="20"/>
        </w:rPr>
        <w:t xml:space="preserve">In this case, three sessions of IHD using a low flux </w:t>
      </w:r>
      <w:proofErr w:type="spellStart"/>
      <w:r>
        <w:rPr>
          <w:rFonts w:ascii="Arial" w:hAnsi="Arial" w:cs="Arial"/>
          <w:color w:val="000000" w:themeColor="text1"/>
          <w:sz w:val="20"/>
          <w:szCs w:val="20"/>
        </w:rPr>
        <w:t>helixone</w:t>
      </w:r>
      <w:proofErr w:type="spellEnd"/>
      <w:r>
        <w:rPr>
          <w:rFonts w:ascii="Arial" w:hAnsi="Arial" w:cs="Arial"/>
          <w:color w:val="000000" w:themeColor="text1"/>
          <w:sz w:val="20"/>
          <w:szCs w:val="20"/>
        </w:rPr>
        <w:t xml:space="preserve"> synthetic membrane dialyzer with </w:t>
      </w:r>
      <w:proofErr w:type="gramStart"/>
      <w:r>
        <w:rPr>
          <w:rFonts w:ascii="Arial" w:hAnsi="Arial" w:cs="Arial"/>
          <w:color w:val="000000" w:themeColor="text1"/>
          <w:sz w:val="20"/>
          <w:szCs w:val="20"/>
        </w:rPr>
        <w:t>bicarbonate based</w:t>
      </w:r>
      <w:proofErr w:type="gramEnd"/>
      <w:r>
        <w:rPr>
          <w:rFonts w:ascii="Arial" w:hAnsi="Arial" w:cs="Arial"/>
          <w:color w:val="000000" w:themeColor="text1"/>
          <w:sz w:val="20"/>
          <w:szCs w:val="20"/>
        </w:rPr>
        <w:t xml:space="preserve"> dialysate led to progressive stabilization of serum creatinine, BUN, phosphorus and potassium levels. The selection of dialysate and membrane was guided by the need for efficient solute clearance, biocomp</w:t>
      </w:r>
      <w:r>
        <w:rPr>
          <w:rFonts w:ascii="Arial" w:hAnsi="Arial" w:cs="Arial"/>
          <w:color w:val="000000" w:themeColor="text1"/>
          <w:sz w:val="20"/>
          <w:szCs w:val="20"/>
        </w:rPr>
        <w:t>atibility and patient’s body weight. Also, Hemodynamic stability was maintained throughout the dialysis procedure along with round-the-clock monitoring of patients’ vitals (BP, SpO2, ECG, temperature, respiration rate, heart rate), which is critical in can</w:t>
      </w:r>
      <w:r>
        <w:rPr>
          <w:rFonts w:ascii="Arial" w:hAnsi="Arial" w:cs="Arial"/>
          <w:color w:val="000000" w:themeColor="text1"/>
          <w:sz w:val="20"/>
          <w:szCs w:val="20"/>
        </w:rPr>
        <w:t xml:space="preserve">ine hemodialysis </w:t>
      </w:r>
      <w:proofErr w:type="gramStart"/>
      <w:r>
        <w:rPr>
          <w:rFonts w:ascii="Arial" w:hAnsi="Arial" w:cs="Arial"/>
          <w:color w:val="000000" w:themeColor="text1"/>
          <w:sz w:val="20"/>
          <w:szCs w:val="20"/>
        </w:rPr>
        <w:t>( Singh</w:t>
      </w:r>
      <w:proofErr w:type="gramEnd"/>
      <w:r>
        <w:rPr>
          <w:rFonts w:ascii="Arial" w:hAnsi="Arial" w:cs="Arial"/>
          <w:color w:val="000000" w:themeColor="text1"/>
          <w:sz w:val="20"/>
          <w:szCs w:val="20"/>
        </w:rPr>
        <w:t xml:space="preserve"> et al., 2025). Adjunctive therapy included 0.9% NSS, parenteral 7% amino acid solution </w:t>
      </w:r>
      <w:bookmarkStart w:id="1" w:name="_GoBack"/>
      <w:r>
        <w:rPr>
          <w:rFonts w:ascii="Arial" w:hAnsi="Arial" w:cs="Arial"/>
          <w:color w:val="000000" w:themeColor="text1"/>
          <w:sz w:val="20"/>
          <w:szCs w:val="20"/>
        </w:rPr>
        <w:t>@</w:t>
      </w:r>
      <w:bookmarkEnd w:id="1"/>
      <w:r>
        <w:rPr>
          <w:rFonts w:ascii="Arial" w:hAnsi="Arial" w:cs="Arial"/>
          <w:color w:val="000000" w:themeColor="text1"/>
          <w:sz w:val="20"/>
          <w:szCs w:val="20"/>
        </w:rPr>
        <w:t xml:space="preserve"> 1.5g/kg/day (</w:t>
      </w:r>
      <w:proofErr w:type="spellStart"/>
      <w:r>
        <w:rPr>
          <w:rFonts w:ascii="Arial" w:hAnsi="Arial" w:cs="Arial"/>
          <w:color w:val="000000" w:themeColor="text1"/>
          <w:sz w:val="20"/>
          <w:szCs w:val="20"/>
        </w:rPr>
        <w:t>Nephrosteril</w:t>
      </w:r>
      <w:proofErr w:type="spellEnd"/>
      <w:r>
        <w:rPr>
          <w:rFonts w:ascii="Arial" w:hAnsi="Arial" w:cs="Arial"/>
          <w:color w:val="000000" w:themeColor="text1"/>
          <w:sz w:val="20"/>
          <w:szCs w:val="20"/>
        </w:rPr>
        <w:t xml:space="preserve">, Fresenius </w:t>
      </w:r>
      <w:proofErr w:type="spellStart"/>
      <w:r>
        <w:rPr>
          <w:rFonts w:ascii="Arial" w:hAnsi="Arial" w:cs="Arial"/>
          <w:color w:val="000000" w:themeColor="text1"/>
          <w:sz w:val="20"/>
          <w:szCs w:val="20"/>
        </w:rPr>
        <w:t>Kabi</w:t>
      </w:r>
      <w:proofErr w:type="spellEnd"/>
      <w:r>
        <w:rPr>
          <w:rFonts w:ascii="Arial" w:hAnsi="Arial" w:cs="Arial"/>
          <w:color w:val="000000" w:themeColor="text1"/>
          <w:sz w:val="20"/>
          <w:szCs w:val="20"/>
        </w:rPr>
        <w:t>), furosemide (@ 2mg/kg IV BID after fluids), pantoprazole (@1mg/kg IV OD), L-carnitine (@ 2g slow IV</w:t>
      </w:r>
      <w:r>
        <w:rPr>
          <w:rFonts w:ascii="Arial" w:hAnsi="Arial" w:cs="Arial"/>
          <w:color w:val="000000" w:themeColor="text1"/>
          <w:sz w:val="20"/>
          <w:szCs w:val="20"/>
        </w:rPr>
        <w:t xml:space="preserve"> OD), metoclopramide (0.5mg/kg SC BID), and ampicillin (@22mg/kg IM BID). This case report supports the application of IHD in veterinary medicine for the management of hydrocarbon induced AKI and emphasizes the need of dialysis-ready centers with exception</w:t>
      </w:r>
      <w:r>
        <w:rPr>
          <w:rFonts w:ascii="Arial" w:hAnsi="Arial" w:cs="Arial"/>
          <w:color w:val="000000" w:themeColor="text1"/>
          <w:sz w:val="20"/>
          <w:szCs w:val="20"/>
        </w:rPr>
        <w:t>ally trained veterinarians.</w:t>
      </w:r>
    </w:p>
    <w:p w14:paraId="20929A48" w14:textId="77777777" w:rsidR="00EA27B0" w:rsidRDefault="00F42ECF">
      <w:pPr>
        <w:pStyle w:val="ListParagraph1"/>
        <w:tabs>
          <w:tab w:val="left" w:pos="360"/>
        </w:tabs>
        <w:spacing w:before="240" w:line="240" w:lineRule="auto"/>
        <w:ind w:left="90"/>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33357733" w14:textId="77777777" w:rsidR="00EA27B0" w:rsidRDefault="00EA27B0">
      <w:pPr>
        <w:pStyle w:val="ListParagraph1"/>
        <w:tabs>
          <w:tab w:val="left" w:pos="360"/>
        </w:tabs>
        <w:spacing w:before="240" w:line="360" w:lineRule="auto"/>
        <w:ind w:left="90"/>
        <w:jc w:val="both"/>
        <w:rPr>
          <w:rFonts w:ascii="Arial" w:hAnsi="Arial" w:cs="Arial"/>
          <w:color w:val="000000" w:themeColor="text1"/>
          <w:sz w:val="20"/>
          <w:szCs w:val="20"/>
        </w:rPr>
      </w:pPr>
    </w:p>
    <w:p w14:paraId="252ABE77" w14:textId="77777777" w:rsidR="00EA27B0" w:rsidRDefault="00F42ECF">
      <w:pPr>
        <w:pStyle w:val="ListParagraph1"/>
        <w:numPr>
          <w:ilvl w:val="0"/>
          <w:numId w:val="1"/>
        </w:numPr>
        <w:tabs>
          <w:tab w:val="left" w:pos="90"/>
          <w:tab w:val="left" w:pos="270"/>
        </w:tabs>
        <w:spacing w:before="240" w:after="0" w:line="360" w:lineRule="auto"/>
        <w:ind w:left="0" w:firstLine="0"/>
        <w:jc w:val="both"/>
        <w:rPr>
          <w:rFonts w:ascii="Arial" w:hAnsi="Arial" w:cs="Arial"/>
          <w:b/>
          <w:color w:val="000000" w:themeColor="text1"/>
          <w:sz w:val="20"/>
          <w:szCs w:val="20"/>
        </w:rPr>
      </w:pPr>
      <w:r>
        <w:rPr>
          <w:rFonts w:ascii="Arial" w:hAnsi="Arial" w:cs="Arial"/>
          <w:b/>
          <w:color w:val="000000" w:themeColor="text1"/>
          <w:sz w:val="20"/>
          <w:szCs w:val="20"/>
        </w:rPr>
        <w:t xml:space="preserve"> </w:t>
      </w:r>
      <w:r>
        <w:rPr>
          <w:rFonts w:ascii="Arial" w:hAnsi="Arial" w:cs="Arial"/>
          <w:b/>
          <w:color w:val="000000" w:themeColor="text1"/>
        </w:rPr>
        <w:t>CONCLUSIONS</w:t>
      </w:r>
    </w:p>
    <w:p w14:paraId="73D99406" w14:textId="77777777" w:rsidR="00EA27B0" w:rsidRDefault="00F42ECF">
      <w:pPr>
        <w:spacing w:line="240" w:lineRule="auto"/>
        <w:ind w:firstLine="90"/>
        <w:jc w:val="both"/>
        <w:rPr>
          <w:rFonts w:ascii="Arial" w:hAnsi="Arial" w:cs="Arial"/>
          <w:sz w:val="20"/>
          <w:szCs w:val="20"/>
        </w:rPr>
      </w:pPr>
      <w:r>
        <w:rPr>
          <w:rFonts w:ascii="Arial" w:hAnsi="Arial" w:cs="Arial"/>
          <w:sz w:val="20"/>
          <w:szCs w:val="20"/>
        </w:rPr>
        <w:t>This study highlights the successful management of hydrocarbon induced AKI with the help of intermittent hemodialysis in dogs and highlights the integration of hemodialysis for renal, toxicological and pharmacoki</w:t>
      </w:r>
      <w:r>
        <w:rPr>
          <w:rFonts w:ascii="Arial" w:hAnsi="Arial" w:cs="Arial"/>
          <w:sz w:val="20"/>
          <w:szCs w:val="20"/>
        </w:rPr>
        <w:t>netic stabilization of companion animals</w:t>
      </w:r>
    </w:p>
    <w:p w14:paraId="21B2A228" w14:textId="77777777" w:rsidR="00EA27B0" w:rsidRDefault="00F42ECF">
      <w:pPr>
        <w:spacing w:line="360" w:lineRule="auto"/>
        <w:jc w:val="both"/>
        <w:rPr>
          <w:rFonts w:ascii="Arial" w:hAnsi="Arial" w:cs="Arial"/>
          <w:b/>
        </w:rPr>
      </w:pPr>
      <w:r>
        <w:rPr>
          <w:rFonts w:ascii="Arial" w:hAnsi="Arial" w:cs="Arial"/>
          <w:b/>
        </w:rPr>
        <w:t>REFERENCES</w:t>
      </w:r>
    </w:p>
    <w:p w14:paraId="5D038C15"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 xml:space="preserve">Adami G., Larese F., Venier M., Barbieri P., LoCoco F., </w:t>
      </w:r>
      <w:proofErr w:type="spellStart"/>
      <w:r>
        <w:rPr>
          <w:rFonts w:ascii="Arial" w:hAnsi="Arial" w:cs="Arial"/>
          <w:color w:val="231F20"/>
          <w:sz w:val="20"/>
          <w:szCs w:val="20"/>
        </w:rPr>
        <w:t>Reisenhofer</w:t>
      </w:r>
      <w:proofErr w:type="spellEnd"/>
      <w:r>
        <w:rPr>
          <w:rFonts w:ascii="Arial" w:hAnsi="Arial" w:cs="Arial"/>
          <w:color w:val="231F20"/>
          <w:sz w:val="20"/>
          <w:szCs w:val="20"/>
        </w:rPr>
        <w:t xml:space="preserve"> E. </w:t>
      </w:r>
      <w:r>
        <w:rPr>
          <w:rFonts w:ascii="Arial" w:hAnsi="Arial" w:cs="Arial"/>
          <w:color w:val="231F20"/>
          <w:sz w:val="20"/>
          <w:szCs w:val="20"/>
        </w:rPr>
        <w:tab/>
      </w:r>
      <w:r>
        <w:rPr>
          <w:rFonts w:ascii="Arial" w:hAnsi="Arial" w:cs="Arial"/>
          <w:color w:val="231F20"/>
          <w:sz w:val="20"/>
          <w:szCs w:val="20"/>
        </w:rPr>
        <w:t xml:space="preserve">Penetration of benzene, toluene and xylenes contained in gasoline's through </w:t>
      </w:r>
      <w:r>
        <w:rPr>
          <w:rFonts w:ascii="Arial" w:hAnsi="Arial" w:cs="Arial"/>
          <w:color w:val="231F20"/>
          <w:sz w:val="20"/>
          <w:szCs w:val="20"/>
        </w:rPr>
        <w:tab/>
        <w:t xml:space="preserve">human abdominal skin in vitro. </w:t>
      </w:r>
      <w:proofErr w:type="spellStart"/>
      <w:r>
        <w:rPr>
          <w:rFonts w:ascii="Arial" w:hAnsi="Arial" w:cs="Arial"/>
          <w:iCs/>
          <w:color w:val="231F20"/>
          <w:sz w:val="20"/>
          <w:szCs w:val="20"/>
        </w:rPr>
        <w:t>Toxicol</w:t>
      </w:r>
      <w:proofErr w:type="spellEnd"/>
      <w:r>
        <w:rPr>
          <w:rFonts w:ascii="Arial" w:hAnsi="Arial" w:cs="Arial"/>
          <w:iCs/>
          <w:color w:val="231F20"/>
          <w:sz w:val="20"/>
          <w:szCs w:val="20"/>
        </w:rPr>
        <w:t xml:space="preserve"> In Vitro. </w:t>
      </w:r>
      <w:proofErr w:type="gramStart"/>
      <w:r>
        <w:rPr>
          <w:rFonts w:ascii="Arial" w:hAnsi="Arial" w:cs="Arial"/>
          <w:iCs/>
          <w:color w:val="231F20"/>
          <w:sz w:val="20"/>
          <w:szCs w:val="20"/>
        </w:rPr>
        <w:t>2006;20</w:t>
      </w:r>
      <w:r>
        <w:rPr>
          <w:rFonts w:ascii="Arial" w:hAnsi="Arial" w:cs="Arial"/>
          <w:color w:val="231F20"/>
          <w:sz w:val="20"/>
          <w:szCs w:val="20"/>
        </w:rPr>
        <w:t>:1321</w:t>
      </w:r>
      <w:proofErr w:type="gramEnd"/>
      <w:r>
        <w:rPr>
          <w:rFonts w:ascii="Arial" w:hAnsi="Arial" w:cs="Arial"/>
          <w:color w:val="231F20"/>
          <w:sz w:val="20"/>
          <w:szCs w:val="20"/>
        </w:rPr>
        <w:t>–1330.</w:t>
      </w:r>
    </w:p>
    <w:p w14:paraId="6C21DA44"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 xml:space="preserve">Ahmed H.H., Metwally F.M., Rashad H.M. Toxicity of solvents exposure on the </w:t>
      </w:r>
      <w:r>
        <w:rPr>
          <w:rFonts w:ascii="Arial" w:hAnsi="Arial" w:cs="Arial"/>
          <w:color w:val="231F20"/>
          <w:sz w:val="20"/>
          <w:szCs w:val="20"/>
        </w:rPr>
        <w:tab/>
        <w:t>neuroendocrine system in rats: rol</w:t>
      </w:r>
      <w:r>
        <w:rPr>
          <w:rFonts w:ascii="Arial" w:hAnsi="Arial" w:cs="Arial"/>
          <w:color w:val="231F20"/>
          <w:sz w:val="20"/>
          <w:szCs w:val="20"/>
        </w:rPr>
        <w:t xml:space="preserve">e of amino acids supplementation. </w:t>
      </w:r>
      <w:r>
        <w:rPr>
          <w:rFonts w:ascii="Arial" w:hAnsi="Arial" w:cs="Arial"/>
          <w:color w:val="231F20"/>
          <w:sz w:val="20"/>
          <w:szCs w:val="20"/>
        </w:rPr>
        <w:tab/>
      </w:r>
      <w:r>
        <w:rPr>
          <w:rFonts w:ascii="Arial" w:hAnsi="Arial" w:cs="Arial"/>
          <w:iCs/>
          <w:color w:val="231F20"/>
          <w:sz w:val="20"/>
          <w:szCs w:val="20"/>
        </w:rPr>
        <w:t xml:space="preserve">Toxicity of Solvents, Rep Opinion. </w:t>
      </w:r>
      <w:proofErr w:type="gramStart"/>
      <w:r>
        <w:rPr>
          <w:rFonts w:ascii="Arial" w:hAnsi="Arial" w:cs="Arial"/>
          <w:iCs/>
          <w:color w:val="231F20"/>
          <w:sz w:val="20"/>
          <w:szCs w:val="20"/>
        </w:rPr>
        <w:t>2009;1:</w:t>
      </w:r>
      <w:r>
        <w:rPr>
          <w:rFonts w:ascii="Arial" w:hAnsi="Arial" w:cs="Arial"/>
          <w:color w:val="231F20"/>
          <w:sz w:val="20"/>
          <w:szCs w:val="20"/>
        </w:rPr>
        <w:t>66</w:t>
      </w:r>
      <w:proofErr w:type="gramEnd"/>
      <w:r>
        <w:rPr>
          <w:rFonts w:ascii="Arial" w:hAnsi="Arial" w:cs="Arial"/>
          <w:color w:val="231F20"/>
          <w:sz w:val="20"/>
          <w:szCs w:val="20"/>
        </w:rPr>
        <w:t xml:space="preserve">–83. </w:t>
      </w:r>
    </w:p>
    <w:p w14:paraId="69BF5E55"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Ahmed J, Weisberg LS. Hyperkalemia in dialysis patients. Semin Dial.</w:t>
      </w:r>
      <w:r>
        <w:rPr>
          <w:rFonts w:ascii="Arial" w:hAnsi="Arial" w:cs="Arial"/>
          <w:i/>
          <w:iCs/>
          <w:color w:val="231F20"/>
          <w:sz w:val="20"/>
          <w:szCs w:val="20"/>
        </w:rPr>
        <w:t> </w:t>
      </w:r>
      <w:r>
        <w:rPr>
          <w:rFonts w:ascii="Arial" w:hAnsi="Arial" w:cs="Arial"/>
          <w:color w:val="231F20"/>
          <w:sz w:val="20"/>
          <w:szCs w:val="20"/>
        </w:rPr>
        <w:t>2001;14(5):348–356.</w:t>
      </w:r>
    </w:p>
    <w:p w14:paraId="6D92D7FD" w14:textId="77777777" w:rsidR="00EA27B0" w:rsidRDefault="00F42ECF">
      <w:pPr>
        <w:tabs>
          <w:tab w:val="left" w:pos="720"/>
          <w:tab w:val="left" w:pos="810"/>
        </w:tabs>
        <w:spacing w:after="0"/>
        <w:jc w:val="both"/>
        <w:rPr>
          <w:rFonts w:ascii="Arial" w:hAnsi="Arial" w:cs="Arial"/>
          <w:bCs/>
          <w:color w:val="000000" w:themeColor="text1"/>
          <w:sz w:val="20"/>
          <w:szCs w:val="20"/>
        </w:rPr>
      </w:pPr>
      <w:r>
        <w:rPr>
          <w:rFonts w:ascii="Arial" w:hAnsi="Arial" w:cs="Arial"/>
          <w:bCs/>
          <w:color w:val="000000" w:themeColor="text1"/>
          <w:sz w:val="20"/>
          <w:szCs w:val="20"/>
        </w:rPr>
        <w:t>Brown, S. A., &amp; Grauer, G. F. (2019). Veterinary nephrology and urology. In Etting</w:t>
      </w:r>
      <w:r>
        <w:rPr>
          <w:rFonts w:ascii="Arial" w:hAnsi="Arial" w:cs="Arial"/>
          <w:bCs/>
          <w:color w:val="000000" w:themeColor="text1"/>
          <w:sz w:val="20"/>
          <w:szCs w:val="20"/>
        </w:rPr>
        <w:t>er, S. J., &amp;   Feldman, E. C. (Eds.), Textbook of Veterinary Internal Medicine (8th ed.). Elsevier.</w:t>
      </w:r>
    </w:p>
    <w:p w14:paraId="35750171"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 xml:space="preserve">Bruckner J.V., Warren D.A. Toxic effects of solvents and vapors. In: Klaassen </w:t>
      </w:r>
      <w:r>
        <w:rPr>
          <w:rFonts w:ascii="Arial" w:hAnsi="Arial" w:cs="Arial"/>
          <w:color w:val="231F20"/>
          <w:sz w:val="20"/>
          <w:szCs w:val="20"/>
        </w:rPr>
        <w:tab/>
        <w:t xml:space="preserve">C.D., editor. </w:t>
      </w:r>
      <w:proofErr w:type="spellStart"/>
      <w:r>
        <w:rPr>
          <w:rFonts w:ascii="Arial" w:hAnsi="Arial" w:cs="Arial"/>
          <w:color w:val="231F20"/>
          <w:sz w:val="20"/>
          <w:szCs w:val="20"/>
        </w:rPr>
        <w:t>Casarette</w:t>
      </w:r>
      <w:proofErr w:type="spellEnd"/>
      <w:r>
        <w:rPr>
          <w:rFonts w:ascii="Arial" w:hAnsi="Arial" w:cs="Arial"/>
          <w:color w:val="231F20"/>
          <w:sz w:val="20"/>
          <w:szCs w:val="20"/>
        </w:rPr>
        <w:t xml:space="preserve"> and </w:t>
      </w:r>
      <w:proofErr w:type="spellStart"/>
      <w:r>
        <w:rPr>
          <w:rFonts w:ascii="Arial" w:hAnsi="Arial" w:cs="Arial"/>
          <w:color w:val="231F20"/>
          <w:sz w:val="20"/>
          <w:szCs w:val="20"/>
        </w:rPr>
        <w:t>Doulls</w:t>
      </w:r>
      <w:proofErr w:type="spellEnd"/>
      <w:r>
        <w:rPr>
          <w:rFonts w:ascii="Arial" w:hAnsi="Arial" w:cs="Arial"/>
          <w:color w:val="231F20"/>
          <w:sz w:val="20"/>
          <w:szCs w:val="20"/>
        </w:rPr>
        <w:t xml:space="preserve"> toxicology the basic science of poisons. </w:t>
      </w:r>
      <w:r>
        <w:rPr>
          <w:rFonts w:ascii="Arial" w:hAnsi="Arial" w:cs="Arial"/>
          <w:color w:val="231F20"/>
          <w:sz w:val="20"/>
          <w:szCs w:val="20"/>
        </w:rPr>
        <w:tab/>
      </w:r>
      <w:r>
        <w:rPr>
          <w:rFonts w:ascii="Arial" w:hAnsi="Arial" w:cs="Arial"/>
          <w:color w:val="231F20"/>
          <w:sz w:val="20"/>
          <w:szCs w:val="20"/>
        </w:rPr>
        <w:t xml:space="preserve">6th ed. </w:t>
      </w:r>
      <w:r>
        <w:rPr>
          <w:rFonts w:ascii="Arial" w:hAnsi="Arial" w:cs="Arial"/>
          <w:iCs/>
          <w:color w:val="231F20"/>
          <w:sz w:val="20"/>
          <w:szCs w:val="20"/>
        </w:rPr>
        <w:t>McGraw-Hill Medical; New York (NY): 2001</w:t>
      </w:r>
      <w:r>
        <w:rPr>
          <w:rFonts w:ascii="Arial" w:hAnsi="Arial" w:cs="Arial"/>
          <w:color w:val="231F20"/>
          <w:sz w:val="20"/>
          <w:szCs w:val="20"/>
        </w:rPr>
        <w:t xml:space="preserve">. pp. 869–944. </w:t>
      </w:r>
    </w:p>
    <w:p w14:paraId="64C521B1"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 xml:space="preserve">Cooper, E. S., Labato, M. A., &amp; Langston, C. E. (2016). Renal Replacement Therapies in Small Animals. Veterinary Clinics: Small Animal Practice, 46(6), 1227–1252. </w:t>
      </w:r>
      <w:hyperlink r:id="rId8" w:history="1">
        <w:r w:rsidR="00EA27B0">
          <w:rPr>
            <w:rStyle w:val="Hyperlink"/>
            <w:rFonts w:ascii="Arial" w:hAnsi="Arial" w:cs="Arial"/>
            <w:bCs/>
            <w:sz w:val="20"/>
            <w:szCs w:val="20"/>
          </w:rPr>
          <w:t>https://doi.org/10.1016/j.cvsm.2016.06.005</w:t>
        </w:r>
      </w:hyperlink>
    </w:p>
    <w:p w14:paraId="79AA74BD"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Cowgill, L. D., &amp; Langston, C. E. (1997). Therapeutic Apheresis and Dialysis in Small Animal Practice. Compendium on Continuing Education for the Practicing Veterinarian, 19, 679–690.</w:t>
      </w:r>
    </w:p>
    <w:p w14:paraId="1B4D7704"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 xml:space="preserve">Galli, F., Benedetti, S., </w:t>
      </w:r>
      <w:proofErr w:type="spellStart"/>
      <w:r>
        <w:rPr>
          <w:rFonts w:ascii="Arial" w:hAnsi="Arial" w:cs="Arial"/>
          <w:bCs/>
          <w:color w:val="000000" w:themeColor="text1"/>
          <w:sz w:val="20"/>
          <w:szCs w:val="20"/>
        </w:rPr>
        <w:t>Floridi</w:t>
      </w:r>
      <w:proofErr w:type="spellEnd"/>
      <w:r>
        <w:rPr>
          <w:rFonts w:ascii="Arial" w:hAnsi="Arial" w:cs="Arial"/>
          <w:bCs/>
          <w:color w:val="000000" w:themeColor="text1"/>
          <w:sz w:val="20"/>
          <w:szCs w:val="20"/>
        </w:rPr>
        <w:t xml:space="preserve">, A., </w:t>
      </w:r>
      <w:proofErr w:type="spellStart"/>
      <w:r>
        <w:rPr>
          <w:rFonts w:ascii="Arial" w:hAnsi="Arial" w:cs="Arial"/>
          <w:bCs/>
          <w:color w:val="000000" w:themeColor="text1"/>
          <w:sz w:val="20"/>
          <w:szCs w:val="20"/>
        </w:rPr>
        <w:t>Buoncristiani</w:t>
      </w:r>
      <w:proofErr w:type="spellEnd"/>
      <w:r>
        <w:rPr>
          <w:rFonts w:ascii="Arial" w:hAnsi="Arial" w:cs="Arial"/>
          <w:bCs/>
          <w:color w:val="000000" w:themeColor="text1"/>
          <w:sz w:val="20"/>
          <w:szCs w:val="20"/>
        </w:rPr>
        <w:t>, U. (2010). Oxidative stress and reactive oxygen species in uremia and hemodialysis: friend or foe? Blood Purification, 30(2), 117–123. https://doi.org/10.1159/000319983</w:t>
      </w:r>
    </w:p>
    <w:p w14:paraId="05DB8DC7"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lastRenderedPageBreak/>
        <w:t xml:space="preserve">Goldstein, Bernard &amp; Osofsky, Howard &amp; </w:t>
      </w:r>
      <w:proofErr w:type="spellStart"/>
      <w:r>
        <w:rPr>
          <w:rFonts w:ascii="Arial" w:hAnsi="Arial" w:cs="Arial"/>
          <w:color w:val="231F20"/>
          <w:sz w:val="20"/>
          <w:szCs w:val="20"/>
        </w:rPr>
        <w:t>Lichtveld</w:t>
      </w:r>
      <w:proofErr w:type="spellEnd"/>
      <w:r>
        <w:rPr>
          <w:rFonts w:ascii="Arial" w:hAnsi="Arial" w:cs="Arial"/>
          <w:color w:val="231F20"/>
          <w:sz w:val="20"/>
          <w:szCs w:val="20"/>
        </w:rPr>
        <w:t xml:space="preserve">, Maureen. (2011). The Gulf </w:t>
      </w:r>
      <w:r>
        <w:rPr>
          <w:rFonts w:ascii="Arial" w:hAnsi="Arial" w:cs="Arial"/>
          <w:color w:val="231F20"/>
          <w:sz w:val="20"/>
          <w:szCs w:val="20"/>
        </w:rPr>
        <w:tab/>
        <w:t xml:space="preserve">oil spill. </w:t>
      </w:r>
      <w:r>
        <w:rPr>
          <w:rFonts w:ascii="Arial" w:hAnsi="Arial" w:cs="Arial"/>
          <w:iCs/>
          <w:color w:val="231F20"/>
          <w:sz w:val="20"/>
          <w:szCs w:val="20"/>
        </w:rPr>
        <w:t xml:space="preserve">The New England journal of medicine. 364. </w:t>
      </w:r>
      <w:r>
        <w:rPr>
          <w:rFonts w:ascii="Arial" w:hAnsi="Arial" w:cs="Arial"/>
          <w:color w:val="231F20"/>
          <w:sz w:val="20"/>
          <w:szCs w:val="20"/>
        </w:rPr>
        <w:t xml:space="preserve">1334-48. </w:t>
      </w:r>
      <w:r>
        <w:rPr>
          <w:rFonts w:ascii="Arial" w:hAnsi="Arial" w:cs="Arial"/>
          <w:color w:val="231F20"/>
          <w:sz w:val="20"/>
          <w:szCs w:val="20"/>
        </w:rPr>
        <w:tab/>
        <w:t>10.1056/NEJMra1007197.</w:t>
      </w:r>
    </w:p>
    <w:p w14:paraId="52DABD0B"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 xml:space="preserve">Grauer, G. F. (2008). Acute renal failure and uremia. In </w:t>
      </w:r>
      <w:proofErr w:type="spellStart"/>
      <w:r>
        <w:rPr>
          <w:rFonts w:ascii="Arial" w:hAnsi="Arial" w:cs="Arial"/>
          <w:bCs/>
          <w:color w:val="000000" w:themeColor="text1"/>
          <w:sz w:val="20"/>
          <w:szCs w:val="20"/>
        </w:rPr>
        <w:t>DiBartola</w:t>
      </w:r>
      <w:proofErr w:type="spellEnd"/>
      <w:r>
        <w:rPr>
          <w:rFonts w:ascii="Arial" w:hAnsi="Arial" w:cs="Arial"/>
          <w:bCs/>
          <w:color w:val="000000" w:themeColor="text1"/>
          <w:sz w:val="20"/>
          <w:szCs w:val="20"/>
        </w:rPr>
        <w:t>, S. P. (Ed.), Fluid, Elect</w:t>
      </w:r>
      <w:r>
        <w:rPr>
          <w:rFonts w:ascii="Arial" w:hAnsi="Arial" w:cs="Arial"/>
          <w:bCs/>
          <w:color w:val="000000" w:themeColor="text1"/>
          <w:sz w:val="20"/>
          <w:szCs w:val="20"/>
        </w:rPr>
        <w:t>rolyte, and Acid-Base Disorders in Small Animal Practice (3rd ed.). Elsevier Saunders.</w:t>
      </w:r>
    </w:p>
    <w:p w14:paraId="2C934037"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Langston CE. Acute kidney injury. In: Ettinger SJ, Feldman EC, eds. </w:t>
      </w:r>
      <w:r>
        <w:rPr>
          <w:rFonts w:ascii="Arial" w:hAnsi="Arial" w:cs="Arial"/>
          <w:i/>
          <w:iCs/>
          <w:color w:val="231F20"/>
          <w:sz w:val="20"/>
          <w:szCs w:val="20"/>
        </w:rPr>
        <w:t xml:space="preserve">Textbook of </w:t>
      </w:r>
      <w:r>
        <w:rPr>
          <w:rFonts w:ascii="Arial" w:hAnsi="Arial" w:cs="Arial"/>
          <w:i/>
          <w:iCs/>
          <w:color w:val="231F20"/>
          <w:sz w:val="20"/>
          <w:szCs w:val="20"/>
        </w:rPr>
        <w:tab/>
        <w:t>Veterinary Internal Medicine</w:t>
      </w:r>
      <w:r>
        <w:rPr>
          <w:rFonts w:ascii="Arial" w:hAnsi="Arial" w:cs="Arial"/>
          <w:color w:val="231F20"/>
          <w:sz w:val="20"/>
          <w:szCs w:val="20"/>
        </w:rPr>
        <w:t>. 8th ed. Philadelphia, PA: Saunders WB; 2010:4650</w:t>
      </w:r>
      <w:r>
        <w:rPr>
          <w:rFonts w:ascii="Cambria Math" w:hAnsi="Cambria Math" w:cs="Cambria Math"/>
          <w:color w:val="231F20"/>
          <w:sz w:val="20"/>
          <w:szCs w:val="20"/>
        </w:rPr>
        <w:t>‐</w:t>
      </w:r>
      <w:r>
        <w:rPr>
          <w:rFonts w:ascii="Arial" w:hAnsi="Arial" w:cs="Arial"/>
          <w:color w:val="231F20"/>
          <w:sz w:val="20"/>
          <w:szCs w:val="20"/>
        </w:rPr>
        <w:t>4685. </w:t>
      </w:r>
    </w:p>
    <w:p w14:paraId="28134311"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La</w:t>
      </w:r>
      <w:r>
        <w:rPr>
          <w:rFonts w:ascii="Arial" w:hAnsi="Arial" w:cs="Arial"/>
          <w:bCs/>
          <w:color w:val="000000" w:themeColor="text1"/>
          <w:sz w:val="20"/>
          <w:szCs w:val="20"/>
        </w:rPr>
        <w:t>ngston, C. E. (2012). Hemodialysis in Veterinary Medicine. Topics in Companion Animal Medicine, 27(2), 52–60. https://doi.org/10.1053/j.tcam.2012.02.003</w:t>
      </w:r>
    </w:p>
    <w:p w14:paraId="0600A8CA" w14:textId="77777777" w:rsidR="00EA27B0" w:rsidRDefault="00F42ECF">
      <w:pPr>
        <w:tabs>
          <w:tab w:val="left" w:pos="810"/>
        </w:tabs>
        <w:spacing w:after="0" w:line="360" w:lineRule="auto"/>
        <w:jc w:val="both"/>
        <w:rPr>
          <w:rFonts w:ascii="Arial" w:hAnsi="Arial" w:cs="Arial"/>
          <w:color w:val="231F20"/>
          <w:sz w:val="20"/>
          <w:szCs w:val="20"/>
        </w:rPr>
      </w:pPr>
      <w:proofErr w:type="spellStart"/>
      <w:r>
        <w:rPr>
          <w:rFonts w:ascii="Arial" w:hAnsi="Arial" w:cs="Arial"/>
          <w:color w:val="222222"/>
          <w:sz w:val="20"/>
          <w:szCs w:val="20"/>
          <w:shd w:val="clear" w:color="auto" w:fill="FFFFFF"/>
        </w:rPr>
        <w:t>Nathanae</w:t>
      </w:r>
      <w:proofErr w:type="spellEnd"/>
      <w:r>
        <w:rPr>
          <w:rFonts w:ascii="Arial" w:hAnsi="Arial" w:cs="Arial"/>
          <w:color w:val="222222"/>
          <w:sz w:val="20"/>
          <w:szCs w:val="20"/>
          <w:shd w:val="clear" w:color="auto" w:fill="FFFFFF"/>
        </w:rPr>
        <w:t xml:space="preserve">, J. M. (2009). </w:t>
      </w:r>
      <w:r>
        <w:rPr>
          <w:rFonts w:ascii="Arial" w:hAnsi="Arial" w:cs="Arial"/>
          <w:i/>
          <w:iCs/>
          <w:color w:val="222222"/>
          <w:sz w:val="20"/>
          <w:szCs w:val="20"/>
          <w:shd w:val="clear" w:color="auto" w:fill="FFFFFF"/>
        </w:rPr>
        <w:t>Toluene toxicity</w:t>
      </w:r>
      <w:r>
        <w:rPr>
          <w:rFonts w:ascii="Arial" w:hAnsi="Arial" w:cs="Arial"/>
          <w:color w:val="222222"/>
          <w:sz w:val="20"/>
          <w:szCs w:val="20"/>
          <w:shd w:val="clear" w:color="auto" w:fill="FFFFFF"/>
        </w:rPr>
        <w:t>. Portland Veteran Affairs Medical Center, Oregon Health and Sc</w:t>
      </w:r>
      <w:r>
        <w:rPr>
          <w:rFonts w:ascii="Arial" w:hAnsi="Arial" w:cs="Arial"/>
          <w:color w:val="222222"/>
          <w:sz w:val="20"/>
          <w:szCs w:val="20"/>
          <w:shd w:val="clear" w:color="auto" w:fill="FFFFFF"/>
        </w:rPr>
        <w:t>ience University. Retrieved April 14, 2015</w:t>
      </w:r>
      <w:r>
        <w:rPr>
          <w:rFonts w:ascii="Arial" w:hAnsi="Arial" w:cs="Arial"/>
          <w:color w:val="231F20"/>
          <w:sz w:val="20"/>
          <w:szCs w:val="20"/>
        </w:rPr>
        <w:t>.</w:t>
      </w:r>
    </w:p>
    <w:p w14:paraId="6257F70B"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Osweiler, G. D. (2011). Toxicology. In: Booth, N. H. &amp; McDonald, L. E. (Eds.), Veterinary Pharmacology and Therapeutics. Iowa State University Press.</w:t>
      </w:r>
    </w:p>
    <w:p w14:paraId="63AD3A89"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22222"/>
          <w:sz w:val="20"/>
          <w:szCs w:val="20"/>
          <w:shd w:val="clear" w:color="auto" w:fill="FFFFFF"/>
        </w:rPr>
        <w:t xml:space="preserve">Perigo J.F., Prado C. Evolution of occupational exposure to environmental levels </w:t>
      </w:r>
      <w:r>
        <w:rPr>
          <w:rFonts w:ascii="Arial" w:hAnsi="Arial" w:cs="Arial"/>
          <w:color w:val="222222"/>
          <w:sz w:val="20"/>
          <w:szCs w:val="20"/>
          <w:shd w:val="clear" w:color="auto" w:fill="FFFFFF"/>
        </w:rPr>
        <w:tab/>
        <w:t xml:space="preserve">of aromatic hydrocarbons in service stations. </w:t>
      </w:r>
      <w:r>
        <w:rPr>
          <w:rFonts w:ascii="Arial" w:hAnsi="Arial" w:cs="Arial"/>
          <w:iCs/>
          <w:color w:val="222222"/>
          <w:sz w:val="20"/>
          <w:szCs w:val="20"/>
          <w:shd w:val="clear" w:color="auto" w:fill="FFFFFF"/>
        </w:rPr>
        <w:t xml:space="preserve">Ann </w:t>
      </w:r>
      <w:proofErr w:type="spellStart"/>
      <w:r>
        <w:rPr>
          <w:rFonts w:ascii="Arial" w:hAnsi="Arial" w:cs="Arial"/>
          <w:iCs/>
          <w:color w:val="222222"/>
          <w:sz w:val="20"/>
          <w:szCs w:val="20"/>
          <w:shd w:val="clear" w:color="auto" w:fill="FFFFFF"/>
        </w:rPr>
        <w:t>Occup</w:t>
      </w:r>
      <w:proofErr w:type="spellEnd"/>
      <w:r>
        <w:rPr>
          <w:rFonts w:ascii="Arial" w:hAnsi="Arial" w:cs="Arial"/>
          <w:iCs/>
          <w:color w:val="222222"/>
          <w:sz w:val="20"/>
          <w:szCs w:val="20"/>
          <w:shd w:val="clear" w:color="auto" w:fill="FFFFFF"/>
        </w:rPr>
        <w:t xml:space="preserve"> </w:t>
      </w:r>
      <w:proofErr w:type="spellStart"/>
      <w:r>
        <w:rPr>
          <w:rFonts w:ascii="Arial" w:hAnsi="Arial" w:cs="Arial"/>
          <w:iCs/>
          <w:color w:val="222222"/>
          <w:sz w:val="20"/>
          <w:szCs w:val="20"/>
          <w:shd w:val="clear" w:color="auto" w:fill="FFFFFF"/>
        </w:rPr>
        <w:t>Hyg</w:t>
      </w:r>
      <w:proofErr w:type="spellEnd"/>
      <w:r>
        <w:rPr>
          <w:rFonts w:ascii="Arial" w:hAnsi="Arial" w:cs="Arial"/>
          <w:iCs/>
          <w:color w:val="222222"/>
          <w:sz w:val="20"/>
          <w:szCs w:val="20"/>
          <w:shd w:val="clear" w:color="auto" w:fill="FFFFFF"/>
        </w:rPr>
        <w:t>.</w:t>
      </w:r>
      <w:r>
        <w:rPr>
          <w:rFonts w:ascii="Arial" w:hAnsi="Arial" w:cs="Arial"/>
          <w:i/>
          <w:color w:val="222222"/>
          <w:sz w:val="20"/>
          <w:szCs w:val="20"/>
          <w:shd w:val="clear" w:color="auto" w:fill="FFFFFF"/>
        </w:rPr>
        <w:t xml:space="preserve">  </w:t>
      </w:r>
      <w:proofErr w:type="gramStart"/>
      <w:r>
        <w:rPr>
          <w:rFonts w:ascii="Arial" w:hAnsi="Arial" w:cs="Arial"/>
          <w:i/>
          <w:color w:val="222222"/>
          <w:sz w:val="20"/>
          <w:szCs w:val="20"/>
          <w:shd w:val="clear" w:color="auto" w:fill="FFFFFF"/>
        </w:rPr>
        <w:t>2005;49</w:t>
      </w:r>
      <w:r>
        <w:rPr>
          <w:rFonts w:ascii="Arial" w:hAnsi="Arial" w:cs="Arial"/>
          <w:color w:val="222222"/>
          <w:sz w:val="20"/>
          <w:szCs w:val="20"/>
          <w:shd w:val="clear" w:color="auto" w:fill="FFFFFF"/>
        </w:rPr>
        <w:t>:233</w:t>
      </w:r>
      <w:proofErr w:type="gramEnd"/>
      <w:r>
        <w:rPr>
          <w:rFonts w:ascii="Arial" w:hAnsi="Arial" w:cs="Arial"/>
          <w:color w:val="222222"/>
          <w:sz w:val="20"/>
          <w:szCs w:val="20"/>
          <w:shd w:val="clear" w:color="auto" w:fill="FFFFFF"/>
        </w:rPr>
        <w:t>–240.</w:t>
      </w:r>
    </w:p>
    <w:p w14:paraId="07AB75EF"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Rimer D, Chen H, Bar Nathan M, et al. Acute kidney injury in dogs: etiology, clinical and clini</w:t>
      </w:r>
      <w:r>
        <w:rPr>
          <w:rFonts w:ascii="Arial" w:hAnsi="Arial" w:cs="Arial"/>
          <w:color w:val="231F20"/>
          <w:sz w:val="20"/>
          <w:szCs w:val="20"/>
        </w:rPr>
        <w:t xml:space="preserve">copathologic findings, prognostic markers, and outcome. J </w:t>
      </w:r>
      <w:r>
        <w:rPr>
          <w:rFonts w:ascii="Arial" w:hAnsi="Arial" w:cs="Arial"/>
          <w:color w:val="231F20"/>
          <w:sz w:val="20"/>
          <w:szCs w:val="20"/>
        </w:rPr>
        <w:tab/>
        <w:t>Vet Intern Med. 2022;36(2):609</w:t>
      </w:r>
      <w:r>
        <w:rPr>
          <w:rFonts w:ascii="Cambria Math" w:hAnsi="Cambria Math" w:cs="Cambria Math"/>
          <w:color w:val="231F20"/>
          <w:sz w:val="20"/>
          <w:szCs w:val="20"/>
        </w:rPr>
        <w:t>‐</w:t>
      </w:r>
      <w:r>
        <w:rPr>
          <w:rFonts w:ascii="Arial" w:hAnsi="Arial" w:cs="Arial"/>
          <w:color w:val="231F20"/>
          <w:sz w:val="20"/>
          <w:szCs w:val="20"/>
        </w:rPr>
        <w:t>618. </w:t>
      </w:r>
    </w:p>
    <w:p w14:paraId="57D81555"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bCs/>
          <w:color w:val="000000" w:themeColor="text1"/>
          <w:sz w:val="20"/>
          <w:szCs w:val="20"/>
        </w:rPr>
        <w:t>Ross, S. J., Osborne, C. A., Lulich, J. P. (2015). Update on the medical management of acute renal failure. Journal of the American Animal Hospital Association,</w:t>
      </w:r>
      <w:r>
        <w:rPr>
          <w:rFonts w:ascii="Arial" w:hAnsi="Arial" w:cs="Arial"/>
          <w:bCs/>
          <w:color w:val="000000" w:themeColor="text1"/>
          <w:sz w:val="20"/>
          <w:szCs w:val="20"/>
        </w:rPr>
        <w:t> 41(1), 15–22.</w:t>
      </w:r>
    </w:p>
    <w:p w14:paraId="17B750F9" w14:textId="77777777" w:rsidR="00EA27B0" w:rsidRDefault="00F42ECF">
      <w:pPr>
        <w:tabs>
          <w:tab w:val="left" w:pos="810"/>
        </w:tabs>
        <w:spacing w:after="0" w:line="360" w:lineRule="auto"/>
        <w:jc w:val="both"/>
        <w:rPr>
          <w:rFonts w:ascii="Arial" w:hAnsi="Arial" w:cs="Arial"/>
          <w:color w:val="231F20"/>
          <w:sz w:val="20"/>
          <w:szCs w:val="20"/>
        </w:rPr>
      </w:pPr>
      <w:r>
        <w:rPr>
          <w:rFonts w:ascii="Arial" w:hAnsi="Arial" w:cs="Arial"/>
          <w:color w:val="231F20"/>
          <w:sz w:val="20"/>
          <w:szCs w:val="20"/>
        </w:rPr>
        <w:t xml:space="preserve">Segev G, Kass PH, Francey T, et al. A novel clinical scoring system for </w:t>
      </w:r>
      <w:proofErr w:type="spellStart"/>
      <w:r>
        <w:rPr>
          <w:rFonts w:ascii="Arial" w:hAnsi="Arial" w:cs="Arial"/>
          <w:color w:val="231F20"/>
          <w:sz w:val="20"/>
          <w:szCs w:val="20"/>
        </w:rPr>
        <w:t>outome</w:t>
      </w:r>
      <w:proofErr w:type="spellEnd"/>
      <w:r>
        <w:rPr>
          <w:rFonts w:ascii="Arial" w:hAnsi="Arial" w:cs="Arial"/>
          <w:color w:val="231F20"/>
          <w:sz w:val="20"/>
          <w:szCs w:val="20"/>
        </w:rPr>
        <w:t xml:space="preserve"> </w:t>
      </w:r>
      <w:r>
        <w:rPr>
          <w:rFonts w:ascii="Arial" w:hAnsi="Arial" w:cs="Arial"/>
          <w:color w:val="231F20"/>
          <w:sz w:val="20"/>
          <w:szCs w:val="20"/>
        </w:rPr>
        <w:tab/>
        <w:t xml:space="preserve">prediction in dogs with acute kidney injury managed by hemodialysis. J Vet Intern Med. </w:t>
      </w:r>
      <w:proofErr w:type="gramStart"/>
      <w:r>
        <w:rPr>
          <w:rFonts w:ascii="Arial" w:hAnsi="Arial" w:cs="Arial"/>
          <w:color w:val="231F20"/>
          <w:sz w:val="20"/>
          <w:szCs w:val="20"/>
        </w:rPr>
        <w:t>2008;22:301</w:t>
      </w:r>
      <w:proofErr w:type="gramEnd"/>
      <w:r>
        <w:rPr>
          <w:rFonts w:ascii="Cambria Math" w:hAnsi="Cambria Math" w:cs="Cambria Math"/>
          <w:color w:val="231F20"/>
          <w:sz w:val="20"/>
          <w:szCs w:val="20"/>
        </w:rPr>
        <w:t>‐</w:t>
      </w:r>
      <w:r>
        <w:rPr>
          <w:rFonts w:ascii="Arial" w:hAnsi="Arial" w:cs="Arial"/>
          <w:color w:val="231F20"/>
          <w:sz w:val="20"/>
          <w:szCs w:val="20"/>
        </w:rPr>
        <w:t>308.</w:t>
      </w:r>
    </w:p>
    <w:p w14:paraId="6EAA13EE" w14:textId="77777777" w:rsidR="00EA27B0" w:rsidRDefault="00EA27B0">
      <w:pPr>
        <w:spacing w:after="0"/>
        <w:ind w:left="-540" w:firstLine="360"/>
        <w:rPr>
          <w:rFonts w:ascii="Times New Roman" w:hAnsi="Times New Roman"/>
          <w:b/>
          <w:color w:val="000000" w:themeColor="text1"/>
          <w:sz w:val="24"/>
          <w:szCs w:val="24"/>
        </w:rPr>
      </w:pPr>
    </w:p>
    <w:p w14:paraId="0DCB8980" w14:textId="77777777" w:rsidR="00EA27B0" w:rsidRDefault="00EA27B0">
      <w:pPr>
        <w:spacing w:after="0"/>
        <w:ind w:left="-540" w:firstLine="360"/>
        <w:rPr>
          <w:rFonts w:ascii="Times New Roman" w:hAnsi="Times New Roman"/>
          <w:b/>
          <w:color w:val="000000" w:themeColor="text1"/>
          <w:sz w:val="24"/>
          <w:szCs w:val="24"/>
        </w:rPr>
      </w:pPr>
    </w:p>
    <w:p w14:paraId="5466A6AD" w14:textId="77777777" w:rsidR="00EA27B0" w:rsidRDefault="00EA27B0">
      <w:pPr>
        <w:spacing w:after="0"/>
        <w:ind w:left="-540" w:firstLine="360"/>
        <w:rPr>
          <w:rFonts w:ascii="Times New Roman" w:hAnsi="Times New Roman"/>
          <w:b/>
          <w:color w:val="000000" w:themeColor="text1"/>
          <w:sz w:val="24"/>
          <w:szCs w:val="24"/>
        </w:rPr>
      </w:pPr>
    </w:p>
    <w:p w14:paraId="01151703" w14:textId="77777777" w:rsidR="00EA27B0" w:rsidRDefault="00EA27B0">
      <w:pPr>
        <w:spacing w:after="0"/>
        <w:ind w:left="-540" w:firstLine="360"/>
        <w:rPr>
          <w:rFonts w:ascii="Times New Roman" w:hAnsi="Times New Roman"/>
          <w:b/>
          <w:color w:val="000000" w:themeColor="text1"/>
          <w:sz w:val="24"/>
          <w:szCs w:val="24"/>
        </w:rPr>
      </w:pPr>
    </w:p>
    <w:p w14:paraId="2120919A" w14:textId="77777777" w:rsidR="00EA27B0" w:rsidRDefault="00EA27B0">
      <w:pPr>
        <w:spacing w:after="0"/>
        <w:ind w:left="-540" w:firstLine="360"/>
        <w:rPr>
          <w:rFonts w:ascii="Times New Roman" w:hAnsi="Times New Roman"/>
          <w:b/>
          <w:color w:val="000000" w:themeColor="text1"/>
          <w:sz w:val="24"/>
          <w:szCs w:val="24"/>
        </w:rPr>
      </w:pPr>
    </w:p>
    <w:p w14:paraId="797E8DAB" w14:textId="77777777" w:rsidR="00EA27B0" w:rsidRDefault="00EA27B0">
      <w:pPr>
        <w:spacing w:after="0"/>
        <w:ind w:left="-540" w:firstLine="360"/>
        <w:rPr>
          <w:rFonts w:ascii="Times New Roman" w:hAnsi="Times New Roman"/>
          <w:b/>
          <w:color w:val="000000" w:themeColor="text1"/>
          <w:sz w:val="24"/>
          <w:szCs w:val="24"/>
        </w:rPr>
      </w:pPr>
    </w:p>
    <w:p w14:paraId="070DE4D4" w14:textId="77777777" w:rsidR="00EA27B0" w:rsidRDefault="00EA27B0">
      <w:pPr>
        <w:spacing w:after="0"/>
        <w:ind w:left="-540" w:firstLine="360"/>
        <w:rPr>
          <w:rFonts w:ascii="Times New Roman" w:hAnsi="Times New Roman"/>
          <w:b/>
          <w:color w:val="000000" w:themeColor="text1"/>
          <w:sz w:val="24"/>
          <w:szCs w:val="24"/>
        </w:rPr>
      </w:pPr>
    </w:p>
    <w:p w14:paraId="3B105316" w14:textId="77777777" w:rsidR="00EA27B0" w:rsidRDefault="00EA27B0">
      <w:pPr>
        <w:spacing w:after="0"/>
        <w:ind w:left="-540" w:firstLine="360"/>
        <w:rPr>
          <w:rFonts w:ascii="Times New Roman" w:hAnsi="Times New Roman"/>
          <w:b/>
          <w:color w:val="000000" w:themeColor="text1"/>
          <w:sz w:val="24"/>
          <w:szCs w:val="24"/>
        </w:rPr>
      </w:pPr>
    </w:p>
    <w:p w14:paraId="7C504410" w14:textId="77777777" w:rsidR="00EA27B0" w:rsidRDefault="00EA27B0">
      <w:pPr>
        <w:spacing w:after="0"/>
        <w:ind w:left="-540" w:firstLine="360"/>
        <w:rPr>
          <w:rFonts w:ascii="Times New Roman" w:hAnsi="Times New Roman"/>
          <w:b/>
          <w:color w:val="000000" w:themeColor="text1"/>
          <w:sz w:val="24"/>
          <w:szCs w:val="24"/>
        </w:rPr>
      </w:pPr>
    </w:p>
    <w:p w14:paraId="2E50082F" w14:textId="77777777" w:rsidR="00EA27B0" w:rsidRDefault="00EA27B0">
      <w:pPr>
        <w:spacing w:after="0"/>
        <w:ind w:left="-540" w:firstLine="360"/>
        <w:rPr>
          <w:rFonts w:ascii="Times New Roman" w:hAnsi="Times New Roman"/>
          <w:b/>
          <w:color w:val="000000" w:themeColor="text1"/>
          <w:sz w:val="24"/>
          <w:szCs w:val="24"/>
        </w:rPr>
      </w:pPr>
    </w:p>
    <w:p w14:paraId="4F56BBFB" w14:textId="77777777" w:rsidR="00EA27B0" w:rsidRDefault="00EA27B0">
      <w:pPr>
        <w:spacing w:after="0"/>
        <w:ind w:left="-540" w:firstLine="360"/>
        <w:rPr>
          <w:rFonts w:ascii="Times New Roman" w:hAnsi="Times New Roman"/>
          <w:b/>
          <w:color w:val="000000" w:themeColor="text1"/>
          <w:sz w:val="24"/>
          <w:szCs w:val="24"/>
        </w:rPr>
      </w:pPr>
    </w:p>
    <w:p w14:paraId="4D765BE8" w14:textId="77777777" w:rsidR="00EA27B0" w:rsidRDefault="00EA27B0">
      <w:pPr>
        <w:spacing w:after="0"/>
        <w:ind w:left="-540"/>
        <w:rPr>
          <w:rFonts w:ascii="Times New Roman" w:hAnsi="Times New Roman"/>
          <w:b/>
          <w:color w:val="000000" w:themeColor="text1"/>
          <w:sz w:val="24"/>
          <w:szCs w:val="24"/>
        </w:rPr>
      </w:pPr>
    </w:p>
    <w:p w14:paraId="50B0B74F" w14:textId="77777777" w:rsidR="00EA27B0" w:rsidRDefault="00EA27B0">
      <w:pPr>
        <w:spacing w:after="0"/>
        <w:ind w:left="-540"/>
        <w:rPr>
          <w:rFonts w:ascii="Times New Roman" w:hAnsi="Times New Roman"/>
          <w:b/>
          <w:color w:val="000000" w:themeColor="text1"/>
          <w:sz w:val="24"/>
          <w:szCs w:val="24"/>
        </w:rPr>
      </w:pPr>
    </w:p>
    <w:p w14:paraId="26753E59" w14:textId="77777777" w:rsidR="00EA27B0" w:rsidRDefault="00EA27B0">
      <w:pPr>
        <w:spacing w:after="0"/>
        <w:ind w:left="-540"/>
        <w:rPr>
          <w:rFonts w:ascii="Times New Roman" w:hAnsi="Times New Roman"/>
          <w:b/>
          <w:color w:val="000000" w:themeColor="text1"/>
          <w:sz w:val="24"/>
          <w:szCs w:val="24"/>
        </w:rPr>
      </w:pPr>
    </w:p>
    <w:p w14:paraId="7AE59E57" w14:textId="77777777" w:rsidR="00EA27B0" w:rsidRDefault="00EA27B0">
      <w:pPr>
        <w:spacing w:after="0"/>
        <w:ind w:left="-540"/>
        <w:rPr>
          <w:rFonts w:ascii="Times New Roman" w:hAnsi="Times New Roman"/>
          <w:b/>
          <w:color w:val="000000" w:themeColor="text1"/>
          <w:sz w:val="24"/>
          <w:szCs w:val="24"/>
        </w:rPr>
      </w:pPr>
    </w:p>
    <w:p w14:paraId="55F870C8" w14:textId="77777777" w:rsidR="00EA27B0" w:rsidRDefault="00EA27B0">
      <w:pPr>
        <w:spacing w:after="0"/>
        <w:ind w:left="-540"/>
        <w:rPr>
          <w:rFonts w:ascii="Times New Roman" w:hAnsi="Times New Roman"/>
          <w:b/>
          <w:color w:val="000000" w:themeColor="text1"/>
          <w:sz w:val="24"/>
          <w:szCs w:val="24"/>
        </w:rPr>
      </w:pPr>
    </w:p>
    <w:p w14:paraId="370B8831" w14:textId="77777777" w:rsidR="00EA27B0" w:rsidRDefault="00EA27B0">
      <w:pPr>
        <w:spacing w:after="0"/>
        <w:ind w:left="-540"/>
        <w:rPr>
          <w:rFonts w:ascii="Times New Roman" w:hAnsi="Times New Roman"/>
          <w:b/>
          <w:color w:val="000000" w:themeColor="text1"/>
          <w:sz w:val="24"/>
          <w:szCs w:val="24"/>
        </w:rPr>
      </w:pPr>
    </w:p>
    <w:p w14:paraId="507489FB" w14:textId="77777777" w:rsidR="00EA27B0" w:rsidRDefault="00EA27B0">
      <w:pPr>
        <w:spacing w:after="0"/>
        <w:ind w:left="-540"/>
        <w:rPr>
          <w:rFonts w:ascii="Times New Roman" w:hAnsi="Times New Roman"/>
          <w:b/>
          <w:color w:val="000000" w:themeColor="text1"/>
          <w:sz w:val="24"/>
          <w:szCs w:val="24"/>
        </w:rPr>
      </w:pPr>
    </w:p>
    <w:p w14:paraId="21DE3548" w14:textId="77777777" w:rsidR="00EA27B0" w:rsidRDefault="00EA27B0">
      <w:pPr>
        <w:spacing w:after="0"/>
        <w:ind w:left="-540"/>
        <w:rPr>
          <w:rFonts w:ascii="Times New Roman" w:hAnsi="Times New Roman"/>
          <w:b/>
          <w:color w:val="000000" w:themeColor="text1"/>
          <w:sz w:val="24"/>
          <w:szCs w:val="24"/>
        </w:rPr>
      </w:pPr>
    </w:p>
    <w:p w14:paraId="64AECF7D" w14:textId="77777777" w:rsidR="00EA27B0" w:rsidRDefault="00EA27B0">
      <w:pPr>
        <w:spacing w:after="0"/>
        <w:ind w:left="-540"/>
        <w:rPr>
          <w:rFonts w:ascii="Times New Roman" w:hAnsi="Times New Roman"/>
          <w:b/>
          <w:color w:val="000000" w:themeColor="text1"/>
          <w:sz w:val="24"/>
          <w:szCs w:val="24"/>
        </w:rPr>
      </w:pPr>
    </w:p>
    <w:p w14:paraId="215AE16D" w14:textId="77777777" w:rsidR="00EA27B0" w:rsidRDefault="00EA27B0">
      <w:pPr>
        <w:spacing w:after="0"/>
        <w:ind w:left="-540"/>
        <w:rPr>
          <w:rFonts w:ascii="Times New Roman" w:hAnsi="Times New Roman"/>
          <w:b/>
          <w:color w:val="000000" w:themeColor="text1"/>
          <w:sz w:val="24"/>
          <w:szCs w:val="24"/>
        </w:rPr>
      </w:pPr>
    </w:p>
    <w:p w14:paraId="3686E578" w14:textId="77777777" w:rsidR="00EA27B0" w:rsidRDefault="00F42ECF">
      <w:pPr>
        <w:spacing w:line="360" w:lineRule="auto"/>
        <w:ind w:left="720" w:hanging="720"/>
        <w:jc w:val="both"/>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Table 1: </w:t>
      </w:r>
      <w:r>
        <w:rPr>
          <w:rFonts w:ascii="Arial" w:hAnsi="Arial" w:cs="Arial"/>
          <w:b/>
          <w:color w:val="000000" w:themeColor="text1"/>
          <w:sz w:val="24"/>
          <w:szCs w:val="24"/>
        </w:rPr>
        <w:t>Comparison of pre-and post-</w:t>
      </w:r>
      <w:proofErr w:type="spellStart"/>
      <w:r>
        <w:rPr>
          <w:rFonts w:ascii="Arial" w:hAnsi="Arial" w:cs="Arial"/>
          <w:b/>
          <w:color w:val="000000" w:themeColor="text1"/>
          <w:sz w:val="24"/>
          <w:szCs w:val="24"/>
        </w:rPr>
        <w:t>hemato</w:t>
      </w:r>
      <w:proofErr w:type="spellEnd"/>
      <w:r>
        <w:rPr>
          <w:rFonts w:ascii="Arial" w:hAnsi="Arial" w:cs="Arial"/>
          <w:b/>
          <w:color w:val="000000" w:themeColor="text1"/>
          <w:sz w:val="24"/>
          <w:szCs w:val="24"/>
        </w:rPr>
        <w:t>-biochemical parameters in dog undergoing</w:t>
      </w:r>
      <w:r>
        <w:rPr>
          <w:rFonts w:ascii="Arial" w:hAnsi="Arial" w:cs="Arial"/>
          <w:b/>
          <w:i/>
          <w:color w:val="000000" w:themeColor="text1"/>
          <w:sz w:val="24"/>
          <w:szCs w:val="24"/>
        </w:rPr>
        <w:t xml:space="preserve"> </w:t>
      </w:r>
      <w:r>
        <w:rPr>
          <w:rFonts w:ascii="Arial" w:hAnsi="Arial" w:cs="Arial"/>
          <w:b/>
          <w:color w:val="000000" w:themeColor="text1"/>
          <w:sz w:val="24"/>
          <w:szCs w:val="24"/>
        </w:rPr>
        <w:t>IHD</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1466"/>
        <w:gridCol w:w="1442"/>
        <w:gridCol w:w="1254"/>
        <w:gridCol w:w="1255"/>
        <w:gridCol w:w="1255"/>
        <w:gridCol w:w="1255"/>
      </w:tblGrid>
      <w:tr w:rsidR="00EA27B0" w14:paraId="3D1E36EE" w14:textId="77777777">
        <w:tc>
          <w:tcPr>
            <w:tcW w:w="1735" w:type="dxa"/>
            <w:vMerge w:val="restart"/>
            <w:tcBorders>
              <w:top w:val="single" w:sz="4" w:space="0" w:color="auto"/>
              <w:bottom w:val="single" w:sz="4" w:space="0" w:color="auto"/>
            </w:tcBorders>
          </w:tcPr>
          <w:p w14:paraId="701E0262" w14:textId="77777777" w:rsidR="00EA27B0" w:rsidRDefault="00F42ECF">
            <w:pPr>
              <w:rPr>
                <w:rFonts w:ascii="Arial" w:hAnsi="Arial" w:cs="Arial"/>
                <w:b/>
                <w:sz w:val="24"/>
                <w:szCs w:val="24"/>
              </w:rPr>
            </w:pPr>
            <w:r>
              <w:rPr>
                <w:rFonts w:ascii="Arial" w:hAnsi="Arial" w:cs="Arial"/>
                <w:b/>
                <w:sz w:val="24"/>
                <w:szCs w:val="24"/>
              </w:rPr>
              <w:t>Parameters</w:t>
            </w:r>
          </w:p>
        </w:tc>
        <w:tc>
          <w:tcPr>
            <w:tcW w:w="7927" w:type="dxa"/>
            <w:gridSpan w:val="6"/>
            <w:tcBorders>
              <w:top w:val="single" w:sz="4" w:space="0" w:color="auto"/>
              <w:bottom w:val="single" w:sz="4" w:space="0" w:color="auto"/>
            </w:tcBorders>
          </w:tcPr>
          <w:p w14:paraId="4A4E68FB" w14:textId="77777777" w:rsidR="00EA27B0" w:rsidRDefault="00F42ECF">
            <w:pPr>
              <w:jc w:val="center"/>
              <w:rPr>
                <w:rFonts w:ascii="Arial" w:hAnsi="Arial" w:cs="Arial"/>
                <w:b/>
                <w:sz w:val="24"/>
                <w:szCs w:val="24"/>
              </w:rPr>
            </w:pPr>
            <w:r>
              <w:rPr>
                <w:rFonts w:ascii="Arial" w:hAnsi="Arial" w:cs="Arial"/>
                <w:b/>
                <w:sz w:val="24"/>
                <w:szCs w:val="24"/>
              </w:rPr>
              <w:t>IHD</w:t>
            </w:r>
          </w:p>
        </w:tc>
      </w:tr>
      <w:tr w:rsidR="00EA27B0" w14:paraId="79947BBC" w14:textId="77777777">
        <w:tc>
          <w:tcPr>
            <w:tcW w:w="1735" w:type="dxa"/>
            <w:vMerge/>
            <w:tcBorders>
              <w:top w:val="single" w:sz="4" w:space="0" w:color="auto"/>
            </w:tcBorders>
          </w:tcPr>
          <w:p w14:paraId="4B2E28D2" w14:textId="77777777" w:rsidR="00EA27B0" w:rsidRDefault="00EA27B0">
            <w:pPr>
              <w:rPr>
                <w:rFonts w:ascii="Arial" w:hAnsi="Arial" w:cs="Arial"/>
                <w:b/>
                <w:sz w:val="24"/>
                <w:szCs w:val="24"/>
              </w:rPr>
            </w:pPr>
          </w:p>
        </w:tc>
        <w:tc>
          <w:tcPr>
            <w:tcW w:w="2908" w:type="dxa"/>
            <w:gridSpan w:val="2"/>
            <w:tcBorders>
              <w:top w:val="single" w:sz="4" w:space="0" w:color="auto"/>
              <w:bottom w:val="single" w:sz="4" w:space="0" w:color="auto"/>
            </w:tcBorders>
          </w:tcPr>
          <w:p w14:paraId="44E0CA65" w14:textId="77777777" w:rsidR="00EA27B0" w:rsidRDefault="00F42ECF">
            <w:pPr>
              <w:jc w:val="center"/>
              <w:rPr>
                <w:rFonts w:ascii="Arial" w:hAnsi="Arial" w:cs="Arial"/>
                <w:b/>
                <w:sz w:val="24"/>
                <w:szCs w:val="24"/>
              </w:rPr>
            </w:pPr>
            <w:r>
              <w:rPr>
                <w:rFonts w:ascii="Arial" w:hAnsi="Arial" w:cs="Arial"/>
                <w:b/>
                <w:sz w:val="24"/>
                <w:szCs w:val="24"/>
              </w:rPr>
              <w:t>Session I</w:t>
            </w:r>
          </w:p>
        </w:tc>
        <w:tc>
          <w:tcPr>
            <w:tcW w:w="2509" w:type="dxa"/>
            <w:gridSpan w:val="2"/>
            <w:tcBorders>
              <w:top w:val="single" w:sz="4" w:space="0" w:color="auto"/>
              <w:bottom w:val="single" w:sz="4" w:space="0" w:color="auto"/>
            </w:tcBorders>
          </w:tcPr>
          <w:p w14:paraId="7EC150D1" w14:textId="77777777" w:rsidR="00EA27B0" w:rsidRDefault="00F42ECF">
            <w:pPr>
              <w:jc w:val="center"/>
              <w:rPr>
                <w:rFonts w:ascii="Arial" w:hAnsi="Arial" w:cs="Arial"/>
                <w:b/>
                <w:sz w:val="24"/>
                <w:szCs w:val="24"/>
              </w:rPr>
            </w:pPr>
            <w:r>
              <w:rPr>
                <w:rFonts w:ascii="Arial" w:hAnsi="Arial" w:cs="Arial"/>
                <w:b/>
                <w:sz w:val="24"/>
                <w:szCs w:val="24"/>
              </w:rPr>
              <w:t>Session II</w:t>
            </w:r>
          </w:p>
        </w:tc>
        <w:tc>
          <w:tcPr>
            <w:tcW w:w="2510" w:type="dxa"/>
            <w:gridSpan w:val="2"/>
            <w:tcBorders>
              <w:top w:val="single" w:sz="4" w:space="0" w:color="auto"/>
              <w:bottom w:val="single" w:sz="4" w:space="0" w:color="auto"/>
            </w:tcBorders>
          </w:tcPr>
          <w:p w14:paraId="594650BE" w14:textId="77777777" w:rsidR="00EA27B0" w:rsidRDefault="00F42ECF">
            <w:pPr>
              <w:jc w:val="center"/>
              <w:rPr>
                <w:rFonts w:ascii="Arial" w:hAnsi="Arial" w:cs="Arial"/>
                <w:b/>
                <w:sz w:val="24"/>
                <w:szCs w:val="24"/>
              </w:rPr>
            </w:pPr>
            <w:r>
              <w:rPr>
                <w:rFonts w:ascii="Arial" w:hAnsi="Arial" w:cs="Arial"/>
                <w:b/>
                <w:sz w:val="24"/>
                <w:szCs w:val="24"/>
              </w:rPr>
              <w:t>Session III</w:t>
            </w:r>
          </w:p>
        </w:tc>
      </w:tr>
      <w:tr w:rsidR="00EA27B0" w14:paraId="55819D56" w14:textId="77777777">
        <w:tc>
          <w:tcPr>
            <w:tcW w:w="1735" w:type="dxa"/>
            <w:vMerge/>
            <w:tcBorders>
              <w:bottom w:val="single" w:sz="4" w:space="0" w:color="auto"/>
            </w:tcBorders>
          </w:tcPr>
          <w:p w14:paraId="505BDF05" w14:textId="77777777" w:rsidR="00EA27B0" w:rsidRDefault="00EA27B0">
            <w:pPr>
              <w:rPr>
                <w:rFonts w:ascii="Arial" w:hAnsi="Arial" w:cs="Arial"/>
                <w:b/>
                <w:sz w:val="24"/>
                <w:szCs w:val="24"/>
              </w:rPr>
            </w:pPr>
          </w:p>
        </w:tc>
        <w:tc>
          <w:tcPr>
            <w:tcW w:w="1466" w:type="dxa"/>
            <w:tcBorders>
              <w:top w:val="single" w:sz="4" w:space="0" w:color="auto"/>
              <w:bottom w:val="single" w:sz="4" w:space="0" w:color="auto"/>
            </w:tcBorders>
          </w:tcPr>
          <w:p w14:paraId="6F87A93E" w14:textId="77777777" w:rsidR="00EA27B0" w:rsidRDefault="00F42ECF">
            <w:pPr>
              <w:rPr>
                <w:rFonts w:ascii="Arial" w:hAnsi="Arial" w:cs="Arial"/>
                <w:b/>
                <w:sz w:val="24"/>
                <w:szCs w:val="24"/>
              </w:rPr>
            </w:pPr>
            <w:r>
              <w:rPr>
                <w:rFonts w:ascii="Arial" w:hAnsi="Arial" w:cs="Arial"/>
                <w:b/>
                <w:sz w:val="24"/>
                <w:szCs w:val="24"/>
              </w:rPr>
              <w:t>Pre-IHD</w:t>
            </w:r>
          </w:p>
        </w:tc>
        <w:tc>
          <w:tcPr>
            <w:tcW w:w="1442" w:type="dxa"/>
            <w:tcBorders>
              <w:top w:val="single" w:sz="4" w:space="0" w:color="auto"/>
              <w:bottom w:val="single" w:sz="4" w:space="0" w:color="auto"/>
            </w:tcBorders>
          </w:tcPr>
          <w:p w14:paraId="427494FA" w14:textId="77777777" w:rsidR="00EA27B0" w:rsidRDefault="00F42ECF">
            <w:pPr>
              <w:rPr>
                <w:rFonts w:ascii="Arial" w:hAnsi="Arial" w:cs="Arial"/>
                <w:b/>
                <w:sz w:val="24"/>
                <w:szCs w:val="24"/>
              </w:rPr>
            </w:pPr>
            <w:r>
              <w:rPr>
                <w:rFonts w:ascii="Arial" w:hAnsi="Arial" w:cs="Arial"/>
                <w:b/>
                <w:sz w:val="24"/>
                <w:szCs w:val="24"/>
              </w:rPr>
              <w:t>Post-IHD</w:t>
            </w:r>
          </w:p>
        </w:tc>
        <w:tc>
          <w:tcPr>
            <w:tcW w:w="1254" w:type="dxa"/>
            <w:tcBorders>
              <w:top w:val="single" w:sz="4" w:space="0" w:color="auto"/>
              <w:bottom w:val="single" w:sz="4" w:space="0" w:color="auto"/>
            </w:tcBorders>
          </w:tcPr>
          <w:p w14:paraId="0D841291" w14:textId="77777777" w:rsidR="00EA27B0" w:rsidRDefault="00F42ECF">
            <w:pPr>
              <w:rPr>
                <w:rFonts w:ascii="Arial" w:hAnsi="Arial" w:cs="Arial"/>
                <w:b/>
                <w:sz w:val="24"/>
                <w:szCs w:val="24"/>
              </w:rPr>
            </w:pPr>
            <w:r>
              <w:rPr>
                <w:rFonts w:ascii="Arial" w:hAnsi="Arial" w:cs="Arial"/>
                <w:b/>
                <w:sz w:val="24"/>
                <w:szCs w:val="24"/>
              </w:rPr>
              <w:t>Pre-IHD</w:t>
            </w:r>
          </w:p>
        </w:tc>
        <w:tc>
          <w:tcPr>
            <w:tcW w:w="1255" w:type="dxa"/>
            <w:tcBorders>
              <w:top w:val="single" w:sz="4" w:space="0" w:color="auto"/>
              <w:bottom w:val="single" w:sz="4" w:space="0" w:color="auto"/>
            </w:tcBorders>
          </w:tcPr>
          <w:p w14:paraId="1EC8ECB1" w14:textId="77777777" w:rsidR="00EA27B0" w:rsidRDefault="00F42ECF">
            <w:pPr>
              <w:rPr>
                <w:rFonts w:ascii="Arial" w:hAnsi="Arial" w:cs="Arial"/>
                <w:b/>
                <w:sz w:val="24"/>
                <w:szCs w:val="24"/>
              </w:rPr>
            </w:pPr>
            <w:r>
              <w:rPr>
                <w:rFonts w:ascii="Arial" w:hAnsi="Arial" w:cs="Arial"/>
                <w:b/>
                <w:sz w:val="24"/>
                <w:szCs w:val="24"/>
              </w:rPr>
              <w:t>Post-IHD</w:t>
            </w:r>
          </w:p>
        </w:tc>
        <w:tc>
          <w:tcPr>
            <w:tcW w:w="1255" w:type="dxa"/>
            <w:tcBorders>
              <w:top w:val="single" w:sz="4" w:space="0" w:color="auto"/>
              <w:bottom w:val="single" w:sz="4" w:space="0" w:color="auto"/>
            </w:tcBorders>
          </w:tcPr>
          <w:p w14:paraId="1D2CF5A1" w14:textId="77777777" w:rsidR="00EA27B0" w:rsidRDefault="00F42ECF">
            <w:pPr>
              <w:rPr>
                <w:rFonts w:ascii="Arial" w:hAnsi="Arial" w:cs="Arial"/>
                <w:b/>
                <w:sz w:val="24"/>
                <w:szCs w:val="24"/>
              </w:rPr>
            </w:pPr>
            <w:r>
              <w:rPr>
                <w:rFonts w:ascii="Arial" w:hAnsi="Arial" w:cs="Arial"/>
                <w:b/>
                <w:sz w:val="24"/>
                <w:szCs w:val="24"/>
              </w:rPr>
              <w:t>Pre-IHD</w:t>
            </w:r>
          </w:p>
        </w:tc>
        <w:tc>
          <w:tcPr>
            <w:tcW w:w="1255" w:type="dxa"/>
            <w:tcBorders>
              <w:top w:val="single" w:sz="4" w:space="0" w:color="auto"/>
              <w:bottom w:val="single" w:sz="4" w:space="0" w:color="auto"/>
            </w:tcBorders>
          </w:tcPr>
          <w:p w14:paraId="60D7E539" w14:textId="77777777" w:rsidR="00EA27B0" w:rsidRDefault="00F42ECF">
            <w:pPr>
              <w:rPr>
                <w:rFonts w:ascii="Arial" w:hAnsi="Arial" w:cs="Arial"/>
                <w:b/>
                <w:sz w:val="24"/>
                <w:szCs w:val="24"/>
              </w:rPr>
            </w:pPr>
            <w:r>
              <w:rPr>
                <w:rFonts w:ascii="Arial" w:hAnsi="Arial" w:cs="Arial"/>
                <w:b/>
                <w:sz w:val="24"/>
                <w:szCs w:val="24"/>
              </w:rPr>
              <w:t>Post-IHD</w:t>
            </w:r>
          </w:p>
        </w:tc>
      </w:tr>
      <w:tr w:rsidR="00EA27B0" w14:paraId="62214C72" w14:textId="77777777">
        <w:tc>
          <w:tcPr>
            <w:tcW w:w="1735" w:type="dxa"/>
            <w:tcBorders>
              <w:top w:val="single" w:sz="4" w:space="0" w:color="auto"/>
              <w:bottom w:val="nil"/>
            </w:tcBorders>
          </w:tcPr>
          <w:p w14:paraId="687DE014" w14:textId="77777777" w:rsidR="00EA27B0" w:rsidRDefault="00F42ECF">
            <w:pPr>
              <w:spacing w:after="0"/>
              <w:jc w:val="both"/>
              <w:rPr>
                <w:rFonts w:ascii="Arial" w:hAnsi="Arial" w:cs="Arial"/>
                <w:b/>
                <w:sz w:val="24"/>
                <w:szCs w:val="24"/>
              </w:rPr>
            </w:pPr>
            <w:r>
              <w:rPr>
                <w:rFonts w:ascii="Arial" w:hAnsi="Arial" w:cs="Arial"/>
                <w:b/>
                <w:sz w:val="24"/>
                <w:szCs w:val="24"/>
              </w:rPr>
              <w:t>Hb</w:t>
            </w:r>
          </w:p>
        </w:tc>
        <w:tc>
          <w:tcPr>
            <w:tcW w:w="1466" w:type="dxa"/>
            <w:tcBorders>
              <w:top w:val="single" w:sz="4" w:space="0" w:color="auto"/>
            </w:tcBorders>
          </w:tcPr>
          <w:p w14:paraId="400A586D" w14:textId="77777777" w:rsidR="00EA27B0" w:rsidRDefault="00F42ECF">
            <w:pPr>
              <w:rPr>
                <w:rFonts w:ascii="Arial" w:hAnsi="Arial" w:cs="Arial"/>
                <w:sz w:val="24"/>
                <w:szCs w:val="24"/>
              </w:rPr>
            </w:pPr>
            <w:r>
              <w:rPr>
                <w:rFonts w:ascii="Arial" w:hAnsi="Arial" w:cs="Arial"/>
                <w:sz w:val="24"/>
                <w:szCs w:val="24"/>
              </w:rPr>
              <w:t>7.3</w:t>
            </w:r>
          </w:p>
        </w:tc>
        <w:tc>
          <w:tcPr>
            <w:tcW w:w="1442" w:type="dxa"/>
            <w:tcBorders>
              <w:top w:val="single" w:sz="4" w:space="0" w:color="auto"/>
            </w:tcBorders>
          </w:tcPr>
          <w:p w14:paraId="67EF1C6C" w14:textId="77777777" w:rsidR="00EA27B0" w:rsidRDefault="00F42ECF">
            <w:pPr>
              <w:rPr>
                <w:rFonts w:ascii="Arial" w:hAnsi="Arial" w:cs="Arial"/>
                <w:sz w:val="24"/>
                <w:szCs w:val="24"/>
              </w:rPr>
            </w:pPr>
            <w:r>
              <w:rPr>
                <w:rFonts w:ascii="Arial" w:hAnsi="Arial" w:cs="Arial"/>
                <w:sz w:val="24"/>
                <w:szCs w:val="24"/>
              </w:rPr>
              <w:t>7.0</w:t>
            </w:r>
          </w:p>
        </w:tc>
        <w:tc>
          <w:tcPr>
            <w:tcW w:w="1254" w:type="dxa"/>
            <w:tcBorders>
              <w:top w:val="single" w:sz="4" w:space="0" w:color="auto"/>
            </w:tcBorders>
          </w:tcPr>
          <w:p w14:paraId="5B22385E" w14:textId="77777777" w:rsidR="00EA27B0" w:rsidRDefault="00F42ECF">
            <w:pPr>
              <w:rPr>
                <w:rFonts w:ascii="Arial" w:hAnsi="Arial" w:cs="Arial"/>
                <w:sz w:val="24"/>
                <w:szCs w:val="24"/>
              </w:rPr>
            </w:pPr>
            <w:r>
              <w:rPr>
                <w:rFonts w:ascii="Arial" w:hAnsi="Arial" w:cs="Arial"/>
                <w:sz w:val="24"/>
                <w:szCs w:val="24"/>
              </w:rPr>
              <w:t>7.2</w:t>
            </w:r>
          </w:p>
        </w:tc>
        <w:tc>
          <w:tcPr>
            <w:tcW w:w="1255" w:type="dxa"/>
            <w:tcBorders>
              <w:top w:val="single" w:sz="4" w:space="0" w:color="auto"/>
            </w:tcBorders>
          </w:tcPr>
          <w:p w14:paraId="4AD965E2" w14:textId="77777777" w:rsidR="00EA27B0" w:rsidRDefault="00F42ECF">
            <w:pPr>
              <w:rPr>
                <w:rFonts w:ascii="Arial" w:hAnsi="Arial" w:cs="Arial"/>
                <w:sz w:val="24"/>
                <w:szCs w:val="24"/>
              </w:rPr>
            </w:pPr>
            <w:r>
              <w:rPr>
                <w:rFonts w:ascii="Arial" w:hAnsi="Arial" w:cs="Arial"/>
                <w:sz w:val="24"/>
                <w:szCs w:val="24"/>
              </w:rPr>
              <w:t>7.1</w:t>
            </w:r>
          </w:p>
        </w:tc>
        <w:tc>
          <w:tcPr>
            <w:tcW w:w="1255" w:type="dxa"/>
            <w:tcBorders>
              <w:top w:val="single" w:sz="4" w:space="0" w:color="auto"/>
            </w:tcBorders>
          </w:tcPr>
          <w:p w14:paraId="112672FC" w14:textId="77777777" w:rsidR="00EA27B0" w:rsidRDefault="00F42ECF">
            <w:pPr>
              <w:rPr>
                <w:rFonts w:ascii="Arial" w:hAnsi="Arial" w:cs="Arial"/>
                <w:sz w:val="24"/>
                <w:szCs w:val="24"/>
              </w:rPr>
            </w:pPr>
            <w:r>
              <w:rPr>
                <w:rFonts w:ascii="Arial" w:hAnsi="Arial" w:cs="Arial"/>
                <w:sz w:val="24"/>
                <w:szCs w:val="24"/>
              </w:rPr>
              <w:t>7.6</w:t>
            </w:r>
          </w:p>
        </w:tc>
        <w:tc>
          <w:tcPr>
            <w:tcW w:w="1255" w:type="dxa"/>
            <w:tcBorders>
              <w:top w:val="single" w:sz="4" w:space="0" w:color="auto"/>
            </w:tcBorders>
          </w:tcPr>
          <w:p w14:paraId="0B15E5E6" w14:textId="77777777" w:rsidR="00EA27B0" w:rsidRDefault="00F42ECF">
            <w:pPr>
              <w:rPr>
                <w:rFonts w:ascii="Arial" w:hAnsi="Arial" w:cs="Arial"/>
                <w:sz w:val="24"/>
                <w:szCs w:val="24"/>
              </w:rPr>
            </w:pPr>
            <w:r>
              <w:rPr>
                <w:rFonts w:ascii="Arial" w:hAnsi="Arial" w:cs="Arial"/>
                <w:sz w:val="24"/>
                <w:szCs w:val="24"/>
              </w:rPr>
              <w:t>6.4</w:t>
            </w:r>
          </w:p>
        </w:tc>
      </w:tr>
      <w:tr w:rsidR="00EA27B0" w14:paraId="75FC8F60" w14:textId="77777777">
        <w:tc>
          <w:tcPr>
            <w:tcW w:w="1735" w:type="dxa"/>
            <w:tcBorders>
              <w:top w:val="nil"/>
            </w:tcBorders>
          </w:tcPr>
          <w:p w14:paraId="327E8B7B" w14:textId="77777777" w:rsidR="00EA27B0" w:rsidRDefault="00F42ECF">
            <w:pPr>
              <w:spacing w:after="0"/>
              <w:jc w:val="both"/>
              <w:rPr>
                <w:rFonts w:ascii="Arial" w:hAnsi="Arial" w:cs="Arial"/>
                <w:b/>
                <w:sz w:val="24"/>
                <w:szCs w:val="24"/>
              </w:rPr>
            </w:pPr>
            <w:r>
              <w:rPr>
                <w:rFonts w:ascii="Arial" w:hAnsi="Arial" w:cs="Arial"/>
                <w:b/>
                <w:sz w:val="24"/>
                <w:szCs w:val="24"/>
              </w:rPr>
              <w:t>TLC</w:t>
            </w:r>
          </w:p>
        </w:tc>
        <w:tc>
          <w:tcPr>
            <w:tcW w:w="1466" w:type="dxa"/>
          </w:tcPr>
          <w:p w14:paraId="3BB9ADE6" w14:textId="77777777" w:rsidR="00EA27B0" w:rsidRDefault="00F42ECF">
            <w:pPr>
              <w:rPr>
                <w:rFonts w:ascii="Arial" w:hAnsi="Arial" w:cs="Arial"/>
                <w:sz w:val="24"/>
                <w:szCs w:val="24"/>
              </w:rPr>
            </w:pPr>
            <w:r>
              <w:rPr>
                <w:rFonts w:ascii="Arial" w:hAnsi="Arial" w:cs="Arial"/>
                <w:sz w:val="24"/>
                <w:szCs w:val="24"/>
              </w:rPr>
              <w:t>5730</w:t>
            </w:r>
          </w:p>
        </w:tc>
        <w:tc>
          <w:tcPr>
            <w:tcW w:w="1442" w:type="dxa"/>
          </w:tcPr>
          <w:p w14:paraId="5D511D94" w14:textId="77777777" w:rsidR="00EA27B0" w:rsidRDefault="00F42ECF">
            <w:pPr>
              <w:rPr>
                <w:rFonts w:ascii="Arial" w:hAnsi="Arial" w:cs="Arial"/>
                <w:sz w:val="24"/>
                <w:szCs w:val="24"/>
              </w:rPr>
            </w:pPr>
            <w:r>
              <w:rPr>
                <w:rFonts w:ascii="Arial" w:hAnsi="Arial" w:cs="Arial"/>
                <w:sz w:val="24"/>
                <w:szCs w:val="24"/>
              </w:rPr>
              <w:t>6000</w:t>
            </w:r>
          </w:p>
        </w:tc>
        <w:tc>
          <w:tcPr>
            <w:tcW w:w="1254" w:type="dxa"/>
          </w:tcPr>
          <w:p w14:paraId="0BE8AC7B" w14:textId="77777777" w:rsidR="00EA27B0" w:rsidRDefault="00F42ECF">
            <w:pPr>
              <w:rPr>
                <w:rFonts w:ascii="Arial" w:hAnsi="Arial" w:cs="Arial"/>
                <w:sz w:val="24"/>
                <w:szCs w:val="24"/>
              </w:rPr>
            </w:pPr>
            <w:r>
              <w:rPr>
                <w:rFonts w:ascii="Arial" w:hAnsi="Arial" w:cs="Arial"/>
                <w:sz w:val="24"/>
                <w:szCs w:val="24"/>
              </w:rPr>
              <w:t>6500</w:t>
            </w:r>
          </w:p>
        </w:tc>
        <w:tc>
          <w:tcPr>
            <w:tcW w:w="1255" w:type="dxa"/>
          </w:tcPr>
          <w:p w14:paraId="782DABDE" w14:textId="77777777" w:rsidR="00EA27B0" w:rsidRDefault="00F42ECF">
            <w:pPr>
              <w:rPr>
                <w:rFonts w:ascii="Arial" w:hAnsi="Arial" w:cs="Arial"/>
                <w:sz w:val="24"/>
                <w:szCs w:val="24"/>
              </w:rPr>
            </w:pPr>
            <w:r>
              <w:rPr>
                <w:rFonts w:ascii="Arial" w:hAnsi="Arial" w:cs="Arial"/>
                <w:sz w:val="24"/>
                <w:szCs w:val="24"/>
              </w:rPr>
              <w:t>6800</w:t>
            </w:r>
          </w:p>
        </w:tc>
        <w:tc>
          <w:tcPr>
            <w:tcW w:w="1255" w:type="dxa"/>
          </w:tcPr>
          <w:p w14:paraId="0B2764E7" w14:textId="77777777" w:rsidR="00EA27B0" w:rsidRDefault="00F42ECF">
            <w:pPr>
              <w:rPr>
                <w:rFonts w:ascii="Arial" w:hAnsi="Arial" w:cs="Arial"/>
                <w:sz w:val="24"/>
                <w:szCs w:val="24"/>
              </w:rPr>
            </w:pPr>
            <w:r>
              <w:rPr>
                <w:rFonts w:ascii="Arial" w:hAnsi="Arial" w:cs="Arial"/>
                <w:sz w:val="24"/>
                <w:szCs w:val="24"/>
              </w:rPr>
              <w:t>7700</w:t>
            </w:r>
          </w:p>
        </w:tc>
        <w:tc>
          <w:tcPr>
            <w:tcW w:w="1255" w:type="dxa"/>
          </w:tcPr>
          <w:p w14:paraId="0156B223" w14:textId="77777777" w:rsidR="00EA27B0" w:rsidRDefault="00F42ECF">
            <w:pPr>
              <w:rPr>
                <w:rFonts w:ascii="Arial" w:hAnsi="Arial" w:cs="Arial"/>
                <w:sz w:val="24"/>
                <w:szCs w:val="24"/>
              </w:rPr>
            </w:pPr>
            <w:r>
              <w:rPr>
                <w:rFonts w:ascii="Arial" w:hAnsi="Arial" w:cs="Arial"/>
                <w:sz w:val="24"/>
                <w:szCs w:val="24"/>
              </w:rPr>
              <w:t>8300</w:t>
            </w:r>
          </w:p>
        </w:tc>
      </w:tr>
      <w:tr w:rsidR="00EA27B0" w14:paraId="09A472BD" w14:textId="77777777">
        <w:tc>
          <w:tcPr>
            <w:tcW w:w="1735" w:type="dxa"/>
          </w:tcPr>
          <w:p w14:paraId="75154B96" w14:textId="77777777" w:rsidR="00EA27B0" w:rsidRDefault="00F42ECF">
            <w:pPr>
              <w:spacing w:after="0"/>
              <w:jc w:val="both"/>
              <w:rPr>
                <w:rFonts w:ascii="Arial" w:hAnsi="Arial" w:cs="Arial"/>
                <w:b/>
                <w:sz w:val="24"/>
                <w:szCs w:val="24"/>
              </w:rPr>
            </w:pPr>
            <w:r>
              <w:rPr>
                <w:rFonts w:ascii="Arial" w:hAnsi="Arial" w:cs="Arial"/>
                <w:b/>
                <w:sz w:val="24"/>
                <w:szCs w:val="24"/>
              </w:rPr>
              <w:t>Neutrophil</w:t>
            </w:r>
          </w:p>
        </w:tc>
        <w:tc>
          <w:tcPr>
            <w:tcW w:w="1466" w:type="dxa"/>
          </w:tcPr>
          <w:p w14:paraId="4D01ACA8" w14:textId="77777777" w:rsidR="00EA27B0" w:rsidRDefault="00F42ECF">
            <w:pPr>
              <w:rPr>
                <w:rFonts w:ascii="Arial" w:hAnsi="Arial" w:cs="Arial"/>
                <w:sz w:val="24"/>
                <w:szCs w:val="24"/>
              </w:rPr>
            </w:pPr>
            <w:r>
              <w:rPr>
                <w:rFonts w:ascii="Arial" w:hAnsi="Arial" w:cs="Arial"/>
                <w:sz w:val="24"/>
                <w:szCs w:val="24"/>
              </w:rPr>
              <w:t>50</w:t>
            </w:r>
          </w:p>
        </w:tc>
        <w:tc>
          <w:tcPr>
            <w:tcW w:w="1442" w:type="dxa"/>
          </w:tcPr>
          <w:p w14:paraId="544989EA" w14:textId="77777777" w:rsidR="00EA27B0" w:rsidRDefault="00F42ECF">
            <w:pPr>
              <w:rPr>
                <w:rFonts w:ascii="Arial" w:hAnsi="Arial" w:cs="Arial"/>
                <w:sz w:val="24"/>
                <w:szCs w:val="24"/>
              </w:rPr>
            </w:pPr>
            <w:r>
              <w:rPr>
                <w:rFonts w:ascii="Arial" w:hAnsi="Arial" w:cs="Arial"/>
                <w:sz w:val="24"/>
                <w:szCs w:val="24"/>
              </w:rPr>
              <w:t>60</w:t>
            </w:r>
          </w:p>
        </w:tc>
        <w:tc>
          <w:tcPr>
            <w:tcW w:w="1254" w:type="dxa"/>
          </w:tcPr>
          <w:p w14:paraId="243CAA87" w14:textId="77777777" w:rsidR="00EA27B0" w:rsidRDefault="00F42ECF">
            <w:pPr>
              <w:rPr>
                <w:rFonts w:ascii="Arial" w:hAnsi="Arial" w:cs="Arial"/>
                <w:sz w:val="24"/>
                <w:szCs w:val="24"/>
              </w:rPr>
            </w:pPr>
            <w:r>
              <w:rPr>
                <w:rFonts w:ascii="Arial" w:hAnsi="Arial" w:cs="Arial"/>
                <w:sz w:val="24"/>
                <w:szCs w:val="24"/>
              </w:rPr>
              <w:t>60</w:t>
            </w:r>
          </w:p>
        </w:tc>
        <w:tc>
          <w:tcPr>
            <w:tcW w:w="1255" w:type="dxa"/>
          </w:tcPr>
          <w:p w14:paraId="4666D2B0" w14:textId="77777777" w:rsidR="00EA27B0" w:rsidRDefault="00F42ECF">
            <w:pPr>
              <w:rPr>
                <w:rFonts w:ascii="Arial" w:hAnsi="Arial" w:cs="Arial"/>
                <w:sz w:val="24"/>
                <w:szCs w:val="24"/>
              </w:rPr>
            </w:pPr>
            <w:r>
              <w:rPr>
                <w:rFonts w:ascii="Arial" w:hAnsi="Arial" w:cs="Arial"/>
                <w:sz w:val="24"/>
                <w:szCs w:val="24"/>
              </w:rPr>
              <w:t>70</w:t>
            </w:r>
          </w:p>
        </w:tc>
        <w:tc>
          <w:tcPr>
            <w:tcW w:w="1255" w:type="dxa"/>
          </w:tcPr>
          <w:p w14:paraId="71AD7503" w14:textId="77777777" w:rsidR="00EA27B0" w:rsidRDefault="00F42ECF">
            <w:pPr>
              <w:rPr>
                <w:rFonts w:ascii="Arial" w:hAnsi="Arial" w:cs="Arial"/>
                <w:sz w:val="24"/>
                <w:szCs w:val="24"/>
              </w:rPr>
            </w:pPr>
            <w:r>
              <w:rPr>
                <w:rFonts w:ascii="Arial" w:hAnsi="Arial" w:cs="Arial"/>
                <w:sz w:val="24"/>
                <w:szCs w:val="24"/>
              </w:rPr>
              <w:t>76</w:t>
            </w:r>
          </w:p>
        </w:tc>
        <w:tc>
          <w:tcPr>
            <w:tcW w:w="1255" w:type="dxa"/>
          </w:tcPr>
          <w:p w14:paraId="266EF472" w14:textId="77777777" w:rsidR="00EA27B0" w:rsidRDefault="00F42ECF">
            <w:pPr>
              <w:rPr>
                <w:rFonts w:ascii="Arial" w:hAnsi="Arial" w:cs="Arial"/>
                <w:sz w:val="24"/>
                <w:szCs w:val="24"/>
              </w:rPr>
            </w:pPr>
            <w:r>
              <w:rPr>
                <w:rFonts w:ascii="Arial" w:hAnsi="Arial" w:cs="Arial"/>
                <w:sz w:val="24"/>
                <w:szCs w:val="24"/>
              </w:rPr>
              <w:t>88</w:t>
            </w:r>
          </w:p>
        </w:tc>
      </w:tr>
      <w:tr w:rsidR="00EA27B0" w14:paraId="2131FFDD" w14:textId="77777777">
        <w:tc>
          <w:tcPr>
            <w:tcW w:w="1735" w:type="dxa"/>
          </w:tcPr>
          <w:p w14:paraId="04D26E6B" w14:textId="77777777" w:rsidR="00EA27B0" w:rsidRDefault="00F42ECF">
            <w:pPr>
              <w:spacing w:after="0"/>
              <w:jc w:val="both"/>
              <w:rPr>
                <w:rFonts w:ascii="Arial" w:hAnsi="Arial" w:cs="Arial"/>
                <w:b/>
                <w:sz w:val="24"/>
                <w:szCs w:val="24"/>
              </w:rPr>
            </w:pPr>
            <w:r>
              <w:rPr>
                <w:rFonts w:ascii="Arial" w:hAnsi="Arial" w:cs="Arial"/>
                <w:b/>
                <w:sz w:val="24"/>
                <w:szCs w:val="24"/>
              </w:rPr>
              <w:t>Lymphocyte</w:t>
            </w:r>
          </w:p>
        </w:tc>
        <w:tc>
          <w:tcPr>
            <w:tcW w:w="1466" w:type="dxa"/>
          </w:tcPr>
          <w:p w14:paraId="17E2A35D" w14:textId="77777777" w:rsidR="00EA27B0" w:rsidRDefault="00F42ECF">
            <w:pPr>
              <w:rPr>
                <w:rFonts w:ascii="Arial" w:hAnsi="Arial" w:cs="Arial"/>
                <w:sz w:val="24"/>
                <w:szCs w:val="24"/>
              </w:rPr>
            </w:pPr>
            <w:r>
              <w:rPr>
                <w:rFonts w:ascii="Arial" w:hAnsi="Arial" w:cs="Arial"/>
                <w:sz w:val="24"/>
                <w:szCs w:val="24"/>
              </w:rPr>
              <w:t>48</w:t>
            </w:r>
          </w:p>
        </w:tc>
        <w:tc>
          <w:tcPr>
            <w:tcW w:w="1442" w:type="dxa"/>
          </w:tcPr>
          <w:p w14:paraId="6CA1EBDE" w14:textId="77777777" w:rsidR="00EA27B0" w:rsidRDefault="00F42ECF">
            <w:pPr>
              <w:rPr>
                <w:rFonts w:ascii="Arial" w:hAnsi="Arial" w:cs="Arial"/>
                <w:sz w:val="24"/>
                <w:szCs w:val="24"/>
              </w:rPr>
            </w:pPr>
            <w:r>
              <w:rPr>
                <w:rFonts w:ascii="Arial" w:hAnsi="Arial" w:cs="Arial"/>
                <w:sz w:val="24"/>
                <w:szCs w:val="24"/>
              </w:rPr>
              <w:t>40</w:t>
            </w:r>
          </w:p>
        </w:tc>
        <w:tc>
          <w:tcPr>
            <w:tcW w:w="1254" w:type="dxa"/>
          </w:tcPr>
          <w:p w14:paraId="1AE28F9F" w14:textId="77777777" w:rsidR="00EA27B0" w:rsidRDefault="00F42ECF">
            <w:pPr>
              <w:rPr>
                <w:rFonts w:ascii="Arial" w:hAnsi="Arial" w:cs="Arial"/>
                <w:sz w:val="24"/>
                <w:szCs w:val="24"/>
              </w:rPr>
            </w:pPr>
            <w:r>
              <w:rPr>
                <w:rFonts w:ascii="Arial" w:hAnsi="Arial" w:cs="Arial"/>
                <w:sz w:val="24"/>
                <w:szCs w:val="24"/>
              </w:rPr>
              <w:t>40</w:t>
            </w:r>
          </w:p>
        </w:tc>
        <w:tc>
          <w:tcPr>
            <w:tcW w:w="1255" w:type="dxa"/>
          </w:tcPr>
          <w:p w14:paraId="00AC96DD" w14:textId="77777777" w:rsidR="00EA27B0" w:rsidRDefault="00F42ECF">
            <w:pPr>
              <w:rPr>
                <w:rFonts w:ascii="Arial" w:hAnsi="Arial" w:cs="Arial"/>
                <w:sz w:val="24"/>
                <w:szCs w:val="24"/>
              </w:rPr>
            </w:pPr>
            <w:r>
              <w:rPr>
                <w:rFonts w:ascii="Arial" w:hAnsi="Arial" w:cs="Arial"/>
                <w:sz w:val="24"/>
                <w:szCs w:val="24"/>
              </w:rPr>
              <w:t>30</w:t>
            </w:r>
          </w:p>
        </w:tc>
        <w:tc>
          <w:tcPr>
            <w:tcW w:w="1255" w:type="dxa"/>
          </w:tcPr>
          <w:p w14:paraId="7824566D" w14:textId="77777777" w:rsidR="00EA27B0" w:rsidRDefault="00F42ECF">
            <w:pPr>
              <w:rPr>
                <w:rFonts w:ascii="Arial" w:hAnsi="Arial" w:cs="Arial"/>
                <w:sz w:val="24"/>
                <w:szCs w:val="24"/>
              </w:rPr>
            </w:pPr>
            <w:r>
              <w:rPr>
                <w:rFonts w:ascii="Arial" w:hAnsi="Arial" w:cs="Arial"/>
                <w:sz w:val="24"/>
                <w:szCs w:val="24"/>
              </w:rPr>
              <w:t>20</w:t>
            </w:r>
          </w:p>
        </w:tc>
        <w:tc>
          <w:tcPr>
            <w:tcW w:w="1255" w:type="dxa"/>
          </w:tcPr>
          <w:p w14:paraId="25149201" w14:textId="77777777" w:rsidR="00EA27B0" w:rsidRDefault="00F42ECF">
            <w:pPr>
              <w:rPr>
                <w:rFonts w:ascii="Arial" w:hAnsi="Arial" w:cs="Arial"/>
                <w:sz w:val="24"/>
                <w:szCs w:val="24"/>
              </w:rPr>
            </w:pPr>
            <w:r>
              <w:rPr>
                <w:rFonts w:ascii="Arial" w:hAnsi="Arial" w:cs="Arial"/>
                <w:sz w:val="24"/>
                <w:szCs w:val="24"/>
              </w:rPr>
              <w:t>12</w:t>
            </w:r>
          </w:p>
        </w:tc>
      </w:tr>
      <w:tr w:rsidR="00EA27B0" w14:paraId="3D220EF9" w14:textId="77777777">
        <w:tc>
          <w:tcPr>
            <w:tcW w:w="1735" w:type="dxa"/>
          </w:tcPr>
          <w:p w14:paraId="1631906A" w14:textId="77777777" w:rsidR="00EA27B0" w:rsidRDefault="00F42ECF">
            <w:pPr>
              <w:spacing w:after="0"/>
              <w:jc w:val="both"/>
              <w:rPr>
                <w:rFonts w:ascii="Arial" w:hAnsi="Arial" w:cs="Arial"/>
                <w:b/>
                <w:sz w:val="24"/>
                <w:szCs w:val="24"/>
              </w:rPr>
            </w:pPr>
            <w:r>
              <w:rPr>
                <w:rFonts w:ascii="Arial" w:hAnsi="Arial" w:cs="Arial"/>
                <w:b/>
                <w:sz w:val="24"/>
                <w:szCs w:val="24"/>
              </w:rPr>
              <w:t>Monocyte</w:t>
            </w:r>
          </w:p>
        </w:tc>
        <w:tc>
          <w:tcPr>
            <w:tcW w:w="1466" w:type="dxa"/>
          </w:tcPr>
          <w:p w14:paraId="067DDECB" w14:textId="77777777" w:rsidR="00EA27B0" w:rsidRDefault="00F42ECF">
            <w:pPr>
              <w:rPr>
                <w:rFonts w:ascii="Arial" w:hAnsi="Arial" w:cs="Arial"/>
                <w:sz w:val="24"/>
                <w:szCs w:val="24"/>
              </w:rPr>
            </w:pPr>
            <w:r>
              <w:rPr>
                <w:rFonts w:ascii="Arial" w:hAnsi="Arial" w:cs="Arial"/>
                <w:sz w:val="24"/>
                <w:szCs w:val="24"/>
              </w:rPr>
              <w:t>0</w:t>
            </w:r>
          </w:p>
        </w:tc>
        <w:tc>
          <w:tcPr>
            <w:tcW w:w="1442" w:type="dxa"/>
          </w:tcPr>
          <w:p w14:paraId="25D8D2A3" w14:textId="77777777" w:rsidR="00EA27B0" w:rsidRDefault="00F42ECF">
            <w:pPr>
              <w:rPr>
                <w:rFonts w:ascii="Arial" w:hAnsi="Arial" w:cs="Arial"/>
                <w:sz w:val="24"/>
                <w:szCs w:val="24"/>
              </w:rPr>
            </w:pPr>
            <w:r>
              <w:rPr>
                <w:rFonts w:ascii="Arial" w:hAnsi="Arial" w:cs="Arial"/>
                <w:sz w:val="24"/>
                <w:szCs w:val="24"/>
              </w:rPr>
              <w:t>0</w:t>
            </w:r>
          </w:p>
        </w:tc>
        <w:tc>
          <w:tcPr>
            <w:tcW w:w="1254" w:type="dxa"/>
          </w:tcPr>
          <w:p w14:paraId="0A15763C"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7465860E"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75D4B201"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7BBDD85B" w14:textId="77777777" w:rsidR="00EA27B0" w:rsidRDefault="00F42ECF">
            <w:pPr>
              <w:rPr>
                <w:rFonts w:ascii="Arial" w:hAnsi="Arial" w:cs="Arial"/>
                <w:sz w:val="24"/>
                <w:szCs w:val="24"/>
              </w:rPr>
            </w:pPr>
            <w:r>
              <w:rPr>
                <w:rFonts w:ascii="Arial" w:hAnsi="Arial" w:cs="Arial"/>
                <w:sz w:val="24"/>
                <w:szCs w:val="24"/>
              </w:rPr>
              <w:t>0</w:t>
            </w:r>
          </w:p>
        </w:tc>
      </w:tr>
      <w:tr w:rsidR="00EA27B0" w14:paraId="6E55E7A3" w14:textId="77777777">
        <w:tc>
          <w:tcPr>
            <w:tcW w:w="1735" w:type="dxa"/>
          </w:tcPr>
          <w:p w14:paraId="5EA5404B" w14:textId="77777777" w:rsidR="00EA27B0" w:rsidRDefault="00F42ECF">
            <w:pPr>
              <w:spacing w:after="0"/>
              <w:jc w:val="both"/>
              <w:rPr>
                <w:rFonts w:ascii="Arial" w:hAnsi="Arial" w:cs="Arial"/>
                <w:b/>
                <w:sz w:val="24"/>
                <w:szCs w:val="24"/>
              </w:rPr>
            </w:pPr>
            <w:r>
              <w:rPr>
                <w:rFonts w:ascii="Arial" w:hAnsi="Arial" w:cs="Arial"/>
                <w:b/>
                <w:sz w:val="24"/>
                <w:szCs w:val="24"/>
              </w:rPr>
              <w:t>Eosinophil</w:t>
            </w:r>
          </w:p>
        </w:tc>
        <w:tc>
          <w:tcPr>
            <w:tcW w:w="1466" w:type="dxa"/>
          </w:tcPr>
          <w:p w14:paraId="04A07549" w14:textId="77777777" w:rsidR="00EA27B0" w:rsidRDefault="00F42ECF">
            <w:pPr>
              <w:rPr>
                <w:rFonts w:ascii="Arial" w:hAnsi="Arial" w:cs="Arial"/>
                <w:sz w:val="24"/>
                <w:szCs w:val="24"/>
              </w:rPr>
            </w:pPr>
            <w:r>
              <w:rPr>
                <w:rFonts w:ascii="Arial" w:hAnsi="Arial" w:cs="Arial"/>
                <w:sz w:val="24"/>
                <w:szCs w:val="24"/>
              </w:rPr>
              <w:t>2</w:t>
            </w:r>
          </w:p>
        </w:tc>
        <w:tc>
          <w:tcPr>
            <w:tcW w:w="1442" w:type="dxa"/>
          </w:tcPr>
          <w:p w14:paraId="1AC0248C" w14:textId="77777777" w:rsidR="00EA27B0" w:rsidRDefault="00F42ECF">
            <w:pPr>
              <w:rPr>
                <w:rFonts w:ascii="Arial" w:hAnsi="Arial" w:cs="Arial"/>
                <w:sz w:val="24"/>
                <w:szCs w:val="24"/>
              </w:rPr>
            </w:pPr>
            <w:r>
              <w:rPr>
                <w:rFonts w:ascii="Arial" w:hAnsi="Arial" w:cs="Arial"/>
                <w:sz w:val="24"/>
                <w:szCs w:val="24"/>
              </w:rPr>
              <w:t>0</w:t>
            </w:r>
          </w:p>
        </w:tc>
        <w:tc>
          <w:tcPr>
            <w:tcW w:w="1254" w:type="dxa"/>
          </w:tcPr>
          <w:p w14:paraId="5846DD15"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319C60BF"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57384B5D" w14:textId="77777777" w:rsidR="00EA27B0" w:rsidRDefault="00F42ECF">
            <w:pPr>
              <w:rPr>
                <w:rFonts w:ascii="Arial" w:hAnsi="Arial" w:cs="Arial"/>
                <w:sz w:val="24"/>
                <w:szCs w:val="24"/>
              </w:rPr>
            </w:pPr>
            <w:r>
              <w:rPr>
                <w:rFonts w:ascii="Arial" w:hAnsi="Arial" w:cs="Arial"/>
                <w:sz w:val="24"/>
                <w:szCs w:val="24"/>
              </w:rPr>
              <w:t>04</w:t>
            </w:r>
          </w:p>
        </w:tc>
        <w:tc>
          <w:tcPr>
            <w:tcW w:w="1255" w:type="dxa"/>
          </w:tcPr>
          <w:p w14:paraId="25B00FAB" w14:textId="77777777" w:rsidR="00EA27B0" w:rsidRDefault="00F42ECF">
            <w:pPr>
              <w:rPr>
                <w:rFonts w:ascii="Arial" w:hAnsi="Arial" w:cs="Arial"/>
                <w:sz w:val="24"/>
                <w:szCs w:val="24"/>
              </w:rPr>
            </w:pPr>
            <w:r>
              <w:rPr>
                <w:rFonts w:ascii="Arial" w:hAnsi="Arial" w:cs="Arial"/>
                <w:sz w:val="24"/>
                <w:szCs w:val="24"/>
              </w:rPr>
              <w:t>0</w:t>
            </w:r>
          </w:p>
        </w:tc>
      </w:tr>
      <w:tr w:rsidR="00EA27B0" w14:paraId="05E559CB" w14:textId="77777777">
        <w:tc>
          <w:tcPr>
            <w:tcW w:w="1735" w:type="dxa"/>
          </w:tcPr>
          <w:p w14:paraId="70A45438" w14:textId="77777777" w:rsidR="00EA27B0" w:rsidRDefault="00F42ECF">
            <w:pPr>
              <w:spacing w:after="0"/>
              <w:jc w:val="both"/>
              <w:rPr>
                <w:rFonts w:ascii="Arial" w:hAnsi="Arial" w:cs="Arial"/>
                <w:b/>
                <w:sz w:val="24"/>
                <w:szCs w:val="24"/>
              </w:rPr>
            </w:pPr>
            <w:r>
              <w:rPr>
                <w:rFonts w:ascii="Arial" w:hAnsi="Arial" w:cs="Arial"/>
                <w:b/>
                <w:sz w:val="24"/>
                <w:szCs w:val="24"/>
              </w:rPr>
              <w:t>Basophil</w:t>
            </w:r>
          </w:p>
        </w:tc>
        <w:tc>
          <w:tcPr>
            <w:tcW w:w="1466" w:type="dxa"/>
          </w:tcPr>
          <w:p w14:paraId="6B3FD9DC" w14:textId="77777777" w:rsidR="00EA27B0" w:rsidRDefault="00F42ECF">
            <w:pPr>
              <w:rPr>
                <w:rFonts w:ascii="Arial" w:hAnsi="Arial" w:cs="Arial"/>
                <w:sz w:val="24"/>
                <w:szCs w:val="24"/>
              </w:rPr>
            </w:pPr>
            <w:r>
              <w:rPr>
                <w:rFonts w:ascii="Arial" w:hAnsi="Arial" w:cs="Arial"/>
                <w:sz w:val="24"/>
                <w:szCs w:val="24"/>
              </w:rPr>
              <w:t>0</w:t>
            </w:r>
          </w:p>
        </w:tc>
        <w:tc>
          <w:tcPr>
            <w:tcW w:w="1442" w:type="dxa"/>
          </w:tcPr>
          <w:p w14:paraId="0B95ADF5" w14:textId="77777777" w:rsidR="00EA27B0" w:rsidRDefault="00F42ECF">
            <w:pPr>
              <w:rPr>
                <w:rFonts w:ascii="Arial" w:hAnsi="Arial" w:cs="Arial"/>
                <w:sz w:val="24"/>
                <w:szCs w:val="24"/>
              </w:rPr>
            </w:pPr>
            <w:r>
              <w:rPr>
                <w:rFonts w:ascii="Arial" w:hAnsi="Arial" w:cs="Arial"/>
                <w:sz w:val="24"/>
                <w:szCs w:val="24"/>
              </w:rPr>
              <w:t>0</w:t>
            </w:r>
          </w:p>
        </w:tc>
        <w:tc>
          <w:tcPr>
            <w:tcW w:w="1254" w:type="dxa"/>
          </w:tcPr>
          <w:p w14:paraId="083F4C2D"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7F5A085A"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3BFF52C4" w14:textId="77777777" w:rsidR="00EA27B0" w:rsidRDefault="00F42ECF">
            <w:pPr>
              <w:rPr>
                <w:rFonts w:ascii="Arial" w:hAnsi="Arial" w:cs="Arial"/>
                <w:sz w:val="24"/>
                <w:szCs w:val="24"/>
              </w:rPr>
            </w:pPr>
            <w:r>
              <w:rPr>
                <w:rFonts w:ascii="Arial" w:hAnsi="Arial" w:cs="Arial"/>
                <w:sz w:val="24"/>
                <w:szCs w:val="24"/>
              </w:rPr>
              <w:t>0</w:t>
            </w:r>
          </w:p>
        </w:tc>
        <w:tc>
          <w:tcPr>
            <w:tcW w:w="1255" w:type="dxa"/>
          </w:tcPr>
          <w:p w14:paraId="4D16FC99" w14:textId="77777777" w:rsidR="00EA27B0" w:rsidRDefault="00F42ECF">
            <w:pPr>
              <w:rPr>
                <w:rFonts w:ascii="Arial" w:hAnsi="Arial" w:cs="Arial"/>
                <w:sz w:val="24"/>
                <w:szCs w:val="24"/>
              </w:rPr>
            </w:pPr>
            <w:r>
              <w:rPr>
                <w:rFonts w:ascii="Arial" w:hAnsi="Arial" w:cs="Arial"/>
                <w:sz w:val="24"/>
                <w:szCs w:val="24"/>
              </w:rPr>
              <w:t>0</w:t>
            </w:r>
          </w:p>
        </w:tc>
      </w:tr>
      <w:tr w:rsidR="00EA27B0" w14:paraId="4D0BA829" w14:textId="77777777">
        <w:tc>
          <w:tcPr>
            <w:tcW w:w="1735" w:type="dxa"/>
          </w:tcPr>
          <w:p w14:paraId="4AB27CEA" w14:textId="77777777" w:rsidR="00EA27B0" w:rsidRDefault="00F42ECF">
            <w:pPr>
              <w:rPr>
                <w:rFonts w:ascii="Arial" w:hAnsi="Arial" w:cs="Arial"/>
                <w:b/>
                <w:sz w:val="24"/>
                <w:szCs w:val="24"/>
              </w:rPr>
            </w:pPr>
            <w:r>
              <w:rPr>
                <w:rFonts w:ascii="Arial" w:hAnsi="Arial" w:cs="Arial"/>
                <w:b/>
                <w:sz w:val="24"/>
                <w:szCs w:val="24"/>
              </w:rPr>
              <w:t>PCV</w:t>
            </w:r>
          </w:p>
        </w:tc>
        <w:tc>
          <w:tcPr>
            <w:tcW w:w="1466" w:type="dxa"/>
          </w:tcPr>
          <w:p w14:paraId="3C6EF161" w14:textId="77777777" w:rsidR="00EA27B0" w:rsidRDefault="00F42ECF">
            <w:pPr>
              <w:rPr>
                <w:rFonts w:ascii="Arial" w:hAnsi="Arial" w:cs="Arial"/>
                <w:sz w:val="24"/>
                <w:szCs w:val="24"/>
              </w:rPr>
            </w:pPr>
            <w:r>
              <w:rPr>
                <w:rFonts w:ascii="Arial" w:hAnsi="Arial" w:cs="Arial"/>
                <w:sz w:val="24"/>
                <w:szCs w:val="24"/>
              </w:rPr>
              <w:t>18.1</w:t>
            </w:r>
          </w:p>
        </w:tc>
        <w:tc>
          <w:tcPr>
            <w:tcW w:w="1442" w:type="dxa"/>
          </w:tcPr>
          <w:p w14:paraId="072EDDF3" w14:textId="77777777" w:rsidR="00EA27B0" w:rsidRDefault="00F42ECF">
            <w:pPr>
              <w:rPr>
                <w:rFonts w:ascii="Arial" w:hAnsi="Arial" w:cs="Arial"/>
                <w:sz w:val="24"/>
                <w:szCs w:val="24"/>
              </w:rPr>
            </w:pPr>
            <w:r>
              <w:rPr>
                <w:rFonts w:ascii="Arial" w:hAnsi="Arial" w:cs="Arial"/>
                <w:sz w:val="24"/>
                <w:szCs w:val="24"/>
              </w:rPr>
              <w:t>18</w:t>
            </w:r>
          </w:p>
        </w:tc>
        <w:tc>
          <w:tcPr>
            <w:tcW w:w="1254" w:type="dxa"/>
          </w:tcPr>
          <w:p w14:paraId="2C05603C" w14:textId="77777777" w:rsidR="00EA27B0" w:rsidRDefault="00F42ECF">
            <w:pPr>
              <w:rPr>
                <w:rFonts w:ascii="Arial" w:hAnsi="Arial" w:cs="Arial"/>
                <w:sz w:val="24"/>
                <w:szCs w:val="24"/>
              </w:rPr>
            </w:pPr>
            <w:r>
              <w:rPr>
                <w:rFonts w:ascii="Arial" w:hAnsi="Arial" w:cs="Arial"/>
                <w:sz w:val="24"/>
                <w:szCs w:val="24"/>
              </w:rPr>
              <w:t>20</w:t>
            </w:r>
          </w:p>
        </w:tc>
        <w:tc>
          <w:tcPr>
            <w:tcW w:w="1255" w:type="dxa"/>
          </w:tcPr>
          <w:p w14:paraId="6549B709" w14:textId="77777777" w:rsidR="00EA27B0" w:rsidRDefault="00F42ECF">
            <w:pPr>
              <w:rPr>
                <w:rFonts w:ascii="Arial" w:hAnsi="Arial" w:cs="Arial"/>
                <w:sz w:val="24"/>
                <w:szCs w:val="24"/>
              </w:rPr>
            </w:pPr>
            <w:r>
              <w:rPr>
                <w:rFonts w:ascii="Arial" w:hAnsi="Arial" w:cs="Arial"/>
                <w:sz w:val="24"/>
                <w:szCs w:val="24"/>
              </w:rPr>
              <w:t>20.1</w:t>
            </w:r>
          </w:p>
        </w:tc>
        <w:tc>
          <w:tcPr>
            <w:tcW w:w="1255" w:type="dxa"/>
          </w:tcPr>
          <w:p w14:paraId="57FFBAEC" w14:textId="77777777" w:rsidR="00EA27B0" w:rsidRDefault="00F42ECF">
            <w:pPr>
              <w:rPr>
                <w:rFonts w:ascii="Arial" w:hAnsi="Arial" w:cs="Arial"/>
                <w:sz w:val="24"/>
                <w:szCs w:val="24"/>
              </w:rPr>
            </w:pPr>
            <w:r>
              <w:rPr>
                <w:rFonts w:ascii="Arial" w:hAnsi="Arial" w:cs="Arial"/>
                <w:sz w:val="24"/>
                <w:szCs w:val="24"/>
              </w:rPr>
              <w:t>20.4</w:t>
            </w:r>
          </w:p>
        </w:tc>
        <w:tc>
          <w:tcPr>
            <w:tcW w:w="1255" w:type="dxa"/>
          </w:tcPr>
          <w:p w14:paraId="08B2C3BC" w14:textId="77777777" w:rsidR="00EA27B0" w:rsidRDefault="00F42ECF">
            <w:pPr>
              <w:rPr>
                <w:rFonts w:ascii="Arial" w:hAnsi="Arial" w:cs="Arial"/>
                <w:sz w:val="24"/>
                <w:szCs w:val="24"/>
              </w:rPr>
            </w:pPr>
            <w:r>
              <w:rPr>
                <w:rFonts w:ascii="Arial" w:hAnsi="Arial" w:cs="Arial"/>
                <w:sz w:val="24"/>
                <w:szCs w:val="24"/>
              </w:rPr>
              <w:t>17.5</w:t>
            </w:r>
          </w:p>
        </w:tc>
      </w:tr>
      <w:tr w:rsidR="00EA27B0" w14:paraId="28F92643" w14:textId="77777777">
        <w:tc>
          <w:tcPr>
            <w:tcW w:w="1735" w:type="dxa"/>
          </w:tcPr>
          <w:p w14:paraId="533F14D2" w14:textId="77777777" w:rsidR="00EA27B0" w:rsidRDefault="00F42ECF">
            <w:pPr>
              <w:rPr>
                <w:rFonts w:ascii="Arial" w:hAnsi="Arial" w:cs="Arial"/>
                <w:b/>
                <w:sz w:val="24"/>
                <w:szCs w:val="24"/>
              </w:rPr>
            </w:pPr>
            <w:r>
              <w:rPr>
                <w:rFonts w:ascii="Arial" w:hAnsi="Arial" w:cs="Arial"/>
                <w:b/>
                <w:sz w:val="24"/>
                <w:szCs w:val="24"/>
              </w:rPr>
              <w:t>Platelets</w:t>
            </w:r>
          </w:p>
        </w:tc>
        <w:tc>
          <w:tcPr>
            <w:tcW w:w="1466" w:type="dxa"/>
          </w:tcPr>
          <w:p w14:paraId="360E93A8" w14:textId="77777777" w:rsidR="00EA27B0" w:rsidRDefault="00F42ECF">
            <w:pPr>
              <w:rPr>
                <w:rFonts w:ascii="Arial" w:hAnsi="Arial" w:cs="Arial"/>
                <w:sz w:val="24"/>
                <w:szCs w:val="24"/>
              </w:rPr>
            </w:pPr>
            <w:r>
              <w:rPr>
                <w:rFonts w:ascii="Arial" w:hAnsi="Arial" w:cs="Arial"/>
                <w:sz w:val="24"/>
                <w:szCs w:val="24"/>
              </w:rPr>
              <w:t>192</w:t>
            </w:r>
          </w:p>
        </w:tc>
        <w:tc>
          <w:tcPr>
            <w:tcW w:w="1442" w:type="dxa"/>
          </w:tcPr>
          <w:p w14:paraId="684365ED" w14:textId="77777777" w:rsidR="00EA27B0" w:rsidRDefault="00F42ECF">
            <w:pPr>
              <w:rPr>
                <w:rFonts w:ascii="Arial" w:hAnsi="Arial" w:cs="Arial"/>
                <w:sz w:val="24"/>
                <w:szCs w:val="24"/>
              </w:rPr>
            </w:pPr>
            <w:r>
              <w:rPr>
                <w:rFonts w:ascii="Arial" w:hAnsi="Arial" w:cs="Arial"/>
                <w:sz w:val="24"/>
                <w:szCs w:val="24"/>
              </w:rPr>
              <w:t>125</w:t>
            </w:r>
          </w:p>
        </w:tc>
        <w:tc>
          <w:tcPr>
            <w:tcW w:w="1254" w:type="dxa"/>
          </w:tcPr>
          <w:p w14:paraId="7CAA2364" w14:textId="77777777" w:rsidR="00EA27B0" w:rsidRDefault="00F42ECF">
            <w:pPr>
              <w:rPr>
                <w:rFonts w:ascii="Arial" w:hAnsi="Arial" w:cs="Arial"/>
                <w:sz w:val="24"/>
                <w:szCs w:val="24"/>
              </w:rPr>
            </w:pPr>
            <w:r>
              <w:rPr>
                <w:rFonts w:ascii="Arial" w:hAnsi="Arial" w:cs="Arial"/>
                <w:sz w:val="24"/>
                <w:szCs w:val="24"/>
              </w:rPr>
              <w:t>155</w:t>
            </w:r>
          </w:p>
        </w:tc>
        <w:tc>
          <w:tcPr>
            <w:tcW w:w="1255" w:type="dxa"/>
          </w:tcPr>
          <w:p w14:paraId="261C9B8E" w14:textId="77777777" w:rsidR="00EA27B0" w:rsidRDefault="00F42ECF">
            <w:pPr>
              <w:rPr>
                <w:rFonts w:ascii="Arial" w:hAnsi="Arial" w:cs="Arial"/>
                <w:sz w:val="24"/>
                <w:szCs w:val="24"/>
              </w:rPr>
            </w:pPr>
            <w:r>
              <w:rPr>
                <w:rFonts w:ascii="Arial" w:hAnsi="Arial" w:cs="Arial"/>
                <w:sz w:val="24"/>
                <w:szCs w:val="24"/>
              </w:rPr>
              <w:t>97</w:t>
            </w:r>
          </w:p>
        </w:tc>
        <w:tc>
          <w:tcPr>
            <w:tcW w:w="1255" w:type="dxa"/>
          </w:tcPr>
          <w:p w14:paraId="3288638A" w14:textId="77777777" w:rsidR="00EA27B0" w:rsidRDefault="00F42ECF">
            <w:pPr>
              <w:rPr>
                <w:rFonts w:ascii="Arial" w:hAnsi="Arial" w:cs="Arial"/>
                <w:sz w:val="24"/>
                <w:szCs w:val="24"/>
              </w:rPr>
            </w:pPr>
            <w:r>
              <w:rPr>
                <w:rFonts w:ascii="Arial" w:hAnsi="Arial" w:cs="Arial"/>
                <w:sz w:val="24"/>
                <w:szCs w:val="24"/>
              </w:rPr>
              <w:t>106</w:t>
            </w:r>
          </w:p>
        </w:tc>
        <w:tc>
          <w:tcPr>
            <w:tcW w:w="1255" w:type="dxa"/>
          </w:tcPr>
          <w:p w14:paraId="355F6D84" w14:textId="77777777" w:rsidR="00EA27B0" w:rsidRDefault="00F42ECF">
            <w:pPr>
              <w:rPr>
                <w:rFonts w:ascii="Arial" w:hAnsi="Arial" w:cs="Arial"/>
                <w:sz w:val="24"/>
                <w:szCs w:val="24"/>
              </w:rPr>
            </w:pPr>
            <w:r>
              <w:rPr>
                <w:rFonts w:ascii="Arial" w:hAnsi="Arial" w:cs="Arial"/>
                <w:sz w:val="24"/>
                <w:szCs w:val="24"/>
              </w:rPr>
              <w:t>65</w:t>
            </w:r>
          </w:p>
        </w:tc>
      </w:tr>
      <w:tr w:rsidR="00EA27B0" w14:paraId="36EF5465" w14:textId="77777777">
        <w:tc>
          <w:tcPr>
            <w:tcW w:w="1735" w:type="dxa"/>
          </w:tcPr>
          <w:p w14:paraId="793DB2DA" w14:textId="77777777" w:rsidR="00EA27B0" w:rsidRDefault="00F42ECF">
            <w:pPr>
              <w:rPr>
                <w:rFonts w:ascii="Arial" w:hAnsi="Arial" w:cs="Arial"/>
                <w:b/>
                <w:sz w:val="24"/>
                <w:szCs w:val="24"/>
              </w:rPr>
            </w:pPr>
            <w:r>
              <w:rPr>
                <w:rFonts w:ascii="Arial" w:hAnsi="Arial" w:cs="Arial"/>
                <w:b/>
                <w:sz w:val="24"/>
                <w:szCs w:val="24"/>
              </w:rPr>
              <w:t>Total Bilirubin</w:t>
            </w:r>
          </w:p>
        </w:tc>
        <w:tc>
          <w:tcPr>
            <w:tcW w:w="1466" w:type="dxa"/>
          </w:tcPr>
          <w:p w14:paraId="4F033F38" w14:textId="77777777" w:rsidR="00EA27B0" w:rsidRDefault="00F42ECF">
            <w:pPr>
              <w:rPr>
                <w:rFonts w:ascii="Arial" w:hAnsi="Arial" w:cs="Arial"/>
                <w:sz w:val="24"/>
                <w:szCs w:val="24"/>
              </w:rPr>
            </w:pPr>
            <w:r>
              <w:rPr>
                <w:rFonts w:ascii="Arial" w:hAnsi="Arial" w:cs="Arial"/>
                <w:sz w:val="24"/>
                <w:szCs w:val="24"/>
              </w:rPr>
              <w:t>0.1</w:t>
            </w:r>
          </w:p>
        </w:tc>
        <w:tc>
          <w:tcPr>
            <w:tcW w:w="1442" w:type="dxa"/>
          </w:tcPr>
          <w:p w14:paraId="4A9D2215" w14:textId="77777777" w:rsidR="00EA27B0" w:rsidRDefault="00F42ECF">
            <w:pPr>
              <w:rPr>
                <w:rFonts w:ascii="Arial" w:hAnsi="Arial" w:cs="Arial"/>
                <w:sz w:val="24"/>
                <w:szCs w:val="24"/>
              </w:rPr>
            </w:pPr>
            <w:r>
              <w:rPr>
                <w:rFonts w:ascii="Arial" w:hAnsi="Arial" w:cs="Arial"/>
                <w:sz w:val="24"/>
                <w:szCs w:val="24"/>
              </w:rPr>
              <w:t>0.1</w:t>
            </w:r>
          </w:p>
        </w:tc>
        <w:tc>
          <w:tcPr>
            <w:tcW w:w="1254" w:type="dxa"/>
          </w:tcPr>
          <w:p w14:paraId="09315833" w14:textId="77777777" w:rsidR="00EA27B0" w:rsidRDefault="00F42ECF">
            <w:pPr>
              <w:rPr>
                <w:rFonts w:ascii="Arial" w:hAnsi="Arial" w:cs="Arial"/>
                <w:sz w:val="24"/>
                <w:szCs w:val="24"/>
              </w:rPr>
            </w:pPr>
            <w:r>
              <w:rPr>
                <w:rFonts w:ascii="Arial" w:hAnsi="Arial" w:cs="Arial"/>
                <w:sz w:val="24"/>
                <w:szCs w:val="24"/>
              </w:rPr>
              <w:t>0.1</w:t>
            </w:r>
          </w:p>
        </w:tc>
        <w:tc>
          <w:tcPr>
            <w:tcW w:w="1255" w:type="dxa"/>
          </w:tcPr>
          <w:p w14:paraId="45114477" w14:textId="77777777" w:rsidR="00EA27B0" w:rsidRDefault="00F42ECF">
            <w:pPr>
              <w:rPr>
                <w:rFonts w:ascii="Arial" w:hAnsi="Arial" w:cs="Arial"/>
                <w:sz w:val="24"/>
                <w:szCs w:val="24"/>
              </w:rPr>
            </w:pPr>
            <w:r>
              <w:rPr>
                <w:rFonts w:ascii="Arial" w:hAnsi="Arial" w:cs="Arial"/>
                <w:sz w:val="24"/>
                <w:szCs w:val="24"/>
              </w:rPr>
              <w:t>0.1</w:t>
            </w:r>
          </w:p>
        </w:tc>
        <w:tc>
          <w:tcPr>
            <w:tcW w:w="1255" w:type="dxa"/>
          </w:tcPr>
          <w:p w14:paraId="427C5BF4" w14:textId="77777777" w:rsidR="00EA27B0" w:rsidRDefault="00F42ECF">
            <w:pPr>
              <w:rPr>
                <w:rFonts w:ascii="Arial" w:hAnsi="Arial" w:cs="Arial"/>
                <w:sz w:val="24"/>
                <w:szCs w:val="24"/>
              </w:rPr>
            </w:pPr>
            <w:r>
              <w:rPr>
                <w:rFonts w:ascii="Arial" w:hAnsi="Arial" w:cs="Arial"/>
                <w:sz w:val="24"/>
                <w:szCs w:val="24"/>
              </w:rPr>
              <w:t>0.1</w:t>
            </w:r>
          </w:p>
        </w:tc>
        <w:tc>
          <w:tcPr>
            <w:tcW w:w="1255" w:type="dxa"/>
          </w:tcPr>
          <w:p w14:paraId="37E0677F" w14:textId="77777777" w:rsidR="00EA27B0" w:rsidRDefault="00F42ECF">
            <w:pPr>
              <w:rPr>
                <w:rFonts w:ascii="Arial" w:hAnsi="Arial" w:cs="Arial"/>
                <w:sz w:val="24"/>
                <w:szCs w:val="24"/>
              </w:rPr>
            </w:pPr>
            <w:r>
              <w:rPr>
                <w:rFonts w:ascii="Arial" w:hAnsi="Arial" w:cs="Arial"/>
                <w:sz w:val="24"/>
                <w:szCs w:val="24"/>
              </w:rPr>
              <w:t>0.2</w:t>
            </w:r>
          </w:p>
        </w:tc>
      </w:tr>
      <w:tr w:rsidR="00EA27B0" w14:paraId="5853FBA2" w14:textId="77777777">
        <w:tc>
          <w:tcPr>
            <w:tcW w:w="1735" w:type="dxa"/>
          </w:tcPr>
          <w:p w14:paraId="168577B1" w14:textId="77777777" w:rsidR="00EA27B0" w:rsidRDefault="00F42ECF">
            <w:pPr>
              <w:rPr>
                <w:rFonts w:ascii="Arial" w:hAnsi="Arial" w:cs="Arial"/>
                <w:b/>
                <w:sz w:val="24"/>
                <w:szCs w:val="24"/>
              </w:rPr>
            </w:pPr>
            <w:r>
              <w:rPr>
                <w:rFonts w:ascii="Arial" w:hAnsi="Arial" w:cs="Arial"/>
                <w:b/>
                <w:sz w:val="24"/>
                <w:szCs w:val="24"/>
              </w:rPr>
              <w:t>ALT</w:t>
            </w:r>
          </w:p>
        </w:tc>
        <w:tc>
          <w:tcPr>
            <w:tcW w:w="1466" w:type="dxa"/>
          </w:tcPr>
          <w:p w14:paraId="194D8257" w14:textId="77777777" w:rsidR="00EA27B0" w:rsidRDefault="00F42ECF">
            <w:pPr>
              <w:rPr>
                <w:rFonts w:ascii="Arial" w:hAnsi="Arial" w:cs="Arial"/>
                <w:sz w:val="24"/>
                <w:szCs w:val="24"/>
              </w:rPr>
            </w:pPr>
            <w:r>
              <w:rPr>
                <w:rFonts w:ascii="Arial" w:hAnsi="Arial" w:cs="Arial"/>
                <w:sz w:val="24"/>
                <w:szCs w:val="24"/>
              </w:rPr>
              <w:t>27</w:t>
            </w:r>
          </w:p>
        </w:tc>
        <w:tc>
          <w:tcPr>
            <w:tcW w:w="1442" w:type="dxa"/>
          </w:tcPr>
          <w:p w14:paraId="4D8E108E" w14:textId="77777777" w:rsidR="00EA27B0" w:rsidRDefault="00F42ECF">
            <w:pPr>
              <w:rPr>
                <w:rFonts w:ascii="Arial" w:hAnsi="Arial" w:cs="Arial"/>
                <w:sz w:val="24"/>
                <w:szCs w:val="24"/>
              </w:rPr>
            </w:pPr>
            <w:r>
              <w:rPr>
                <w:rFonts w:ascii="Arial" w:hAnsi="Arial" w:cs="Arial"/>
                <w:sz w:val="24"/>
                <w:szCs w:val="24"/>
              </w:rPr>
              <w:t>30</w:t>
            </w:r>
          </w:p>
        </w:tc>
        <w:tc>
          <w:tcPr>
            <w:tcW w:w="1254" w:type="dxa"/>
          </w:tcPr>
          <w:p w14:paraId="5E1E0654" w14:textId="77777777" w:rsidR="00EA27B0" w:rsidRDefault="00F42ECF">
            <w:pPr>
              <w:rPr>
                <w:rFonts w:ascii="Arial" w:hAnsi="Arial" w:cs="Arial"/>
                <w:sz w:val="24"/>
                <w:szCs w:val="24"/>
              </w:rPr>
            </w:pPr>
            <w:r>
              <w:rPr>
                <w:rFonts w:ascii="Arial" w:hAnsi="Arial" w:cs="Arial"/>
                <w:sz w:val="24"/>
                <w:szCs w:val="24"/>
              </w:rPr>
              <w:t>35</w:t>
            </w:r>
          </w:p>
        </w:tc>
        <w:tc>
          <w:tcPr>
            <w:tcW w:w="1255" w:type="dxa"/>
          </w:tcPr>
          <w:p w14:paraId="40E5B030" w14:textId="77777777" w:rsidR="00EA27B0" w:rsidRDefault="00F42ECF">
            <w:pPr>
              <w:rPr>
                <w:rFonts w:ascii="Arial" w:hAnsi="Arial" w:cs="Arial"/>
                <w:sz w:val="24"/>
                <w:szCs w:val="24"/>
              </w:rPr>
            </w:pPr>
            <w:r>
              <w:rPr>
                <w:rFonts w:ascii="Arial" w:hAnsi="Arial" w:cs="Arial"/>
                <w:sz w:val="24"/>
                <w:szCs w:val="24"/>
              </w:rPr>
              <w:t>38</w:t>
            </w:r>
          </w:p>
        </w:tc>
        <w:tc>
          <w:tcPr>
            <w:tcW w:w="1255" w:type="dxa"/>
          </w:tcPr>
          <w:p w14:paraId="46A4FBF3" w14:textId="77777777" w:rsidR="00EA27B0" w:rsidRDefault="00F42ECF">
            <w:pPr>
              <w:rPr>
                <w:rFonts w:ascii="Arial" w:hAnsi="Arial" w:cs="Arial"/>
                <w:sz w:val="24"/>
                <w:szCs w:val="24"/>
              </w:rPr>
            </w:pPr>
            <w:r>
              <w:rPr>
                <w:rFonts w:ascii="Arial" w:hAnsi="Arial" w:cs="Arial"/>
                <w:sz w:val="24"/>
                <w:szCs w:val="24"/>
              </w:rPr>
              <w:t>44</w:t>
            </w:r>
          </w:p>
        </w:tc>
        <w:tc>
          <w:tcPr>
            <w:tcW w:w="1255" w:type="dxa"/>
          </w:tcPr>
          <w:p w14:paraId="4262834D" w14:textId="77777777" w:rsidR="00EA27B0" w:rsidRDefault="00F42ECF">
            <w:pPr>
              <w:rPr>
                <w:rFonts w:ascii="Arial" w:hAnsi="Arial" w:cs="Arial"/>
                <w:sz w:val="24"/>
                <w:szCs w:val="24"/>
              </w:rPr>
            </w:pPr>
            <w:r>
              <w:rPr>
                <w:rFonts w:ascii="Arial" w:hAnsi="Arial" w:cs="Arial"/>
                <w:sz w:val="24"/>
                <w:szCs w:val="24"/>
              </w:rPr>
              <w:t>45</w:t>
            </w:r>
          </w:p>
        </w:tc>
      </w:tr>
      <w:tr w:rsidR="00EA27B0" w14:paraId="44C8E103" w14:textId="77777777">
        <w:tc>
          <w:tcPr>
            <w:tcW w:w="1735" w:type="dxa"/>
          </w:tcPr>
          <w:p w14:paraId="28E96DD0" w14:textId="77777777" w:rsidR="00EA27B0" w:rsidRDefault="00F42ECF">
            <w:pPr>
              <w:rPr>
                <w:rFonts w:ascii="Arial" w:hAnsi="Arial" w:cs="Arial"/>
                <w:b/>
                <w:sz w:val="24"/>
                <w:szCs w:val="24"/>
              </w:rPr>
            </w:pPr>
            <w:r>
              <w:rPr>
                <w:rFonts w:ascii="Arial" w:hAnsi="Arial" w:cs="Arial"/>
                <w:b/>
                <w:sz w:val="24"/>
                <w:szCs w:val="24"/>
              </w:rPr>
              <w:t>BUN</w:t>
            </w:r>
          </w:p>
        </w:tc>
        <w:tc>
          <w:tcPr>
            <w:tcW w:w="1466" w:type="dxa"/>
          </w:tcPr>
          <w:p w14:paraId="1E2696FC" w14:textId="77777777" w:rsidR="00EA27B0" w:rsidRDefault="00F42ECF">
            <w:pPr>
              <w:rPr>
                <w:rFonts w:ascii="Arial" w:hAnsi="Arial" w:cs="Arial"/>
                <w:sz w:val="24"/>
                <w:szCs w:val="24"/>
              </w:rPr>
            </w:pPr>
            <w:r>
              <w:rPr>
                <w:rFonts w:ascii="Arial" w:hAnsi="Arial" w:cs="Arial"/>
                <w:sz w:val="24"/>
                <w:szCs w:val="24"/>
              </w:rPr>
              <w:t>210</w:t>
            </w:r>
          </w:p>
        </w:tc>
        <w:tc>
          <w:tcPr>
            <w:tcW w:w="1442" w:type="dxa"/>
          </w:tcPr>
          <w:p w14:paraId="497B13E5" w14:textId="77777777" w:rsidR="00EA27B0" w:rsidRDefault="00F42ECF">
            <w:pPr>
              <w:rPr>
                <w:rFonts w:ascii="Arial" w:hAnsi="Arial" w:cs="Arial"/>
                <w:sz w:val="24"/>
                <w:szCs w:val="24"/>
              </w:rPr>
            </w:pPr>
            <w:r>
              <w:rPr>
                <w:rFonts w:ascii="Arial" w:hAnsi="Arial" w:cs="Arial"/>
                <w:sz w:val="24"/>
                <w:szCs w:val="24"/>
              </w:rPr>
              <w:t>110</w:t>
            </w:r>
          </w:p>
        </w:tc>
        <w:tc>
          <w:tcPr>
            <w:tcW w:w="1254" w:type="dxa"/>
          </w:tcPr>
          <w:p w14:paraId="11B70393" w14:textId="77777777" w:rsidR="00EA27B0" w:rsidRDefault="00F42ECF">
            <w:pPr>
              <w:rPr>
                <w:rFonts w:ascii="Arial" w:hAnsi="Arial" w:cs="Arial"/>
                <w:sz w:val="24"/>
                <w:szCs w:val="24"/>
              </w:rPr>
            </w:pPr>
            <w:r>
              <w:rPr>
                <w:rFonts w:ascii="Arial" w:hAnsi="Arial" w:cs="Arial"/>
                <w:sz w:val="24"/>
                <w:szCs w:val="24"/>
              </w:rPr>
              <w:t>140</w:t>
            </w:r>
          </w:p>
        </w:tc>
        <w:tc>
          <w:tcPr>
            <w:tcW w:w="1255" w:type="dxa"/>
          </w:tcPr>
          <w:p w14:paraId="3510C78A" w14:textId="77777777" w:rsidR="00EA27B0" w:rsidRDefault="00F42ECF">
            <w:pPr>
              <w:rPr>
                <w:rFonts w:ascii="Arial" w:hAnsi="Arial" w:cs="Arial"/>
                <w:sz w:val="24"/>
                <w:szCs w:val="24"/>
              </w:rPr>
            </w:pPr>
            <w:r>
              <w:rPr>
                <w:rFonts w:ascii="Arial" w:hAnsi="Arial" w:cs="Arial"/>
                <w:sz w:val="24"/>
                <w:szCs w:val="24"/>
              </w:rPr>
              <w:t>50</w:t>
            </w:r>
          </w:p>
        </w:tc>
        <w:tc>
          <w:tcPr>
            <w:tcW w:w="1255" w:type="dxa"/>
          </w:tcPr>
          <w:p w14:paraId="5FC3C841" w14:textId="77777777" w:rsidR="00EA27B0" w:rsidRDefault="00F42ECF">
            <w:pPr>
              <w:rPr>
                <w:rFonts w:ascii="Arial" w:hAnsi="Arial" w:cs="Arial"/>
                <w:sz w:val="24"/>
                <w:szCs w:val="24"/>
              </w:rPr>
            </w:pPr>
            <w:r>
              <w:rPr>
                <w:rFonts w:ascii="Arial" w:hAnsi="Arial" w:cs="Arial"/>
                <w:sz w:val="24"/>
                <w:szCs w:val="24"/>
              </w:rPr>
              <w:t>70</w:t>
            </w:r>
          </w:p>
        </w:tc>
        <w:tc>
          <w:tcPr>
            <w:tcW w:w="1255" w:type="dxa"/>
          </w:tcPr>
          <w:p w14:paraId="74E65E9F" w14:textId="77777777" w:rsidR="00EA27B0" w:rsidRDefault="00F42ECF">
            <w:pPr>
              <w:rPr>
                <w:rFonts w:ascii="Arial" w:hAnsi="Arial" w:cs="Arial"/>
                <w:sz w:val="24"/>
                <w:szCs w:val="24"/>
              </w:rPr>
            </w:pPr>
            <w:r>
              <w:rPr>
                <w:rFonts w:ascii="Arial" w:hAnsi="Arial" w:cs="Arial"/>
                <w:sz w:val="24"/>
                <w:szCs w:val="24"/>
              </w:rPr>
              <w:t>10</w:t>
            </w:r>
          </w:p>
        </w:tc>
      </w:tr>
      <w:tr w:rsidR="00EA27B0" w14:paraId="66C639D2" w14:textId="77777777">
        <w:tc>
          <w:tcPr>
            <w:tcW w:w="1735" w:type="dxa"/>
          </w:tcPr>
          <w:p w14:paraId="696D159E" w14:textId="77777777" w:rsidR="00EA27B0" w:rsidRDefault="00F42ECF">
            <w:pPr>
              <w:rPr>
                <w:rFonts w:ascii="Arial" w:hAnsi="Arial" w:cs="Arial"/>
                <w:b/>
                <w:sz w:val="24"/>
                <w:szCs w:val="24"/>
              </w:rPr>
            </w:pPr>
            <w:r>
              <w:rPr>
                <w:rFonts w:ascii="Arial" w:hAnsi="Arial" w:cs="Arial"/>
                <w:b/>
                <w:sz w:val="24"/>
                <w:szCs w:val="24"/>
              </w:rPr>
              <w:t>Creatinine</w:t>
            </w:r>
          </w:p>
        </w:tc>
        <w:tc>
          <w:tcPr>
            <w:tcW w:w="1466" w:type="dxa"/>
          </w:tcPr>
          <w:p w14:paraId="18E32CF6" w14:textId="77777777" w:rsidR="00EA27B0" w:rsidRDefault="00F42ECF">
            <w:pPr>
              <w:rPr>
                <w:rFonts w:ascii="Arial" w:hAnsi="Arial" w:cs="Arial"/>
                <w:sz w:val="24"/>
                <w:szCs w:val="24"/>
              </w:rPr>
            </w:pPr>
            <w:r>
              <w:rPr>
                <w:rFonts w:ascii="Arial" w:hAnsi="Arial" w:cs="Arial"/>
                <w:sz w:val="24"/>
                <w:szCs w:val="24"/>
              </w:rPr>
              <w:t>13.7</w:t>
            </w:r>
          </w:p>
        </w:tc>
        <w:tc>
          <w:tcPr>
            <w:tcW w:w="1442" w:type="dxa"/>
          </w:tcPr>
          <w:p w14:paraId="5E4095AF" w14:textId="77777777" w:rsidR="00EA27B0" w:rsidRDefault="00F42ECF">
            <w:pPr>
              <w:rPr>
                <w:rFonts w:ascii="Arial" w:hAnsi="Arial" w:cs="Arial"/>
                <w:sz w:val="24"/>
                <w:szCs w:val="24"/>
              </w:rPr>
            </w:pPr>
            <w:r>
              <w:rPr>
                <w:rFonts w:ascii="Arial" w:hAnsi="Arial" w:cs="Arial"/>
                <w:sz w:val="24"/>
                <w:szCs w:val="24"/>
              </w:rPr>
              <w:t>7.6</w:t>
            </w:r>
          </w:p>
        </w:tc>
        <w:tc>
          <w:tcPr>
            <w:tcW w:w="1254" w:type="dxa"/>
          </w:tcPr>
          <w:p w14:paraId="6EBB3CE1" w14:textId="77777777" w:rsidR="00EA27B0" w:rsidRDefault="00F42ECF">
            <w:pPr>
              <w:rPr>
                <w:rFonts w:ascii="Arial" w:hAnsi="Arial" w:cs="Arial"/>
                <w:sz w:val="24"/>
                <w:szCs w:val="24"/>
              </w:rPr>
            </w:pPr>
            <w:r>
              <w:rPr>
                <w:rFonts w:ascii="Arial" w:hAnsi="Arial" w:cs="Arial"/>
                <w:sz w:val="24"/>
                <w:szCs w:val="24"/>
              </w:rPr>
              <w:t>10</w:t>
            </w:r>
          </w:p>
        </w:tc>
        <w:tc>
          <w:tcPr>
            <w:tcW w:w="1255" w:type="dxa"/>
          </w:tcPr>
          <w:p w14:paraId="201B6991" w14:textId="77777777" w:rsidR="00EA27B0" w:rsidRDefault="00F42ECF">
            <w:pPr>
              <w:rPr>
                <w:rFonts w:ascii="Arial" w:hAnsi="Arial" w:cs="Arial"/>
                <w:sz w:val="24"/>
                <w:szCs w:val="24"/>
              </w:rPr>
            </w:pPr>
            <w:r>
              <w:rPr>
                <w:rFonts w:ascii="Arial" w:hAnsi="Arial" w:cs="Arial"/>
                <w:sz w:val="24"/>
                <w:szCs w:val="24"/>
              </w:rPr>
              <w:t>2.3</w:t>
            </w:r>
          </w:p>
        </w:tc>
        <w:tc>
          <w:tcPr>
            <w:tcW w:w="1255" w:type="dxa"/>
          </w:tcPr>
          <w:p w14:paraId="56ADB3D2" w14:textId="77777777" w:rsidR="00EA27B0" w:rsidRDefault="00F42ECF">
            <w:pPr>
              <w:rPr>
                <w:rFonts w:ascii="Arial" w:hAnsi="Arial" w:cs="Arial"/>
                <w:sz w:val="24"/>
                <w:szCs w:val="24"/>
              </w:rPr>
            </w:pPr>
            <w:r>
              <w:rPr>
                <w:rFonts w:ascii="Arial" w:hAnsi="Arial" w:cs="Arial"/>
                <w:sz w:val="24"/>
                <w:szCs w:val="24"/>
              </w:rPr>
              <w:t>4.3</w:t>
            </w:r>
          </w:p>
        </w:tc>
        <w:tc>
          <w:tcPr>
            <w:tcW w:w="1255" w:type="dxa"/>
          </w:tcPr>
          <w:p w14:paraId="60D85874" w14:textId="77777777" w:rsidR="00EA27B0" w:rsidRDefault="00F42ECF">
            <w:pPr>
              <w:rPr>
                <w:rFonts w:ascii="Arial" w:hAnsi="Arial" w:cs="Arial"/>
                <w:sz w:val="24"/>
                <w:szCs w:val="24"/>
              </w:rPr>
            </w:pPr>
            <w:r>
              <w:rPr>
                <w:rFonts w:ascii="Arial" w:hAnsi="Arial" w:cs="Arial"/>
                <w:sz w:val="24"/>
                <w:szCs w:val="24"/>
              </w:rPr>
              <w:t>1.4</w:t>
            </w:r>
          </w:p>
        </w:tc>
      </w:tr>
      <w:tr w:rsidR="00EA27B0" w14:paraId="301E4183" w14:textId="77777777">
        <w:tc>
          <w:tcPr>
            <w:tcW w:w="1735" w:type="dxa"/>
          </w:tcPr>
          <w:p w14:paraId="5DA52BC4" w14:textId="77777777" w:rsidR="00EA27B0" w:rsidRDefault="00F42ECF">
            <w:pPr>
              <w:rPr>
                <w:rFonts w:ascii="Arial" w:hAnsi="Arial" w:cs="Arial"/>
                <w:b/>
                <w:sz w:val="24"/>
                <w:szCs w:val="24"/>
              </w:rPr>
            </w:pPr>
            <w:r>
              <w:rPr>
                <w:rFonts w:ascii="Arial" w:hAnsi="Arial" w:cs="Arial"/>
                <w:b/>
                <w:sz w:val="24"/>
                <w:szCs w:val="24"/>
              </w:rPr>
              <w:t>Sodium</w:t>
            </w:r>
          </w:p>
        </w:tc>
        <w:tc>
          <w:tcPr>
            <w:tcW w:w="1466" w:type="dxa"/>
          </w:tcPr>
          <w:p w14:paraId="248CEF6C" w14:textId="77777777" w:rsidR="00EA27B0" w:rsidRDefault="00F42ECF">
            <w:pPr>
              <w:rPr>
                <w:rFonts w:ascii="Arial" w:hAnsi="Arial" w:cs="Arial"/>
                <w:sz w:val="24"/>
                <w:szCs w:val="24"/>
              </w:rPr>
            </w:pPr>
            <w:r>
              <w:rPr>
                <w:rFonts w:ascii="Arial" w:hAnsi="Arial" w:cs="Arial"/>
                <w:sz w:val="24"/>
                <w:szCs w:val="24"/>
              </w:rPr>
              <w:t>146</w:t>
            </w:r>
          </w:p>
        </w:tc>
        <w:tc>
          <w:tcPr>
            <w:tcW w:w="1442" w:type="dxa"/>
          </w:tcPr>
          <w:p w14:paraId="4DC9C751" w14:textId="77777777" w:rsidR="00EA27B0" w:rsidRDefault="00F42ECF">
            <w:pPr>
              <w:rPr>
                <w:rFonts w:ascii="Arial" w:hAnsi="Arial" w:cs="Arial"/>
                <w:sz w:val="24"/>
                <w:szCs w:val="24"/>
              </w:rPr>
            </w:pPr>
            <w:r>
              <w:rPr>
                <w:rFonts w:ascii="Arial" w:hAnsi="Arial" w:cs="Arial"/>
                <w:sz w:val="24"/>
                <w:szCs w:val="24"/>
              </w:rPr>
              <w:t>144</w:t>
            </w:r>
          </w:p>
        </w:tc>
        <w:tc>
          <w:tcPr>
            <w:tcW w:w="1254" w:type="dxa"/>
          </w:tcPr>
          <w:p w14:paraId="50F05A66" w14:textId="77777777" w:rsidR="00EA27B0" w:rsidRDefault="00F42ECF">
            <w:pPr>
              <w:rPr>
                <w:rFonts w:ascii="Arial" w:hAnsi="Arial" w:cs="Arial"/>
                <w:sz w:val="24"/>
                <w:szCs w:val="24"/>
              </w:rPr>
            </w:pPr>
            <w:r>
              <w:rPr>
                <w:rFonts w:ascii="Arial" w:hAnsi="Arial" w:cs="Arial"/>
                <w:sz w:val="24"/>
                <w:szCs w:val="24"/>
              </w:rPr>
              <w:t>142</w:t>
            </w:r>
          </w:p>
        </w:tc>
        <w:tc>
          <w:tcPr>
            <w:tcW w:w="1255" w:type="dxa"/>
          </w:tcPr>
          <w:p w14:paraId="2FC8CB14" w14:textId="77777777" w:rsidR="00EA27B0" w:rsidRDefault="00F42ECF">
            <w:pPr>
              <w:rPr>
                <w:rFonts w:ascii="Arial" w:hAnsi="Arial" w:cs="Arial"/>
                <w:sz w:val="24"/>
                <w:szCs w:val="24"/>
              </w:rPr>
            </w:pPr>
            <w:r>
              <w:rPr>
                <w:rFonts w:ascii="Arial" w:hAnsi="Arial" w:cs="Arial"/>
                <w:sz w:val="24"/>
                <w:szCs w:val="24"/>
              </w:rPr>
              <w:t>145</w:t>
            </w:r>
          </w:p>
        </w:tc>
        <w:tc>
          <w:tcPr>
            <w:tcW w:w="1255" w:type="dxa"/>
          </w:tcPr>
          <w:p w14:paraId="452397CE" w14:textId="77777777" w:rsidR="00EA27B0" w:rsidRDefault="00F42ECF">
            <w:pPr>
              <w:rPr>
                <w:rFonts w:ascii="Arial" w:hAnsi="Arial" w:cs="Arial"/>
                <w:sz w:val="24"/>
                <w:szCs w:val="24"/>
              </w:rPr>
            </w:pPr>
            <w:r>
              <w:rPr>
                <w:rFonts w:ascii="Arial" w:hAnsi="Arial" w:cs="Arial"/>
                <w:sz w:val="24"/>
                <w:szCs w:val="24"/>
              </w:rPr>
              <w:t>147</w:t>
            </w:r>
          </w:p>
        </w:tc>
        <w:tc>
          <w:tcPr>
            <w:tcW w:w="1255" w:type="dxa"/>
          </w:tcPr>
          <w:p w14:paraId="01839600" w14:textId="77777777" w:rsidR="00EA27B0" w:rsidRDefault="00F42ECF">
            <w:pPr>
              <w:rPr>
                <w:rFonts w:ascii="Arial" w:hAnsi="Arial" w:cs="Arial"/>
                <w:sz w:val="24"/>
                <w:szCs w:val="24"/>
              </w:rPr>
            </w:pPr>
            <w:r>
              <w:rPr>
                <w:rFonts w:ascii="Arial" w:hAnsi="Arial" w:cs="Arial"/>
                <w:sz w:val="24"/>
                <w:szCs w:val="24"/>
              </w:rPr>
              <w:t>142</w:t>
            </w:r>
          </w:p>
        </w:tc>
      </w:tr>
      <w:tr w:rsidR="00EA27B0" w14:paraId="4B79B6FC" w14:textId="77777777">
        <w:tc>
          <w:tcPr>
            <w:tcW w:w="1735" w:type="dxa"/>
          </w:tcPr>
          <w:p w14:paraId="13C40B52" w14:textId="77777777" w:rsidR="00EA27B0" w:rsidRDefault="00F42ECF">
            <w:pPr>
              <w:rPr>
                <w:rFonts w:ascii="Arial" w:hAnsi="Arial" w:cs="Arial"/>
                <w:b/>
                <w:sz w:val="24"/>
                <w:szCs w:val="24"/>
              </w:rPr>
            </w:pPr>
            <w:r>
              <w:rPr>
                <w:rFonts w:ascii="Arial" w:hAnsi="Arial" w:cs="Arial"/>
                <w:b/>
                <w:sz w:val="24"/>
                <w:szCs w:val="24"/>
              </w:rPr>
              <w:t>Potassium</w:t>
            </w:r>
          </w:p>
        </w:tc>
        <w:tc>
          <w:tcPr>
            <w:tcW w:w="1466" w:type="dxa"/>
          </w:tcPr>
          <w:p w14:paraId="62F307C4" w14:textId="77777777" w:rsidR="00EA27B0" w:rsidRDefault="00F42ECF">
            <w:pPr>
              <w:rPr>
                <w:rFonts w:ascii="Arial" w:hAnsi="Arial" w:cs="Arial"/>
                <w:sz w:val="24"/>
                <w:szCs w:val="24"/>
              </w:rPr>
            </w:pPr>
            <w:r>
              <w:rPr>
                <w:rFonts w:ascii="Arial" w:hAnsi="Arial" w:cs="Arial"/>
                <w:sz w:val="24"/>
                <w:szCs w:val="24"/>
              </w:rPr>
              <w:t>4.7</w:t>
            </w:r>
          </w:p>
        </w:tc>
        <w:tc>
          <w:tcPr>
            <w:tcW w:w="1442" w:type="dxa"/>
          </w:tcPr>
          <w:p w14:paraId="207DCA87" w14:textId="77777777" w:rsidR="00EA27B0" w:rsidRDefault="00F42ECF">
            <w:pPr>
              <w:rPr>
                <w:rFonts w:ascii="Arial" w:hAnsi="Arial" w:cs="Arial"/>
                <w:sz w:val="24"/>
                <w:szCs w:val="24"/>
              </w:rPr>
            </w:pPr>
            <w:r>
              <w:rPr>
                <w:rFonts w:ascii="Arial" w:hAnsi="Arial" w:cs="Arial"/>
                <w:sz w:val="24"/>
                <w:szCs w:val="24"/>
              </w:rPr>
              <w:t>4.2</w:t>
            </w:r>
          </w:p>
        </w:tc>
        <w:tc>
          <w:tcPr>
            <w:tcW w:w="1254" w:type="dxa"/>
          </w:tcPr>
          <w:p w14:paraId="14CF5072" w14:textId="77777777" w:rsidR="00EA27B0" w:rsidRDefault="00F42ECF">
            <w:pPr>
              <w:rPr>
                <w:rFonts w:ascii="Arial" w:hAnsi="Arial" w:cs="Arial"/>
                <w:sz w:val="24"/>
                <w:szCs w:val="24"/>
              </w:rPr>
            </w:pPr>
            <w:r>
              <w:rPr>
                <w:rFonts w:ascii="Arial" w:hAnsi="Arial" w:cs="Arial"/>
                <w:sz w:val="24"/>
                <w:szCs w:val="24"/>
              </w:rPr>
              <w:t>4.4</w:t>
            </w:r>
          </w:p>
        </w:tc>
        <w:tc>
          <w:tcPr>
            <w:tcW w:w="1255" w:type="dxa"/>
          </w:tcPr>
          <w:p w14:paraId="704DF01D" w14:textId="77777777" w:rsidR="00EA27B0" w:rsidRDefault="00F42ECF">
            <w:pPr>
              <w:rPr>
                <w:rFonts w:ascii="Arial" w:hAnsi="Arial" w:cs="Arial"/>
                <w:sz w:val="24"/>
                <w:szCs w:val="24"/>
              </w:rPr>
            </w:pPr>
            <w:r>
              <w:rPr>
                <w:rFonts w:ascii="Arial" w:hAnsi="Arial" w:cs="Arial"/>
                <w:sz w:val="24"/>
                <w:szCs w:val="24"/>
              </w:rPr>
              <w:t>4</w:t>
            </w:r>
          </w:p>
        </w:tc>
        <w:tc>
          <w:tcPr>
            <w:tcW w:w="1255" w:type="dxa"/>
          </w:tcPr>
          <w:p w14:paraId="79018C68" w14:textId="77777777" w:rsidR="00EA27B0" w:rsidRDefault="00F42ECF">
            <w:pPr>
              <w:rPr>
                <w:rFonts w:ascii="Arial" w:hAnsi="Arial" w:cs="Arial"/>
                <w:sz w:val="24"/>
                <w:szCs w:val="24"/>
              </w:rPr>
            </w:pPr>
            <w:r>
              <w:rPr>
                <w:rFonts w:ascii="Arial" w:hAnsi="Arial" w:cs="Arial"/>
                <w:sz w:val="24"/>
                <w:szCs w:val="24"/>
              </w:rPr>
              <w:t>3.9</w:t>
            </w:r>
          </w:p>
        </w:tc>
        <w:tc>
          <w:tcPr>
            <w:tcW w:w="1255" w:type="dxa"/>
          </w:tcPr>
          <w:p w14:paraId="4B7465FF" w14:textId="77777777" w:rsidR="00EA27B0" w:rsidRDefault="00F42ECF">
            <w:pPr>
              <w:rPr>
                <w:rFonts w:ascii="Arial" w:hAnsi="Arial" w:cs="Arial"/>
                <w:sz w:val="24"/>
                <w:szCs w:val="24"/>
              </w:rPr>
            </w:pPr>
            <w:r>
              <w:rPr>
                <w:rFonts w:ascii="Arial" w:hAnsi="Arial" w:cs="Arial"/>
                <w:sz w:val="24"/>
                <w:szCs w:val="24"/>
              </w:rPr>
              <w:t>4.8</w:t>
            </w:r>
          </w:p>
        </w:tc>
      </w:tr>
      <w:tr w:rsidR="00EA27B0" w14:paraId="34058A3D" w14:textId="77777777">
        <w:tc>
          <w:tcPr>
            <w:tcW w:w="1735" w:type="dxa"/>
          </w:tcPr>
          <w:p w14:paraId="176DC91A" w14:textId="77777777" w:rsidR="00EA27B0" w:rsidRDefault="00F42ECF">
            <w:pPr>
              <w:spacing w:after="0"/>
              <w:jc w:val="both"/>
              <w:rPr>
                <w:rFonts w:ascii="Arial" w:hAnsi="Arial" w:cs="Arial"/>
                <w:b/>
                <w:sz w:val="24"/>
                <w:szCs w:val="24"/>
              </w:rPr>
            </w:pPr>
            <w:r>
              <w:rPr>
                <w:rFonts w:ascii="Arial" w:hAnsi="Arial" w:cs="Arial"/>
                <w:b/>
                <w:sz w:val="24"/>
                <w:szCs w:val="24"/>
              </w:rPr>
              <w:t>Chloride</w:t>
            </w:r>
          </w:p>
        </w:tc>
        <w:tc>
          <w:tcPr>
            <w:tcW w:w="1466" w:type="dxa"/>
          </w:tcPr>
          <w:p w14:paraId="69C89EF8" w14:textId="77777777" w:rsidR="00EA27B0" w:rsidRDefault="00F42ECF">
            <w:pPr>
              <w:rPr>
                <w:rFonts w:ascii="Arial" w:hAnsi="Arial" w:cs="Arial"/>
                <w:sz w:val="24"/>
                <w:szCs w:val="24"/>
              </w:rPr>
            </w:pPr>
            <w:r>
              <w:rPr>
                <w:rFonts w:ascii="Arial" w:hAnsi="Arial" w:cs="Arial"/>
                <w:sz w:val="24"/>
                <w:szCs w:val="24"/>
              </w:rPr>
              <w:t>108</w:t>
            </w:r>
          </w:p>
        </w:tc>
        <w:tc>
          <w:tcPr>
            <w:tcW w:w="1442" w:type="dxa"/>
          </w:tcPr>
          <w:p w14:paraId="50877698" w14:textId="77777777" w:rsidR="00EA27B0" w:rsidRDefault="00F42ECF">
            <w:pPr>
              <w:rPr>
                <w:rFonts w:ascii="Arial" w:hAnsi="Arial" w:cs="Arial"/>
                <w:sz w:val="24"/>
                <w:szCs w:val="24"/>
              </w:rPr>
            </w:pPr>
            <w:r>
              <w:rPr>
                <w:rFonts w:ascii="Arial" w:hAnsi="Arial" w:cs="Arial"/>
                <w:sz w:val="24"/>
                <w:szCs w:val="24"/>
              </w:rPr>
              <w:t>110</w:t>
            </w:r>
          </w:p>
        </w:tc>
        <w:tc>
          <w:tcPr>
            <w:tcW w:w="1254" w:type="dxa"/>
          </w:tcPr>
          <w:p w14:paraId="77DD91A3" w14:textId="77777777" w:rsidR="00EA27B0" w:rsidRDefault="00F42ECF">
            <w:pPr>
              <w:rPr>
                <w:rFonts w:ascii="Arial" w:hAnsi="Arial" w:cs="Arial"/>
                <w:sz w:val="24"/>
                <w:szCs w:val="24"/>
              </w:rPr>
            </w:pPr>
            <w:r>
              <w:rPr>
                <w:rFonts w:ascii="Arial" w:hAnsi="Arial" w:cs="Arial"/>
                <w:sz w:val="24"/>
                <w:szCs w:val="24"/>
              </w:rPr>
              <w:t>111</w:t>
            </w:r>
          </w:p>
        </w:tc>
        <w:tc>
          <w:tcPr>
            <w:tcW w:w="1255" w:type="dxa"/>
          </w:tcPr>
          <w:p w14:paraId="0A29140D" w14:textId="77777777" w:rsidR="00EA27B0" w:rsidRDefault="00F42ECF">
            <w:pPr>
              <w:rPr>
                <w:rFonts w:ascii="Arial" w:hAnsi="Arial" w:cs="Arial"/>
                <w:sz w:val="24"/>
                <w:szCs w:val="24"/>
              </w:rPr>
            </w:pPr>
            <w:r>
              <w:rPr>
                <w:rFonts w:ascii="Arial" w:hAnsi="Arial" w:cs="Arial"/>
                <w:sz w:val="24"/>
                <w:szCs w:val="24"/>
              </w:rPr>
              <w:t>106</w:t>
            </w:r>
          </w:p>
        </w:tc>
        <w:tc>
          <w:tcPr>
            <w:tcW w:w="1255" w:type="dxa"/>
          </w:tcPr>
          <w:p w14:paraId="64F2F7AF" w14:textId="77777777" w:rsidR="00EA27B0" w:rsidRDefault="00F42ECF">
            <w:pPr>
              <w:rPr>
                <w:rFonts w:ascii="Arial" w:hAnsi="Arial" w:cs="Arial"/>
                <w:sz w:val="24"/>
                <w:szCs w:val="24"/>
              </w:rPr>
            </w:pPr>
            <w:r>
              <w:rPr>
                <w:rFonts w:ascii="Arial" w:hAnsi="Arial" w:cs="Arial"/>
                <w:sz w:val="24"/>
                <w:szCs w:val="24"/>
              </w:rPr>
              <w:t>102</w:t>
            </w:r>
          </w:p>
        </w:tc>
        <w:tc>
          <w:tcPr>
            <w:tcW w:w="1255" w:type="dxa"/>
          </w:tcPr>
          <w:p w14:paraId="5814E0EB" w14:textId="77777777" w:rsidR="00EA27B0" w:rsidRDefault="00F42ECF">
            <w:pPr>
              <w:rPr>
                <w:rFonts w:ascii="Arial" w:hAnsi="Arial" w:cs="Arial"/>
                <w:sz w:val="24"/>
                <w:szCs w:val="24"/>
              </w:rPr>
            </w:pPr>
            <w:r>
              <w:rPr>
                <w:rFonts w:ascii="Arial" w:hAnsi="Arial" w:cs="Arial"/>
                <w:sz w:val="24"/>
                <w:szCs w:val="24"/>
              </w:rPr>
              <w:t>108</w:t>
            </w:r>
          </w:p>
        </w:tc>
      </w:tr>
      <w:tr w:rsidR="00EA27B0" w14:paraId="6BF657DC" w14:textId="77777777">
        <w:tc>
          <w:tcPr>
            <w:tcW w:w="1735" w:type="dxa"/>
          </w:tcPr>
          <w:p w14:paraId="53950B18" w14:textId="77777777" w:rsidR="00EA27B0" w:rsidRDefault="00F42ECF">
            <w:pPr>
              <w:spacing w:after="0"/>
              <w:jc w:val="both"/>
              <w:rPr>
                <w:rFonts w:ascii="Arial" w:hAnsi="Arial" w:cs="Arial"/>
                <w:b/>
                <w:sz w:val="24"/>
                <w:szCs w:val="24"/>
              </w:rPr>
            </w:pPr>
            <w:r>
              <w:rPr>
                <w:rFonts w:ascii="Arial" w:hAnsi="Arial" w:cs="Arial"/>
                <w:b/>
                <w:sz w:val="24"/>
                <w:szCs w:val="24"/>
              </w:rPr>
              <w:t>Phosphorus</w:t>
            </w:r>
          </w:p>
        </w:tc>
        <w:tc>
          <w:tcPr>
            <w:tcW w:w="1466" w:type="dxa"/>
          </w:tcPr>
          <w:p w14:paraId="17D775C2" w14:textId="77777777" w:rsidR="00EA27B0" w:rsidRDefault="00F42ECF">
            <w:pPr>
              <w:rPr>
                <w:rFonts w:ascii="Arial" w:hAnsi="Arial" w:cs="Arial"/>
                <w:sz w:val="24"/>
                <w:szCs w:val="24"/>
              </w:rPr>
            </w:pPr>
            <w:r>
              <w:rPr>
                <w:rFonts w:ascii="Arial" w:hAnsi="Arial" w:cs="Arial"/>
                <w:sz w:val="24"/>
                <w:szCs w:val="24"/>
              </w:rPr>
              <w:t>16.4</w:t>
            </w:r>
          </w:p>
        </w:tc>
        <w:tc>
          <w:tcPr>
            <w:tcW w:w="1442" w:type="dxa"/>
          </w:tcPr>
          <w:p w14:paraId="3FCD4561" w14:textId="77777777" w:rsidR="00EA27B0" w:rsidRDefault="00F42ECF">
            <w:pPr>
              <w:rPr>
                <w:rFonts w:ascii="Arial" w:hAnsi="Arial" w:cs="Arial"/>
                <w:sz w:val="24"/>
                <w:szCs w:val="24"/>
              </w:rPr>
            </w:pPr>
            <w:r>
              <w:rPr>
                <w:rFonts w:ascii="Arial" w:hAnsi="Arial" w:cs="Arial"/>
                <w:sz w:val="24"/>
                <w:szCs w:val="24"/>
              </w:rPr>
              <w:t>8</w:t>
            </w:r>
          </w:p>
        </w:tc>
        <w:tc>
          <w:tcPr>
            <w:tcW w:w="1254" w:type="dxa"/>
          </w:tcPr>
          <w:p w14:paraId="40EB7307" w14:textId="77777777" w:rsidR="00EA27B0" w:rsidRDefault="00F42ECF">
            <w:pPr>
              <w:rPr>
                <w:rFonts w:ascii="Arial" w:hAnsi="Arial" w:cs="Arial"/>
                <w:sz w:val="24"/>
                <w:szCs w:val="24"/>
              </w:rPr>
            </w:pPr>
            <w:r>
              <w:rPr>
                <w:rFonts w:ascii="Arial" w:hAnsi="Arial" w:cs="Arial"/>
                <w:sz w:val="24"/>
                <w:szCs w:val="24"/>
              </w:rPr>
              <w:t>12</w:t>
            </w:r>
          </w:p>
        </w:tc>
        <w:tc>
          <w:tcPr>
            <w:tcW w:w="1255" w:type="dxa"/>
          </w:tcPr>
          <w:p w14:paraId="23A8B6C0" w14:textId="77777777" w:rsidR="00EA27B0" w:rsidRDefault="00F42ECF">
            <w:pPr>
              <w:rPr>
                <w:rFonts w:ascii="Arial" w:hAnsi="Arial" w:cs="Arial"/>
                <w:sz w:val="24"/>
                <w:szCs w:val="24"/>
              </w:rPr>
            </w:pPr>
            <w:r>
              <w:rPr>
                <w:rFonts w:ascii="Arial" w:hAnsi="Arial" w:cs="Arial"/>
                <w:sz w:val="24"/>
                <w:szCs w:val="24"/>
              </w:rPr>
              <w:t>6</w:t>
            </w:r>
          </w:p>
        </w:tc>
        <w:tc>
          <w:tcPr>
            <w:tcW w:w="1255" w:type="dxa"/>
          </w:tcPr>
          <w:p w14:paraId="1A77AA1C" w14:textId="77777777" w:rsidR="00EA27B0" w:rsidRDefault="00F42ECF">
            <w:pPr>
              <w:rPr>
                <w:rFonts w:ascii="Arial" w:hAnsi="Arial" w:cs="Arial"/>
                <w:sz w:val="24"/>
                <w:szCs w:val="24"/>
              </w:rPr>
            </w:pPr>
            <w:r>
              <w:rPr>
                <w:rFonts w:ascii="Arial" w:hAnsi="Arial" w:cs="Arial"/>
                <w:sz w:val="24"/>
                <w:szCs w:val="24"/>
              </w:rPr>
              <w:t>6</w:t>
            </w:r>
          </w:p>
        </w:tc>
        <w:tc>
          <w:tcPr>
            <w:tcW w:w="1255" w:type="dxa"/>
          </w:tcPr>
          <w:p w14:paraId="7BC5BD26" w14:textId="77777777" w:rsidR="00EA27B0" w:rsidRDefault="00F42ECF">
            <w:pPr>
              <w:rPr>
                <w:rFonts w:ascii="Arial" w:hAnsi="Arial" w:cs="Arial"/>
                <w:sz w:val="24"/>
                <w:szCs w:val="24"/>
              </w:rPr>
            </w:pPr>
            <w:r>
              <w:rPr>
                <w:rFonts w:ascii="Arial" w:hAnsi="Arial" w:cs="Arial"/>
                <w:sz w:val="24"/>
                <w:szCs w:val="24"/>
              </w:rPr>
              <w:t>3</w:t>
            </w:r>
          </w:p>
        </w:tc>
      </w:tr>
      <w:tr w:rsidR="00EA27B0" w14:paraId="595C6A40" w14:textId="77777777">
        <w:tc>
          <w:tcPr>
            <w:tcW w:w="1735" w:type="dxa"/>
          </w:tcPr>
          <w:p w14:paraId="649572E7" w14:textId="77777777" w:rsidR="00EA27B0" w:rsidRDefault="00F42ECF">
            <w:pPr>
              <w:rPr>
                <w:rFonts w:ascii="Arial" w:hAnsi="Arial" w:cs="Arial"/>
                <w:b/>
                <w:sz w:val="24"/>
                <w:szCs w:val="24"/>
              </w:rPr>
            </w:pPr>
            <w:r>
              <w:rPr>
                <w:rFonts w:ascii="Arial" w:hAnsi="Arial" w:cs="Arial"/>
                <w:b/>
                <w:sz w:val="24"/>
                <w:szCs w:val="24"/>
              </w:rPr>
              <w:t>Calcium</w:t>
            </w:r>
          </w:p>
        </w:tc>
        <w:tc>
          <w:tcPr>
            <w:tcW w:w="1466" w:type="dxa"/>
          </w:tcPr>
          <w:p w14:paraId="5465FBFB" w14:textId="77777777" w:rsidR="00EA27B0" w:rsidRDefault="00F42ECF">
            <w:pPr>
              <w:rPr>
                <w:rFonts w:ascii="Arial" w:hAnsi="Arial" w:cs="Arial"/>
                <w:sz w:val="24"/>
                <w:szCs w:val="24"/>
              </w:rPr>
            </w:pPr>
            <w:r>
              <w:rPr>
                <w:rFonts w:ascii="Arial" w:hAnsi="Arial" w:cs="Arial"/>
                <w:sz w:val="24"/>
                <w:szCs w:val="24"/>
              </w:rPr>
              <w:t>13.7</w:t>
            </w:r>
          </w:p>
        </w:tc>
        <w:tc>
          <w:tcPr>
            <w:tcW w:w="1442" w:type="dxa"/>
          </w:tcPr>
          <w:p w14:paraId="6780B3E2" w14:textId="77777777" w:rsidR="00EA27B0" w:rsidRDefault="00F42ECF">
            <w:pPr>
              <w:rPr>
                <w:rFonts w:ascii="Arial" w:hAnsi="Arial" w:cs="Arial"/>
                <w:sz w:val="24"/>
                <w:szCs w:val="24"/>
              </w:rPr>
            </w:pPr>
            <w:r>
              <w:rPr>
                <w:rFonts w:ascii="Arial" w:hAnsi="Arial" w:cs="Arial"/>
                <w:sz w:val="24"/>
                <w:szCs w:val="24"/>
              </w:rPr>
              <w:t>12.6</w:t>
            </w:r>
          </w:p>
        </w:tc>
        <w:tc>
          <w:tcPr>
            <w:tcW w:w="1254" w:type="dxa"/>
          </w:tcPr>
          <w:p w14:paraId="4F81CDED" w14:textId="77777777" w:rsidR="00EA27B0" w:rsidRDefault="00F42ECF">
            <w:pPr>
              <w:rPr>
                <w:rFonts w:ascii="Arial" w:hAnsi="Arial" w:cs="Arial"/>
                <w:sz w:val="24"/>
                <w:szCs w:val="24"/>
              </w:rPr>
            </w:pPr>
            <w:r>
              <w:rPr>
                <w:rFonts w:ascii="Arial" w:hAnsi="Arial" w:cs="Arial"/>
                <w:sz w:val="24"/>
                <w:szCs w:val="24"/>
              </w:rPr>
              <w:t>12.5</w:t>
            </w:r>
          </w:p>
        </w:tc>
        <w:tc>
          <w:tcPr>
            <w:tcW w:w="1255" w:type="dxa"/>
          </w:tcPr>
          <w:p w14:paraId="41C5DB5C" w14:textId="77777777" w:rsidR="00EA27B0" w:rsidRDefault="00F42ECF">
            <w:pPr>
              <w:rPr>
                <w:rFonts w:ascii="Arial" w:hAnsi="Arial" w:cs="Arial"/>
                <w:sz w:val="24"/>
                <w:szCs w:val="24"/>
              </w:rPr>
            </w:pPr>
            <w:r>
              <w:rPr>
                <w:rFonts w:ascii="Arial" w:hAnsi="Arial" w:cs="Arial"/>
                <w:sz w:val="24"/>
                <w:szCs w:val="24"/>
              </w:rPr>
              <w:t>12.7</w:t>
            </w:r>
          </w:p>
        </w:tc>
        <w:tc>
          <w:tcPr>
            <w:tcW w:w="1255" w:type="dxa"/>
          </w:tcPr>
          <w:p w14:paraId="5E7D1F3A" w14:textId="77777777" w:rsidR="00EA27B0" w:rsidRDefault="00F42ECF">
            <w:pPr>
              <w:rPr>
                <w:rFonts w:ascii="Arial" w:hAnsi="Arial" w:cs="Arial"/>
                <w:sz w:val="24"/>
                <w:szCs w:val="24"/>
              </w:rPr>
            </w:pPr>
            <w:r>
              <w:rPr>
                <w:rFonts w:ascii="Arial" w:hAnsi="Arial" w:cs="Arial"/>
                <w:sz w:val="24"/>
                <w:szCs w:val="24"/>
              </w:rPr>
              <w:t>12</w:t>
            </w:r>
          </w:p>
        </w:tc>
        <w:tc>
          <w:tcPr>
            <w:tcW w:w="1255" w:type="dxa"/>
          </w:tcPr>
          <w:p w14:paraId="0123E6DD" w14:textId="77777777" w:rsidR="00EA27B0" w:rsidRDefault="00F42ECF">
            <w:pPr>
              <w:rPr>
                <w:rFonts w:ascii="Arial" w:hAnsi="Arial" w:cs="Arial"/>
                <w:sz w:val="24"/>
                <w:szCs w:val="24"/>
              </w:rPr>
            </w:pPr>
            <w:r>
              <w:rPr>
                <w:rFonts w:ascii="Arial" w:hAnsi="Arial" w:cs="Arial"/>
                <w:sz w:val="24"/>
                <w:szCs w:val="24"/>
              </w:rPr>
              <w:t>11.8</w:t>
            </w:r>
          </w:p>
        </w:tc>
      </w:tr>
      <w:tr w:rsidR="00EA27B0" w14:paraId="5BEF0963" w14:textId="77777777">
        <w:tc>
          <w:tcPr>
            <w:tcW w:w="1735" w:type="dxa"/>
          </w:tcPr>
          <w:p w14:paraId="4964FB68" w14:textId="77777777" w:rsidR="00EA27B0" w:rsidRDefault="00F42ECF">
            <w:pPr>
              <w:rPr>
                <w:rFonts w:ascii="Arial" w:hAnsi="Arial" w:cs="Arial"/>
                <w:b/>
                <w:sz w:val="24"/>
                <w:szCs w:val="24"/>
              </w:rPr>
            </w:pPr>
            <w:r>
              <w:rPr>
                <w:rFonts w:ascii="Arial" w:hAnsi="Arial" w:cs="Arial"/>
                <w:b/>
                <w:sz w:val="24"/>
                <w:szCs w:val="24"/>
              </w:rPr>
              <w:lastRenderedPageBreak/>
              <w:t>Total Protein</w:t>
            </w:r>
          </w:p>
        </w:tc>
        <w:tc>
          <w:tcPr>
            <w:tcW w:w="1466" w:type="dxa"/>
          </w:tcPr>
          <w:p w14:paraId="420DA823" w14:textId="77777777" w:rsidR="00EA27B0" w:rsidRDefault="00F42ECF">
            <w:pPr>
              <w:rPr>
                <w:rFonts w:ascii="Arial" w:hAnsi="Arial" w:cs="Arial"/>
                <w:sz w:val="24"/>
                <w:szCs w:val="24"/>
              </w:rPr>
            </w:pPr>
            <w:r>
              <w:rPr>
                <w:rFonts w:ascii="Arial" w:hAnsi="Arial" w:cs="Arial"/>
                <w:sz w:val="24"/>
                <w:szCs w:val="24"/>
              </w:rPr>
              <w:t>6.1</w:t>
            </w:r>
          </w:p>
        </w:tc>
        <w:tc>
          <w:tcPr>
            <w:tcW w:w="1442" w:type="dxa"/>
          </w:tcPr>
          <w:p w14:paraId="20F81B03" w14:textId="77777777" w:rsidR="00EA27B0" w:rsidRDefault="00F42ECF">
            <w:pPr>
              <w:rPr>
                <w:rFonts w:ascii="Arial" w:hAnsi="Arial" w:cs="Arial"/>
                <w:sz w:val="24"/>
                <w:szCs w:val="24"/>
              </w:rPr>
            </w:pPr>
            <w:r>
              <w:rPr>
                <w:rFonts w:ascii="Arial" w:hAnsi="Arial" w:cs="Arial"/>
                <w:sz w:val="24"/>
                <w:szCs w:val="24"/>
              </w:rPr>
              <w:t>5.9</w:t>
            </w:r>
          </w:p>
        </w:tc>
        <w:tc>
          <w:tcPr>
            <w:tcW w:w="1254" w:type="dxa"/>
          </w:tcPr>
          <w:p w14:paraId="693102D3" w14:textId="77777777" w:rsidR="00EA27B0" w:rsidRDefault="00F42ECF">
            <w:pPr>
              <w:rPr>
                <w:rFonts w:ascii="Arial" w:hAnsi="Arial" w:cs="Arial"/>
                <w:sz w:val="24"/>
                <w:szCs w:val="24"/>
              </w:rPr>
            </w:pPr>
            <w:r>
              <w:rPr>
                <w:rFonts w:ascii="Arial" w:hAnsi="Arial" w:cs="Arial"/>
                <w:sz w:val="24"/>
                <w:szCs w:val="24"/>
              </w:rPr>
              <w:t>6.1</w:t>
            </w:r>
          </w:p>
        </w:tc>
        <w:tc>
          <w:tcPr>
            <w:tcW w:w="1255" w:type="dxa"/>
          </w:tcPr>
          <w:p w14:paraId="18465676" w14:textId="77777777" w:rsidR="00EA27B0" w:rsidRDefault="00F42ECF">
            <w:pPr>
              <w:rPr>
                <w:rFonts w:ascii="Arial" w:hAnsi="Arial" w:cs="Arial"/>
                <w:sz w:val="24"/>
                <w:szCs w:val="24"/>
              </w:rPr>
            </w:pPr>
            <w:r>
              <w:rPr>
                <w:rFonts w:ascii="Arial" w:hAnsi="Arial" w:cs="Arial"/>
                <w:sz w:val="24"/>
                <w:szCs w:val="24"/>
              </w:rPr>
              <w:t>5.8</w:t>
            </w:r>
          </w:p>
        </w:tc>
        <w:tc>
          <w:tcPr>
            <w:tcW w:w="1255" w:type="dxa"/>
          </w:tcPr>
          <w:p w14:paraId="5D6F9F5E" w14:textId="77777777" w:rsidR="00EA27B0" w:rsidRDefault="00F42ECF">
            <w:pPr>
              <w:rPr>
                <w:rFonts w:ascii="Arial" w:hAnsi="Arial" w:cs="Arial"/>
                <w:sz w:val="24"/>
                <w:szCs w:val="24"/>
              </w:rPr>
            </w:pPr>
            <w:r>
              <w:rPr>
                <w:rFonts w:ascii="Arial" w:hAnsi="Arial" w:cs="Arial"/>
                <w:sz w:val="24"/>
                <w:szCs w:val="24"/>
              </w:rPr>
              <w:t>6</w:t>
            </w:r>
          </w:p>
        </w:tc>
        <w:tc>
          <w:tcPr>
            <w:tcW w:w="1255" w:type="dxa"/>
          </w:tcPr>
          <w:p w14:paraId="1E41C353" w14:textId="77777777" w:rsidR="00EA27B0" w:rsidRDefault="00F42ECF">
            <w:pPr>
              <w:rPr>
                <w:rFonts w:ascii="Arial" w:hAnsi="Arial" w:cs="Arial"/>
                <w:sz w:val="24"/>
                <w:szCs w:val="24"/>
              </w:rPr>
            </w:pPr>
            <w:r>
              <w:rPr>
                <w:rFonts w:ascii="Arial" w:hAnsi="Arial" w:cs="Arial"/>
                <w:sz w:val="24"/>
                <w:szCs w:val="24"/>
              </w:rPr>
              <w:t>5.9</w:t>
            </w:r>
          </w:p>
        </w:tc>
      </w:tr>
      <w:tr w:rsidR="00EA27B0" w14:paraId="5DFDBF4F" w14:textId="77777777">
        <w:tc>
          <w:tcPr>
            <w:tcW w:w="1735" w:type="dxa"/>
          </w:tcPr>
          <w:p w14:paraId="7C480AAE" w14:textId="77777777" w:rsidR="00EA27B0" w:rsidRDefault="00F42ECF">
            <w:pPr>
              <w:rPr>
                <w:rFonts w:ascii="Arial" w:hAnsi="Arial" w:cs="Arial"/>
                <w:b/>
                <w:sz w:val="24"/>
                <w:szCs w:val="24"/>
              </w:rPr>
            </w:pPr>
            <w:r>
              <w:rPr>
                <w:rFonts w:ascii="Arial" w:hAnsi="Arial" w:cs="Arial"/>
                <w:b/>
                <w:sz w:val="24"/>
                <w:szCs w:val="24"/>
              </w:rPr>
              <w:t>Albumin</w:t>
            </w:r>
          </w:p>
        </w:tc>
        <w:tc>
          <w:tcPr>
            <w:tcW w:w="1466" w:type="dxa"/>
          </w:tcPr>
          <w:p w14:paraId="72CEAEBE" w14:textId="77777777" w:rsidR="00EA27B0" w:rsidRDefault="00F42ECF">
            <w:pPr>
              <w:rPr>
                <w:rFonts w:ascii="Arial" w:hAnsi="Arial" w:cs="Arial"/>
                <w:sz w:val="24"/>
                <w:szCs w:val="24"/>
              </w:rPr>
            </w:pPr>
            <w:r>
              <w:rPr>
                <w:rFonts w:ascii="Arial" w:hAnsi="Arial" w:cs="Arial"/>
                <w:sz w:val="24"/>
                <w:szCs w:val="24"/>
              </w:rPr>
              <w:t>2.7</w:t>
            </w:r>
          </w:p>
        </w:tc>
        <w:tc>
          <w:tcPr>
            <w:tcW w:w="1442" w:type="dxa"/>
          </w:tcPr>
          <w:p w14:paraId="7E12A0D6" w14:textId="77777777" w:rsidR="00EA27B0" w:rsidRDefault="00F42ECF">
            <w:pPr>
              <w:rPr>
                <w:rFonts w:ascii="Arial" w:hAnsi="Arial" w:cs="Arial"/>
                <w:sz w:val="24"/>
                <w:szCs w:val="24"/>
              </w:rPr>
            </w:pPr>
            <w:r>
              <w:rPr>
                <w:rFonts w:ascii="Arial" w:hAnsi="Arial" w:cs="Arial"/>
                <w:sz w:val="24"/>
                <w:szCs w:val="24"/>
              </w:rPr>
              <w:t>2.6</w:t>
            </w:r>
          </w:p>
        </w:tc>
        <w:tc>
          <w:tcPr>
            <w:tcW w:w="1254" w:type="dxa"/>
          </w:tcPr>
          <w:p w14:paraId="2BB12EA6" w14:textId="77777777" w:rsidR="00EA27B0" w:rsidRDefault="00F42ECF">
            <w:pPr>
              <w:rPr>
                <w:rFonts w:ascii="Arial" w:hAnsi="Arial" w:cs="Arial"/>
                <w:sz w:val="24"/>
                <w:szCs w:val="24"/>
              </w:rPr>
            </w:pPr>
            <w:r>
              <w:rPr>
                <w:rFonts w:ascii="Arial" w:hAnsi="Arial" w:cs="Arial"/>
                <w:sz w:val="24"/>
                <w:szCs w:val="24"/>
              </w:rPr>
              <w:t>2.7</w:t>
            </w:r>
          </w:p>
        </w:tc>
        <w:tc>
          <w:tcPr>
            <w:tcW w:w="1255" w:type="dxa"/>
          </w:tcPr>
          <w:p w14:paraId="4757685A" w14:textId="77777777" w:rsidR="00EA27B0" w:rsidRDefault="00F42ECF">
            <w:pPr>
              <w:rPr>
                <w:rFonts w:ascii="Arial" w:hAnsi="Arial" w:cs="Arial"/>
                <w:sz w:val="24"/>
                <w:szCs w:val="24"/>
              </w:rPr>
            </w:pPr>
            <w:r>
              <w:rPr>
                <w:rFonts w:ascii="Arial" w:hAnsi="Arial" w:cs="Arial"/>
                <w:sz w:val="24"/>
                <w:szCs w:val="24"/>
              </w:rPr>
              <w:t>2.6</w:t>
            </w:r>
          </w:p>
        </w:tc>
        <w:tc>
          <w:tcPr>
            <w:tcW w:w="1255" w:type="dxa"/>
          </w:tcPr>
          <w:p w14:paraId="7F4B1A8F" w14:textId="77777777" w:rsidR="00EA27B0" w:rsidRDefault="00F42ECF">
            <w:pPr>
              <w:rPr>
                <w:rFonts w:ascii="Arial" w:hAnsi="Arial" w:cs="Arial"/>
                <w:sz w:val="24"/>
                <w:szCs w:val="24"/>
              </w:rPr>
            </w:pPr>
            <w:r>
              <w:rPr>
                <w:rFonts w:ascii="Arial" w:hAnsi="Arial" w:cs="Arial"/>
                <w:sz w:val="24"/>
                <w:szCs w:val="24"/>
              </w:rPr>
              <w:t>2.5</w:t>
            </w:r>
          </w:p>
        </w:tc>
        <w:tc>
          <w:tcPr>
            <w:tcW w:w="1255" w:type="dxa"/>
          </w:tcPr>
          <w:p w14:paraId="7F46E64B" w14:textId="77777777" w:rsidR="00EA27B0" w:rsidRDefault="00F42ECF">
            <w:pPr>
              <w:rPr>
                <w:rFonts w:ascii="Arial" w:hAnsi="Arial" w:cs="Arial"/>
                <w:sz w:val="24"/>
                <w:szCs w:val="24"/>
              </w:rPr>
            </w:pPr>
            <w:r>
              <w:rPr>
                <w:rFonts w:ascii="Arial" w:hAnsi="Arial" w:cs="Arial"/>
                <w:sz w:val="24"/>
                <w:szCs w:val="24"/>
              </w:rPr>
              <w:t>2.5</w:t>
            </w:r>
          </w:p>
        </w:tc>
      </w:tr>
    </w:tbl>
    <w:p w14:paraId="6AA12179" w14:textId="77777777" w:rsidR="00EA27B0" w:rsidRDefault="00EA27B0">
      <w:pPr>
        <w:spacing w:after="0"/>
        <w:ind w:left="-540"/>
        <w:rPr>
          <w:rFonts w:ascii="Times New Roman" w:hAnsi="Times New Roman"/>
          <w:b/>
          <w:color w:val="000000" w:themeColor="text1"/>
          <w:sz w:val="24"/>
          <w:szCs w:val="24"/>
        </w:rPr>
      </w:pPr>
    </w:p>
    <w:p w14:paraId="428E0EC0" w14:textId="77777777" w:rsidR="00EA27B0" w:rsidRDefault="00EA27B0">
      <w:pPr>
        <w:spacing w:after="0"/>
        <w:ind w:left="-540"/>
        <w:rPr>
          <w:rFonts w:ascii="Times New Roman" w:hAnsi="Times New Roman"/>
          <w:b/>
          <w:color w:val="000000" w:themeColor="text1"/>
          <w:sz w:val="24"/>
          <w:szCs w:val="24"/>
        </w:rPr>
      </w:pPr>
    </w:p>
    <w:p w14:paraId="5ED8B5E3" w14:textId="77777777" w:rsidR="00EA27B0" w:rsidRDefault="00EA27B0">
      <w:pPr>
        <w:spacing w:after="0"/>
        <w:ind w:left="-540"/>
        <w:rPr>
          <w:rFonts w:ascii="Times New Roman" w:hAnsi="Times New Roman"/>
          <w:b/>
          <w:color w:val="000000" w:themeColor="text1"/>
          <w:sz w:val="24"/>
          <w:szCs w:val="24"/>
        </w:rPr>
      </w:pPr>
    </w:p>
    <w:p w14:paraId="3AC6B303" w14:textId="77777777" w:rsidR="00EA27B0" w:rsidRDefault="00EA27B0">
      <w:pPr>
        <w:spacing w:after="0"/>
        <w:ind w:left="-540"/>
        <w:rPr>
          <w:rFonts w:ascii="Times New Roman" w:hAnsi="Times New Roman"/>
          <w:b/>
          <w:color w:val="000000" w:themeColor="text1"/>
          <w:sz w:val="24"/>
          <w:szCs w:val="24"/>
        </w:rPr>
      </w:pPr>
    </w:p>
    <w:p w14:paraId="73CE42FE" w14:textId="77777777" w:rsidR="00EA27B0" w:rsidRDefault="00EA27B0">
      <w:pPr>
        <w:spacing w:after="0"/>
        <w:ind w:left="-540"/>
        <w:rPr>
          <w:rFonts w:ascii="Times New Roman" w:hAnsi="Times New Roman"/>
          <w:b/>
          <w:color w:val="000000" w:themeColor="text1"/>
          <w:sz w:val="24"/>
          <w:szCs w:val="24"/>
        </w:rPr>
      </w:pPr>
    </w:p>
    <w:p w14:paraId="4AED005C" w14:textId="77777777" w:rsidR="00EA27B0" w:rsidRDefault="00EA27B0">
      <w:pPr>
        <w:spacing w:after="0"/>
        <w:ind w:left="-540"/>
        <w:rPr>
          <w:rFonts w:ascii="Times New Roman" w:hAnsi="Times New Roman"/>
          <w:b/>
          <w:color w:val="000000" w:themeColor="text1"/>
          <w:sz w:val="24"/>
          <w:szCs w:val="24"/>
        </w:rPr>
      </w:pPr>
    </w:p>
    <w:p w14:paraId="0133AD75" w14:textId="77777777" w:rsidR="00EA27B0" w:rsidRDefault="00EA27B0">
      <w:pPr>
        <w:spacing w:after="0"/>
        <w:ind w:left="-540"/>
        <w:rPr>
          <w:rFonts w:ascii="Times New Roman" w:hAnsi="Times New Roman"/>
          <w:b/>
          <w:color w:val="000000" w:themeColor="text1"/>
          <w:sz w:val="24"/>
          <w:szCs w:val="24"/>
        </w:rPr>
      </w:pPr>
    </w:p>
    <w:p w14:paraId="3692016D" w14:textId="77777777" w:rsidR="00EA27B0" w:rsidRDefault="00EA27B0">
      <w:pPr>
        <w:spacing w:after="0"/>
        <w:ind w:left="-540"/>
        <w:rPr>
          <w:rFonts w:ascii="Times New Roman" w:hAnsi="Times New Roman"/>
          <w:b/>
          <w:color w:val="000000" w:themeColor="text1"/>
          <w:sz w:val="24"/>
          <w:szCs w:val="24"/>
        </w:rPr>
      </w:pPr>
    </w:p>
    <w:p w14:paraId="1A4D749D" w14:textId="77777777" w:rsidR="00EA27B0" w:rsidRDefault="00EA27B0">
      <w:pPr>
        <w:spacing w:after="0"/>
        <w:ind w:left="-540"/>
        <w:rPr>
          <w:rFonts w:ascii="Times New Roman" w:hAnsi="Times New Roman"/>
          <w:b/>
          <w:color w:val="000000" w:themeColor="text1"/>
          <w:sz w:val="24"/>
          <w:szCs w:val="24"/>
        </w:rPr>
      </w:pPr>
    </w:p>
    <w:p w14:paraId="287F6AF3" w14:textId="77777777" w:rsidR="00EA27B0" w:rsidRDefault="00EA27B0">
      <w:pPr>
        <w:spacing w:after="0"/>
        <w:ind w:left="-540"/>
        <w:rPr>
          <w:rFonts w:ascii="Times New Roman" w:hAnsi="Times New Roman"/>
          <w:b/>
          <w:color w:val="000000" w:themeColor="text1"/>
          <w:sz w:val="24"/>
          <w:szCs w:val="24"/>
        </w:rPr>
      </w:pPr>
    </w:p>
    <w:p w14:paraId="3B36C3CB" w14:textId="77777777" w:rsidR="00EA27B0" w:rsidRDefault="00EA27B0">
      <w:pPr>
        <w:spacing w:after="0"/>
        <w:ind w:left="-540"/>
        <w:rPr>
          <w:rFonts w:ascii="Times New Roman" w:hAnsi="Times New Roman"/>
          <w:b/>
          <w:color w:val="000000" w:themeColor="text1"/>
          <w:sz w:val="24"/>
          <w:szCs w:val="24"/>
        </w:rPr>
      </w:pPr>
    </w:p>
    <w:p w14:paraId="3F022294" w14:textId="77777777" w:rsidR="00EA27B0" w:rsidRDefault="00EA27B0">
      <w:pPr>
        <w:spacing w:after="0"/>
        <w:ind w:left="-540"/>
        <w:rPr>
          <w:rFonts w:ascii="Times New Roman" w:hAnsi="Times New Roman"/>
          <w:b/>
          <w:color w:val="000000" w:themeColor="text1"/>
          <w:sz w:val="24"/>
          <w:szCs w:val="24"/>
        </w:rPr>
      </w:pPr>
    </w:p>
    <w:p w14:paraId="4FF56DD1" w14:textId="77777777" w:rsidR="00EA27B0" w:rsidRDefault="00EA27B0">
      <w:pPr>
        <w:spacing w:after="0"/>
        <w:ind w:left="-540"/>
        <w:rPr>
          <w:rFonts w:ascii="Times New Roman" w:hAnsi="Times New Roman"/>
          <w:b/>
          <w:color w:val="000000" w:themeColor="text1"/>
          <w:sz w:val="24"/>
          <w:szCs w:val="24"/>
        </w:rPr>
      </w:pPr>
    </w:p>
    <w:p w14:paraId="1582D3E7" w14:textId="77777777" w:rsidR="00EA27B0" w:rsidRDefault="00EA27B0">
      <w:pPr>
        <w:spacing w:after="0"/>
        <w:ind w:left="-540"/>
        <w:rPr>
          <w:rFonts w:ascii="Times New Roman" w:hAnsi="Times New Roman"/>
          <w:b/>
          <w:color w:val="000000" w:themeColor="text1"/>
          <w:sz w:val="24"/>
          <w:szCs w:val="24"/>
        </w:rPr>
      </w:pPr>
    </w:p>
    <w:p w14:paraId="57080AC0" w14:textId="77777777" w:rsidR="00EA27B0" w:rsidRDefault="00EA27B0">
      <w:pPr>
        <w:spacing w:after="0"/>
        <w:ind w:left="-540"/>
        <w:rPr>
          <w:rFonts w:ascii="Times New Roman" w:hAnsi="Times New Roman"/>
          <w:b/>
          <w:color w:val="000000" w:themeColor="text1"/>
          <w:sz w:val="24"/>
          <w:szCs w:val="24"/>
        </w:rPr>
      </w:pPr>
    </w:p>
    <w:p w14:paraId="6A914CAD" w14:textId="77777777" w:rsidR="00EA27B0" w:rsidRDefault="00EA27B0">
      <w:pPr>
        <w:spacing w:after="0"/>
        <w:ind w:left="-540"/>
        <w:rPr>
          <w:rFonts w:ascii="Times New Roman" w:hAnsi="Times New Roman"/>
          <w:b/>
          <w:color w:val="000000" w:themeColor="text1"/>
          <w:sz w:val="24"/>
          <w:szCs w:val="24"/>
        </w:rPr>
      </w:pPr>
    </w:p>
    <w:p w14:paraId="63377C63" w14:textId="77777777" w:rsidR="00EA27B0" w:rsidRDefault="00EA27B0">
      <w:pPr>
        <w:spacing w:after="0"/>
        <w:ind w:left="-540"/>
        <w:rPr>
          <w:rFonts w:ascii="Times New Roman" w:hAnsi="Times New Roman"/>
          <w:b/>
          <w:color w:val="000000" w:themeColor="text1"/>
          <w:sz w:val="24"/>
          <w:szCs w:val="24"/>
        </w:rPr>
      </w:pPr>
    </w:p>
    <w:p w14:paraId="62ABBF40" w14:textId="77777777" w:rsidR="00EA27B0" w:rsidRDefault="00EA27B0">
      <w:pPr>
        <w:spacing w:after="0"/>
        <w:ind w:left="-540"/>
        <w:rPr>
          <w:rFonts w:ascii="Times New Roman" w:hAnsi="Times New Roman"/>
          <w:b/>
          <w:color w:val="000000" w:themeColor="text1"/>
          <w:sz w:val="24"/>
          <w:szCs w:val="24"/>
        </w:rPr>
      </w:pPr>
    </w:p>
    <w:p w14:paraId="71D4D98E" w14:textId="77777777" w:rsidR="00EA27B0" w:rsidRDefault="00EA27B0">
      <w:pPr>
        <w:spacing w:after="0"/>
        <w:ind w:left="-540"/>
        <w:rPr>
          <w:rFonts w:ascii="Times New Roman" w:hAnsi="Times New Roman"/>
          <w:b/>
          <w:color w:val="000000" w:themeColor="text1"/>
          <w:sz w:val="24"/>
          <w:szCs w:val="24"/>
        </w:rPr>
      </w:pPr>
    </w:p>
    <w:p w14:paraId="0DAB1E97" w14:textId="77777777" w:rsidR="00EA27B0" w:rsidRDefault="00EA27B0">
      <w:pPr>
        <w:spacing w:after="0"/>
        <w:ind w:left="-540"/>
        <w:rPr>
          <w:rFonts w:ascii="Times New Roman" w:hAnsi="Times New Roman"/>
          <w:b/>
          <w:color w:val="000000" w:themeColor="text1"/>
          <w:sz w:val="24"/>
          <w:szCs w:val="24"/>
        </w:rPr>
      </w:pPr>
    </w:p>
    <w:p w14:paraId="78C14006" w14:textId="77777777" w:rsidR="00EA27B0" w:rsidRDefault="00EA27B0">
      <w:pPr>
        <w:spacing w:after="0"/>
        <w:ind w:left="-540"/>
        <w:rPr>
          <w:rFonts w:ascii="Times New Roman" w:hAnsi="Times New Roman"/>
          <w:b/>
          <w:color w:val="000000" w:themeColor="text1"/>
          <w:sz w:val="24"/>
          <w:szCs w:val="24"/>
        </w:rPr>
      </w:pPr>
    </w:p>
    <w:p w14:paraId="28C216B9" w14:textId="77777777" w:rsidR="00EA27B0" w:rsidRDefault="00EA27B0">
      <w:pPr>
        <w:spacing w:after="0"/>
        <w:ind w:left="-540"/>
        <w:rPr>
          <w:rFonts w:ascii="Times New Roman" w:hAnsi="Times New Roman"/>
          <w:b/>
          <w:color w:val="000000" w:themeColor="text1"/>
          <w:sz w:val="24"/>
          <w:szCs w:val="24"/>
        </w:rPr>
      </w:pPr>
    </w:p>
    <w:p w14:paraId="38EE8A74" w14:textId="77777777" w:rsidR="00EA27B0" w:rsidRDefault="00EA27B0">
      <w:pPr>
        <w:spacing w:after="0"/>
        <w:ind w:left="-540"/>
        <w:rPr>
          <w:rFonts w:ascii="Times New Roman" w:hAnsi="Times New Roman"/>
          <w:b/>
          <w:color w:val="000000" w:themeColor="text1"/>
          <w:sz w:val="24"/>
          <w:szCs w:val="24"/>
        </w:rPr>
      </w:pPr>
    </w:p>
    <w:p w14:paraId="3242566A" w14:textId="77777777" w:rsidR="00EA27B0" w:rsidRDefault="00EA27B0">
      <w:pPr>
        <w:spacing w:after="0"/>
        <w:ind w:left="-540"/>
        <w:rPr>
          <w:rFonts w:ascii="Times New Roman" w:hAnsi="Times New Roman"/>
          <w:b/>
          <w:color w:val="000000" w:themeColor="text1"/>
          <w:sz w:val="24"/>
          <w:szCs w:val="24"/>
        </w:rPr>
      </w:pPr>
    </w:p>
    <w:p w14:paraId="35F9E4EB" w14:textId="77777777" w:rsidR="00EA27B0" w:rsidRDefault="00EA27B0">
      <w:pPr>
        <w:spacing w:after="0"/>
        <w:ind w:left="-540"/>
        <w:rPr>
          <w:rFonts w:ascii="Times New Roman" w:hAnsi="Times New Roman"/>
          <w:b/>
          <w:color w:val="000000" w:themeColor="text1"/>
          <w:sz w:val="24"/>
          <w:szCs w:val="24"/>
        </w:rPr>
      </w:pPr>
    </w:p>
    <w:p w14:paraId="4ECFDEFE" w14:textId="77777777" w:rsidR="00EA27B0" w:rsidRDefault="00EA27B0">
      <w:pPr>
        <w:rPr>
          <w:rFonts w:ascii="Times New Roman" w:hAnsi="Times New Roman"/>
          <w:b/>
          <w:color w:val="000000" w:themeColor="text1"/>
          <w:sz w:val="24"/>
          <w:szCs w:val="24"/>
        </w:rPr>
      </w:pPr>
    </w:p>
    <w:p w14:paraId="17AA8507" w14:textId="77777777" w:rsidR="00EA27B0" w:rsidRDefault="00EA27B0">
      <w:pPr>
        <w:ind w:right="-450"/>
        <w:jc w:val="both"/>
        <w:rPr>
          <w:rFonts w:ascii="Times New Roman" w:hAnsi="Times New Roman"/>
          <w:color w:val="000000" w:themeColor="text1"/>
          <w:sz w:val="24"/>
          <w:szCs w:val="24"/>
        </w:rPr>
      </w:pPr>
    </w:p>
    <w:p w14:paraId="03BE0D5A" w14:textId="77777777" w:rsidR="00EA27B0" w:rsidRDefault="00F42ECF">
      <w:pPr>
        <w:spacing w:after="0"/>
        <w:ind w:left="-360"/>
        <w:jc w:val="right"/>
        <w:rPr>
          <w:rFonts w:ascii="Times New Roman" w:hAnsi="Times New Roman"/>
          <w:b/>
          <w:sz w:val="24"/>
          <w:szCs w:val="24"/>
        </w:rPr>
      </w:pPr>
      <w:r>
        <w:rPr>
          <w:rFonts w:ascii="Times New Roman" w:hAnsi="Times New Roman"/>
          <w:b/>
          <w:sz w:val="24"/>
          <w:szCs w:val="24"/>
        </w:rPr>
        <w:t xml:space="preserve">   </w:t>
      </w:r>
    </w:p>
    <w:p w14:paraId="2D12E4D4" w14:textId="77777777" w:rsidR="00EA27B0" w:rsidRDefault="00EA27B0">
      <w:pPr>
        <w:spacing w:after="0"/>
        <w:ind w:left="-360"/>
        <w:jc w:val="right"/>
        <w:rPr>
          <w:rFonts w:ascii="Times New Roman" w:hAnsi="Times New Roman"/>
          <w:b/>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1"/>
        <w:gridCol w:w="4831"/>
      </w:tblGrid>
      <w:tr w:rsidR="00EA27B0" w14:paraId="3BD6FA3E" w14:textId="77777777">
        <w:tc>
          <w:tcPr>
            <w:tcW w:w="5191" w:type="dxa"/>
          </w:tcPr>
          <w:p w14:paraId="48E15628" w14:textId="77777777" w:rsidR="00EA27B0" w:rsidRDefault="00F42ECF">
            <w:pPr>
              <w:pStyle w:val="NormalWeb"/>
            </w:pPr>
            <w:r>
              <w:rPr>
                <w:noProof/>
                <w:lang w:bidi="pa-IN"/>
              </w:rPr>
              <w:lastRenderedPageBreak/>
              <w:drawing>
                <wp:inline distT="0" distB="0" distL="0" distR="0" wp14:anchorId="2399BF1E" wp14:editId="5C459A05">
                  <wp:extent cx="3162300" cy="2179955"/>
                  <wp:effectExtent l="0" t="0" r="0" b="0"/>
                  <wp:docPr id="14" name="Picture 14" descr="C:\Users\DELL\Desktop\KIDNEY USG\CMD MAINTAINED\5053_prgyapost_dialysis_20241107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DELL\Desktop\KIDNEY USG\CMD MAINTAINED\5053_prgyapost_dialysis_202411070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62946" cy="2180442"/>
                          </a:xfrm>
                          <a:prstGeom prst="rect">
                            <a:avLst/>
                          </a:prstGeom>
                          <a:noFill/>
                          <a:ln>
                            <a:noFill/>
                          </a:ln>
                        </pic:spPr>
                      </pic:pic>
                    </a:graphicData>
                  </a:graphic>
                </wp:inline>
              </w:drawing>
            </w:r>
          </w:p>
          <w:p w14:paraId="07B31EC4" w14:textId="77777777" w:rsidR="00EA27B0" w:rsidRDefault="00EA27B0">
            <w:pPr>
              <w:spacing w:after="0"/>
              <w:jc w:val="right"/>
              <w:rPr>
                <w:rFonts w:ascii="Times New Roman" w:hAnsi="Times New Roman"/>
                <w:b/>
                <w:sz w:val="24"/>
                <w:szCs w:val="24"/>
              </w:rPr>
            </w:pPr>
          </w:p>
        </w:tc>
        <w:tc>
          <w:tcPr>
            <w:tcW w:w="4831" w:type="dxa"/>
          </w:tcPr>
          <w:p w14:paraId="7DAFFDB2" w14:textId="77777777" w:rsidR="00EA27B0" w:rsidRDefault="00F42ECF">
            <w:pPr>
              <w:pStyle w:val="NormalWeb"/>
            </w:pPr>
            <w:r>
              <w:rPr>
                <w:noProof/>
                <w:lang w:bidi="pa-IN"/>
              </w:rPr>
              <w:drawing>
                <wp:inline distT="0" distB="0" distL="0" distR="0" wp14:anchorId="7532A487" wp14:editId="32DED2C5">
                  <wp:extent cx="2933065" cy="2138045"/>
                  <wp:effectExtent l="0" t="0" r="635" b="0"/>
                  <wp:docPr id="15" name="Picture 15" descr="C:\Users\DELL\Desktop\KIDNEY USG\Complete Loss of CMD\10368_sherlock_2024110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DELL\Desktop\KIDNEY USG\Complete Loss of CMD\10368_sherlock_20241107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2203" cy="2144915"/>
                          </a:xfrm>
                          <a:prstGeom prst="rect">
                            <a:avLst/>
                          </a:prstGeom>
                          <a:noFill/>
                          <a:ln>
                            <a:noFill/>
                          </a:ln>
                        </pic:spPr>
                      </pic:pic>
                    </a:graphicData>
                  </a:graphic>
                </wp:inline>
              </w:drawing>
            </w:r>
          </w:p>
          <w:p w14:paraId="63A49437" w14:textId="77777777" w:rsidR="00EA27B0" w:rsidRDefault="00EA27B0">
            <w:pPr>
              <w:spacing w:after="0"/>
              <w:jc w:val="right"/>
              <w:rPr>
                <w:rFonts w:ascii="Times New Roman" w:hAnsi="Times New Roman"/>
                <w:b/>
                <w:sz w:val="24"/>
                <w:szCs w:val="24"/>
              </w:rPr>
            </w:pPr>
          </w:p>
        </w:tc>
      </w:tr>
      <w:tr w:rsidR="00EA27B0" w14:paraId="19A38A2D" w14:textId="77777777">
        <w:tc>
          <w:tcPr>
            <w:tcW w:w="5191" w:type="dxa"/>
          </w:tcPr>
          <w:p w14:paraId="414AE474" w14:textId="77777777" w:rsidR="00EA27B0" w:rsidRDefault="00F42ECF">
            <w:pPr>
              <w:spacing w:after="0"/>
              <w:jc w:val="center"/>
              <w:rPr>
                <w:rFonts w:ascii="Times New Roman" w:hAnsi="Times New Roman"/>
                <w:b/>
                <w:sz w:val="24"/>
                <w:szCs w:val="24"/>
              </w:rPr>
            </w:pPr>
            <w:r>
              <w:rPr>
                <w:rFonts w:ascii="Arial" w:hAnsi="Arial" w:cs="Arial"/>
                <w:b/>
                <w:sz w:val="24"/>
                <w:szCs w:val="24"/>
              </w:rPr>
              <w:t>Fig. 1:</w:t>
            </w:r>
            <w:r>
              <w:rPr>
                <w:rFonts w:ascii="Times New Roman" w:hAnsi="Times New Roman"/>
                <w:sz w:val="24"/>
                <w:szCs w:val="24"/>
              </w:rPr>
              <w:t xml:space="preserve">   </w:t>
            </w:r>
            <w:r>
              <w:rPr>
                <w:rFonts w:ascii="Arial" w:hAnsi="Arial" w:cs="Arial"/>
                <w:b/>
                <w:bCs/>
                <w:sz w:val="24"/>
                <w:szCs w:val="24"/>
              </w:rPr>
              <w:t xml:space="preserve">Maintenance of Corticomedullary </w:t>
            </w:r>
            <w:proofErr w:type="gramStart"/>
            <w:r>
              <w:rPr>
                <w:rFonts w:ascii="Arial" w:hAnsi="Arial" w:cs="Arial"/>
                <w:b/>
                <w:bCs/>
                <w:sz w:val="24"/>
                <w:szCs w:val="24"/>
              </w:rPr>
              <w:t>differentiation(</w:t>
            </w:r>
            <w:proofErr w:type="gramEnd"/>
            <w:r>
              <w:rPr>
                <w:rFonts w:ascii="Arial" w:hAnsi="Arial" w:cs="Arial"/>
                <w:b/>
                <w:bCs/>
                <w:sz w:val="24"/>
                <w:szCs w:val="24"/>
              </w:rPr>
              <w:t>CMD) in left  Kidney</w:t>
            </w:r>
          </w:p>
        </w:tc>
        <w:tc>
          <w:tcPr>
            <w:tcW w:w="4831" w:type="dxa"/>
          </w:tcPr>
          <w:p w14:paraId="712B1E5D" w14:textId="77777777" w:rsidR="00EA27B0" w:rsidRDefault="00F42ECF">
            <w:pPr>
              <w:spacing w:after="0"/>
              <w:jc w:val="center"/>
              <w:rPr>
                <w:rFonts w:ascii="Arial" w:hAnsi="Arial" w:cs="Arial"/>
                <w:b/>
                <w:sz w:val="24"/>
                <w:szCs w:val="24"/>
              </w:rPr>
            </w:pPr>
            <w:r>
              <w:rPr>
                <w:rFonts w:ascii="Arial" w:hAnsi="Arial" w:cs="Arial"/>
                <w:b/>
                <w:sz w:val="24"/>
                <w:szCs w:val="24"/>
              </w:rPr>
              <w:t>Fig. 2: Complete loss of CMD</w:t>
            </w:r>
          </w:p>
          <w:p w14:paraId="1E38C907" w14:textId="77777777" w:rsidR="00EA27B0" w:rsidRDefault="00F42ECF">
            <w:pPr>
              <w:jc w:val="center"/>
              <w:rPr>
                <w:rFonts w:ascii="Arial" w:hAnsi="Arial" w:cs="Arial"/>
                <w:b/>
                <w:sz w:val="24"/>
                <w:szCs w:val="24"/>
              </w:rPr>
            </w:pPr>
            <w:r>
              <w:rPr>
                <w:rFonts w:ascii="Arial" w:hAnsi="Arial" w:cs="Arial"/>
                <w:b/>
                <w:sz w:val="24"/>
                <w:szCs w:val="24"/>
              </w:rPr>
              <w:t>in right kidney</w:t>
            </w:r>
          </w:p>
          <w:p w14:paraId="0384D31C" w14:textId="77777777" w:rsidR="00EA27B0" w:rsidRDefault="00EA27B0">
            <w:pPr>
              <w:spacing w:after="0"/>
              <w:jc w:val="center"/>
              <w:rPr>
                <w:rFonts w:ascii="Times New Roman" w:hAnsi="Times New Roman"/>
                <w:b/>
                <w:sz w:val="24"/>
                <w:szCs w:val="24"/>
              </w:rPr>
            </w:pPr>
          </w:p>
        </w:tc>
      </w:tr>
    </w:tbl>
    <w:p w14:paraId="31F8B23F" w14:textId="77777777" w:rsidR="00EA27B0" w:rsidRDefault="00EA27B0">
      <w:pPr>
        <w:spacing w:after="0"/>
        <w:ind w:left="-360"/>
        <w:jc w:val="right"/>
        <w:rPr>
          <w:rFonts w:ascii="Times New Roman" w:hAnsi="Times New Roman"/>
          <w:b/>
          <w:sz w:val="24"/>
          <w:szCs w:val="24"/>
        </w:rPr>
      </w:pPr>
    </w:p>
    <w:p w14:paraId="2CDAE2D2" w14:textId="77777777" w:rsidR="00EA27B0" w:rsidRDefault="00EA27B0">
      <w:pPr>
        <w:spacing w:after="0"/>
        <w:ind w:left="-360"/>
        <w:jc w:val="right"/>
        <w:rPr>
          <w:rFonts w:ascii="Times New Roman" w:hAnsi="Times New Roman"/>
          <w:b/>
          <w:sz w:val="24"/>
          <w:szCs w:val="24"/>
        </w:rPr>
      </w:pPr>
    </w:p>
    <w:p w14:paraId="643C5426" w14:textId="77777777" w:rsidR="00EA27B0" w:rsidRDefault="00EA27B0">
      <w:pPr>
        <w:spacing w:after="0"/>
        <w:ind w:left="-360"/>
        <w:jc w:val="right"/>
        <w:rPr>
          <w:rFonts w:ascii="Times New Roman" w:hAnsi="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tblGrid>
      <w:tr w:rsidR="00EA27B0" w14:paraId="1EB472C6" w14:textId="77777777">
        <w:trPr>
          <w:jc w:val="center"/>
        </w:trPr>
        <w:tc>
          <w:tcPr>
            <w:tcW w:w="4698" w:type="dxa"/>
          </w:tcPr>
          <w:p w14:paraId="7975290B" w14:textId="77777777" w:rsidR="00EA27B0" w:rsidRDefault="00F42ECF">
            <w:pPr>
              <w:spacing w:after="0"/>
              <w:jc w:val="right"/>
              <w:rPr>
                <w:rFonts w:ascii="Times New Roman" w:hAnsi="Times New Roman"/>
                <w:b/>
                <w:sz w:val="24"/>
                <w:szCs w:val="24"/>
              </w:rPr>
            </w:pPr>
            <w:r>
              <w:rPr>
                <w:rFonts w:ascii="Times New Roman" w:hAnsi="Times New Roman"/>
                <w:noProof/>
                <w:sz w:val="24"/>
                <w:szCs w:val="24"/>
                <w:lang w:bidi="pa-IN"/>
              </w:rPr>
              <w:drawing>
                <wp:inline distT="0" distB="0" distL="0" distR="0" wp14:anchorId="29488FA2" wp14:editId="5FBAF8F1">
                  <wp:extent cx="2846070" cy="16935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5686" cy="1705003"/>
                          </a:xfrm>
                          <a:prstGeom prst="rect">
                            <a:avLst/>
                          </a:prstGeom>
                        </pic:spPr>
                      </pic:pic>
                    </a:graphicData>
                  </a:graphic>
                </wp:inline>
              </w:drawing>
            </w:r>
          </w:p>
        </w:tc>
      </w:tr>
      <w:tr w:rsidR="00EA27B0" w14:paraId="28BF866F" w14:textId="77777777">
        <w:trPr>
          <w:jc w:val="center"/>
        </w:trPr>
        <w:tc>
          <w:tcPr>
            <w:tcW w:w="4698" w:type="dxa"/>
          </w:tcPr>
          <w:p w14:paraId="0BA3DF70" w14:textId="77777777" w:rsidR="00EA27B0" w:rsidRDefault="00F42ECF">
            <w:pPr>
              <w:spacing w:after="0"/>
              <w:jc w:val="center"/>
              <w:rPr>
                <w:rFonts w:ascii="Arial" w:hAnsi="Arial" w:cs="Arial"/>
                <w:b/>
                <w:sz w:val="24"/>
                <w:szCs w:val="24"/>
              </w:rPr>
            </w:pPr>
            <w:r>
              <w:rPr>
                <w:rFonts w:ascii="Arial" w:hAnsi="Arial" w:cs="Arial"/>
                <w:b/>
                <w:sz w:val="24"/>
                <w:szCs w:val="24"/>
              </w:rPr>
              <w:t>Fig. 3: Lateral radiograph showing mild broncho-interstitial pattern</w:t>
            </w:r>
          </w:p>
        </w:tc>
      </w:tr>
    </w:tbl>
    <w:p w14:paraId="56951362" w14:textId="77777777" w:rsidR="00EA27B0" w:rsidRDefault="00EA27B0">
      <w:pPr>
        <w:spacing w:after="0"/>
        <w:ind w:left="-360"/>
        <w:rPr>
          <w:rFonts w:ascii="Arial" w:hAnsi="Arial" w:cs="Arial"/>
          <w:b/>
          <w:sz w:val="24"/>
          <w:szCs w:val="24"/>
        </w:rPr>
      </w:pPr>
    </w:p>
    <w:p w14:paraId="3015863F" w14:textId="77777777" w:rsidR="00EA27B0" w:rsidRDefault="00EA27B0">
      <w:pPr>
        <w:spacing w:after="0"/>
        <w:ind w:left="-360"/>
        <w:jc w:val="right"/>
        <w:rPr>
          <w:rFonts w:ascii="Times New Roman" w:hAnsi="Times New Roman"/>
          <w:b/>
          <w:sz w:val="24"/>
          <w:szCs w:val="24"/>
        </w:rPr>
      </w:pPr>
    </w:p>
    <w:p w14:paraId="44CBEB17" w14:textId="77777777" w:rsidR="00EA27B0" w:rsidRDefault="00EA27B0">
      <w:pPr>
        <w:spacing w:after="0"/>
        <w:ind w:left="-360"/>
        <w:jc w:val="right"/>
        <w:rPr>
          <w:rFonts w:ascii="Times New Roman" w:hAnsi="Times New Roman"/>
          <w:b/>
          <w:sz w:val="24"/>
          <w:szCs w:val="24"/>
        </w:rPr>
      </w:pPr>
    </w:p>
    <w:p w14:paraId="5E06A0C7" w14:textId="77777777" w:rsidR="00EA27B0" w:rsidRDefault="00EA27B0">
      <w:pPr>
        <w:spacing w:after="0"/>
        <w:ind w:left="-360"/>
        <w:jc w:val="right"/>
        <w:rPr>
          <w:rFonts w:ascii="Times New Roman" w:hAnsi="Times New Roman"/>
          <w:b/>
          <w:sz w:val="24"/>
          <w:szCs w:val="24"/>
        </w:rPr>
      </w:pPr>
    </w:p>
    <w:p w14:paraId="3F52E0D0" w14:textId="77777777" w:rsidR="00EA27B0" w:rsidRDefault="00EA27B0">
      <w:pPr>
        <w:spacing w:after="0"/>
        <w:ind w:left="-360"/>
        <w:jc w:val="right"/>
        <w:rPr>
          <w:rFonts w:ascii="Times New Roman" w:hAnsi="Times New Roman"/>
          <w:b/>
          <w:sz w:val="24"/>
          <w:szCs w:val="24"/>
        </w:rPr>
      </w:pPr>
    </w:p>
    <w:p w14:paraId="69876254" w14:textId="77777777" w:rsidR="00EA27B0" w:rsidRDefault="00EA27B0">
      <w:pPr>
        <w:spacing w:after="0"/>
        <w:ind w:left="-360"/>
        <w:jc w:val="right"/>
        <w:rPr>
          <w:rFonts w:ascii="Times New Roman" w:hAnsi="Times New Roman"/>
          <w:b/>
          <w:sz w:val="24"/>
          <w:szCs w:val="24"/>
        </w:rPr>
      </w:pPr>
    </w:p>
    <w:p w14:paraId="09D41765" w14:textId="77777777" w:rsidR="00EA27B0" w:rsidRDefault="00EA27B0">
      <w:pPr>
        <w:spacing w:after="0"/>
        <w:ind w:left="-360"/>
        <w:jc w:val="right"/>
        <w:rPr>
          <w:rFonts w:ascii="Times New Roman" w:hAnsi="Times New Roman"/>
          <w:b/>
          <w:sz w:val="24"/>
          <w:szCs w:val="24"/>
        </w:rPr>
      </w:pPr>
    </w:p>
    <w:p w14:paraId="2892403B" w14:textId="77777777" w:rsidR="00EA27B0" w:rsidRDefault="00EA27B0">
      <w:pPr>
        <w:spacing w:after="0"/>
        <w:ind w:left="-360"/>
        <w:jc w:val="right"/>
        <w:rPr>
          <w:rFonts w:ascii="Times New Roman" w:hAnsi="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6"/>
      </w:tblGrid>
      <w:tr w:rsidR="00EA27B0" w14:paraId="3A480AA9" w14:textId="77777777">
        <w:trPr>
          <w:jc w:val="center"/>
        </w:trPr>
        <w:tc>
          <w:tcPr>
            <w:tcW w:w="9666" w:type="dxa"/>
          </w:tcPr>
          <w:p w14:paraId="0DB6D64D" w14:textId="77777777" w:rsidR="00EA27B0" w:rsidRDefault="00F42ECF">
            <w:pPr>
              <w:spacing w:after="0"/>
              <w:jc w:val="center"/>
              <w:rPr>
                <w:rFonts w:ascii="Times New Roman" w:hAnsi="Times New Roman"/>
                <w:b/>
                <w:sz w:val="24"/>
                <w:szCs w:val="24"/>
              </w:rPr>
            </w:pPr>
            <w:r>
              <w:rPr>
                <w:rFonts w:ascii="Times New Roman" w:hAnsi="Times New Roman"/>
                <w:b/>
                <w:noProof/>
                <w:sz w:val="24"/>
                <w:szCs w:val="24"/>
                <w:lang w:bidi="pa-IN"/>
              </w:rPr>
              <w:lastRenderedPageBreak/>
              <w:drawing>
                <wp:inline distT="0" distB="0" distL="0" distR="0" wp14:anchorId="22ED0D25" wp14:editId="7B1E04E0">
                  <wp:extent cx="3042285" cy="25177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042285" cy="2517775"/>
                          </a:xfrm>
                          <a:prstGeom prst="rect">
                            <a:avLst/>
                          </a:prstGeom>
                          <a:noFill/>
                        </pic:spPr>
                      </pic:pic>
                    </a:graphicData>
                  </a:graphic>
                </wp:inline>
              </w:drawing>
            </w:r>
          </w:p>
        </w:tc>
      </w:tr>
      <w:tr w:rsidR="00EA27B0" w14:paraId="089FD8FA" w14:textId="77777777">
        <w:trPr>
          <w:jc w:val="center"/>
        </w:trPr>
        <w:tc>
          <w:tcPr>
            <w:tcW w:w="9666" w:type="dxa"/>
          </w:tcPr>
          <w:p w14:paraId="78CDC231" w14:textId="77777777" w:rsidR="00EA27B0" w:rsidRDefault="00F42ECF">
            <w:pPr>
              <w:spacing w:after="0"/>
              <w:rPr>
                <w:rFonts w:ascii="Arial" w:hAnsi="Arial" w:cs="Arial"/>
                <w:b/>
                <w:sz w:val="24"/>
                <w:szCs w:val="24"/>
              </w:rPr>
            </w:pPr>
            <w:r>
              <w:rPr>
                <w:rFonts w:ascii="Arial" w:hAnsi="Arial" w:cs="Arial"/>
                <w:b/>
                <w:sz w:val="24"/>
                <w:szCs w:val="24"/>
              </w:rPr>
              <w:t>Fig. 4: Thoracic radiograph showing correct placement of double lumen dialysis catheter tip at the junction of cranial vena cava and right atrium.</w:t>
            </w:r>
          </w:p>
        </w:tc>
      </w:tr>
    </w:tbl>
    <w:p w14:paraId="77539601" w14:textId="77777777" w:rsidR="00EA27B0" w:rsidRDefault="00EA27B0">
      <w:pPr>
        <w:spacing w:after="0"/>
        <w:ind w:left="-360"/>
        <w:rPr>
          <w:rFonts w:ascii="Arial" w:hAnsi="Arial" w:cs="Arial"/>
          <w:b/>
          <w:sz w:val="24"/>
          <w:szCs w:val="24"/>
        </w:rPr>
      </w:pPr>
    </w:p>
    <w:p w14:paraId="5CAEA47D" w14:textId="77777777" w:rsidR="00EA27B0" w:rsidRDefault="00EA27B0">
      <w:pPr>
        <w:spacing w:after="0"/>
        <w:ind w:left="-360"/>
        <w:jc w:val="right"/>
        <w:rPr>
          <w:rFonts w:ascii="Times New Roman" w:hAnsi="Times New Roman"/>
          <w:b/>
          <w:sz w:val="24"/>
          <w:szCs w:val="24"/>
        </w:rPr>
      </w:pPr>
    </w:p>
    <w:p w14:paraId="32E940A1" w14:textId="77777777" w:rsidR="00EA27B0" w:rsidRDefault="00EA27B0">
      <w:pPr>
        <w:spacing w:after="0"/>
        <w:ind w:left="-360"/>
        <w:jc w:val="right"/>
        <w:rPr>
          <w:rFonts w:ascii="Times New Roman" w:hAnsi="Times New Roman"/>
          <w:b/>
          <w:sz w:val="24"/>
          <w:szCs w:val="24"/>
        </w:rPr>
      </w:pPr>
    </w:p>
    <w:p w14:paraId="39612593" w14:textId="77777777" w:rsidR="00EA27B0" w:rsidRDefault="00EA27B0">
      <w:pPr>
        <w:spacing w:after="0"/>
        <w:ind w:left="-360"/>
        <w:jc w:val="right"/>
        <w:rPr>
          <w:rFonts w:ascii="Times New Roman" w:hAnsi="Times New Roman"/>
          <w:b/>
          <w:sz w:val="24"/>
          <w:szCs w:val="24"/>
        </w:rPr>
      </w:pPr>
    </w:p>
    <w:p w14:paraId="5EEB3E02" w14:textId="77777777" w:rsidR="00EA27B0" w:rsidRDefault="00EA27B0">
      <w:pPr>
        <w:spacing w:after="0"/>
        <w:ind w:left="-360"/>
        <w:jc w:val="right"/>
        <w:rPr>
          <w:rFonts w:ascii="Times New Roman" w:hAnsi="Times New Roman"/>
          <w:b/>
          <w:sz w:val="24"/>
          <w:szCs w:val="24"/>
        </w:rPr>
      </w:pPr>
    </w:p>
    <w:p w14:paraId="01B6C91E" w14:textId="77777777" w:rsidR="00EA27B0" w:rsidRDefault="00EA27B0">
      <w:pPr>
        <w:spacing w:after="0"/>
        <w:ind w:left="-360"/>
        <w:jc w:val="right"/>
        <w:rPr>
          <w:rFonts w:ascii="Times New Roman" w:hAnsi="Times New Roman"/>
          <w:b/>
          <w:sz w:val="24"/>
          <w:szCs w:val="24"/>
        </w:rPr>
      </w:pPr>
    </w:p>
    <w:p w14:paraId="5C4E3713" w14:textId="77777777" w:rsidR="00EA27B0" w:rsidRDefault="00EA27B0">
      <w:pPr>
        <w:spacing w:after="0"/>
        <w:ind w:left="-360"/>
        <w:jc w:val="right"/>
        <w:rPr>
          <w:rFonts w:ascii="Times New Roman" w:hAnsi="Times New Roman"/>
          <w:b/>
          <w:sz w:val="24"/>
          <w:szCs w:val="24"/>
        </w:rPr>
      </w:pPr>
    </w:p>
    <w:p w14:paraId="3FA3B011" w14:textId="77777777" w:rsidR="00EA27B0" w:rsidRDefault="00EA27B0">
      <w:pPr>
        <w:spacing w:after="0"/>
        <w:ind w:left="-360"/>
        <w:jc w:val="right"/>
        <w:rPr>
          <w:rFonts w:ascii="Times New Roman" w:hAnsi="Times New Roman"/>
          <w:b/>
          <w:sz w:val="24"/>
          <w:szCs w:val="24"/>
        </w:rPr>
      </w:pPr>
    </w:p>
    <w:p w14:paraId="05A656B1" w14:textId="77777777" w:rsidR="00EA27B0" w:rsidRDefault="00EA27B0">
      <w:pPr>
        <w:spacing w:after="0"/>
        <w:ind w:left="-360"/>
        <w:jc w:val="right"/>
        <w:rPr>
          <w:rFonts w:ascii="Times New Roman" w:hAnsi="Times New Roman"/>
          <w:b/>
          <w:sz w:val="24"/>
          <w:szCs w:val="24"/>
        </w:rPr>
      </w:pPr>
    </w:p>
    <w:p w14:paraId="595887F6" w14:textId="77777777" w:rsidR="00EA27B0" w:rsidRDefault="00EA27B0">
      <w:pPr>
        <w:spacing w:after="0"/>
        <w:ind w:left="-360"/>
        <w:jc w:val="right"/>
        <w:rPr>
          <w:rFonts w:ascii="Times New Roman" w:hAnsi="Times New Roman"/>
          <w:b/>
          <w:sz w:val="24"/>
          <w:szCs w:val="24"/>
        </w:rPr>
      </w:pPr>
    </w:p>
    <w:p w14:paraId="3464C308" w14:textId="77777777" w:rsidR="00EA27B0" w:rsidRDefault="00EA27B0">
      <w:pPr>
        <w:spacing w:after="0"/>
        <w:ind w:left="-360"/>
        <w:jc w:val="right"/>
        <w:rPr>
          <w:rFonts w:ascii="Times New Roman" w:hAnsi="Times New Roman"/>
          <w:b/>
          <w:sz w:val="24"/>
          <w:szCs w:val="24"/>
        </w:rPr>
      </w:pPr>
    </w:p>
    <w:p w14:paraId="189ADB82" w14:textId="77777777" w:rsidR="00EA27B0" w:rsidRDefault="00EA27B0">
      <w:pPr>
        <w:spacing w:after="0"/>
        <w:ind w:left="-360"/>
        <w:jc w:val="right"/>
        <w:rPr>
          <w:rFonts w:ascii="Times New Roman" w:hAnsi="Times New Roman"/>
          <w:b/>
          <w:sz w:val="24"/>
          <w:szCs w:val="24"/>
        </w:rPr>
      </w:pPr>
    </w:p>
    <w:p w14:paraId="07E3B64A" w14:textId="77777777" w:rsidR="00EA27B0" w:rsidRDefault="00EA27B0">
      <w:pPr>
        <w:spacing w:after="0"/>
        <w:ind w:left="-360"/>
        <w:jc w:val="right"/>
        <w:rPr>
          <w:rFonts w:ascii="Times New Roman" w:hAnsi="Times New Roman"/>
          <w:b/>
          <w:sz w:val="24"/>
          <w:szCs w:val="24"/>
        </w:rPr>
      </w:pPr>
    </w:p>
    <w:p w14:paraId="45D4E0DE" w14:textId="77777777" w:rsidR="00EA27B0" w:rsidRDefault="00EA27B0">
      <w:pPr>
        <w:spacing w:after="0"/>
        <w:ind w:left="-360"/>
        <w:jc w:val="right"/>
        <w:rPr>
          <w:rFonts w:ascii="Times New Roman" w:hAnsi="Times New Roman"/>
          <w:b/>
          <w:sz w:val="24"/>
          <w:szCs w:val="24"/>
        </w:rPr>
      </w:pPr>
    </w:p>
    <w:p w14:paraId="12C37008" w14:textId="77777777" w:rsidR="00EA27B0" w:rsidRDefault="00EA27B0">
      <w:pPr>
        <w:spacing w:after="0"/>
        <w:ind w:left="-360"/>
        <w:jc w:val="right"/>
        <w:rPr>
          <w:rFonts w:ascii="Times New Roman" w:hAnsi="Times New Roman"/>
          <w:b/>
          <w:sz w:val="24"/>
          <w:szCs w:val="24"/>
        </w:rPr>
      </w:pPr>
    </w:p>
    <w:p w14:paraId="6EAD8C0A" w14:textId="77777777" w:rsidR="00EA27B0" w:rsidRDefault="00EA27B0">
      <w:pPr>
        <w:spacing w:after="0"/>
        <w:ind w:left="-360"/>
        <w:jc w:val="right"/>
        <w:rPr>
          <w:rFonts w:ascii="Times New Roman" w:hAnsi="Times New Roman"/>
          <w:b/>
          <w:sz w:val="24"/>
          <w:szCs w:val="24"/>
        </w:rPr>
      </w:pPr>
    </w:p>
    <w:p w14:paraId="12E25120" w14:textId="77777777" w:rsidR="00EA27B0" w:rsidRDefault="00F42ECF">
      <w:pPr>
        <w:spacing w:after="0"/>
        <w:ind w:left="-360"/>
        <w:jc w:val="right"/>
        <w:rPr>
          <w:rFonts w:ascii="Times New Roman" w:hAnsi="Times New Roman"/>
          <w:b/>
          <w:sz w:val="24"/>
          <w:szCs w:val="24"/>
        </w:rPr>
      </w:pPr>
      <w:r>
        <w:rPr>
          <w:rFonts w:ascii="Times New Roman" w:hAnsi="Times New Roman"/>
          <w:b/>
          <w:sz w:val="24"/>
          <w:szCs w:val="24"/>
        </w:rPr>
        <w:t xml:space="preserve"> </w:t>
      </w:r>
    </w:p>
    <w:p w14:paraId="0F4EE4E9" w14:textId="77777777" w:rsidR="00EA27B0" w:rsidRDefault="00EA27B0">
      <w:pPr>
        <w:spacing w:after="0"/>
        <w:ind w:left="-360"/>
        <w:jc w:val="right"/>
        <w:rPr>
          <w:rFonts w:ascii="Times New Roman" w:hAnsi="Times New Roman"/>
          <w:b/>
          <w:sz w:val="24"/>
          <w:szCs w:val="24"/>
        </w:rPr>
      </w:pPr>
    </w:p>
    <w:p w14:paraId="60B07F88" w14:textId="77777777" w:rsidR="00EA27B0" w:rsidRDefault="00EA27B0">
      <w:pPr>
        <w:spacing w:after="0"/>
        <w:ind w:left="-360"/>
        <w:jc w:val="right"/>
        <w:rPr>
          <w:rFonts w:ascii="Times New Roman" w:hAnsi="Times New Roman"/>
          <w:b/>
          <w:sz w:val="24"/>
          <w:szCs w:val="24"/>
        </w:rPr>
      </w:pPr>
    </w:p>
    <w:p w14:paraId="6E1969C8" w14:textId="77777777" w:rsidR="00EA27B0" w:rsidRDefault="00EA27B0">
      <w:pPr>
        <w:spacing w:after="0"/>
        <w:ind w:left="-360"/>
        <w:jc w:val="right"/>
        <w:rPr>
          <w:rFonts w:ascii="Times New Roman" w:hAnsi="Times New Roman"/>
          <w:b/>
          <w:sz w:val="24"/>
          <w:szCs w:val="24"/>
        </w:rPr>
      </w:pPr>
    </w:p>
    <w:p w14:paraId="5FFC14A4" w14:textId="77777777" w:rsidR="00EA27B0" w:rsidRDefault="00EA27B0">
      <w:pPr>
        <w:spacing w:after="0"/>
        <w:ind w:left="-360"/>
        <w:jc w:val="right"/>
        <w:rPr>
          <w:rFonts w:ascii="Times New Roman" w:hAnsi="Times New Roman"/>
          <w:b/>
          <w:sz w:val="24"/>
          <w:szCs w:val="24"/>
        </w:rPr>
      </w:pPr>
    </w:p>
    <w:p w14:paraId="64B0C280" w14:textId="77777777" w:rsidR="00EA27B0" w:rsidRDefault="00EA27B0">
      <w:pPr>
        <w:spacing w:after="0"/>
        <w:ind w:left="-360"/>
        <w:jc w:val="right"/>
        <w:rPr>
          <w:rFonts w:ascii="Times New Roman" w:hAnsi="Times New Roman"/>
          <w:b/>
          <w:sz w:val="24"/>
          <w:szCs w:val="24"/>
        </w:rPr>
      </w:pPr>
    </w:p>
    <w:p w14:paraId="6C228A0E" w14:textId="77777777" w:rsidR="00EA27B0" w:rsidRDefault="00EA27B0">
      <w:pPr>
        <w:rPr>
          <w:rFonts w:ascii="Times New Roman" w:hAnsi="Times New Roman"/>
          <w:sz w:val="24"/>
          <w:szCs w:val="24"/>
        </w:rPr>
      </w:pPr>
    </w:p>
    <w:p w14:paraId="041727F6" w14:textId="77777777" w:rsidR="00EA27B0" w:rsidRDefault="00EA27B0">
      <w:pPr>
        <w:rPr>
          <w:rFonts w:ascii="Times New Roman" w:hAnsi="Times New Roman"/>
          <w:b/>
          <w:sz w:val="24"/>
          <w:szCs w:val="24"/>
        </w:rPr>
      </w:pPr>
    </w:p>
    <w:p w14:paraId="0764B900" w14:textId="77777777" w:rsidR="00EA27B0" w:rsidRDefault="00EA27B0">
      <w:pPr>
        <w:rPr>
          <w:rFonts w:ascii="Times New Roman" w:hAnsi="Times New Roman"/>
          <w:sz w:val="24"/>
          <w:szCs w:val="24"/>
        </w:rPr>
      </w:pPr>
    </w:p>
    <w:p w14:paraId="3E19E40E" w14:textId="77777777" w:rsidR="00EA27B0" w:rsidRDefault="00EA27B0">
      <w:pPr>
        <w:rPr>
          <w:rFonts w:ascii="Times New Roman" w:hAnsi="Times New Roman"/>
          <w:sz w:val="24"/>
          <w:szCs w:val="24"/>
        </w:rPr>
      </w:pPr>
    </w:p>
    <w:p w14:paraId="024EC9A0" w14:textId="77777777" w:rsidR="00EA27B0" w:rsidRDefault="00EA27B0">
      <w:pPr>
        <w:rPr>
          <w:rFonts w:ascii="Times New Roman" w:hAnsi="Times New Roman"/>
          <w:b/>
          <w:sz w:val="24"/>
          <w:szCs w:val="24"/>
        </w:rPr>
      </w:pPr>
    </w:p>
    <w:sectPr w:rsidR="00EA27B0">
      <w:headerReference w:type="even" r:id="rId13"/>
      <w:headerReference w:type="default" r:id="rId14"/>
      <w:footerReference w:type="even" r:id="rId15"/>
      <w:footerReference w:type="default" r:id="rId16"/>
      <w:headerReference w:type="first" r:id="rId17"/>
      <w:footerReference w:type="first" r:id="rId18"/>
      <w:pgSz w:w="12240" w:h="15840"/>
      <w:pgMar w:top="1440"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3D081" w14:textId="77777777" w:rsidR="00F42ECF" w:rsidRDefault="00F42ECF">
      <w:pPr>
        <w:spacing w:after="0" w:line="240" w:lineRule="auto"/>
      </w:pPr>
      <w:r>
        <w:separator/>
      </w:r>
    </w:p>
  </w:endnote>
  <w:endnote w:type="continuationSeparator" w:id="0">
    <w:p w14:paraId="55D67B24" w14:textId="77777777" w:rsidR="00F42ECF" w:rsidRDefault="00F4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aavi">
    <w:altName w:val="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1908" w14:textId="77777777" w:rsidR="00E34A92" w:rsidRDefault="00E3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E50E" w14:textId="77777777" w:rsidR="00EA27B0" w:rsidRDefault="00EA27B0">
    <w:pPr>
      <w:pStyle w:val="Footer"/>
      <w:jc w:val="center"/>
    </w:pPr>
  </w:p>
  <w:p w14:paraId="1ADC0608" w14:textId="77777777" w:rsidR="00EA27B0" w:rsidRDefault="00EA2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7DD8" w14:textId="77777777" w:rsidR="00E34A92" w:rsidRDefault="00E3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EE0C" w14:textId="77777777" w:rsidR="00F42ECF" w:rsidRDefault="00F42ECF">
      <w:pPr>
        <w:spacing w:after="0" w:line="240" w:lineRule="auto"/>
      </w:pPr>
      <w:r>
        <w:separator/>
      </w:r>
    </w:p>
  </w:footnote>
  <w:footnote w:type="continuationSeparator" w:id="0">
    <w:p w14:paraId="00034508" w14:textId="77777777" w:rsidR="00F42ECF" w:rsidRDefault="00F4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43D2" w14:textId="4CDF0F6C" w:rsidR="00E34A92" w:rsidRDefault="00E34A92">
    <w:pPr>
      <w:pStyle w:val="Header"/>
    </w:pPr>
    <w:r>
      <w:rPr>
        <w:noProof/>
      </w:rPr>
      <w:pict w14:anchorId="4E05B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1907" o:spid="_x0000_s2050" type="#_x0000_t136" style="position:absolute;margin-left:0;margin-top:0;width:560.75pt;height:105.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674A" w14:textId="4728B488" w:rsidR="00EA27B0" w:rsidRDefault="00E34A92">
    <w:pPr>
      <w:pStyle w:val="Header"/>
    </w:pPr>
    <w:r>
      <w:rPr>
        <w:noProof/>
      </w:rPr>
      <w:pict w14:anchorId="1452C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1908" o:spid="_x0000_s2051" type="#_x0000_t136" style="position:absolute;margin-left:0;margin-top:0;width:560.75pt;height:105.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F42ECF">
      <w:t xml:space="preserve">                                                                                                                                                                </w:t>
    </w:r>
  </w:p>
  <w:p w14:paraId="1455410D" w14:textId="77777777" w:rsidR="00EA27B0" w:rsidRDefault="00EA27B0">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256A" w14:textId="14A2331F" w:rsidR="00E34A92" w:rsidRDefault="00E34A92">
    <w:pPr>
      <w:pStyle w:val="Header"/>
    </w:pPr>
    <w:r>
      <w:rPr>
        <w:noProof/>
      </w:rPr>
      <w:pict w14:anchorId="2D183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71906" o:spid="_x0000_s2049" type="#_x0000_t136" style="position:absolute;margin-left:0;margin-top:0;width:560.75pt;height:105.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40DAE"/>
    <w:multiLevelType w:val="multilevel"/>
    <w:tmpl w:val="26B40DAE"/>
    <w:lvl w:ilvl="0">
      <w:start w:val="1"/>
      <w:numFmt w:val="decimal"/>
      <w:lvlText w:val="%1."/>
      <w:lvlJc w:val="left"/>
      <w:pPr>
        <w:ind w:left="54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7B0"/>
    <w:rsid w:val="00355368"/>
    <w:rsid w:val="0049281B"/>
    <w:rsid w:val="006D03CF"/>
    <w:rsid w:val="00736784"/>
    <w:rsid w:val="00896BE0"/>
    <w:rsid w:val="00926AFB"/>
    <w:rsid w:val="00CA11E7"/>
    <w:rsid w:val="00E34A92"/>
    <w:rsid w:val="00EA27B0"/>
    <w:rsid w:val="00F42ECF"/>
  </w:rsids>
  <m:mathPr>
    <m:mathFont m:val="Cambria Math"/>
    <m:brkBin m:val="before"/>
    <m:brkBinSub m:val="--"/>
    <m:smallFrac m:val="0"/>
    <m:dispDef/>
    <m:lMargin m:val="0"/>
    <m:rMargin m:val="0"/>
    <m:defJc m:val="centerGroup"/>
    <m:wrapIndent m:val="1440"/>
    <m:intLim m:val="subSup"/>
    <m:naryLim m:val="undOvr"/>
  </m:mathPr>
  <w:themeFontLang w:val="en-IN"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251F5"/>
  <w15:docId w15:val="{3A0FECAB-DB48-4E0C-AAD6-3F950D13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Pr>
      <w:color w:val="0000FF"/>
      <w:u w:val="single"/>
    </w:rPr>
  </w:style>
  <w:style w:type="character" w:styleId="LineNumber">
    <w:name w:val="line number"/>
    <w:basedOn w:val="DefaultParagraphFont"/>
    <w:uiPriority w:val="99"/>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lang w:val="en-US"/>
    </w:rPr>
    <w:tblPr>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rPr>
      <w:rFonts w:ascii="Calibri" w:eastAsia="Times New Roman" w:hAnsi="Calibri" w:cs="Times New Roman"/>
      <w:kern w:val="0"/>
      <w:lang w:val="en-US"/>
      <w14:ligatures w14:val="none"/>
    </w:rPr>
  </w:style>
  <w:style w:type="character" w:customStyle="1" w:styleId="FooterChar">
    <w:name w:val="Footer Char"/>
    <w:basedOn w:val="DefaultParagraphFont"/>
    <w:link w:val="Footer"/>
    <w:uiPriority w:val="99"/>
    <w:rPr>
      <w:rFonts w:ascii="Calibri" w:eastAsia="Times New Roman" w:hAnsi="Calibri" w:cs="Times New Roman"/>
      <w:kern w:val="0"/>
      <w:lang w:val="en-US"/>
      <w14:ligatures w14:val="none"/>
    </w:rPr>
  </w:style>
  <w:style w:type="paragraph" w:customStyle="1" w:styleId="DecimalAligned">
    <w:name w:val="Decimal Aligned"/>
    <w:basedOn w:val="Normal"/>
    <w:uiPriority w:val="40"/>
    <w:qFormat/>
    <w:pPr>
      <w:tabs>
        <w:tab w:val="decimal" w:pos="360"/>
      </w:tabs>
    </w:pPr>
    <w:rPr>
      <w:rFonts w:asciiTheme="minorHAnsi" w:eastAsiaTheme="minorHAnsi" w:hAnsiTheme="minorHAnsi" w:cstheme="minorBidi"/>
      <w:lang w:eastAsia="ja-JP"/>
    </w:rPr>
  </w:style>
  <w:style w:type="character" w:customStyle="1" w:styleId="SubtleEmphasis1">
    <w:name w:val="Subtle Emphasis1"/>
    <w:basedOn w:val="DefaultParagraphFont"/>
    <w:uiPriority w:val="19"/>
    <w:qFormat/>
    <w:rPr>
      <w:i/>
      <w:iCs/>
      <w:color w:val="7F7F7F" w:themeColor="text1" w:themeTint="80"/>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lang w:val="en-US"/>
      <w14:ligatures w14:val="none"/>
    </w:rPr>
  </w:style>
  <w:style w:type="paragraph" w:customStyle="1" w:styleId="ListParagraph1">
    <w:name w:val="List Paragraph1"/>
    <w:basedOn w:val="Normal"/>
    <w:uiPriority w:val="34"/>
    <w:qFormat/>
    <w:pPr>
      <w:ind w:left="720"/>
      <w:contextualSpacing/>
    </w:pPr>
  </w:style>
  <w:style w:type="character" w:styleId="UnresolvedMention">
    <w:name w:val="Unresolved Mention"/>
    <w:basedOn w:val="DefaultParagraphFont"/>
    <w:uiPriority w:val="99"/>
    <w:semiHidden/>
    <w:unhideWhenUsed/>
    <w:rsid w:val="00CA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016/j.cvsm.2016.06.0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Randhir Singh</dc:creator>
  <cp:lastModifiedBy>SDI 1084</cp:lastModifiedBy>
  <cp:revision>26</cp:revision>
  <dcterms:created xsi:type="dcterms:W3CDTF">2023-12-20T16:37:00Z</dcterms:created>
  <dcterms:modified xsi:type="dcterms:W3CDTF">2025-07-29T07:13:00Z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3E82D070A3115B2469848768031A9CD9_31</vt:lpwstr>
  </property>
  <property fmtid="{D5CDD505-2E9C-101B-9397-08002B2CF9AE}" pid="3" name="KSOProductBuildVer">
    <vt:lpwstr>1033-11.35.00</vt:lpwstr>
  </property>
</Properties>
</file>