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i/>
          <w:sz w:val="32"/>
          <w:u w:val="single"/>
        </w:rPr>
      </w:pPr>
      <w:r>
        <w:rPr>
          <w:b/>
          <w:i/>
          <w:sz w:val="32"/>
          <w:u w:val="single"/>
        </w:rPr>
        <w:t xml:space="preserve">Original Research Article </w:t>
      </w:r>
    </w:p>
    <w:p>
      <w:pPr>
        <w:rPr>
          <w:b/>
        </w:rPr>
      </w:pPr>
      <w:bookmarkStart w:id="0" w:name="_Hlk204608702"/>
      <w:r>
        <w:rPr>
          <w:b/>
        </w:rPr>
        <w:t>Population dynamics of gram pod borer (</w:t>
      </w:r>
      <w:proofErr w:type="spellStart"/>
      <w:r>
        <w:rPr>
          <w:b/>
          <w:i/>
        </w:rPr>
        <w:t>Helicoverpa</w:t>
      </w:r>
      <w:proofErr w:type="spellEnd"/>
      <w:r>
        <w:rPr>
          <w:b/>
          <w:i/>
        </w:rPr>
        <w:t xml:space="preserve"> </w:t>
      </w:r>
      <w:proofErr w:type="spellStart"/>
      <w:r>
        <w:rPr>
          <w:b/>
          <w:i/>
        </w:rPr>
        <w:t>armigera</w:t>
      </w:r>
      <w:proofErr w:type="spellEnd"/>
      <w:r>
        <w:rPr>
          <w:b/>
        </w:rPr>
        <w:t xml:space="preserve"> </w:t>
      </w:r>
      <w:proofErr w:type="spellStart"/>
      <w:r>
        <w:rPr>
          <w:b/>
        </w:rPr>
        <w:t>Hüb</w:t>
      </w:r>
      <w:proofErr w:type="spellEnd"/>
      <w:r>
        <w:rPr>
          <w:b/>
        </w:rPr>
        <w:t>) on Birsa Chana-3 variety in Ranchi</w:t>
      </w:r>
      <w:bookmarkEnd w:id="0"/>
      <w:r>
        <w:rPr>
          <w:b/>
        </w:rPr>
        <w:t xml:space="preserve"> </w:t>
      </w:r>
    </w:p>
    <w:p/>
    <w:p/>
    <w:p>
      <w:pPr>
        <w:jc w:val="both"/>
        <w:rPr>
          <w:b/>
        </w:rPr>
      </w:pPr>
      <w:r>
        <w:rPr>
          <w:b/>
        </w:rPr>
        <w:t xml:space="preserve">Abstract </w:t>
      </w:r>
    </w:p>
    <w:p>
      <w:pPr>
        <w:jc w:val="both"/>
        <w:rPr>
          <w:bCs/>
        </w:rPr>
      </w:pPr>
      <w:r>
        <w:rPr>
          <w:bCs/>
        </w:rPr>
        <w:t>The present investigation was carried out at</w:t>
      </w:r>
      <w:r>
        <w:rPr>
          <w:bCs/>
          <w:lang w:val="en-US"/>
        </w:rPr>
        <w:t xml:space="preserve"> the Pulses Research Plots of Birsa Agricultural University, </w:t>
      </w:r>
      <w:proofErr w:type="spellStart"/>
      <w:r>
        <w:rPr>
          <w:bCs/>
          <w:lang w:val="en-US"/>
        </w:rPr>
        <w:t>Kanke</w:t>
      </w:r>
      <w:proofErr w:type="spellEnd"/>
      <w:r>
        <w:rPr>
          <w:bCs/>
          <w:lang w:val="en-US"/>
        </w:rPr>
        <w:t xml:space="preserve">, Ranchi. The trial was laid out </w:t>
      </w:r>
      <w:bookmarkStart w:id="1" w:name="_Hlk201888856"/>
      <w:r>
        <w:rPr>
          <w:bCs/>
        </w:rPr>
        <w:t>during</w:t>
      </w:r>
      <w:r>
        <w:rPr>
          <w:bCs/>
          <w:i/>
        </w:rPr>
        <w:t xml:space="preserve"> Rabi </w:t>
      </w:r>
      <w:r>
        <w:rPr>
          <w:bCs/>
        </w:rPr>
        <w:t>2022-23 and 2023-24</w:t>
      </w:r>
      <w:bookmarkEnd w:id="1"/>
      <w:r>
        <w:rPr>
          <w:bCs/>
        </w:rPr>
        <w:t>. The larval population was initially recorded in 49</w:t>
      </w:r>
      <w:r>
        <w:rPr>
          <w:bCs/>
          <w:vertAlign w:val="superscript"/>
        </w:rPr>
        <w:t>th</w:t>
      </w:r>
      <w:r>
        <w:rPr>
          <w:bCs/>
        </w:rPr>
        <w:t xml:space="preserve"> standard week (1</w:t>
      </w:r>
      <w:r>
        <w:rPr>
          <w:bCs/>
          <w:sz w:val="32"/>
          <w:szCs w:val="28"/>
          <w:vertAlign w:val="superscript"/>
        </w:rPr>
        <w:t>st</w:t>
      </w:r>
      <w:r>
        <w:rPr>
          <w:bCs/>
        </w:rPr>
        <w:t xml:space="preserve"> week of December) (1.78 larva/plant) 2022-23 and (1.95 larva/plant) in 2023-24, with a peak in 8</w:t>
      </w:r>
      <w:r>
        <w:rPr>
          <w:bCs/>
          <w:vertAlign w:val="superscript"/>
        </w:rPr>
        <w:t>th</w:t>
      </w:r>
      <w:r>
        <w:rPr>
          <w:bCs/>
        </w:rPr>
        <w:t xml:space="preserve"> standard week (4</w:t>
      </w:r>
      <w:r>
        <w:rPr>
          <w:bCs/>
          <w:vertAlign w:val="superscript"/>
        </w:rPr>
        <w:t>th</w:t>
      </w:r>
      <w:r>
        <w:rPr>
          <w:bCs/>
        </w:rPr>
        <w:t xml:space="preserve"> week of February) (2.74 larva/plant). Mean larval population of </w:t>
      </w:r>
      <w:proofErr w:type="spellStart"/>
      <w:r>
        <w:rPr>
          <w:bCs/>
          <w:i/>
        </w:rPr>
        <w:t>Helicoverpa</w:t>
      </w:r>
      <w:proofErr w:type="spellEnd"/>
      <w:r>
        <w:rPr>
          <w:bCs/>
          <w:i/>
        </w:rPr>
        <w:t xml:space="preserve"> </w:t>
      </w:r>
      <w:proofErr w:type="spellStart"/>
      <w:r>
        <w:rPr>
          <w:bCs/>
          <w:i/>
        </w:rPr>
        <w:t>armigera</w:t>
      </w:r>
      <w:proofErr w:type="spellEnd"/>
      <w:r>
        <w:rPr>
          <w:bCs/>
          <w:i/>
        </w:rPr>
        <w:t xml:space="preserve"> </w:t>
      </w:r>
      <w:r>
        <w:rPr>
          <w:bCs/>
        </w:rPr>
        <w:t xml:space="preserve">on chickpea variety Birsa Chana -3 was found positively correlated with maximum temperature (0.459), minimum temperature (0.414), (0.026) and </w:t>
      </w:r>
      <w:bookmarkStart w:id="2" w:name="_Hlk201888593"/>
      <w:r>
        <w:rPr>
          <w:bCs/>
        </w:rPr>
        <w:t>relative humidity (2 PM) (</w:t>
      </w:r>
      <w:bookmarkEnd w:id="2"/>
      <w:r>
        <w:rPr>
          <w:bCs/>
        </w:rPr>
        <w:t>0.256), (0.492) in two consecutive year (2022-23) and (2023-24) whereas, relative humidity (7 AM) shows negative and non-significant correlation (-0.118), (-0.301) 2022-23 and 2023-24 respectively. Correlation between rainfall and larval population was found positive and non-significant (0.121), (0.232). during</w:t>
      </w:r>
      <w:r>
        <w:rPr>
          <w:bCs/>
          <w:i/>
        </w:rPr>
        <w:t xml:space="preserve"> Rabi </w:t>
      </w:r>
      <w:bookmarkStart w:id="3" w:name="_Hlk201888960"/>
      <w:r>
        <w:rPr>
          <w:bCs/>
        </w:rPr>
        <w:t xml:space="preserve">2022-23 and 2023-24 </w:t>
      </w:r>
      <w:bookmarkEnd w:id="3"/>
      <w:r>
        <w:rPr>
          <w:bCs/>
        </w:rPr>
        <w:t xml:space="preserve">respectively. </w:t>
      </w:r>
    </w:p>
    <w:p>
      <w:r>
        <w:rPr>
          <w:b/>
        </w:rPr>
        <w:t xml:space="preserve">Keywords: </w:t>
      </w:r>
      <w:r>
        <w:t>Population dynamics, gram pod borer, chickpea, temperature, relative humidity</w:t>
      </w:r>
    </w:p>
    <w:p>
      <w:pPr>
        <w:jc w:val="both"/>
      </w:pPr>
      <w:r>
        <w:rPr>
          <w:b/>
        </w:rPr>
        <w:t xml:space="preserve">Introduction </w:t>
      </w:r>
    </w:p>
    <w:p>
      <w:pPr>
        <w:jc w:val="both"/>
      </w:pPr>
      <w:r>
        <w:t xml:space="preserve"> Chickpea (</w:t>
      </w:r>
      <w:proofErr w:type="spellStart"/>
      <w:r>
        <w:rPr>
          <w:i/>
          <w:iCs/>
        </w:rPr>
        <w:t>Cicer</w:t>
      </w:r>
      <w:proofErr w:type="spellEnd"/>
      <w:r>
        <w:rPr>
          <w:i/>
          <w:iCs/>
        </w:rPr>
        <w:t xml:space="preserve"> arietinum L.</w:t>
      </w:r>
      <w:r>
        <w:t xml:space="preserve">) is the most important pulse crop, which is commonly known as “Gram” or ‘Bengal gram, its, play an important role in food security, nutritional security, income security and environmental sustainability, besides of their nutritional value, it’s enhanced the fertility of soil in terms of yield of subsequent crops (Srivastava </w:t>
      </w:r>
      <w:r>
        <w:rPr>
          <w:i/>
          <w:iCs/>
        </w:rPr>
        <w:t xml:space="preserve">et al. </w:t>
      </w:r>
      <w:r>
        <w:t xml:space="preserve">2010). India accounts for 75 per cent of the world chickpea production and consumption (Das </w:t>
      </w:r>
      <w:r>
        <w:rPr>
          <w:i/>
        </w:rPr>
        <w:t>et al.,</w:t>
      </w:r>
      <w:r>
        <w:t xml:space="preserve"> 2017). Chickpea is a rich source of carbohydrates (60.7%), protein (21.5%), fat (6.0%) and contains essential nutrients such as niacin (B3), riboflavin (B2), pantothenic acid (B5) and vitamin C (</w:t>
      </w:r>
      <w:proofErr w:type="spellStart"/>
      <w:r>
        <w:t>Ahlawat</w:t>
      </w:r>
      <w:proofErr w:type="spellEnd"/>
      <w:r>
        <w:t xml:space="preserve"> and Om Prakash 1996; </w:t>
      </w:r>
      <w:proofErr w:type="spellStart"/>
      <w:r>
        <w:t>Jukanti</w:t>
      </w:r>
      <w:proofErr w:type="spellEnd"/>
      <w:r>
        <w:t xml:space="preserve"> </w:t>
      </w:r>
      <w:r>
        <w:rPr>
          <w:i/>
        </w:rPr>
        <w:t>et al.,</w:t>
      </w:r>
      <w:r>
        <w:t xml:space="preserve"> 2012).</w:t>
      </w:r>
      <w:r>
        <w:rPr>
          <w:color w:val="EE0000"/>
        </w:rPr>
        <w:t xml:space="preserve"> </w:t>
      </w:r>
      <w:r>
        <w:t xml:space="preserve">India cultivated approximately 10.91 million hectares of chickpea with a productivity of 10.12 quintals per hectare. The total supply of chickpea was 101.65 lakh tonnes. India is the world's largest chickpea producer, contributing 75% of global production. Major producing states include Madhya Pradesh, Maharashtra, Rajasthan, Uttar Pradesh, Karnataka, and Gujarat. The production of chickpea in Jharkhand is 2.86 lakh tonnes with productivity 1,172 kg per ha which covered nearly 2.39 lakh hectares of area (DES 2022-23). </w:t>
      </w:r>
    </w:p>
    <w:p>
      <w:pPr>
        <w:jc w:val="both"/>
      </w:pPr>
      <w:r>
        <w:t>Even though India is the largest producer of chickpea, it still imports chickpea from other countries. Keeping in view, the ever-incre</w:t>
      </w:r>
      <w:bookmarkStart w:id="4" w:name="_GoBack"/>
      <w:bookmarkEnd w:id="4"/>
      <w:r>
        <w:t xml:space="preserve">asing demand for this legume crop; it is essential to increase the production and area under cultivation, at the same time minimizing the stress on this crop plant. </w:t>
      </w:r>
    </w:p>
    <w:p>
      <w:pPr>
        <w:jc w:val="both"/>
      </w:pPr>
      <w:r>
        <w:t xml:space="preserve">It is damaged by over 50 insect species in different parts of the world, of which the gram pod borer, </w:t>
      </w:r>
      <w:proofErr w:type="spellStart"/>
      <w:r>
        <w:rPr>
          <w:i/>
        </w:rPr>
        <w:t>Helicoverpa</w:t>
      </w:r>
      <w:proofErr w:type="spellEnd"/>
      <w:r>
        <w:rPr>
          <w:i/>
        </w:rPr>
        <w:t xml:space="preserve"> </w:t>
      </w:r>
      <w:proofErr w:type="spellStart"/>
      <w:r>
        <w:rPr>
          <w:i/>
        </w:rPr>
        <w:t>armigera</w:t>
      </w:r>
      <w:proofErr w:type="spellEnd"/>
      <w:r>
        <w:rPr>
          <w:i/>
        </w:rPr>
        <w:t xml:space="preserve"> </w:t>
      </w:r>
      <w:r>
        <w:t>(</w:t>
      </w:r>
      <w:proofErr w:type="spellStart"/>
      <w:r>
        <w:t>Hübner</w:t>
      </w:r>
      <w:proofErr w:type="spellEnd"/>
      <w:r>
        <w:t>) (</w:t>
      </w:r>
      <w:proofErr w:type="spellStart"/>
      <w:r>
        <w:t>Noctuidae</w:t>
      </w:r>
      <w:proofErr w:type="spellEnd"/>
      <w:r>
        <w:t>: Lepidoptera) is the most important biotic constraint. It is a polyphagous, multi-</w:t>
      </w:r>
      <w:proofErr w:type="spellStart"/>
      <w:r>
        <w:t>voltine</w:t>
      </w:r>
      <w:proofErr w:type="spellEnd"/>
      <w:r>
        <w:t xml:space="preserve"> and cosmopolitan pest and is reported to feed and </w:t>
      </w:r>
      <w:r>
        <w:lastRenderedPageBreak/>
        <w:t>breed on 182 species of host plants belonging to 47 families in India (</w:t>
      </w:r>
      <w:proofErr w:type="spellStart"/>
      <w:r>
        <w:t>Pawar</w:t>
      </w:r>
      <w:proofErr w:type="spellEnd"/>
      <w:r>
        <w:t>, 1998)</w:t>
      </w:r>
      <w:r>
        <w:rPr>
          <w:vertAlign w:val="superscript"/>
        </w:rPr>
        <w:t>.</w:t>
      </w:r>
      <w:r>
        <w:rPr>
          <w:b/>
          <w:bCs/>
          <w:vertAlign w:val="superscript"/>
        </w:rPr>
        <w:t xml:space="preserve"> </w:t>
      </w:r>
      <w:proofErr w:type="spellStart"/>
      <w:r>
        <w:rPr>
          <w:i/>
        </w:rPr>
        <w:t>Helicoverpa</w:t>
      </w:r>
      <w:proofErr w:type="spellEnd"/>
      <w:r>
        <w:rPr>
          <w:i/>
        </w:rPr>
        <w:t xml:space="preserve"> </w:t>
      </w:r>
      <w:proofErr w:type="spellStart"/>
      <w:r>
        <w:rPr>
          <w:i/>
        </w:rPr>
        <w:t>armigera</w:t>
      </w:r>
      <w:proofErr w:type="spellEnd"/>
      <w:r>
        <w:rPr>
          <w:i/>
        </w:rPr>
        <w:t xml:space="preserve"> </w:t>
      </w:r>
      <w:r>
        <w:t xml:space="preserve">is known to be the key pest and most important limiting factor in the successful cultivation of chickpea (Lateef, 1985 and Reed </w:t>
      </w:r>
      <w:r>
        <w:rPr>
          <w:i/>
        </w:rPr>
        <w:t>et al</w:t>
      </w:r>
      <w:r>
        <w:t>., 1987) due</w:t>
      </w:r>
      <w:r>
        <w:rPr>
          <w:color w:val="EE0000"/>
        </w:rPr>
        <w:t xml:space="preserve"> </w:t>
      </w:r>
      <w:r>
        <w:t>to high reproduction rates, wide genetic diversity and an ability to withstand, metabolize and avoid toxic chemicals. A single larva can consume 30-40 pods in its life time (</w:t>
      </w:r>
      <w:proofErr w:type="spellStart"/>
      <w:r>
        <w:t>Taggar</w:t>
      </w:r>
      <w:proofErr w:type="spellEnd"/>
      <w:r>
        <w:t xml:space="preserve"> and Singh, 2012). Yield losses due to gram pod borer in chickpea may range from 70 to 95 percent (Prakash </w:t>
      </w:r>
      <w:r>
        <w:rPr>
          <w:i/>
        </w:rPr>
        <w:t>et al</w:t>
      </w:r>
      <w:r>
        <w:t>., 2007)</w:t>
      </w:r>
      <w:r>
        <w:rPr>
          <w:vertAlign w:val="superscript"/>
        </w:rPr>
        <w:t xml:space="preserve">. </w:t>
      </w:r>
      <w:r>
        <w:t xml:space="preserve">Hence, an attempt has been made to investigate the incidence of pod borer infesting chickpea to the different meteorological parameters. </w:t>
      </w:r>
    </w:p>
    <w:p>
      <w:pPr>
        <w:jc w:val="both"/>
      </w:pPr>
      <w:r>
        <w:rPr>
          <w:b/>
        </w:rPr>
        <w:t xml:space="preserve">Materials and Methods  </w:t>
      </w:r>
    </w:p>
    <w:p>
      <w:pPr>
        <w:jc w:val="both"/>
      </w:pPr>
      <w:r>
        <w:t xml:space="preserve">In order to study the population dynamics of </w:t>
      </w:r>
      <w:proofErr w:type="spellStart"/>
      <w:r>
        <w:rPr>
          <w:i/>
        </w:rPr>
        <w:t>Helicoverpa</w:t>
      </w:r>
      <w:proofErr w:type="spellEnd"/>
      <w:r>
        <w:rPr>
          <w:i/>
        </w:rPr>
        <w:t xml:space="preserve"> </w:t>
      </w:r>
      <w:proofErr w:type="spellStart"/>
      <w:r>
        <w:rPr>
          <w:i/>
        </w:rPr>
        <w:t>armigera</w:t>
      </w:r>
      <w:proofErr w:type="spellEnd"/>
      <w:r>
        <w:t xml:space="preserve"> on chickpea variety, Research was conducted at</w:t>
      </w:r>
      <w:r>
        <w:rPr>
          <w:lang w:val="en-US"/>
        </w:rPr>
        <w:t xml:space="preserve"> the Pulses Research Plots of Birsa Agricultural University, </w:t>
      </w:r>
      <w:proofErr w:type="spellStart"/>
      <w:r>
        <w:rPr>
          <w:lang w:val="en-US"/>
        </w:rPr>
        <w:t>Kanke</w:t>
      </w:r>
      <w:proofErr w:type="spellEnd"/>
      <w:r>
        <w:rPr>
          <w:lang w:val="en-US"/>
        </w:rPr>
        <w:t xml:space="preserve">, Ranchi. The trial will be laid out </w:t>
      </w:r>
      <w:r>
        <w:t>during</w:t>
      </w:r>
      <w:r>
        <w:rPr>
          <w:i/>
        </w:rPr>
        <w:t xml:space="preserve"> Rabi </w:t>
      </w:r>
      <w:r>
        <w:t>2022-23 and 2023-24. The crop was sown on 17</w:t>
      </w:r>
      <w:r>
        <w:rPr>
          <w:vertAlign w:val="superscript"/>
        </w:rPr>
        <w:t>th</w:t>
      </w:r>
      <w:r>
        <w:t xml:space="preserve"> November, 2022 and 2023. All the agronomic practices were followed except insecticidal application. The larval population was recorded on five randomly selected plants from each quadrate at weekly interval on standard week basis. Data on weather factor viz., atmospheric temperature (maximum and minimum), relative humidity (maximum and minimum) and total rainfall were obtained from Department of Agrometeorology and Environmental Science, BAU Ranchi. Data recorded on larval population and meteorological parameters were analysed statistically according to the method as described by (</w:t>
      </w:r>
      <w:r>
        <w:rPr>
          <w:lang w:val="en-US"/>
        </w:rPr>
        <w:t>Pearson,1920)</w:t>
      </w:r>
      <w:r>
        <w:t>.</w:t>
      </w:r>
    </w:p>
    <w:p>
      <w:pPr>
        <w:jc w:val="both"/>
      </w:pPr>
      <w:r>
        <w:t xml:space="preserve"> </w:t>
      </w:r>
      <w:r>
        <w:rPr>
          <w:noProof/>
          <w:sz w:val="16"/>
          <w:szCs w:val="14"/>
        </w:rPr>
        <w:drawing>
          <wp:inline distT="0" distB="0" distL="0" distR="0">
            <wp:extent cx="2675106" cy="786765"/>
            <wp:effectExtent l="0" t="0" r="0" b="0"/>
            <wp:docPr id="20242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1879" cy="800521"/>
                    </a:xfrm>
                    <a:prstGeom prst="rect">
                      <a:avLst/>
                    </a:prstGeom>
                    <a:noFill/>
                    <a:ln>
                      <a:noFill/>
                    </a:ln>
                  </pic:spPr>
                </pic:pic>
              </a:graphicData>
            </a:graphic>
          </wp:inline>
        </w:drawing>
      </w:r>
    </w:p>
    <w:p>
      <w:pPr>
        <w:jc w:val="both"/>
      </w:pPr>
      <w:r>
        <w:t>Where,</w:t>
      </w:r>
    </w:p>
    <w:p>
      <w:pPr>
        <w:jc w:val="both"/>
      </w:pPr>
      <w:proofErr w:type="spellStart"/>
      <w:r>
        <w:t>rxy</w:t>
      </w:r>
      <w:proofErr w:type="spellEnd"/>
      <w:r>
        <w:t xml:space="preserve"> = Simple correlation coefficient</w:t>
      </w:r>
    </w:p>
    <w:p>
      <w:pPr>
        <w:jc w:val="both"/>
      </w:pPr>
      <w:r>
        <w:t>x = Variable, i.e. abiotic component.</w:t>
      </w:r>
    </w:p>
    <w:p>
      <w:pPr>
        <w:jc w:val="both"/>
      </w:pPr>
      <w:r>
        <w:t>(Maximum temperature, minimum temperature, relative humidity and total rainfall)</w:t>
      </w:r>
    </w:p>
    <w:p>
      <w:pPr>
        <w:jc w:val="both"/>
      </w:pPr>
      <w:r>
        <w:t>y = Variable, i.e. mean number of insect pests</w:t>
      </w:r>
    </w:p>
    <w:p>
      <w:pPr>
        <w:jc w:val="both"/>
      </w:pPr>
      <w:r>
        <w:t>n = Number of observations.</w:t>
      </w:r>
    </w:p>
    <w:p>
      <w:pPr>
        <w:jc w:val="both"/>
        <w:rPr>
          <w:b/>
        </w:rPr>
      </w:pPr>
      <w:r>
        <w:rPr>
          <w:b/>
        </w:rPr>
        <w:t>Results and Discussion</w:t>
      </w:r>
    </w:p>
    <w:p>
      <w:pPr>
        <w:jc w:val="both"/>
      </w:pPr>
      <w:r>
        <w:t>The data summarized in Table 1 and depicted in fig 1 indicated that the pest population of pod borer on Birsa Chana-3 ranged from 1.78 to 2.78 larvae per plant during the season. The larval population occurred on gram throughout the growth phase, being low at vegetative stage and high at pod development stage. The maximum and minimum larval population was recorded in 8</w:t>
      </w:r>
      <w:r>
        <w:rPr>
          <w:vertAlign w:val="superscript"/>
        </w:rPr>
        <w:t>th</w:t>
      </w:r>
      <w:r>
        <w:t xml:space="preserve"> (2.78 larva/plant) (3</w:t>
      </w:r>
      <w:r>
        <w:rPr>
          <w:vertAlign w:val="superscript"/>
        </w:rPr>
        <w:t>rd</w:t>
      </w:r>
      <w:r>
        <w:t xml:space="preserve"> week of February) standard week,</w:t>
      </w:r>
      <w:r>
        <w:rPr>
          <w:rFonts w:cs="Times New Roman"/>
          <w:color w:val="000000"/>
          <w:sz w:val="20"/>
          <w:szCs w:val="20"/>
        </w:rPr>
        <w:t xml:space="preserve"> </w:t>
      </w:r>
      <w:proofErr w:type="gramStart"/>
      <w:r>
        <w:t>The</w:t>
      </w:r>
      <w:proofErr w:type="gramEnd"/>
      <w:r>
        <w:t xml:space="preserve"> data recorded on population dynamics of </w:t>
      </w:r>
      <w:r>
        <w:rPr>
          <w:i/>
          <w:iCs/>
        </w:rPr>
        <w:t xml:space="preserve">H. </w:t>
      </w:r>
      <w:proofErr w:type="spellStart"/>
      <w:r>
        <w:rPr>
          <w:i/>
          <w:iCs/>
        </w:rPr>
        <w:t>armigera</w:t>
      </w:r>
      <w:proofErr w:type="spellEnd"/>
      <w:r>
        <w:rPr>
          <w:i/>
          <w:iCs/>
        </w:rPr>
        <w:t xml:space="preserve"> </w:t>
      </w:r>
      <w:r>
        <w:t xml:space="preserve">during </w:t>
      </w:r>
      <w:r>
        <w:rPr>
          <w:i/>
          <w:iCs/>
        </w:rPr>
        <w:t>Rabi</w:t>
      </w:r>
      <w:r>
        <w:t xml:space="preserve">, 2022-23 &amp; </w:t>
      </w:r>
      <w:r>
        <w:rPr>
          <w:i/>
          <w:iCs/>
        </w:rPr>
        <w:t>Rabi</w:t>
      </w:r>
      <w:r>
        <w:t xml:space="preserve">, 2023-24 have been presented in Table- 1&amp;2 (Fig.1, &amp; Fig. 2). It is evident from the data that the pest activity started since initial infestation and continued till peak stages of the crop. </w:t>
      </w:r>
    </w:p>
    <w:p>
      <w:pPr>
        <w:jc w:val="both"/>
      </w:pPr>
      <w:r>
        <w:t xml:space="preserve">   The larvae of </w:t>
      </w:r>
      <w:r>
        <w:rPr>
          <w:i/>
          <w:iCs/>
        </w:rPr>
        <w:t xml:space="preserve">H. </w:t>
      </w:r>
      <w:proofErr w:type="spellStart"/>
      <w:r>
        <w:rPr>
          <w:i/>
          <w:iCs/>
        </w:rPr>
        <w:t>armigera</w:t>
      </w:r>
      <w:proofErr w:type="spellEnd"/>
      <w:r>
        <w:rPr>
          <w:i/>
          <w:iCs/>
        </w:rPr>
        <w:t xml:space="preserve"> </w:t>
      </w:r>
      <w:r>
        <w:t xml:space="preserve">were noticed for the first time during 49th standard meteorological week (SMW) of </w:t>
      </w:r>
      <w:r>
        <w:rPr>
          <w:i/>
          <w:iCs/>
        </w:rPr>
        <w:t>Rabi</w:t>
      </w:r>
      <w:r>
        <w:t xml:space="preserve">, 2022-23 and 2023-24 at the maximum temperature of 31.6 </w:t>
      </w:r>
      <w:r>
        <w:rPr>
          <w:vertAlign w:val="superscript"/>
        </w:rPr>
        <w:t>0</w:t>
      </w:r>
      <w:r>
        <w:t xml:space="preserve">C &amp; 27.8 </w:t>
      </w:r>
      <w:r>
        <w:rPr>
          <w:vertAlign w:val="superscript"/>
        </w:rPr>
        <w:lastRenderedPageBreak/>
        <w:t>0</w:t>
      </w:r>
      <w:r>
        <w:t xml:space="preserve">C, minimum temperature of 2.5 </w:t>
      </w:r>
      <w:r>
        <w:rPr>
          <w:vertAlign w:val="superscript"/>
        </w:rPr>
        <w:t>0</w:t>
      </w:r>
      <w:r>
        <w:t xml:space="preserve">C &amp; 3.9 </w:t>
      </w:r>
      <w:r>
        <w:rPr>
          <w:vertAlign w:val="superscript"/>
        </w:rPr>
        <w:t>0</w:t>
      </w:r>
      <w:r>
        <w:t xml:space="preserve">C, relative humidity 67.2 &amp; 68.3 per cent and there were no rains during </w:t>
      </w:r>
      <w:r>
        <w:rPr>
          <w:i/>
          <w:iCs/>
        </w:rPr>
        <w:t>Rabi</w:t>
      </w:r>
      <w:r>
        <w:t xml:space="preserve">, 2022-23 &amp; </w:t>
      </w:r>
      <w:r>
        <w:rPr>
          <w:i/>
          <w:iCs/>
        </w:rPr>
        <w:t>Rabi</w:t>
      </w:r>
      <w:r>
        <w:t xml:space="preserve">, 2023-24. Over all mean larvae were recorded during first observation in 49th SMW were 0.24 &amp; 0.39 larvae/ plant. Thereafter activity of </w:t>
      </w:r>
      <w:r>
        <w:rPr>
          <w:i/>
          <w:iCs/>
        </w:rPr>
        <w:t>H</w:t>
      </w:r>
      <w:r>
        <w:t xml:space="preserve">. </w:t>
      </w:r>
      <w:proofErr w:type="spellStart"/>
      <w:r>
        <w:rPr>
          <w:i/>
          <w:iCs/>
        </w:rPr>
        <w:t>armigera</w:t>
      </w:r>
      <w:proofErr w:type="spellEnd"/>
      <w:r>
        <w:rPr>
          <w:i/>
          <w:iCs/>
        </w:rPr>
        <w:t xml:space="preserve"> </w:t>
      </w:r>
      <w:r>
        <w:t xml:space="preserve">continued though in fluctuating number throughout crop season. In 49h SMW at the minimum temperature 11.8 </w:t>
      </w:r>
      <w:r>
        <w:rPr>
          <w:vertAlign w:val="superscript"/>
        </w:rPr>
        <w:t>0</w:t>
      </w:r>
      <w:r>
        <w:t xml:space="preserve">C &amp; 14.1 </w:t>
      </w:r>
      <w:r>
        <w:rPr>
          <w:vertAlign w:val="superscript"/>
        </w:rPr>
        <w:t>0</w:t>
      </w:r>
      <w:r>
        <w:t xml:space="preserve">C, maximum temperature 29.0 </w:t>
      </w:r>
      <w:r>
        <w:rPr>
          <w:vertAlign w:val="superscript"/>
        </w:rPr>
        <w:t>0</w:t>
      </w:r>
      <w:r>
        <w:t xml:space="preserve">C &amp;30.3 </w:t>
      </w:r>
      <w:r>
        <w:rPr>
          <w:vertAlign w:val="superscript"/>
        </w:rPr>
        <w:t>0</w:t>
      </w:r>
      <w:r>
        <w:t xml:space="preserve">C and relative humidity 67.4 &amp; 71.2 per cent and no rainfall, respective larvae recorded was respectively recorded during 47th and 48th SMW during </w:t>
      </w:r>
      <w:r>
        <w:rPr>
          <w:i/>
          <w:iCs/>
        </w:rPr>
        <w:t>Rabi</w:t>
      </w:r>
      <w:r>
        <w:t xml:space="preserve">, 2022-23 and 2023-24. </w:t>
      </w:r>
    </w:p>
    <w:p>
      <w:pPr>
        <w:jc w:val="both"/>
      </w:pPr>
      <w:r>
        <w:t xml:space="preserve"> The present investigation was conformity with that of Choudhary </w:t>
      </w:r>
      <w:r>
        <w:rPr>
          <w:i/>
          <w:iCs/>
        </w:rPr>
        <w:t>et al.</w:t>
      </w:r>
      <w:r>
        <w:t xml:space="preserve"> (2024) conducted the population dynamics of </w:t>
      </w:r>
      <w:r>
        <w:rPr>
          <w:i/>
          <w:iCs/>
        </w:rPr>
        <w:t xml:space="preserve">H. </w:t>
      </w:r>
      <w:proofErr w:type="spellStart"/>
      <w:r>
        <w:rPr>
          <w:i/>
          <w:iCs/>
        </w:rPr>
        <w:t>armigera</w:t>
      </w:r>
      <w:proofErr w:type="spellEnd"/>
      <w:r>
        <w:t xml:space="preserve"> on chickpea. The incidence commenced from first and second week of December i.e. 49th and 50th SMW. Which, increased gradually and reached peak (6.4 and 5.2 larvae/ m row) in the third and second week of February (8th and 9th SMW).</w:t>
      </w:r>
    </w:p>
    <w:p>
      <w:pPr>
        <w:jc w:val="both"/>
      </w:pPr>
      <w:r>
        <w:t xml:space="preserve">  Likewise, Shinde </w:t>
      </w:r>
      <w:r>
        <w:rPr>
          <w:i/>
          <w:iCs/>
        </w:rPr>
        <w:t>et al</w:t>
      </w:r>
      <w:r>
        <w:t xml:space="preserve">. (2013); Patidar </w:t>
      </w:r>
      <w:r>
        <w:rPr>
          <w:i/>
          <w:iCs/>
        </w:rPr>
        <w:t>et al.</w:t>
      </w:r>
      <w:r>
        <w:t xml:space="preserve"> (2020); </w:t>
      </w:r>
      <w:proofErr w:type="spellStart"/>
      <w:r>
        <w:t>Bajya</w:t>
      </w:r>
      <w:proofErr w:type="spellEnd"/>
      <w:r>
        <w:t xml:space="preserve"> </w:t>
      </w:r>
      <w:r>
        <w:rPr>
          <w:i/>
          <w:iCs/>
        </w:rPr>
        <w:t>et al.</w:t>
      </w:r>
      <w:r>
        <w:t xml:space="preserve"> (2022); Yadav </w:t>
      </w:r>
      <w:r>
        <w:rPr>
          <w:i/>
          <w:iCs/>
        </w:rPr>
        <w:t>et al.</w:t>
      </w:r>
      <w:r>
        <w:t xml:space="preserve"> (2024); </w:t>
      </w:r>
      <w:proofErr w:type="spellStart"/>
      <w:r>
        <w:t>Kumawat</w:t>
      </w:r>
      <w:proofErr w:type="spellEnd"/>
      <w:r>
        <w:t xml:space="preserve"> </w:t>
      </w:r>
      <w:r>
        <w:rPr>
          <w:i/>
          <w:iCs/>
        </w:rPr>
        <w:t>et al</w:t>
      </w:r>
      <w:r>
        <w:t xml:space="preserve">. (2024) also noticed the incidence of </w:t>
      </w:r>
      <w:r>
        <w:rPr>
          <w:i/>
          <w:iCs/>
        </w:rPr>
        <w:t xml:space="preserve">H. </w:t>
      </w:r>
      <w:proofErr w:type="spellStart"/>
      <w:r>
        <w:rPr>
          <w:i/>
          <w:iCs/>
        </w:rPr>
        <w:t>armigera</w:t>
      </w:r>
      <w:proofErr w:type="spellEnd"/>
      <w:r>
        <w:t xml:space="preserve"> throughout the crop growth stages. The population appeared from second fortnight of November being minimum in second fortnight of December to first fortnight of January and peak during second fortnight of February to first fortnight of April depending on the climatic conditions. </w:t>
      </w:r>
    </w:p>
    <w:p>
      <w:pPr>
        <w:jc w:val="both"/>
      </w:pPr>
      <w:r>
        <w:t xml:space="preserve">    Correlation between larval population and weather parameters </w:t>
      </w:r>
      <w:r>
        <w:rPr>
          <w:i/>
          <w:iCs/>
        </w:rPr>
        <w:t>viz</w:t>
      </w:r>
      <w:r>
        <w:t xml:space="preserve">., maximum temperature, minimum temperature, relative humidity (morning and evening) and rainfall has been given in Table- 3. It is manifest from data that larval population showed non-significant positive correlation with maximum temperature (0.459), minimum temperature (0.414) and </w:t>
      </w:r>
      <w:bookmarkStart w:id="5" w:name="_Hlk201607409"/>
      <w:r>
        <w:t xml:space="preserve">relative humidity </w:t>
      </w:r>
      <w:bookmarkEnd w:id="5"/>
      <w:r>
        <w:t xml:space="preserve">evening (0.256) and rainfall (0.121) while showed non-significant negative correlation in relative humidity morning and (-0.118) during </w:t>
      </w:r>
      <w:r>
        <w:rPr>
          <w:i/>
          <w:iCs/>
        </w:rPr>
        <w:t>Rabi</w:t>
      </w:r>
      <w:r>
        <w:t xml:space="preserve">, 2022-23. It is evident from data that larval population showed non-significant negative correlation with maximum temperature (-0.106), relative humidity morning (-0.301) and while minimum temperature (0.026), </w:t>
      </w:r>
      <w:bookmarkStart w:id="6" w:name="_Hlk201608144"/>
      <w:r>
        <w:t>relative humidity evening (0.492)</w:t>
      </w:r>
      <w:bookmarkEnd w:id="6"/>
      <w:r>
        <w:t xml:space="preserve"> and rainfall (0.232) showed non-</w:t>
      </w:r>
      <w:r>
        <w:rPr>
          <w:rFonts w:cs="Times New Roman"/>
          <w:color w:val="000000"/>
          <w:sz w:val="20"/>
          <w:szCs w:val="20"/>
          <w14:ligatures w14:val="standardContextual"/>
        </w:rPr>
        <w:t xml:space="preserve"> </w:t>
      </w:r>
      <w:r>
        <w:t xml:space="preserve">significant with positive correlation in </w:t>
      </w:r>
      <w:r>
        <w:rPr>
          <w:i/>
          <w:iCs/>
        </w:rPr>
        <w:t>Rabi</w:t>
      </w:r>
      <w:r>
        <w:t xml:space="preserve">, 2023-24. </w:t>
      </w:r>
    </w:p>
    <w:p>
      <w:pPr>
        <w:jc w:val="both"/>
      </w:pPr>
      <w:r>
        <w:t xml:space="preserve">The present findings are also in accordance with the larval population had positive significant correlation with maximum and minimum temperatures (r = 0.528 and 0.572; p&lt;.05) while, non-significant negative correlation with morning and evening relative humidity (r = -0.278: p&lt;.05, r = -0.314; p&lt;.05) and non-significant positive correlation with rainfall during Rabi, 2022-23. Likewise, the population of </w:t>
      </w:r>
      <w:r>
        <w:rPr>
          <w:i/>
          <w:iCs/>
        </w:rPr>
        <w:t xml:space="preserve">H. </w:t>
      </w:r>
      <w:proofErr w:type="spellStart"/>
      <w:r>
        <w:rPr>
          <w:i/>
          <w:iCs/>
        </w:rPr>
        <w:t>armigera</w:t>
      </w:r>
      <w:proofErr w:type="spellEnd"/>
      <w:r>
        <w:t xml:space="preserve"> had significant positive correlation with maximum and minimum temperatures (r = 0.539 and 0.562; p&lt;.05) and significant negative correlation with morning (r = -0.578; p&lt;.05) relative humidity while, non-significant negative correlation with evening relative humidity and non-significant positive correlation with rainfall during Rabi, 2023-24 </w:t>
      </w:r>
      <w:proofErr w:type="spellStart"/>
      <w:r>
        <w:t>Bajya</w:t>
      </w:r>
      <w:proofErr w:type="spellEnd"/>
      <w:r>
        <w:t xml:space="preserve"> </w:t>
      </w:r>
      <w:r>
        <w:rPr>
          <w:i/>
          <w:iCs/>
        </w:rPr>
        <w:t>et.al</w:t>
      </w:r>
      <w:r>
        <w:t xml:space="preserve">., (2025). Patel (2015) who stated that the significant negative correlation between larval population of </w:t>
      </w:r>
      <w:r>
        <w:rPr>
          <w:i/>
          <w:iCs/>
        </w:rPr>
        <w:t xml:space="preserve">H. </w:t>
      </w:r>
      <w:proofErr w:type="spellStart"/>
      <w:r>
        <w:rPr>
          <w:i/>
          <w:iCs/>
        </w:rPr>
        <w:t>armigera</w:t>
      </w:r>
      <w:proofErr w:type="spellEnd"/>
      <w:r>
        <w:rPr>
          <w:i/>
          <w:iCs/>
        </w:rPr>
        <w:t xml:space="preserve"> </w:t>
      </w:r>
      <w:r>
        <w:t xml:space="preserve">and evaporation (-0.551) and non-significant effect was observed between larval population of </w:t>
      </w:r>
      <w:r>
        <w:rPr>
          <w:i/>
          <w:iCs/>
        </w:rPr>
        <w:t xml:space="preserve">H. </w:t>
      </w:r>
      <w:proofErr w:type="spellStart"/>
      <w:r>
        <w:rPr>
          <w:i/>
          <w:iCs/>
        </w:rPr>
        <w:t>armigera</w:t>
      </w:r>
      <w:proofErr w:type="spellEnd"/>
      <w:r>
        <w:rPr>
          <w:i/>
          <w:iCs/>
        </w:rPr>
        <w:t xml:space="preserve"> </w:t>
      </w:r>
      <w:r>
        <w:t xml:space="preserve">and maximum temperature, evening relative humidity. Alok </w:t>
      </w:r>
      <w:r>
        <w:rPr>
          <w:i/>
          <w:iCs/>
        </w:rPr>
        <w:t xml:space="preserve">et al. </w:t>
      </w:r>
      <w:r>
        <w:t xml:space="preserve">(2022) observed that the larval counts of </w:t>
      </w:r>
      <w:r>
        <w:rPr>
          <w:i/>
          <w:iCs/>
        </w:rPr>
        <w:t xml:space="preserve">H. </w:t>
      </w:r>
      <w:proofErr w:type="spellStart"/>
      <w:r>
        <w:rPr>
          <w:i/>
          <w:iCs/>
        </w:rPr>
        <w:t>armigera</w:t>
      </w:r>
      <w:proofErr w:type="spellEnd"/>
      <w:r>
        <w:t xml:space="preserve"> when correlated with abiotic parameters revealed a negative non-significant correlation with maximum and minimum temperatures; however, it showed a positive correlation with relative humidity in the morning which was non-significant; and with evening relative humidity, it was significant.  Kumar </w:t>
      </w:r>
      <w:r>
        <w:rPr>
          <w:i/>
          <w:iCs/>
        </w:rPr>
        <w:t>et al.</w:t>
      </w:r>
      <w:r>
        <w:t xml:space="preserve"> (2022) reported that larval incidence of </w:t>
      </w:r>
      <w:r>
        <w:rPr>
          <w:i/>
          <w:iCs/>
        </w:rPr>
        <w:t xml:space="preserve">H. </w:t>
      </w:r>
      <w:proofErr w:type="spellStart"/>
      <w:r>
        <w:rPr>
          <w:i/>
          <w:iCs/>
        </w:rPr>
        <w:t>armigera</w:t>
      </w:r>
      <w:proofErr w:type="spellEnd"/>
      <w:r>
        <w:t xml:space="preserve"> on chickpea was found positively correlated with maximum temperature, while </w:t>
      </w:r>
      <w:r>
        <w:lastRenderedPageBreak/>
        <w:t>minimum temperature and relative humidity showed negative and non-significant correlation. Correlation between rainfall and larval incidence was found negative and significant.</w:t>
      </w:r>
    </w:p>
    <w:p>
      <w:pPr>
        <w:jc w:val="both"/>
        <w:rPr>
          <w:b/>
          <w:bCs/>
        </w:rPr>
      </w:pPr>
      <w:bookmarkStart w:id="7" w:name="_Hlk201586628"/>
      <w:bookmarkStart w:id="8" w:name="_Hlk202146745"/>
      <w:r>
        <w:rPr>
          <w:b/>
          <w:bCs/>
        </w:rPr>
        <w:t xml:space="preserve">Table 1: Seasonal incidence of </w:t>
      </w:r>
      <w:r>
        <w:rPr>
          <w:b/>
          <w:bCs/>
          <w:i/>
        </w:rPr>
        <w:t xml:space="preserve">H. </w:t>
      </w:r>
      <w:proofErr w:type="spellStart"/>
      <w:r>
        <w:rPr>
          <w:b/>
          <w:bCs/>
          <w:i/>
        </w:rPr>
        <w:t>armigera</w:t>
      </w:r>
      <w:proofErr w:type="spellEnd"/>
      <w:r>
        <w:rPr>
          <w:b/>
          <w:bCs/>
        </w:rPr>
        <w:t xml:space="preserve"> on chickpea (Birsa Chana-3) variety in relation to abiotic factors during </w:t>
      </w:r>
      <w:r>
        <w:rPr>
          <w:b/>
          <w:bCs/>
          <w:i/>
        </w:rPr>
        <w:t>Rabi,</w:t>
      </w:r>
      <w:r>
        <w:rPr>
          <w:b/>
          <w:bCs/>
        </w:rPr>
        <w:t xml:space="preserve"> 2022-23</w:t>
      </w:r>
    </w:p>
    <w:tbl>
      <w:tblPr>
        <w:tblpPr w:leftFromText="180" w:rightFromText="180" w:vertAnchor="text" w:tblpY="1"/>
        <w:tblOverlap w:val="never"/>
        <w:tblW w:w="8926"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276"/>
      </w:tblGrid>
      <w:tr>
        <w:trPr>
          <w:trHeight w:val="422"/>
        </w:trPr>
        <w:tc>
          <w:tcPr>
            <w:tcW w:w="900" w:type="dxa"/>
            <w:tcBorders>
              <w:top w:val="single" w:sz="4" w:space="0" w:color="000000"/>
              <w:left w:val="single" w:sz="4" w:space="0" w:color="000000"/>
              <w:bottom w:val="single" w:sz="4" w:space="0" w:color="000000"/>
              <w:right w:val="single" w:sz="4" w:space="0" w:color="000000"/>
            </w:tcBorders>
          </w:tcPr>
          <w:p>
            <w:pPr>
              <w:jc w:val="both"/>
              <w:rPr>
                <w:b/>
                <w:bCs/>
              </w:rPr>
            </w:pPr>
            <w:bookmarkStart w:id="9" w:name="_Hlk201586508"/>
            <w:bookmarkEnd w:id="7"/>
          </w:p>
        </w:tc>
        <w:tc>
          <w:tcPr>
            <w:tcW w:w="1394" w:type="dxa"/>
            <w:tcBorders>
              <w:top w:val="single" w:sz="4" w:space="0" w:color="000000"/>
              <w:left w:val="single" w:sz="4" w:space="0" w:color="000000"/>
              <w:bottom w:val="single" w:sz="4" w:space="0" w:color="000000"/>
              <w:right w:val="single" w:sz="4" w:space="0" w:color="000000"/>
            </w:tcBorders>
          </w:tcPr>
          <w:p>
            <w:pPr>
              <w:jc w:val="both"/>
              <w:rPr>
                <w:b/>
                <w:bCs/>
              </w:rPr>
            </w:pPr>
          </w:p>
        </w:tc>
        <w:tc>
          <w:tcPr>
            <w:tcW w:w="1421" w:type="dxa"/>
            <w:tcBorders>
              <w:top w:val="single" w:sz="4" w:space="0" w:color="000000"/>
              <w:left w:val="single" w:sz="4" w:space="0" w:color="000000"/>
              <w:bottom w:val="single" w:sz="4" w:space="0" w:color="000000"/>
              <w:right w:val="single" w:sz="4" w:space="0" w:color="000000"/>
            </w:tcBorders>
          </w:tcPr>
          <w:p>
            <w:pPr>
              <w:jc w:val="both"/>
              <w:rPr>
                <w:b/>
                <w:bCs/>
              </w:rPr>
            </w:pPr>
          </w:p>
        </w:tc>
        <w:tc>
          <w:tcPr>
            <w:tcW w:w="2092" w:type="dxa"/>
            <w:gridSpan w:val="2"/>
            <w:tcBorders>
              <w:top w:val="single" w:sz="4" w:space="0" w:color="000000"/>
              <w:left w:val="single" w:sz="4" w:space="0" w:color="000000"/>
              <w:bottom w:val="single" w:sz="4" w:space="0" w:color="000000"/>
              <w:right w:val="single" w:sz="4" w:space="0" w:color="auto"/>
            </w:tcBorders>
            <w:vAlign w:val="center"/>
          </w:tcPr>
          <w:p>
            <w:pPr>
              <w:jc w:val="center"/>
              <w:rPr>
                <w:b/>
                <w:bCs/>
              </w:rPr>
            </w:pPr>
            <w:r>
              <w:rPr>
                <w:b/>
                <w:bCs/>
              </w:rPr>
              <w:t>Temperature(°C)</w:t>
            </w:r>
          </w:p>
          <w:p>
            <w:pPr>
              <w:jc w:val="center"/>
              <w:rPr>
                <w:b/>
                <w:bCs/>
              </w:rPr>
            </w:pPr>
          </w:p>
        </w:tc>
        <w:tc>
          <w:tcPr>
            <w:tcW w:w="3119" w:type="dxa"/>
            <w:gridSpan w:val="3"/>
            <w:tcBorders>
              <w:top w:val="single" w:sz="4" w:space="0" w:color="000000"/>
              <w:left w:val="single" w:sz="4" w:space="0" w:color="000000"/>
              <w:bottom w:val="single" w:sz="4" w:space="0" w:color="000000"/>
              <w:right w:val="single" w:sz="4" w:space="0" w:color="auto"/>
            </w:tcBorders>
            <w:vAlign w:val="center"/>
          </w:tcPr>
          <w:p>
            <w:pPr>
              <w:rPr>
                <w:b/>
                <w:bCs/>
              </w:rPr>
            </w:pPr>
          </w:p>
          <w:p>
            <w:pPr>
              <w:rPr>
                <w:b/>
                <w:bCs/>
              </w:rPr>
            </w:pPr>
            <w:r>
              <w:rPr>
                <w:b/>
                <w:bCs/>
              </w:rPr>
              <w:t>R.H. (%)</w:t>
            </w:r>
          </w:p>
        </w:tc>
      </w:tr>
      <w:tr>
        <w:trPr>
          <w:trHeight w:val="221"/>
        </w:trPr>
        <w:tc>
          <w:tcPr>
            <w:tcW w:w="0" w:type="auto"/>
            <w:tcBorders>
              <w:top w:val="nil"/>
              <w:left w:val="single" w:sz="4" w:space="0" w:color="000000"/>
              <w:bottom w:val="single" w:sz="4" w:space="0" w:color="000000"/>
              <w:right w:val="single" w:sz="4" w:space="0" w:color="000000"/>
            </w:tcBorders>
            <w:vAlign w:val="center"/>
          </w:tcPr>
          <w:p>
            <w:pPr>
              <w:jc w:val="center"/>
              <w:rPr>
                <w:b/>
                <w:bCs/>
              </w:rPr>
            </w:pPr>
            <w:r>
              <w:rPr>
                <w:b/>
                <w:bCs/>
              </w:rPr>
              <w:t>SMW</w:t>
            </w:r>
          </w:p>
        </w:tc>
        <w:tc>
          <w:tcPr>
            <w:tcW w:w="0" w:type="auto"/>
            <w:tcBorders>
              <w:top w:val="nil"/>
              <w:left w:val="single" w:sz="4" w:space="0" w:color="000000"/>
              <w:bottom w:val="single" w:sz="4" w:space="0" w:color="000000"/>
              <w:right w:val="single" w:sz="4" w:space="0" w:color="000000"/>
            </w:tcBorders>
            <w:vAlign w:val="center"/>
          </w:tcPr>
          <w:p>
            <w:pPr>
              <w:jc w:val="center"/>
              <w:rPr>
                <w:b/>
                <w:bCs/>
              </w:rPr>
            </w:pPr>
            <w:r>
              <w:rPr>
                <w:b/>
                <w:bCs/>
              </w:rPr>
              <w:t>Date</w:t>
            </w:r>
          </w:p>
        </w:tc>
        <w:tc>
          <w:tcPr>
            <w:tcW w:w="1421" w:type="dxa"/>
            <w:tcBorders>
              <w:top w:val="nil"/>
              <w:left w:val="single" w:sz="4" w:space="0" w:color="000000"/>
              <w:bottom w:val="single" w:sz="4" w:space="0" w:color="000000"/>
              <w:right w:val="single" w:sz="4" w:space="0" w:color="000000"/>
            </w:tcBorders>
            <w:vAlign w:val="center"/>
          </w:tcPr>
          <w:p>
            <w:pPr>
              <w:jc w:val="center"/>
              <w:rPr>
                <w:b/>
                <w:bCs/>
              </w:rPr>
            </w:pPr>
            <w:r>
              <w:rPr>
                <w:b/>
                <w:bCs/>
              </w:rPr>
              <w:t>Mean</w:t>
            </w:r>
          </w:p>
          <w:p>
            <w:pPr>
              <w:jc w:val="center"/>
              <w:rPr>
                <w:b/>
                <w:bCs/>
              </w:rPr>
            </w:pPr>
            <w:r>
              <w:rPr>
                <w:b/>
                <w:bCs/>
              </w:rPr>
              <w:t>Larval Population</w:t>
            </w:r>
          </w:p>
        </w:tc>
        <w:tc>
          <w:tcPr>
            <w:tcW w:w="1068" w:type="dxa"/>
            <w:tcBorders>
              <w:top w:val="nil"/>
              <w:left w:val="single" w:sz="4" w:space="0" w:color="000000"/>
              <w:bottom w:val="single" w:sz="4" w:space="0" w:color="000000"/>
              <w:right w:val="single" w:sz="4" w:space="0" w:color="000000"/>
            </w:tcBorders>
            <w:vAlign w:val="center"/>
          </w:tcPr>
          <w:p>
            <w:pPr>
              <w:jc w:val="center"/>
              <w:rPr>
                <w:b/>
                <w:bCs/>
              </w:rPr>
            </w:pPr>
            <w:r>
              <w:rPr>
                <w:b/>
                <w:bCs/>
              </w:rPr>
              <w:t>Temp.</w:t>
            </w:r>
          </w:p>
          <w:p>
            <w:pPr>
              <w:jc w:val="center"/>
              <w:rPr>
                <w:b/>
                <w:bCs/>
              </w:rPr>
            </w:pPr>
            <w:r>
              <w:rPr>
                <w:b/>
                <w:bCs/>
              </w:rPr>
              <w:t>(Max)</w:t>
            </w:r>
          </w:p>
        </w:tc>
        <w:tc>
          <w:tcPr>
            <w:tcW w:w="1024" w:type="dxa"/>
            <w:tcBorders>
              <w:top w:val="nil"/>
              <w:left w:val="single" w:sz="4" w:space="0" w:color="000000"/>
              <w:bottom w:val="single" w:sz="4" w:space="0" w:color="000000"/>
              <w:right w:val="single" w:sz="4" w:space="0" w:color="auto"/>
            </w:tcBorders>
            <w:vAlign w:val="center"/>
          </w:tcPr>
          <w:p>
            <w:pPr>
              <w:jc w:val="center"/>
              <w:rPr>
                <w:b/>
                <w:bCs/>
              </w:rPr>
            </w:pPr>
            <w:r>
              <w:rPr>
                <w:b/>
                <w:bCs/>
              </w:rPr>
              <w:t>Temp. (Min.)</w:t>
            </w:r>
          </w:p>
        </w:tc>
        <w:tc>
          <w:tcPr>
            <w:tcW w:w="992" w:type="dxa"/>
            <w:tcBorders>
              <w:top w:val="nil"/>
              <w:left w:val="single" w:sz="4" w:space="0" w:color="auto"/>
              <w:bottom w:val="single" w:sz="4" w:space="0" w:color="000000"/>
              <w:right w:val="single" w:sz="4" w:space="0" w:color="000000"/>
            </w:tcBorders>
            <w:vAlign w:val="center"/>
          </w:tcPr>
          <w:p>
            <w:pPr>
              <w:jc w:val="center"/>
              <w:rPr>
                <w:b/>
                <w:bCs/>
              </w:rPr>
            </w:pPr>
            <w:r>
              <w:rPr>
                <w:b/>
                <w:bCs/>
              </w:rPr>
              <w:t>7.00 AM</w:t>
            </w:r>
          </w:p>
        </w:tc>
        <w:tc>
          <w:tcPr>
            <w:tcW w:w="851" w:type="dxa"/>
            <w:tcBorders>
              <w:top w:val="nil"/>
              <w:left w:val="single" w:sz="4" w:space="0" w:color="000000"/>
              <w:bottom w:val="single" w:sz="4" w:space="0" w:color="000000"/>
              <w:right w:val="single" w:sz="4" w:space="0" w:color="000000"/>
            </w:tcBorders>
            <w:vAlign w:val="center"/>
          </w:tcPr>
          <w:p>
            <w:pPr>
              <w:jc w:val="center"/>
              <w:rPr>
                <w:b/>
                <w:bCs/>
              </w:rPr>
            </w:pPr>
            <w:r>
              <w:rPr>
                <w:b/>
                <w:bCs/>
              </w:rPr>
              <w:t>2.00 P.M</w:t>
            </w:r>
          </w:p>
        </w:tc>
        <w:tc>
          <w:tcPr>
            <w:tcW w:w="1276" w:type="dxa"/>
            <w:tcBorders>
              <w:top w:val="single" w:sz="4" w:space="0" w:color="auto"/>
              <w:left w:val="single" w:sz="4" w:space="0" w:color="000000"/>
              <w:bottom w:val="single" w:sz="4" w:space="0" w:color="000000"/>
              <w:right w:val="single" w:sz="4" w:space="0" w:color="auto"/>
            </w:tcBorders>
            <w:vAlign w:val="center"/>
          </w:tcPr>
          <w:p>
            <w:pPr>
              <w:jc w:val="center"/>
              <w:rPr>
                <w:b/>
                <w:bCs/>
              </w:rPr>
            </w:pPr>
            <w:r>
              <w:rPr>
                <w:b/>
                <w:bCs/>
              </w:rPr>
              <w:t>Rainfall (mm)</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49</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04/12/2022</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1.78</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24.3</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4.7</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88</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69</w:t>
            </w:r>
          </w:p>
        </w:tc>
        <w:tc>
          <w:tcPr>
            <w:tcW w:w="1276" w:type="dxa"/>
            <w:tcBorders>
              <w:top w:val="single" w:sz="4" w:space="0" w:color="000000"/>
              <w:left w:val="single" w:sz="4" w:space="0" w:color="000000"/>
              <w:bottom w:val="single" w:sz="4" w:space="0" w:color="000000"/>
              <w:right w:val="single" w:sz="4" w:space="0" w:color="auto"/>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50</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11/12/2022</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1.60</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25.4</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6.7</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51</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18/12/2022</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1.40</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23.7</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3.9</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52</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25/12/2022</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1.23</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25.6</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7.0</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01/01/2023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1.54</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22.8</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5.4</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08/01/2023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1.32</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20.4</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rPr>
                <w:b/>
                <w:bCs/>
                <w:color w:val="C00000"/>
              </w:rPr>
              <w:t>2.5</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85</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3</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15/01/2023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2.40</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24.2</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5.2</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4</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22/01/2023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1.06</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27.8</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12.6</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5</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29/01/2023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1.57</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26.5</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8.4</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87</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05/02/2023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1.61</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26.8</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8.7</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12/02/2023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1.93</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26.4</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9.1</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69</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19/02/2023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rPr>
                <w:b/>
                <w:bCs/>
                <w:color w:val="EE0000"/>
              </w:rPr>
              <w:t>2.71</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29.3</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14.1</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16"/>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9</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26/02/2023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2.27</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rPr>
                <w:b/>
                <w:bCs/>
                <w:color w:val="C00000"/>
              </w:rPr>
              <w:t>31.6</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13.2</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70</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w:t>
            </w:r>
          </w:p>
        </w:tc>
      </w:tr>
      <w:tr>
        <w:trPr>
          <w:trHeight w:val="221"/>
        </w:trPr>
        <w:tc>
          <w:tcPr>
            <w:tcW w:w="900"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10</w:t>
            </w:r>
          </w:p>
        </w:tc>
        <w:tc>
          <w:tcPr>
            <w:tcW w:w="139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05/03/2023</w:t>
            </w:r>
          </w:p>
        </w:tc>
        <w:tc>
          <w:tcPr>
            <w:tcW w:w="142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1.94</w:t>
            </w:r>
          </w:p>
        </w:tc>
        <w:tc>
          <w:tcPr>
            <w:tcW w:w="1068"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31.3</w:t>
            </w:r>
          </w:p>
        </w:tc>
        <w:tc>
          <w:tcPr>
            <w:tcW w:w="1024"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13.6</w:t>
            </w:r>
          </w:p>
        </w:tc>
        <w:tc>
          <w:tcPr>
            <w:tcW w:w="992"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86</w:t>
            </w:r>
          </w:p>
        </w:tc>
        <w:tc>
          <w:tcPr>
            <w:tcW w:w="851"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68</w:t>
            </w:r>
          </w:p>
        </w:tc>
        <w:tc>
          <w:tcPr>
            <w:tcW w:w="1276" w:type="dxa"/>
            <w:tcBorders>
              <w:top w:val="single" w:sz="4" w:space="0" w:color="000000"/>
              <w:left w:val="single" w:sz="4" w:space="0" w:color="000000"/>
              <w:bottom w:val="single" w:sz="4" w:space="0" w:color="000000"/>
              <w:right w:val="single" w:sz="4" w:space="0" w:color="000000"/>
            </w:tcBorders>
            <w:vAlign w:val="center"/>
          </w:tcPr>
          <w:p>
            <w:pPr>
              <w:jc w:val="center"/>
              <w:rPr>
                <w:b/>
                <w:bCs/>
              </w:rPr>
            </w:pPr>
            <w:r>
              <w:t>2</w:t>
            </w:r>
          </w:p>
        </w:tc>
      </w:tr>
      <w:bookmarkEnd w:id="9"/>
    </w:tbl>
    <w:p>
      <w:pPr>
        <w:jc w:val="both"/>
        <w:rPr>
          <w:b/>
          <w:bCs/>
          <w:vertAlign w:val="superscript"/>
        </w:rPr>
      </w:pPr>
    </w:p>
    <w:p>
      <w:pPr>
        <w:jc w:val="both"/>
        <w:rPr>
          <w:b/>
          <w:bCs/>
        </w:rPr>
      </w:pPr>
      <w:r>
        <w:rPr>
          <w:b/>
          <w:bCs/>
          <w:vertAlign w:val="superscript"/>
        </w:rPr>
        <w:t>#</w:t>
      </w:r>
      <w:r>
        <w:rPr>
          <w:b/>
          <w:bCs/>
        </w:rPr>
        <w:t xml:space="preserve">SMW – Standard Meteorological Weeks  </w:t>
      </w:r>
    </w:p>
    <w:p>
      <w:pPr>
        <w:jc w:val="both"/>
        <w:rPr>
          <w:b/>
          <w:bCs/>
        </w:rPr>
      </w:pPr>
    </w:p>
    <w:p>
      <w:pPr>
        <w:jc w:val="both"/>
        <w:rPr>
          <w:b/>
          <w:bCs/>
        </w:rPr>
      </w:pPr>
      <w:r>
        <w:rPr>
          <w:b/>
          <w:bCs/>
          <w:noProof/>
        </w:rPr>
        <w:lastRenderedPageBreak/>
        <w:drawing>
          <wp:inline distT="0" distB="0" distL="0" distR="0">
            <wp:extent cx="6096635" cy="3769468"/>
            <wp:effectExtent l="0" t="0" r="0" b="2540"/>
            <wp:docPr id="1878425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0908" cy="3772110"/>
                    </a:xfrm>
                    <a:prstGeom prst="rect">
                      <a:avLst/>
                    </a:prstGeom>
                    <a:noFill/>
                  </pic:spPr>
                </pic:pic>
              </a:graphicData>
            </a:graphic>
          </wp:inline>
        </w:drawing>
      </w:r>
    </w:p>
    <w:p>
      <w:pPr>
        <w:jc w:val="both"/>
        <w:rPr>
          <w:b/>
          <w:bCs/>
        </w:rPr>
      </w:pPr>
      <w:r>
        <w:rPr>
          <w:b/>
          <w:bCs/>
        </w:rPr>
        <w:t xml:space="preserve">Fig. 1. Population dynamics of </w:t>
      </w:r>
      <w:r>
        <w:rPr>
          <w:b/>
          <w:bCs/>
          <w:i/>
          <w:iCs/>
        </w:rPr>
        <w:t xml:space="preserve">H. </w:t>
      </w:r>
      <w:proofErr w:type="spellStart"/>
      <w:r>
        <w:rPr>
          <w:b/>
          <w:bCs/>
          <w:i/>
          <w:iCs/>
        </w:rPr>
        <w:t>armigera</w:t>
      </w:r>
      <w:proofErr w:type="spellEnd"/>
      <w:r>
        <w:rPr>
          <w:b/>
          <w:bCs/>
        </w:rPr>
        <w:t xml:space="preserve"> on chickpea in relation to abiotic factors during Rabi 2022-23.</w:t>
      </w: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r>
        <w:rPr>
          <w:b/>
          <w:bCs/>
        </w:rPr>
        <w:t xml:space="preserve">Table 2: Seasonal incidence of </w:t>
      </w:r>
      <w:r>
        <w:rPr>
          <w:b/>
          <w:bCs/>
          <w:i/>
        </w:rPr>
        <w:t xml:space="preserve">H. </w:t>
      </w:r>
      <w:proofErr w:type="spellStart"/>
      <w:r>
        <w:rPr>
          <w:b/>
          <w:bCs/>
          <w:i/>
        </w:rPr>
        <w:t>armigera</w:t>
      </w:r>
      <w:proofErr w:type="spellEnd"/>
      <w:r>
        <w:rPr>
          <w:b/>
          <w:bCs/>
        </w:rPr>
        <w:t xml:space="preserve"> on chickpea (Birsa Chana-3) variety in relation to abiotic factors during </w:t>
      </w:r>
      <w:r>
        <w:rPr>
          <w:b/>
          <w:bCs/>
          <w:i/>
        </w:rPr>
        <w:t>Rabi,</w:t>
      </w:r>
      <w:r>
        <w:rPr>
          <w:b/>
          <w:bCs/>
        </w:rPr>
        <w:t xml:space="preserve"> 2023-24</w:t>
      </w:r>
    </w:p>
    <w:p>
      <w:pPr>
        <w:jc w:val="both"/>
        <w:rPr>
          <w:b/>
          <w:bCs/>
        </w:rPr>
      </w:pPr>
    </w:p>
    <w:tbl>
      <w:tblPr>
        <w:tblpPr w:leftFromText="180" w:rightFromText="180" w:vertAnchor="text" w:tblpY="1"/>
        <w:tblOverlap w:val="never"/>
        <w:tblW w:w="9209" w:type="dxa"/>
        <w:tblCellMar>
          <w:top w:w="10" w:type="dxa"/>
          <w:left w:w="130" w:type="dxa"/>
          <w:right w:w="170" w:type="dxa"/>
        </w:tblCellMar>
        <w:tblLook w:val="04A0" w:firstRow="1" w:lastRow="0" w:firstColumn="1" w:lastColumn="0" w:noHBand="0" w:noVBand="1"/>
      </w:tblPr>
      <w:tblGrid>
        <w:gridCol w:w="900"/>
        <w:gridCol w:w="1394"/>
        <w:gridCol w:w="1421"/>
        <w:gridCol w:w="1068"/>
        <w:gridCol w:w="1024"/>
        <w:gridCol w:w="992"/>
        <w:gridCol w:w="851"/>
        <w:gridCol w:w="1559"/>
      </w:tblGrid>
      <w:tr>
        <w:trPr>
          <w:trHeight w:val="1114"/>
        </w:trPr>
        <w:tc>
          <w:tcPr>
            <w:tcW w:w="900" w:type="dxa"/>
            <w:tcBorders>
              <w:top w:val="single" w:sz="4" w:space="0" w:color="auto"/>
              <w:left w:val="single" w:sz="4" w:space="0" w:color="auto"/>
              <w:bottom w:val="single" w:sz="4" w:space="0" w:color="auto"/>
              <w:right w:val="single" w:sz="4" w:space="0" w:color="auto"/>
            </w:tcBorders>
          </w:tcPr>
          <w:p>
            <w:pPr>
              <w:jc w:val="both"/>
              <w:rPr>
                <w:b/>
                <w:bCs/>
              </w:rPr>
            </w:pPr>
          </w:p>
        </w:tc>
        <w:tc>
          <w:tcPr>
            <w:tcW w:w="1394" w:type="dxa"/>
            <w:tcBorders>
              <w:top w:val="single" w:sz="4" w:space="0" w:color="auto"/>
              <w:left w:val="single" w:sz="4" w:space="0" w:color="auto"/>
              <w:bottom w:val="single" w:sz="4" w:space="0" w:color="auto"/>
              <w:right w:val="single" w:sz="4" w:space="0" w:color="auto"/>
            </w:tcBorders>
          </w:tcPr>
          <w:p>
            <w:pPr>
              <w:jc w:val="both"/>
              <w:rPr>
                <w:b/>
                <w:bCs/>
              </w:rPr>
            </w:pPr>
          </w:p>
        </w:tc>
        <w:tc>
          <w:tcPr>
            <w:tcW w:w="1421" w:type="dxa"/>
            <w:tcBorders>
              <w:top w:val="single" w:sz="4" w:space="0" w:color="auto"/>
              <w:left w:val="single" w:sz="4" w:space="0" w:color="auto"/>
              <w:bottom w:val="single" w:sz="4" w:space="0" w:color="auto"/>
              <w:right w:val="single" w:sz="4" w:space="0" w:color="auto"/>
            </w:tcBorders>
          </w:tcPr>
          <w:p>
            <w:pPr>
              <w:jc w:val="both"/>
              <w:rPr>
                <w:b/>
                <w:bCs/>
              </w:rPr>
            </w:pPr>
          </w:p>
        </w:tc>
        <w:tc>
          <w:tcPr>
            <w:tcW w:w="2092" w:type="dxa"/>
            <w:gridSpan w:val="2"/>
            <w:tcBorders>
              <w:top w:val="single" w:sz="4" w:space="0" w:color="auto"/>
              <w:left w:val="single" w:sz="4" w:space="0" w:color="auto"/>
              <w:bottom w:val="single" w:sz="4" w:space="0" w:color="auto"/>
              <w:right w:val="single" w:sz="4" w:space="0" w:color="auto"/>
            </w:tcBorders>
          </w:tcPr>
          <w:p>
            <w:pPr>
              <w:rPr>
                <w:b/>
                <w:bCs/>
              </w:rPr>
            </w:pPr>
            <w:r>
              <w:rPr>
                <w:b/>
                <w:bCs/>
              </w:rPr>
              <w:t>Temperature(°C)</w:t>
            </w:r>
          </w:p>
          <w:p>
            <w:pPr>
              <w:jc w:val="center"/>
              <w:rPr>
                <w:b/>
                <w:bCs/>
              </w:rPr>
            </w:pPr>
          </w:p>
        </w:tc>
        <w:tc>
          <w:tcPr>
            <w:tcW w:w="3402" w:type="dxa"/>
            <w:gridSpan w:val="3"/>
            <w:tcBorders>
              <w:top w:val="single" w:sz="4" w:space="0" w:color="auto"/>
              <w:left w:val="single" w:sz="4" w:space="0" w:color="auto"/>
              <w:bottom w:val="single" w:sz="4" w:space="0" w:color="auto"/>
              <w:right w:val="single" w:sz="4" w:space="0" w:color="auto"/>
            </w:tcBorders>
            <w:vAlign w:val="bottom"/>
          </w:tcPr>
          <w:p>
            <w:pPr>
              <w:jc w:val="center"/>
              <w:rPr>
                <w:b/>
                <w:bCs/>
              </w:rPr>
            </w:pPr>
          </w:p>
          <w:p>
            <w:pPr>
              <w:rPr>
                <w:b/>
                <w:bCs/>
              </w:rPr>
            </w:pPr>
            <w:r>
              <w:rPr>
                <w:b/>
                <w:bCs/>
              </w:rPr>
              <w:t xml:space="preserve">       R.H. (%)</w:t>
            </w:r>
          </w:p>
        </w:tc>
      </w:tr>
      <w:tr>
        <w:trPr>
          <w:trHeight w:val="221"/>
        </w:trPr>
        <w:tc>
          <w:tcPr>
            <w:tcW w:w="0" w:type="auto"/>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SMW</w:t>
            </w:r>
          </w:p>
        </w:tc>
        <w:tc>
          <w:tcPr>
            <w:tcW w:w="0" w:type="auto"/>
            <w:tcBorders>
              <w:top w:val="single" w:sz="4" w:space="0" w:color="auto"/>
              <w:left w:val="single" w:sz="4" w:space="0" w:color="auto"/>
              <w:bottom w:val="single" w:sz="4" w:space="0" w:color="auto"/>
              <w:right w:val="single" w:sz="4" w:space="0" w:color="auto"/>
            </w:tcBorders>
            <w:vAlign w:val="center"/>
          </w:tcPr>
          <w:p>
            <w:pPr>
              <w:jc w:val="center"/>
              <w:rPr>
                <w:b/>
                <w:bCs/>
              </w:rPr>
            </w:pPr>
            <w:r>
              <w:rPr>
                <w:b/>
                <w:bCs/>
              </w:rPr>
              <w:t>Date</w:t>
            </w:r>
          </w:p>
        </w:tc>
        <w:tc>
          <w:tcPr>
            <w:tcW w:w="1421"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Mean</w:t>
            </w:r>
          </w:p>
          <w:p>
            <w:pPr>
              <w:jc w:val="both"/>
              <w:rPr>
                <w:b/>
                <w:bCs/>
              </w:rPr>
            </w:pPr>
            <w:r>
              <w:rPr>
                <w:b/>
                <w:bCs/>
              </w:rPr>
              <w:t>Larval Population</w:t>
            </w:r>
          </w:p>
        </w:tc>
        <w:tc>
          <w:tcPr>
            <w:tcW w:w="1068"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Temp.</w:t>
            </w:r>
          </w:p>
          <w:p>
            <w:pPr>
              <w:jc w:val="both"/>
              <w:rPr>
                <w:b/>
                <w:bCs/>
              </w:rPr>
            </w:pPr>
            <w:r>
              <w:rPr>
                <w:b/>
                <w:bCs/>
              </w:rPr>
              <w:t>(Max)</w:t>
            </w:r>
          </w:p>
        </w:tc>
        <w:tc>
          <w:tcPr>
            <w:tcW w:w="1024"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Temp. (Min.)</w:t>
            </w:r>
          </w:p>
        </w:tc>
        <w:tc>
          <w:tcPr>
            <w:tcW w:w="992"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7.00 AM</w:t>
            </w:r>
          </w:p>
        </w:tc>
        <w:tc>
          <w:tcPr>
            <w:tcW w:w="851"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2.00 P.M</w:t>
            </w:r>
          </w:p>
        </w:tc>
        <w:tc>
          <w:tcPr>
            <w:tcW w:w="1559"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Rainfall (mm)</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49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 xml:space="preserve">  4/12/2023</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rPr>
                <w:color w:val="EE0000"/>
              </w:rPr>
              <w:t>1.95</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25.0</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15.6</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38.8</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50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11/12/2023</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1.12</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22.5</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5.9</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51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18/12/2023</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1.56</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21.7</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rPr>
                <w:b/>
                <w:bCs/>
                <w:color w:val="C00000"/>
              </w:rPr>
              <w:t>3.9</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21"/>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52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25/12/2023</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1.50</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24.0</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4.9</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01/01/2024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1.67</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24.2</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5.3</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3</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08/01/2024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0.00</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23.6</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5.1</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88</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69</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15/01/2024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0.40</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21.4</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4.4</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84</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22/01/2024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0.00</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21.6</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4.0</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69</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21"/>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5</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29/01/2024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0 .00</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25.6</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8.8</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10.4</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6</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05/02/2024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0.62</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25.0</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8.4</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84</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12/02/2024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0.72</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26.0</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11.6</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86</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30.6</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8</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19/02/2024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0.43</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rPr>
                <w:b/>
                <w:bCs/>
                <w:color w:val="C00000"/>
              </w:rPr>
              <w:t>27.8</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13.2</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87</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0</w:t>
            </w:r>
          </w:p>
        </w:tc>
      </w:tr>
      <w:tr>
        <w:trPr>
          <w:trHeight w:val="216"/>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9</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26/02/2024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0.21</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25.9</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13.6</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85</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20.6</w:t>
            </w:r>
          </w:p>
        </w:tc>
      </w:tr>
      <w:tr>
        <w:trPr>
          <w:trHeight w:val="221"/>
        </w:trPr>
        <w:tc>
          <w:tcPr>
            <w:tcW w:w="900" w:type="dxa"/>
            <w:tcBorders>
              <w:top w:val="single" w:sz="4" w:space="0" w:color="auto"/>
              <w:left w:val="single" w:sz="4" w:space="0" w:color="auto"/>
              <w:bottom w:val="single" w:sz="4" w:space="0" w:color="auto"/>
              <w:right w:val="single" w:sz="4" w:space="0" w:color="auto"/>
            </w:tcBorders>
            <w:vAlign w:val="center"/>
          </w:tcPr>
          <w:p>
            <w:pPr>
              <w:jc w:val="both"/>
              <w:rPr>
                <w:b/>
                <w:bCs/>
              </w:rPr>
            </w:pPr>
            <w:r>
              <w:rPr>
                <w:b/>
                <w:bCs/>
              </w:rPr>
              <w:t>10</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tcPr>
          <w:p>
            <w:r>
              <w:t>04/03/2024</w:t>
            </w:r>
          </w:p>
        </w:tc>
        <w:tc>
          <w:tcPr>
            <w:tcW w:w="1421" w:type="dxa"/>
            <w:tcBorders>
              <w:top w:val="single" w:sz="4" w:space="0" w:color="auto"/>
              <w:left w:val="single" w:sz="4" w:space="0" w:color="auto"/>
              <w:bottom w:val="single" w:sz="4" w:space="0" w:color="auto"/>
              <w:right w:val="single" w:sz="4" w:space="0" w:color="auto"/>
            </w:tcBorders>
          </w:tcPr>
          <w:p>
            <w:pPr>
              <w:jc w:val="center"/>
              <w:rPr>
                <w:b/>
                <w:bCs/>
              </w:rPr>
            </w:pPr>
            <w:r>
              <w:t>0.74</w:t>
            </w:r>
          </w:p>
        </w:tc>
        <w:tc>
          <w:tcPr>
            <w:tcW w:w="1068" w:type="dxa"/>
            <w:tcBorders>
              <w:top w:val="single" w:sz="4" w:space="0" w:color="auto"/>
              <w:left w:val="single" w:sz="4" w:space="0" w:color="auto"/>
              <w:bottom w:val="single" w:sz="4" w:space="0" w:color="auto"/>
              <w:right w:val="single" w:sz="4" w:space="0" w:color="auto"/>
            </w:tcBorders>
          </w:tcPr>
          <w:p>
            <w:pPr>
              <w:jc w:val="center"/>
              <w:rPr>
                <w:b/>
                <w:bCs/>
              </w:rPr>
            </w:pPr>
            <w:r>
              <w:t>25.3</w:t>
            </w:r>
          </w:p>
        </w:tc>
        <w:tc>
          <w:tcPr>
            <w:tcW w:w="1024" w:type="dxa"/>
            <w:tcBorders>
              <w:top w:val="single" w:sz="4" w:space="0" w:color="auto"/>
              <w:left w:val="single" w:sz="4" w:space="0" w:color="auto"/>
              <w:bottom w:val="single" w:sz="4" w:space="0" w:color="auto"/>
              <w:right w:val="single" w:sz="4" w:space="0" w:color="auto"/>
            </w:tcBorders>
          </w:tcPr>
          <w:p>
            <w:pPr>
              <w:jc w:val="center"/>
              <w:rPr>
                <w:b/>
                <w:bCs/>
              </w:rPr>
            </w:pPr>
            <w:r>
              <w:t>13.4</w:t>
            </w:r>
          </w:p>
        </w:tc>
        <w:tc>
          <w:tcPr>
            <w:tcW w:w="992" w:type="dxa"/>
            <w:tcBorders>
              <w:top w:val="single" w:sz="4" w:space="0" w:color="auto"/>
              <w:left w:val="single" w:sz="4" w:space="0" w:color="auto"/>
              <w:bottom w:val="single" w:sz="4" w:space="0" w:color="auto"/>
              <w:right w:val="single" w:sz="4" w:space="0" w:color="auto"/>
            </w:tcBorders>
          </w:tcPr>
          <w:p>
            <w:pPr>
              <w:jc w:val="center"/>
              <w:rPr>
                <w:b/>
                <w:bCs/>
              </w:rPr>
            </w:pPr>
            <w:r>
              <w:t>87</w:t>
            </w:r>
          </w:p>
        </w:tc>
        <w:tc>
          <w:tcPr>
            <w:tcW w:w="851" w:type="dxa"/>
            <w:tcBorders>
              <w:top w:val="single" w:sz="4" w:space="0" w:color="auto"/>
              <w:left w:val="single" w:sz="4" w:space="0" w:color="auto"/>
              <w:bottom w:val="single" w:sz="4" w:space="0" w:color="auto"/>
              <w:right w:val="single" w:sz="4" w:space="0" w:color="auto"/>
            </w:tcBorders>
          </w:tcPr>
          <w:p>
            <w:pPr>
              <w:jc w:val="center"/>
              <w:rPr>
                <w:b/>
                <w:bCs/>
              </w:rPr>
            </w:pPr>
            <w:r>
              <w:t>70</w:t>
            </w: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t>2</w:t>
            </w:r>
          </w:p>
        </w:tc>
      </w:tr>
    </w:tbl>
    <w:p>
      <w:pPr>
        <w:jc w:val="both"/>
        <w:rPr>
          <w:b/>
          <w:bCs/>
        </w:rPr>
      </w:pPr>
    </w:p>
    <w:p>
      <w:pPr>
        <w:jc w:val="both"/>
        <w:rPr>
          <w:b/>
          <w:bCs/>
        </w:rPr>
      </w:pPr>
      <w:r>
        <w:rPr>
          <w:b/>
          <w:bCs/>
          <w:vertAlign w:val="superscript"/>
        </w:rPr>
        <w:t>#</w:t>
      </w:r>
      <w:r>
        <w:rPr>
          <w:b/>
          <w:bCs/>
        </w:rPr>
        <w:t xml:space="preserve">SMW – Standard Meteorological Meeks;   </w:t>
      </w: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r>
        <w:rPr>
          <w:b/>
          <w:bCs/>
          <w:noProof/>
        </w:rPr>
        <w:lastRenderedPageBreak/>
        <w:drawing>
          <wp:inline distT="0" distB="0" distL="0" distR="0">
            <wp:extent cx="5661498" cy="3500755"/>
            <wp:effectExtent l="0" t="0" r="0" b="4445"/>
            <wp:docPr id="1779087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3235" cy="3501829"/>
                    </a:xfrm>
                    <a:prstGeom prst="rect">
                      <a:avLst/>
                    </a:prstGeom>
                    <a:noFill/>
                  </pic:spPr>
                </pic:pic>
              </a:graphicData>
            </a:graphic>
          </wp:inline>
        </w:drawing>
      </w:r>
    </w:p>
    <w:p>
      <w:pPr>
        <w:jc w:val="both"/>
        <w:rPr>
          <w:b/>
          <w:bCs/>
        </w:rPr>
      </w:pPr>
      <w:r>
        <w:rPr>
          <w:b/>
          <w:bCs/>
        </w:rPr>
        <w:t xml:space="preserve">Fig. 2. Population dynamics of </w:t>
      </w:r>
      <w:r>
        <w:rPr>
          <w:b/>
          <w:bCs/>
          <w:i/>
          <w:iCs/>
        </w:rPr>
        <w:t xml:space="preserve">H. </w:t>
      </w:r>
      <w:proofErr w:type="spellStart"/>
      <w:r>
        <w:rPr>
          <w:b/>
          <w:bCs/>
          <w:i/>
          <w:iCs/>
        </w:rPr>
        <w:t>armigera</w:t>
      </w:r>
      <w:proofErr w:type="spellEnd"/>
      <w:r>
        <w:rPr>
          <w:b/>
          <w:bCs/>
        </w:rPr>
        <w:t xml:space="preserve"> on chickpea in relation to abiotic factors during Rabi 2023-24.</w:t>
      </w:r>
    </w:p>
    <w:p>
      <w:pPr>
        <w:jc w:val="both"/>
        <w:rPr>
          <w:b/>
          <w:bCs/>
        </w:rPr>
      </w:pPr>
      <w:r>
        <w:rPr>
          <w:b/>
          <w:bCs/>
        </w:rPr>
        <w:t xml:space="preserve">Table 3: Correlation between Larval population of </w:t>
      </w:r>
      <w:r>
        <w:rPr>
          <w:b/>
          <w:bCs/>
          <w:i/>
        </w:rPr>
        <w:t xml:space="preserve">H. </w:t>
      </w:r>
      <w:proofErr w:type="spellStart"/>
      <w:r>
        <w:rPr>
          <w:b/>
          <w:bCs/>
          <w:i/>
        </w:rPr>
        <w:t>armigera</w:t>
      </w:r>
      <w:proofErr w:type="spellEnd"/>
      <w:r>
        <w:rPr>
          <w:b/>
          <w:bCs/>
        </w:rPr>
        <w:t xml:space="preserve"> (Hub.) and abiotic factors on chickpea during </w:t>
      </w:r>
      <w:r>
        <w:rPr>
          <w:b/>
          <w:bCs/>
          <w:i/>
        </w:rPr>
        <w:t>Rabi</w:t>
      </w:r>
      <w:r>
        <w:rPr>
          <w:b/>
          <w:bCs/>
        </w:rPr>
        <w:t>, 2022-23 and 2023-24</w:t>
      </w:r>
    </w:p>
    <w:tbl>
      <w:tblPr>
        <w:tblW w:w="8895" w:type="dxa"/>
        <w:tblInd w:w="31" w:type="dxa"/>
        <w:tblCellMar>
          <w:top w:w="8" w:type="dxa"/>
          <w:left w:w="41" w:type="dxa"/>
          <w:right w:w="1" w:type="dxa"/>
        </w:tblCellMar>
        <w:tblLook w:val="04A0" w:firstRow="1" w:lastRow="0" w:firstColumn="1" w:lastColumn="0" w:noHBand="0" w:noVBand="1"/>
      </w:tblPr>
      <w:tblGrid>
        <w:gridCol w:w="1164"/>
        <w:gridCol w:w="1635"/>
        <w:gridCol w:w="1560"/>
        <w:gridCol w:w="1049"/>
        <w:gridCol w:w="1502"/>
        <w:gridCol w:w="1985"/>
      </w:tblGrid>
      <w:tr>
        <w:trPr>
          <w:trHeight w:val="739"/>
        </w:trPr>
        <w:tc>
          <w:tcPr>
            <w:tcW w:w="1164" w:type="dxa"/>
            <w:vMerge w:val="restart"/>
            <w:tcBorders>
              <w:top w:val="single" w:sz="4" w:space="0" w:color="000000"/>
              <w:left w:val="single" w:sz="4" w:space="0" w:color="000000"/>
              <w:right w:val="single" w:sz="4" w:space="0" w:color="000000"/>
            </w:tcBorders>
            <w:vAlign w:val="center"/>
          </w:tcPr>
          <w:p>
            <w:pPr>
              <w:jc w:val="center"/>
              <w:rPr>
                <w:b/>
                <w:bCs/>
              </w:rPr>
            </w:pPr>
            <w:r>
              <w:rPr>
                <w:b/>
                <w:bCs/>
              </w:rPr>
              <w:t>Larval population</w:t>
            </w:r>
          </w:p>
        </w:tc>
        <w:tc>
          <w:tcPr>
            <w:tcW w:w="3195" w:type="dxa"/>
            <w:gridSpan w:val="2"/>
            <w:tcBorders>
              <w:top w:val="single" w:sz="4" w:space="0" w:color="000000"/>
              <w:left w:val="single" w:sz="4" w:space="0" w:color="000000"/>
              <w:bottom w:val="single" w:sz="4" w:space="0" w:color="000000"/>
              <w:right w:val="single" w:sz="4" w:space="0" w:color="000000"/>
            </w:tcBorders>
            <w:vAlign w:val="center"/>
          </w:tcPr>
          <w:p>
            <w:pPr>
              <w:jc w:val="center"/>
              <w:rPr>
                <w:b/>
                <w:bCs/>
              </w:rPr>
            </w:pPr>
            <w:r>
              <w:rPr>
                <w:b/>
                <w:bCs/>
              </w:rPr>
              <w:t>Temperature (</w:t>
            </w:r>
            <w:r>
              <w:rPr>
                <w:rFonts w:cs="Times New Roman"/>
                <w:b/>
                <w:bCs/>
              </w:rPr>
              <w:t>º</w:t>
            </w:r>
            <w:r>
              <w:rPr>
                <w:b/>
                <w:bCs/>
              </w:rPr>
              <w:t>C)</w:t>
            </w:r>
          </w:p>
        </w:tc>
        <w:tc>
          <w:tcPr>
            <w:tcW w:w="2551" w:type="dxa"/>
            <w:gridSpan w:val="2"/>
            <w:vMerge w:val="restart"/>
            <w:tcBorders>
              <w:top w:val="single" w:sz="4" w:space="0" w:color="000000"/>
              <w:left w:val="single" w:sz="4" w:space="0" w:color="000000"/>
              <w:bottom w:val="single" w:sz="4" w:space="0" w:color="000000"/>
              <w:right w:val="single" w:sz="4" w:space="0" w:color="000000"/>
            </w:tcBorders>
            <w:vAlign w:val="center"/>
          </w:tcPr>
          <w:p>
            <w:pPr>
              <w:jc w:val="center"/>
              <w:rPr>
                <w:b/>
                <w:bCs/>
              </w:rPr>
            </w:pPr>
            <w:r>
              <w:rPr>
                <w:b/>
                <w:bCs/>
              </w:rPr>
              <w:t>R.H. (%)</w:t>
            </w:r>
          </w:p>
        </w:tc>
        <w:tc>
          <w:tcPr>
            <w:tcW w:w="1985" w:type="dxa"/>
            <w:vMerge w:val="restart"/>
            <w:tcBorders>
              <w:top w:val="single" w:sz="4" w:space="0" w:color="000000"/>
              <w:left w:val="single" w:sz="4" w:space="0" w:color="000000"/>
              <w:right w:val="single" w:sz="4" w:space="0" w:color="000000"/>
            </w:tcBorders>
            <w:vAlign w:val="center"/>
          </w:tcPr>
          <w:p>
            <w:pPr>
              <w:jc w:val="center"/>
              <w:rPr>
                <w:b/>
                <w:bCs/>
              </w:rPr>
            </w:pPr>
            <w:r>
              <w:rPr>
                <w:b/>
                <w:bCs/>
              </w:rPr>
              <w:t>Rainfall (mm)</w:t>
            </w:r>
          </w:p>
        </w:tc>
      </w:tr>
      <w:tr>
        <w:trPr>
          <w:trHeight w:val="458"/>
        </w:trPr>
        <w:tc>
          <w:tcPr>
            <w:tcW w:w="0" w:type="auto"/>
            <w:vMerge/>
            <w:tcBorders>
              <w:left w:val="single" w:sz="4" w:space="0" w:color="000000"/>
              <w:right w:val="single" w:sz="4" w:space="0" w:color="000000"/>
            </w:tcBorders>
          </w:tcPr>
          <w:p>
            <w:pPr>
              <w:jc w:val="both"/>
              <w:rPr>
                <w:b/>
                <w:bCs/>
              </w:rPr>
            </w:pPr>
          </w:p>
        </w:tc>
        <w:tc>
          <w:tcPr>
            <w:tcW w:w="1635" w:type="dxa"/>
            <w:vMerge w:val="restart"/>
            <w:tcBorders>
              <w:top w:val="single" w:sz="4" w:space="0" w:color="000000"/>
              <w:left w:val="single" w:sz="4" w:space="0" w:color="000000"/>
              <w:right w:val="single" w:sz="4" w:space="0" w:color="000000"/>
            </w:tcBorders>
          </w:tcPr>
          <w:p>
            <w:pPr>
              <w:jc w:val="center"/>
              <w:rPr>
                <w:b/>
                <w:bCs/>
              </w:rPr>
            </w:pPr>
            <w:r>
              <w:rPr>
                <w:b/>
                <w:bCs/>
              </w:rPr>
              <w:t>Maximum</w:t>
            </w:r>
          </w:p>
        </w:tc>
        <w:tc>
          <w:tcPr>
            <w:tcW w:w="1560" w:type="dxa"/>
            <w:vMerge w:val="restart"/>
            <w:tcBorders>
              <w:top w:val="single" w:sz="4" w:space="0" w:color="000000"/>
              <w:left w:val="single" w:sz="4" w:space="0" w:color="000000"/>
              <w:right w:val="single" w:sz="4" w:space="0" w:color="000000"/>
            </w:tcBorders>
          </w:tcPr>
          <w:p>
            <w:pPr>
              <w:jc w:val="center"/>
              <w:rPr>
                <w:b/>
                <w:bCs/>
              </w:rPr>
            </w:pPr>
            <w:r>
              <w:rPr>
                <w:b/>
                <w:bCs/>
              </w:rPr>
              <w:t>Minimum</w:t>
            </w:r>
          </w:p>
        </w:tc>
        <w:tc>
          <w:tcPr>
            <w:tcW w:w="2551" w:type="dxa"/>
            <w:gridSpan w:val="2"/>
            <w:vMerge/>
            <w:tcBorders>
              <w:top w:val="nil"/>
              <w:left w:val="single" w:sz="4" w:space="0" w:color="000000"/>
              <w:bottom w:val="single" w:sz="4" w:space="0" w:color="auto"/>
              <w:right w:val="single" w:sz="4" w:space="0" w:color="000000"/>
            </w:tcBorders>
          </w:tcPr>
          <w:p>
            <w:pPr>
              <w:jc w:val="center"/>
              <w:rPr>
                <w:b/>
                <w:bCs/>
              </w:rPr>
            </w:pPr>
          </w:p>
        </w:tc>
        <w:tc>
          <w:tcPr>
            <w:tcW w:w="1985" w:type="dxa"/>
            <w:vMerge/>
            <w:tcBorders>
              <w:left w:val="single" w:sz="4" w:space="0" w:color="000000"/>
              <w:right w:val="single" w:sz="4" w:space="0" w:color="000000"/>
            </w:tcBorders>
          </w:tcPr>
          <w:p>
            <w:pPr>
              <w:jc w:val="center"/>
              <w:rPr>
                <w:b/>
                <w:bCs/>
              </w:rPr>
            </w:pPr>
          </w:p>
        </w:tc>
      </w:tr>
      <w:tr>
        <w:trPr>
          <w:trHeight w:val="338"/>
        </w:trPr>
        <w:tc>
          <w:tcPr>
            <w:tcW w:w="0" w:type="auto"/>
            <w:vMerge/>
            <w:tcBorders>
              <w:left w:val="single" w:sz="4" w:space="0" w:color="000000"/>
              <w:bottom w:val="single" w:sz="4" w:space="0" w:color="000000"/>
              <w:right w:val="single" w:sz="4" w:space="0" w:color="000000"/>
            </w:tcBorders>
          </w:tcPr>
          <w:p>
            <w:pPr>
              <w:jc w:val="both"/>
              <w:rPr>
                <w:b/>
                <w:bCs/>
              </w:rPr>
            </w:pPr>
          </w:p>
        </w:tc>
        <w:tc>
          <w:tcPr>
            <w:tcW w:w="1635" w:type="dxa"/>
            <w:vMerge/>
            <w:tcBorders>
              <w:left w:val="single" w:sz="4" w:space="0" w:color="000000"/>
              <w:bottom w:val="single" w:sz="4" w:space="0" w:color="000000"/>
              <w:right w:val="single" w:sz="4" w:space="0" w:color="000000"/>
            </w:tcBorders>
          </w:tcPr>
          <w:p>
            <w:pPr>
              <w:jc w:val="center"/>
              <w:rPr>
                <w:b/>
                <w:bCs/>
              </w:rPr>
            </w:pPr>
          </w:p>
        </w:tc>
        <w:tc>
          <w:tcPr>
            <w:tcW w:w="1560" w:type="dxa"/>
            <w:vMerge/>
            <w:tcBorders>
              <w:left w:val="single" w:sz="4" w:space="0" w:color="000000"/>
              <w:bottom w:val="single" w:sz="4" w:space="0" w:color="000000"/>
              <w:right w:val="single" w:sz="4" w:space="0" w:color="000000"/>
            </w:tcBorders>
          </w:tcPr>
          <w:p>
            <w:pPr>
              <w:jc w:val="center"/>
              <w:rPr>
                <w:b/>
                <w:bCs/>
              </w:rPr>
            </w:pPr>
          </w:p>
        </w:tc>
        <w:tc>
          <w:tcPr>
            <w:tcW w:w="1049" w:type="dxa"/>
            <w:tcBorders>
              <w:top w:val="single" w:sz="4" w:space="0" w:color="auto"/>
              <w:left w:val="single" w:sz="4" w:space="0" w:color="000000"/>
              <w:bottom w:val="single" w:sz="4" w:space="0" w:color="000000"/>
              <w:right w:val="single" w:sz="4" w:space="0" w:color="auto"/>
            </w:tcBorders>
            <w:vAlign w:val="center"/>
          </w:tcPr>
          <w:p>
            <w:pPr>
              <w:jc w:val="center"/>
              <w:rPr>
                <w:b/>
                <w:bCs/>
              </w:rPr>
            </w:pPr>
            <w:r>
              <w:rPr>
                <w:b/>
                <w:bCs/>
              </w:rPr>
              <w:t>7 AM</w:t>
            </w:r>
          </w:p>
        </w:tc>
        <w:tc>
          <w:tcPr>
            <w:tcW w:w="1502" w:type="dxa"/>
            <w:tcBorders>
              <w:top w:val="single" w:sz="4" w:space="0" w:color="auto"/>
              <w:left w:val="single" w:sz="4" w:space="0" w:color="auto"/>
              <w:bottom w:val="single" w:sz="4" w:space="0" w:color="000000"/>
              <w:right w:val="single" w:sz="4" w:space="0" w:color="000000"/>
            </w:tcBorders>
            <w:vAlign w:val="center"/>
          </w:tcPr>
          <w:p>
            <w:pPr>
              <w:jc w:val="center"/>
              <w:rPr>
                <w:b/>
                <w:bCs/>
              </w:rPr>
            </w:pPr>
            <w:r>
              <w:rPr>
                <w:b/>
                <w:bCs/>
              </w:rPr>
              <w:t>2PM</w:t>
            </w:r>
          </w:p>
        </w:tc>
        <w:tc>
          <w:tcPr>
            <w:tcW w:w="1985" w:type="dxa"/>
            <w:vMerge/>
            <w:tcBorders>
              <w:left w:val="single" w:sz="4" w:space="0" w:color="000000"/>
              <w:bottom w:val="single" w:sz="4" w:space="0" w:color="000000"/>
              <w:right w:val="single" w:sz="4" w:space="0" w:color="000000"/>
            </w:tcBorders>
          </w:tcPr>
          <w:p>
            <w:pPr>
              <w:jc w:val="center"/>
              <w:rPr>
                <w:b/>
                <w:bCs/>
              </w:rPr>
            </w:pPr>
          </w:p>
        </w:tc>
      </w:tr>
      <w:tr>
        <w:trPr>
          <w:trHeight w:val="216"/>
        </w:trPr>
        <w:tc>
          <w:tcPr>
            <w:tcW w:w="1164" w:type="dxa"/>
            <w:tcBorders>
              <w:top w:val="single" w:sz="4" w:space="0" w:color="000000"/>
              <w:left w:val="single" w:sz="4" w:space="0" w:color="000000"/>
              <w:bottom w:val="single" w:sz="4" w:space="0" w:color="000000"/>
              <w:right w:val="single" w:sz="4" w:space="0" w:color="000000"/>
            </w:tcBorders>
          </w:tcPr>
          <w:p>
            <w:pPr>
              <w:jc w:val="both"/>
              <w:rPr>
                <w:b/>
                <w:bCs/>
              </w:rPr>
            </w:pPr>
            <w:bookmarkStart w:id="10" w:name="_Hlk201607277"/>
            <w:r>
              <w:rPr>
                <w:b/>
                <w:bCs/>
                <w:i/>
              </w:rPr>
              <w:t>Rabi</w:t>
            </w:r>
            <w:r>
              <w:rPr>
                <w:b/>
                <w:bCs/>
              </w:rPr>
              <w:t>, 2022-23</w:t>
            </w:r>
          </w:p>
        </w:tc>
        <w:tc>
          <w:tcPr>
            <w:tcW w:w="1635" w:type="dxa"/>
            <w:tcBorders>
              <w:top w:val="single" w:sz="4" w:space="0" w:color="000000"/>
              <w:left w:val="single" w:sz="4" w:space="0" w:color="000000"/>
              <w:bottom w:val="single" w:sz="4" w:space="0" w:color="000000"/>
              <w:right w:val="single" w:sz="4" w:space="0" w:color="000000"/>
            </w:tcBorders>
            <w:vAlign w:val="center"/>
          </w:tcPr>
          <w:p>
            <w:pPr>
              <w:jc w:val="center"/>
              <w:rPr>
                <w:b/>
                <w:bCs/>
                <w:highlight w:val="yellow"/>
              </w:rPr>
            </w:pPr>
            <w:r>
              <w:t>0.459</w:t>
            </w:r>
          </w:p>
        </w:tc>
        <w:tc>
          <w:tcPr>
            <w:tcW w:w="1560" w:type="dxa"/>
            <w:tcBorders>
              <w:top w:val="single" w:sz="4" w:space="0" w:color="000000"/>
              <w:left w:val="single" w:sz="4" w:space="0" w:color="000000"/>
              <w:bottom w:val="single" w:sz="4" w:space="0" w:color="000000"/>
              <w:right w:val="single" w:sz="4" w:space="0" w:color="000000"/>
            </w:tcBorders>
            <w:vAlign w:val="center"/>
          </w:tcPr>
          <w:p>
            <w:pPr>
              <w:jc w:val="center"/>
              <w:rPr>
                <w:b/>
                <w:bCs/>
                <w:highlight w:val="yellow"/>
              </w:rPr>
            </w:pPr>
            <w:r>
              <w:t>0.414</w:t>
            </w:r>
          </w:p>
        </w:tc>
        <w:tc>
          <w:tcPr>
            <w:tcW w:w="1049" w:type="dxa"/>
            <w:tcBorders>
              <w:top w:val="single" w:sz="4" w:space="0" w:color="000000"/>
              <w:left w:val="single" w:sz="4" w:space="0" w:color="000000"/>
              <w:bottom w:val="single" w:sz="4" w:space="0" w:color="000000"/>
              <w:right w:val="single" w:sz="4" w:space="0" w:color="auto"/>
            </w:tcBorders>
            <w:vAlign w:val="center"/>
          </w:tcPr>
          <w:p>
            <w:pPr>
              <w:jc w:val="center"/>
              <w:rPr>
                <w:b/>
                <w:bCs/>
                <w:highlight w:val="yellow"/>
              </w:rPr>
            </w:pPr>
            <w:r>
              <w:t>-0.118</w:t>
            </w:r>
          </w:p>
        </w:tc>
        <w:tc>
          <w:tcPr>
            <w:tcW w:w="1502" w:type="dxa"/>
            <w:tcBorders>
              <w:top w:val="single" w:sz="4" w:space="0" w:color="000000"/>
              <w:left w:val="single" w:sz="4" w:space="0" w:color="auto"/>
              <w:bottom w:val="single" w:sz="4" w:space="0" w:color="000000"/>
              <w:right w:val="single" w:sz="4" w:space="0" w:color="000000"/>
            </w:tcBorders>
            <w:vAlign w:val="center"/>
          </w:tcPr>
          <w:p>
            <w:pPr>
              <w:jc w:val="center"/>
              <w:rPr>
                <w:b/>
                <w:bCs/>
                <w:highlight w:val="yellow"/>
              </w:rPr>
            </w:pPr>
            <w:r>
              <w:t>0.256</w:t>
            </w:r>
          </w:p>
        </w:tc>
        <w:tc>
          <w:tcPr>
            <w:tcW w:w="1985" w:type="dxa"/>
            <w:tcBorders>
              <w:top w:val="single" w:sz="4" w:space="0" w:color="000000"/>
              <w:left w:val="single" w:sz="4" w:space="0" w:color="000000"/>
              <w:bottom w:val="single" w:sz="4" w:space="0" w:color="000000"/>
              <w:right w:val="single" w:sz="4" w:space="0" w:color="000000"/>
            </w:tcBorders>
            <w:vAlign w:val="center"/>
          </w:tcPr>
          <w:p>
            <w:pPr>
              <w:jc w:val="center"/>
              <w:rPr>
                <w:b/>
                <w:bCs/>
                <w:highlight w:val="yellow"/>
              </w:rPr>
            </w:pPr>
            <w:r>
              <w:t>0.121</w:t>
            </w:r>
          </w:p>
        </w:tc>
      </w:tr>
      <w:tr>
        <w:trPr>
          <w:trHeight w:val="211"/>
        </w:trPr>
        <w:tc>
          <w:tcPr>
            <w:tcW w:w="1164" w:type="dxa"/>
            <w:tcBorders>
              <w:top w:val="single" w:sz="4" w:space="0" w:color="000000"/>
              <w:left w:val="single" w:sz="4" w:space="0" w:color="000000"/>
              <w:bottom w:val="single" w:sz="4" w:space="0" w:color="000000"/>
              <w:right w:val="single" w:sz="4" w:space="0" w:color="000000"/>
            </w:tcBorders>
          </w:tcPr>
          <w:p>
            <w:pPr>
              <w:jc w:val="both"/>
              <w:rPr>
                <w:b/>
                <w:bCs/>
              </w:rPr>
            </w:pPr>
            <w:bookmarkStart w:id="11" w:name="_Hlk201607595"/>
            <w:bookmarkEnd w:id="10"/>
            <w:r>
              <w:rPr>
                <w:b/>
                <w:bCs/>
                <w:i/>
              </w:rPr>
              <w:t>Rabi</w:t>
            </w:r>
            <w:r>
              <w:rPr>
                <w:b/>
                <w:bCs/>
              </w:rPr>
              <w:t xml:space="preserve">, 2023-24 </w:t>
            </w:r>
          </w:p>
        </w:tc>
        <w:tc>
          <w:tcPr>
            <w:tcW w:w="1635" w:type="dxa"/>
            <w:tcBorders>
              <w:top w:val="single" w:sz="4" w:space="0" w:color="000000"/>
              <w:left w:val="single" w:sz="4" w:space="0" w:color="000000"/>
              <w:bottom w:val="single" w:sz="4" w:space="0" w:color="000000"/>
              <w:right w:val="single" w:sz="4" w:space="0" w:color="000000"/>
            </w:tcBorders>
            <w:vAlign w:val="center"/>
          </w:tcPr>
          <w:p>
            <w:pPr>
              <w:jc w:val="center"/>
              <w:rPr>
                <w:b/>
                <w:bCs/>
                <w:highlight w:val="yellow"/>
              </w:rPr>
            </w:pPr>
            <w:r>
              <w:t>-0.106</w:t>
            </w:r>
          </w:p>
        </w:tc>
        <w:tc>
          <w:tcPr>
            <w:tcW w:w="1560" w:type="dxa"/>
            <w:tcBorders>
              <w:top w:val="single" w:sz="4" w:space="0" w:color="000000"/>
              <w:left w:val="single" w:sz="4" w:space="0" w:color="000000"/>
              <w:bottom w:val="single" w:sz="4" w:space="0" w:color="000000"/>
              <w:right w:val="single" w:sz="4" w:space="0" w:color="000000"/>
            </w:tcBorders>
            <w:vAlign w:val="center"/>
          </w:tcPr>
          <w:p>
            <w:pPr>
              <w:jc w:val="center"/>
              <w:rPr>
                <w:b/>
                <w:bCs/>
                <w:highlight w:val="yellow"/>
              </w:rPr>
            </w:pPr>
            <w:r>
              <w:t>0.026</w:t>
            </w:r>
          </w:p>
        </w:tc>
        <w:tc>
          <w:tcPr>
            <w:tcW w:w="1049" w:type="dxa"/>
            <w:tcBorders>
              <w:top w:val="single" w:sz="4" w:space="0" w:color="000000"/>
              <w:left w:val="single" w:sz="4" w:space="0" w:color="000000"/>
              <w:bottom w:val="single" w:sz="4" w:space="0" w:color="000000"/>
              <w:right w:val="single" w:sz="4" w:space="0" w:color="auto"/>
            </w:tcBorders>
            <w:vAlign w:val="center"/>
          </w:tcPr>
          <w:p>
            <w:pPr>
              <w:jc w:val="center"/>
              <w:rPr>
                <w:b/>
                <w:bCs/>
                <w:highlight w:val="yellow"/>
              </w:rPr>
            </w:pPr>
            <w:r>
              <w:t>-0.301</w:t>
            </w:r>
          </w:p>
        </w:tc>
        <w:tc>
          <w:tcPr>
            <w:tcW w:w="1502" w:type="dxa"/>
            <w:tcBorders>
              <w:top w:val="single" w:sz="4" w:space="0" w:color="000000"/>
              <w:left w:val="single" w:sz="4" w:space="0" w:color="auto"/>
              <w:bottom w:val="single" w:sz="4" w:space="0" w:color="000000"/>
              <w:right w:val="single" w:sz="4" w:space="0" w:color="000000"/>
            </w:tcBorders>
            <w:vAlign w:val="center"/>
          </w:tcPr>
          <w:p>
            <w:pPr>
              <w:jc w:val="center"/>
              <w:rPr>
                <w:b/>
                <w:bCs/>
                <w:highlight w:val="yellow"/>
              </w:rPr>
            </w:pPr>
            <w:r>
              <w:t>0.492</w:t>
            </w:r>
          </w:p>
        </w:tc>
        <w:tc>
          <w:tcPr>
            <w:tcW w:w="1985" w:type="dxa"/>
            <w:tcBorders>
              <w:top w:val="single" w:sz="4" w:space="0" w:color="000000"/>
              <w:left w:val="single" w:sz="4" w:space="0" w:color="000000"/>
              <w:bottom w:val="single" w:sz="4" w:space="0" w:color="000000"/>
              <w:right w:val="single" w:sz="4" w:space="0" w:color="000000"/>
            </w:tcBorders>
            <w:vAlign w:val="center"/>
          </w:tcPr>
          <w:p>
            <w:pPr>
              <w:jc w:val="center"/>
              <w:rPr>
                <w:b/>
                <w:bCs/>
                <w:highlight w:val="yellow"/>
              </w:rPr>
            </w:pPr>
            <w:r>
              <w:t>0.232</w:t>
            </w:r>
          </w:p>
        </w:tc>
      </w:tr>
      <w:bookmarkEnd w:id="8"/>
      <w:bookmarkEnd w:id="11"/>
    </w:tbl>
    <w:p>
      <w:pPr>
        <w:jc w:val="both"/>
        <w:rPr>
          <w:b/>
          <w:bCs/>
          <w:lang w:val="en-US"/>
        </w:rPr>
      </w:pPr>
    </w:p>
    <w:p>
      <w:pPr>
        <w:jc w:val="both"/>
        <w:rPr>
          <w:b/>
          <w:bCs/>
          <w:lang w:val="en-US"/>
        </w:rPr>
      </w:pPr>
      <w:r>
        <w:rPr>
          <w:b/>
          <w:bCs/>
          <w:lang w:val="en-US"/>
        </w:rPr>
        <w:t>CONCLUSIONS</w:t>
      </w:r>
    </w:p>
    <w:p>
      <w:pPr>
        <w:jc w:val="both"/>
        <w:rPr>
          <w:lang w:val="en-US"/>
        </w:rPr>
      </w:pPr>
      <w:r>
        <w:rPr>
          <w:lang w:val="en-US"/>
        </w:rPr>
        <w:t xml:space="preserve">   The incidence of gram pod borer, </w:t>
      </w:r>
      <w:r>
        <w:rPr>
          <w:i/>
          <w:iCs/>
          <w:lang w:val="en-US"/>
        </w:rPr>
        <w:t xml:space="preserve">H. </w:t>
      </w:r>
      <w:proofErr w:type="spellStart"/>
      <w:r>
        <w:rPr>
          <w:i/>
          <w:iCs/>
          <w:lang w:val="en-US"/>
        </w:rPr>
        <w:t>armigera</w:t>
      </w:r>
      <w:proofErr w:type="spellEnd"/>
      <w:r>
        <w:rPr>
          <w:lang w:val="en-US"/>
        </w:rPr>
        <w:t xml:space="preserve"> in chickpea study in early December, peaked in mid - February. Non-Significant positive correlations were observed between larval population and maximum and minimum temperatures and non-significant negative correlations were found with morning relative humidity in (2022-23) and (2023-24) respectively.</w:t>
      </w: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p>
    <w:p>
      <w:pPr>
        <w:jc w:val="both"/>
        <w:rPr>
          <w:b/>
          <w:bCs/>
          <w:lang w:val="en-US"/>
        </w:rPr>
      </w:pPr>
      <w:r>
        <w:rPr>
          <w:b/>
          <w:bCs/>
          <w:lang w:val="en-US"/>
        </w:rPr>
        <w:t>References</w:t>
      </w:r>
    </w:p>
    <w:p>
      <w:pPr>
        <w:jc w:val="both"/>
      </w:pPr>
      <w:proofErr w:type="spellStart"/>
      <w:r>
        <w:t>Ahlawat</w:t>
      </w:r>
      <w:proofErr w:type="spellEnd"/>
      <w:r>
        <w:t xml:space="preserve">, I. P. S. and Prakash, O. M. (1996). Nutritional value of chickpea grains. Principles of agronomy and crops, pp. 43. </w:t>
      </w:r>
    </w:p>
    <w:p>
      <w:pPr>
        <w:jc w:val="both"/>
      </w:pPr>
      <w:r>
        <w:t>Alok N. K, Singh, S.K, Chandra, U. (2022) Population dynamics of gram pod borer</w:t>
      </w:r>
      <w:r>
        <w:rPr>
          <w:i/>
          <w:iCs/>
        </w:rPr>
        <w:t xml:space="preserve">, </w:t>
      </w:r>
      <w:proofErr w:type="spellStart"/>
      <w:r>
        <w:rPr>
          <w:i/>
          <w:iCs/>
        </w:rPr>
        <w:t>Helicoverpa</w:t>
      </w:r>
      <w:proofErr w:type="spellEnd"/>
      <w:r>
        <w:rPr>
          <w:i/>
          <w:iCs/>
        </w:rPr>
        <w:t xml:space="preserve"> </w:t>
      </w:r>
      <w:proofErr w:type="spellStart"/>
      <w:r>
        <w:rPr>
          <w:i/>
          <w:iCs/>
        </w:rPr>
        <w:t>armigera</w:t>
      </w:r>
      <w:proofErr w:type="spellEnd"/>
      <w:r>
        <w:t xml:space="preserve"> (</w:t>
      </w:r>
      <w:proofErr w:type="spellStart"/>
      <w:r>
        <w:t>Hübner</w:t>
      </w:r>
      <w:proofErr w:type="spellEnd"/>
      <w:r>
        <w:t xml:space="preserve">) in relation to abiotic factors on chickpea. Journal of Experimental Zoology India </w:t>
      </w:r>
      <w:r>
        <w:rPr>
          <w:b/>
          <w:bCs/>
        </w:rPr>
        <w:t>1</w:t>
      </w:r>
      <w:r>
        <w:t>(1): 25.</w:t>
      </w:r>
    </w:p>
    <w:p>
      <w:pPr>
        <w:jc w:val="both"/>
      </w:pPr>
      <w:r>
        <w:t>Anonymous (2024). Agriculture Statistics. Reports of Directorate of Economics and Statistics, Department of Agriculture and Cooperation, Government of India, pp. 04.</w:t>
      </w:r>
    </w:p>
    <w:p>
      <w:pPr>
        <w:jc w:val="both"/>
      </w:pPr>
      <w:r>
        <w:lastRenderedPageBreak/>
        <w:t xml:space="preserve">Awasthi, A. K., Tiwari, R. B., Thakur, B. S., Shrivastava, D. K. and </w:t>
      </w:r>
      <w:proofErr w:type="spellStart"/>
      <w:r>
        <w:t>Chaure</w:t>
      </w:r>
      <w:proofErr w:type="spellEnd"/>
      <w:r>
        <w:t xml:space="preserve">, N. K. (2003). Seasonal incidence of pod borer, </w:t>
      </w:r>
      <w:r>
        <w:rPr>
          <w:i/>
          <w:iCs/>
        </w:rPr>
        <w:t xml:space="preserve">H. </w:t>
      </w:r>
      <w:proofErr w:type="spellStart"/>
      <w:r>
        <w:rPr>
          <w:i/>
          <w:iCs/>
        </w:rPr>
        <w:t>armigera</w:t>
      </w:r>
      <w:proofErr w:type="spellEnd"/>
      <w:r>
        <w:t xml:space="preserve"> (Hub.) and yield losses in chickpea crop. Journal of Entomological Research, </w:t>
      </w:r>
      <w:r>
        <w:rPr>
          <w:b/>
          <w:bCs/>
        </w:rPr>
        <w:t>19</w:t>
      </w:r>
      <w:r>
        <w:t>, 249-253.</w:t>
      </w:r>
    </w:p>
    <w:p>
      <w:pPr>
        <w:jc w:val="both"/>
      </w:pPr>
      <w:proofErr w:type="spellStart"/>
      <w:r>
        <w:t>Bajya</w:t>
      </w:r>
      <w:proofErr w:type="spellEnd"/>
      <w:r>
        <w:t xml:space="preserve">, R., </w:t>
      </w:r>
      <w:proofErr w:type="spellStart"/>
      <w:r>
        <w:t>Bairwa</w:t>
      </w:r>
      <w:proofErr w:type="spellEnd"/>
      <w:r>
        <w:t xml:space="preserve">, D.K., </w:t>
      </w:r>
      <w:proofErr w:type="spellStart"/>
      <w:r>
        <w:t>Jat</w:t>
      </w:r>
      <w:proofErr w:type="spellEnd"/>
      <w:r>
        <w:t xml:space="preserve">, B.L., Bana, J.K.  Hussain, A., Sharma, S.L., Saini, L.S., </w:t>
      </w:r>
      <w:proofErr w:type="spellStart"/>
      <w:r>
        <w:t>Bajya</w:t>
      </w:r>
      <w:proofErr w:type="spellEnd"/>
      <w:r>
        <w:t xml:space="preserve">, D.R., and Choudhary, S. (2025). Seasonal Incidence of </w:t>
      </w:r>
      <w:proofErr w:type="spellStart"/>
      <w:r>
        <w:rPr>
          <w:i/>
          <w:iCs/>
        </w:rPr>
        <w:t>Helicoverpa</w:t>
      </w:r>
      <w:proofErr w:type="spellEnd"/>
      <w:r>
        <w:rPr>
          <w:i/>
          <w:iCs/>
        </w:rPr>
        <w:t xml:space="preserve"> </w:t>
      </w:r>
      <w:proofErr w:type="spellStart"/>
      <w:r>
        <w:rPr>
          <w:i/>
          <w:iCs/>
        </w:rPr>
        <w:t>armigera</w:t>
      </w:r>
      <w:proofErr w:type="spellEnd"/>
      <w:r>
        <w:t xml:space="preserve"> (Hub.) on Chickpea in Relation to Abiotic Factors Semi-</w:t>
      </w:r>
      <w:proofErr w:type="gramStart"/>
      <w:r>
        <w:t>arid</w:t>
      </w:r>
      <w:proofErr w:type="gramEnd"/>
      <w:r>
        <w:t xml:space="preserve"> Region of Rajasthan Biological Forum- An International Journal, </w:t>
      </w:r>
      <w:r>
        <w:rPr>
          <w:b/>
          <w:bCs/>
        </w:rPr>
        <w:t>17</w:t>
      </w:r>
      <w:r>
        <w:t xml:space="preserve">(1): 64-68 </w:t>
      </w:r>
    </w:p>
    <w:p>
      <w:pPr>
        <w:jc w:val="both"/>
      </w:pPr>
      <w:proofErr w:type="spellStart"/>
      <w:r>
        <w:t>Bajya</w:t>
      </w:r>
      <w:proofErr w:type="spellEnd"/>
      <w:r>
        <w:t xml:space="preserve">, R., Patel, Y., Garg, V. K. and Kumar, N. (2022). Effect of Weather Factors on Population Dynamics of </w:t>
      </w:r>
      <w:proofErr w:type="spellStart"/>
      <w:r>
        <w:rPr>
          <w:i/>
          <w:iCs/>
        </w:rPr>
        <w:t>Helicoverpa</w:t>
      </w:r>
      <w:proofErr w:type="spellEnd"/>
      <w:r>
        <w:rPr>
          <w:i/>
          <w:iCs/>
        </w:rPr>
        <w:t xml:space="preserve"> </w:t>
      </w:r>
      <w:proofErr w:type="spellStart"/>
      <w:r>
        <w:rPr>
          <w:i/>
          <w:iCs/>
        </w:rPr>
        <w:t>armigera</w:t>
      </w:r>
      <w:proofErr w:type="spellEnd"/>
      <w:r>
        <w:t xml:space="preserve"> </w:t>
      </w:r>
      <w:proofErr w:type="spellStart"/>
      <w:r>
        <w:t>Hubner</w:t>
      </w:r>
      <w:proofErr w:type="spellEnd"/>
      <w:r>
        <w:t xml:space="preserve"> (</w:t>
      </w:r>
      <w:proofErr w:type="spellStart"/>
      <w:r>
        <w:t>Noctuidae</w:t>
      </w:r>
      <w:proofErr w:type="spellEnd"/>
      <w:r>
        <w:t xml:space="preserve">: Lepidoptera) in Chickpea. </w:t>
      </w:r>
      <w:bookmarkStart w:id="12" w:name="_Hlk202640878"/>
      <w:r>
        <w:t xml:space="preserve">Biological Forum </w:t>
      </w:r>
      <w:bookmarkEnd w:id="12"/>
      <w:r>
        <w:t xml:space="preserve">- </w:t>
      </w:r>
      <w:bookmarkStart w:id="13" w:name="_Hlk202640891"/>
      <w:r>
        <w:t xml:space="preserve">An International Journal, </w:t>
      </w:r>
      <w:bookmarkEnd w:id="13"/>
      <w:r>
        <w:rPr>
          <w:b/>
          <w:bCs/>
        </w:rPr>
        <w:t>14</w:t>
      </w:r>
      <w:r>
        <w:t xml:space="preserve"> (4a), 242-245.</w:t>
      </w:r>
    </w:p>
    <w:p>
      <w:pPr>
        <w:jc w:val="both"/>
      </w:pPr>
      <w:proofErr w:type="spellStart"/>
      <w:r>
        <w:t>Chatar</w:t>
      </w:r>
      <w:proofErr w:type="spellEnd"/>
      <w:r>
        <w:t xml:space="preserve">, V. P., </w:t>
      </w:r>
      <w:proofErr w:type="spellStart"/>
      <w:r>
        <w:t>Raghvani</w:t>
      </w:r>
      <w:proofErr w:type="spellEnd"/>
      <w:r>
        <w:t xml:space="preserve">, K. L., Joshi, M. D., Ghadge, S. M., Deshmukh, S. G. and </w:t>
      </w:r>
      <w:proofErr w:type="spellStart"/>
      <w:r>
        <w:t>Dalave</w:t>
      </w:r>
      <w:proofErr w:type="spellEnd"/>
      <w:r>
        <w:t xml:space="preserve">, S. K. (2010). Population dynamics of pod borer, </w:t>
      </w:r>
      <w:r>
        <w:rPr>
          <w:i/>
          <w:iCs/>
        </w:rPr>
        <w:t xml:space="preserve">H. </w:t>
      </w:r>
      <w:proofErr w:type="spellStart"/>
      <w:r>
        <w:rPr>
          <w:i/>
          <w:iCs/>
        </w:rPr>
        <w:t>armigera</w:t>
      </w:r>
      <w:proofErr w:type="spellEnd"/>
      <w:r>
        <w:rPr>
          <w:i/>
          <w:iCs/>
        </w:rPr>
        <w:t xml:space="preserve"> </w:t>
      </w:r>
      <w:r>
        <w:t xml:space="preserve">(Hub.) infesting chickpea. International Journal of Plant Protection, </w:t>
      </w:r>
      <w:r>
        <w:rPr>
          <w:b/>
          <w:bCs/>
        </w:rPr>
        <w:t>3</w:t>
      </w:r>
      <w:r>
        <w:t xml:space="preserve"> (1), 65-67.</w:t>
      </w:r>
    </w:p>
    <w:p>
      <w:pPr>
        <w:jc w:val="both"/>
      </w:pPr>
      <w:r>
        <w:t xml:space="preserve">Choudhary, S., </w:t>
      </w:r>
      <w:proofErr w:type="spellStart"/>
      <w:r>
        <w:t>Deshwal</w:t>
      </w:r>
      <w:proofErr w:type="spellEnd"/>
      <w:r>
        <w:t xml:space="preserve">, H. L. and Bana, J. K. (2024). Population dynamics of pod borer </w:t>
      </w:r>
      <w:r>
        <w:rPr>
          <w:i/>
          <w:iCs/>
        </w:rPr>
        <w:t xml:space="preserve">H. </w:t>
      </w:r>
      <w:proofErr w:type="spellStart"/>
      <w:r>
        <w:rPr>
          <w:i/>
          <w:iCs/>
        </w:rPr>
        <w:t>armigera</w:t>
      </w:r>
      <w:proofErr w:type="spellEnd"/>
      <w:r>
        <w:t xml:space="preserve"> on chickpea. Indian Journal of Entomology, </w:t>
      </w:r>
      <w:r>
        <w:rPr>
          <w:b/>
          <w:bCs/>
        </w:rPr>
        <w:t>10</w:t>
      </w:r>
      <w:r>
        <w:t>, 55446.</w:t>
      </w:r>
    </w:p>
    <w:p>
      <w:pPr>
        <w:jc w:val="both"/>
      </w:pPr>
      <w:r>
        <w:t xml:space="preserve">Das, A., Datta, S., Thakur, S., Shukla, A., Chaturvedi, S. K., Kumar, P. A. and Singh, N. P. (2017). Expression of a chimeric gene encoding insecticidal crystal protein Cry1A </w:t>
      </w:r>
      <w:proofErr w:type="spellStart"/>
      <w:r>
        <w:t>abc</w:t>
      </w:r>
      <w:proofErr w:type="spellEnd"/>
      <w:r>
        <w:t xml:space="preserve"> of </w:t>
      </w:r>
      <w:r>
        <w:rPr>
          <w:i/>
          <w:iCs/>
        </w:rPr>
        <w:t>Bacillus thuringiensis</w:t>
      </w:r>
      <w:r>
        <w:t xml:space="preserve"> in chickpea (</w:t>
      </w:r>
      <w:proofErr w:type="spellStart"/>
      <w:r>
        <w:rPr>
          <w:i/>
          <w:iCs/>
        </w:rPr>
        <w:t>Cicer</w:t>
      </w:r>
      <w:proofErr w:type="spellEnd"/>
      <w:r>
        <w:rPr>
          <w:i/>
          <w:iCs/>
        </w:rPr>
        <w:t xml:space="preserve"> arietinum</w:t>
      </w:r>
      <w:r>
        <w:t xml:space="preserve"> L.) confers resistance to gram pod borer, </w:t>
      </w:r>
      <w:r>
        <w:rPr>
          <w:i/>
          <w:iCs/>
        </w:rPr>
        <w:t xml:space="preserve">H. </w:t>
      </w:r>
      <w:proofErr w:type="spellStart"/>
      <w:r>
        <w:rPr>
          <w:i/>
          <w:iCs/>
        </w:rPr>
        <w:t>armigera</w:t>
      </w:r>
      <w:proofErr w:type="spellEnd"/>
      <w:r>
        <w:t xml:space="preserve"> (Hub.). Frontiers in Plant Science, </w:t>
      </w:r>
      <w:r>
        <w:rPr>
          <w:b/>
          <w:bCs/>
        </w:rPr>
        <w:t>8</w:t>
      </w:r>
      <w:r>
        <w:t>, 1423.</w:t>
      </w:r>
    </w:p>
    <w:p>
      <w:pPr>
        <w:jc w:val="both"/>
      </w:pPr>
      <w:proofErr w:type="spellStart"/>
      <w:r>
        <w:t>Jukanti</w:t>
      </w:r>
      <w:proofErr w:type="spellEnd"/>
      <w:r>
        <w:t xml:space="preserve">, A. K., Gaur, P. M., Gowda, C. L. L. and </w:t>
      </w:r>
      <w:proofErr w:type="spellStart"/>
      <w:r>
        <w:t>Chibbar</w:t>
      </w:r>
      <w:proofErr w:type="spellEnd"/>
      <w:r>
        <w:t>, R. N. (2012). Nutritional quality and health benefits of chickpea (</w:t>
      </w:r>
      <w:proofErr w:type="spellStart"/>
      <w:r>
        <w:rPr>
          <w:i/>
        </w:rPr>
        <w:t>Cicer</w:t>
      </w:r>
      <w:proofErr w:type="spellEnd"/>
      <w:r>
        <w:rPr>
          <w:i/>
        </w:rPr>
        <w:t xml:space="preserve"> arietinum </w:t>
      </w:r>
      <w:r>
        <w:t xml:space="preserve">L.): a review. </w:t>
      </w:r>
      <w:r>
        <w:rPr>
          <w:iCs/>
        </w:rPr>
        <w:t>British Journal of Nutrition, 108,</w:t>
      </w:r>
      <w:r>
        <w:t xml:space="preserve"> S11-S26. </w:t>
      </w:r>
    </w:p>
    <w:p>
      <w:pPr>
        <w:jc w:val="both"/>
      </w:pPr>
    </w:p>
    <w:p>
      <w:pPr>
        <w:jc w:val="both"/>
      </w:pPr>
    </w:p>
    <w:p>
      <w:pPr>
        <w:jc w:val="both"/>
      </w:pPr>
      <w:r>
        <w:t xml:space="preserve">Kumar P, Mishra D N, Singh D V, Singh R, Mishra P. 2022. Population fluctuation of pod borer, </w:t>
      </w:r>
      <w:proofErr w:type="spellStart"/>
      <w:r>
        <w:rPr>
          <w:i/>
          <w:iCs/>
        </w:rPr>
        <w:t>Helicoverpa</w:t>
      </w:r>
      <w:proofErr w:type="spellEnd"/>
      <w:r>
        <w:rPr>
          <w:i/>
          <w:iCs/>
        </w:rPr>
        <w:t xml:space="preserve"> </w:t>
      </w:r>
      <w:proofErr w:type="spellStart"/>
      <w:r>
        <w:rPr>
          <w:i/>
          <w:iCs/>
        </w:rPr>
        <w:t>armigera</w:t>
      </w:r>
      <w:proofErr w:type="spellEnd"/>
      <w:r>
        <w:t xml:space="preserve"> (</w:t>
      </w:r>
      <w:proofErr w:type="spellStart"/>
      <w:r>
        <w:t>Hübner</w:t>
      </w:r>
      <w:proofErr w:type="spellEnd"/>
      <w:r>
        <w:t xml:space="preserve">) in relation with abiotic factors. The Pharma Innovation Journal </w:t>
      </w:r>
      <w:r>
        <w:rPr>
          <w:b/>
          <w:bCs/>
        </w:rPr>
        <w:t>11</w:t>
      </w:r>
      <w:r>
        <w:t>(6): 1471-1474.</w:t>
      </w:r>
    </w:p>
    <w:p>
      <w:pPr>
        <w:jc w:val="both"/>
      </w:pPr>
      <w:proofErr w:type="spellStart"/>
      <w:r>
        <w:t>Kumawat</w:t>
      </w:r>
      <w:proofErr w:type="spellEnd"/>
      <w:r>
        <w:t xml:space="preserve">, S., Sharma, S. Kumari, H., Naga, B. L., Meena, R. K., Meena, S. K. and Arvind (2024). Population dynamics of </w:t>
      </w:r>
      <w:r>
        <w:rPr>
          <w:i/>
          <w:iCs/>
        </w:rPr>
        <w:t xml:space="preserve">H. </w:t>
      </w:r>
      <w:proofErr w:type="spellStart"/>
      <w:r>
        <w:rPr>
          <w:i/>
          <w:iCs/>
        </w:rPr>
        <w:t>armigera</w:t>
      </w:r>
      <w:proofErr w:type="spellEnd"/>
      <w:r>
        <w:t xml:space="preserve"> (</w:t>
      </w:r>
      <w:proofErr w:type="spellStart"/>
      <w:r>
        <w:t>Hubner</w:t>
      </w:r>
      <w:proofErr w:type="spellEnd"/>
      <w:r>
        <w:t xml:space="preserve">) in chickpea. Indian Journal of Entomology, </w:t>
      </w:r>
      <w:r>
        <w:rPr>
          <w:b/>
          <w:bCs/>
        </w:rPr>
        <w:t>10</w:t>
      </w:r>
      <w:r>
        <w:t>, 55446</w:t>
      </w:r>
    </w:p>
    <w:p>
      <w:pPr>
        <w:jc w:val="both"/>
      </w:pPr>
      <w:r>
        <w:t xml:space="preserve">Lateef, S.S, Bhagat, V.R, Reed, W. (1985) Field screening of chickpea genotypes for resistance to </w:t>
      </w:r>
      <w:r>
        <w:rPr>
          <w:i/>
          <w:iCs/>
        </w:rPr>
        <w:t xml:space="preserve">H. </w:t>
      </w:r>
      <w:proofErr w:type="spellStart"/>
      <w:r>
        <w:rPr>
          <w:i/>
          <w:iCs/>
        </w:rPr>
        <w:t>armigera</w:t>
      </w:r>
      <w:proofErr w:type="spellEnd"/>
      <w:r>
        <w:t xml:space="preserve">. International Chickpea Newsletter. </w:t>
      </w:r>
      <w:r>
        <w:rPr>
          <w:b/>
          <w:bCs/>
        </w:rPr>
        <w:t>13</w:t>
      </w:r>
      <w:r>
        <w:t>:29-32.</w:t>
      </w:r>
    </w:p>
    <w:p>
      <w:pPr>
        <w:jc w:val="both"/>
      </w:pPr>
      <w:r>
        <w:t xml:space="preserve">Malik, R., Kumar, R., Prasad, C. S. and Rana, R. (2015). Seasonal dynamics of </w:t>
      </w:r>
      <w:r>
        <w:rPr>
          <w:i/>
          <w:iCs/>
        </w:rPr>
        <w:t xml:space="preserve">H. </w:t>
      </w:r>
      <w:proofErr w:type="spellStart"/>
      <w:r>
        <w:rPr>
          <w:i/>
          <w:iCs/>
        </w:rPr>
        <w:t>armigera</w:t>
      </w:r>
      <w:proofErr w:type="spellEnd"/>
      <w:r>
        <w:t xml:space="preserve"> (Hub.) on chickpea and relative abundance of larval </w:t>
      </w:r>
      <w:proofErr w:type="spellStart"/>
      <w:r>
        <w:t>parasitoid</w:t>
      </w:r>
      <w:proofErr w:type="spellEnd"/>
      <w:r>
        <w:t xml:space="preserve"> </w:t>
      </w:r>
      <w:proofErr w:type="spellStart"/>
      <w:r>
        <w:rPr>
          <w:i/>
          <w:iCs/>
        </w:rPr>
        <w:t>Campoletis</w:t>
      </w:r>
      <w:proofErr w:type="spellEnd"/>
      <w:r>
        <w:rPr>
          <w:i/>
          <w:iCs/>
        </w:rPr>
        <w:t xml:space="preserve"> </w:t>
      </w:r>
      <w:proofErr w:type="spellStart"/>
      <w:r>
        <w:rPr>
          <w:i/>
          <w:iCs/>
        </w:rPr>
        <w:t>chlorideae</w:t>
      </w:r>
      <w:proofErr w:type="spellEnd"/>
      <w:r>
        <w:t xml:space="preserve"> in correlation with weather parameters. International Journal of Multidisciplinary Research and Advanced, </w:t>
      </w:r>
      <w:r>
        <w:rPr>
          <w:b/>
          <w:bCs/>
        </w:rPr>
        <w:t>1</w:t>
      </w:r>
      <w:r>
        <w:t>, 1-6.</w:t>
      </w:r>
    </w:p>
    <w:p>
      <w:pPr>
        <w:jc w:val="both"/>
      </w:pPr>
      <w:r>
        <w:t xml:space="preserve">Patel, S. R., Patel, K. G. and </w:t>
      </w:r>
      <w:proofErr w:type="spellStart"/>
      <w:r>
        <w:t>Ghetiya</w:t>
      </w:r>
      <w:proofErr w:type="spellEnd"/>
      <w:r>
        <w:t>, L. V. (2015). Population dynamics of pod borer</w:t>
      </w:r>
      <w:r>
        <w:rPr>
          <w:i/>
          <w:iCs/>
        </w:rPr>
        <w:t xml:space="preserve">, H. </w:t>
      </w:r>
      <w:proofErr w:type="spellStart"/>
      <w:r>
        <w:rPr>
          <w:i/>
          <w:iCs/>
        </w:rPr>
        <w:t>armigera</w:t>
      </w:r>
      <w:proofErr w:type="spellEnd"/>
      <w:r>
        <w:t xml:space="preserve"> (Hub.) in relation to abiotic factors. An International e-Journal, </w:t>
      </w:r>
      <w:r>
        <w:rPr>
          <w:b/>
          <w:bCs/>
        </w:rPr>
        <w:t>4</w:t>
      </w:r>
      <w:r>
        <w:t>(2), 163-170.</w:t>
      </w:r>
    </w:p>
    <w:p>
      <w:pPr>
        <w:jc w:val="both"/>
      </w:pPr>
      <w:r>
        <w:lastRenderedPageBreak/>
        <w:t xml:space="preserve">Patidar, D., Nayak, M. K., Jaiswal, S. K., Patel, K. and Patel, K. (2020). Seasonal variation of </w:t>
      </w:r>
      <w:r>
        <w:rPr>
          <w:i/>
          <w:iCs/>
        </w:rPr>
        <w:t xml:space="preserve">H. </w:t>
      </w:r>
      <w:proofErr w:type="spellStart"/>
      <w:r>
        <w:rPr>
          <w:i/>
          <w:iCs/>
        </w:rPr>
        <w:t>armigera</w:t>
      </w:r>
      <w:proofErr w:type="spellEnd"/>
      <w:r>
        <w:t xml:space="preserve"> (Hub.) population and their correlation with weather parameters under </w:t>
      </w:r>
      <w:proofErr w:type="spellStart"/>
      <w:r>
        <w:t>agro</w:t>
      </w:r>
      <w:proofErr w:type="spellEnd"/>
      <w:r>
        <w:t xml:space="preserve">-climatic condition of Tikamgarh district, Madhya Pradesh. International Archive of Applied Sciences and Technology, </w:t>
      </w:r>
      <w:r>
        <w:rPr>
          <w:b/>
          <w:bCs/>
        </w:rPr>
        <w:t>11</w:t>
      </w:r>
      <w:r>
        <w:t xml:space="preserve">, 53-56. </w:t>
      </w:r>
    </w:p>
    <w:p>
      <w:pPr>
        <w:jc w:val="both"/>
      </w:pPr>
      <w:proofErr w:type="spellStart"/>
      <w:r>
        <w:t>Pawar</w:t>
      </w:r>
      <w:proofErr w:type="spellEnd"/>
      <w:r>
        <w:t xml:space="preserve"> VM. (1998) Microbial control of </w:t>
      </w:r>
      <w:proofErr w:type="spellStart"/>
      <w:r>
        <w:rPr>
          <w:i/>
          <w:iCs/>
        </w:rPr>
        <w:t>Helicoverpa</w:t>
      </w:r>
      <w:proofErr w:type="spellEnd"/>
      <w:r>
        <w:rPr>
          <w:i/>
          <w:iCs/>
        </w:rPr>
        <w:t xml:space="preserve"> </w:t>
      </w:r>
      <w:proofErr w:type="spellStart"/>
      <w:r>
        <w:rPr>
          <w:i/>
          <w:iCs/>
        </w:rPr>
        <w:t>armigera</w:t>
      </w:r>
      <w:proofErr w:type="spellEnd"/>
      <w:r>
        <w:rPr>
          <w:i/>
          <w:iCs/>
        </w:rPr>
        <w:t xml:space="preserve"> </w:t>
      </w:r>
      <w:r>
        <w:t xml:space="preserve">sp. on pulses crops </w:t>
      </w:r>
      <w:proofErr w:type="gramStart"/>
      <w:r>
        <w:t>In</w:t>
      </w:r>
      <w:proofErr w:type="gramEnd"/>
      <w:r>
        <w:t>: IPM System in Agriculture</w:t>
      </w:r>
      <w:r>
        <w:rPr>
          <w:i/>
          <w:iCs/>
        </w:rPr>
        <w:t xml:space="preserve"> </w:t>
      </w:r>
      <w:r>
        <w:t xml:space="preserve">(Upadhyaya R.K., </w:t>
      </w:r>
      <w:proofErr w:type="spellStart"/>
      <w:r>
        <w:t>Mukarji</w:t>
      </w:r>
      <w:proofErr w:type="spellEnd"/>
      <w:r>
        <w:t xml:space="preserve"> K.G. and </w:t>
      </w:r>
      <w:proofErr w:type="spellStart"/>
      <w:r>
        <w:t>Rajak</w:t>
      </w:r>
      <w:proofErr w:type="spellEnd"/>
      <w:r>
        <w:t xml:space="preserve"> RL Eds.)</w:t>
      </w:r>
      <w:r>
        <w:rPr>
          <w:i/>
          <w:iCs/>
        </w:rPr>
        <w:t xml:space="preserve"> </w:t>
      </w:r>
      <w:r>
        <w:t xml:space="preserve">New Delhi, India, Aditya books Private Ltd, 55-7811. </w:t>
      </w:r>
    </w:p>
    <w:p>
      <w:pPr>
        <w:jc w:val="both"/>
      </w:pPr>
      <w:r>
        <w:t>Pearson, K.1920. Notes on the history of correlation. Biometrika,13(1), 25-45. Reprinted in E.S. Pearson &amp; Kendall (1970).</w:t>
      </w:r>
    </w:p>
    <w:p>
      <w:pPr>
        <w:jc w:val="both"/>
      </w:pPr>
      <w:r>
        <w:t>Prakash, M.R, Ram, U, Tariq, A. (2006) Evaluation of chickpea (</w:t>
      </w:r>
      <w:proofErr w:type="spellStart"/>
      <w:r>
        <w:rPr>
          <w:i/>
          <w:iCs/>
        </w:rPr>
        <w:t>Cicer</w:t>
      </w:r>
      <w:proofErr w:type="spellEnd"/>
      <w:r>
        <w:rPr>
          <w:i/>
          <w:iCs/>
        </w:rPr>
        <w:t xml:space="preserve"> arietinum</w:t>
      </w:r>
      <w:r>
        <w:t xml:space="preserve"> L.) germplasm for the resistance to gram pod borer, </w:t>
      </w:r>
      <w:proofErr w:type="spellStart"/>
      <w:r>
        <w:rPr>
          <w:i/>
          <w:iCs/>
        </w:rPr>
        <w:t>Helicoverpa</w:t>
      </w:r>
      <w:proofErr w:type="spellEnd"/>
      <w:r>
        <w:rPr>
          <w:i/>
          <w:iCs/>
        </w:rPr>
        <w:t xml:space="preserve"> </w:t>
      </w:r>
      <w:proofErr w:type="spellStart"/>
      <w:r>
        <w:rPr>
          <w:i/>
          <w:iCs/>
        </w:rPr>
        <w:t>armigera</w:t>
      </w:r>
      <w:proofErr w:type="spellEnd"/>
      <w:r>
        <w:t xml:space="preserve"> </w:t>
      </w:r>
      <w:proofErr w:type="spellStart"/>
      <w:r>
        <w:t>Hubner</w:t>
      </w:r>
      <w:proofErr w:type="spellEnd"/>
      <w:r>
        <w:t xml:space="preserve"> (Lepidoptera: </w:t>
      </w:r>
      <w:proofErr w:type="spellStart"/>
      <w:r>
        <w:t>Noctuidae</w:t>
      </w:r>
      <w:proofErr w:type="spellEnd"/>
      <w:r>
        <w:t xml:space="preserve">). Journal of Entomology Research. </w:t>
      </w:r>
      <w:r>
        <w:rPr>
          <w:b/>
          <w:bCs/>
        </w:rPr>
        <w:t>31</w:t>
      </w:r>
      <w:r>
        <w:t>:215-218.</w:t>
      </w:r>
    </w:p>
    <w:p>
      <w:pPr>
        <w:jc w:val="both"/>
      </w:pPr>
      <w:r>
        <w:t xml:space="preserve"> Reed, W., Cardona, C., </w:t>
      </w:r>
      <w:proofErr w:type="spellStart"/>
      <w:r>
        <w:t>Sithanantham</w:t>
      </w:r>
      <w:proofErr w:type="spellEnd"/>
      <w:r>
        <w:t>. S, Lateef, S.S. (1987) The chickpea insect pests and their control. In: Saxena MC and Singh, K. B (Eds.). The Chickpea. CAB International, Wallington, UK. 283-318</w:t>
      </w:r>
    </w:p>
    <w:p>
      <w:pPr>
        <w:jc w:val="both"/>
      </w:pPr>
      <w:r>
        <w:t xml:space="preserve">Shinde, Y. A., </w:t>
      </w:r>
      <w:proofErr w:type="spellStart"/>
      <w:r>
        <w:t>Veeda</w:t>
      </w:r>
      <w:proofErr w:type="spellEnd"/>
      <w:r>
        <w:t xml:space="preserve">, O. P. and Patel, B. R. (2013). Observed the larval population of </w:t>
      </w:r>
      <w:r>
        <w:rPr>
          <w:i/>
          <w:iCs/>
        </w:rPr>
        <w:t xml:space="preserve">H. </w:t>
      </w:r>
      <w:proofErr w:type="spellStart"/>
      <w:r>
        <w:rPr>
          <w:i/>
          <w:iCs/>
        </w:rPr>
        <w:t>armigera</w:t>
      </w:r>
      <w:proofErr w:type="spellEnd"/>
      <w:r>
        <w:rPr>
          <w:i/>
          <w:iCs/>
        </w:rPr>
        <w:t xml:space="preserve"> </w:t>
      </w:r>
      <w:r>
        <w:t xml:space="preserve">(Hub.) during Rabi, 2009-10 and 2010-11. Current </w:t>
      </w:r>
      <w:proofErr w:type="spellStart"/>
      <w:r>
        <w:t>Biotica</w:t>
      </w:r>
      <w:proofErr w:type="spellEnd"/>
      <w:r>
        <w:t xml:space="preserve">, </w:t>
      </w:r>
      <w:r>
        <w:rPr>
          <w:b/>
          <w:bCs/>
        </w:rPr>
        <w:t>7 (</w:t>
      </w:r>
      <w:r>
        <w:t xml:space="preserve">3), 222-227. </w:t>
      </w:r>
    </w:p>
    <w:p>
      <w:pPr>
        <w:jc w:val="both"/>
      </w:pPr>
      <w:r>
        <w:t xml:space="preserve">Srivastava SK, </w:t>
      </w:r>
      <w:proofErr w:type="spellStart"/>
      <w:r>
        <w:t>Sivaramane</w:t>
      </w:r>
      <w:proofErr w:type="spellEnd"/>
      <w:r>
        <w:t xml:space="preserve"> N, Mathur VC. (2010) Diagnosis of pulses performance of India. Agricultural Economics Research Review. </w:t>
      </w:r>
      <w:r>
        <w:rPr>
          <w:b/>
          <w:bCs/>
        </w:rPr>
        <w:t>23</w:t>
      </w:r>
      <w:r>
        <w:t xml:space="preserve"> (1):137-148.</w:t>
      </w:r>
    </w:p>
    <w:p>
      <w:pPr>
        <w:jc w:val="both"/>
      </w:pPr>
      <w:r>
        <w:t xml:space="preserve"> </w:t>
      </w:r>
      <w:proofErr w:type="spellStart"/>
      <w:r>
        <w:t>Taggar</w:t>
      </w:r>
      <w:proofErr w:type="spellEnd"/>
      <w:r>
        <w:t xml:space="preserve"> GK, Singh R. (2012) Integrated management of insect pests of </w:t>
      </w:r>
      <w:proofErr w:type="spellStart"/>
      <w:r>
        <w:t>rabi</w:t>
      </w:r>
      <w:proofErr w:type="spellEnd"/>
      <w:r>
        <w:t xml:space="preserve"> pulses. In: Arora R, Singh, B and Dhawan, A.K. (ed.) Theory and practice of Integrated pest management. Scientific Publishers, India.; 454-72.</w:t>
      </w:r>
    </w:p>
    <w:p>
      <w:pPr>
        <w:jc w:val="both"/>
      </w:pPr>
      <w:r>
        <w:t xml:space="preserve">Yadav, S. K., Singha, D. R., </w:t>
      </w:r>
      <w:proofErr w:type="spellStart"/>
      <w:r>
        <w:t>Umraoa</w:t>
      </w:r>
      <w:proofErr w:type="spellEnd"/>
      <w:r>
        <w:t xml:space="preserve">, R. S., Yadav, A. and Yadav, V., Yadav, G. (2024). Studies on seasonal incidence of gram pod borer, </w:t>
      </w:r>
      <w:r>
        <w:rPr>
          <w:i/>
          <w:iCs/>
        </w:rPr>
        <w:t xml:space="preserve">H. </w:t>
      </w:r>
      <w:proofErr w:type="spellStart"/>
      <w:r>
        <w:rPr>
          <w:i/>
          <w:iCs/>
        </w:rPr>
        <w:t>armigera</w:t>
      </w:r>
      <w:proofErr w:type="spellEnd"/>
      <w:r>
        <w:t xml:space="preserve"> (Hub.) on chickpea crop. International Journal of Environment and Climate Change, </w:t>
      </w:r>
      <w:r>
        <w:rPr>
          <w:b/>
          <w:bCs/>
        </w:rPr>
        <w:t xml:space="preserve">14 </w:t>
      </w:r>
      <w:r>
        <w:t>(3), 349-354.</w:t>
      </w: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9826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1972976-EF61-402C-A07B-A8B1FD8E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kern w:val="0"/>
      <w:sz w:val="24"/>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pPr>
      <w:spacing w:after="0" w:line="360" w:lineRule="auto"/>
    </w:pPr>
    <w:rPr>
      <w:rFonts w:ascii="Garamond" w:hAnsi="Garamond"/>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Pr>
      <w:b/>
      <w:bCs/>
      <w:smallCaps/>
      <w:color w:val="2F5496" w:themeColor="accent1" w:themeShade="BF"/>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kern w:val="0"/>
      <w:sz w:val="20"/>
      <w:szCs w:val="20"/>
      <w14:ligatures w14:val="none"/>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kern w:val="0"/>
      <w:sz w:val="24"/>
      <w14:ligatures w14:val="non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1227">
      <w:bodyDiv w:val="1"/>
      <w:marLeft w:val="0"/>
      <w:marRight w:val="0"/>
      <w:marTop w:val="0"/>
      <w:marBottom w:val="0"/>
      <w:divBdr>
        <w:top w:val="none" w:sz="0" w:space="0" w:color="auto"/>
        <w:left w:val="none" w:sz="0" w:space="0" w:color="auto"/>
        <w:bottom w:val="none" w:sz="0" w:space="0" w:color="auto"/>
        <w:right w:val="none" w:sz="0" w:space="0" w:color="auto"/>
      </w:divBdr>
    </w:div>
    <w:div w:id="152841045">
      <w:bodyDiv w:val="1"/>
      <w:marLeft w:val="0"/>
      <w:marRight w:val="0"/>
      <w:marTop w:val="0"/>
      <w:marBottom w:val="0"/>
      <w:divBdr>
        <w:top w:val="none" w:sz="0" w:space="0" w:color="auto"/>
        <w:left w:val="none" w:sz="0" w:space="0" w:color="auto"/>
        <w:bottom w:val="none" w:sz="0" w:space="0" w:color="auto"/>
        <w:right w:val="none" w:sz="0" w:space="0" w:color="auto"/>
      </w:divBdr>
    </w:div>
    <w:div w:id="381947229">
      <w:bodyDiv w:val="1"/>
      <w:marLeft w:val="0"/>
      <w:marRight w:val="0"/>
      <w:marTop w:val="0"/>
      <w:marBottom w:val="0"/>
      <w:divBdr>
        <w:top w:val="none" w:sz="0" w:space="0" w:color="auto"/>
        <w:left w:val="none" w:sz="0" w:space="0" w:color="auto"/>
        <w:bottom w:val="none" w:sz="0" w:space="0" w:color="auto"/>
        <w:right w:val="none" w:sz="0" w:space="0" w:color="auto"/>
      </w:divBdr>
    </w:div>
    <w:div w:id="464354713">
      <w:bodyDiv w:val="1"/>
      <w:marLeft w:val="0"/>
      <w:marRight w:val="0"/>
      <w:marTop w:val="0"/>
      <w:marBottom w:val="0"/>
      <w:divBdr>
        <w:top w:val="none" w:sz="0" w:space="0" w:color="auto"/>
        <w:left w:val="none" w:sz="0" w:space="0" w:color="auto"/>
        <w:bottom w:val="none" w:sz="0" w:space="0" w:color="auto"/>
        <w:right w:val="none" w:sz="0" w:space="0" w:color="auto"/>
      </w:divBdr>
      <w:divsChild>
        <w:div w:id="1921131283">
          <w:marLeft w:val="0"/>
          <w:marRight w:val="0"/>
          <w:marTop w:val="0"/>
          <w:marBottom w:val="0"/>
          <w:divBdr>
            <w:top w:val="none" w:sz="0" w:space="0" w:color="auto"/>
            <w:left w:val="none" w:sz="0" w:space="0" w:color="auto"/>
            <w:bottom w:val="none" w:sz="0" w:space="0" w:color="auto"/>
            <w:right w:val="none" w:sz="0" w:space="0" w:color="auto"/>
          </w:divBdr>
          <w:divsChild>
            <w:div w:id="209345605">
              <w:marLeft w:val="0"/>
              <w:marRight w:val="0"/>
              <w:marTop w:val="0"/>
              <w:marBottom w:val="0"/>
              <w:divBdr>
                <w:top w:val="none" w:sz="0" w:space="0" w:color="auto"/>
                <w:left w:val="none" w:sz="0" w:space="0" w:color="auto"/>
                <w:bottom w:val="none" w:sz="0" w:space="0" w:color="auto"/>
                <w:right w:val="none" w:sz="0" w:space="0" w:color="auto"/>
              </w:divBdr>
              <w:divsChild>
                <w:div w:id="18094719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7555831">
          <w:marLeft w:val="0"/>
          <w:marRight w:val="0"/>
          <w:marTop w:val="0"/>
          <w:marBottom w:val="0"/>
          <w:divBdr>
            <w:top w:val="none" w:sz="0" w:space="0" w:color="auto"/>
            <w:left w:val="none" w:sz="0" w:space="0" w:color="auto"/>
            <w:bottom w:val="none" w:sz="0" w:space="0" w:color="auto"/>
            <w:right w:val="none" w:sz="0" w:space="0" w:color="auto"/>
          </w:divBdr>
          <w:divsChild>
            <w:div w:id="1014070617">
              <w:marLeft w:val="0"/>
              <w:marRight w:val="0"/>
              <w:marTop w:val="0"/>
              <w:marBottom w:val="0"/>
              <w:divBdr>
                <w:top w:val="none" w:sz="0" w:space="0" w:color="auto"/>
                <w:left w:val="none" w:sz="0" w:space="0" w:color="auto"/>
                <w:bottom w:val="none" w:sz="0" w:space="0" w:color="auto"/>
                <w:right w:val="none" w:sz="0" w:space="0" w:color="auto"/>
              </w:divBdr>
              <w:divsChild>
                <w:div w:id="1392847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7083436">
      <w:bodyDiv w:val="1"/>
      <w:marLeft w:val="0"/>
      <w:marRight w:val="0"/>
      <w:marTop w:val="0"/>
      <w:marBottom w:val="0"/>
      <w:divBdr>
        <w:top w:val="none" w:sz="0" w:space="0" w:color="auto"/>
        <w:left w:val="none" w:sz="0" w:space="0" w:color="auto"/>
        <w:bottom w:val="none" w:sz="0" w:space="0" w:color="auto"/>
        <w:right w:val="none" w:sz="0" w:space="0" w:color="auto"/>
      </w:divBdr>
    </w:div>
    <w:div w:id="798105352">
      <w:bodyDiv w:val="1"/>
      <w:marLeft w:val="0"/>
      <w:marRight w:val="0"/>
      <w:marTop w:val="0"/>
      <w:marBottom w:val="0"/>
      <w:divBdr>
        <w:top w:val="none" w:sz="0" w:space="0" w:color="auto"/>
        <w:left w:val="none" w:sz="0" w:space="0" w:color="auto"/>
        <w:bottom w:val="none" w:sz="0" w:space="0" w:color="auto"/>
        <w:right w:val="none" w:sz="0" w:space="0" w:color="auto"/>
      </w:divBdr>
    </w:div>
    <w:div w:id="825970894">
      <w:bodyDiv w:val="1"/>
      <w:marLeft w:val="0"/>
      <w:marRight w:val="0"/>
      <w:marTop w:val="0"/>
      <w:marBottom w:val="0"/>
      <w:divBdr>
        <w:top w:val="none" w:sz="0" w:space="0" w:color="auto"/>
        <w:left w:val="none" w:sz="0" w:space="0" w:color="auto"/>
        <w:bottom w:val="none" w:sz="0" w:space="0" w:color="auto"/>
        <w:right w:val="none" w:sz="0" w:space="0" w:color="auto"/>
      </w:divBdr>
    </w:div>
    <w:div w:id="848637192">
      <w:bodyDiv w:val="1"/>
      <w:marLeft w:val="0"/>
      <w:marRight w:val="0"/>
      <w:marTop w:val="0"/>
      <w:marBottom w:val="0"/>
      <w:divBdr>
        <w:top w:val="none" w:sz="0" w:space="0" w:color="auto"/>
        <w:left w:val="none" w:sz="0" w:space="0" w:color="auto"/>
        <w:bottom w:val="none" w:sz="0" w:space="0" w:color="auto"/>
        <w:right w:val="none" w:sz="0" w:space="0" w:color="auto"/>
      </w:divBdr>
    </w:div>
    <w:div w:id="883325148">
      <w:bodyDiv w:val="1"/>
      <w:marLeft w:val="0"/>
      <w:marRight w:val="0"/>
      <w:marTop w:val="0"/>
      <w:marBottom w:val="0"/>
      <w:divBdr>
        <w:top w:val="none" w:sz="0" w:space="0" w:color="auto"/>
        <w:left w:val="none" w:sz="0" w:space="0" w:color="auto"/>
        <w:bottom w:val="none" w:sz="0" w:space="0" w:color="auto"/>
        <w:right w:val="none" w:sz="0" w:space="0" w:color="auto"/>
      </w:divBdr>
    </w:div>
    <w:div w:id="900290458">
      <w:bodyDiv w:val="1"/>
      <w:marLeft w:val="0"/>
      <w:marRight w:val="0"/>
      <w:marTop w:val="0"/>
      <w:marBottom w:val="0"/>
      <w:divBdr>
        <w:top w:val="none" w:sz="0" w:space="0" w:color="auto"/>
        <w:left w:val="none" w:sz="0" w:space="0" w:color="auto"/>
        <w:bottom w:val="none" w:sz="0" w:space="0" w:color="auto"/>
        <w:right w:val="none" w:sz="0" w:space="0" w:color="auto"/>
      </w:divBdr>
    </w:div>
    <w:div w:id="1119757502">
      <w:bodyDiv w:val="1"/>
      <w:marLeft w:val="0"/>
      <w:marRight w:val="0"/>
      <w:marTop w:val="0"/>
      <w:marBottom w:val="0"/>
      <w:divBdr>
        <w:top w:val="none" w:sz="0" w:space="0" w:color="auto"/>
        <w:left w:val="none" w:sz="0" w:space="0" w:color="auto"/>
        <w:bottom w:val="none" w:sz="0" w:space="0" w:color="auto"/>
        <w:right w:val="none" w:sz="0" w:space="0" w:color="auto"/>
      </w:divBdr>
    </w:div>
    <w:div w:id="1152407914">
      <w:bodyDiv w:val="1"/>
      <w:marLeft w:val="0"/>
      <w:marRight w:val="0"/>
      <w:marTop w:val="0"/>
      <w:marBottom w:val="0"/>
      <w:divBdr>
        <w:top w:val="none" w:sz="0" w:space="0" w:color="auto"/>
        <w:left w:val="none" w:sz="0" w:space="0" w:color="auto"/>
        <w:bottom w:val="none" w:sz="0" w:space="0" w:color="auto"/>
        <w:right w:val="none" w:sz="0" w:space="0" w:color="auto"/>
      </w:divBdr>
    </w:div>
    <w:div w:id="1379665167">
      <w:bodyDiv w:val="1"/>
      <w:marLeft w:val="0"/>
      <w:marRight w:val="0"/>
      <w:marTop w:val="0"/>
      <w:marBottom w:val="0"/>
      <w:divBdr>
        <w:top w:val="none" w:sz="0" w:space="0" w:color="auto"/>
        <w:left w:val="none" w:sz="0" w:space="0" w:color="auto"/>
        <w:bottom w:val="none" w:sz="0" w:space="0" w:color="auto"/>
        <w:right w:val="none" w:sz="0" w:space="0" w:color="auto"/>
      </w:divBdr>
    </w:div>
    <w:div w:id="1444420592">
      <w:bodyDiv w:val="1"/>
      <w:marLeft w:val="0"/>
      <w:marRight w:val="0"/>
      <w:marTop w:val="0"/>
      <w:marBottom w:val="0"/>
      <w:divBdr>
        <w:top w:val="none" w:sz="0" w:space="0" w:color="auto"/>
        <w:left w:val="none" w:sz="0" w:space="0" w:color="auto"/>
        <w:bottom w:val="none" w:sz="0" w:space="0" w:color="auto"/>
        <w:right w:val="none" w:sz="0" w:space="0" w:color="auto"/>
      </w:divBdr>
    </w:div>
    <w:div w:id="1464695622">
      <w:bodyDiv w:val="1"/>
      <w:marLeft w:val="0"/>
      <w:marRight w:val="0"/>
      <w:marTop w:val="0"/>
      <w:marBottom w:val="0"/>
      <w:divBdr>
        <w:top w:val="none" w:sz="0" w:space="0" w:color="auto"/>
        <w:left w:val="none" w:sz="0" w:space="0" w:color="auto"/>
        <w:bottom w:val="none" w:sz="0" w:space="0" w:color="auto"/>
        <w:right w:val="none" w:sz="0" w:space="0" w:color="auto"/>
      </w:divBdr>
    </w:div>
    <w:div w:id="1470705647">
      <w:bodyDiv w:val="1"/>
      <w:marLeft w:val="0"/>
      <w:marRight w:val="0"/>
      <w:marTop w:val="0"/>
      <w:marBottom w:val="0"/>
      <w:divBdr>
        <w:top w:val="none" w:sz="0" w:space="0" w:color="auto"/>
        <w:left w:val="none" w:sz="0" w:space="0" w:color="auto"/>
        <w:bottom w:val="none" w:sz="0" w:space="0" w:color="auto"/>
        <w:right w:val="none" w:sz="0" w:space="0" w:color="auto"/>
      </w:divBdr>
      <w:divsChild>
        <w:div w:id="1878808367">
          <w:marLeft w:val="0"/>
          <w:marRight w:val="0"/>
          <w:marTop w:val="0"/>
          <w:marBottom w:val="0"/>
          <w:divBdr>
            <w:top w:val="none" w:sz="0" w:space="0" w:color="auto"/>
            <w:left w:val="none" w:sz="0" w:space="0" w:color="auto"/>
            <w:bottom w:val="none" w:sz="0" w:space="0" w:color="auto"/>
            <w:right w:val="none" w:sz="0" w:space="0" w:color="auto"/>
          </w:divBdr>
          <w:divsChild>
            <w:div w:id="284779396">
              <w:marLeft w:val="0"/>
              <w:marRight w:val="0"/>
              <w:marTop w:val="0"/>
              <w:marBottom w:val="0"/>
              <w:divBdr>
                <w:top w:val="none" w:sz="0" w:space="0" w:color="auto"/>
                <w:left w:val="none" w:sz="0" w:space="0" w:color="auto"/>
                <w:bottom w:val="none" w:sz="0" w:space="0" w:color="auto"/>
                <w:right w:val="none" w:sz="0" w:space="0" w:color="auto"/>
              </w:divBdr>
              <w:divsChild>
                <w:div w:id="557516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2055178">
          <w:marLeft w:val="0"/>
          <w:marRight w:val="0"/>
          <w:marTop w:val="0"/>
          <w:marBottom w:val="0"/>
          <w:divBdr>
            <w:top w:val="none" w:sz="0" w:space="0" w:color="auto"/>
            <w:left w:val="none" w:sz="0" w:space="0" w:color="auto"/>
            <w:bottom w:val="none" w:sz="0" w:space="0" w:color="auto"/>
            <w:right w:val="none" w:sz="0" w:space="0" w:color="auto"/>
          </w:divBdr>
          <w:divsChild>
            <w:div w:id="1075400476">
              <w:marLeft w:val="0"/>
              <w:marRight w:val="0"/>
              <w:marTop w:val="0"/>
              <w:marBottom w:val="0"/>
              <w:divBdr>
                <w:top w:val="none" w:sz="0" w:space="0" w:color="auto"/>
                <w:left w:val="none" w:sz="0" w:space="0" w:color="auto"/>
                <w:bottom w:val="none" w:sz="0" w:space="0" w:color="auto"/>
                <w:right w:val="none" w:sz="0" w:space="0" w:color="auto"/>
              </w:divBdr>
              <w:divsChild>
                <w:div w:id="13314471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557735569">
      <w:bodyDiv w:val="1"/>
      <w:marLeft w:val="0"/>
      <w:marRight w:val="0"/>
      <w:marTop w:val="0"/>
      <w:marBottom w:val="0"/>
      <w:divBdr>
        <w:top w:val="none" w:sz="0" w:space="0" w:color="auto"/>
        <w:left w:val="none" w:sz="0" w:space="0" w:color="auto"/>
        <w:bottom w:val="none" w:sz="0" w:space="0" w:color="auto"/>
        <w:right w:val="none" w:sz="0" w:space="0" w:color="auto"/>
      </w:divBdr>
    </w:div>
    <w:div w:id="1656952954">
      <w:bodyDiv w:val="1"/>
      <w:marLeft w:val="0"/>
      <w:marRight w:val="0"/>
      <w:marTop w:val="0"/>
      <w:marBottom w:val="0"/>
      <w:divBdr>
        <w:top w:val="none" w:sz="0" w:space="0" w:color="auto"/>
        <w:left w:val="none" w:sz="0" w:space="0" w:color="auto"/>
        <w:bottom w:val="none" w:sz="0" w:space="0" w:color="auto"/>
        <w:right w:val="none" w:sz="0" w:space="0" w:color="auto"/>
      </w:divBdr>
    </w:div>
    <w:div w:id="1722555525">
      <w:bodyDiv w:val="1"/>
      <w:marLeft w:val="0"/>
      <w:marRight w:val="0"/>
      <w:marTop w:val="0"/>
      <w:marBottom w:val="0"/>
      <w:divBdr>
        <w:top w:val="none" w:sz="0" w:space="0" w:color="auto"/>
        <w:left w:val="none" w:sz="0" w:space="0" w:color="auto"/>
        <w:bottom w:val="none" w:sz="0" w:space="0" w:color="auto"/>
        <w:right w:val="none" w:sz="0" w:space="0" w:color="auto"/>
      </w:divBdr>
    </w:div>
    <w:div w:id="1939412116">
      <w:bodyDiv w:val="1"/>
      <w:marLeft w:val="0"/>
      <w:marRight w:val="0"/>
      <w:marTop w:val="0"/>
      <w:marBottom w:val="0"/>
      <w:divBdr>
        <w:top w:val="none" w:sz="0" w:space="0" w:color="auto"/>
        <w:left w:val="none" w:sz="0" w:space="0" w:color="auto"/>
        <w:bottom w:val="none" w:sz="0" w:space="0" w:color="auto"/>
        <w:right w:val="none" w:sz="0" w:space="0" w:color="auto"/>
      </w:divBdr>
    </w:div>
    <w:div w:id="1946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E80E-88F8-44EE-B0BE-A7A1BC99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10</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Kumari</dc:creator>
  <cp:keywords/>
  <dc:description/>
  <cp:lastModifiedBy>SDI 1170</cp:lastModifiedBy>
  <cp:revision>107</cp:revision>
  <dcterms:created xsi:type="dcterms:W3CDTF">2025-06-09T14:53:00Z</dcterms:created>
  <dcterms:modified xsi:type="dcterms:W3CDTF">2025-07-28T09:57:00Z</dcterms:modified>
</cp:coreProperties>
</file>