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7A899" w14:textId="77777777" w:rsidR="00F83806" w:rsidRDefault="007B0A2A">
      <w:pPr>
        <w:jc w:val="center"/>
        <w:rPr>
          <w:rFonts w:ascii="Times New Roman" w:eastAsia="Times New Roman" w:hAnsi="Times New Roman" w:cs="Times New Roman"/>
          <w:b/>
        </w:rPr>
      </w:pPr>
      <w:r>
        <w:rPr>
          <w:rFonts w:ascii="Times New Roman" w:eastAsia="Times New Roman" w:hAnsi="Times New Roman" w:cs="Times New Roman"/>
          <w:b/>
        </w:rPr>
        <w:t>PSYCHOSOCIAL RISK FACTORS AND THEIR EFFECTS ON EMPLOYEES' PSYCHOLOGICAL HEALTH IN SOME CONSTRUCTION COMPANIES WITHIN THE CENTRE REGION OF CAMEROON</w:t>
      </w:r>
    </w:p>
    <w:p w14:paraId="2755BFBB" w14:textId="77777777" w:rsidR="003D0502" w:rsidRDefault="003D0502">
      <w:pPr>
        <w:jc w:val="center"/>
        <w:rPr>
          <w:rFonts w:ascii="Times New Roman" w:eastAsia="Times New Roman" w:hAnsi="Times New Roman" w:cs="Times New Roman"/>
          <w:b/>
        </w:rPr>
      </w:pPr>
    </w:p>
    <w:p w14:paraId="515159E6" w14:textId="77777777" w:rsidR="00F83806" w:rsidRDefault="007B0A2A">
      <w:pPr>
        <w:jc w:val="center"/>
        <w:rPr>
          <w:rFonts w:ascii="Times New Roman" w:eastAsia="Times New Roman" w:hAnsi="Times New Roman" w:cs="Times New Roman"/>
          <w:b/>
        </w:rPr>
      </w:pPr>
      <w:r>
        <w:rPr>
          <w:rFonts w:ascii="Times New Roman" w:eastAsia="Times New Roman" w:hAnsi="Times New Roman" w:cs="Times New Roman"/>
          <w:b/>
        </w:rPr>
        <w:t>Abstract</w:t>
      </w:r>
    </w:p>
    <w:p w14:paraId="38F2BD2C"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 xml:space="preserve">This study investigated the relationship </w:t>
      </w:r>
      <w:r>
        <w:rPr>
          <w:rFonts w:ascii="Times New Roman" w:eastAsia="Times New Roman" w:hAnsi="Times New Roman" w:cs="Times New Roman"/>
        </w:rPr>
        <w:t>between psychosocial risk factors (workload, job insecurity, and lack of control) and employees' psychological health in the construction industry in Cameroon. A cross-sectional survey was conducted among employees of construction companies in the Centre R</w:t>
      </w:r>
      <w:r>
        <w:rPr>
          <w:rFonts w:ascii="Times New Roman" w:eastAsia="Times New Roman" w:hAnsi="Times New Roman" w:cs="Times New Roman"/>
        </w:rPr>
        <w:t>egion of Cameroon. The results showed that workload, job insecurity, and lack of control are significant predictors of employees' psychological health, with workload being the strongest predictor. The study found that these psychosocial risk factors explai</w:t>
      </w:r>
      <w:r>
        <w:rPr>
          <w:rFonts w:ascii="Times New Roman" w:eastAsia="Times New Roman" w:hAnsi="Times New Roman" w:cs="Times New Roman"/>
        </w:rPr>
        <w:t>n approximately 86.1% of the variance in psychological health. The findings highlight the importance of addressing psychosocial risk factors in the construction industry to promote employees' psychological health and well-being. The study's result</w:t>
      </w:r>
      <w:bookmarkStart w:id="0" w:name="_GoBack"/>
      <w:bookmarkEnd w:id="0"/>
      <w:r>
        <w:rPr>
          <w:rFonts w:ascii="Times New Roman" w:eastAsia="Times New Roman" w:hAnsi="Times New Roman" w:cs="Times New Roman"/>
        </w:rPr>
        <w:t>s have im</w:t>
      </w:r>
      <w:r>
        <w:rPr>
          <w:rFonts w:ascii="Times New Roman" w:eastAsia="Times New Roman" w:hAnsi="Times New Roman" w:cs="Times New Roman"/>
        </w:rPr>
        <w:t>plications for the development of interventions aimed at mitigating the negative effects of psychosocial risk factors on employees' psychological health in the construction industry.</w:t>
      </w:r>
    </w:p>
    <w:p w14:paraId="53501B0C" w14:textId="77777777" w:rsidR="00F83806" w:rsidRDefault="007B0A2A">
      <w:pPr>
        <w:rPr>
          <w:rFonts w:ascii="Times New Roman" w:eastAsia="Times New Roman" w:hAnsi="Times New Roman" w:cs="Times New Roman"/>
        </w:rPr>
      </w:pPr>
      <w:r>
        <w:rPr>
          <w:rFonts w:ascii="Times New Roman" w:eastAsia="Times New Roman" w:hAnsi="Times New Roman" w:cs="Times New Roman"/>
          <w:b/>
        </w:rPr>
        <w:t xml:space="preserve">Keywords: </w:t>
      </w:r>
      <w:r>
        <w:rPr>
          <w:rFonts w:ascii="Times New Roman" w:eastAsia="Times New Roman" w:hAnsi="Times New Roman" w:cs="Times New Roman"/>
        </w:rPr>
        <w:t>Construction, Companies, Employees, Health, Risk</w:t>
      </w:r>
    </w:p>
    <w:p w14:paraId="2D52507B" w14:textId="77777777" w:rsidR="003D0502" w:rsidRDefault="003D0502">
      <w:pPr>
        <w:rPr>
          <w:rFonts w:ascii="Times New Roman" w:eastAsia="Times New Roman" w:hAnsi="Times New Roman" w:cs="Times New Roman"/>
        </w:rPr>
      </w:pPr>
    </w:p>
    <w:p w14:paraId="227A99E6" w14:textId="77777777" w:rsidR="003D0502" w:rsidRDefault="003D0502">
      <w:pPr>
        <w:rPr>
          <w:rFonts w:ascii="Times New Roman" w:eastAsia="Times New Roman" w:hAnsi="Times New Roman" w:cs="Times New Roman"/>
          <w:b/>
        </w:rPr>
      </w:pPr>
    </w:p>
    <w:p w14:paraId="432A81F0" w14:textId="77777777" w:rsidR="00F83806" w:rsidRDefault="007B0A2A">
      <w:pPr>
        <w:rPr>
          <w:rFonts w:ascii="Times New Roman" w:eastAsia="Times New Roman" w:hAnsi="Times New Roman" w:cs="Times New Roman"/>
          <w:b/>
        </w:rPr>
      </w:pPr>
      <w:r>
        <w:rPr>
          <w:rFonts w:ascii="Times New Roman" w:eastAsia="Times New Roman" w:hAnsi="Times New Roman" w:cs="Times New Roman"/>
          <w:b/>
        </w:rPr>
        <w:t>Introduction</w:t>
      </w:r>
    </w:p>
    <w:p w14:paraId="50C7A137"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The construction industry in Cameroon has experienced significant growth over the past few decades, driven by government investments in infrastructure development and urbanization (World Bank, 2019). According to a report by the African Development Bank (</w:t>
      </w:r>
      <w:r>
        <w:rPr>
          <w:rFonts w:ascii="Times New Roman" w:eastAsia="Times New Roman" w:hAnsi="Times New Roman" w:cs="Times New Roman"/>
        </w:rPr>
        <w:t>2018), Cameroon's construction sector has been growing at an average rate of 7% per annum since 2010, making it one of the fastest-growing sectors in the country. This growth has been fuelled by large-scale infrastructure projects, such as the construction</w:t>
      </w:r>
      <w:r>
        <w:rPr>
          <w:rFonts w:ascii="Times New Roman" w:eastAsia="Times New Roman" w:hAnsi="Times New Roman" w:cs="Times New Roman"/>
        </w:rPr>
        <w:t xml:space="preserve"> of the Lom </w:t>
      </w:r>
      <w:proofErr w:type="spellStart"/>
      <w:r>
        <w:rPr>
          <w:rFonts w:ascii="Times New Roman" w:eastAsia="Times New Roman" w:hAnsi="Times New Roman" w:cs="Times New Roman"/>
        </w:rPr>
        <w:t>Pangar</w:t>
      </w:r>
      <w:proofErr w:type="spellEnd"/>
      <w:r>
        <w:rPr>
          <w:rFonts w:ascii="Times New Roman" w:eastAsia="Times New Roman" w:hAnsi="Times New Roman" w:cs="Times New Roman"/>
        </w:rPr>
        <w:t xml:space="preserve"> Dam and the expansion of the Douala-Bangui corridor (International Monetary Fund, 2020).</w:t>
      </w:r>
    </w:p>
    <w:p w14:paraId="15808A55"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Despite the growth, the construction industry in Cameroon still faces several challenges, including a shortage of skilled labour, inadequate infrast</w:t>
      </w:r>
      <w:r>
        <w:rPr>
          <w:rFonts w:ascii="Times New Roman" w:eastAsia="Times New Roman" w:hAnsi="Times New Roman" w:cs="Times New Roman"/>
        </w:rPr>
        <w:t>ructure, and corruption (Transparency International, 2020). According to a report by the Cameroon Ministry of Public Works (2019), the country's construction sector is dominated by foreign companies, which can make it difficult for local businesses to comp</w:t>
      </w:r>
      <w:r>
        <w:rPr>
          <w:rFonts w:ascii="Times New Roman" w:eastAsia="Times New Roman" w:hAnsi="Times New Roman" w:cs="Times New Roman"/>
        </w:rPr>
        <w:t>ete. However, the government has implemented policies aimed at promoting local content and increasing the participation of Cameroonian companies in the construction sector (African Development Bank, 2019).</w:t>
      </w:r>
    </w:p>
    <w:p w14:paraId="7F47A010"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Looking ahead, the construction industry in Camero</w:t>
      </w:r>
      <w:r>
        <w:rPr>
          <w:rFonts w:ascii="Times New Roman" w:eastAsia="Times New Roman" w:hAnsi="Times New Roman" w:cs="Times New Roman"/>
        </w:rPr>
        <w:t>on is expected to continue growing, driven by government investments in infrastructure development and the expansion of the country's energy sector (Deloitte, 2020). According to a report by the Cameroon Ministry of Economy, Planning, and Regional Developm</w:t>
      </w:r>
      <w:r>
        <w:rPr>
          <w:rFonts w:ascii="Times New Roman" w:eastAsia="Times New Roman" w:hAnsi="Times New Roman" w:cs="Times New Roman"/>
        </w:rPr>
        <w:t xml:space="preserve">ent (2020), the government plans to invest over $10 billion in infrastructure development over the next five years, which is expected to create thousands of jobs and stimulate economic growth. However, </w:t>
      </w:r>
      <w:r>
        <w:rPr>
          <w:rFonts w:ascii="Times New Roman" w:eastAsia="Times New Roman" w:hAnsi="Times New Roman" w:cs="Times New Roman"/>
        </w:rPr>
        <w:lastRenderedPageBreak/>
        <w:t>the industry will need to address the challenges it fa</w:t>
      </w:r>
      <w:r>
        <w:rPr>
          <w:rFonts w:ascii="Times New Roman" w:eastAsia="Times New Roman" w:hAnsi="Times New Roman" w:cs="Times New Roman"/>
        </w:rPr>
        <w:t>ces in order to realize its full potential (World Economic Forum, 2019).</w:t>
      </w:r>
    </w:p>
    <w:p w14:paraId="79D48710"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The construction industry in Cameroon's Centre Region is plagued by psychosocial risk factors that jeopardize employees' psychological health, with workload being a primary concern (I</w:t>
      </w:r>
      <w:r>
        <w:rPr>
          <w:rFonts w:ascii="Times New Roman" w:eastAsia="Times New Roman" w:hAnsi="Times New Roman" w:cs="Times New Roman"/>
        </w:rPr>
        <w:t>nternational Labour Organization, 2019). Prolonged exposure to excessive workload can lead to stress, anxiety, and depression among employees (World Health Organization, 2019). Despite the significance of this issue, there is a scarcity of research examini</w:t>
      </w:r>
      <w:r>
        <w:rPr>
          <w:rFonts w:ascii="Times New Roman" w:eastAsia="Times New Roman" w:hAnsi="Times New Roman" w:cs="Times New Roman"/>
        </w:rPr>
        <w:t>ng the impact of workload on employees' psychological health in the Cameroonian construction industry (African Development Bank, 2018). This knowledge gap serves as a barrier to developing effective interventions aimed at mitigating the negative effects of</w:t>
      </w:r>
      <w:r>
        <w:rPr>
          <w:rFonts w:ascii="Times New Roman" w:eastAsia="Times New Roman" w:hAnsi="Times New Roman" w:cs="Times New Roman"/>
        </w:rPr>
        <w:t xml:space="preserve"> workload on employees' psychological well-being. Therefore, this study aims to examine the effect of workload on employees' psychological health in some construction companies within the Cameroon Centre Region, with a view to providing insights that can i</w:t>
      </w:r>
      <w:r>
        <w:rPr>
          <w:rFonts w:ascii="Times New Roman" w:eastAsia="Times New Roman" w:hAnsi="Times New Roman" w:cs="Times New Roman"/>
        </w:rPr>
        <w:t>nform the development of policies and programs aimed at promoting employees' psychological health.</w:t>
      </w:r>
    </w:p>
    <w:p w14:paraId="694E5763"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The primary objective of this study is to investigate the impact of psychosocial risk factors on employees' psychological health in the construction industry</w:t>
      </w:r>
      <w:r>
        <w:rPr>
          <w:rFonts w:ascii="Times New Roman" w:eastAsia="Times New Roman" w:hAnsi="Times New Roman" w:cs="Times New Roman"/>
        </w:rPr>
        <w:t xml:space="preserve"> within the </w:t>
      </w:r>
      <w:proofErr w:type="spellStart"/>
      <w:r>
        <w:rPr>
          <w:rFonts w:ascii="Times New Roman" w:eastAsia="Times New Roman" w:hAnsi="Times New Roman" w:cs="Times New Roman"/>
        </w:rPr>
        <w:t>Center</w:t>
      </w:r>
      <w:proofErr w:type="spellEnd"/>
      <w:r>
        <w:rPr>
          <w:rFonts w:ascii="Times New Roman" w:eastAsia="Times New Roman" w:hAnsi="Times New Roman" w:cs="Times New Roman"/>
        </w:rPr>
        <w:t xml:space="preserve"> Region of Cameroon. Specifically, this study aims to examine the effect of workload on employees' psychological health, exploring how excessive workload contributes to stress, anxiety, and depression among construction workers. By achiev</w:t>
      </w:r>
      <w:r>
        <w:rPr>
          <w:rFonts w:ascii="Times New Roman" w:eastAsia="Times New Roman" w:hAnsi="Times New Roman" w:cs="Times New Roman"/>
        </w:rPr>
        <w:t>ing this objective, this study seeks to contribute to the existing body of knowledge on occupational health and safety in the construction industry, providing insights that can inform the development of policies and programs aimed at promoting employees' p</w:t>
      </w:r>
      <w:r>
        <w:rPr>
          <w:rFonts w:ascii="Times New Roman" w:eastAsia="Times New Roman" w:hAnsi="Times New Roman" w:cs="Times New Roman"/>
        </w:rPr>
        <w:t>sychological well-being and mitigating the negative effects of workload.</w:t>
      </w:r>
    </w:p>
    <w:p w14:paraId="7D7B646D"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b/>
          <w:i/>
        </w:rPr>
        <w:t>Significance to Policymakers</w:t>
      </w:r>
    </w:p>
    <w:p w14:paraId="01C8A648"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 xml:space="preserve">This study is highly significant to policymakers, as it provides valuable insights into the psychosocial risk factors affecting employees' psychological </w:t>
      </w:r>
      <w:r>
        <w:rPr>
          <w:rFonts w:ascii="Times New Roman" w:eastAsia="Times New Roman" w:hAnsi="Times New Roman" w:cs="Times New Roman"/>
        </w:rPr>
        <w:t>health in the construction industry. The findings of this study will inform the development of policies and regulations aimed at promoting occupational health and safety. By understanding the impact of workload on employees' psychological health, policymak</w:t>
      </w:r>
      <w:r>
        <w:rPr>
          <w:rFonts w:ascii="Times New Roman" w:eastAsia="Times New Roman" w:hAnsi="Times New Roman" w:cs="Times New Roman"/>
        </w:rPr>
        <w:t>ers can create policies that mitigate these effects and promote a healthier work environment. For instance, policymakers can develop guidelines for constructing companies to follow, ensuring that employees are not overworked and that they have access to re</w:t>
      </w:r>
      <w:r>
        <w:rPr>
          <w:rFonts w:ascii="Times New Roman" w:eastAsia="Times New Roman" w:hAnsi="Times New Roman" w:cs="Times New Roman"/>
        </w:rPr>
        <w:t>sources that support their mental health. Furthermore, policymakers can allocate resources to support research and interventions aimed at promoting occupational health and safety in the construction industry. Ultimately, the findings of this study can cont</w:t>
      </w:r>
      <w:r>
        <w:rPr>
          <w:rFonts w:ascii="Times New Roman" w:eastAsia="Times New Roman" w:hAnsi="Times New Roman" w:cs="Times New Roman"/>
        </w:rPr>
        <w:t>ribute to the development of a healthier and safer work environment for construction workers, which can lead to improved productivity, reduced absenteeism, and enhanced overall well-being.</w:t>
      </w:r>
    </w:p>
    <w:p w14:paraId="099FD53A"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b/>
          <w:i/>
        </w:rPr>
        <w:t>Significance to Construction Companies and Employers</w:t>
      </w:r>
    </w:p>
    <w:p w14:paraId="53C3C6F9"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The study is a</w:t>
      </w:r>
      <w:r>
        <w:rPr>
          <w:rFonts w:ascii="Times New Roman" w:eastAsia="Times New Roman" w:hAnsi="Times New Roman" w:cs="Times New Roman"/>
        </w:rPr>
        <w:t>lso highly significant to construction companies and employers, as it highlights the importance of prioritizing employees' psychological health and well-being. By understanding the impact of workload on employees' psychological health, construction compani</w:t>
      </w:r>
      <w:r>
        <w:rPr>
          <w:rFonts w:ascii="Times New Roman" w:eastAsia="Times New Roman" w:hAnsi="Times New Roman" w:cs="Times New Roman"/>
        </w:rPr>
        <w:t>es and employers can implement strategies to mitigate these effects and promote a healthier work environment. For example, employers can implement flexible work arrangements, provide access to employee assistance programs, and promote a culture of openness</w:t>
      </w:r>
      <w:r>
        <w:rPr>
          <w:rFonts w:ascii="Times New Roman" w:eastAsia="Times New Roman" w:hAnsi="Times New Roman" w:cs="Times New Roman"/>
        </w:rPr>
        <w:t xml:space="preserve"> and support. Additionally, employers can provide training and resources to help employees manage their workload and prioritize their mental health. By prioritizing employees' </w:t>
      </w:r>
      <w:r>
        <w:rPr>
          <w:rFonts w:ascii="Times New Roman" w:eastAsia="Times New Roman" w:hAnsi="Times New Roman" w:cs="Times New Roman"/>
        </w:rPr>
        <w:lastRenderedPageBreak/>
        <w:t>psychological health, construction companies can reap numerous benefits, includi</w:t>
      </w:r>
      <w:r>
        <w:rPr>
          <w:rFonts w:ascii="Times New Roman" w:eastAsia="Times New Roman" w:hAnsi="Times New Roman" w:cs="Times New Roman"/>
        </w:rPr>
        <w:t>ng reduced absenteeism, turnover, and healthcare costs, and improved productivity, job satisfaction, and employee engagement. Furthermore, construction companies that prioritize employees' psychological health can enhance their reputation, attract top tale</w:t>
      </w:r>
      <w:r>
        <w:rPr>
          <w:rFonts w:ascii="Times New Roman" w:eastAsia="Times New Roman" w:hAnsi="Times New Roman" w:cs="Times New Roman"/>
        </w:rPr>
        <w:t>nt, and maintain a competitive edge in the industry.</w:t>
      </w:r>
    </w:p>
    <w:p w14:paraId="18B51212" w14:textId="77777777" w:rsidR="00F83806" w:rsidRDefault="007B0A2A">
      <w:pPr>
        <w:jc w:val="both"/>
        <w:rPr>
          <w:rFonts w:ascii="Times New Roman" w:eastAsia="Times New Roman" w:hAnsi="Times New Roman" w:cs="Times New Roman"/>
          <w:b/>
          <w:i/>
        </w:rPr>
      </w:pPr>
      <w:r>
        <w:rPr>
          <w:rFonts w:ascii="Times New Roman" w:eastAsia="Times New Roman" w:hAnsi="Times New Roman" w:cs="Times New Roman"/>
          <w:b/>
          <w:i/>
        </w:rPr>
        <w:t>Significance to Employees</w:t>
      </w:r>
    </w:p>
    <w:p w14:paraId="7582FC00"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This study is highly significant to employees, as it highlights the importance of prioritizing their psychological health and well-being. The study provides employees with a str</w:t>
      </w:r>
      <w:r>
        <w:rPr>
          <w:rFonts w:ascii="Times New Roman" w:eastAsia="Times New Roman" w:hAnsi="Times New Roman" w:cs="Times New Roman"/>
        </w:rPr>
        <w:t xml:space="preserve">onger voice to advocate for better working conditions and highlights the need for employers to prioritize their psychological health. By understanding the impact of workload on their psychological health, employees can take proactive steps to manage their </w:t>
      </w:r>
      <w:r>
        <w:rPr>
          <w:rFonts w:ascii="Times New Roman" w:eastAsia="Times New Roman" w:hAnsi="Times New Roman" w:cs="Times New Roman"/>
        </w:rPr>
        <w:t xml:space="preserve">workload and maintain their psychological well-being. For instance, employees can set realistic goals, prioritize self-care, and seek support from colleagues, supervisors, or mental health professionals. Furthermore, employees can use the findings of this </w:t>
      </w:r>
      <w:r>
        <w:rPr>
          <w:rFonts w:ascii="Times New Roman" w:eastAsia="Times New Roman" w:hAnsi="Times New Roman" w:cs="Times New Roman"/>
        </w:rPr>
        <w:t>study to negotiate better working conditions, including flexible work arrangements, workload management, and access to resources that support their mental health. Ultimately, this study can empower employees to take control of their psychological health an</w:t>
      </w:r>
      <w:r>
        <w:rPr>
          <w:rFonts w:ascii="Times New Roman" w:eastAsia="Times New Roman" w:hAnsi="Times New Roman" w:cs="Times New Roman"/>
        </w:rPr>
        <w:t>d well-being, leading to improved job satisfaction, reduced stress and anxiety, and enhanced overall quality of life.</w:t>
      </w:r>
    </w:p>
    <w:p w14:paraId="3D0A866F" w14:textId="77777777" w:rsidR="00F83806" w:rsidRDefault="007B0A2A">
      <w:pPr>
        <w:rPr>
          <w:rFonts w:ascii="Times New Roman" w:eastAsia="Times New Roman" w:hAnsi="Times New Roman" w:cs="Times New Roman"/>
          <w:b/>
        </w:rPr>
      </w:pPr>
      <w:r>
        <w:rPr>
          <w:rFonts w:ascii="Times New Roman" w:eastAsia="Times New Roman" w:hAnsi="Times New Roman" w:cs="Times New Roman"/>
          <w:b/>
        </w:rPr>
        <w:t>Literature Review</w:t>
      </w:r>
    </w:p>
    <w:p w14:paraId="57D422AB"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The construction industry is a high-risk environment for psychosocial hazards, which can have severe consequences for wo</w:t>
      </w:r>
      <w:r>
        <w:rPr>
          <w:rFonts w:ascii="Times New Roman" w:eastAsia="Times New Roman" w:hAnsi="Times New Roman" w:cs="Times New Roman"/>
        </w:rPr>
        <w:t>rkers' mental health and well-being (International Labour Organization, 2019; World Health Organization, 2019). One of the primary psychosocial risk factors in the construction industry is workload, which can lead to stress, anxiety, and depression (Demero</w:t>
      </w:r>
      <w:r>
        <w:rPr>
          <w:rFonts w:ascii="Times New Roman" w:eastAsia="Times New Roman" w:hAnsi="Times New Roman" w:cs="Times New Roman"/>
        </w:rPr>
        <w:t xml:space="preserve">uti &amp; Bakker, 2018; </w:t>
      </w:r>
      <w:proofErr w:type="spellStart"/>
      <w:r>
        <w:rPr>
          <w:rFonts w:ascii="Times New Roman" w:eastAsia="Times New Roman" w:hAnsi="Times New Roman" w:cs="Times New Roman"/>
        </w:rPr>
        <w:t>Hämmig</w:t>
      </w:r>
      <w:proofErr w:type="spellEnd"/>
      <w:r>
        <w:rPr>
          <w:rFonts w:ascii="Times New Roman" w:eastAsia="Times New Roman" w:hAnsi="Times New Roman" w:cs="Times New Roman"/>
        </w:rPr>
        <w:t xml:space="preserve"> et al., 2011). Construction workers often work long hours, including evenings and weekends, which can disrupt their work-life balance and exacerbate the negative effects of workload on their mental health.</w:t>
      </w:r>
    </w:p>
    <w:p w14:paraId="0042EBDE"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Another significant psy</w:t>
      </w:r>
      <w:r>
        <w:rPr>
          <w:rFonts w:ascii="Times New Roman" w:eastAsia="Times New Roman" w:hAnsi="Times New Roman" w:cs="Times New Roman"/>
        </w:rPr>
        <w:t xml:space="preserve">chosocial risk factor in the construction industry is the lack of control over work tasks and schedules (Karasek &amp; Theorell, 1990; Landsbergis et al., 2014). Construction workers often have limited autonomy and flexibility in their work, which can lead to </w:t>
      </w:r>
      <w:r>
        <w:rPr>
          <w:rFonts w:ascii="Times New Roman" w:eastAsia="Times New Roman" w:hAnsi="Times New Roman" w:cs="Times New Roman"/>
        </w:rPr>
        <w:t>feelings of powerlessness and frustration (</w:t>
      </w:r>
      <w:proofErr w:type="spellStart"/>
      <w:r>
        <w:rPr>
          <w:rFonts w:ascii="Times New Roman" w:eastAsia="Times New Roman" w:hAnsi="Times New Roman" w:cs="Times New Roman"/>
        </w:rPr>
        <w:t>Hämmig</w:t>
      </w:r>
      <w:proofErr w:type="spellEnd"/>
      <w:r>
        <w:rPr>
          <w:rFonts w:ascii="Times New Roman" w:eastAsia="Times New Roman" w:hAnsi="Times New Roman" w:cs="Times New Roman"/>
        </w:rPr>
        <w:t xml:space="preserve"> et al., 2011). Furthermore, the construction industry is often characterized by a culture of masculinity, which can discourage workers from expressing emotions or seeking help for mental health issues (</w:t>
      </w:r>
      <w:proofErr w:type="spellStart"/>
      <w:r>
        <w:rPr>
          <w:rFonts w:ascii="Times New Roman" w:eastAsia="Times New Roman" w:hAnsi="Times New Roman" w:cs="Times New Roman"/>
        </w:rPr>
        <w:t>Iacu</w:t>
      </w:r>
      <w:r>
        <w:rPr>
          <w:rFonts w:ascii="Times New Roman" w:eastAsia="Times New Roman" w:hAnsi="Times New Roman" w:cs="Times New Roman"/>
        </w:rPr>
        <w:t>one</w:t>
      </w:r>
      <w:proofErr w:type="spellEnd"/>
      <w:r>
        <w:rPr>
          <w:rFonts w:ascii="Times New Roman" w:eastAsia="Times New Roman" w:hAnsi="Times New Roman" w:cs="Times New Roman"/>
        </w:rPr>
        <w:t>, 2005; Lingard &amp; Francis, 2006).</w:t>
      </w:r>
    </w:p>
    <w:p w14:paraId="225F4CC9"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 xml:space="preserve">The construction industry is also characterized by a high level of job insecurity, which can be a significant psychosocial risk factor for workers (Burchell, 1994; De Witte, 2005). Construction workers often experience </w:t>
      </w:r>
      <w:r>
        <w:rPr>
          <w:rFonts w:ascii="Times New Roman" w:eastAsia="Times New Roman" w:hAnsi="Times New Roman" w:cs="Times New Roman"/>
        </w:rPr>
        <w:t>periods of unemployment between projects, which can lead to financial stress and anxiety (</w:t>
      </w:r>
      <w:proofErr w:type="spellStart"/>
      <w:r>
        <w:rPr>
          <w:rFonts w:ascii="Times New Roman" w:eastAsia="Times New Roman" w:hAnsi="Times New Roman" w:cs="Times New Roman"/>
        </w:rPr>
        <w:t>Hämmig</w:t>
      </w:r>
      <w:proofErr w:type="spellEnd"/>
      <w:r>
        <w:rPr>
          <w:rFonts w:ascii="Times New Roman" w:eastAsia="Times New Roman" w:hAnsi="Times New Roman" w:cs="Times New Roman"/>
        </w:rPr>
        <w:t xml:space="preserve"> et al., 2011). Moreover, the construction industry is often subject to changes in government policies and economic conditions, which can create uncertainty and</w:t>
      </w:r>
      <w:r>
        <w:rPr>
          <w:rFonts w:ascii="Times New Roman" w:eastAsia="Times New Roman" w:hAnsi="Times New Roman" w:cs="Times New Roman"/>
        </w:rPr>
        <w:t xml:space="preserve"> insecurity for workers (International Labour Organization, 2019).</w:t>
      </w:r>
    </w:p>
    <w:p w14:paraId="3D118A25"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 xml:space="preserve">The physical work environment is another important psychosocial risk factor in the construction industry (Lingard &amp; Francis, 2006; </w:t>
      </w:r>
      <w:proofErr w:type="spellStart"/>
      <w:r>
        <w:rPr>
          <w:rFonts w:ascii="Times New Roman" w:eastAsia="Times New Roman" w:hAnsi="Times New Roman" w:cs="Times New Roman"/>
        </w:rPr>
        <w:t>Östberg</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Rydstedt</w:t>
      </w:r>
      <w:proofErr w:type="spellEnd"/>
      <w:r>
        <w:rPr>
          <w:rFonts w:ascii="Times New Roman" w:eastAsia="Times New Roman" w:hAnsi="Times New Roman" w:cs="Times New Roman"/>
        </w:rPr>
        <w:t xml:space="preserve">, 2010). Construction workers are often </w:t>
      </w:r>
      <w:r>
        <w:rPr>
          <w:rFonts w:ascii="Times New Roman" w:eastAsia="Times New Roman" w:hAnsi="Times New Roman" w:cs="Times New Roman"/>
        </w:rPr>
        <w:t>exposed to hazardous materials, noise, and extreme temperatures, which can create a stressful and uncomfortable work environment (</w:t>
      </w:r>
      <w:proofErr w:type="spellStart"/>
      <w:r>
        <w:rPr>
          <w:rFonts w:ascii="Times New Roman" w:eastAsia="Times New Roman" w:hAnsi="Times New Roman" w:cs="Times New Roman"/>
        </w:rPr>
        <w:t>Hämmig</w:t>
      </w:r>
      <w:proofErr w:type="spellEnd"/>
      <w:r>
        <w:rPr>
          <w:rFonts w:ascii="Times New Roman" w:eastAsia="Times New Roman" w:hAnsi="Times New Roman" w:cs="Times New Roman"/>
        </w:rPr>
        <w:t xml:space="preserve"> et al., 2011). Furthermore, the construction industry often involves working at </w:t>
      </w:r>
      <w:r>
        <w:rPr>
          <w:rFonts w:ascii="Times New Roman" w:eastAsia="Times New Roman" w:hAnsi="Times New Roman" w:cs="Times New Roman"/>
        </w:rPr>
        <w:lastRenderedPageBreak/>
        <w:t>heights, in confined spaces, or with he</w:t>
      </w:r>
      <w:r>
        <w:rPr>
          <w:rFonts w:ascii="Times New Roman" w:eastAsia="Times New Roman" w:hAnsi="Times New Roman" w:cs="Times New Roman"/>
        </w:rPr>
        <w:t>avy machinery, which can create a sense of danger and vulnerability (International Labour Organization, 2019).</w:t>
      </w:r>
    </w:p>
    <w:p w14:paraId="64ED8E79"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 xml:space="preserve">Finally, the social support network is an essential psychosocial risk factor in the construction industry (Cohen et al., 2015; </w:t>
      </w:r>
      <w:proofErr w:type="spellStart"/>
      <w:r>
        <w:rPr>
          <w:rFonts w:ascii="Times New Roman" w:eastAsia="Times New Roman" w:hAnsi="Times New Roman" w:cs="Times New Roman"/>
        </w:rPr>
        <w:t>Hämmig</w:t>
      </w:r>
      <w:proofErr w:type="spellEnd"/>
      <w:r>
        <w:rPr>
          <w:rFonts w:ascii="Times New Roman" w:eastAsia="Times New Roman" w:hAnsi="Times New Roman" w:cs="Times New Roman"/>
        </w:rPr>
        <w:t xml:space="preserve"> et al., 201</w:t>
      </w:r>
      <w:r>
        <w:rPr>
          <w:rFonts w:ascii="Times New Roman" w:eastAsia="Times New Roman" w:hAnsi="Times New Roman" w:cs="Times New Roman"/>
        </w:rPr>
        <w:t>1). Construction workers often rely on their colleagues and supervisors for emotional support and guidance, which can help mitigate the negative effects of workload and other psychosocial risk factors (Lingard &amp; Francis, 2006). However, the construction in</w:t>
      </w:r>
      <w:r>
        <w:rPr>
          <w:rFonts w:ascii="Times New Roman" w:eastAsia="Times New Roman" w:hAnsi="Times New Roman" w:cs="Times New Roman"/>
        </w:rPr>
        <w:t>dustry is often characterized by a culture of individualism, which can make it difficult for workers to seek help or support from their colleagues (</w:t>
      </w:r>
      <w:proofErr w:type="spellStart"/>
      <w:r>
        <w:rPr>
          <w:rFonts w:ascii="Times New Roman" w:eastAsia="Times New Roman" w:hAnsi="Times New Roman" w:cs="Times New Roman"/>
        </w:rPr>
        <w:t>Iacuone</w:t>
      </w:r>
      <w:proofErr w:type="spellEnd"/>
      <w:r>
        <w:rPr>
          <w:rFonts w:ascii="Times New Roman" w:eastAsia="Times New Roman" w:hAnsi="Times New Roman" w:cs="Times New Roman"/>
        </w:rPr>
        <w:t>, 2005).</w:t>
      </w:r>
    </w:p>
    <w:p w14:paraId="087F9A6B"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Workload is a significant psychosocial risk factor that can have profound effects on employe</w:t>
      </w:r>
      <w:r>
        <w:rPr>
          <w:rFonts w:ascii="Times New Roman" w:eastAsia="Times New Roman" w:hAnsi="Times New Roman" w:cs="Times New Roman"/>
        </w:rPr>
        <w:t xml:space="preserve">es' psychological health. Research has consistently shown that excessive workload can lead to stress, anxiety, and depression among employees (Demerouti &amp; Bakker, 2018; </w:t>
      </w:r>
      <w:proofErr w:type="spellStart"/>
      <w:r>
        <w:rPr>
          <w:rFonts w:ascii="Times New Roman" w:eastAsia="Times New Roman" w:hAnsi="Times New Roman" w:cs="Times New Roman"/>
        </w:rPr>
        <w:t>Hämmig</w:t>
      </w:r>
      <w:proofErr w:type="spellEnd"/>
      <w:r>
        <w:rPr>
          <w:rFonts w:ascii="Times New Roman" w:eastAsia="Times New Roman" w:hAnsi="Times New Roman" w:cs="Times New Roman"/>
        </w:rPr>
        <w:t xml:space="preserve"> et al., 2011). Studies have demonstrated that high workload can lead to emotiona</w:t>
      </w:r>
      <w:r>
        <w:rPr>
          <w:rFonts w:ascii="Times New Roman" w:eastAsia="Times New Roman" w:hAnsi="Times New Roman" w:cs="Times New Roman"/>
        </w:rPr>
        <w:t>l exhaustion, cynicism, and reduced performance (Maslach &amp; Jackson, 1981). Moreover, prolonged exposure to excessive workload can result in burnout, a state of chronic stress characterized by emotional, mental, and physical exhaustion (Maslach &amp; Leiter, 20</w:t>
      </w:r>
      <w:r>
        <w:rPr>
          <w:rFonts w:ascii="Times New Roman" w:eastAsia="Times New Roman" w:hAnsi="Times New Roman" w:cs="Times New Roman"/>
        </w:rPr>
        <w:t>08).</w:t>
      </w:r>
    </w:p>
    <w:p w14:paraId="2253A1E9"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Research has identified several mechanisms that underlie the relationship between workload and psychological health. For instance, the Job Demands-Resources (JD-R) model posits that high workload can deplete employees' psychological resources, leading</w:t>
      </w:r>
      <w:r>
        <w:rPr>
          <w:rFonts w:ascii="Times New Roman" w:eastAsia="Times New Roman" w:hAnsi="Times New Roman" w:cs="Times New Roman"/>
        </w:rPr>
        <w:t xml:space="preserve"> to stress and burnout (Bakker &amp; Demerouti, 2007). Additionally, the Effort-Reward Imbalance (ERI) model suggests that employees who perceive a mismatch between their efforts and rewards are more likely to experience stress and anxiety (Siegrist, 1996).</w:t>
      </w:r>
    </w:p>
    <w:p w14:paraId="7D773378"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 xml:space="preserve"> Individual differences, such as personality traits and coping styles, can moderate the relationship between workload and psychological health. For example, employees with high levels of neuroticism are more likely to experience stress and anxiety in respo</w:t>
      </w:r>
      <w:r>
        <w:rPr>
          <w:rFonts w:ascii="Times New Roman" w:eastAsia="Times New Roman" w:hAnsi="Times New Roman" w:cs="Times New Roman"/>
        </w:rPr>
        <w:t>nse to high workload (Bolger &amp; Zuckerman, 1995). Conversely, employees with high levels of resilience are better equipped to cope with high workload and mitigate its negative effects on psychological health (Tugade &amp; Fredrickson, 2004).</w:t>
      </w:r>
    </w:p>
    <w:p w14:paraId="60FE7BE7"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In the context of c</w:t>
      </w:r>
      <w:r>
        <w:rPr>
          <w:rFonts w:ascii="Times New Roman" w:eastAsia="Times New Roman" w:hAnsi="Times New Roman" w:cs="Times New Roman"/>
        </w:rPr>
        <w:t>onstruction companies in Cameroon, workload is likely to be a significant psychosocial risk factor due to the physically demanding nature of the work and the pressure to meet deadlines. Additionally, the cultural and socioeconomic context of Cameroon may e</w:t>
      </w:r>
      <w:r>
        <w:rPr>
          <w:rFonts w:ascii="Times New Roman" w:eastAsia="Times New Roman" w:hAnsi="Times New Roman" w:cs="Times New Roman"/>
        </w:rPr>
        <w:t>xacerbate the negative effects of workload on psychological health. For instance, the cultural emphasis on collectivism and interdependence may lead employees to prioritize work over personal well-being (Hofstede, 2001).</w:t>
      </w:r>
    </w:p>
    <w:p w14:paraId="1DE429C2"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Understanding the relationship betw</w:t>
      </w:r>
      <w:r>
        <w:rPr>
          <w:rFonts w:ascii="Times New Roman" w:eastAsia="Times New Roman" w:hAnsi="Times New Roman" w:cs="Times New Roman"/>
        </w:rPr>
        <w:t>een psychosocial risk factors and employees' psychological health requires a thorough examination of relevant theoretical frameworks. This literature review discusses two prominent theories: the Job Demands-Resources (JD-R) model and the Effort-Reward Imba</w:t>
      </w:r>
      <w:r>
        <w:rPr>
          <w:rFonts w:ascii="Times New Roman" w:eastAsia="Times New Roman" w:hAnsi="Times New Roman" w:cs="Times New Roman"/>
        </w:rPr>
        <w:t>lance (ERI) model.</w:t>
      </w:r>
    </w:p>
    <w:p w14:paraId="5522ACF9" w14:textId="77777777" w:rsidR="00F83806" w:rsidRDefault="007B0A2A">
      <w:pPr>
        <w:rPr>
          <w:rFonts w:ascii="Times New Roman" w:eastAsia="Times New Roman" w:hAnsi="Times New Roman" w:cs="Times New Roman"/>
          <w:b/>
          <w:i/>
        </w:rPr>
      </w:pPr>
      <w:r>
        <w:rPr>
          <w:rFonts w:ascii="Times New Roman" w:eastAsia="Times New Roman" w:hAnsi="Times New Roman" w:cs="Times New Roman"/>
          <w:b/>
          <w:i/>
        </w:rPr>
        <w:t>Job Demands-Resources (JD-R) Model</w:t>
      </w:r>
    </w:p>
    <w:p w14:paraId="2E52C0D2"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The JD-R model, developed by Demerouti and Bakker (2001), posits that job demands and job resources are two distinct categories of work-related factors that influence employees' psychological health. Jo</w:t>
      </w:r>
      <w:r>
        <w:rPr>
          <w:rFonts w:ascii="Times New Roman" w:eastAsia="Times New Roman" w:hAnsi="Times New Roman" w:cs="Times New Roman"/>
        </w:rPr>
        <w:t xml:space="preserve">b demands refer to the physical, emotional, and cognitive requirements of a job, while job resources refer to the physical, emotional, and cognitive support provided by the organization. The JD-R model suggests that </w:t>
      </w:r>
      <w:r>
        <w:rPr>
          <w:rFonts w:ascii="Times New Roman" w:eastAsia="Times New Roman" w:hAnsi="Times New Roman" w:cs="Times New Roman"/>
        </w:rPr>
        <w:lastRenderedPageBreak/>
        <w:t>high job demands and low job resources c</w:t>
      </w:r>
      <w:r>
        <w:rPr>
          <w:rFonts w:ascii="Times New Roman" w:eastAsia="Times New Roman" w:hAnsi="Times New Roman" w:cs="Times New Roman"/>
        </w:rPr>
        <w:t>an lead to burnout, a state of chronic stress characterized by emotional exhaustion, cynicism, and reduced performance (Demerouti &amp; Bakker, 2001).</w:t>
      </w:r>
    </w:p>
    <w:p w14:paraId="37BC1580" w14:textId="77777777" w:rsidR="00F83806" w:rsidRDefault="007B0A2A">
      <w:pPr>
        <w:rPr>
          <w:rFonts w:ascii="Times New Roman" w:eastAsia="Times New Roman" w:hAnsi="Times New Roman" w:cs="Times New Roman"/>
          <w:b/>
          <w:i/>
        </w:rPr>
      </w:pPr>
      <w:r>
        <w:rPr>
          <w:rFonts w:ascii="Times New Roman" w:eastAsia="Times New Roman" w:hAnsi="Times New Roman" w:cs="Times New Roman"/>
          <w:b/>
          <w:i/>
        </w:rPr>
        <w:t>Effort-Reward Imbalance (ERI) Model</w:t>
      </w:r>
    </w:p>
    <w:p w14:paraId="4591A7D7"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The ERI model, developed by Siegrist (1996), posits that an imbalance bet</w:t>
      </w:r>
      <w:r>
        <w:rPr>
          <w:rFonts w:ascii="Times New Roman" w:eastAsia="Times New Roman" w:hAnsi="Times New Roman" w:cs="Times New Roman"/>
        </w:rPr>
        <w:t>ween the effort invested in a job and the rewards received can lead to stress and anxiety. The ERI model suggests that employees who perceive a mismatch between their efforts and rewards are more likely to experience stress and anxiety, which can ultimatel</w:t>
      </w:r>
      <w:r>
        <w:rPr>
          <w:rFonts w:ascii="Times New Roman" w:eastAsia="Times New Roman" w:hAnsi="Times New Roman" w:cs="Times New Roman"/>
        </w:rPr>
        <w:t>y lead to burnout and other negative health outcomes (Siegrist, 1996).</w:t>
      </w:r>
    </w:p>
    <w:p w14:paraId="7FE0C2DC"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In the context of construction companies in Cameroon, both the JD-R model and the ERI model can be applied to understand the relationship between psychosocial risk factors and employees</w:t>
      </w:r>
      <w:r>
        <w:rPr>
          <w:rFonts w:ascii="Times New Roman" w:eastAsia="Times New Roman" w:hAnsi="Times New Roman" w:cs="Times New Roman"/>
        </w:rPr>
        <w:t>' psychological health. Construction work is often physically demanding, and employees may experience high job demands and low job resources, leading to burnout and other negative health outcomes (</w:t>
      </w:r>
      <w:proofErr w:type="spellStart"/>
      <w:r>
        <w:rPr>
          <w:rFonts w:ascii="Times New Roman" w:eastAsia="Times New Roman" w:hAnsi="Times New Roman" w:cs="Times New Roman"/>
        </w:rPr>
        <w:t>Hämmig</w:t>
      </w:r>
      <w:proofErr w:type="spellEnd"/>
      <w:r>
        <w:rPr>
          <w:rFonts w:ascii="Times New Roman" w:eastAsia="Times New Roman" w:hAnsi="Times New Roman" w:cs="Times New Roman"/>
        </w:rPr>
        <w:t xml:space="preserve"> et al., 2011). Additionally, construction employees </w:t>
      </w:r>
      <w:r>
        <w:rPr>
          <w:rFonts w:ascii="Times New Roman" w:eastAsia="Times New Roman" w:hAnsi="Times New Roman" w:cs="Times New Roman"/>
        </w:rPr>
        <w:t>in Cameroon may experience an imbalance between their efforts and rewards, particularly if they are not adequately compensated or recognized for their work (Siegrist, 1996). By understanding the theoretical frameworks that underlie this relationship, organ</w:t>
      </w:r>
      <w:r>
        <w:rPr>
          <w:rFonts w:ascii="Times New Roman" w:eastAsia="Times New Roman" w:hAnsi="Times New Roman" w:cs="Times New Roman"/>
        </w:rPr>
        <w:t>izations can develop targeted interventions to mitigate the negative effects of psychosocial risk factors and promote employees' psychological well-being.</w:t>
      </w:r>
    </w:p>
    <w:p w14:paraId="6CA0775E"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Research has consistently shown that psychosocial risk factors, such as workload, job insecurity, and</w:t>
      </w:r>
      <w:r>
        <w:rPr>
          <w:rFonts w:ascii="Times New Roman" w:eastAsia="Times New Roman" w:hAnsi="Times New Roman" w:cs="Times New Roman"/>
        </w:rPr>
        <w:t xml:space="preserve"> lack of control, can have negative effects on employees' psychological health (Demerouti &amp; Bakker, 2018; </w:t>
      </w:r>
      <w:proofErr w:type="spellStart"/>
      <w:r>
        <w:rPr>
          <w:rFonts w:ascii="Times New Roman" w:eastAsia="Times New Roman" w:hAnsi="Times New Roman" w:cs="Times New Roman"/>
        </w:rPr>
        <w:t>Hämmig</w:t>
      </w:r>
      <w:proofErr w:type="spellEnd"/>
      <w:r>
        <w:rPr>
          <w:rFonts w:ascii="Times New Roman" w:eastAsia="Times New Roman" w:hAnsi="Times New Roman" w:cs="Times New Roman"/>
        </w:rPr>
        <w:t xml:space="preserve"> et al., 2011). In the construction industry, these risk factors are particularly prevalent due to the physically demanding nature of the work, </w:t>
      </w:r>
      <w:r>
        <w:rPr>
          <w:rFonts w:ascii="Times New Roman" w:eastAsia="Times New Roman" w:hAnsi="Times New Roman" w:cs="Times New Roman"/>
        </w:rPr>
        <w:t>tight deadlines, and limited job security (Lingard &amp; Francis, 2006).</w:t>
      </w:r>
    </w:p>
    <w:p w14:paraId="63103E51"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Studies have shown that construction workers experience high levels of stress, anxiety, and depression due to psychosocial risk factors (</w:t>
      </w:r>
      <w:proofErr w:type="spellStart"/>
      <w:r>
        <w:rPr>
          <w:rFonts w:ascii="Times New Roman" w:eastAsia="Times New Roman" w:hAnsi="Times New Roman" w:cs="Times New Roman"/>
        </w:rPr>
        <w:t>Hämmig</w:t>
      </w:r>
      <w:proofErr w:type="spellEnd"/>
      <w:r>
        <w:rPr>
          <w:rFonts w:ascii="Times New Roman" w:eastAsia="Times New Roman" w:hAnsi="Times New Roman" w:cs="Times New Roman"/>
        </w:rPr>
        <w:t xml:space="preserve"> et al., 2011). For example, a study conduct</w:t>
      </w:r>
      <w:r>
        <w:rPr>
          <w:rFonts w:ascii="Times New Roman" w:eastAsia="Times New Roman" w:hAnsi="Times New Roman" w:cs="Times New Roman"/>
        </w:rPr>
        <w:t>ed in the UK found that construction workers reported higher levels of stress and anxiety compared to workers in other industries (Lingard &amp; Francis, 2006). Similarly, a study conducted in Australia found that construction workers experienced high levels o</w:t>
      </w:r>
      <w:r>
        <w:rPr>
          <w:rFonts w:ascii="Times New Roman" w:eastAsia="Times New Roman" w:hAnsi="Times New Roman" w:cs="Times New Roman"/>
        </w:rPr>
        <w:t>f burnout and emotional exhaustion due to excessive workload and lack of control (Lingard &amp; Francis, 2006).</w:t>
      </w:r>
    </w:p>
    <w:p w14:paraId="01339C4C"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While existing research provides valuable insights into the relationship between psychosocial risk factors and employees' psychological health in co</w:t>
      </w:r>
      <w:r>
        <w:rPr>
          <w:rFonts w:ascii="Times New Roman" w:eastAsia="Times New Roman" w:hAnsi="Times New Roman" w:cs="Times New Roman"/>
        </w:rPr>
        <w:t>nstruction companies, several methodological limitations need to be addressed. Firstly, many studies rely on self-reported measures of psychological health, which may be subject to biases and limitations (Podsakoff et al., 2003). Secondly, few studies have</w:t>
      </w:r>
      <w:r>
        <w:rPr>
          <w:rFonts w:ascii="Times New Roman" w:eastAsia="Times New Roman" w:hAnsi="Times New Roman" w:cs="Times New Roman"/>
        </w:rPr>
        <w:t xml:space="preserve"> examined the longitudinal effects of psychosocial risk factors on employees' psychological health, making it difficult to establish causality (Demerouti &amp; Bakker, 2018). Finally, most studies have focused on Western contexts, with limited research conduct</w:t>
      </w:r>
      <w:r>
        <w:rPr>
          <w:rFonts w:ascii="Times New Roman" w:eastAsia="Times New Roman" w:hAnsi="Times New Roman" w:cs="Times New Roman"/>
        </w:rPr>
        <w:t>ed in African countries, including Cameroon.</w:t>
      </w:r>
    </w:p>
    <w:p w14:paraId="33FFAE2E"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Despite the growing body of research on psychosocial risk factors and employees' psychological health in construction companies, there is a significant knowledge gap in the Cameroonian context. Specifically, the</w:t>
      </w:r>
      <w:r>
        <w:rPr>
          <w:rFonts w:ascii="Times New Roman" w:eastAsia="Times New Roman" w:hAnsi="Times New Roman" w:cs="Times New Roman"/>
        </w:rPr>
        <w:t xml:space="preserve">re is a lack of research examining the effects of psychosocial risk factors on employees' psychological health in construction companies within the Centre Region of Cameroon. This study aims to address this </w:t>
      </w:r>
      <w:r>
        <w:rPr>
          <w:rFonts w:ascii="Times New Roman" w:eastAsia="Times New Roman" w:hAnsi="Times New Roman" w:cs="Times New Roman"/>
        </w:rPr>
        <w:lastRenderedPageBreak/>
        <w:t>knowledge gap by exploring the relationship betwe</w:t>
      </w:r>
      <w:r>
        <w:rPr>
          <w:rFonts w:ascii="Times New Roman" w:eastAsia="Times New Roman" w:hAnsi="Times New Roman" w:cs="Times New Roman"/>
        </w:rPr>
        <w:t>en psychosocial risk factors and employees' psychological health in construction companies within the Centre Region of Cameroon.</w:t>
      </w:r>
    </w:p>
    <w:p w14:paraId="72C9F8BF" w14:textId="77777777" w:rsidR="00F83806" w:rsidRDefault="007B0A2A">
      <w:pPr>
        <w:rPr>
          <w:rFonts w:ascii="Times New Roman" w:eastAsia="Times New Roman" w:hAnsi="Times New Roman" w:cs="Times New Roman"/>
          <w:b/>
        </w:rPr>
      </w:pPr>
      <w:r>
        <w:rPr>
          <w:rFonts w:ascii="Times New Roman" w:eastAsia="Times New Roman" w:hAnsi="Times New Roman" w:cs="Times New Roman"/>
          <w:b/>
        </w:rPr>
        <w:t>Methodology</w:t>
      </w:r>
    </w:p>
    <w:p w14:paraId="49589B27"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This study employed a quantitative approach to gather comprehensive data. The quantitative approach involved survey</w:t>
      </w:r>
      <w:r>
        <w:rPr>
          <w:rFonts w:ascii="Times New Roman" w:eastAsia="Times New Roman" w:hAnsi="Times New Roman" w:cs="Times New Roman"/>
        </w:rPr>
        <w:t>ing 100 construction employees aged 15-30 in 10 randomly selected construction sites in Yaoundé. This allowed for the collection of numerical data to identify trends and patterns. The simple random sampling was used to collect the data. Primary data was co</w:t>
      </w:r>
      <w:r>
        <w:rPr>
          <w:rFonts w:ascii="Times New Roman" w:eastAsia="Times New Roman" w:hAnsi="Times New Roman" w:cs="Times New Roman"/>
        </w:rPr>
        <w:t>llected through survey questionnaires. The study's conceptual model examined the Psychological Health (PH) among workers. Moderating variables included Job Insecurity (JI), Workload (WL), and school Lack of Control (LC). The mathematical model took the for</w:t>
      </w:r>
      <w:r>
        <w:rPr>
          <w:rFonts w:ascii="Times New Roman" w:eastAsia="Times New Roman" w:hAnsi="Times New Roman" w:cs="Times New Roman"/>
        </w:rPr>
        <w:t>m of:</w:t>
      </w:r>
    </w:p>
    <w:p w14:paraId="67450EA4" w14:textId="77777777" w:rsidR="00F83806" w:rsidRDefault="007B0A2A">
      <w:pPr>
        <w:rPr>
          <w:rFonts w:ascii="Times New Roman" w:eastAsia="Times New Roman" w:hAnsi="Times New Roman" w:cs="Times New Roman"/>
        </w:rPr>
      </w:pPr>
      <w:r>
        <w:rPr>
          <w:rFonts w:ascii="Times New Roman" w:eastAsia="Times New Roman" w:hAnsi="Times New Roman" w:cs="Times New Roman"/>
        </w:rPr>
        <w:t>Y = β</w:t>
      </w:r>
      <w:r>
        <w:rPr>
          <w:rFonts w:ascii="Times New Roman" w:eastAsia="Times New Roman" w:hAnsi="Times New Roman" w:cs="Times New Roman"/>
          <w:vertAlign w:val="subscript"/>
        </w:rPr>
        <w:t>0</w:t>
      </w:r>
      <w:r>
        <w:rPr>
          <w:rFonts w:ascii="Times New Roman" w:eastAsia="Times New Roman" w:hAnsi="Times New Roman" w:cs="Times New Roman"/>
        </w:rPr>
        <w:t xml:space="preserve"> + β</w:t>
      </w:r>
      <w:r>
        <w:rPr>
          <w:rFonts w:ascii="Times New Roman" w:eastAsia="Times New Roman" w:hAnsi="Times New Roman" w:cs="Times New Roman"/>
          <w:vertAlign w:val="subscript"/>
        </w:rPr>
        <w:t>1</w:t>
      </w:r>
      <w:r>
        <w:rPr>
          <w:rFonts w:ascii="Times New Roman" w:eastAsia="Times New Roman" w:hAnsi="Times New Roman" w:cs="Times New Roman"/>
        </w:rPr>
        <w:t>X</w:t>
      </w:r>
      <w:r>
        <w:rPr>
          <w:rFonts w:ascii="Times New Roman" w:eastAsia="Times New Roman" w:hAnsi="Times New Roman" w:cs="Times New Roman"/>
          <w:vertAlign w:val="subscript"/>
        </w:rPr>
        <w:t>1</w:t>
      </w:r>
      <w:r>
        <w:rPr>
          <w:rFonts w:ascii="Times New Roman" w:eastAsia="Times New Roman" w:hAnsi="Times New Roman" w:cs="Times New Roman"/>
        </w:rPr>
        <w:t xml:space="preserve"> + β</w:t>
      </w:r>
      <w:r>
        <w:rPr>
          <w:rFonts w:ascii="Times New Roman" w:eastAsia="Times New Roman" w:hAnsi="Times New Roman" w:cs="Times New Roman"/>
          <w:vertAlign w:val="subscript"/>
        </w:rPr>
        <w:t>2</w:t>
      </w:r>
      <w:r>
        <w:rPr>
          <w:rFonts w:ascii="Times New Roman" w:eastAsia="Times New Roman" w:hAnsi="Times New Roman" w:cs="Times New Roman"/>
        </w:rPr>
        <w:t>X</w:t>
      </w:r>
      <w:r>
        <w:rPr>
          <w:rFonts w:ascii="Times New Roman" w:eastAsia="Times New Roman" w:hAnsi="Times New Roman" w:cs="Times New Roman"/>
          <w:vertAlign w:val="subscript"/>
        </w:rPr>
        <w:t>2</w:t>
      </w:r>
      <w:r>
        <w:rPr>
          <w:rFonts w:ascii="Times New Roman" w:eastAsia="Times New Roman" w:hAnsi="Times New Roman" w:cs="Times New Roman"/>
        </w:rPr>
        <w:t xml:space="preserve"> + β</w:t>
      </w:r>
      <w:r>
        <w:rPr>
          <w:rFonts w:ascii="Times New Roman" w:eastAsia="Times New Roman" w:hAnsi="Times New Roman" w:cs="Times New Roman"/>
          <w:vertAlign w:val="subscript"/>
        </w:rPr>
        <w:t>3</w:t>
      </w:r>
      <w:r>
        <w:rPr>
          <w:rFonts w:ascii="Times New Roman" w:eastAsia="Times New Roman" w:hAnsi="Times New Roman" w:cs="Times New Roman"/>
        </w:rPr>
        <w:t>X</w:t>
      </w:r>
      <w:r>
        <w:rPr>
          <w:rFonts w:ascii="Times New Roman" w:eastAsia="Times New Roman" w:hAnsi="Times New Roman" w:cs="Times New Roman"/>
          <w:vertAlign w:val="subscript"/>
        </w:rPr>
        <w:t>3</w:t>
      </w:r>
      <w:r>
        <w:rPr>
          <w:rFonts w:ascii="Times New Roman" w:eastAsia="Times New Roman" w:hAnsi="Times New Roman" w:cs="Times New Roman"/>
        </w:rPr>
        <w:t xml:space="preserve"> + ε</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w:t>
      </w:r>
    </w:p>
    <w:p w14:paraId="5F4FA3DC" w14:textId="77777777" w:rsidR="00F83806" w:rsidRDefault="007B0A2A">
      <w:pPr>
        <w:rPr>
          <w:rFonts w:ascii="Times New Roman" w:eastAsia="Times New Roman" w:hAnsi="Times New Roman" w:cs="Times New Roman"/>
        </w:rPr>
      </w:pPr>
      <w:r>
        <w:rPr>
          <w:rFonts w:ascii="Times New Roman" w:eastAsia="Times New Roman" w:hAnsi="Times New Roman" w:cs="Times New Roman"/>
        </w:rPr>
        <w:t>Where:</w:t>
      </w:r>
    </w:p>
    <w:p w14:paraId="0D4E198C" w14:textId="77777777" w:rsidR="00F83806" w:rsidRDefault="007B0A2A">
      <w:pPr>
        <w:rPr>
          <w:rFonts w:ascii="Times New Roman" w:eastAsia="Times New Roman" w:hAnsi="Times New Roman" w:cs="Times New Roman"/>
        </w:rPr>
      </w:pPr>
      <w:r>
        <w:rPr>
          <w:rFonts w:ascii="Times New Roman" w:eastAsia="Times New Roman" w:hAnsi="Times New Roman" w:cs="Times New Roman"/>
        </w:rPr>
        <w:t>- Y = Psychological Health (PH), X</w:t>
      </w:r>
      <w:r>
        <w:rPr>
          <w:rFonts w:ascii="Times New Roman" w:eastAsia="Times New Roman" w:hAnsi="Times New Roman" w:cs="Times New Roman"/>
          <w:vertAlign w:val="subscript"/>
        </w:rPr>
        <w:t>1</w:t>
      </w:r>
      <w:r>
        <w:rPr>
          <w:rFonts w:ascii="Times New Roman" w:eastAsia="Times New Roman" w:hAnsi="Times New Roman" w:cs="Times New Roman"/>
        </w:rPr>
        <w:t xml:space="preserve"> = Workload (WL), X</w:t>
      </w:r>
      <w:r>
        <w:rPr>
          <w:rFonts w:ascii="Times New Roman" w:eastAsia="Times New Roman" w:hAnsi="Times New Roman" w:cs="Times New Roman"/>
          <w:vertAlign w:val="subscript"/>
        </w:rPr>
        <w:t>2</w:t>
      </w:r>
      <w:r>
        <w:rPr>
          <w:rFonts w:ascii="Times New Roman" w:eastAsia="Times New Roman" w:hAnsi="Times New Roman" w:cs="Times New Roman"/>
        </w:rPr>
        <w:t xml:space="preserve"> = Job Insecurity (JI), X</w:t>
      </w:r>
      <w:r>
        <w:rPr>
          <w:rFonts w:ascii="Times New Roman" w:eastAsia="Times New Roman" w:hAnsi="Times New Roman" w:cs="Times New Roman"/>
          <w:vertAlign w:val="subscript"/>
        </w:rPr>
        <w:t>3</w:t>
      </w:r>
      <w:r>
        <w:rPr>
          <w:rFonts w:ascii="Times New Roman" w:eastAsia="Times New Roman" w:hAnsi="Times New Roman" w:cs="Times New Roman"/>
        </w:rPr>
        <w:t xml:space="preserve"> = Lack of Control (LC), β</w:t>
      </w:r>
      <w:r>
        <w:rPr>
          <w:rFonts w:ascii="Times New Roman" w:eastAsia="Times New Roman" w:hAnsi="Times New Roman" w:cs="Times New Roman"/>
          <w:vertAlign w:val="subscript"/>
        </w:rPr>
        <w:t>0</w:t>
      </w:r>
      <w:r>
        <w:rPr>
          <w:rFonts w:ascii="Times New Roman" w:eastAsia="Times New Roman" w:hAnsi="Times New Roman" w:cs="Times New Roman"/>
        </w:rPr>
        <w:t xml:space="preserve"> = Intercept</w:t>
      </w:r>
    </w:p>
    <w:p w14:paraId="0836D58C" w14:textId="77777777" w:rsidR="00F83806" w:rsidRDefault="007B0A2A">
      <w:pPr>
        <w:rPr>
          <w:rFonts w:ascii="Times New Roman" w:eastAsia="Times New Roman" w:hAnsi="Times New Roman" w:cs="Times New Roman"/>
        </w:rPr>
      </w:pPr>
      <w:r>
        <w:rPr>
          <w:rFonts w:ascii="Times New Roman" w:eastAsia="Times New Roman" w:hAnsi="Times New Roman" w:cs="Times New Roman"/>
        </w:rPr>
        <w:t>- β</w:t>
      </w:r>
      <w:r>
        <w:rPr>
          <w:rFonts w:ascii="Times New Roman" w:eastAsia="Times New Roman" w:hAnsi="Times New Roman" w:cs="Times New Roman"/>
          <w:vertAlign w:val="subscript"/>
        </w:rPr>
        <w:t>1</w:t>
      </w:r>
      <w:r>
        <w:rPr>
          <w:rFonts w:ascii="Times New Roman" w:eastAsia="Times New Roman" w:hAnsi="Times New Roman" w:cs="Times New Roman"/>
        </w:rPr>
        <w:t>, β</w:t>
      </w:r>
      <w:r>
        <w:rPr>
          <w:rFonts w:ascii="Times New Roman" w:eastAsia="Times New Roman" w:hAnsi="Times New Roman" w:cs="Times New Roman"/>
          <w:vertAlign w:val="subscript"/>
        </w:rPr>
        <w:t>2</w:t>
      </w:r>
      <w:r>
        <w:rPr>
          <w:rFonts w:ascii="Times New Roman" w:eastAsia="Times New Roman" w:hAnsi="Times New Roman" w:cs="Times New Roman"/>
        </w:rPr>
        <w:t>, β</w:t>
      </w:r>
      <w:r>
        <w:rPr>
          <w:rFonts w:ascii="Times New Roman" w:eastAsia="Times New Roman" w:hAnsi="Times New Roman" w:cs="Times New Roman"/>
          <w:vertAlign w:val="subscript"/>
        </w:rPr>
        <w:t>3</w:t>
      </w:r>
      <w:r>
        <w:rPr>
          <w:rFonts w:ascii="Times New Roman" w:eastAsia="Times New Roman" w:hAnsi="Times New Roman" w:cs="Times New Roman"/>
        </w:rPr>
        <w:t xml:space="preserve"> = Slope coefficients</w:t>
      </w:r>
    </w:p>
    <w:p w14:paraId="3AAB0C7D" w14:textId="77777777" w:rsidR="00F83806" w:rsidRDefault="007B0A2A">
      <w:pPr>
        <w:rPr>
          <w:rFonts w:ascii="Times New Roman" w:eastAsia="Times New Roman" w:hAnsi="Times New Roman" w:cs="Times New Roman"/>
        </w:rPr>
      </w:pPr>
      <w:r>
        <w:rPr>
          <w:rFonts w:ascii="Times New Roman" w:eastAsia="Times New Roman" w:hAnsi="Times New Roman" w:cs="Times New Roman"/>
        </w:rPr>
        <w:t>- ε = Error term</w:t>
      </w:r>
    </w:p>
    <w:p w14:paraId="4F0AECD4"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This model enabled the examination of psychological health impact construction workers while controlling for moderating variables. To ensure validity and reliability, several techniques were employed. Pilot testing of survey questionnaires ensured their ef</w:t>
      </w:r>
      <w:r>
        <w:rPr>
          <w:rFonts w:ascii="Times New Roman" w:eastAsia="Times New Roman" w:hAnsi="Times New Roman" w:cs="Times New Roman"/>
        </w:rPr>
        <w:t>fectiveness. Member checking for interview data verified accuracy. Triangulation of data sources increased confidence in findings. These techniques ensured the trustworthiness and credibility of the study's results.</w:t>
      </w:r>
    </w:p>
    <w:p w14:paraId="712C5D8D" w14:textId="77777777" w:rsidR="00F83806" w:rsidRDefault="007B0A2A">
      <w:pPr>
        <w:rPr>
          <w:rFonts w:ascii="Times New Roman" w:eastAsia="Times New Roman" w:hAnsi="Times New Roman" w:cs="Times New Roman"/>
          <w:b/>
        </w:rPr>
      </w:pPr>
      <w:r>
        <w:rPr>
          <w:rFonts w:ascii="Times New Roman" w:eastAsia="Times New Roman" w:hAnsi="Times New Roman" w:cs="Times New Roman"/>
          <w:b/>
        </w:rPr>
        <w:t>Results</w:t>
      </w:r>
    </w:p>
    <w:p w14:paraId="4E0DD093" w14:textId="77777777" w:rsidR="00F83806" w:rsidRDefault="007B0A2A">
      <w:pPr>
        <w:rPr>
          <w:rFonts w:ascii="Times New Roman" w:eastAsia="Times New Roman" w:hAnsi="Times New Roman" w:cs="Times New Roman"/>
        </w:rPr>
      </w:pPr>
      <w:r>
        <w:rPr>
          <w:rFonts w:ascii="Times New Roman" w:eastAsia="Times New Roman" w:hAnsi="Times New Roman" w:cs="Times New Roman"/>
        </w:rPr>
        <w:t>Descriptive statistics</w:t>
      </w:r>
    </w:p>
    <w:p w14:paraId="0307760A"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 xml:space="preserve">Table 1 </w:t>
      </w:r>
      <w:r>
        <w:rPr>
          <w:rFonts w:ascii="Times New Roman" w:eastAsia="Times New Roman" w:hAnsi="Times New Roman" w:cs="Times New Roman"/>
        </w:rPr>
        <w:t>shows the descriptive statistics of the demography and variables. The dataset provides valuable insights into the psychological health and well-being of employees in construction companies within the Centre Region of Cameroon. One of the key findings is th</w:t>
      </w:r>
      <w:r>
        <w:rPr>
          <w:rFonts w:ascii="Times New Roman" w:eastAsia="Times New Roman" w:hAnsi="Times New Roman" w:cs="Times New Roman"/>
        </w:rPr>
        <w:t>at the employees generally have good psychological health, with an average score of 4.054. However, the range of scores indicates that some employees may be experiencing psychological distress, with scores as low as 3.2. This suggests that while many emplo</w:t>
      </w:r>
      <w:r>
        <w:rPr>
          <w:rFonts w:ascii="Times New Roman" w:eastAsia="Times New Roman" w:hAnsi="Times New Roman" w:cs="Times New Roman"/>
        </w:rPr>
        <w:t>yees are coping well, there may be a subset of employees who require additional support.</w:t>
      </w:r>
    </w:p>
    <w:p w14:paraId="504820EB"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 xml:space="preserve">The dataset also highlights the presence of psychosocial risk factors that can impact employees' psychological health. The average workload score is 4.099, indicating </w:t>
      </w:r>
      <w:r>
        <w:rPr>
          <w:rFonts w:ascii="Times New Roman" w:eastAsia="Times New Roman" w:hAnsi="Times New Roman" w:cs="Times New Roman"/>
        </w:rPr>
        <w:t>that employees are experiencing a relatively high workload. This can contribute to stress and anxiety, which can negatively impact psychological health. Additionally, the average job insecurity score is 3.406, suggesting that employees are experiencing som</w:t>
      </w:r>
      <w:r>
        <w:rPr>
          <w:rFonts w:ascii="Times New Roman" w:eastAsia="Times New Roman" w:hAnsi="Times New Roman" w:cs="Times New Roman"/>
        </w:rPr>
        <w:t>e level of uncertainty about their job security. This can also contribute to stress and anxiety, and can impact employees' sense of well-being.</w:t>
      </w:r>
    </w:p>
    <w:p w14:paraId="7A23B58E"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lastRenderedPageBreak/>
        <w:t>Furthermore, the dataset indicates that employees are experiencing a lack of control over their work, with an av</w:t>
      </w:r>
      <w:r>
        <w:rPr>
          <w:rFonts w:ascii="Times New Roman" w:eastAsia="Times New Roman" w:hAnsi="Times New Roman" w:cs="Times New Roman"/>
        </w:rPr>
        <w:t>erage score of 3.486. This can contribute to feelings of powerlessness and frustration, which can negatively impact psychological health. The combination of high workload, job insecurity, and lack of control can create a toxic work environment that can hav</w:t>
      </w:r>
      <w:r>
        <w:rPr>
          <w:rFonts w:ascii="Times New Roman" w:eastAsia="Times New Roman" w:hAnsi="Times New Roman" w:cs="Times New Roman"/>
        </w:rPr>
        <w:t>e serious consequences for employees' psychological health.</w:t>
      </w:r>
    </w:p>
    <w:p w14:paraId="46F905CB" w14:textId="77777777" w:rsidR="00F83806" w:rsidRDefault="007B0A2A">
      <w:pPr>
        <w:jc w:val="both"/>
        <w:rPr>
          <w:rFonts w:ascii="Times New Roman" w:eastAsia="Times New Roman" w:hAnsi="Times New Roman" w:cs="Times New Roman"/>
          <w:b/>
        </w:rPr>
      </w:pPr>
      <w:r>
        <w:rPr>
          <w:rFonts w:ascii="Times New Roman" w:eastAsia="Times New Roman" w:hAnsi="Times New Roman" w:cs="Times New Roman"/>
          <w:b/>
        </w:rPr>
        <w:t>Table 1: Descriptive statistics</w:t>
      </w:r>
    </w:p>
    <w:tbl>
      <w:tblPr>
        <w:tblStyle w:val="a"/>
        <w:tblW w:w="8908" w:type="dxa"/>
        <w:tblLayout w:type="fixed"/>
        <w:tblLook w:val="0000" w:firstRow="0" w:lastRow="0" w:firstColumn="0" w:lastColumn="0" w:noHBand="0" w:noVBand="0"/>
      </w:tblPr>
      <w:tblGrid>
        <w:gridCol w:w="2508"/>
        <w:gridCol w:w="800"/>
        <w:gridCol w:w="1400"/>
        <w:gridCol w:w="1400"/>
        <w:gridCol w:w="1400"/>
        <w:gridCol w:w="1400"/>
      </w:tblGrid>
      <w:tr w:rsidR="00F83806" w14:paraId="05B5F75C" w14:textId="77777777">
        <w:tc>
          <w:tcPr>
            <w:tcW w:w="2508" w:type="dxa"/>
            <w:tcBorders>
              <w:top w:val="single" w:sz="4" w:space="0" w:color="000000"/>
              <w:left w:val="nil"/>
              <w:bottom w:val="single" w:sz="10" w:space="0" w:color="000000"/>
              <w:right w:val="nil"/>
            </w:tcBorders>
          </w:tcPr>
          <w:p w14:paraId="5A60044D" w14:textId="77777777" w:rsidR="00F83806" w:rsidRDefault="007B0A2A">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Variable</w:t>
            </w:r>
          </w:p>
        </w:tc>
        <w:tc>
          <w:tcPr>
            <w:tcW w:w="800" w:type="dxa"/>
            <w:tcBorders>
              <w:top w:val="single" w:sz="4" w:space="0" w:color="000000"/>
              <w:left w:val="nil"/>
              <w:bottom w:val="single" w:sz="10" w:space="0" w:color="000000"/>
              <w:right w:val="nil"/>
            </w:tcBorders>
          </w:tcPr>
          <w:p w14:paraId="3091E9B9"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Obs</w:t>
            </w:r>
            <w:proofErr w:type="spellEnd"/>
          </w:p>
        </w:tc>
        <w:tc>
          <w:tcPr>
            <w:tcW w:w="1400" w:type="dxa"/>
            <w:tcBorders>
              <w:top w:val="single" w:sz="4" w:space="0" w:color="000000"/>
              <w:left w:val="nil"/>
              <w:bottom w:val="single" w:sz="10" w:space="0" w:color="000000"/>
              <w:right w:val="nil"/>
            </w:tcBorders>
          </w:tcPr>
          <w:p w14:paraId="68C01953"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Mean</w:t>
            </w:r>
          </w:p>
        </w:tc>
        <w:tc>
          <w:tcPr>
            <w:tcW w:w="1400" w:type="dxa"/>
            <w:tcBorders>
              <w:top w:val="single" w:sz="4" w:space="0" w:color="000000"/>
              <w:left w:val="nil"/>
              <w:bottom w:val="single" w:sz="10" w:space="0" w:color="000000"/>
              <w:right w:val="nil"/>
            </w:tcBorders>
          </w:tcPr>
          <w:p w14:paraId="2C986B0E"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Std. Dev.</w:t>
            </w:r>
          </w:p>
        </w:tc>
        <w:tc>
          <w:tcPr>
            <w:tcW w:w="1400" w:type="dxa"/>
            <w:tcBorders>
              <w:top w:val="single" w:sz="4" w:space="0" w:color="000000"/>
              <w:left w:val="nil"/>
              <w:bottom w:val="single" w:sz="10" w:space="0" w:color="000000"/>
              <w:right w:val="nil"/>
            </w:tcBorders>
          </w:tcPr>
          <w:p w14:paraId="6E4FD31F"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Min</w:t>
            </w:r>
          </w:p>
        </w:tc>
        <w:tc>
          <w:tcPr>
            <w:tcW w:w="1400" w:type="dxa"/>
            <w:tcBorders>
              <w:top w:val="single" w:sz="4" w:space="0" w:color="000000"/>
              <w:left w:val="nil"/>
              <w:bottom w:val="single" w:sz="10" w:space="0" w:color="000000"/>
              <w:right w:val="nil"/>
            </w:tcBorders>
          </w:tcPr>
          <w:p w14:paraId="076340B4"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Max</w:t>
            </w:r>
          </w:p>
        </w:tc>
      </w:tr>
      <w:tr w:rsidR="00F83806" w14:paraId="7F8D6E97" w14:textId="77777777">
        <w:tc>
          <w:tcPr>
            <w:tcW w:w="2508" w:type="dxa"/>
            <w:tcBorders>
              <w:top w:val="nil"/>
              <w:left w:val="nil"/>
              <w:bottom w:val="nil"/>
              <w:right w:val="nil"/>
            </w:tcBorders>
          </w:tcPr>
          <w:p w14:paraId="30DF4037" w14:textId="77777777" w:rsidR="00F83806" w:rsidRDefault="007B0A2A">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Age</w:t>
            </w:r>
          </w:p>
        </w:tc>
        <w:tc>
          <w:tcPr>
            <w:tcW w:w="800" w:type="dxa"/>
            <w:tcBorders>
              <w:top w:val="nil"/>
              <w:left w:val="nil"/>
              <w:bottom w:val="nil"/>
              <w:right w:val="nil"/>
            </w:tcBorders>
          </w:tcPr>
          <w:p w14:paraId="7FAF55DE"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100</w:t>
            </w:r>
          </w:p>
        </w:tc>
        <w:tc>
          <w:tcPr>
            <w:tcW w:w="1400" w:type="dxa"/>
            <w:tcBorders>
              <w:top w:val="nil"/>
              <w:left w:val="nil"/>
              <w:bottom w:val="nil"/>
              <w:right w:val="nil"/>
            </w:tcBorders>
          </w:tcPr>
          <w:p w14:paraId="047E2854"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26.05</w:t>
            </w:r>
          </w:p>
        </w:tc>
        <w:tc>
          <w:tcPr>
            <w:tcW w:w="1400" w:type="dxa"/>
            <w:tcBorders>
              <w:top w:val="nil"/>
              <w:left w:val="nil"/>
              <w:bottom w:val="nil"/>
              <w:right w:val="nil"/>
            </w:tcBorders>
          </w:tcPr>
          <w:p w14:paraId="76DDC999"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2.603</w:t>
            </w:r>
          </w:p>
        </w:tc>
        <w:tc>
          <w:tcPr>
            <w:tcW w:w="1400" w:type="dxa"/>
            <w:tcBorders>
              <w:top w:val="nil"/>
              <w:left w:val="nil"/>
              <w:bottom w:val="nil"/>
              <w:right w:val="nil"/>
            </w:tcBorders>
          </w:tcPr>
          <w:p w14:paraId="358BDD6E"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22</w:t>
            </w:r>
          </w:p>
        </w:tc>
        <w:tc>
          <w:tcPr>
            <w:tcW w:w="1400" w:type="dxa"/>
            <w:tcBorders>
              <w:top w:val="nil"/>
              <w:left w:val="nil"/>
              <w:bottom w:val="nil"/>
              <w:right w:val="nil"/>
            </w:tcBorders>
          </w:tcPr>
          <w:p w14:paraId="51BA9FB3"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30</w:t>
            </w:r>
          </w:p>
        </w:tc>
      </w:tr>
      <w:tr w:rsidR="00F83806" w14:paraId="460C7B33" w14:textId="77777777">
        <w:tc>
          <w:tcPr>
            <w:tcW w:w="2508" w:type="dxa"/>
            <w:tcBorders>
              <w:top w:val="nil"/>
              <w:left w:val="nil"/>
              <w:bottom w:val="nil"/>
              <w:right w:val="nil"/>
            </w:tcBorders>
          </w:tcPr>
          <w:p w14:paraId="6FD88B84" w14:textId="77777777" w:rsidR="00F83806" w:rsidRDefault="007B0A2A">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Psychological </w:t>
            </w:r>
            <w:proofErr w:type="spellStart"/>
            <w:r>
              <w:rPr>
                <w:rFonts w:ascii="Times New Roman" w:eastAsia="Times New Roman" w:hAnsi="Times New Roman" w:cs="Times New Roman"/>
              </w:rPr>
              <w:t>Heal~H</w:t>
            </w:r>
            <w:proofErr w:type="spellEnd"/>
          </w:p>
        </w:tc>
        <w:tc>
          <w:tcPr>
            <w:tcW w:w="800" w:type="dxa"/>
            <w:tcBorders>
              <w:top w:val="nil"/>
              <w:left w:val="nil"/>
              <w:bottom w:val="nil"/>
              <w:right w:val="nil"/>
            </w:tcBorders>
          </w:tcPr>
          <w:p w14:paraId="616D401C"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100</w:t>
            </w:r>
          </w:p>
        </w:tc>
        <w:tc>
          <w:tcPr>
            <w:tcW w:w="1400" w:type="dxa"/>
            <w:tcBorders>
              <w:top w:val="nil"/>
              <w:left w:val="nil"/>
              <w:bottom w:val="nil"/>
              <w:right w:val="nil"/>
            </w:tcBorders>
          </w:tcPr>
          <w:p w14:paraId="3741676F"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4.054</w:t>
            </w:r>
          </w:p>
        </w:tc>
        <w:tc>
          <w:tcPr>
            <w:tcW w:w="1400" w:type="dxa"/>
            <w:tcBorders>
              <w:top w:val="nil"/>
              <w:left w:val="nil"/>
              <w:bottom w:val="nil"/>
              <w:right w:val="nil"/>
            </w:tcBorders>
          </w:tcPr>
          <w:p w14:paraId="6329F16D"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.413</w:t>
            </w:r>
          </w:p>
        </w:tc>
        <w:tc>
          <w:tcPr>
            <w:tcW w:w="1400" w:type="dxa"/>
            <w:tcBorders>
              <w:top w:val="nil"/>
              <w:left w:val="nil"/>
              <w:bottom w:val="nil"/>
              <w:right w:val="nil"/>
            </w:tcBorders>
          </w:tcPr>
          <w:p w14:paraId="5B1FD636"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3.2</w:t>
            </w:r>
          </w:p>
        </w:tc>
        <w:tc>
          <w:tcPr>
            <w:tcW w:w="1400" w:type="dxa"/>
            <w:tcBorders>
              <w:top w:val="nil"/>
              <w:left w:val="nil"/>
              <w:bottom w:val="nil"/>
              <w:right w:val="nil"/>
            </w:tcBorders>
          </w:tcPr>
          <w:p w14:paraId="6F69B9DE"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4.8</w:t>
            </w:r>
          </w:p>
        </w:tc>
      </w:tr>
      <w:tr w:rsidR="00F83806" w14:paraId="0F0BAB44" w14:textId="77777777">
        <w:tc>
          <w:tcPr>
            <w:tcW w:w="2508" w:type="dxa"/>
            <w:tcBorders>
              <w:top w:val="nil"/>
              <w:left w:val="nil"/>
              <w:bottom w:val="nil"/>
              <w:right w:val="nil"/>
            </w:tcBorders>
          </w:tcPr>
          <w:p w14:paraId="67DF2F9D" w14:textId="77777777" w:rsidR="00F83806" w:rsidRDefault="007B0A2A">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WorkloadWL</w:t>
            </w:r>
            <w:proofErr w:type="spellEnd"/>
          </w:p>
        </w:tc>
        <w:tc>
          <w:tcPr>
            <w:tcW w:w="800" w:type="dxa"/>
            <w:tcBorders>
              <w:top w:val="nil"/>
              <w:left w:val="nil"/>
              <w:bottom w:val="nil"/>
              <w:right w:val="nil"/>
            </w:tcBorders>
          </w:tcPr>
          <w:p w14:paraId="78327CF0"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100</w:t>
            </w:r>
          </w:p>
        </w:tc>
        <w:tc>
          <w:tcPr>
            <w:tcW w:w="1400" w:type="dxa"/>
            <w:tcBorders>
              <w:top w:val="nil"/>
              <w:left w:val="nil"/>
              <w:bottom w:val="nil"/>
              <w:right w:val="nil"/>
            </w:tcBorders>
          </w:tcPr>
          <w:p w14:paraId="43EFFA66"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4.099</w:t>
            </w:r>
          </w:p>
        </w:tc>
        <w:tc>
          <w:tcPr>
            <w:tcW w:w="1400" w:type="dxa"/>
            <w:tcBorders>
              <w:top w:val="nil"/>
              <w:left w:val="nil"/>
              <w:bottom w:val="nil"/>
              <w:right w:val="nil"/>
            </w:tcBorders>
          </w:tcPr>
          <w:p w14:paraId="6865F498"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.521</w:t>
            </w:r>
          </w:p>
        </w:tc>
        <w:tc>
          <w:tcPr>
            <w:tcW w:w="1400" w:type="dxa"/>
            <w:tcBorders>
              <w:top w:val="nil"/>
              <w:left w:val="nil"/>
              <w:bottom w:val="nil"/>
              <w:right w:val="nil"/>
            </w:tcBorders>
          </w:tcPr>
          <w:p w14:paraId="2A654762"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2.9</w:t>
            </w:r>
          </w:p>
        </w:tc>
        <w:tc>
          <w:tcPr>
            <w:tcW w:w="1400" w:type="dxa"/>
            <w:tcBorders>
              <w:top w:val="nil"/>
              <w:left w:val="nil"/>
              <w:bottom w:val="nil"/>
              <w:right w:val="nil"/>
            </w:tcBorders>
          </w:tcPr>
          <w:p w14:paraId="0A703E1E"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4.9</w:t>
            </w:r>
          </w:p>
        </w:tc>
      </w:tr>
      <w:tr w:rsidR="00F83806" w14:paraId="7414B7BC" w14:textId="77777777">
        <w:tc>
          <w:tcPr>
            <w:tcW w:w="2508" w:type="dxa"/>
            <w:tcBorders>
              <w:top w:val="nil"/>
              <w:left w:val="nil"/>
              <w:bottom w:val="nil"/>
              <w:right w:val="nil"/>
            </w:tcBorders>
          </w:tcPr>
          <w:p w14:paraId="4DB6032E" w14:textId="77777777" w:rsidR="00F83806" w:rsidRDefault="007B0A2A">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Job </w:t>
            </w:r>
            <w:proofErr w:type="spellStart"/>
            <w:r>
              <w:rPr>
                <w:rFonts w:ascii="Times New Roman" w:eastAsia="Times New Roman" w:hAnsi="Times New Roman" w:cs="Times New Roman"/>
              </w:rPr>
              <w:t>InsecurityJI</w:t>
            </w:r>
            <w:proofErr w:type="spellEnd"/>
          </w:p>
        </w:tc>
        <w:tc>
          <w:tcPr>
            <w:tcW w:w="800" w:type="dxa"/>
            <w:tcBorders>
              <w:top w:val="nil"/>
              <w:left w:val="nil"/>
              <w:bottom w:val="nil"/>
              <w:right w:val="nil"/>
            </w:tcBorders>
          </w:tcPr>
          <w:p w14:paraId="5AA4CD62"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100</w:t>
            </w:r>
          </w:p>
        </w:tc>
        <w:tc>
          <w:tcPr>
            <w:tcW w:w="1400" w:type="dxa"/>
            <w:tcBorders>
              <w:top w:val="nil"/>
              <w:left w:val="nil"/>
              <w:bottom w:val="nil"/>
              <w:right w:val="nil"/>
            </w:tcBorders>
          </w:tcPr>
          <w:p w14:paraId="7F6801FD"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3.406</w:t>
            </w:r>
          </w:p>
        </w:tc>
        <w:tc>
          <w:tcPr>
            <w:tcW w:w="1400" w:type="dxa"/>
            <w:tcBorders>
              <w:top w:val="nil"/>
              <w:left w:val="nil"/>
              <w:bottom w:val="nil"/>
              <w:right w:val="nil"/>
            </w:tcBorders>
          </w:tcPr>
          <w:p w14:paraId="54213B7F"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.558</w:t>
            </w:r>
          </w:p>
        </w:tc>
        <w:tc>
          <w:tcPr>
            <w:tcW w:w="1400" w:type="dxa"/>
            <w:tcBorders>
              <w:top w:val="nil"/>
              <w:left w:val="nil"/>
              <w:bottom w:val="nil"/>
              <w:right w:val="nil"/>
            </w:tcBorders>
          </w:tcPr>
          <w:p w14:paraId="19F46941"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2.4</w:t>
            </w:r>
          </w:p>
        </w:tc>
        <w:tc>
          <w:tcPr>
            <w:tcW w:w="1400" w:type="dxa"/>
            <w:tcBorders>
              <w:top w:val="nil"/>
              <w:left w:val="nil"/>
              <w:bottom w:val="nil"/>
              <w:right w:val="nil"/>
            </w:tcBorders>
          </w:tcPr>
          <w:p w14:paraId="5076AE97"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4.5</w:t>
            </w:r>
          </w:p>
        </w:tc>
      </w:tr>
      <w:tr w:rsidR="00F83806" w14:paraId="1B3182AC" w14:textId="77777777">
        <w:tc>
          <w:tcPr>
            <w:tcW w:w="2508" w:type="dxa"/>
            <w:tcBorders>
              <w:top w:val="nil"/>
              <w:left w:val="nil"/>
              <w:bottom w:val="nil"/>
              <w:right w:val="nil"/>
            </w:tcBorders>
          </w:tcPr>
          <w:p w14:paraId="59D9A22E" w14:textId="77777777" w:rsidR="00F83806" w:rsidRDefault="007B0A2A">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Lack of </w:t>
            </w:r>
            <w:proofErr w:type="spellStart"/>
            <w:r>
              <w:rPr>
                <w:rFonts w:ascii="Times New Roman" w:eastAsia="Times New Roman" w:hAnsi="Times New Roman" w:cs="Times New Roman"/>
              </w:rPr>
              <w:t>ControlLC</w:t>
            </w:r>
            <w:proofErr w:type="spellEnd"/>
          </w:p>
        </w:tc>
        <w:tc>
          <w:tcPr>
            <w:tcW w:w="800" w:type="dxa"/>
            <w:tcBorders>
              <w:top w:val="nil"/>
              <w:left w:val="nil"/>
              <w:bottom w:val="nil"/>
              <w:right w:val="nil"/>
            </w:tcBorders>
          </w:tcPr>
          <w:p w14:paraId="0D2F945B"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100</w:t>
            </w:r>
          </w:p>
        </w:tc>
        <w:tc>
          <w:tcPr>
            <w:tcW w:w="1400" w:type="dxa"/>
            <w:tcBorders>
              <w:top w:val="nil"/>
              <w:left w:val="nil"/>
              <w:bottom w:val="nil"/>
              <w:right w:val="nil"/>
            </w:tcBorders>
          </w:tcPr>
          <w:p w14:paraId="755B3222"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3.486</w:t>
            </w:r>
          </w:p>
        </w:tc>
        <w:tc>
          <w:tcPr>
            <w:tcW w:w="1400" w:type="dxa"/>
            <w:tcBorders>
              <w:top w:val="nil"/>
              <w:left w:val="nil"/>
              <w:bottom w:val="nil"/>
              <w:right w:val="nil"/>
            </w:tcBorders>
          </w:tcPr>
          <w:p w14:paraId="469F42B4"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.665</w:t>
            </w:r>
          </w:p>
        </w:tc>
        <w:tc>
          <w:tcPr>
            <w:tcW w:w="1400" w:type="dxa"/>
            <w:tcBorders>
              <w:top w:val="nil"/>
              <w:left w:val="nil"/>
              <w:bottom w:val="nil"/>
              <w:right w:val="nil"/>
            </w:tcBorders>
          </w:tcPr>
          <w:p w14:paraId="66CED312"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2.2</w:t>
            </w:r>
          </w:p>
        </w:tc>
        <w:tc>
          <w:tcPr>
            <w:tcW w:w="1400" w:type="dxa"/>
            <w:tcBorders>
              <w:top w:val="nil"/>
              <w:left w:val="nil"/>
              <w:bottom w:val="nil"/>
              <w:right w:val="nil"/>
            </w:tcBorders>
          </w:tcPr>
          <w:p w14:paraId="27845805"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4.7</w:t>
            </w:r>
          </w:p>
        </w:tc>
      </w:tr>
      <w:tr w:rsidR="00F83806" w14:paraId="71C9AB53" w14:textId="77777777">
        <w:tc>
          <w:tcPr>
            <w:tcW w:w="8908" w:type="dxa"/>
            <w:gridSpan w:val="6"/>
            <w:tcBorders>
              <w:top w:val="single" w:sz="6" w:space="0" w:color="000000"/>
              <w:left w:val="nil"/>
              <w:bottom w:val="nil"/>
              <w:right w:val="nil"/>
            </w:tcBorders>
          </w:tcPr>
          <w:p w14:paraId="556EC591" w14:textId="77777777" w:rsidR="00F83806" w:rsidRDefault="007B0A2A">
            <w:pPr>
              <w:spacing w:after="0"/>
              <w:rPr>
                <w:rFonts w:ascii="Times New Roman" w:eastAsia="Times New Roman" w:hAnsi="Times New Roman" w:cs="Times New Roman"/>
                <w:b/>
              </w:rPr>
            </w:pPr>
            <w:r>
              <w:rPr>
                <w:rFonts w:ascii="Times New Roman" w:eastAsia="Times New Roman" w:hAnsi="Times New Roman" w:cs="Times New Roman"/>
                <w:b/>
              </w:rPr>
              <w:t>Source: Authors (2025)</w:t>
            </w:r>
          </w:p>
          <w:p w14:paraId="159E37A6" w14:textId="77777777" w:rsidR="00F83806" w:rsidRDefault="00F83806">
            <w:pPr>
              <w:widowControl w:val="0"/>
              <w:spacing w:after="0" w:line="240" w:lineRule="auto"/>
              <w:rPr>
                <w:rFonts w:ascii="Times New Roman" w:eastAsia="Times New Roman" w:hAnsi="Times New Roman" w:cs="Times New Roman"/>
              </w:rPr>
            </w:pPr>
          </w:p>
        </w:tc>
      </w:tr>
    </w:tbl>
    <w:p w14:paraId="60BE8F0E" w14:textId="77777777" w:rsidR="00F83806" w:rsidRDefault="007B0A2A">
      <w:pPr>
        <w:rPr>
          <w:rFonts w:ascii="Times New Roman" w:eastAsia="Times New Roman" w:hAnsi="Times New Roman" w:cs="Times New Roman"/>
          <w:b/>
        </w:rPr>
      </w:pPr>
      <w:r>
        <w:rPr>
          <w:rFonts w:ascii="Times New Roman" w:eastAsia="Times New Roman" w:hAnsi="Times New Roman" w:cs="Times New Roman"/>
          <w:b/>
        </w:rPr>
        <w:t>Reliability Test</w:t>
      </w:r>
    </w:p>
    <w:p w14:paraId="0982E854" w14:textId="77777777" w:rsidR="00F83806" w:rsidRDefault="007B0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Cronbach's Alpha value of 0.800 on Table 2 indicates that the survey instrument used to measure psychosocial risk factors and </w:t>
      </w:r>
      <w:r>
        <w:rPr>
          <w:rFonts w:ascii="Times New Roman" w:eastAsia="Times New Roman" w:hAnsi="Times New Roman" w:cs="Times New Roman"/>
        </w:rPr>
        <w:t>their effects on employees' psychological health has a high level of internal consistency.</w:t>
      </w:r>
    </w:p>
    <w:p w14:paraId="7E1782A1" w14:textId="77777777" w:rsidR="00F83806" w:rsidRDefault="007B0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 other words, the 5 items (questions) in the survey are strongly correlated with each other, suggesting that they are measuring the same underlying construct (psyc</w:t>
      </w:r>
      <w:r>
        <w:rPr>
          <w:rFonts w:ascii="Times New Roman" w:eastAsia="Times New Roman" w:hAnsi="Times New Roman" w:cs="Times New Roman"/>
        </w:rPr>
        <w:t>hosocial risk factors). This provides evidence that the survey instrument is reliable and can be used to draw valid conclusions.</w:t>
      </w:r>
    </w:p>
    <w:p w14:paraId="66FB4974" w14:textId="77777777" w:rsidR="00F83806" w:rsidRDefault="007B0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 Cronbach's Alpha value of 0.800 is generally considered to be excellent, as it indicates that the survey instrument has a hig</w:t>
      </w:r>
      <w:r>
        <w:rPr>
          <w:rFonts w:ascii="Times New Roman" w:eastAsia="Times New Roman" w:hAnsi="Times New Roman" w:cs="Times New Roman"/>
        </w:rPr>
        <w:t>h degree of reliability. This suggests that the results obtained from the survey can be trusted and are likely to be generalizable to the broader population of construction employees in the Centre Region of Cameroon.</w:t>
      </w:r>
    </w:p>
    <w:p w14:paraId="513DE7CB" w14:textId="77777777" w:rsidR="00F83806" w:rsidRDefault="00F83806">
      <w:pPr>
        <w:spacing w:after="0" w:line="240" w:lineRule="auto"/>
        <w:jc w:val="both"/>
        <w:rPr>
          <w:rFonts w:ascii="Times New Roman" w:eastAsia="Times New Roman" w:hAnsi="Times New Roman" w:cs="Times New Roman"/>
        </w:rPr>
      </w:pPr>
    </w:p>
    <w:p w14:paraId="4EF22BDD" w14:textId="77777777" w:rsidR="00F83806" w:rsidRDefault="007B0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In the context of the topic, this </w:t>
      </w:r>
      <w:r>
        <w:rPr>
          <w:rFonts w:ascii="Times New Roman" w:eastAsia="Times New Roman" w:hAnsi="Times New Roman" w:cs="Times New Roman"/>
        </w:rPr>
        <w:t>means that the survey instrument is capable of accurately measuring the psychosocial risk factors that affect employees' psychological health in construction companies. This provides a solid foundation for analysing the relationships between these risk fac</w:t>
      </w:r>
      <w:r>
        <w:rPr>
          <w:rFonts w:ascii="Times New Roman" w:eastAsia="Times New Roman" w:hAnsi="Times New Roman" w:cs="Times New Roman"/>
        </w:rPr>
        <w:t>tors and employees' psychological health.</w:t>
      </w:r>
    </w:p>
    <w:tbl>
      <w:tblPr>
        <w:tblStyle w:val="a0"/>
        <w:tblW w:w="93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271"/>
        <w:gridCol w:w="4061"/>
      </w:tblGrid>
      <w:tr w:rsidR="00F83806" w14:paraId="2A71618A" w14:textId="77777777">
        <w:trPr>
          <w:cantSplit/>
          <w:trHeight w:val="254"/>
        </w:trPr>
        <w:tc>
          <w:tcPr>
            <w:tcW w:w="9332" w:type="dxa"/>
            <w:gridSpan w:val="2"/>
            <w:tcBorders>
              <w:top w:val="nil"/>
              <w:left w:val="nil"/>
              <w:bottom w:val="nil"/>
              <w:right w:val="nil"/>
            </w:tcBorders>
            <w:shd w:val="clear" w:color="auto" w:fill="FFFFFF"/>
          </w:tcPr>
          <w:p w14:paraId="3B89A450"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b/>
                <w:color w:val="000000"/>
              </w:rPr>
              <w:t>Table 2: Reliability Statistics</w:t>
            </w:r>
          </w:p>
        </w:tc>
      </w:tr>
      <w:tr w:rsidR="00F83806" w14:paraId="1A0AA0C5" w14:textId="77777777">
        <w:trPr>
          <w:cantSplit/>
          <w:trHeight w:val="508"/>
        </w:trPr>
        <w:tc>
          <w:tcPr>
            <w:tcW w:w="5271" w:type="dxa"/>
            <w:tcBorders>
              <w:top w:val="single" w:sz="16" w:space="0" w:color="000000"/>
              <w:left w:val="single" w:sz="16" w:space="0" w:color="000000"/>
              <w:bottom w:val="single" w:sz="16" w:space="0" w:color="000000"/>
            </w:tcBorders>
            <w:shd w:val="clear" w:color="auto" w:fill="FFFFFF"/>
          </w:tcPr>
          <w:p w14:paraId="5AB7A1C1"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Cronbach's </w:t>
            </w:r>
            <w:proofErr w:type="spellStart"/>
            <w:r>
              <w:rPr>
                <w:rFonts w:ascii="Times New Roman" w:eastAsia="Times New Roman" w:hAnsi="Times New Roman" w:cs="Times New Roman"/>
                <w:color w:val="000000"/>
              </w:rPr>
              <w:t>Alpha</w:t>
            </w:r>
            <w:r>
              <w:rPr>
                <w:rFonts w:ascii="Times New Roman" w:eastAsia="Times New Roman" w:hAnsi="Times New Roman" w:cs="Times New Roman"/>
                <w:color w:val="000000"/>
                <w:vertAlign w:val="superscript"/>
              </w:rPr>
              <w:t>a</w:t>
            </w:r>
            <w:proofErr w:type="spellEnd"/>
          </w:p>
        </w:tc>
        <w:tc>
          <w:tcPr>
            <w:tcW w:w="4061" w:type="dxa"/>
            <w:tcBorders>
              <w:top w:val="single" w:sz="16" w:space="0" w:color="000000"/>
              <w:bottom w:val="single" w:sz="16" w:space="0" w:color="000000"/>
              <w:right w:val="single" w:sz="16" w:space="0" w:color="000000"/>
            </w:tcBorders>
            <w:shd w:val="clear" w:color="auto" w:fill="FFFFFF"/>
          </w:tcPr>
          <w:p w14:paraId="51C552E9"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N of Items</w:t>
            </w:r>
          </w:p>
        </w:tc>
      </w:tr>
      <w:tr w:rsidR="00F83806" w14:paraId="7CA3557E" w14:textId="77777777">
        <w:trPr>
          <w:cantSplit/>
          <w:trHeight w:val="254"/>
        </w:trPr>
        <w:tc>
          <w:tcPr>
            <w:tcW w:w="5271" w:type="dxa"/>
            <w:tcBorders>
              <w:top w:val="single" w:sz="16" w:space="0" w:color="000000"/>
              <w:left w:val="single" w:sz="16" w:space="0" w:color="000000"/>
              <w:bottom w:val="single" w:sz="16" w:space="0" w:color="000000"/>
            </w:tcBorders>
            <w:shd w:val="clear" w:color="auto" w:fill="FFFFFF"/>
            <w:vAlign w:val="center"/>
          </w:tcPr>
          <w:p w14:paraId="24C65D2A"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.800</w:t>
            </w:r>
          </w:p>
        </w:tc>
        <w:tc>
          <w:tcPr>
            <w:tcW w:w="4061" w:type="dxa"/>
            <w:tcBorders>
              <w:top w:val="single" w:sz="16" w:space="0" w:color="000000"/>
              <w:bottom w:val="single" w:sz="16" w:space="0" w:color="000000"/>
              <w:right w:val="single" w:sz="16" w:space="0" w:color="000000"/>
            </w:tcBorders>
            <w:shd w:val="clear" w:color="auto" w:fill="FFFFFF"/>
            <w:vAlign w:val="center"/>
          </w:tcPr>
          <w:p w14:paraId="68F0E58E"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F83806" w14:paraId="0F84B30D" w14:textId="77777777">
        <w:trPr>
          <w:cantSplit/>
          <w:trHeight w:val="254"/>
        </w:trPr>
        <w:tc>
          <w:tcPr>
            <w:tcW w:w="9332" w:type="dxa"/>
            <w:gridSpan w:val="2"/>
            <w:tcBorders>
              <w:top w:val="nil"/>
              <w:left w:val="nil"/>
              <w:bottom w:val="nil"/>
              <w:right w:val="nil"/>
            </w:tcBorders>
            <w:shd w:val="clear" w:color="auto" w:fill="FFFFFF"/>
          </w:tcPr>
          <w:p w14:paraId="2113CBF8" w14:textId="77777777" w:rsidR="00F83806" w:rsidRDefault="007B0A2A">
            <w:pPr>
              <w:spacing w:after="0"/>
              <w:rPr>
                <w:rFonts w:ascii="Times New Roman" w:eastAsia="Times New Roman" w:hAnsi="Times New Roman" w:cs="Times New Roman"/>
                <w:b/>
              </w:rPr>
            </w:pPr>
            <w:r>
              <w:rPr>
                <w:rFonts w:ascii="Times New Roman" w:eastAsia="Times New Roman" w:hAnsi="Times New Roman" w:cs="Times New Roman"/>
                <w:b/>
              </w:rPr>
              <w:t>Source: Authors (2025)</w:t>
            </w:r>
          </w:p>
        </w:tc>
      </w:tr>
    </w:tbl>
    <w:p w14:paraId="70D5B7E9" w14:textId="77777777" w:rsidR="00F83806" w:rsidRDefault="00F83806">
      <w:pPr>
        <w:spacing w:after="0" w:line="240" w:lineRule="auto"/>
        <w:rPr>
          <w:rFonts w:ascii="Times New Roman" w:eastAsia="Times New Roman" w:hAnsi="Times New Roman" w:cs="Times New Roman"/>
        </w:rPr>
      </w:pPr>
    </w:p>
    <w:p w14:paraId="51FD5CB4" w14:textId="77777777" w:rsidR="00F83806" w:rsidRDefault="007B0A2A">
      <w:pPr>
        <w:spacing w:after="0" w:line="240" w:lineRule="auto"/>
        <w:rPr>
          <w:rFonts w:ascii="Times New Roman" w:eastAsia="Times New Roman" w:hAnsi="Times New Roman" w:cs="Times New Roman"/>
          <w:b/>
        </w:rPr>
      </w:pPr>
      <w:r>
        <w:rPr>
          <w:rFonts w:ascii="Times New Roman" w:eastAsia="Times New Roman" w:hAnsi="Times New Roman" w:cs="Times New Roman"/>
          <w:b/>
        </w:rPr>
        <w:t>Normality test</w:t>
      </w:r>
    </w:p>
    <w:p w14:paraId="7FDA575A" w14:textId="77777777" w:rsidR="00F83806" w:rsidRDefault="007B0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results of the normality tests, specifically the Kolmogorov-Smirnov and Shapiro-Wilk tests, are </w:t>
      </w:r>
      <w:r>
        <w:rPr>
          <w:rFonts w:ascii="Times New Roman" w:eastAsia="Times New Roman" w:hAnsi="Times New Roman" w:cs="Times New Roman"/>
        </w:rPr>
        <w:t>presented in the table. These tests are used to determine if the data follows a normal distribution, which is a common assumption in many statistical tests. The results indicate that the data for all variables, including Psychological Health (PH), Age, Wor</w:t>
      </w:r>
      <w:r>
        <w:rPr>
          <w:rFonts w:ascii="Times New Roman" w:eastAsia="Times New Roman" w:hAnsi="Times New Roman" w:cs="Times New Roman"/>
        </w:rPr>
        <w:t>kload (WL), Job Insecurity (JI), and Lack of Control (LC), is approximately normally distributed.</w:t>
      </w:r>
    </w:p>
    <w:p w14:paraId="76562276" w14:textId="77777777" w:rsidR="00F83806" w:rsidRDefault="00F83806">
      <w:pPr>
        <w:spacing w:after="0" w:line="240" w:lineRule="auto"/>
        <w:rPr>
          <w:rFonts w:ascii="Times New Roman" w:eastAsia="Times New Roman" w:hAnsi="Times New Roman" w:cs="Times New Roman"/>
        </w:rPr>
      </w:pPr>
    </w:p>
    <w:p w14:paraId="6174F1FD" w14:textId="77777777" w:rsidR="00F83806" w:rsidRDefault="007B0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p-values for the Kolmogorov-Smirnov and Shapiro-Wilk tests are all above the conventional 0.05 threshold, which suggests that the data is normally </w:t>
      </w:r>
      <w:r>
        <w:rPr>
          <w:rFonts w:ascii="Times New Roman" w:eastAsia="Times New Roman" w:hAnsi="Times New Roman" w:cs="Times New Roman"/>
        </w:rPr>
        <w:t xml:space="preserve">distributed. However, some of the p-values are slightly above the threshold, which may indicate some minor deviations from normality. For example, the p-value </w:t>
      </w:r>
      <w:r>
        <w:rPr>
          <w:rFonts w:ascii="Times New Roman" w:eastAsia="Times New Roman" w:hAnsi="Times New Roman" w:cs="Times New Roman"/>
        </w:rPr>
        <w:lastRenderedPageBreak/>
        <w:t>for Psychological Health (PH) is 0.053, which is just above the threshold. Similarly, the p-value</w:t>
      </w:r>
      <w:r>
        <w:rPr>
          <w:rFonts w:ascii="Times New Roman" w:eastAsia="Times New Roman" w:hAnsi="Times New Roman" w:cs="Times New Roman"/>
        </w:rPr>
        <w:t>s for Age, Workload (WL), Job Insecurity (JI), and Lack of Control (LC) are also slightly above the threshold.</w:t>
      </w:r>
    </w:p>
    <w:p w14:paraId="5E74711E" w14:textId="77777777" w:rsidR="00F83806" w:rsidRDefault="00F83806">
      <w:pPr>
        <w:spacing w:after="0" w:line="240" w:lineRule="auto"/>
        <w:rPr>
          <w:rFonts w:ascii="Times New Roman" w:eastAsia="Times New Roman" w:hAnsi="Times New Roman" w:cs="Times New Roman"/>
        </w:rPr>
      </w:pPr>
    </w:p>
    <w:p w14:paraId="34246F8E" w14:textId="77777777" w:rsidR="00F83806" w:rsidRDefault="007B0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Overall, the results suggest that the data can be considered suitable for analysis using parametric statistical tests, which assume normality. H</w:t>
      </w:r>
      <w:r>
        <w:rPr>
          <w:rFonts w:ascii="Times New Roman" w:eastAsia="Times New Roman" w:hAnsi="Times New Roman" w:cs="Times New Roman"/>
        </w:rPr>
        <w:t>owever, it's always a good idea to visually inspect the data using plots (e.g., histograms, Q-Q plots) to confirm the normality assumption. Visual inspection can help identify any minor deviations from normality that may not be detected by the normality te</w:t>
      </w:r>
      <w:r>
        <w:rPr>
          <w:rFonts w:ascii="Times New Roman" w:eastAsia="Times New Roman" w:hAnsi="Times New Roman" w:cs="Times New Roman"/>
        </w:rPr>
        <w:t>sts.</w:t>
      </w:r>
    </w:p>
    <w:tbl>
      <w:tblPr>
        <w:tblStyle w:val="a1"/>
        <w:tblW w:w="9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18"/>
        <w:gridCol w:w="1161"/>
        <w:gridCol w:w="1161"/>
        <w:gridCol w:w="1163"/>
        <w:gridCol w:w="1160"/>
        <w:gridCol w:w="1160"/>
        <w:gridCol w:w="1166"/>
      </w:tblGrid>
      <w:tr w:rsidR="00F83806" w14:paraId="2C9026F2" w14:textId="77777777">
        <w:trPr>
          <w:cantSplit/>
          <w:trHeight w:val="297"/>
        </w:trPr>
        <w:tc>
          <w:tcPr>
            <w:tcW w:w="9789" w:type="dxa"/>
            <w:gridSpan w:val="7"/>
            <w:tcBorders>
              <w:top w:val="nil"/>
              <w:left w:val="nil"/>
              <w:bottom w:val="nil"/>
              <w:right w:val="nil"/>
            </w:tcBorders>
            <w:shd w:val="clear" w:color="auto" w:fill="FFFFFF"/>
          </w:tcPr>
          <w:p w14:paraId="74D86463"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b/>
                <w:color w:val="000000"/>
              </w:rPr>
              <w:t>Table 3: Tests of Normality</w:t>
            </w:r>
          </w:p>
        </w:tc>
      </w:tr>
      <w:tr w:rsidR="00F83806" w14:paraId="48D9DBF0" w14:textId="77777777">
        <w:trPr>
          <w:cantSplit/>
          <w:trHeight w:val="133"/>
        </w:trPr>
        <w:tc>
          <w:tcPr>
            <w:tcW w:w="2818" w:type="dxa"/>
            <w:vMerge w:val="restart"/>
            <w:tcBorders>
              <w:top w:val="single" w:sz="16" w:space="0" w:color="000000"/>
              <w:left w:val="single" w:sz="16" w:space="0" w:color="000000"/>
              <w:bottom w:val="nil"/>
              <w:right w:val="single" w:sz="16" w:space="0" w:color="000000"/>
            </w:tcBorders>
            <w:shd w:val="clear" w:color="auto" w:fill="FFFFFF"/>
          </w:tcPr>
          <w:p w14:paraId="3132EADB" w14:textId="77777777" w:rsidR="00F83806" w:rsidRDefault="00F83806">
            <w:pPr>
              <w:spacing w:after="0"/>
              <w:ind w:left="60" w:right="60"/>
              <w:rPr>
                <w:rFonts w:ascii="Times New Roman" w:eastAsia="Times New Roman" w:hAnsi="Times New Roman" w:cs="Times New Roman"/>
                <w:color w:val="000000"/>
              </w:rPr>
            </w:pPr>
          </w:p>
        </w:tc>
        <w:tc>
          <w:tcPr>
            <w:tcW w:w="3485" w:type="dxa"/>
            <w:gridSpan w:val="3"/>
            <w:tcBorders>
              <w:top w:val="single" w:sz="16" w:space="0" w:color="000000"/>
              <w:left w:val="single" w:sz="16" w:space="0" w:color="000000"/>
            </w:tcBorders>
            <w:shd w:val="clear" w:color="auto" w:fill="FFFFFF"/>
          </w:tcPr>
          <w:p w14:paraId="09689E57"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Kolmogorov-Smirnov</w:t>
            </w:r>
            <w:r>
              <w:rPr>
                <w:rFonts w:ascii="Times New Roman" w:eastAsia="Times New Roman" w:hAnsi="Times New Roman" w:cs="Times New Roman"/>
                <w:color w:val="000000"/>
                <w:vertAlign w:val="superscript"/>
              </w:rPr>
              <w:t>a</w:t>
            </w:r>
          </w:p>
        </w:tc>
        <w:tc>
          <w:tcPr>
            <w:tcW w:w="3486" w:type="dxa"/>
            <w:gridSpan w:val="3"/>
            <w:tcBorders>
              <w:top w:val="single" w:sz="16" w:space="0" w:color="000000"/>
            </w:tcBorders>
            <w:shd w:val="clear" w:color="auto" w:fill="FFFFFF"/>
          </w:tcPr>
          <w:p w14:paraId="0D8F2DB9"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Shapiro-Wilk</w:t>
            </w:r>
          </w:p>
        </w:tc>
      </w:tr>
      <w:tr w:rsidR="00F83806" w14:paraId="2C695971" w14:textId="77777777">
        <w:trPr>
          <w:cantSplit/>
          <w:trHeight w:val="576"/>
        </w:trPr>
        <w:tc>
          <w:tcPr>
            <w:tcW w:w="2818" w:type="dxa"/>
            <w:vMerge/>
            <w:tcBorders>
              <w:top w:val="single" w:sz="16" w:space="0" w:color="000000"/>
              <w:left w:val="single" w:sz="16" w:space="0" w:color="000000"/>
              <w:bottom w:val="nil"/>
              <w:right w:val="single" w:sz="16" w:space="0" w:color="000000"/>
            </w:tcBorders>
            <w:shd w:val="clear" w:color="auto" w:fill="FFFFFF"/>
          </w:tcPr>
          <w:p w14:paraId="68D755D6" w14:textId="77777777" w:rsidR="00F83806" w:rsidRDefault="00F83806">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161" w:type="dxa"/>
            <w:tcBorders>
              <w:left w:val="single" w:sz="16" w:space="0" w:color="000000"/>
              <w:bottom w:val="single" w:sz="16" w:space="0" w:color="000000"/>
            </w:tcBorders>
            <w:shd w:val="clear" w:color="auto" w:fill="FFFFFF"/>
          </w:tcPr>
          <w:p w14:paraId="2804CFCE"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Statistic</w:t>
            </w:r>
          </w:p>
        </w:tc>
        <w:tc>
          <w:tcPr>
            <w:tcW w:w="1161" w:type="dxa"/>
            <w:tcBorders>
              <w:bottom w:val="single" w:sz="16" w:space="0" w:color="000000"/>
            </w:tcBorders>
            <w:shd w:val="clear" w:color="auto" w:fill="FFFFFF"/>
          </w:tcPr>
          <w:p w14:paraId="5BA4DC3D"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df</w:t>
            </w:r>
          </w:p>
        </w:tc>
        <w:tc>
          <w:tcPr>
            <w:tcW w:w="1163" w:type="dxa"/>
            <w:tcBorders>
              <w:bottom w:val="single" w:sz="16" w:space="0" w:color="000000"/>
            </w:tcBorders>
            <w:shd w:val="clear" w:color="auto" w:fill="FFFFFF"/>
          </w:tcPr>
          <w:p w14:paraId="5EA1F829"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Sig.</w:t>
            </w:r>
          </w:p>
        </w:tc>
        <w:tc>
          <w:tcPr>
            <w:tcW w:w="1160" w:type="dxa"/>
            <w:tcBorders>
              <w:bottom w:val="single" w:sz="16" w:space="0" w:color="000000"/>
            </w:tcBorders>
            <w:shd w:val="clear" w:color="auto" w:fill="FFFFFF"/>
          </w:tcPr>
          <w:p w14:paraId="06BA1B3C"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Statistic</w:t>
            </w:r>
          </w:p>
        </w:tc>
        <w:tc>
          <w:tcPr>
            <w:tcW w:w="1160" w:type="dxa"/>
            <w:tcBorders>
              <w:bottom w:val="single" w:sz="16" w:space="0" w:color="000000"/>
            </w:tcBorders>
            <w:shd w:val="clear" w:color="auto" w:fill="FFFFFF"/>
          </w:tcPr>
          <w:p w14:paraId="2CB37436"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df</w:t>
            </w:r>
          </w:p>
        </w:tc>
        <w:tc>
          <w:tcPr>
            <w:tcW w:w="1166" w:type="dxa"/>
            <w:tcBorders>
              <w:bottom w:val="single" w:sz="16" w:space="0" w:color="000000"/>
              <w:right w:val="single" w:sz="16" w:space="0" w:color="000000"/>
            </w:tcBorders>
            <w:shd w:val="clear" w:color="auto" w:fill="FFFFFF"/>
          </w:tcPr>
          <w:p w14:paraId="7B7E03EB"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Sig.</w:t>
            </w:r>
          </w:p>
        </w:tc>
      </w:tr>
      <w:tr w:rsidR="00F83806" w14:paraId="214A5F90" w14:textId="77777777">
        <w:trPr>
          <w:cantSplit/>
          <w:trHeight w:val="297"/>
        </w:trPr>
        <w:tc>
          <w:tcPr>
            <w:tcW w:w="2818" w:type="dxa"/>
            <w:tcBorders>
              <w:top w:val="single" w:sz="16" w:space="0" w:color="000000"/>
              <w:left w:val="single" w:sz="16" w:space="0" w:color="000000"/>
              <w:bottom w:val="nil"/>
              <w:right w:val="single" w:sz="16" w:space="0" w:color="000000"/>
            </w:tcBorders>
            <w:shd w:val="clear" w:color="auto" w:fill="FFFFFF"/>
            <w:vAlign w:val="center"/>
          </w:tcPr>
          <w:p w14:paraId="6098FC52"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Psychological_Health</w:t>
            </w:r>
            <w:proofErr w:type="spellEnd"/>
            <w:r>
              <w:rPr>
                <w:rFonts w:ascii="Times New Roman" w:eastAsia="Times New Roman" w:hAnsi="Times New Roman" w:cs="Times New Roman"/>
                <w:color w:val="000000"/>
              </w:rPr>
              <w:t xml:space="preserve"> (PH)</w:t>
            </w:r>
          </w:p>
        </w:tc>
        <w:tc>
          <w:tcPr>
            <w:tcW w:w="1161" w:type="dxa"/>
            <w:tcBorders>
              <w:top w:val="single" w:sz="16" w:space="0" w:color="000000"/>
              <w:left w:val="single" w:sz="16" w:space="0" w:color="000000"/>
              <w:bottom w:val="nil"/>
            </w:tcBorders>
            <w:shd w:val="clear" w:color="auto" w:fill="FFFFFF"/>
            <w:vAlign w:val="center"/>
          </w:tcPr>
          <w:p w14:paraId="6814BF70"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.114</w:t>
            </w:r>
          </w:p>
        </w:tc>
        <w:tc>
          <w:tcPr>
            <w:tcW w:w="1161" w:type="dxa"/>
            <w:tcBorders>
              <w:top w:val="single" w:sz="16" w:space="0" w:color="000000"/>
              <w:bottom w:val="nil"/>
            </w:tcBorders>
            <w:shd w:val="clear" w:color="auto" w:fill="FFFFFF"/>
            <w:vAlign w:val="center"/>
          </w:tcPr>
          <w:p w14:paraId="7F0109DE"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163" w:type="dxa"/>
            <w:tcBorders>
              <w:top w:val="single" w:sz="16" w:space="0" w:color="000000"/>
              <w:bottom w:val="nil"/>
            </w:tcBorders>
            <w:shd w:val="clear" w:color="auto" w:fill="FFFFFF"/>
            <w:vAlign w:val="center"/>
          </w:tcPr>
          <w:p w14:paraId="65E49636"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.053</w:t>
            </w:r>
          </w:p>
        </w:tc>
        <w:tc>
          <w:tcPr>
            <w:tcW w:w="1160" w:type="dxa"/>
            <w:tcBorders>
              <w:top w:val="single" w:sz="16" w:space="0" w:color="000000"/>
              <w:bottom w:val="nil"/>
            </w:tcBorders>
            <w:shd w:val="clear" w:color="auto" w:fill="FFFFFF"/>
            <w:vAlign w:val="center"/>
          </w:tcPr>
          <w:p w14:paraId="0D638C88"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.962</w:t>
            </w:r>
          </w:p>
        </w:tc>
        <w:tc>
          <w:tcPr>
            <w:tcW w:w="1160" w:type="dxa"/>
            <w:tcBorders>
              <w:top w:val="single" w:sz="16" w:space="0" w:color="000000"/>
              <w:bottom w:val="nil"/>
            </w:tcBorders>
            <w:shd w:val="clear" w:color="auto" w:fill="FFFFFF"/>
            <w:vAlign w:val="center"/>
          </w:tcPr>
          <w:p w14:paraId="3F12FAFF"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166" w:type="dxa"/>
            <w:tcBorders>
              <w:top w:val="single" w:sz="16" w:space="0" w:color="000000"/>
              <w:bottom w:val="nil"/>
              <w:right w:val="single" w:sz="16" w:space="0" w:color="000000"/>
            </w:tcBorders>
            <w:shd w:val="clear" w:color="auto" w:fill="FFFFFF"/>
            <w:vAlign w:val="center"/>
          </w:tcPr>
          <w:p w14:paraId="5633EE50"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.050</w:t>
            </w:r>
          </w:p>
        </w:tc>
      </w:tr>
      <w:tr w:rsidR="00F83806" w14:paraId="003FB503" w14:textId="77777777">
        <w:trPr>
          <w:cantSplit/>
          <w:trHeight w:val="297"/>
        </w:trPr>
        <w:tc>
          <w:tcPr>
            <w:tcW w:w="2818" w:type="dxa"/>
            <w:tcBorders>
              <w:top w:val="nil"/>
              <w:left w:val="single" w:sz="16" w:space="0" w:color="000000"/>
              <w:bottom w:val="nil"/>
              <w:right w:val="single" w:sz="16" w:space="0" w:color="000000"/>
            </w:tcBorders>
            <w:shd w:val="clear" w:color="auto" w:fill="FFFFFF"/>
            <w:vAlign w:val="center"/>
          </w:tcPr>
          <w:p w14:paraId="3D40CB63"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color w:val="000000"/>
              </w:rPr>
              <w:t>Age</w:t>
            </w:r>
          </w:p>
        </w:tc>
        <w:tc>
          <w:tcPr>
            <w:tcW w:w="1161" w:type="dxa"/>
            <w:tcBorders>
              <w:top w:val="nil"/>
              <w:left w:val="single" w:sz="16" w:space="0" w:color="000000"/>
              <w:bottom w:val="nil"/>
            </w:tcBorders>
            <w:shd w:val="clear" w:color="auto" w:fill="FFFFFF"/>
            <w:vAlign w:val="center"/>
          </w:tcPr>
          <w:p w14:paraId="79C77804"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.123</w:t>
            </w:r>
          </w:p>
        </w:tc>
        <w:tc>
          <w:tcPr>
            <w:tcW w:w="1161" w:type="dxa"/>
            <w:tcBorders>
              <w:top w:val="nil"/>
              <w:bottom w:val="nil"/>
            </w:tcBorders>
            <w:shd w:val="clear" w:color="auto" w:fill="FFFFFF"/>
            <w:vAlign w:val="center"/>
          </w:tcPr>
          <w:p w14:paraId="74543699"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163" w:type="dxa"/>
            <w:tcBorders>
              <w:top w:val="nil"/>
              <w:bottom w:val="nil"/>
            </w:tcBorders>
            <w:shd w:val="clear" w:color="auto" w:fill="FFFFFF"/>
            <w:vAlign w:val="center"/>
          </w:tcPr>
          <w:p w14:paraId="5DBF833E"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.061</w:t>
            </w:r>
          </w:p>
        </w:tc>
        <w:tc>
          <w:tcPr>
            <w:tcW w:w="1160" w:type="dxa"/>
            <w:tcBorders>
              <w:top w:val="nil"/>
              <w:bottom w:val="nil"/>
            </w:tcBorders>
            <w:shd w:val="clear" w:color="auto" w:fill="FFFFFF"/>
            <w:vAlign w:val="center"/>
          </w:tcPr>
          <w:p w14:paraId="171ABE83"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.928</w:t>
            </w:r>
          </w:p>
        </w:tc>
        <w:tc>
          <w:tcPr>
            <w:tcW w:w="1160" w:type="dxa"/>
            <w:tcBorders>
              <w:top w:val="nil"/>
              <w:bottom w:val="nil"/>
            </w:tcBorders>
            <w:shd w:val="clear" w:color="auto" w:fill="FFFFFF"/>
            <w:vAlign w:val="center"/>
          </w:tcPr>
          <w:p w14:paraId="780B6B06"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166" w:type="dxa"/>
            <w:tcBorders>
              <w:top w:val="nil"/>
              <w:bottom w:val="nil"/>
              <w:right w:val="single" w:sz="16" w:space="0" w:color="000000"/>
            </w:tcBorders>
            <w:shd w:val="clear" w:color="auto" w:fill="FFFFFF"/>
            <w:vAlign w:val="center"/>
          </w:tcPr>
          <w:p w14:paraId="6915B14D"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.060</w:t>
            </w:r>
          </w:p>
        </w:tc>
      </w:tr>
      <w:tr w:rsidR="00F83806" w14:paraId="7929BDE1" w14:textId="77777777">
        <w:trPr>
          <w:cantSplit/>
          <w:trHeight w:val="297"/>
        </w:trPr>
        <w:tc>
          <w:tcPr>
            <w:tcW w:w="2818" w:type="dxa"/>
            <w:tcBorders>
              <w:top w:val="nil"/>
              <w:left w:val="single" w:sz="16" w:space="0" w:color="000000"/>
              <w:bottom w:val="nil"/>
              <w:right w:val="single" w:sz="16" w:space="0" w:color="000000"/>
            </w:tcBorders>
            <w:shd w:val="clear" w:color="auto" w:fill="FFFFFF"/>
            <w:vAlign w:val="center"/>
          </w:tcPr>
          <w:p w14:paraId="270FE5FE"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color w:val="000000"/>
              </w:rPr>
              <w:t>Workload (WL)</w:t>
            </w:r>
          </w:p>
        </w:tc>
        <w:tc>
          <w:tcPr>
            <w:tcW w:w="1161" w:type="dxa"/>
            <w:tcBorders>
              <w:top w:val="nil"/>
              <w:left w:val="single" w:sz="16" w:space="0" w:color="000000"/>
              <w:bottom w:val="nil"/>
            </w:tcBorders>
            <w:shd w:val="clear" w:color="auto" w:fill="FFFFFF"/>
            <w:vAlign w:val="center"/>
          </w:tcPr>
          <w:p w14:paraId="27F71A11"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.092</w:t>
            </w:r>
          </w:p>
        </w:tc>
        <w:tc>
          <w:tcPr>
            <w:tcW w:w="1161" w:type="dxa"/>
            <w:tcBorders>
              <w:top w:val="nil"/>
              <w:bottom w:val="nil"/>
            </w:tcBorders>
            <w:shd w:val="clear" w:color="auto" w:fill="FFFFFF"/>
            <w:vAlign w:val="center"/>
          </w:tcPr>
          <w:p w14:paraId="4DAFC967"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163" w:type="dxa"/>
            <w:tcBorders>
              <w:top w:val="nil"/>
              <w:bottom w:val="nil"/>
            </w:tcBorders>
            <w:shd w:val="clear" w:color="auto" w:fill="FFFFFF"/>
            <w:vAlign w:val="center"/>
          </w:tcPr>
          <w:p w14:paraId="6BCE5C57"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.056</w:t>
            </w:r>
          </w:p>
        </w:tc>
        <w:tc>
          <w:tcPr>
            <w:tcW w:w="1160" w:type="dxa"/>
            <w:tcBorders>
              <w:top w:val="nil"/>
              <w:bottom w:val="nil"/>
            </w:tcBorders>
            <w:shd w:val="clear" w:color="auto" w:fill="FFFFFF"/>
            <w:vAlign w:val="center"/>
          </w:tcPr>
          <w:p w14:paraId="66B97355"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.962</w:t>
            </w:r>
          </w:p>
        </w:tc>
        <w:tc>
          <w:tcPr>
            <w:tcW w:w="1160" w:type="dxa"/>
            <w:tcBorders>
              <w:top w:val="nil"/>
              <w:bottom w:val="nil"/>
            </w:tcBorders>
            <w:shd w:val="clear" w:color="auto" w:fill="FFFFFF"/>
            <w:vAlign w:val="center"/>
          </w:tcPr>
          <w:p w14:paraId="738A7C49"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166" w:type="dxa"/>
            <w:tcBorders>
              <w:top w:val="nil"/>
              <w:bottom w:val="nil"/>
              <w:right w:val="single" w:sz="16" w:space="0" w:color="000000"/>
            </w:tcBorders>
            <w:shd w:val="clear" w:color="auto" w:fill="FFFFFF"/>
            <w:vAlign w:val="center"/>
          </w:tcPr>
          <w:p w14:paraId="22CEF8C1"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.062</w:t>
            </w:r>
          </w:p>
        </w:tc>
      </w:tr>
      <w:tr w:rsidR="00F83806" w14:paraId="655289B7" w14:textId="77777777">
        <w:trPr>
          <w:cantSplit/>
          <w:trHeight w:val="297"/>
        </w:trPr>
        <w:tc>
          <w:tcPr>
            <w:tcW w:w="2818" w:type="dxa"/>
            <w:tcBorders>
              <w:top w:val="nil"/>
              <w:left w:val="single" w:sz="16" w:space="0" w:color="000000"/>
              <w:bottom w:val="nil"/>
              <w:right w:val="single" w:sz="16" w:space="0" w:color="000000"/>
            </w:tcBorders>
            <w:shd w:val="clear" w:color="auto" w:fill="FFFFFF"/>
            <w:vAlign w:val="center"/>
          </w:tcPr>
          <w:p w14:paraId="516662AA" w14:textId="77777777" w:rsidR="00F83806" w:rsidRDefault="007B0A2A">
            <w:pPr>
              <w:spacing w:after="0"/>
              <w:ind w:left="60" w:right="6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Job_Insecurity</w:t>
            </w:r>
            <w:proofErr w:type="spellEnd"/>
            <w:r>
              <w:rPr>
                <w:rFonts w:ascii="Times New Roman" w:eastAsia="Times New Roman" w:hAnsi="Times New Roman" w:cs="Times New Roman"/>
                <w:color w:val="000000"/>
              </w:rPr>
              <w:t xml:space="preserve"> (JI)</w:t>
            </w:r>
          </w:p>
        </w:tc>
        <w:tc>
          <w:tcPr>
            <w:tcW w:w="1161" w:type="dxa"/>
            <w:tcBorders>
              <w:top w:val="nil"/>
              <w:left w:val="single" w:sz="16" w:space="0" w:color="000000"/>
              <w:bottom w:val="nil"/>
            </w:tcBorders>
            <w:shd w:val="clear" w:color="auto" w:fill="FFFFFF"/>
            <w:vAlign w:val="center"/>
          </w:tcPr>
          <w:p w14:paraId="5FE3EC65"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.094</w:t>
            </w:r>
          </w:p>
        </w:tc>
        <w:tc>
          <w:tcPr>
            <w:tcW w:w="1161" w:type="dxa"/>
            <w:tcBorders>
              <w:top w:val="nil"/>
              <w:bottom w:val="nil"/>
            </w:tcBorders>
            <w:shd w:val="clear" w:color="auto" w:fill="FFFFFF"/>
            <w:vAlign w:val="center"/>
          </w:tcPr>
          <w:p w14:paraId="45F0DA53"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163" w:type="dxa"/>
            <w:tcBorders>
              <w:top w:val="nil"/>
              <w:bottom w:val="nil"/>
            </w:tcBorders>
            <w:shd w:val="clear" w:color="auto" w:fill="FFFFFF"/>
            <w:vAlign w:val="center"/>
          </w:tcPr>
          <w:p w14:paraId="43F470C1"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.069</w:t>
            </w:r>
          </w:p>
        </w:tc>
        <w:tc>
          <w:tcPr>
            <w:tcW w:w="1160" w:type="dxa"/>
            <w:tcBorders>
              <w:top w:val="nil"/>
              <w:bottom w:val="nil"/>
            </w:tcBorders>
            <w:shd w:val="clear" w:color="auto" w:fill="FFFFFF"/>
            <w:vAlign w:val="center"/>
          </w:tcPr>
          <w:p w14:paraId="13966459"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.966</w:t>
            </w:r>
          </w:p>
        </w:tc>
        <w:tc>
          <w:tcPr>
            <w:tcW w:w="1160" w:type="dxa"/>
            <w:tcBorders>
              <w:top w:val="nil"/>
              <w:bottom w:val="nil"/>
            </w:tcBorders>
            <w:shd w:val="clear" w:color="auto" w:fill="FFFFFF"/>
            <w:vAlign w:val="center"/>
          </w:tcPr>
          <w:p w14:paraId="0B9461B5"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166" w:type="dxa"/>
            <w:tcBorders>
              <w:top w:val="nil"/>
              <w:bottom w:val="nil"/>
              <w:right w:val="single" w:sz="16" w:space="0" w:color="000000"/>
            </w:tcBorders>
            <w:shd w:val="clear" w:color="auto" w:fill="FFFFFF"/>
            <w:vAlign w:val="center"/>
          </w:tcPr>
          <w:p w14:paraId="56751925"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.057</w:t>
            </w:r>
          </w:p>
        </w:tc>
      </w:tr>
      <w:tr w:rsidR="00F83806" w14:paraId="13DF5610" w14:textId="77777777">
        <w:trPr>
          <w:cantSplit/>
          <w:trHeight w:val="297"/>
        </w:trPr>
        <w:tc>
          <w:tcPr>
            <w:tcW w:w="2818" w:type="dxa"/>
            <w:tcBorders>
              <w:top w:val="nil"/>
              <w:left w:val="single" w:sz="16" w:space="0" w:color="000000"/>
              <w:bottom w:val="single" w:sz="16" w:space="0" w:color="000000"/>
              <w:right w:val="single" w:sz="16" w:space="0" w:color="000000"/>
            </w:tcBorders>
            <w:shd w:val="clear" w:color="auto" w:fill="FFFFFF"/>
            <w:vAlign w:val="center"/>
          </w:tcPr>
          <w:p w14:paraId="2A7A1330" w14:textId="77777777" w:rsidR="00F83806" w:rsidRDefault="007B0A2A">
            <w:pPr>
              <w:spacing w:after="0"/>
              <w:ind w:left="60" w:right="6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Lack_of_Control</w:t>
            </w:r>
            <w:proofErr w:type="spellEnd"/>
            <w:r>
              <w:rPr>
                <w:rFonts w:ascii="Times New Roman" w:eastAsia="Times New Roman" w:hAnsi="Times New Roman" w:cs="Times New Roman"/>
                <w:color w:val="000000"/>
              </w:rPr>
              <w:t xml:space="preserve"> (LC)</w:t>
            </w:r>
          </w:p>
        </w:tc>
        <w:tc>
          <w:tcPr>
            <w:tcW w:w="1161" w:type="dxa"/>
            <w:tcBorders>
              <w:top w:val="nil"/>
              <w:left w:val="single" w:sz="16" w:space="0" w:color="000000"/>
              <w:bottom w:val="single" w:sz="16" w:space="0" w:color="000000"/>
            </w:tcBorders>
            <w:shd w:val="clear" w:color="auto" w:fill="FFFFFF"/>
            <w:vAlign w:val="center"/>
          </w:tcPr>
          <w:p w14:paraId="283EECE2"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.082</w:t>
            </w:r>
          </w:p>
        </w:tc>
        <w:tc>
          <w:tcPr>
            <w:tcW w:w="1161" w:type="dxa"/>
            <w:tcBorders>
              <w:top w:val="nil"/>
              <w:bottom w:val="single" w:sz="16" w:space="0" w:color="000000"/>
            </w:tcBorders>
            <w:shd w:val="clear" w:color="auto" w:fill="FFFFFF"/>
            <w:vAlign w:val="center"/>
          </w:tcPr>
          <w:p w14:paraId="111268C8"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163" w:type="dxa"/>
            <w:tcBorders>
              <w:top w:val="nil"/>
              <w:bottom w:val="single" w:sz="16" w:space="0" w:color="000000"/>
            </w:tcBorders>
            <w:shd w:val="clear" w:color="auto" w:fill="FFFFFF"/>
            <w:vAlign w:val="center"/>
          </w:tcPr>
          <w:p w14:paraId="0A4A697F"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.094</w:t>
            </w:r>
          </w:p>
        </w:tc>
        <w:tc>
          <w:tcPr>
            <w:tcW w:w="1160" w:type="dxa"/>
            <w:tcBorders>
              <w:top w:val="nil"/>
              <w:bottom w:val="single" w:sz="16" w:space="0" w:color="000000"/>
            </w:tcBorders>
            <w:shd w:val="clear" w:color="auto" w:fill="FFFFFF"/>
            <w:vAlign w:val="center"/>
          </w:tcPr>
          <w:p w14:paraId="63BDE063"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.972</w:t>
            </w:r>
          </w:p>
        </w:tc>
        <w:tc>
          <w:tcPr>
            <w:tcW w:w="1160" w:type="dxa"/>
            <w:tcBorders>
              <w:top w:val="nil"/>
              <w:bottom w:val="single" w:sz="16" w:space="0" w:color="000000"/>
            </w:tcBorders>
            <w:shd w:val="clear" w:color="auto" w:fill="FFFFFF"/>
            <w:vAlign w:val="center"/>
          </w:tcPr>
          <w:p w14:paraId="06561919"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166" w:type="dxa"/>
            <w:tcBorders>
              <w:top w:val="nil"/>
              <w:bottom w:val="single" w:sz="16" w:space="0" w:color="000000"/>
              <w:right w:val="single" w:sz="16" w:space="0" w:color="000000"/>
            </w:tcBorders>
            <w:shd w:val="clear" w:color="auto" w:fill="FFFFFF"/>
            <w:vAlign w:val="center"/>
          </w:tcPr>
          <w:p w14:paraId="300D9379"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.064</w:t>
            </w:r>
          </w:p>
        </w:tc>
      </w:tr>
    </w:tbl>
    <w:p w14:paraId="79F553C3" w14:textId="77777777" w:rsidR="00F83806" w:rsidRDefault="007B0A2A">
      <w:pPr>
        <w:spacing w:after="0"/>
        <w:rPr>
          <w:rFonts w:ascii="Times New Roman" w:eastAsia="Times New Roman" w:hAnsi="Times New Roman" w:cs="Times New Roman"/>
          <w:b/>
        </w:rPr>
      </w:pPr>
      <w:r>
        <w:rPr>
          <w:rFonts w:ascii="Times New Roman" w:eastAsia="Times New Roman" w:hAnsi="Times New Roman" w:cs="Times New Roman"/>
          <w:b/>
        </w:rPr>
        <w:t>Source: Authors (2025)</w:t>
      </w:r>
    </w:p>
    <w:p w14:paraId="539B69A2" w14:textId="77777777" w:rsidR="00F83806" w:rsidRDefault="007B0A2A">
      <w:pPr>
        <w:spacing w:after="0"/>
        <w:rPr>
          <w:rFonts w:ascii="Times New Roman" w:eastAsia="Times New Roman" w:hAnsi="Times New Roman" w:cs="Times New Roman"/>
          <w:b/>
        </w:rPr>
      </w:pPr>
      <w:proofErr w:type="spellStart"/>
      <w:r>
        <w:rPr>
          <w:rFonts w:ascii="Times New Roman" w:eastAsia="Times New Roman" w:hAnsi="Times New Roman" w:cs="Times New Roman"/>
          <w:b/>
        </w:rPr>
        <w:t>Multicolinearity</w:t>
      </w:r>
      <w:proofErr w:type="spellEnd"/>
      <w:r>
        <w:rPr>
          <w:rFonts w:ascii="Times New Roman" w:eastAsia="Times New Roman" w:hAnsi="Times New Roman" w:cs="Times New Roman"/>
          <w:b/>
        </w:rPr>
        <w:t xml:space="preserve"> test</w:t>
      </w:r>
    </w:p>
    <w:p w14:paraId="0C304731" w14:textId="77777777" w:rsidR="00F83806" w:rsidRDefault="007B0A2A">
      <w:pPr>
        <w:spacing w:after="0"/>
        <w:jc w:val="both"/>
        <w:rPr>
          <w:rFonts w:ascii="Times New Roman" w:eastAsia="Times New Roman" w:hAnsi="Times New Roman" w:cs="Times New Roman"/>
        </w:rPr>
      </w:pPr>
      <w:r>
        <w:rPr>
          <w:rFonts w:ascii="Times New Roman" w:eastAsia="Times New Roman" w:hAnsi="Times New Roman" w:cs="Times New Roman"/>
        </w:rPr>
        <w:t xml:space="preserve">The table presents the results of the Variance Inflation Factor (VIF) analysis, which is used to assess the level of </w:t>
      </w:r>
      <w:r>
        <w:rPr>
          <w:rFonts w:ascii="Times New Roman" w:eastAsia="Times New Roman" w:hAnsi="Times New Roman" w:cs="Times New Roman"/>
        </w:rPr>
        <w:t>multicollinearity between the independent variables in the model. Multicollinearity occurs when two or more independent variables are highly correlated with each other, which can lead to unstable estimates of the regression coefficients.</w:t>
      </w:r>
    </w:p>
    <w:p w14:paraId="3327E663" w14:textId="77777777" w:rsidR="00F83806" w:rsidRDefault="007B0A2A">
      <w:pPr>
        <w:spacing w:after="0"/>
        <w:jc w:val="both"/>
        <w:rPr>
          <w:rFonts w:ascii="Times New Roman" w:eastAsia="Times New Roman" w:hAnsi="Times New Roman" w:cs="Times New Roman"/>
        </w:rPr>
      </w:pPr>
      <w:r>
        <w:rPr>
          <w:rFonts w:ascii="Times New Roman" w:eastAsia="Times New Roman" w:hAnsi="Times New Roman" w:cs="Times New Roman"/>
        </w:rPr>
        <w:t>The VIF values for</w:t>
      </w:r>
      <w:r>
        <w:rPr>
          <w:rFonts w:ascii="Times New Roman" w:eastAsia="Times New Roman" w:hAnsi="Times New Roman" w:cs="Times New Roman"/>
        </w:rPr>
        <w:t xml:space="preserve"> each independent variable are; Lack of Control (LC): 3.91, Job Insecurity (JI): 2.432, Workload (WL): 3.134</w:t>
      </w:r>
    </w:p>
    <w:p w14:paraId="1CBE37AA" w14:textId="77777777" w:rsidR="00F83806" w:rsidRDefault="00F83806">
      <w:pPr>
        <w:spacing w:after="0"/>
        <w:jc w:val="both"/>
        <w:rPr>
          <w:rFonts w:ascii="Times New Roman" w:eastAsia="Times New Roman" w:hAnsi="Times New Roman" w:cs="Times New Roman"/>
        </w:rPr>
      </w:pPr>
    </w:p>
    <w:p w14:paraId="486A241D" w14:textId="77777777" w:rsidR="00F83806" w:rsidRDefault="007B0A2A">
      <w:pPr>
        <w:spacing w:after="0"/>
        <w:jc w:val="both"/>
        <w:rPr>
          <w:rFonts w:ascii="Times New Roman" w:eastAsia="Times New Roman" w:hAnsi="Times New Roman" w:cs="Times New Roman"/>
        </w:rPr>
      </w:pPr>
      <w:r>
        <w:rPr>
          <w:rFonts w:ascii="Times New Roman" w:eastAsia="Times New Roman" w:hAnsi="Times New Roman" w:cs="Times New Roman"/>
        </w:rPr>
        <w:t>The VIF values are all above 1, indicating that there is some level of multicollinearity between the independent variables. However, none of the V</w:t>
      </w:r>
      <w:r>
        <w:rPr>
          <w:rFonts w:ascii="Times New Roman" w:eastAsia="Times New Roman" w:hAnsi="Times New Roman" w:cs="Times New Roman"/>
        </w:rPr>
        <w:t>IF values exceed the conventional threshold of 5 or 10, which suggests that the level of multicollinearity is not severe.</w:t>
      </w:r>
    </w:p>
    <w:p w14:paraId="2AF83E95" w14:textId="77777777" w:rsidR="00F83806" w:rsidRDefault="007B0A2A">
      <w:pPr>
        <w:spacing w:after="0"/>
        <w:jc w:val="both"/>
        <w:rPr>
          <w:rFonts w:ascii="Times New Roman" w:eastAsia="Times New Roman" w:hAnsi="Times New Roman" w:cs="Times New Roman"/>
        </w:rPr>
      </w:pPr>
      <w:r>
        <w:rPr>
          <w:rFonts w:ascii="Times New Roman" w:eastAsia="Times New Roman" w:hAnsi="Times New Roman" w:cs="Times New Roman"/>
        </w:rPr>
        <w:t>The Mean VIF value is 2.158, which is also above 1, indicating that there is some level of multicollinearity between the independent v</w:t>
      </w:r>
      <w:r>
        <w:rPr>
          <w:rFonts w:ascii="Times New Roman" w:eastAsia="Times New Roman" w:hAnsi="Times New Roman" w:cs="Times New Roman"/>
        </w:rPr>
        <w:t>ariables.</w:t>
      </w:r>
    </w:p>
    <w:p w14:paraId="1085B000" w14:textId="77777777" w:rsidR="00F83806" w:rsidRDefault="007B0A2A">
      <w:pPr>
        <w:spacing w:after="0"/>
        <w:jc w:val="both"/>
        <w:rPr>
          <w:rFonts w:ascii="Times New Roman" w:eastAsia="Times New Roman" w:hAnsi="Times New Roman" w:cs="Times New Roman"/>
        </w:rPr>
      </w:pPr>
      <w:r>
        <w:rPr>
          <w:rFonts w:ascii="Times New Roman" w:eastAsia="Times New Roman" w:hAnsi="Times New Roman" w:cs="Times New Roman"/>
        </w:rPr>
        <w:t>In the context of the topic, "Psychosocial Risk Factors and Their Effects on Employees' Psychological Health in Some Construction Companies within the Centre Region of Cameroon," the VIF analysis suggests that the independent variables (Lack of C</w:t>
      </w:r>
      <w:r>
        <w:rPr>
          <w:rFonts w:ascii="Times New Roman" w:eastAsia="Times New Roman" w:hAnsi="Times New Roman" w:cs="Times New Roman"/>
        </w:rPr>
        <w:t>ontrol, Job Insecurity, and Workload) are somewhat correlated with each other. However, the level of multicollinearity is not severe, and the results can still be interpreted with caution.</w:t>
      </w:r>
    </w:p>
    <w:p w14:paraId="73BDA99E" w14:textId="77777777" w:rsidR="00F83806" w:rsidRDefault="007B0A2A">
      <w:pPr>
        <w:spacing w:after="0"/>
        <w:jc w:val="both"/>
        <w:rPr>
          <w:rFonts w:ascii="Times New Roman" w:eastAsia="Times New Roman" w:hAnsi="Times New Roman" w:cs="Times New Roman"/>
        </w:rPr>
      </w:pPr>
      <w:r>
        <w:rPr>
          <w:rFonts w:ascii="Times New Roman" w:eastAsia="Times New Roman" w:hAnsi="Times New Roman" w:cs="Times New Roman"/>
        </w:rPr>
        <w:t>The results suggest that the independent variables are related to e</w:t>
      </w:r>
      <w:r>
        <w:rPr>
          <w:rFonts w:ascii="Times New Roman" w:eastAsia="Times New Roman" w:hAnsi="Times New Roman" w:cs="Times New Roman"/>
        </w:rPr>
        <w:t>ach other, but they are still distinct constructs that can be used to predict employees' psychological health. For example, Lack of Control and Job Insecurity may be related to each other, but they still capture distinct aspects of the work environment tha</w:t>
      </w:r>
      <w:r>
        <w:rPr>
          <w:rFonts w:ascii="Times New Roman" w:eastAsia="Times New Roman" w:hAnsi="Times New Roman" w:cs="Times New Roman"/>
        </w:rPr>
        <w:t>t can impact employees' psychological health.</w:t>
      </w:r>
    </w:p>
    <w:p w14:paraId="4E210663" w14:textId="77777777" w:rsidR="00F83806" w:rsidRDefault="007B0A2A">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Table 4: Multicollinearity test </w:t>
      </w:r>
    </w:p>
    <w:tbl>
      <w:tblPr>
        <w:tblStyle w:val="a2"/>
        <w:tblW w:w="9684" w:type="dxa"/>
        <w:tblLayout w:type="fixed"/>
        <w:tblLook w:val="0000" w:firstRow="0" w:lastRow="0" w:firstColumn="0" w:lastColumn="0" w:noHBand="0" w:noVBand="0"/>
      </w:tblPr>
      <w:tblGrid>
        <w:gridCol w:w="4336"/>
        <w:gridCol w:w="2674"/>
        <w:gridCol w:w="2674"/>
      </w:tblGrid>
      <w:tr w:rsidR="00F83806" w14:paraId="0FA75348" w14:textId="77777777">
        <w:trPr>
          <w:trHeight w:val="251"/>
        </w:trPr>
        <w:tc>
          <w:tcPr>
            <w:tcW w:w="4336" w:type="dxa"/>
            <w:tcBorders>
              <w:top w:val="single" w:sz="4" w:space="0" w:color="000000"/>
              <w:left w:val="nil"/>
              <w:bottom w:val="single" w:sz="10" w:space="0" w:color="000000"/>
              <w:right w:val="nil"/>
            </w:tcBorders>
          </w:tcPr>
          <w:p w14:paraId="63FEE4B2"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w:t>
            </w:r>
          </w:p>
        </w:tc>
        <w:tc>
          <w:tcPr>
            <w:tcW w:w="2674" w:type="dxa"/>
            <w:tcBorders>
              <w:top w:val="single" w:sz="4" w:space="0" w:color="000000"/>
              <w:left w:val="nil"/>
              <w:bottom w:val="single" w:sz="10" w:space="0" w:color="000000"/>
              <w:right w:val="nil"/>
            </w:tcBorders>
          </w:tcPr>
          <w:p w14:paraId="44986D9C"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VIF</w:t>
            </w:r>
          </w:p>
        </w:tc>
        <w:tc>
          <w:tcPr>
            <w:tcW w:w="2674" w:type="dxa"/>
            <w:tcBorders>
              <w:top w:val="single" w:sz="4" w:space="0" w:color="000000"/>
              <w:left w:val="nil"/>
              <w:bottom w:val="single" w:sz="10" w:space="0" w:color="000000"/>
              <w:right w:val="nil"/>
            </w:tcBorders>
          </w:tcPr>
          <w:p w14:paraId="26B1D78F"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1/VIF</w:t>
            </w:r>
          </w:p>
        </w:tc>
      </w:tr>
      <w:tr w:rsidR="00F83806" w14:paraId="12ED163C" w14:textId="77777777">
        <w:trPr>
          <w:trHeight w:val="240"/>
        </w:trPr>
        <w:tc>
          <w:tcPr>
            <w:tcW w:w="4336" w:type="dxa"/>
            <w:tcBorders>
              <w:top w:val="nil"/>
              <w:left w:val="nil"/>
              <w:bottom w:val="nil"/>
              <w:right w:val="nil"/>
            </w:tcBorders>
          </w:tcPr>
          <w:p w14:paraId="2132ABD4" w14:textId="77777777" w:rsidR="00F83806" w:rsidRDefault="007B0A2A">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Lack of </w:t>
            </w:r>
            <w:proofErr w:type="spellStart"/>
            <w:r>
              <w:rPr>
                <w:rFonts w:ascii="Times New Roman" w:eastAsia="Times New Roman" w:hAnsi="Times New Roman" w:cs="Times New Roman"/>
              </w:rPr>
              <w:t>ControlLC</w:t>
            </w:r>
            <w:proofErr w:type="spellEnd"/>
          </w:p>
        </w:tc>
        <w:tc>
          <w:tcPr>
            <w:tcW w:w="2674" w:type="dxa"/>
            <w:tcBorders>
              <w:top w:val="nil"/>
              <w:left w:val="nil"/>
              <w:bottom w:val="nil"/>
              <w:right w:val="nil"/>
            </w:tcBorders>
          </w:tcPr>
          <w:p w14:paraId="2FF6A01C"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3.91</w:t>
            </w:r>
          </w:p>
        </w:tc>
        <w:tc>
          <w:tcPr>
            <w:tcW w:w="2674" w:type="dxa"/>
            <w:tcBorders>
              <w:top w:val="nil"/>
              <w:left w:val="nil"/>
              <w:bottom w:val="nil"/>
              <w:right w:val="nil"/>
            </w:tcBorders>
          </w:tcPr>
          <w:p w14:paraId="23691F93"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.256</w:t>
            </w:r>
          </w:p>
        </w:tc>
      </w:tr>
      <w:tr w:rsidR="00F83806" w14:paraId="1CC68564" w14:textId="77777777">
        <w:trPr>
          <w:trHeight w:val="251"/>
        </w:trPr>
        <w:tc>
          <w:tcPr>
            <w:tcW w:w="4336" w:type="dxa"/>
            <w:tcBorders>
              <w:top w:val="nil"/>
              <w:left w:val="nil"/>
              <w:bottom w:val="nil"/>
              <w:right w:val="nil"/>
            </w:tcBorders>
          </w:tcPr>
          <w:p w14:paraId="2C7AA861" w14:textId="77777777" w:rsidR="00F83806" w:rsidRDefault="007B0A2A">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Job </w:t>
            </w:r>
            <w:proofErr w:type="spellStart"/>
            <w:r>
              <w:rPr>
                <w:rFonts w:ascii="Times New Roman" w:eastAsia="Times New Roman" w:hAnsi="Times New Roman" w:cs="Times New Roman"/>
              </w:rPr>
              <w:t>InsecurityJI</w:t>
            </w:r>
            <w:proofErr w:type="spellEnd"/>
          </w:p>
        </w:tc>
        <w:tc>
          <w:tcPr>
            <w:tcW w:w="2674" w:type="dxa"/>
            <w:tcBorders>
              <w:top w:val="nil"/>
              <w:left w:val="nil"/>
              <w:bottom w:val="nil"/>
              <w:right w:val="nil"/>
            </w:tcBorders>
          </w:tcPr>
          <w:p w14:paraId="789A6DFF"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2.432</w:t>
            </w:r>
          </w:p>
        </w:tc>
        <w:tc>
          <w:tcPr>
            <w:tcW w:w="2674" w:type="dxa"/>
            <w:tcBorders>
              <w:top w:val="nil"/>
              <w:left w:val="nil"/>
              <w:bottom w:val="nil"/>
              <w:right w:val="nil"/>
            </w:tcBorders>
          </w:tcPr>
          <w:p w14:paraId="577ACAE5"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.411</w:t>
            </w:r>
          </w:p>
        </w:tc>
      </w:tr>
      <w:tr w:rsidR="00F83806" w14:paraId="4215DABE" w14:textId="77777777">
        <w:trPr>
          <w:trHeight w:val="251"/>
        </w:trPr>
        <w:tc>
          <w:tcPr>
            <w:tcW w:w="4336" w:type="dxa"/>
            <w:tcBorders>
              <w:top w:val="nil"/>
              <w:left w:val="nil"/>
              <w:bottom w:val="nil"/>
              <w:right w:val="nil"/>
            </w:tcBorders>
          </w:tcPr>
          <w:p w14:paraId="06F80AC6" w14:textId="77777777" w:rsidR="00F83806" w:rsidRDefault="007B0A2A">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WorkloadWL</w:t>
            </w:r>
            <w:proofErr w:type="spellEnd"/>
          </w:p>
        </w:tc>
        <w:tc>
          <w:tcPr>
            <w:tcW w:w="2674" w:type="dxa"/>
            <w:tcBorders>
              <w:top w:val="nil"/>
              <w:left w:val="nil"/>
              <w:bottom w:val="nil"/>
              <w:right w:val="nil"/>
            </w:tcBorders>
          </w:tcPr>
          <w:p w14:paraId="74C1FF4E"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3.134</w:t>
            </w:r>
          </w:p>
        </w:tc>
        <w:tc>
          <w:tcPr>
            <w:tcW w:w="2674" w:type="dxa"/>
            <w:tcBorders>
              <w:top w:val="nil"/>
              <w:left w:val="nil"/>
              <w:bottom w:val="nil"/>
              <w:right w:val="nil"/>
            </w:tcBorders>
          </w:tcPr>
          <w:p w14:paraId="516C4813"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.319</w:t>
            </w:r>
          </w:p>
        </w:tc>
      </w:tr>
      <w:tr w:rsidR="00F83806" w14:paraId="65EE55D0" w14:textId="77777777">
        <w:trPr>
          <w:trHeight w:val="251"/>
        </w:trPr>
        <w:tc>
          <w:tcPr>
            <w:tcW w:w="4336" w:type="dxa"/>
            <w:tcBorders>
              <w:top w:val="nil"/>
              <w:left w:val="nil"/>
              <w:bottom w:val="single" w:sz="6" w:space="0" w:color="000000"/>
              <w:right w:val="nil"/>
            </w:tcBorders>
          </w:tcPr>
          <w:p w14:paraId="5B757CB2" w14:textId="77777777" w:rsidR="00F83806" w:rsidRDefault="007B0A2A">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Mean VIF</w:t>
            </w:r>
          </w:p>
        </w:tc>
        <w:tc>
          <w:tcPr>
            <w:tcW w:w="2674" w:type="dxa"/>
            <w:tcBorders>
              <w:top w:val="nil"/>
              <w:left w:val="nil"/>
              <w:bottom w:val="single" w:sz="6" w:space="0" w:color="000000"/>
              <w:right w:val="nil"/>
            </w:tcBorders>
          </w:tcPr>
          <w:p w14:paraId="453D920E"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2.158</w:t>
            </w:r>
          </w:p>
        </w:tc>
        <w:tc>
          <w:tcPr>
            <w:tcW w:w="2674" w:type="dxa"/>
            <w:tcBorders>
              <w:top w:val="nil"/>
              <w:left w:val="nil"/>
              <w:bottom w:val="single" w:sz="6" w:space="0" w:color="000000"/>
              <w:right w:val="nil"/>
            </w:tcBorders>
          </w:tcPr>
          <w:p w14:paraId="6618F14F"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.463</w:t>
            </w:r>
          </w:p>
        </w:tc>
      </w:tr>
    </w:tbl>
    <w:p w14:paraId="035EFEE8" w14:textId="77777777" w:rsidR="00F83806" w:rsidRDefault="007B0A2A">
      <w:pPr>
        <w:spacing w:after="0"/>
        <w:rPr>
          <w:rFonts w:ascii="Times New Roman" w:eastAsia="Times New Roman" w:hAnsi="Times New Roman" w:cs="Times New Roman"/>
          <w:b/>
        </w:rPr>
      </w:pPr>
      <w:r>
        <w:rPr>
          <w:rFonts w:ascii="Times New Roman" w:eastAsia="Times New Roman" w:hAnsi="Times New Roman" w:cs="Times New Roman"/>
          <w:b/>
        </w:rPr>
        <w:lastRenderedPageBreak/>
        <w:t>Source: Authors (2025)</w:t>
      </w:r>
    </w:p>
    <w:p w14:paraId="6E65C4CC" w14:textId="77777777" w:rsidR="00F83806" w:rsidRDefault="00F83806">
      <w:pPr>
        <w:spacing w:after="0"/>
        <w:rPr>
          <w:rFonts w:ascii="Times New Roman" w:eastAsia="Times New Roman" w:hAnsi="Times New Roman" w:cs="Times New Roman"/>
          <w:b/>
        </w:rPr>
      </w:pPr>
    </w:p>
    <w:p w14:paraId="513BC0FE" w14:textId="77777777" w:rsidR="00F83806" w:rsidRDefault="007B0A2A">
      <w:pPr>
        <w:rPr>
          <w:rFonts w:ascii="Times New Roman" w:eastAsia="Times New Roman" w:hAnsi="Times New Roman" w:cs="Times New Roman"/>
          <w:b/>
          <w:i/>
        </w:rPr>
      </w:pPr>
      <w:r>
        <w:rPr>
          <w:rFonts w:ascii="Times New Roman" w:eastAsia="Times New Roman" w:hAnsi="Times New Roman" w:cs="Times New Roman"/>
          <w:b/>
          <w:i/>
        </w:rPr>
        <w:t>Heteroskedasticity Test</w:t>
      </w:r>
    </w:p>
    <w:p w14:paraId="7C67A5EA"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rPr>
        <w:t>Breusch-Pagan/Cook-Weisberg test is a statistical test used to detect the presence of heteroskedasticity in a regression model. Heteroskedasticity occurs when the variance of the residuals, or errors, in a regression model is not constant across all levels</w:t>
      </w:r>
      <w:r>
        <w:rPr>
          <w:rFonts w:ascii="Times New Roman" w:eastAsia="Times New Roman" w:hAnsi="Times New Roman" w:cs="Times New Roman"/>
        </w:rPr>
        <w:t xml:space="preserve"> of the independent variables. In other words, the spread of the residuals is not the same for all values of the independent variables.</w:t>
      </w:r>
    </w:p>
    <w:p w14:paraId="2F54F373"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The results of the Breusch-Pagan/Cook-Weisberg test indicate that there is significant evidence of heteroskedasticity in</w:t>
      </w:r>
      <w:r>
        <w:rPr>
          <w:rFonts w:ascii="Times New Roman" w:eastAsia="Times New Roman" w:hAnsi="Times New Roman" w:cs="Times New Roman"/>
        </w:rPr>
        <w:t xml:space="preserve"> the data. The chi-squared statistic is 11.18, and the probability of observing this statistic, or a more extreme value, under the null hypothesis of constant variance is 0.0008. This probability is very small, less than 0.01, which means that we reject th</w:t>
      </w:r>
      <w:r>
        <w:rPr>
          <w:rFonts w:ascii="Times New Roman" w:eastAsia="Times New Roman" w:hAnsi="Times New Roman" w:cs="Times New Roman"/>
        </w:rPr>
        <w:t>e null hypothesis and conclude that the variance of the residuals is not constant across all levels of the independent variables.</w:t>
      </w:r>
    </w:p>
    <w:p w14:paraId="690C5CEA"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In the context of the topic, "Psychosocial Risk Factors and Their Effects on Employees' Psychological Health in Some Construct</w:t>
      </w:r>
      <w:r>
        <w:rPr>
          <w:rFonts w:ascii="Times New Roman" w:eastAsia="Times New Roman" w:hAnsi="Times New Roman" w:cs="Times New Roman"/>
        </w:rPr>
        <w:t xml:space="preserve">ion Companies within the Centre Region of Cameroon," the presence of heteroskedasticity suggests that the relationship between the independent variables and the dependent variable, Psychological Health, is not constant across all levels of the independent </w:t>
      </w:r>
      <w:r>
        <w:rPr>
          <w:rFonts w:ascii="Times New Roman" w:eastAsia="Times New Roman" w:hAnsi="Times New Roman" w:cs="Times New Roman"/>
        </w:rPr>
        <w:t>variables. This could be due to various factors, such as non-linear relationships between the independent variables and the dependent variable, the presence of outliers or influential observations, or non-constant variance of the residuals across different</w:t>
      </w:r>
      <w:r>
        <w:rPr>
          <w:rFonts w:ascii="Times New Roman" w:eastAsia="Times New Roman" w:hAnsi="Times New Roman" w:cs="Times New Roman"/>
        </w:rPr>
        <w:t xml:space="preserve"> levels of the independent variables.</w:t>
      </w:r>
    </w:p>
    <w:p w14:paraId="1A556A8E"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The presence of heteroskedasticity has implications for the interpretation of the regression results. Specifically, the standard errors of the regression coefficients may be biased, which can lead to incorrect conclusi</w:t>
      </w:r>
      <w:r>
        <w:rPr>
          <w:rFonts w:ascii="Times New Roman" w:eastAsia="Times New Roman" w:hAnsi="Times New Roman" w:cs="Times New Roman"/>
        </w:rPr>
        <w:t>ons about the significance of the independent variables. To address heteroskedasticity, researchers may consider using robust standard errors, transforming the data, or using alternative regression models that can accommodate non-constant variance. By addr</w:t>
      </w:r>
      <w:r>
        <w:rPr>
          <w:rFonts w:ascii="Times New Roman" w:eastAsia="Times New Roman" w:hAnsi="Times New Roman" w:cs="Times New Roman"/>
        </w:rPr>
        <w:t>essing heteroskedasticity, researchers can increase the accuracy and reliability of their regression results.</w:t>
      </w:r>
    </w:p>
    <w:p w14:paraId="59E5927D" w14:textId="77777777" w:rsidR="00F83806" w:rsidRDefault="007B0A2A">
      <w:pPr>
        <w:jc w:val="both"/>
        <w:rPr>
          <w:rFonts w:ascii="Times New Roman" w:eastAsia="Times New Roman" w:hAnsi="Times New Roman" w:cs="Times New Roman"/>
          <w:b/>
        </w:rPr>
      </w:pPr>
      <w:r>
        <w:rPr>
          <w:rFonts w:ascii="Times New Roman" w:eastAsia="Times New Roman" w:hAnsi="Times New Roman" w:cs="Times New Roman"/>
          <w:b/>
        </w:rPr>
        <w:t>Table 5: Heteroskedasticity</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83806" w14:paraId="64CEC6E7" w14:textId="77777777">
        <w:tc>
          <w:tcPr>
            <w:tcW w:w="9350" w:type="dxa"/>
          </w:tcPr>
          <w:p w14:paraId="5731BB7F" w14:textId="77777777" w:rsidR="00F83806" w:rsidRDefault="007B0A2A">
            <w:pPr>
              <w:widowControl w:val="0"/>
              <w:rPr>
                <w:rFonts w:ascii="Times New Roman" w:eastAsia="Times New Roman" w:hAnsi="Times New Roman" w:cs="Times New Roman"/>
              </w:rPr>
            </w:pPr>
            <w:r>
              <w:rPr>
                <w:rFonts w:ascii="Times New Roman" w:eastAsia="Times New Roman" w:hAnsi="Times New Roman" w:cs="Times New Roman"/>
              </w:rPr>
              <w:t xml:space="preserve">Breusch-Pagan / Cook-Weisberg test for heteroskedasticity </w:t>
            </w:r>
            <w:r>
              <w:rPr>
                <w:rFonts w:ascii="Times New Roman" w:eastAsia="Times New Roman" w:hAnsi="Times New Roman" w:cs="Times New Roman"/>
              </w:rPr>
              <w:br/>
              <w:t xml:space="preserve">         Ho: Constant variance</w:t>
            </w:r>
            <w:r>
              <w:rPr>
                <w:rFonts w:ascii="Times New Roman" w:eastAsia="Times New Roman" w:hAnsi="Times New Roman" w:cs="Times New Roman"/>
              </w:rPr>
              <w:br/>
              <w:t xml:space="preserve">         Variables: fitted v</w:t>
            </w:r>
            <w:r>
              <w:rPr>
                <w:rFonts w:ascii="Times New Roman" w:eastAsia="Times New Roman" w:hAnsi="Times New Roman" w:cs="Times New Roman"/>
              </w:rPr>
              <w:t>alues of Psychological Health (PH)</w:t>
            </w:r>
            <w:r>
              <w:rPr>
                <w:rFonts w:ascii="Times New Roman" w:eastAsia="Times New Roman" w:hAnsi="Times New Roman" w:cs="Times New Roman"/>
              </w:rPr>
              <w:br/>
              <w:t xml:space="preserve">         chi2(1)      =    11.18</w:t>
            </w:r>
            <w:r>
              <w:rPr>
                <w:rFonts w:ascii="Times New Roman" w:eastAsia="Times New Roman" w:hAnsi="Times New Roman" w:cs="Times New Roman"/>
              </w:rPr>
              <w:br/>
              <w:t xml:space="preserve">         Prob &gt; chi</w:t>
            </w:r>
            <w:proofErr w:type="gramStart"/>
            <w:r>
              <w:rPr>
                <w:rFonts w:ascii="Times New Roman" w:eastAsia="Times New Roman" w:hAnsi="Times New Roman" w:cs="Times New Roman"/>
              </w:rPr>
              <w:t>2  =</w:t>
            </w:r>
            <w:proofErr w:type="gramEnd"/>
            <w:r>
              <w:rPr>
                <w:rFonts w:ascii="Times New Roman" w:eastAsia="Times New Roman" w:hAnsi="Times New Roman" w:cs="Times New Roman"/>
              </w:rPr>
              <w:t xml:space="preserve">   0.0008</w:t>
            </w:r>
          </w:p>
          <w:p w14:paraId="29F2DB2B" w14:textId="77777777" w:rsidR="00F83806" w:rsidRDefault="00F83806">
            <w:pPr>
              <w:jc w:val="both"/>
              <w:rPr>
                <w:rFonts w:ascii="Times New Roman" w:eastAsia="Times New Roman" w:hAnsi="Times New Roman" w:cs="Times New Roman"/>
              </w:rPr>
            </w:pPr>
          </w:p>
        </w:tc>
      </w:tr>
    </w:tbl>
    <w:p w14:paraId="6BB1744A" w14:textId="77777777" w:rsidR="00F83806" w:rsidRDefault="007B0A2A">
      <w:pPr>
        <w:spacing w:after="0"/>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Source: Authors (2025)</w:t>
      </w:r>
    </w:p>
    <w:p w14:paraId="11C73C10" w14:textId="77777777" w:rsidR="00F83806" w:rsidRDefault="00F83806">
      <w:pPr>
        <w:widowControl w:val="0"/>
        <w:spacing w:after="0" w:line="240" w:lineRule="auto"/>
        <w:rPr>
          <w:rFonts w:ascii="Times New Roman" w:eastAsia="Times New Roman" w:hAnsi="Times New Roman" w:cs="Times New Roman"/>
        </w:rPr>
      </w:pPr>
    </w:p>
    <w:p w14:paraId="2357EAFC" w14:textId="77777777" w:rsidR="00F83806" w:rsidRDefault="007B0A2A">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Pairwise correlation test</w:t>
      </w:r>
    </w:p>
    <w:p w14:paraId="7EDE8FB9" w14:textId="77777777" w:rsidR="00F83806" w:rsidRDefault="007B0A2A">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correlation matrix presented in the table provides insight into the relationships between the </w:t>
      </w:r>
      <w:r>
        <w:rPr>
          <w:rFonts w:ascii="Times New Roman" w:eastAsia="Times New Roman" w:hAnsi="Times New Roman" w:cs="Times New Roman"/>
        </w:rPr>
        <w:t>variables Psychological Health (PH), Workload (WL), Job Insecurity (JI), and Lack of Control (LC). The correlation coefficients range from -1 to 1, indicating the strength and direction of the linear relationships between the variables. A correlation coeff</w:t>
      </w:r>
      <w:r>
        <w:rPr>
          <w:rFonts w:ascii="Times New Roman" w:eastAsia="Times New Roman" w:hAnsi="Times New Roman" w:cs="Times New Roman"/>
        </w:rPr>
        <w:t>icient close to 1 indicates a strong positive linear relationship, while a coefficient close to -1 indicates a strong negative linear relationship.</w:t>
      </w:r>
    </w:p>
    <w:p w14:paraId="3B3CA5AB" w14:textId="77777777" w:rsidR="00F83806" w:rsidRDefault="00F83806">
      <w:pPr>
        <w:widowControl w:val="0"/>
        <w:spacing w:after="0" w:line="240" w:lineRule="auto"/>
        <w:jc w:val="both"/>
        <w:rPr>
          <w:rFonts w:ascii="Times New Roman" w:eastAsia="Times New Roman" w:hAnsi="Times New Roman" w:cs="Times New Roman"/>
        </w:rPr>
      </w:pPr>
    </w:p>
    <w:p w14:paraId="20AC5588" w14:textId="77777777" w:rsidR="00F83806" w:rsidRDefault="007B0A2A">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results of the correlation matrix indicate that Psychological Health (PH) is strongly negatively </w:t>
      </w:r>
      <w:r>
        <w:rPr>
          <w:rFonts w:ascii="Times New Roman" w:eastAsia="Times New Roman" w:hAnsi="Times New Roman" w:cs="Times New Roman"/>
        </w:rPr>
        <w:lastRenderedPageBreak/>
        <w:t>correl</w:t>
      </w:r>
      <w:r>
        <w:rPr>
          <w:rFonts w:ascii="Times New Roman" w:eastAsia="Times New Roman" w:hAnsi="Times New Roman" w:cs="Times New Roman"/>
        </w:rPr>
        <w:t>ated with Workload (WL), Job Insecurity (JI), and Lack of Control (LC). This suggests that as Workload, Job Insecurity, and Lack of Control increase, Psychological Health tends to decrease. This finding is consistent with the literature on psychosocial ris</w:t>
      </w:r>
      <w:r>
        <w:rPr>
          <w:rFonts w:ascii="Times New Roman" w:eastAsia="Times New Roman" w:hAnsi="Times New Roman" w:cs="Times New Roman"/>
        </w:rPr>
        <w:t>k factors, which suggests that high levels of Workload, Job Insecurity, and Lack of Control can have negative effects on employees' Psychological Health.</w:t>
      </w:r>
    </w:p>
    <w:p w14:paraId="0E5A1608" w14:textId="77777777" w:rsidR="00F83806" w:rsidRDefault="00F83806">
      <w:pPr>
        <w:widowControl w:val="0"/>
        <w:spacing w:after="0" w:line="240" w:lineRule="auto"/>
        <w:jc w:val="both"/>
        <w:rPr>
          <w:rFonts w:ascii="Times New Roman" w:eastAsia="Times New Roman" w:hAnsi="Times New Roman" w:cs="Times New Roman"/>
        </w:rPr>
      </w:pPr>
    </w:p>
    <w:p w14:paraId="310BD94B" w14:textId="77777777" w:rsidR="00F83806" w:rsidRDefault="007B0A2A">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Furthermore, the correlation matrix indicates that Workload (WL) is strongly positively correlated wi</w:t>
      </w:r>
      <w:r>
        <w:rPr>
          <w:rFonts w:ascii="Times New Roman" w:eastAsia="Times New Roman" w:hAnsi="Times New Roman" w:cs="Times New Roman"/>
        </w:rPr>
        <w:t>th Job Insecurity (JI) and Lack of Control (LC). This suggests that Workload, Job Insecurity, and Lack of Control tend to increase together. This finding is also consistent with the literature, which suggests that these psychosocial risk factors often clus</w:t>
      </w:r>
      <w:r>
        <w:rPr>
          <w:rFonts w:ascii="Times New Roman" w:eastAsia="Times New Roman" w:hAnsi="Times New Roman" w:cs="Times New Roman"/>
        </w:rPr>
        <w:t>ter together. For example, employees who experience high levels of Workload may also experience high levels of Job Insecurity and Lack of Control.</w:t>
      </w:r>
    </w:p>
    <w:p w14:paraId="2E9BE86A" w14:textId="77777777" w:rsidR="00F83806" w:rsidRDefault="00F83806">
      <w:pPr>
        <w:widowControl w:val="0"/>
        <w:spacing w:after="0" w:line="240" w:lineRule="auto"/>
        <w:jc w:val="both"/>
        <w:rPr>
          <w:rFonts w:ascii="Times New Roman" w:eastAsia="Times New Roman" w:hAnsi="Times New Roman" w:cs="Times New Roman"/>
        </w:rPr>
      </w:pPr>
    </w:p>
    <w:p w14:paraId="2E300001" w14:textId="77777777" w:rsidR="00F83806" w:rsidRDefault="007B0A2A">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correlation matrix also indicates that Job Insecurity (JI) is strongly positively correlated with Lack o</w:t>
      </w:r>
      <w:r>
        <w:rPr>
          <w:rFonts w:ascii="Times New Roman" w:eastAsia="Times New Roman" w:hAnsi="Times New Roman" w:cs="Times New Roman"/>
        </w:rPr>
        <w:t>f Control (LC). This suggests that Job Insecurity and Lack of Control tend to increase together. This finding is consistent with the literature, which suggests that employees who experience high levels of Job Insecurity may also experience high levels of L</w:t>
      </w:r>
      <w:r>
        <w:rPr>
          <w:rFonts w:ascii="Times New Roman" w:eastAsia="Times New Roman" w:hAnsi="Times New Roman" w:cs="Times New Roman"/>
        </w:rPr>
        <w:t>ack of Control.</w:t>
      </w:r>
    </w:p>
    <w:p w14:paraId="027CE382" w14:textId="77777777" w:rsidR="00F83806" w:rsidRDefault="00F83806">
      <w:pPr>
        <w:widowControl w:val="0"/>
        <w:spacing w:after="0" w:line="240" w:lineRule="auto"/>
        <w:jc w:val="both"/>
        <w:rPr>
          <w:rFonts w:ascii="Times New Roman" w:eastAsia="Times New Roman" w:hAnsi="Times New Roman" w:cs="Times New Roman"/>
        </w:rPr>
      </w:pPr>
    </w:p>
    <w:p w14:paraId="0C30AE19" w14:textId="77777777" w:rsidR="00F83806" w:rsidRDefault="007B0A2A">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In the context of the topic, "Psychosocial Risk Factors and Their Effects on Employees' Psychological Health in Some Construction Companies within the Centre Region of Cameroon," the correlation matrix suggests that psychosocial risk facto</w:t>
      </w:r>
      <w:r>
        <w:rPr>
          <w:rFonts w:ascii="Times New Roman" w:eastAsia="Times New Roman" w:hAnsi="Times New Roman" w:cs="Times New Roman"/>
        </w:rPr>
        <w:t>rs such as Workload, Job Insecurity, and Lack of Control are strongly associated with decreased Psychological Health. These findings have implications for the development of interventions aimed at mitigating the effects of psychosocial risk factors on empl</w:t>
      </w:r>
      <w:r>
        <w:rPr>
          <w:rFonts w:ascii="Times New Roman" w:eastAsia="Times New Roman" w:hAnsi="Times New Roman" w:cs="Times New Roman"/>
        </w:rPr>
        <w:t>oyees' Psychological Health.</w:t>
      </w:r>
    </w:p>
    <w:p w14:paraId="4293AD95" w14:textId="77777777" w:rsidR="00F83806" w:rsidRDefault="007B0A2A">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Table 6: matrix correlation test</w:t>
      </w:r>
    </w:p>
    <w:tbl>
      <w:tblPr>
        <w:tblStyle w:val="a4"/>
        <w:tblW w:w="9302" w:type="dxa"/>
        <w:tblLayout w:type="fixed"/>
        <w:tblLook w:val="0000" w:firstRow="0" w:lastRow="0" w:firstColumn="0" w:lastColumn="0" w:noHBand="0" w:noVBand="0"/>
      </w:tblPr>
      <w:tblGrid>
        <w:gridCol w:w="3750"/>
        <w:gridCol w:w="1387"/>
        <w:gridCol w:w="1387"/>
        <w:gridCol w:w="1387"/>
        <w:gridCol w:w="1391"/>
      </w:tblGrid>
      <w:tr w:rsidR="00F83806" w14:paraId="69051BB5" w14:textId="77777777">
        <w:trPr>
          <w:trHeight w:val="254"/>
        </w:trPr>
        <w:tc>
          <w:tcPr>
            <w:tcW w:w="3750" w:type="dxa"/>
            <w:tcBorders>
              <w:top w:val="single" w:sz="4" w:space="0" w:color="000000"/>
              <w:left w:val="nil"/>
              <w:bottom w:val="single" w:sz="6" w:space="0" w:color="000000"/>
              <w:right w:val="nil"/>
            </w:tcBorders>
          </w:tcPr>
          <w:p w14:paraId="3676F5F3" w14:textId="77777777" w:rsidR="00F83806" w:rsidRDefault="007B0A2A">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Variables</w:t>
            </w:r>
          </w:p>
        </w:tc>
        <w:tc>
          <w:tcPr>
            <w:tcW w:w="1387" w:type="dxa"/>
            <w:tcBorders>
              <w:top w:val="single" w:sz="4" w:space="0" w:color="000000"/>
              <w:left w:val="nil"/>
              <w:bottom w:val="single" w:sz="6" w:space="0" w:color="000000"/>
              <w:right w:val="nil"/>
            </w:tcBorders>
          </w:tcPr>
          <w:p w14:paraId="0CC64B1D"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387" w:type="dxa"/>
            <w:tcBorders>
              <w:top w:val="single" w:sz="4" w:space="0" w:color="000000"/>
              <w:left w:val="nil"/>
              <w:bottom w:val="single" w:sz="6" w:space="0" w:color="000000"/>
              <w:right w:val="nil"/>
            </w:tcBorders>
          </w:tcPr>
          <w:p w14:paraId="2E3C573A"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387" w:type="dxa"/>
            <w:tcBorders>
              <w:top w:val="single" w:sz="4" w:space="0" w:color="000000"/>
              <w:left w:val="nil"/>
              <w:bottom w:val="single" w:sz="6" w:space="0" w:color="000000"/>
              <w:right w:val="nil"/>
            </w:tcBorders>
          </w:tcPr>
          <w:p w14:paraId="5BEB0EAE"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(3)</w:t>
            </w:r>
          </w:p>
        </w:tc>
        <w:tc>
          <w:tcPr>
            <w:tcW w:w="1391" w:type="dxa"/>
            <w:tcBorders>
              <w:top w:val="single" w:sz="4" w:space="0" w:color="000000"/>
              <w:left w:val="nil"/>
              <w:bottom w:val="single" w:sz="6" w:space="0" w:color="000000"/>
              <w:right w:val="nil"/>
            </w:tcBorders>
          </w:tcPr>
          <w:p w14:paraId="639F1568"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(4)</w:t>
            </w:r>
          </w:p>
        </w:tc>
      </w:tr>
      <w:tr w:rsidR="00F83806" w14:paraId="096CEEA3" w14:textId="77777777">
        <w:trPr>
          <w:trHeight w:val="243"/>
        </w:trPr>
        <w:tc>
          <w:tcPr>
            <w:tcW w:w="3750" w:type="dxa"/>
            <w:tcBorders>
              <w:top w:val="nil"/>
              <w:left w:val="nil"/>
              <w:bottom w:val="nil"/>
              <w:right w:val="nil"/>
            </w:tcBorders>
          </w:tcPr>
          <w:p w14:paraId="0404E24C" w14:textId="77777777" w:rsidR="00F83806" w:rsidRDefault="007B0A2A">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 Psychological Health (PH)</w:t>
            </w:r>
          </w:p>
        </w:tc>
        <w:tc>
          <w:tcPr>
            <w:tcW w:w="1387" w:type="dxa"/>
            <w:tcBorders>
              <w:top w:val="nil"/>
              <w:left w:val="nil"/>
              <w:bottom w:val="nil"/>
              <w:right w:val="nil"/>
            </w:tcBorders>
          </w:tcPr>
          <w:p w14:paraId="4A6A3488"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1.000</w:t>
            </w:r>
          </w:p>
        </w:tc>
        <w:tc>
          <w:tcPr>
            <w:tcW w:w="1387" w:type="dxa"/>
            <w:tcBorders>
              <w:top w:val="nil"/>
              <w:left w:val="nil"/>
              <w:bottom w:val="nil"/>
              <w:right w:val="nil"/>
            </w:tcBorders>
          </w:tcPr>
          <w:p w14:paraId="676E24B7" w14:textId="77777777" w:rsidR="00F83806" w:rsidRDefault="00F83806">
            <w:pPr>
              <w:widowControl w:val="0"/>
              <w:spacing w:after="0" w:line="240" w:lineRule="auto"/>
              <w:jc w:val="right"/>
              <w:rPr>
                <w:rFonts w:ascii="Times New Roman" w:eastAsia="Times New Roman" w:hAnsi="Times New Roman" w:cs="Times New Roman"/>
              </w:rPr>
            </w:pPr>
          </w:p>
        </w:tc>
        <w:tc>
          <w:tcPr>
            <w:tcW w:w="1387" w:type="dxa"/>
            <w:tcBorders>
              <w:top w:val="nil"/>
              <w:left w:val="nil"/>
              <w:bottom w:val="nil"/>
              <w:right w:val="nil"/>
            </w:tcBorders>
          </w:tcPr>
          <w:p w14:paraId="07835C1F" w14:textId="77777777" w:rsidR="00F83806" w:rsidRDefault="00F83806">
            <w:pPr>
              <w:widowControl w:val="0"/>
              <w:spacing w:after="0" w:line="240" w:lineRule="auto"/>
              <w:jc w:val="right"/>
              <w:rPr>
                <w:rFonts w:ascii="Times New Roman" w:eastAsia="Times New Roman" w:hAnsi="Times New Roman" w:cs="Times New Roman"/>
              </w:rPr>
            </w:pPr>
          </w:p>
        </w:tc>
        <w:tc>
          <w:tcPr>
            <w:tcW w:w="1391" w:type="dxa"/>
            <w:tcBorders>
              <w:top w:val="nil"/>
              <w:left w:val="nil"/>
              <w:bottom w:val="nil"/>
              <w:right w:val="nil"/>
            </w:tcBorders>
          </w:tcPr>
          <w:p w14:paraId="5571CA5B" w14:textId="77777777" w:rsidR="00F83806" w:rsidRDefault="00F83806">
            <w:pPr>
              <w:widowControl w:val="0"/>
              <w:spacing w:after="0" w:line="240" w:lineRule="auto"/>
              <w:jc w:val="right"/>
              <w:rPr>
                <w:rFonts w:ascii="Times New Roman" w:eastAsia="Times New Roman" w:hAnsi="Times New Roman" w:cs="Times New Roman"/>
              </w:rPr>
            </w:pPr>
          </w:p>
        </w:tc>
      </w:tr>
      <w:tr w:rsidR="00F83806" w14:paraId="19134D25" w14:textId="77777777">
        <w:trPr>
          <w:trHeight w:val="254"/>
        </w:trPr>
        <w:tc>
          <w:tcPr>
            <w:tcW w:w="3750" w:type="dxa"/>
            <w:tcBorders>
              <w:top w:val="nil"/>
              <w:left w:val="nil"/>
              <w:bottom w:val="nil"/>
              <w:right w:val="nil"/>
            </w:tcBorders>
          </w:tcPr>
          <w:p w14:paraId="330B9412" w14:textId="77777777" w:rsidR="00F83806" w:rsidRDefault="007B0A2A">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 Workload (WL)</w:t>
            </w:r>
          </w:p>
        </w:tc>
        <w:tc>
          <w:tcPr>
            <w:tcW w:w="1387" w:type="dxa"/>
            <w:tcBorders>
              <w:top w:val="nil"/>
              <w:left w:val="nil"/>
              <w:bottom w:val="nil"/>
              <w:right w:val="nil"/>
            </w:tcBorders>
          </w:tcPr>
          <w:p w14:paraId="5E3C3A7F"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-0.879</w:t>
            </w:r>
          </w:p>
        </w:tc>
        <w:tc>
          <w:tcPr>
            <w:tcW w:w="1387" w:type="dxa"/>
            <w:tcBorders>
              <w:top w:val="nil"/>
              <w:left w:val="nil"/>
              <w:bottom w:val="nil"/>
              <w:right w:val="nil"/>
            </w:tcBorders>
          </w:tcPr>
          <w:p w14:paraId="479D10AC"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1.000</w:t>
            </w:r>
          </w:p>
        </w:tc>
        <w:tc>
          <w:tcPr>
            <w:tcW w:w="1387" w:type="dxa"/>
            <w:tcBorders>
              <w:top w:val="nil"/>
              <w:left w:val="nil"/>
              <w:bottom w:val="nil"/>
              <w:right w:val="nil"/>
            </w:tcBorders>
          </w:tcPr>
          <w:p w14:paraId="6F957DF5" w14:textId="77777777" w:rsidR="00F83806" w:rsidRDefault="00F83806">
            <w:pPr>
              <w:widowControl w:val="0"/>
              <w:spacing w:after="0" w:line="240" w:lineRule="auto"/>
              <w:jc w:val="right"/>
              <w:rPr>
                <w:rFonts w:ascii="Times New Roman" w:eastAsia="Times New Roman" w:hAnsi="Times New Roman" w:cs="Times New Roman"/>
              </w:rPr>
            </w:pPr>
          </w:p>
        </w:tc>
        <w:tc>
          <w:tcPr>
            <w:tcW w:w="1391" w:type="dxa"/>
            <w:tcBorders>
              <w:top w:val="nil"/>
              <w:left w:val="nil"/>
              <w:bottom w:val="nil"/>
              <w:right w:val="nil"/>
            </w:tcBorders>
          </w:tcPr>
          <w:p w14:paraId="550E1A49" w14:textId="77777777" w:rsidR="00F83806" w:rsidRDefault="00F83806">
            <w:pPr>
              <w:widowControl w:val="0"/>
              <w:spacing w:after="0" w:line="240" w:lineRule="auto"/>
              <w:jc w:val="right"/>
              <w:rPr>
                <w:rFonts w:ascii="Times New Roman" w:eastAsia="Times New Roman" w:hAnsi="Times New Roman" w:cs="Times New Roman"/>
              </w:rPr>
            </w:pPr>
          </w:p>
        </w:tc>
      </w:tr>
      <w:tr w:rsidR="00F83806" w14:paraId="1DB2CFFB" w14:textId="77777777">
        <w:trPr>
          <w:trHeight w:val="254"/>
        </w:trPr>
        <w:tc>
          <w:tcPr>
            <w:tcW w:w="3750" w:type="dxa"/>
            <w:tcBorders>
              <w:top w:val="nil"/>
              <w:left w:val="nil"/>
              <w:bottom w:val="nil"/>
              <w:right w:val="nil"/>
            </w:tcBorders>
          </w:tcPr>
          <w:p w14:paraId="14834A21" w14:textId="77777777" w:rsidR="00F83806" w:rsidRDefault="007B0A2A">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 Job Insecurity (JI)</w:t>
            </w:r>
          </w:p>
        </w:tc>
        <w:tc>
          <w:tcPr>
            <w:tcW w:w="1387" w:type="dxa"/>
            <w:tcBorders>
              <w:top w:val="nil"/>
              <w:left w:val="nil"/>
              <w:bottom w:val="nil"/>
              <w:right w:val="nil"/>
            </w:tcBorders>
          </w:tcPr>
          <w:p w14:paraId="0BBF849F"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-0.847</w:t>
            </w:r>
          </w:p>
        </w:tc>
        <w:tc>
          <w:tcPr>
            <w:tcW w:w="1387" w:type="dxa"/>
            <w:tcBorders>
              <w:top w:val="nil"/>
              <w:left w:val="nil"/>
              <w:bottom w:val="nil"/>
              <w:right w:val="nil"/>
            </w:tcBorders>
          </w:tcPr>
          <w:p w14:paraId="4D4F76D1"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0.948</w:t>
            </w:r>
          </w:p>
        </w:tc>
        <w:tc>
          <w:tcPr>
            <w:tcW w:w="1387" w:type="dxa"/>
            <w:tcBorders>
              <w:top w:val="nil"/>
              <w:left w:val="nil"/>
              <w:bottom w:val="nil"/>
              <w:right w:val="nil"/>
            </w:tcBorders>
          </w:tcPr>
          <w:p w14:paraId="7C8E0C75"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1.000</w:t>
            </w:r>
          </w:p>
        </w:tc>
        <w:tc>
          <w:tcPr>
            <w:tcW w:w="1391" w:type="dxa"/>
            <w:tcBorders>
              <w:top w:val="nil"/>
              <w:left w:val="nil"/>
              <w:bottom w:val="nil"/>
              <w:right w:val="nil"/>
            </w:tcBorders>
          </w:tcPr>
          <w:p w14:paraId="7080F137" w14:textId="77777777" w:rsidR="00F83806" w:rsidRDefault="00F83806">
            <w:pPr>
              <w:widowControl w:val="0"/>
              <w:spacing w:after="0" w:line="240" w:lineRule="auto"/>
              <w:jc w:val="right"/>
              <w:rPr>
                <w:rFonts w:ascii="Times New Roman" w:eastAsia="Times New Roman" w:hAnsi="Times New Roman" w:cs="Times New Roman"/>
              </w:rPr>
            </w:pPr>
          </w:p>
        </w:tc>
      </w:tr>
      <w:tr w:rsidR="00F83806" w14:paraId="6EF8FD08" w14:textId="77777777">
        <w:trPr>
          <w:trHeight w:val="254"/>
        </w:trPr>
        <w:tc>
          <w:tcPr>
            <w:tcW w:w="3750" w:type="dxa"/>
            <w:tcBorders>
              <w:top w:val="nil"/>
              <w:left w:val="nil"/>
              <w:bottom w:val="nil"/>
              <w:right w:val="nil"/>
            </w:tcBorders>
          </w:tcPr>
          <w:p w14:paraId="6FE1938B" w14:textId="77777777" w:rsidR="00F83806" w:rsidRDefault="007B0A2A">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Lack of </w:t>
            </w:r>
            <w:proofErr w:type="gramStart"/>
            <w:r>
              <w:rPr>
                <w:rFonts w:ascii="Times New Roman" w:eastAsia="Times New Roman" w:hAnsi="Times New Roman" w:cs="Times New Roman"/>
              </w:rPr>
              <w:t>Control  (</w:t>
            </w:r>
            <w:proofErr w:type="gramEnd"/>
            <w:r>
              <w:rPr>
                <w:rFonts w:ascii="Times New Roman" w:eastAsia="Times New Roman" w:hAnsi="Times New Roman" w:cs="Times New Roman"/>
              </w:rPr>
              <w:t>LC)</w:t>
            </w:r>
          </w:p>
        </w:tc>
        <w:tc>
          <w:tcPr>
            <w:tcW w:w="1387" w:type="dxa"/>
            <w:tcBorders>
              <w:top w:val="nil"/>
              <w:left w:val="nil"/>
              <w:bottom w:val="nil"/>
              <w:right w:val="nil"/>
            </w:tcBorders>
          </w:tcPr>
          <w:p w14:paraId="3BE620A6"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-0.812</w:t>
            </w:r>
          </w:p>
        </w:tc>
        <w:tc>
          <w:tcPr>
            <w:tcW w:w="1387" w:type="dxa"/>
            <w:tcBorders>
              <w:top w:val="nil"/>
              <w:left w:val="nil"/>
              <w:bottom w:val="nil"/>
              <w:right w:val="nil"/>
            </w:tcBorders>
          </w:tcPr>
          <w:p w14:paraId="067F628A"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0.966</w:t>
            </w:r>
          </w:p>
        </w:tc>
        <w:tc>
          <w:tcPr>
            <w:tcW w:w="1387" w:type="dxa"/>
            <w:tcBorders>
              <w:top w:val="nil"/>
              <w:left w:val="nil"/>
              <w:bottom w:val="nil"/>
              <w:right w:val="nil"/>
            </w:tcBorders>
          </w:tcPr>
          <w:p w14:paraId="5FF400A1"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0.982</w:t>
            </w:r>
          </w:p>
        </w:tc>
        <w:tc>
          <w:tcPr>
            <w:tcW w:w="1391" w:type="dxa"/>
            <w:tcBorders>
              <w:top w:val="nil"/>
              <w:left w:val="nil"/>
              <w:bottom w:val="nil"/>
              <w:right w:val="nil"/>
            </w:tcBorders>
          </w:tcPr>
          <w:p w14:paraId="2EC8F8AE" w14:textId="77777777" w:rsidR="00F83806" w:rsidRDefault="007B0A2A">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1.000</w:t>
            </w:r>
          </w:p>
        </w:tc>
      </w:tr>
      <w:tr w:rsidR="00F83806" w14:paraId="3E58DADB" w14:textId="77777777">
        <w:trPr>
          <w:trHeight w:val="254"/>
        </w:trPr>
        <w:tc>
          <w:tcPr>
            <w:tcW w:w="9302" w:type="dxa"/>
            <w:gridSpan w:val="5"/>
            <w:tcBorders>
              <w:top w:val="single" w:sz="6" w:space="0" w:color="000000"/>
              <w:left w:val="nil"/>
              <w:bottom w:val="nil"/>
              <w:right w:val="nil"/>
            </w:tcBorders>
          </w:tcPr>
          <w:p w14:paraId="6110033B" w14:textId="77777777" w:rsidR="00F83806" w:rsidRDefault="007B0A2A">
            <w:pPr>
              <w:spacing w:after="0"/>
              <w:rPr>
                <w:rFonts w:ascii="Times New Roman" w:eastAsia="Times New Roman" w:hAnsi="Times New Roman" w:cs="Times New Roman"/>
                <w:b/>
              </w:rPr>
            </w:pPr>
            <w:r>
              <w:rPr>
                <w:rFonts w:ascii="Times New Roman" w:eastAsia="Times New Roman" w:hAnsi="Times New Roman" w:cs="Times New Roman"/>
                <w:b/>
              </w:rPr>
              <w:t>Source: Authors (2025)</w:t>
            </w:r>
          </w:p>
        </w:tc>
      </w:tr>
    </w:tbl>
    <w:p w14:paraId="71D0D707" w14:textId="77777777" w:rsidR="00F83806" w:rsidRDefault="00F83806">
      <w:pPr>
        <w:spacing w:after="0" w:line="240" w:lineRule="auto"/>
        <w:rPr>
          <w:rFonts w:ascii="Times New Roman" w:eastAsia="Times New Roman" w:hAnsi="Times New Roman" w:cs="Times New Roman"/>
        </w:rPr>
      </w:pPr>
    </w:p>
    <w:p w14:paraId="73D60EB7" w14:textId="77777777" w:rsidR="00F83806" w:rsidRDefault="007B0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construction industry is known for its demanding work environment, long working hours, and high workload, which can have severe consequences on employees' psychological health. Research has consistently shown that excessive workload is a significant ps</w:t>
      </w:r>
      <w:r>
        <w:rPr>
          <w:rFonts w:ascii="Times New Roman" w:eastAsia="Times New Roman" w:hAnsi="Times New Roman" w:cs="Times New Roman"/>
        </w:rPr>
        <w:t xml:space="preserve">ychosocial risk factor that can lead to various mental health problems, including stress, anxiety, depression, and burnout (Demerouti &amp; Bakker, 2017; </w:t>
      </w:r>
      <w:proofErr w:type="spellStart"/>
      <w:r>
        <w:rPr>
          <w:rFonts w:ascii="Times New Roman" w:eastAsia="Times New Roman" w:hAnsi="Times New Roman" w:cs="Times New Roman"/>
        </w:rPr>
        <w:t>Hämmig</w:t>
      </w:r>
      <w:proofErr w:type="spellEnd"/>
      <w:r>
        <w:rPr>
          <w:rFonts w:ascii="Times New Roman" w:eastAsia="Times New Roman" w:hAnsi="Times New Roman" w:cs="Times New Roman"/>
        </w:rPr>
        <w:t>, 2017).</w:t>
      </w:r>
    </w:p>
    <w:p w14:paraId="75FF8753" w14:textId="77777777" w:rsidR="00F83806" w:rsidRDefault="00F83806">
      <w:pPr>
        <w:spacing w:after="0" w:line="240" w:lineRule="auto"/>
        <w:jc w:val="both"/>
        <w:rPr>
          <w:rFonts w:ascii="Times New Roman" w:eastAsia="Times New Roman" w:hAnsi="Times New Roman" w:cs="Times New Roman"/>
        </w:rPr>
      </w:pPr>
    </w:p>
    <w:p w14:paraId="66F77D4D" w14:textId="77777777" w:rsidR="00F83806" w:rsidRDefault="007B0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Studies have demonstrated that high workload can lead to increased levels of cortisol, a h</w:t>
      </w:r>
      <w:r>
        <w:rPr>
          <w:rFonts w:ascii="Times New Roman" w:eastAsia="Times New Roman" w:hAnsi="Times New Roman" w:cs="Times New Roman"/>
        </w:rPr>
        <w:t>ormone associated with stress, which can have negative effects on employees' psychological health (Kivimäki et al., 2015). Moreover, research has shown that employees who experience high workload are more likely to experience sleep disturbances, fatigue, a</w:t>
      </w:r>
      <w:r>
        <w:rPr>
          <w:rFonts w:ascii="Times New Roman" w:eastAsia="Times New Roman" w:hAnsi="Times New Roman" w:cs="Times New Roman"/>
        </w:rPr>
        <w:t>nd decreased job satisfaction, all of which can further exacerbate psychological health problems (Demerouti &amp; Bakker, 2017).</w:t>
      </w:r>
    </w:p>
    <w:p w14:paraId="3F8EE071" w14:textId="77777777" w:rsidR="00F83806" w:rsidRDefault="00F83806">
      <w:pPr>
        <w:spacing w:after="0" w:line="240" w:lineRule="auto"/>
        <w:jc w:val="both"/>
        <w:rPr>
          <w:rFonts w:ascii="Times New Roman" w:eastAsia="Times New Roman" w:hAnsi="Times New Roman" w:cs="Times New Roman"/>
        </w:rPr>
      </w:pPr>
    </w:p>
    <w:p w14:paraId="67453759" w14:textId="77777777" w:rsidR="00F83806" w:rsidRDefault="007B0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impact of workload on employees' psychological health can be attributed to several factors, including the perceived lack of co</w:t>
      </w:r>
      <w:r>
        <w:rPr>
          <w:rFonts w:ascii="Times New Roman" w:eastAsia="Times New Roman" w:hAnsi="Times New Roman" w:cs="Times New Roman"/>
        </w:rPr>
        <w:t>ntrol over work, long working hours, and the pressure to meet deadlines (</w:t>
      </w:r>
      <w:proofErr w:type="spellStart"/>
      <w:r>
        <w:rPr>
          <w:rFonts w:ascii="Times New Roman" w:eastAsia="Times New Roman" w:hAnsi="Times New Roman" w:cs="Times New Roman"/>
        </w:rPr>
        <w:t>Hämmig</w:t>
      </w:r>
      <w:proofErr w:type="spellEnd"/>
      <w:r>
        <w:rPr>
          <w:rFonts w:ascii="Times New Roman" w:eastAsia="Times New Roman" w:hAnsi="Times New Roman" w:cs="Times New Roman"/>
        </w:rPr>
        <w:t>, 2017). Furthermore, research has shown that employees who experience high workload are more likely to engage in maladaptive coping strategies, such as substance abuse, which c</w:t>
      </w:r>
      <w:r>
        <w:rPr>
          <w:rFonts w:ascii="Times New Roman" w:eastAsia="Times New Roman" w:hAnsi="Times New Roman" w:cs="Times New Roman"/>
        </w:rPr>
        <w:t>an further worsen psychological health problems (Kivimäki et al., 2015).</w:t>
      </w:r>
    </w:p>
    <w:p w14:paraId="65694B8A" w14:textId="77777777" w:rsidR="00F83806" w:rsidRDefault="00F83806">
      <w:pPr>
        <w:spacing w:after="0" w:line="240" w:lineRule="auto"/>
        <w:jc w:val="both"/>
        <w:rPr>
          <w:rFonts w:ascii="Times New Roman" w:eastAsia="Times New Roman" w:hAnsi="Times New Roman" w:cs="Times New Roman"/>
        </w:rPr>
      </w:pPr>
    </w:p>
    <w:p w14:paraId="1383D0CA" w14:textId="77777777" w:rsidR="00F83806" w:rsidRDefault="007B0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In the context of the construction industry, the effects of workload on employees' psychological health can be particularly severe due to the physical demands of the job, the pressur</w:t>
      </w:r>
      <w:r>
        <w:rPr>
          <w:rFonts w:ascii="Times New Roman" w:eastAsia="Times New Roman" w:hAnsi="Times New Roman" w:cs="Times New Roman"/>
        </w:rPr>
        <w:t>e to meet deadlines, and the risk of accidents and injuries (Goldenhar et al., 2013). Research has shown that construction workers who experience high workload are more likely to experience stress, anxiety, and depression, which can have negative consequen</w:t>
      </w:r>
      <w:r>
        <w:rPr>
          <w:rFonts w:ascii="Times New Roman" w:eastAsia="Times New Roman" w:hAnsi="Times New Roman" w:cs="Times New Roman"/>
        </w:rPr>
        <w:t>ces for their overall well-being and job performance (</w:t>
      </w:r>
      <w:proofErr w:type="spellStart"/>
      <w:r>
        <w:rPr>
          <w:rFonts w:ascii="Times New Roman" w:eastAsia="Times New Roman" w:hAnsi="Times New Roman" w:cs="Times New Roman"/>
        </w:rPr>
        <w:t>Hämmig</w:t>
      </w:r>
      <w:proofErr w:type="spellEnd"/>
      <w:r>
        <w:rPr>
          <w:rFonts w:ascii="Times New Roman" w:eastAsia="Times New Roman" w:hAnsi="Times New Roman" w:cs="Times New Roman"/>
        </w:rPr>
        <w:t>, 2017).</w:t>
      </w:r>
    </w:p>
    <w:p w14:paraId="42ED9F30" w14:textId="77777777" w:rsidR="00F83806" w:rsidRDefault="00F83806">
      <w:pPr>
        <w:spacing w:after="0" w:line="240" w:lineRule="auto"/>
        <w:jc w:val="both"/>
        <w:rPr>
          <w:rFonts w:ascii="Times New Roman" w:eastAsia="Times New Roman" w:hAnsi="Times New Roman" w:cs="Times New Roman"/>
        </w:rPr>
      </w:pPr>
    </w:p>
    <w:p w14:paraId="3100CB0E" w14:textId="77777777" w:rsidR="00F83806" w:rsidRDefault="007B0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results of the current study, as presented in the model summary, suggest that workload is a significant predictor of employees' psychological health, along with job insecurity and la</w:t>
      </w:r>
      <w:r>
        <w:rPr>
          <w:rFonts w:ascii="Times New Roman" w:eastAsia="Times New Roman" w:hAnsi="Times New Roman" w:cs="Times New Roman"/>
        </w:rPr>
        <w:t>ck of control. The model explains 86.1% of the variance in psychological health, indicating a strong relationship between these psychosocial risk factors and employees' psychological health. The findings of this study are consistent with the literature, wh</w:t>
      </w:r>
      <w:r>
        <w:rPr>
          <w:rFonts w:ascii="Times New Roman" w:eastAsia="Times New Roman" w:hAnsi="Times New Roman" w:cs="Times New Roman"/>
        </w:rPr>
        <w:t>ich highlights the importance of addressing workload and other psychosocial risk factors to promote employees' psychological health and well-being.</w:t>
      </w:r>
    </w:p>
    <w:p w14:paraId="067AB108" w14:textId="77777777" w:rsidR="00F83806" w:rsidRDefault="00F83806">
      <w:pPr>
        <w:spacing w:after="0" w:line="240" w:lineRule="auto"/>
        <w:jc w:val="both"/>
        <w:rPr>
          <w:rFonts w:ascii="Times New Roman" w:eastAsia="Times New Roman" w:hAnsi="Times New Roman" w:cs="Times New Roman"/>
        </w:rPr>
      </w:pPr>
    </w:p>
    <w:p w14:paraId="2BE62453" w14:textId="77777777" w:rsidR="00F83806" w:rsidRDefault="007B0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 Cameroon, the construction industry is a significant sector that contributes to the country's economic g</w:t>
      </w:r>
      <w:r>
        <w:rPr>
          <w:rFonts w:ascii="Times New Roman" w:eastAsia="Times New Roman" w:hAnsi="Times New Roman" w:cs="Times New Roman"/>
        </w:rPr>
        <w:t>rowth. However, the industry is also known for its poor working conditions, long working hours, and high workload, which can have negative effects on employees' psychological health. The findings of this study suggest that construction companies in Cameroo</w:t>
      </w:r>
      <w:r>
        <w:rPr>
          <w:rFonts w:ascii="Times New Roman" w:eastAsia="Times New Roman" w:hAnsi="Times New Roman" w:cs="Times New Roman"/>
        </w:rPr>
        <w:t>n need to prioritize employees' psychological health and well-being by addressing workload and other psychosocial risk factors.</w:t>
      </w:r>
    </w:p>
    <w:tbl>
      <w:tblPr>
        <w:tblStyle w:val="a5"/>
        <w:tblW w:w="9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93"/>
        <w:gridCol w:w="1285"/>
        <w:gridCol w:w="1363"/>
        <w:gridCol w:w="1871"/>
        <w:gridCol w:w="1871"/>
        <w:gridCol w:w="1873"/>
      </w:tblGrid>
      <w:tr w:rsidR="00F83806" w14:paraId="6C571ACB" w14:textId="77777777">
        <w:trPr>
          <w:cantSplit/>
          <w:trHeight w:val="320"/>
        </w:trPr>
        <w:tc>
          <w:tcPr>
            <w:tcW w:w="9256" w:type="dxa"/>
            <w:gridSpan w:val="6"/>
            <w:tcBorders>
              <w:top w:val="nil"/>
              <w:left w:val="nil"/>
              <w:bottom w:val="nil"/>
              <w:right w:val="nil"/>
            </w:tcBorders>
            <w:shd w:val="clear" w:color="auto" w:fill="FFFFFF"/>
          </w:tcPr>
          <w:p w14:paraId="370C4245"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Table 7: Model </w:t>
            </w:r>
            <w:proofErr w:type="spellStart"/>
            <w:r>
              <w:rPr>
                <w:rFonts w:ascii="Times New Roman" w:eastAsia="Times New Roman" w:hAnsi="Times New Roman" w:cs="Times New Roman"/>
                <w:b/>
                <w:color w:val="000000"/>
              </w:rPr>
              <w:t>Summary</w:t>
            </w:r>
            <w:r>
              <w:rPr>
                <w:rFonts w:ascii="Times New Roman" w:eastAsia="Times New Roman" w:hAnsi="Times New Roman" w:cs="Times New Roman"/>
                <w:b/>
                <w:color w:val="000000"/>
                <w:vertAlign w:val="superscript"/>
              </w:rPr>
              <w:t>b</w:t>
            </w:r>
            <w:proofErr w:type="spellEnd"/>
          </w:p>
        </w:tc>
      </w:tr>
      <w:tr w:rsidR="00F83806" w14:paraId="7D9052F3" w14:textId="77777777">
        <w:trPr>
          <w:cantSplit/>
          <w:trHeight w:val="640"/>
        </w:trPr>
        <w:tc>
          <w:tcPr>
            <w:tcW w:w="993" w:type="dxa"/>
            <w:tcBorders>
              <w:top w:val="single" w:sz="16" w:space="0" w:color="000000"/>
              <w:left w:val="single" w:sz="16" w:space="0" w:color="000000"/>
              <w:bottom w:val="single" w:sz="16" w:space="0" w:color="000000"/>
              <w:right w:val="single" w:sz="16" w:space="0" w:color="000000"/>
            </w:tcBorders>
            <w:shd w:val="clear" w:color="auto" w:fill="FFFFFF"/>
          </w:tcPr>
          <w:p w14:paraId="64ABD3C2"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color w:val="000000"/>
              </w:rPr>
              <w:t>Model</w:t>
            </w:r>
          </w:p>
        </w:tc>
        <w:tc>
          <w:tcPr>
            <w:tcW w:w="1285" w:type="dxa"/>
            <w:tcBorders>
              <w:top w:val="single" w:sz="16" w:space="0" w:color="000000"/>
              <w:left w:val="single" w:sz="16" w:space="0" w:color="000000"/>
              <w:bottom w:val="single" w:sz="16" w:space="0" w:color="000000"/>
            </w:tcBorders>
            <w:shd w:val="clear" w:color="auto" w:fill="FFFFFF"/>
          </w:tcPr>
          <w:p w14:paraId="2EE7969D"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R</w:t>
            </w:r>
          </w:p>
        </w:tc>
        <w:tc>
          <w:tcPr>
            <w:tcW w:w="1363" w:type="dxa"/>
            <w:tcBorders>
              <w:top w:val="single" w:sz="16" w:space="0" w:color="000000"/>
              <w:bottom w:val="single" w:sz="16" w:space="0" w:color="000000"/>
            </w:tcBorders>
            <w:shd w:val="clear" w:color="auto" w:fill="FFFFFF"/>
          </w:tcPr>
          <w:p w14:paraId="0589D669"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R Square</w:t>
            </w:r>
          </w:p>
        </w:tc>
        <w:tc>
          <w:tcPr>
            <w:tcW w:w="1871" w:type="dxa"/>
            <w:tcBorders>
              <w:top w:val="single" w:sz="16" w:space="0" w:color="000000"/>
              <w:bottom w:val="single" w:sz="16" w:space="0" w:color="000000"/>
            </w:tcBorders>
            <w:shd w:val="clear" w:color="auto" w:fill="FFFFFF"/>
          </w:tcPr>
          <w:p w14:paraId="13F337AA"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Adjusted R Square</w:t>
            </w:r>
          </w:p>
        </w:tc>
        <w:tc>
          <w:tcPr>
            <w:tcW w:w="1871" w:type="dxa"/>
            <w:tcBorders>
              <w:top w:val="single" w:sz="16" w:space="0" w:color="000000"/>
              <w:bottom w:val="single" w:sz="16" w:space="0" w:color="000000"/>
            </w:tcBorders>
            <w:shd w:val="clear" w:color="auto" w:fill="FFFFFF"/>
          </w:tcPr>
          <w:p w14:paraId="74AB2D1A"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Std. Error of the Estimate</w:t>
            </w:r>
          </w:p>
        </w:tc>
        <w:tc>
          <w:tcPr>
            <w:tcW w:w="1873" w:type="dxa"/>
            <w:tcBorders>
              <w:top w:val="single" w:sz="16" w:space="0" w:color="000000"/>
              <w:bottom w:val="single" w:sz="16" w:space="0" w:color="000000"/>
              <w:right w:val="single" w:sz="16" w:space="0" w:color="000000"/>
            </w:tcBorders>
            <w:shd w:val="clear" w:color="auto" w:fill="FFFFFF"/>
          </w:tcPr>
          <w:p w14:paraId="65EE2F10"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Durbin-Watson</w:t>
            </w:r>
          </w:p>
        </w:tc>
      </w:tr>
      <w:tr w:rsidR="00F83806" w14:paraId="7FD3B79B" w14:textId="77777777">
        <w:trPr>
          <w:cantSplit/>
          <w:trHeight w:val="320"/>
        </w:trPr>
        <w:tc>
          <w:tcPr>
            <w:tcW w:w="993"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4CB21D3"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85" w:type="dxa"/>
            <w:tcBorders>
              <w:top w:val="single" w:sz="16" w:space="0" w:color="000000"/>
              <w:left w:val="single" w:sz="16" w:space="0" w:color="000000"/>
              <w:bottom w:val="single" w:sz="16" w:space="0" w:color="000000"/>
            </w:tcBorders>
            <w:shd w:val="clear" w:color="auto" w:fill="FFFFFF"/>
            <w:vAlign w:val="center"/>
          </w:tcPr>
          <w:p w14:paraId="1FDD64B6"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.928</w:t>
            </w:r>
            <w:r>
              <w:rPr>
                <w:rFonts w:ascii="Times New Roman" w:eastAsia="Times New Roman" w:hAnsi="Times New Roman" w:cs="Times New Roman"/>
                <w:color w:val="000000"/>
                <w:vertAlign w:val="superscript"/>
              </w:rPr>
              <w:t>a</w:t>
            </w:r>
          </w:p>
        </w:tc>
        <w:tc>
          <w:tcPr>
            <w:tcW w:w="1363" w:type="dxa"/>
            <w:tcBorders>
              <w:top w:val="single" w:sz="16" w:space="0" w:color="000000"/>
              <w:bottom w:val="single" w:sz="16" w:space="0" w:color="000000"/>
            </w:tcBorders>
            <w:shd w:val="clear" w:color="auto" w:fill="FFFFFF"/>
            <w:vAlign w:val="center"/>
          </w:tcPr>
          <w:p w14:paraId="0B6D516B"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.861</w:t>
            </w:r>
          </w:p>
        </w:tc>
        <w:tc>
          <w:tcPr>
            <w:tcW w:w="1871" w:type="dxa"/>
            <w:tcBorders>
              <w:top w:val="single" w:sz="16" w:space="0" w:color="000000"/>
              <w:bottom w:val="single" w:sz="16" w:space="0" w:color="000000"/>
            </w:tcBorders>
            <w:shd w:val="clear" w:color="auto" w:fill="FFFFFF"/>
            <w:vAlign w:val="center"/>
          </w:tcPr>
          <w:p w14:paraId="7BD92B4B"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.856</w:t>
            </w:r>
          </w:p>
        </w:tc>
        <w:tc>
          <w:tcPr>
            <w:tcW w:w="1871" w:type="dxa"/>
            <w:tcBorders>
              <w:top w:val="single" w:sz="16" w:space="0" w:color="000000"/>
              <w:bottom w:val="single" w:sz="16" w:space="0" w:color="000000"/>
            </w:tcBorders>
            <w:shd w:val="clear" w:color="auto" w:fill="FFFFFF"/>
            <w:vAlign w:val="center"/>
          </w:tcPr>
          <w:p w14:paraId="555EC9A4"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.1565530</w:t>
            </w:r>
          </w:p>
        </w:tc>
        <w:tc>
          <w:tcPr>
            <w:tcW w:w="1873" w:type="dxa"/>
            <w:tcBorders>
              <w:top w:val="single" w:sz="16" w:space="0" w:color="000000"/>
              <w:bottom w:val="single" w:sz="16" w:space="0" w:color="000000"/>
              <w:right w:val="single" w:sz="16" w:space="0" w:color="000000"/>
            </w:tcBorders>
            <w:shd w:val="clear" w:color="auto" w:fill="FFFFFF"/>
            <w:vAlign w:val="center"/>
          </w:tcPr>
          <w:p w14:paraId="306A79E9"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1.628</w:t>
            </w:r>
          </w:p>
        </w:tc>
      </w:tr>
    </w:tbl>
    <w:p w14:paraId="7837BEF3" w14:textId="77777777" w:rsidR="00F83806" w:rsidRDefault="007B0A2A">
      <w:pPr>
        <w:spacing w:after="0"/>
        <w:rPr>
          <w:rFonts w:ascii="Times New Roman" w:eastAsia="Times New Roman" w:hAnsi="Times New Roman" w:cs="Times New Roman"/>
          <w:b/>
        </w:rPr>
      </w:pPr>
      <w:r>
        <w:rPr>
          <w:rFonts w:ascii="Times New Roman" w:eastAsia="Times New Roman" w:hAnsi="Times New Roman" w:cs="Times New Roman"/>
          <w:b/>
        </w:rPr>
        <w:t>Source: Authors (2025)</w:t>
      </w:r>
    </w:p>
    <w:p w14:paraId="0DA5640C" w14:textId="77777777" w:rsidR="00F83806" w:rsidRDefault="00F83806">
      <w:pPr>
        <w:spacing w:after="0"/>
        <w:rPr>
          <w:rFonts w:ascii="Times New Roman" w:eastAsia="Times New Roman" w:hAnsi="Times New Roman" w:cs="Times New Roman"/>
        </w:rPr>
      </w:pPr>
    </w:p>
    <w:p w14:paraId="1CFBC5E7" w14:textId="77777777" w:rsidR="00F83806" w:rsidRDefault="007B0A2A">
      <w:pPr>
        <w:spacing w:after="0" w:line="240" w:lineRule="auto"/>
        <w:rPr>
          <w:rFonts w:ascii="Times New Roman" w:eastAsia="Times New Roman" w:hAnsi="Times New Roman" w:cs="Times New Roman"/>
          <w:b/>
        </w:rPr>
      </w:pPr>
      <w:r>
        <w:rPr>
          <w:rFonts w:ascii="Times New Roman" w:eastAsia="Times New Roman" w:hAnsi="Times New Roman" w:cs="Times New Roman"/>
          <w:b/>
        </w:rPr>
        <w:t>Analysis of variance</w:t>
      </w:r>
    </w:p>
    <w:p w14:paraId="01E3E279" w14:textId="77777777" w:rsidR="00F83806" w:rsidRDefault="007B0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ANOVA (Analysis of Variance) in table 8 presents the results of the analysis of the relationship between the psychosocial risk factors (Workload, Job Insecurity, and Lack of Control) and employees' </w:t>
      </w:r>
      <w:r>
        <w:rPr>
          <w:rFonts w:ascii="Times New Roman" w:eastAsia="Times New Roman" w:hAnsi="Times New Roman" w:cs="Times New Roman"/>
        </w:rPr>
        <w:t>psychological health in some construction companies within the Centre Region of Cameroon. The results indicate that the regression model is significant, as indicated by the F-statistic (197.691) and the p-value (.000). This means that the psychosocial risk</w:t>
      </w:r>
      <w:r>
        <w:rPr>
          <w:rFonts w:ascii="Times New Roman" w:eastAsia="Times New Roman" w:hAnsi="Times New Roman" w:cs="Times New Roman"/>
        </w:rPr>
        <w:t xml:space="preserve"> factors (Workload, Job Insecurity, and Lack of Control) are significantly related to employees' psychological health.</w:t>
      </w:r>
    </w:p>
    <w:p w14:paraId="1E73EE3C" w14:textId="77777777" w:rsidR="00F83806" w:rsidRDefault="007B0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significance of the regression model suggests that the psychosocial risk factors are strong predictors of employees' psychological he</w:t>
      </w:r>
      <w:r>
        <w:rPr>
          <w:rFonts w:ascii="Times New Roman" w:eastAsia="Times New Roman" w:hAnsi="Times New Roman" w:cs="Times New Roman"/>
        </w:rPr>
        <w:t>alth. The R-squared value, which represents the proportion of variance in employees' psychological health that is explained by the psychosocial risk factors, can be calculated using the sum of squares values. Based on the sum of squares values, the R-squar</w:t>
      </w:r>
      <w:r>
        <w:rPr>
          <w:rFonts w:ascii="Times New Roman" w:eastAsia="Times New Roman" w:hAnsi="Times New Roman" w:cs="Times New Roman"/>
        </w:rPr>
        <w:t>ed value can be calculated as (14.536 / 16.888) = 0.861. This means that approximately 86.1% of the variance in employees' psychological health can be explained by the psychosocial risk factors.</w:t>
      </w:r>
    </w:p>
    <w:p w14:paraId="60874911" w14:textId="77777777" w:rsidR="00F83806" w:rsidRDefault="007B0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mean square values indicate the average amount of varianc</w:t>
      </w:r>
      <w:r>
        <w:rPr>
          <w:rFonts w:ascii="Times New Roman" w:eastAsia="Times New Roman" w:hAnsi="Times New Roman" w:cs="Times New Roman"/>
        </w:rPr>
        <w:t>e in employees' psychological health that is explained by each psychosocial risk factor. The mean square value for the regression model (4.845) is significantly higher than the mean square value for the residual (0.025), indicating that the psychosocial ri</w:t>
      </w:r>
      <w:r>
        <w:rPr>
          <w:rFonts w:ascii="Times New Roman" w:eastAsia="Times New Roman" w:hAnsi="Times New Roman" w:cs="Times New Roman"/>
        </w:rPr>
        <w:t>sk factors are strong predictors of employees' psychological health. This suggests that the psychosocial risk factors are important factors that contribute to employees' psychological health, and that addressing these factors can help to promote employees'</w:t>
      </w:r>
      <w:r>
        <w:rPr>
          <w:rFonts w:ascii="Times New Roman" w:eastAsia="Times New Roman" w:hAnsi="Times New Roman" w:cs="Times New Roman"/>
        </w:rPr>
        <w:t xml:space="preserve"> psychological health and well-being.</w:t>
      </w:r>
    </w:p>
    <w:p w14:paraId="410AF6C7" w14:textId="77777777" w:rsidR="00F83806" w:rsidRDefault="007B0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 the context of the topic, the results suggest that psychosocial risk factors such as Workload, Job Insecurity, and Lack of Control are significantly related to employees' psychological health in construction compani</w:t>
      </w:r>
      <w:r>
        <w:rPr>
          <w:rFonts w:ascii="Times New Roman" w:eastAsia="Times New Roman" w:hAnsi="Times New Roman" w:cs="Times New Roman"/>
        </w:rPr>
        <w:t>es within the Centre Region of Cameroon. The findings highlight the importance of addressing these psychosocial risk factors to promote employees' psychological health and well-being. This can be achieved through various strategies, such as implementing st</w:t>
      </w:r>
      <w:r>
        <w:rPr>
          <w:rFonts w:ascii="Times New Roman" w:eastAsia="Times New Roman" w:hAnsi="Times New Roman" w:cs="Times New Roman"/>
        </w:rPr>
        <w:t xml:space="preserve">ress management programs, providing training on time management and prioritization, and promoting a healthy work-life balance. By addressing these </w:t>
      </w:r>
      <w:r>
        <w:rPr>
          <w:rFonts w:ascii="Times New Roman" w:eastAsia="Times New Roman" w:hAnsi="Times New Roman" w:cs="Times New Roman"/>
        </w:rPr>
        <w:lastRenderedPageBreak/>
        <w:t>psychosocial risk factors, construction companies can help to promote a healthy and productive work environme</w:t>
      </w:r>
      <w:r>
        <w:rPr>
          <w:rFonts w:ascii="Times New Roman" w:eastAsia="Times New Roman" w:hAnsi="Times New Roman" w:cs="Times New Roman"/>
        </w:rPr>
        <w:t>nt that supports the well-being of their employees.</w:t>
      </w:r>
    </w:p>
    <w:p w14:paraId="5CAA15D2" w14:textId="77777777" w:rsidR="00F83806" w:rsidRDefault="00F83806">
      <w:pPr>
        <w:spacing w:after="0" w:line="240" w:lineRule="auto"/>
        <w:jc w:val="both"/>
        <w:rPr>
          <w:rFonts w:ascii="Times New Roman" w:eastAsia="Times New Roman" w:hAnsi="Times New Roman" w:cs="Times New Roman"/>
        </w:rPr>
      </w:pPr>
    </w:p>
    <w:tbl>
      <w:tblPr>
        <w:tblStyle w:val="a6"/>
        <w:tblW w:w="9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59"/>
        <w:gridCol w:w="1489"/>
        <w:gridCol w:w="1723"/>
        <w:gridCol w:w="1184"/>
        <w:gridCol w:w="1632"/>
        <w:gridCol w:w="1184"/>
        <w:gridCol w:w="1187"/>
      </w:tblGrid>
      <w:tr w:rsidR="00F83806" w14:paraId="0D182284" w14:textId="77777777">
        <w:trPr>
          <w:cantSplit/>
          <w:trHeight w:val="355"/>
        </w:trPr>
        <w:tc>
          <w:tcPr>
            <w:tcW w:w="9258" w:type="dxa"/>
            <w:gridSpan w:val="7"/>
            <w:tcBorders>
              <w:top w:val="nil"/>
              <w:left w:val="nil"/>
              <w:bottom w:val="nil"/>
              <w:right w:val="nil"/>
            </w:tcBorders>
            <w:shd w:val="clear" w:color="auto" w:fill="FFFFFF"/>
          </w:tcPr>
          <w:p w14:paraId="0413F7DA"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Table 8: </w:t>
            </w:r>
            <w:proofErr w:type="spellStart"/>
            <w:r>
              <w:rPr>
                <w:rFonts w:ascii="Times New Roman" w:eastAsia="Times New Roman" w:hAnsi="Times New Roman" w:cs="Times New Roman"/>
                <w:b/>
                <w:color w:val="000000"/>
              </w:rPr>
              <w:t>ANOVA</w:t>
            </w:r>
            <w:r>
              <w:rPr>
                <w:rFonts w:ascii="Times New Roman" w:eastAsia="Times New Roman" w:hAnsi="Times New Roman" w:cs="Times New Roman"/>
                <w:b/>
                <w:color w:val="000000"/>
                <w:vertAlign w:val="superscript"/>
              </w:rPr>
              <w:t>a</w:t>
            </w:r>
            <w:proofErr w:type="spellEnd"/>
          </w:p>
        </w:tc>
      </w:tr>
      <w:tr w:rsidR="00F83806" w14:paraId="5EB0E8CF" w14:textId="77777777">
        <w:trPr>
          <w:cantSplit/>
          <w:trHeight w:val="355"/>
        </w:trPr>
        <w:tc>
          <w:tcPr>
            <w:tcW w:w="2348" w:type="dxa"/>
            <w:gridSpan w:val="2"/>
            <w:tcBorders>
              <w:top w:val="single" w:sz="16" w:space="0" w:color="000000"/>
              <w:left w:val="single" w:sz="16" w:space="0" w:color="000000"/>
              <w:bottom w:val="single" w:sz="16" w:space="0" w:color="000000"/>
              <w:right w:val="nil"/>
            </w:tcBorders>
            <w:shd w:val="clear" w:color="auto" w:fill="FFFFFF"/>
          </w:tcPr>
          <w:p w14:paraId="71F0DDE5"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color w:val="000000"/>
              </w:rPr>
              <w:t>Model</w:t>
            </w:r>
          </w:p>
        </w:tc>
        <w:tc>
          <w:tcPr>
            <w:tcW w:w="1723" w:type="dxa"/>
            <w:tcBorders>
              <w:top w:val="single" w:sz="16" w:space="0" w:color="000000"/>
              <w:left w:val="single" w:sz="16" w:space="0" w:color="000000"/>
              <w:bottom w:val="single" w:sz="16" w:space="0" w:color="000000"/>
            </w:tcBorders>
            <w:shd w:val="clear" w:color="auto" w:fill="FFFFFF"/>
          </w:tcPr>
          <w:p w14:paraId="407D8005"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Sum of Squares</w:t>
            </w:r>
          </w:p>
        </w:tc>
        <w:tc>
          <w:tcPr>
            <w:tcW w:w="1184" w:type="dxa"/>
            <w:tcBorders>
              <w:top w:val="single" w:sz="16" w:space="0" w:color="000000"/>
              <w:bottom w:val="single" w:sz="16" w:space="0" w:color="000000"/>
            </w:tcBorders>
            <w:shd w:val="clear" w:color="auto" w:fill="FFFFFF"/>
          </w:tcPr>
          <w:p w14:paraId="29A513F6"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df</w:t>
            </w:r>
          </w:p>
        </w:tc>
        <w:tc>
          <w:tcPr>
            <w:tcW w:w="1632" w:type="dxa"/>
            <w:tcBorders>
              <w:top w:val="single" w:sz="16" w:space="0" w:color="000000"/>
              <w:bottom w:val="single" w:sz="16" w:space="0" w:color="000000"/>
            </w:tcBorders>
            <w:shd w:val="clear" w:color="auto" w:fill="FFFFFF"/>
          </w:tcPr>
          <w:p w14:paraId="3CFB9D88"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Mean Square</w:t>
            </w:r>
          </w:p>
        </w:tc>
        <w:tc>
          <w:tcPr>
            <w:tcW w:w="1184" w:type="dxa"/>
            <w:tcBorders>
              <w:top w:val="single" w:sz="16" w:space="0" w:color="000000"/>
              <w:bottom w:val="single" w:sz="16" w:space="0" w:color="000000"/>
            </w:tcBorders>
            <w:shd w:val="clear" w:color="auto" w:fill="FFFFFF"/>
          </w:tcPr>
          <w:p w14:paraId="1BD74A18"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F</w:t>
            </w:r>
          </w:p>
        </w:tc>
        <w:tc>
          <w:tcPr>
            <w:tcW w:w="1187" w:type="dxa"/>
            <w:tcBorders>
              <w:top w:val="single" w:sz="16" w:space="0" w:color="000000"/>
              <w:bottom w:val="single" w:sz="16" w:space="0" w:color="000000"/>
              <w:right w:val="single" w:sz="16" w:space="0" w:color="000000"/>
            </w:tcBorders>
            <w:shd w:val="clear" w:color="auto" w:fill="FFFFFF"/>
          </w:tcPr>
          <w:p w14:paraId="2D422C79"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Sig.</w:t>
            </w:r>
          </w:p>
        </w:tc>
      </w:tr>
      <w:tr w:rsidR="00F83806" w14:paraId="7A5007EF" w14:textId="77777777">
        <w:trPr>
          <w:cantSplit/>
          <w:trHeight w:val="160"/>
        </w:trPr>
        <w:tc>
          <w:tcPr>
            <w:tcW w:w="859" w:type="dxa"/>
            <w:vMerge w:val="restart"/>
            <w:tcBorders>
              <w:top w:val="single" w:sz="16" w:space="0" w:color="000000"/>
              <w:left w:val="single" w:sz="16" w:space="0" w:color="000000"/>
              <w:bottom w:val="single" w:sz="16" w:space="0" w:color="000000"/>
              <w:right w:val="nil"/>
            </w:tcBorders>
            <w:shd w:val="clear" w:color="auto" w:fill="FFFFFF"/>
            <w:vAlign w:val="center"/>
          </w:tcPr>
          <w:p w14:paraId="43E038A5"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89" w:type="dxa"/>
            <w:tcBorders>
              <w:top w:val="single" w:sz="16" w:space="0" w:color="000000"/>
              <w:left w:val="nil"/>
              <w:bottom w:val="nil"/>
              <w:right w:val="single" w:sz="16" w:space="0" w:color="000000"/>
            </w:tcBorders>
            <w:shd w:val="clear" w:color="auto" w:fill="FFFFFF"/>
            <w:vAlign w:val="center"/>
          </w:tcPr>
          <w:p w14:paraId="0BE9FDEB"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color w:val="000000"/>
              </w:rPr>
              <w:t>Regression</w:t>
            </w:r>
          </w:p>
        </w:tc>
        <w:tc>
          <w:tcPr>
            <w:tcW w:w="1723" w:type="dxa"/>
            <w:tcBorders>
              <w:top w:val="single" w:sz="16" w:space="0" w:color="000000"/>
              <w:left w:val="single" w:sz="16" w:space="0" w:color="000000"/>
              <w:bottom w:val="nil"/>
            </w:tcBorders>
            <w:shd w:val="clear" w:color="auto" w:fill="FFFFFF"/>
            <w:vAlign w:val="center"/>
          </w:tcPr>
          <w:p w14:paraId="2ABECA08"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14.536</w:t>
            </w:r>
          </w:p>
        </w:tc>
        <w:tc>
          <w:tcPr>
            <w:tcW w:w="1184" w:type="dxa"/>
            <w:tcBorders>
              <w:top w:val="single" w:sz="16" w:space="0" w:color="000000"/>
              <w:bottom w:val="nil"/>
            </w:tcBorders>
            <w:shd w:val="clear" w:color="auto" w:fill="FFFFFF"/>
            <w:vAlign w:val="center"/>
          </w:tcPr>
          <w:p w14:paraId="74596E71"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632" w:type="dxa"/>
            <w:tcBorders>
              <w:top w:val="single" w:sz="16" w:space="0" w:color="000000"/>
              <w:bottom w:val="nil"/>
            </w:tcBorders>
            <w:shd w:val="clear" w:color="auto" w:fill="FFFFFF"/>
            <w:vAlign w:val="center"/>
          </w:tcPr>
          <w:p w14:paraId="25EEE794"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4.845</w:t>
            </w:r>
          </w:p>
        </w:tc>
        <w:tc>
          <w:tcPr>
            <w:tcW w:w="1184" w:type="dxa"/>
            <w:tcBorders>
              <w:top w:val="single" w:sz="16" w:space="0" w:color="000000"/>
              <w:bottom w:val="nil"/>
            </w:tcBorders>
            <w:shd w:val="clear" w:color="auto" w:fill="FFFFFF"/>
            <w:vAlign w:val="center"/>
          </w:tcPr>
          <w:p w14:paraId="5936DC6D"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197.691</w:t>
            </w:r>
          </w:p>
        </w:tc>
        <w:tc>
          <w:tcPr>
            <w:tcW w:w="1187" w:type="dxa"/>
            <w:tcBorders>
              <w:top w:val="single" w:sz="16" w:space="0" w:color="000000"/>
              <w:bottom w:val="nil"/>
              <w:right w:val="single" w:sz="16" w:space="0" w:color="000000"/>
            </w:tcBorders>
            <w:shd w:val="clear" w:color="auto" w:fill="FFFFFF"/>
            <w:vAlign w:val="center"/>
          </w:tcPr>
          <w:p w14:paraId="28B31C43"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.000</w:t>
            </w:r>
            <w:r>
              <w:rPr>
                <w:rFonts w:ascii="Times New Roman" w:eastAsia="Times New Roman" w:hAnsi="Times New Roman" w:cs="Times New Roman"/>
                <w:color w:val="000000"/>
                <w:vertAlign w:val="superscript"/>
              </w:rPr>
              <w:t>b</w:t>
            </w:r>
          </w:p>
        </w:tc>
      </w:tr>
      <w:tr w:rsidR="00F83806" w14:paraId="6A85467F" w14:textId="77777777">
        <w:trPr>
          <w:cantSplit/>
          <w:trHeight w:val="160"/>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6B4D549B" w14:textId="77777777" w:rsidR="00F83806" w:rsidRDefault="00F83806">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489" w:type="dxa"/>
            <w:tcBorders>
              <w:top w:val="nil"/>
              <w:left w:val="nil"/>
              <w:bottom w:val="nil"/>
              <w:right w:val="single" w:sz="16" w:space="0" w:color="000000"/>
            </w:tcBorders>
            <w:shd w:val="clear" w:color="auto" w:fill="FFFFFF"/>
            <w:vAlign w:val="center"/>
          </w:tcPr>
          <w:p w14:paraId="10B3B705"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color w:val="000000"/>
              </w:rPr>
              <w:t>Residual</w:t>
            </w:r>
          </w:p>
        </w:tc>
        <w:tc>
          <w:tcPr>
            <w:tcW w:w="1723" w:type="dxa"/>
            <w:tcBorders>
              <w:top w:val="nil"/>
              <w:left w:val="single" w:sz="16" w:space="0" w:color="000000"/>
              <w:bottom w:val="nil"/>
            </w:tcBorders>
            <w:shd w:val="clear" w:color="auto" w:fill="FFFFFF"/>
            <w:vAlign w:val="center"/>
          </w:tcPr>
          <w:p w14:paraId="59810645"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2.353</w:t>
            </w:r>
          </w:p>
        </w:tc>
        <w:tc>
          <w:tcPr>
            <w:tcW w:w="1184" w:type="dxa"/>
            <w:tcBorders>
              <w:top w:val="nil"/>
              <w:bottom w:val="nil"/>
            </w:tcBorders>
            <w:shd w:val="clear" w:color="auto" w:fill="FFFFFF"/>
            <w:vAlign w:val="center"/>
          </w:tcPr>
          <w:p w14:paraId="45DA5B89"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96</w:t>
            </w:r>
          </w:p>
        </w:tc>
        <w:tc>
          <w:tcPr>
            <w:tcW w:w="1632" w:type="dxa"/>
            <w:tcBorders>
              <w:top w:val="nil"/>
              <w:bottom w:val="nil"/>
            </w:tcBorders>
            <w:shd w:val="clear" w:color="auto" w:fill="FFFFFF"/>
            <w:vAlign w:val="center"/>
          </w:tcPr>
          <w:p w14:paraId="64F661C5"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.025</w:t>
            </w:r>
          </w:p>
        </w:tc>
        <w:tc>
          <w:tcPr>
            <w:tcW w:w="1184" w:type="dxa"/>
            <w:tcBorders>
              <w:top w:val="nil"/>
              <w:bottom w:val="nil"/>
            </w:tcBorders>
            <w:shd w:val="clear" w:color="auto" w:fill="FFFFFF"/>
          </w:tcPr>
          <w:p w14:paraId="5B11BBF3" w14:textId="77777777" w:rsidR="00F83806" w:rsidRDefault="00F83806">
            <w:pPr>
              <w:spacing w:after="0" w:line="240" w:lineRule="auto"/>
              <w:rPr>
                <w:rFonts w:ascii="Times New Roman" w:eastAsia="Times New Roman" w:hAnsi="Times New Roman" w:cs="Times New Roman"/>
              </w:rPr>
            </w:pPr>
          </w:p>
        </w:tc>
        <w:tc>
          <w:tcPr>
            <w:tcW w:w="1187" w:type="dxa"/>
            <w:tcBorders>
              <w:top w:val="nil"/>
              <w:bottom w:val="nil"/>
              <w:right w:val="single" w:sz="16" w:space="0" w:color="000000"/>
            </w:tcBorders>
            <w:shd w:val="clear" w:color="auto" w:fill="FFFFFF"/>
          </w:tcPr>
          <w:p w14:paraId="52643D02" w14:textId="77777777" w:rsidR="00F83806" w:rsidRDefault="00F83806">
            <w:pPr>
              <w:spacing w:after="0" w:line="240" w:lineRule="auto"/>
              <w:rPr>
                <w:rFonts w:ascii="Times New Roman" w:eastAsia="Times New Roman" w:hAnsi="Times New Roman" w:cs="Times New Roman"/>
              </w:rPr>
            </w:pPr>
          </w:p>
        </w:tc>
      </w:tr>
      <w:tr w:rsidR="00F83806" w14:paraId="7EB2343A" w14:textId="77777777">
        <w:trPr>
          <w:cantSplit/>
          <w:trHeight w:val="160"/>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15EE6F00" w14:textId="77777777" w:rsidR="00F83806" w:rsidRDefault="00F83806">
            <w:pPr>
              <w:widowControl w:val="0"/>
              <w:pBdr>
                <w:top w:val="nil"/>
                <w:left w:val="nil"/>
                <w:bottom w:val="nil"/>
                <w:right w:val="nil"/>
                <w:between w:val="nil"/>
              </w:pBdr>
              <w:spacing w:after="0"/>
              <w:rPr>
                <w:rFonts w:ascii="Times New Roman" w:eastAsia="Times New Roman" w:hAnsi="Times New Roman" w:cs="Times New Roman"/>
              </w:rPr>
            </w:pPr>
          </w:p>
        </w:tc>
        <w:tc>
          <w:tcPr>
            <w:tcW w:w="1489" w:type="dxa"/>
            <w:tcBorders>
              <w:top w:val="nil"/>
              <w:left w:val="nil"/>
              <w:bottom w:val="single" w:sz="16" w:space="0" w:color="000000"/>
              <w:right w:val="single" w:sz="16" w:space="0" w:color="000000"/>
            </w:tcBorders>
            <w:shd w:val="clear" w:color="auto" w:fill="FFFFFF"/>
            <w:vAlign w:val="center"/>
          </w:tcPr>
          <w:p w14:paraId="772505F3"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color w:val="000000"/>
              </w:rPr>
              <w:t>Total</w:t>
            </w:r>
          </w:p>
        </w:tc>
        <w:tc>
          <w:tcPr>
            <w:tcW w:w="1723" w:type="dxa"/>
            <w:tcBorders>
              <w:top w:val="nil"/>
              <w:left w:val="single" w:sz="16" w:space="0" w:color="000000"/>
              <w:bottom w:val="single" w:sz="16" w:space="0" w:color="000000"/>
            </w:tcBorders>
            <w:shd w:val="clear" w:color="auto" w:fill="FFFFFF"/>
            <w:vAlign w:val="center"/>
          </w:tcPr>
          <w:p w14:paraId="626228E5"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16.888</w:t>
            </w:r>
          </w:p>
        </w:tc>
        <w:tc>
          <w:tcPr>
            <w:tcW w:w="1184" w:type="dxa"/>
            <w:tcBorders>
              <w:top w:val="nil"/>
              <w:bottom w:val="single" w:sz="16" w:space="0" w:color="000000"/>
            </w:tcBorders>
            <w:shd w:val="clear" w:color="auto" w:fill="FFFFFF"/>
            <w:vAlign w:val="center"/>
          </w:tcPr>
          <w:p w14:paraId="6AC7CF80"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99</w:t>
            </w:r>
          </w:p>
        </w:tc>
        <w:tc>
          <w:tcPr>
            <w:tcW w:w="1632" w:type="dxa"/>
            <w:tcBorders>
              <w:top w:val="nil"/>
              <w:bottom w:val="single" w:sz="16" w:space="0" w:color="000000"/>
            </w:tcBorders>
            <w:shd w:val="clear" w:color="auto" w:fill="FFFFFF"/>
          </w:tcPr>
          <w:p w14:paraId="0E705A70" w14:textId="77777777" w:rsidR="00F83806" w:rsidRDefault="00F83806">
            <w:pPr>
              <w:spacing w:after="0" w:line="240" w:lineRule="auto"/>
              <w:rPr>
                <w:rFonts w:ascii="Times New Roman" w:eastAsia="Times New Roman" w:hAnsi="Times New Roman" w:cs="Times New Roman"/>
              </w:rPr>
            </w:pPr>
          </w:p>
        </w:tc>
        <w:tc>
          <w:tcPr>
            <w:tcW w:w="1184" w:type="dxa"/>
            <w:tcBorders>
              <w:top w:val="nil"/>
              <w:bottom w:val="single" w:sz="16" w:space="0" w:color="000000"/>
            </w:tcBorders>
            <w:shd w:val="clear" w:color="auto" w:fill="FFFFFF"/>
          </w:tcPr>
          <w:p w14:paraId="074A34C3" w14:textId="77777777" w:rsidR="00F83806" w:rsidRDefault="00F83806">
            <w:pPr>
              <w:spacing w:after="0" w:line="240" w:lineRule="auto"/>
              <w:rPr>
                <w:rFonts w:ascii="Times New Roman" w:eastAsia="Times New Roman" w:hAnsi="Times New Roman" w:cs="Times New Roman"/>
              </w:rPr>
            </w:pPr>
          </w:p>
        </w:tc>
        <w:tc>
          <w:tcPr>
            <w:tcW w:w="1187" w:type="dxa"/>
            <w:tcBorders>
              <w:top w:val="nil"/>
              <w:bottom w:val="single" w:sz="16" w:space="0" w:color="000000"/>
              <w:right w:val="single" w:sz="16" w:space="0" w:color="000000"/>
            </w:tcBorders>
            <w:shd w:val="clear" w:color="auto" w:fill="FFFFFF"/>
          </w:tcPr>
          <w:p w14:paraId="44D6C78D" w14:textId="77777777" w:rsidR="00F83806" w:rsidRDefault="00F83806">
            <w:pPr>
              <w:spacing w:after="0" w:line="240" w:lineRule="auto"/>
              <w:rPr>
                <w:rFonts w:ascii="Times New Roman" w:eastAsia="Times New Roman" w:hAnsi="Times New Roman" w:cs="Times New Roman"/>
              </w:rPr>
            </w:pPr>
          </w:p>
        </w:tc>
      </w:tr>
    </w:tbl>
    <w:p w14:paraId="158A8444" w14:textId="77777777" w:rsidR="00F83806" w:rsidRDefault="007B0A2A">
      <w:pPr>
        <w:spacing w:after="0"/>
        <w:rPr>
          <w:rFonts w:ascii="Times New Roman" w:eastAsia="Times New Roman" w:hAnsi="Times New Roman" w:cs="Times New Roman"/>
          <w:b/>
        </w:rPr>
      </w:pPr>
      <w:r>
        <w:rPr>
          <w:rFonts w:ascii="Times New Roman" w:eastAsia="Times New Roman" w:hAnsi="Times New Roman" w:cs="Times New Roman"/>
          <w:b/>
        </w:rPr>
        <w:t>Source: Authors (2025)</w:t>
      </w:r>
    </w:p>
    <w:p w14:paraId="7E00ED74" w14:textId="77777777" w:rsidR="00F83806" w:rsidRDefault="00F83806">
      <w:pPr>
        <w:spacing w:after="0"/>
        <w:rPr>
          <w:rFonts w:ascii="Times New Roman" w:eastAsia="Times New Roman" w:hAnsi="Times New Roman" w:cs="Times New Roman"/>
        </w:rPr>
      </w:pPr>
    </w:p>
    <w:p w14:paraId="04A289A8" w14:textId="77777777" w:rsidR="00F83806" w:rsidRDefault="007B0A2A">
      <w:pPr>
        <w:spacing w:after="0"/>
        <w:jc w:val="both"/>
        <w:rPr>
          <w:rFonts w:ascii="Times New Roman" w:eastAsia="Times New Roman" w:hAnsi="Times New Roman" w:cs="Times New Roman"/>
        </w:rPr>
      </w:pPr>
      <w:r>
        <w:rPr>
          <w:rFonts w:ascii="Times New Roman" w:eastAsia="Times New Roman" w:hAnsi="Times New Roman" w:cs="Times New Roman"/>
        </w:rPr>
        <w:t>The coefficients in table 9</w:t>
      </w:r>
      <w:r>
        <w:rPr>
          <w:rFonts w:ascii="Times New Roman" w:eastAsia="Times New Roman" w:hAnsi="Times New Roman" w:cs="Times New Roman"/>
        </w:rPr>
        <w:t xml:space="preserve"> presents the results of the regression analysis, which examined the relationships between the psychosocial risk factors (Lack of Control, Workload, and Job Insecurity) and employees' psychological health (PH) in some construction companies within the Cent</w:t>
      </w:r>
      <w:r>
        <w:rPr>
          <w:rFonts w:ascii="Times New Roman" w:eastAsia="Times New Roman" w:hAnsi="Times New Roman" w:cs="Times New Roman"/>
        </w:rPr>
        <w:t>re Region of Cameroon. The results indicate that Lack of Control (LC) has a significant positive relationship with Psychological Health (PH). This means that as Lack of Control increases, Psychological Health also tends to increase. The unstandardized coef</w:t>
      </w:r>
      <w:r>
        <w:rPr>
          <w:rFonts w:ascii="Times New Roman" w:eastAsia="Times New Roman" w:hAnsi="Times New Roman" w:cs="Times New Roman"/>
        </w:rPr>
        <w:t>ficient (B) for Lack of Control is 1.184, which means that for every one-unit increase in Lack of Control, Psychological Health increases by 1.184 units.</w:t>
      </w:r>
    </w:p>
    <w:p w14:paraId="6A87B816" w14:textId="77777777" w:rsidR="00F83806" w:rsidRDefault="007B0A2A">
      <w:pPr>
        <w:spacing w:after="0"/>
        <w:jc w:val="both"/>
        <w:rPr>
          <w:rFonts w:ascii="Times New Roman" w:eastAsia="Times New Roman" w:hAnsi="Times New Roman" w:cs="Times New Roman"/>
        </w:rPr>
      </w:pPr>
      <w:r>
        <w:rPr>
          <w:rFonts w:ascii="Times New Roman" w:eastAsia="Times New Roman" w:hAnsi="Times New Roman" w:cs="Times New Roman"/>
        </w:rPr>
        <w:t>On the other hand, Workload (WL) has a significant negative relationship with Psychological Health (PH</w:t>
      </w:r>
      <w:r>
        <w:rPr>
          <w:rFonts w:ascii="Times New Roman" w:eastAsia="Times New Roman" w:hAnsi="Times New Roman" w:cs="Times New Roman"/>
        </w:rPr>
        <w:t>). This means that as Workload increases, Psychological Health tends to decrease. The unstandardized coefficient (B) for Workload is -1.132, which means that for every one-unit increase in Workload, Psychological Health decreases by 1.132 units. Similarly,</w:t>
      </w:r>
      <w:r>
        <w:rPr>
          <w:rFonts w:ascii="Times New Roman" w:eastAsia="Times New Roman" w:hAnsi="Times New Roman" w:cs="Times New Roman"/>
        </w:rPr>
        <w:t xml:space="preserve"> Job Insecurity (JI) has a significant negative relationship with Psychological Health (PH). This means that as Job Insecurity increases, Psychological Health tends to decrease. The unstandardized coefficient (B) for Job Insecurity is -1.010, which means t</w:t>
      </w:r>
      <w:r>
        <w:rPr>
          <w:rFonts w:ascii="Times New Roman" w:eastAsia="Times New Roman" w:hAnsi="Times New Roman" w:cs="Times New Roman"/>
        </w:rPr>
        <w:t>hat for every one-unit increase in Job Insecurity, Psychological Health decreases by 1.010 units.</w:t>
      </w:r>
    </w:p>
    <w:p w14:paraId="73AE1DD3" w14:textId="77777777" w:rsidR="00F83806" w:rsidRDefault="007B0A2A">
      <w:pPr>
        <w:spacing w:after="0"/>
        <w:jc w:val="both"/>
        <w:rPr>
          <w:rFonts w:ascii="Times New Roman" w:eastAsia="Times New Roman" w:hAnsi="Times New Roman" w:cs="Times New Roman"/>
        </w:rPr>
      </w:pPr>
      <w:r>
        <w:rPr>
          <w:rFonts w:ascii="Times New Roman" w:eastAsia="Times New Roman" w:hAnsi="Times New Roman" w:cs="Times New Roman"/>
        </w:rPr>
        <w:t xml:space="preserve">The standardized coefficients (Beta) indicate the relative importance of each predictor variable. The results indicate that Workload (WL) has the strongest </w:t>
      </w:r>
      <w:r>
        <w:rPr>
          <w:rFonts w:ascii="Times New Roman" w:eastAsia="Times New Roman" w:hAnsi="Times New Roman" w:cs="Times New Roman"/>
        </w:rPr>
        <w:t>relationship with Psychological Health (PH), followed by Job Insecurity (JI) and Lack of Control (LC). This suggests that Workload is the most important predictor of Psychological Health, followed by Job Insecurity and Lack of Control. The 95% confidence i</w:t>
      </w:r>
      <w:r>
        <w:rPr>
          <w:rFonts w:ascii="Times New Roman" w:eastAsia="Times New Roman" w:hAnsi="Times New Roman" w:cs="Times New Roman"/>
        </w:rPr>
        <w:t>ntervals for the unstandardized coefficients indicate the range of values within which the true population parameter is likely to lie. The results indicate that the relationships between the psychosocial risk factors and Psychological Health are statistica</w:t>
      </w:r>
      <w:r>
        <w:rPr>
          <w:rFonts w:ascii="Times New Roman" w:eastAsia="Times New Roman" w:hAnsi="Times New Roman" w:cs="Times New Roman"/>
        </w:rPr>
        <w:t>lly significant and practically significant.</w:t>
      </w:r>
    </w:p>
    <w:p w14:paraId="79BB0ED3" w14:textId="77777777" w:rsidR="00F83806" w:rsidRDefault="00F83806">
      <w:pPr>
        <w:spacing w:after="0"/>
        <w:jc w:val="both"/>
        <w:rPr>
          <w:rFonts w:ascii="Times New Roman" w:eastAsia="Times New Roman" w:hAnsi="Times New Roman" w:cs="Times New Roman"/>
        </w:rPr>
      </w:pPr>
    </w:p>
    <w:p w14:paraId="1834B981" w14:textId="77777777" w:rsidR="00F83806" w:rsidRDefault="007B0A2A">
      <w:pPr>
        <w:spacing w:after="0"/>
        <w:jc w:val="both"/>
        <w:rPr>
          <w:rFonts w:ascii="Times New Roman" w:eastAsia="Times New Roman" w:hAnsi="Times New Roman" w:cs="Times New Roman"/>
        </w:rPr>
      </w:pPr>
      <w:r>
        <w:rPr>
          <w:rFonts w:ascii="Times New Roman" w:eastAsia="Times New Roman" w:hAnsi="Times New Roman" w:cs="Times New Roman"/>
        </w:rPr>
        <w:t>In the context of the topic, the results suggest that psychosocial risk factors such as Lack of Control, Workload, and Job Insecurity are significantly related to employees' psychological health in construction</w:t>
      </w:r>
      <w:r>
        <w:rPr>
          <w:rFonts w:ascii="Times New Roman" w:eastAsia="Times New Roman" w:hAnsi="Times New Roman" w:cs="Times New Roman"/>
        </w:rPr>
        <w:t xml:space="preserve"> companies within the Centre Region of Cameroon. The findings highlight the importance of addressing these psychosocial risk factors to promote employees' psychological health and well-being. This can be achieved through various strategies, such as impleme</w:t>
      </w:r>
      <w:r>
        <w:rPr>
          <w:rFonts w:ascii="Times New Roman" w:eastAsia="Times New Roman" w:hAnsi="Times New Roman" w:cs="Times New Roman"/>
        </w:rPr>
        <w:t>nting stress management programs, providing training on time management and prioritization, and promoting a healthy work-life balance.</w:t>
      </w:r>
    </w:p>
    <w:p w14:paraId="39BD3F4A" w14:textId="77777777" w:rsidR="00F83806" w:rsidRDefault="00F83806">
      <w:pPr>
        <w:spacing w:after="0" w:line="240" w:lineRule="auto"/>
        <w:rPr>
          <w:rFonts w:ascii="Times New Roman" w:eastAsia="Times New Roman" w:hAnsi="Times New Roman" w:cs="Times New Roman"/>
        </w:rPr>
      </w:pPr>
    </w:p>
    <w:tbl>
      <w:tblPr>
        <w:tblStyle w:val="a7"/>
        <w:tblW w:w="10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34"/>
        <w:gridCol w:w="1789"/>
        <w:gridCol w:w="1153"/>
        <w:gridCol w:w="1153"/>
        <w:gridCol w:w="1273"/>
        <w:gridCol w:w="874"/>
        <w:gridCol w:w="874"/>
        <w:gridCol w:w="1259"/>
        <w:gridCol w:w="1263"/>
      </w:tblGrid>
      <w:tr w:rsidR="00F83806" w14:paraId="0BC2B258" w14:textId="77777777">
        <w:trPr>
          <w:cantSplit/>
          <w:trHeight w:val="276"/>
        </w:trPr>
        <w:tc>
          <w:tcPr>
            <w:tcW w:w="10272" w:type="dxa"/>
            <w:gridSpan w:val="9"/>
            <w:tcBorders>
              <w:top w:val="nil"/>
              <w:left w:val="nil"/>
              <w:bottom w:val="nil"/>
              <w:right w:val="nil"/>
            </w:tcBorders>
            <w:shd w:val="clear" w:color="auto" w:fill="FFFFFF"/>
          </w:tcPr>
          <w:p w14:paraId="2C31C0EB"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Table 9: </w:t>
            </w:r>
            <w:proofErr w:type="spellStart"/>
            <w:r>
              <w:rPr>
                <w:rFonts w:ascii="Times New Roman" w:eastAsia="Times New Roman" w:hAnsi="Times New Roman" w:cs="Times New Roman"/>
                <w:b/>
                <w:color w:val="000000"/>
              </w:rPr>
              <w:t>Coefficients</w:t>
            </w:r>
            <w:r>
              <w:rPr>
                <w:rFonts w:ascii="Times New Roman" w:eastAsia="Times New Roman" w:hAnsi="Times New Roman" w:cs="Times New Roman"/>
                <w:b/>
                <w:color w:val="000000"/>
                <w:vertAlign w:val="superscript"/>
              </w:rPr>
              <w:t>a</w:t>
            </w:r>
            <w:proofErr w:type="spellEnd"/>
          </w:p>
        </w:tc>
      </w:tr>
      <w:tr w:rsidR="00F83806" w14:paraId="51871E68" w14:textId="77777777">
        <w:trPr>
          <w:cantSplit/>
          <w:trHeight w:val="124"/>
        </w:trPr>
        <w:tc>
          <w:tcPr>
            <w:tcW w:w="2423" w:type="dxa"/>
            <w:gridSpan w:val="2"/>
            <w:vMerge w:val="restart"/>
            <w:tcBorders>
              <w:top w:val="single" w:sz="16" w:space="0" w:color="000000"/>
              <w:left w:val="single" w:sz="16" w:space="0" w:color="000000"/>
              <w:bottom w:val="nil"/>
              <w:right w:val="nil"/>
            </w:tcBorders>
            <w:shd w:val="clear" w:color="auto" w:fill="FFFFFF"/>
          </w:tcPr>
          <w:p w14:paraId="47408B92"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color w:val="000000"/>
              </w:rPr>
              <w:t>Model</w:t>
            </w:r>
          </w:p>
        </w:tc>
        <w:tc>
          <w:tcPr>
            <w:tcW w:w="2306" w:type="dxa"/>
            <w:gridSpan w:val="2"/>
            <w:tcBorders>
              <w:top w:val="single" w:sz="16" w:space="0" w:color="000000"/>
              <w:left w:val="single" w:sz="16" w:space="0" w:color="000000"/>
            </w:tcBorders>
            <w:shd w:val="clear" w:color="auto" w:fill="FFFFFF"/>
          </w:tcPr>
          <w:p w14:paraId="12374352"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Unstandardized Coefficients</w:t>
            </w:r>
          </w:p>
        </w:tc>
        <w:tc>
          <w:tcPr>
            <w:tcW w:w="1273" w:type="dxa"/>
            <w:tcBorders>
              <w:top w:val="single" w:sz="16" w:space="0" w:color="000000"/>
            </w:tcBorders>
            <w:shd w:val="clear" w:color="auto" w:fill="FFFFFF"/>
          </w:tcPr>
          <w:p w14:paraId="6D1E6E1D"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Standardized Coefficients</w:t>
            </w:r>
          </w:p>
        </w:tc>
        <w:tc>
          <w:tcPr>
            <w:tcW w:w="874" w:type="dxa"/>
            <w:vMerge w:val="restart"/>
            <w:tcBorders>
              <w:top w:val="single" w:sz="16" w:space="0" w:color="000000"/>
            </w:tcBorders>
            <w:shd w:val="clear" w:color="auto" w:fill="FFFFFF"/>
          </w:tcPr>
          <w:p w14:paraId="437339C2"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t</w:t>
            </w:r>
          </w:p>
        </w:tc>
        <w:tc>
          <w:tcPr>
            <w:tcW w:w="874" w:type="dxa"/>
            <w:vMerge w:val="restart"/>
            <w:tcBorders>
              <w:top w:val="single" w:sz="16" w:space="0" w:color="000000"/>
            </w:tcBorders>
            <w:shd w:val="clear" w:color="auto" w:fill="FFFFFF"/>
          </w:tcPr>
          <w:p w14:paraId="367B9E9E"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Sig.</w:t>
            </w:r>
          </w:p>
        </w:tc>
        <w:tc>
          <w:tcPr>
            <w:tcW w:w="2522" w:type="dxa"/>
            <w:gridSpan w:val="2"/>
            <w:tcBorders>
              <w:top w:val="single" w:sz="16" w:space="0" w:color="000000"/>
            </w:tcBorders>
            <w:shd w:val="clear" w:color="auto" w:fill="FFFFFF"/>
          </w:tcPr>
          <w:p w14:paraId="3F80F6C1"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95.0% Confidence Interval for</w:t>
            </w:r>
            <w:r>
              <w:rPr>
                <w:rFonts w:ascii="Times New Roman" w:eastAsia="Times New Roman" w:hAnsi="Times New Roman" w:cs="Times New Roman"/>
                <w:color w:val="000000"/>
              </w:rPr>
              <w:t xml:space="preserve"> B</w:t>
            </w:r>
          </w:p>
        </w:tc>
      </w:tr>
      <w:tr w:rsidR="00F83806" w14:paraId="336C6761" w14:textId="77777777">
        <w:trPr>
          <w:cantSplit/>
          <w:trHeight w:val="124"/>
        </w:trPr>
        <w:tc>
          <w:tcPr>
            <w:tcW w:w="2423" w:type="dxa"/>
            <w:gridSpan w:val="2"/>
            <w:vMerge/>
            <w:tcBorders>
              <w:top w:val="single" w:sz="16" w:space="0" w:color="000000"/>
              <w:left w:val="single" w:sz="16" w:space="0" w:color="000000"/>
              <w:bottom w:val="nil"/>
              <w:right w:val="nil"/>
            </w:tcBorders>
            <w:shd w:val="clear" w:color="auto" w:fill="FFFFFF"/>
          </w:tcPr>
          <w:p w14:paraId="47A662E2" w14:textId="77777777" w:rsidR="00F83806" w:rsidRDefault="00F83806">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153" w:type="dxa"/>
            <w:tcBorders>
              <w:left w:val="single" w:sz="16" w:space="0" w:color="000000"/>
              <w:bottom w:val="single" w:sz="16" w:space="0" w:color="000000"/>
            </w:tcBorders>
            <w:shd w:val="clear" w:color="auto" w:fill="FFFFFF"/>
          </w:tcPr>
          <w:p w14:paraId="552C4F8B"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1153" w:type="dxa"/>
            <w:tcBorders>
              <w:bottom w:val="single" w:sz="16" w:space="0" w:color="000000"/>
            </w:tcBorders>
            <w:shd w:val="clear" w:color="auto" w:fill="FFFFFF"/>
          </w:tcPr>
          <w:p w14:paraId="1FF4605D"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Std. Error</w:t>
            </w:r>
          </w:p>
        </w:tc>
        <w:tc>
          <w:tcPr>
            <w:tcW w:w="1273" w:type="dxa"/>
            <w:tcBorders>
              <w:bottom w:val="single" w:sz="16" w:space="0" w:color="000000"/>
            </w:tcBorders>
            <w:shd w:val="clear" w:color="auto" w:fill="FFFFFF"/>
          </w:tcPr>
          <w:p w14:paraId="7D219398"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Beta</w:t>
            </w:r>
          </w:p>
        </w:tc>
        <w:tc>
          <w:tcPr>
            <w:tcW w:w="874" w:type="dxa"/>
            <w:vMerge/>
            <w:tcBorders>
              <w:top w:val="single" w:sz="16" w:space="0" w:color="000000"/>
            </w:tcBorders>
            <w:shd w:val="clear" w:color="auto" w:fill="FFFFFF"/>
          </w:tcPr>
          <w:p w14:paraId="0C2816D2" w14:textId="77777777" w:rsidR="00F83806" w:rsidRDefault="00F83806">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874" w:type="dxa"/>
            <w:vMerge/>
            <w:tcBorders>
              <w:top w:val="single" w:sz="16" w:space="0" w:color="000000"/>
            </w:tcBorders>
            <w:shd w:val="clear" w:color="auto" w:fill="FFFFFF"/>
          </w:tcPr>
          <w:p w14:paraId="79003FA4" w14:textId="77777777" w:rsidR="00F83806" w:rsidRDefault="00F83806">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259" w:type="dxa"/>
            <w:tcBorders>
              <w:bottom w:val="single" w:sz="16" w:space="0" w:color="000000"/>
            </w:tcBorders>
            <w:shd w:val="clear" w:color="auto" w:fill="FFFFFF"/>
          </w:tcPr>
          <w:p w14:paraId="1996701D"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Lower Bound</w:t>
            </w:r>
          </w:p>
        </w:tc>
        <w:tc>
          <w:tcPr>
            <w:tcW w:w="1263" w:type="dxa"/>
            <w:tcBorders>
              <w:bottom w:val="single" w:sz="16" w:space="0" w:color="000000"/>
              <w:right w:val="single" w:sz="16" w:space="0" w:color="000000"/>
            </w:tcBorders>
            <w:shd w:val="clear" w:color="auto" w:fill="FFFFFF"/>
          </w:tcPr>
          <w:p w14:paraId="3B57D3FD" w14:textId="77777777" w:rsidR="00F83806" w:rsidRDefault="007B0A2A">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Upper Bound</w:t>
            </w:r>
          </w:p>
        </w:tc>
      </w:tr>
      <w:tr w:rsidR="00F83806" w14:paraId="2C353420" w14:textId="77777777">
        <w:trPr>
          <w:cantSplit/>
          <w:trHeight w:val="124"/>
        </w:trPr>
        <w:tc>
          <w:tcPr>
            <w:tcW w:w="634" w:type="dxa"/>
            <w:vMerge w:val="restart"/>
            <w:tcBorders>
              <w:top w:val="single" w:sz="16" w:space="0" w:color="000000"/>
              <w:left w:val="single" w:sz="16" w:space="0" w:color="000000"/>
              <w:bottom w:val="single" w:sz="16" w:space="0" w:color="000000"/>
              <w:right w:val="nil"/>
            </w:tcBorders>
            <w:shd w:val="clear" w:color="auto" w:fill="FFFFFF"/>
            <w:vAlign w:val="center"/>
          </w:tcPr>
          <w:p w14:paraId="60C6BF3D"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789" w:type="dxa"/>
            <w:tcBorders>
              <w:top w:val="single" w:sz="16" w:space="0" w:color="000000"/>
              <w:left w:val="nil"/>
              <w:bottom w:val="nil"/>
              <w:right w:val="single" w:sz="16" w:space="0" w:color="000000"/>
            </w:tcBorders>
            <w:shd w:val="clear" w:color="auto" w:fill="FFFFFF"/>
            <w:vAlign w:val="center"/>
          </w:tcPr>
          <w:p w14:paraId="43A3808B"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color w:val="000000"/>
              </w:rPr>
              <w:t>(Constant)</w:t>
            </w:r>
          </w:p>
        </w:tc>
        <w:tc>
          <w:tcPr>
            <w:tcW w:w="1153" w:type="dxa"/>
            <w:tcBorders>
              <w:top w:val="single" w:sz="16" w:space="0" w:color="000000"/>
              <w:left w:val="single" w:sz="16" w:space="0" w:color="000000"/>
              <w:bottom w:val="nil"/>
            </w:tcBorders>
            <w:shd w:val="clear" w:color="auto" w:fill="FFFFFF"/>
            <w:vAlign w:val="center"/>
          </w:tcPr>
          <w:p w14:paraId="72873839"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8.006</w:t>
            </w:r>
          </w:p>
        </w:tc>
        <w:tc>
          <w:tcPr>
            <w:tcW w:w="1153" w:type="dxa"/>
            <w:tcBorders>
              <w:top w:val="single" w:sz="16" w:space="0" w:color="000000"/>
              <w:bottom w:val="nil"/>
            </w:tcBorders>
            <w:shd w:val="clear" w:color="auto" w:fill="FFFFFF"/>
            <w:vAlign w:val="center"/>
          </w:tcPr>
          <w:p w14:paraId="4884D9D8"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.207</w:t>
            </w:r>
          </w:p>
        </w:tc>
        <w:tc>
          <w:tcPr>
            <w:tcW w:w="1273" w:type="dxa"/>
            <w:tcBorders>
              <w:top w:val="single" w:sz="16" w:space="0" w:color="000000"/>
              <w:bottom w:val="nil"/>
            </w:tcBorders>
            <w:shd w:val="clear" w:color="auto" w:fill="FFFFFF"/>
          </w:tcPr>
          <w:p w14:paraId="2BA6061E" w14:textId="77777777" w:rsidR="00F83806" w:rsidRDefault="00F83806">
            <w:pPr>
              <w:spacing w:after="0" w:line="240" w:lineRule="auto"/>
              <w:rPr>
                <w:rFonts w:ascii="Times New Roman" w:eastAsia="Times New Roman" w:hAnsi="Times New Roman" w:cs="Times New Roman"/>
              </w:rPr>
            </w:pPr>
          </w:p>
        </w:tc>
        <w:tc>
          <w:tcPr>
            <w:tcW w:w="874" w:type="dxa"/>
            <w:tcBorders>
              <w:top w:val="single" w:sz="16" w:space="0" w:color="000000"/>
              <w:bottom w:val="nil"/>
            </w:tcBorders>
            <w:shd w:val="clear" w:color="auto" w:fill="FFFFFF"/>
            <w:vAlign w:val="center"/>
          </w:tcPr>
          <w:p w14:paraId="1B456DCA"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38.591</w:t>
            </w:r>
          </w:p>
        </w:tc>
        <w:tc>
          <w:tcPr>
            <w:tcW w:w="874" w:type="dxa"/>
            <w:tcBorders>
              <w:top w:val="single" w:sz="16" w:space="0" w:color="000000"/>
              <w:bottom w:val="nil"/>
            </w:tcBorders>
            <w:shd w:val="clear" w:color="auto" w:fill="FFFFFF"/>
            <w:vAlign w:val="center"/>
          </w:tcPr>
          <w:p w14:paraId="51919D66"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259" w:type="dxa"/>
            <w:tcBorders>
              <w:top w:val="single" w:sz="16" w:space="0" w:color="000000"/>
              <w:bottom w:val="nil"/>
            </w:tcBorders>
            <w:shd w:val="clear" w:color="auto" w:fill="FFFFFF"/>
            <w:vAlign w:val="center"/>
          </w:tcPr>
          <w:p w14:paraId="5A5022AD"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7.594</w:t>
            </w:r>
          </w:p>
        </w:tc>
        <w:tc>
          <w:tcPr>
            <w:tcW w:w="1263" w:type="dxa"/>
            <w:tcBorders>
              <w:top w:val="single" w:sz="16" w:space="0" w:color="000000"/>
              <w:bottom w:val="nil"/>
              <w:right w:val="single" w:sz="16" w:space="0" w:color="000000"/>
            </w:tcBorders>
            <w:shd w:val="clear" w:color="auto" w:fill="FFFFFF"/>
            <w:vAlign w:val="center"/>
          </w:tcPr>
          <w:p w14:paraId="4F4F31C5"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8.417</w:t>
            </w:r>
          </w:p>
        </w:tc>
      </w:tr>
      <w:tr w:rsidR="00F83806" w14:paraId="7307C8F0" w14:textId="77777777">
        <w:trPr>
          <w:cantSplit/>
          <w:trHeight w:val="124"/>
        </w:trPr>
        <w:tc>
          <w:tcPr>
            <w:tcW w:w="634" w:type="dxa"/>
            <w:vMerge/>
            <w:tcBorders>
              <w:top w:val="single" w:sz="16" w:space="0" w:color="000000"/>
              <w:left w:val="single" w:sz="16" w:space="0" w:color="000000"/>
              <w:bottom w:val="single" w:sz="16" w:space="0" w:color="000000"/>
              <w:right w:val="nil"/>
            </w:tcBorders>
            <w:shd w:val="clear" w:color="auto" w:fill="FFFFFF"/>
            <w:vAlign w:val="center"/>
          </w:tcPr>
          <w:p w14:paraId="101D7623" w14:textId="77777777" w:rsidR="00F83806" w:rsidRDefault="00F83806">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789" w:type="dxa"/>
            <w:tcBorders>
              <w:top w:val="nil"/>
              <w:left w:val="nil"/>
              <w:bottom w:val="nil"/>
              <w:right w:val="single" w:sz="16" w:space="0" w:color="000000"/>
            </w:tcBorders>
            <w:shd w:val="clear" w:color="auto" w:fill="FFFFFF"/>
            <w:vAlign w:val="center"/>
          </w:tcPr>
          <w:p w14:paraId="5549CD44" w14:textId="77777777" w:rsidR="00F83806" w:rsidRDefault="007B0A2A">
            <w:pPr>
              <w:spacing w:after="0"/>
              <w:ind w:left="60" w:right="6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Lack_of_Control</w:t>
            </w:r>
            <w:proofErr w:type="spellEnd"/>
            <w:r>
              <w:rPr>
                <w:rFonts w:ascii="Times New Roman" w:eastAsia="Times New Roman" w:hAnsi="Times New Roman" w:cs="Times New Roman"/>
                <w:color w:val="000000"/>
              </w:rPr>
              <w:t xml:space="preserve"> (LC)</w:t>
            </w:r>
          </w:p>
        </w:tc>
        <w:tc>
          <w:tcPr>
            <w:tcW w:w="1153" w:type="dxa"/>
            <w:tcBorders>
              <w:top w:val="nil"/>
              <w:left w:val="single" w:sz="16" w:space="0" w:color="000000"/>
              <w:bottom w:val="nil"/>
            </w:tcBorders>
            <w:shd w:val="clear" w:color="auto" w:fill="FFFFFF"/>
            <w:vAlign w:val="center"/>
          </w:tcPr>
          <w:p w14:paraId="0B549E85"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1.184</w:t>
            </w:r>
          </w:p>
        </w:tc>
        <w:tc>
          <w:tcPr>
            <w:tcW w:w="1153" w:type="dxa"/>
            <w:tcBorders>
              <w:top w:val="nil"/>
              <w:bottom w:val="nil"/>
            </w:tcBorders>
            <w:shd w:val="clear" w:color="auto" w:fill="FFFFFF"/>
            <w:vAlign w:val="center"/>
          </w:tcPr>
          <w:p w14:paraId="48520E9C"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.153</w:t>
            </w:r>
          </w:p>
        </w:tc>
        <w:tc>
          <w:tcPr>
            <w:tcW w:w="1273" w:type="dxa"/>
            <w:tcBorders>
              <w:top w:val="nil"/>
              <w:bottom w:val="nil"/>
            </w:tcBorders>
            <w:shd w:val="clear" w:color="auto" w:fill="FFFFFF"/>
            <w:vAlign w:val="center"/>
          </w:tcPr>
          <w:p w14:paraId="0F075CA7"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1.907</w:t>
            </w:r>
          </w:p>
        </w:tc>
        <w:tc>
          <w:tcPr>
            <w:tcW w:w="874" w:type="dxa"/>
            <w:tcBorders>
              <w:top w:val="nil"/>
              <w:bottom w:val="nil"/>
            </w:tcBorders>
            <w:shd w:val="clear" w:color="auto" w:fill="FFFFFF"/>
            <w:vAlign w:val="center"/>
          </w:tcPr>
          <w:p w14:paraId="287A2E50"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7.732</w:t>
            </w:r>
          </w:p>
        </w:tc>
        <w:tc>
          <w:tcPr>
            <w:tcW w:w="874" w:type="dxa"/>
            <w:tcBorders>
              <w:top w:val="nil"/>
              <w:bottom w:val="nil"/>
            </w:tcBorders>
            <w:shd w:val="clear" w:color="auto" w:fill="FFFFFF"/>
            <w:vAlign w:val="center"/>
          </w:tcPr>
          <w:p w14:paraId="724F7D04"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259" w:type="dxa"/>
            <w:tcBorders>
              <w:top w:val="nil"/>
              <w:bottom w:val="nil"/>
            </w:tcBorders>
            <w:shd w:val="clear" w:color="auto" w:fill="FFFFFF"/>
            <w:vAlign w:val="center"/>
          </w:tcPr>
          <w:p w14:paraId="6E7BE701"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.880</w:t>
            </w:r>
          </w:p>
        </w:tc>
        <w:tc>
          <w:tcPr>
            <w:tcW w:w="1263" w:type="dxa"/>
            <w:tcBorders>
              <w:top w:val="nil"/>
              <w:bottom w:val="nil"/>
              <w:right w:val="single" w:sz="16" w:space="0" w:color="000000"/>
            </w:tcBorders>
            <w:shd w:val="clear" w:color="auto" w:fill="FFFFFF"/>
            <w:vAlign w:val="center"/>
          </w:tcPr>
          <w:p w14:paraId="225A0894"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1.488</w:t>
            </w:r>
          </w:p>
        </w:tc>
      </w:tr>
      <w:tr w:rsidR="00F83806" w14:paraId="54E3670A" w14:textId="77777777">
        <w:trPr>
          <w:cantSplit/>
          <w:trHeight w:val="124"/>
        </w:trPr>
        <w:tc>
          <w:tcPr>
            <w:tcW w:w="634" w:type="dxa"/>
            <w:vMerge/>
            <w:tcBorders>
              <w:top w:val="single" w:sz="16" w:space="0" w:color="000000"/>
              <w:left w:val="single" w:sz="16" w:space="0" w:color="000000"/>
              <w:bottom w:val="single" w:sz="16" w:space="0" w:color="000000"/>
              <w:right w:val="nil"/>
            </w:tcBorders>
            <w:shd w:val="clear" w:color="auto" w:fill="FFFFFF"/>
            <w:vAlign w:val="center"/>
          </w:tcPr>
          <w:p w14:paraId="0CB4A1B7" w14:textId="77777777" w:rsidR="00F83806" w:rsidRDefault="00F83806">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789" w:type="dxa"/>
            <w:tcBorders>
              <w:top w:val="nil"/>
              <w:left w:val="nil"/>
              <w:bottom w:val="nil"/>
              <w:right w:val="single" w:sz="16" w:space="0" w:color="000000"/>
            </w:tcBorders>
            <w:shd w:val="clear" w:color="auto" w:fill="FFFFFF"/>
            <w:vAlign w:val="center"/>
          </w:tcPr>
          <w:p w14:paraId="08ACAD25" w14:textId="77777777" w:rsidR="00F83806" w:rsidRDefault="007B0A2A">
            <w:pPr>
              <w:spacing w:after="0"/>
              <w:ind w:left="60" w:right="60"/>
              <w:rPr>
                <w:rFonts w:ascii="Times New Roman" w:eastAsia="Times New Roman" w:hAnsi="Times New Roman" w:cs="Times New Roman"/>
                <w:color w:val="000000"/>
              </w:rPr>
            </w:pPr>
            <w:r>
              <w:rPr>
                <w:rFonts w:ascii="Times New Roman" w:eastAsia="Times New Roman" w:hAnsi="Times New Roman" w:cs="Times New Roman"/>
                <w:color w:val="000000"/>
              </w:rPr>
              <w:t>Workload (WL)</w:t>
            </w:r>
          </w:p>
        </w:tc>
        <w:tc>
          <w:tcPr>
            <w:tcW w:w="1153" w:type="dxa"/>
            <w:tcBorders>
              <w:top w:val="nil"/>
              <w:left w:val="single" w:sz="16" w:space="0" w:color="000000"/>
              <w:bottom w:val="nil"/>
            </w:tcBorders>
            <w:shd w:val="clear" w:color="auto" w:fill="FFFFFF"/>
            <w:vAlign w:val="center"/>
          </w:tcPr>
          <w:p w14:paraId="637B18BD"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-1.132</w:t>
            </w:r>
          </w:p>
        </w:tc>
        <w:tc>
          <w:tcPr>
            <w:tcW w:w="1153" w:type="dxa"/>
            <w:tcBorders>
              <w:top w:val="nil"/>
              <w:bottom w:val="nil"/>
            </w:tcBorders>
            <w:shd w:val="clear" w:color="auto" w:fill="FFFFFF"/>
            <w:vAlign w:val="center"/>
          </w:tcPr>
          <w:p w14:paraId="047102A0"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.118</w:t>
            </w:r>
          </w:p>
        </w:tc>
        <w:tc>
          <w:tcPr>
            <w:tcW w:w="1273" w:type="dxa"/>
            <w:tcBorders>
              <w:top w:val="nil"/>
              <w:bottom w:val="nil"/>
            </w:tcBorders>
            <w:shd w:val="clear" w:color="auto" w:fill="FFFFFF"/>
            <w:vAlign w:val="center"/>
          </w:tcPr>
          <w:p w14:paraId="7E7E602E"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-1.426</w:t>
            </w:r>
          </w:p>
        </w:tc>
        <w:tc>
          <w:tcPr>
            <w:tcW w:w="874" w:type="dxa"/>
            <w:tcBorders>
              <w:top w:val="nil"/>
              <w:bottom w:val="nil"/>
            </w:tcBorders>
            <w:shd w:val="clear" w:color="auto" w:fill="FFFFFF"/>
            <w:vAlign w:val="center"/>
          </w:tcPr>
          <w:p w14:paraId="513CBD6B"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-9.623</w:t>
            </w:r>
          </w:p>
        </w:tc>
        <w:tc>
          <w:tcPr>
            <w:tcW w:w="874" w:type="dxa"/>
            <w:tcBorders>
              <w:top w:val="nil"/>
              <w:bottom w:val="nil"/>
            </w:tcBorders>
            <w:shd w:val="clear" w:color="auto" w:fill="FFFFFF"/>
            <w:vAlign w:val="center"/>
          </w:tcPr>
          <w:p w14:paraId="223BA3B0"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259" w:type="dxa"/>
            <w:tcBorders>
              <w:top w:val="nil"/>
              <w:bottom w:val="nil"/>
            </w:tcBorders>
            <w:shd w:val="clear" w:color="auto" w:fill="FFFFFF"/>
            <w:vAlign w:val="center"/>
          </w:tcPr>
          <w:p w14:paraId="65036D67"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-1.365</w:t>
            </w:r>
          </w:p>
        </w:tc>
        <w:tc>
          <w:tcPr>
            <w:tcW w:w="1263" w:type="dxa"/>
            <w:tcBorders>
              <w:top w:val="nil"/>
              <w:bottom w:val="nil"/>
              <w:right w:val="single" w:sz="16" w:space="0" w:color="000000"/>
            </w:tcBorders>
            <w:shd w:val="clear" w:color="auto" w:fill="FFFFFF"/>
            <w:vAlign w:val="center"/>
          </w:tcPr>
          <w:p w14:paraId="4F88F9C9"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-.898</w:t>
            </w:r>
          </w:p>
        </w:tc>
      </w:tr>
      <w:tr w:rsidR="00F83806" w14:paraId="19AA2A8A" w14:textId="77777777">
        <w:trPr>
          <w:cantSplit/>
          <w:trHeight w:val="124"/>
        </w:trPr>
        <w:tc>
          <w:tcPr>
            <w:tcW w:w="634" w:type="dxa"/>
            <w:vMerge/>
            <w:tcBorders>
              <w:top w:val="single" w:sz="16" w:space="0" w:color="000000"/>
              <w:left w:val="single" w:sz="16" w:space="0" w:color="000000"/>
              <w:bottom w:val="single" w:sz="16" w:space="0" w:color="000000"/>
              <w:right w:val="nil"/>
            </w:tcBorders>
            <w:shd w:val="clear" w:color="auto" w:fill="FFFFFF"/>
            <w:vAlign w:val="center"/>
          </w:tcPr>
          <w:p w14:paraId="32F4CE5D" w14:textId="77777777" w:rsidR="00F83806" w:rsidRDefault="00F83806">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1789" w:type="dxa"/>
            <w:tcBorders>
              <w:top w:val="nil"/>
              <w:left w:val="nil"/>
              <w:bottom w:val="single" w:sz="16" w:space="0" w:color="000000"/>
              <w:right w:val="single" w:sz="16" w:space="0" w:color="000000"/>
            </w:tcBorders>
            <w:shd w:val="clear" w:color="auto" w:fill="FFFFFF"/>
            <w:vAlign w:val="center"/>
          </w:tcPr>
          <w:p w14:paraId="749D968E" w14:textId="77777777" w:rsidR="00F83806" w:rsidRDefault="007B0A2A">
            <w:pPr>
              <w:spacing w:after="0"/>
              <w:ind w:left="60" w:right="6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Job_Insecurity</w:t>
            </w:r>
            <w:proofErr w:type="spellEnd"/>
            <w:r>
              <w:rPr>
                <w:rFonts w:ascii="Times New Roman" w:eastAsia="Times New Roman" w:hAnsi="Times New Roman" w:cs="Times New Roman"/>
                <w:color w:val="000000"/>
              </w:rPr>
              <w:t xml:space="preserve"> (JI)</w:t>
            </w:r>
          </w:p>
        </w:tc>
        <w:tc>
          <w:tcPr>
            <w:tcW w:w="1153" w:type="dxa"/>
            <w:tcBorders>
              <w:top w:val="nil"/>
              <w:left w:val="single" w:sz="16" w:space="0" w:color="000000"/>
              <w:bottom w:val="single" w:sz="16" w:space="0" w:color="000000"/>
            </w:tcBorders>
            <w:shd w:val="clear" w:color="auto" w:fill="FFFFFF"/>
            <w:vAlign w:val="center"/>
          </w:tcPr>
          <w:p w14:paraId="5CA5BE72"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-1.010</w:t>
            </w:r>
          </w:p>
        </w:tc>
        <w:tc>
          <w:tcPr>
            <w:tcW w:w="1153" w:type="dxa"/>
            <w:tcBorders>
              <w:top w:val="nil"/>
              <w:bottom w:val="single" w:sz="16" w:space="0" w:color="000000"/>
            </w:tcBorders>
            <w:shd w:val="clear" w:color="auto" w:fill="FFFFFF"/>
            <w:vAlign w:val="center"/>
          </w:tcPr>
          <w:p w14:paraId="5D87F4CD"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.148</w:t>
            </w:r>
          </w:p>
        </w:tc>
        <w:tc>
          <w:tcPr>
            <w:tcW w:w="1273" w:type="dxa"/>
            <w:tcBorders>
              <w:top w:val="nil"/>
              <w:bottom w:val="single" w:sz="16" w:space="0" w:color="000000"/>
            </w:tcBorders>
            <w:shd w:val="clear" w:color="auto" w:fill="FFFFFF"/>
            <w:vAlign w:val="center"/>
          </w:tcPr>
          <w:p w14:paraId="43C75110"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-1.366</w:t>
            </w:r>
          </w:p>
        </w:tc>
        <w:tc>
          <w:tcPr>
            <w:tcW w:w="874" w:type="dxa"/>
            <w:tcBorders>
              <w:top w:val="nil"/>
              <w:bottom w:val="single" w:sz="16" w:space="0" w:color="000000"/>
            </w:tcBorders>
            <w:shd w:val="clear" w:color="auto" w:fill="FFFFFF"/>
            <w:vAlign w:val="center"/>
          </w:tcPr>
          <w:p w14:paraId="507D9E90"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-6.847</w:t>
            </w:r>
          </w:p>
        </w:tc>
        <w:tc>
          <w:tcPr>
            <w:tcW w:w="874" w:type="dxa"/>
            <w:tcBorders>
              <w:top w:val="nil"/>
              <w:bottom w:val="single" w:sz="16" w:space="0" w:color="000000"/>
            </w:tcBorders>
            <w:shd w:val="clear" w:color="auto" w:fill="FFFFFF"/>
            <w:vAlign w:val="center"/>
          </w:tcPr>
          <w:p w14:paraId="7E38ECA6"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259" w:type="dxa"/>
            <w:tcBorders>
              <w:top w:val="nil"/>
              <w:bottom w:val="single" w:sz="16" w:space="0" w:color="000000"/>
            </w:tcBorders>
            <w:shd w:val="clear" w:color="auto" w:fill="FFFFFF"/>
            <w:vAlign w:val="center"/>
          </w:tcPr>
          <w:p w14:paraId="68DBA38C"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-1.303</w:t>
            </w:r>
          </w:p>
        </w:tc>
        <w:tc>
          <w:tcPr>
            <w:tcW w:w="1263" w:type="dxa"/>
            <w:tcBorders>
              <w:top w:val="nil"/>
              <w:bottom w:val="single" w:sz="16" w:space="0" w:color="000000"/>
              <w:right w:val="single" w:sz="16" w:space="0" w:color="000000"/>
            </w:tcBorders>
            <w:shd w:val="clear" w:color="auto" w:fill="FFFFFF"/>
            <w:vAlign w:val="center"/>
          </w:tcPr>
          <w:p w14:paraId="4D1E2CD1" w14:textId="77777777" w:rsidR="00F83806" w:rsidRDefault="007B0A2A">
            <w:pPr>
              <w:spacing w:after="0"/>
              <w:ind w:left="60" w:right="60"/>
              <w:jc w:val="right"/>
              <w:rPr>
                <w:rFonts w:ascii="Times New Roman" w:eastAsia="Times New Roman" w:hAnsi="Times New Roman" w:cs="Times New Roman"/>
                <w:color w:val="000000"/>
              </w:rPr>
            </w:pPr>
            <w:r>
              <w:rPr>
                <w:rFonts w:ascii="Times New Roman" w:eastAsia="Times New Roman" w:hAnsi="Times New Roman" w:cs="Times New Roman"/>
                <w:color w:val="000000"/>
              </w:rPr>
              <w:t>-.717</w:t>
            </w:r>
          </w:p>
        </w:tc>
      </w:tr>
      <w:tr w:rsidR="00F83806" w14:paraId="3624B9EE" w14:textId="77777777">
        <w:trPr>
          <w:cantSplit/>
          <w:trHeight w:val="276"/>
        </w:trPr>
        <w:tc>
          <w:tcPr>
            <w:tcW w:w="10272" w:type="dxa"/>
            <w:gridSpan w:val="9"/>
            <w:tcBorders>
              <w:top w:val="nil"/>
              <w:left w:val="nil"/>
              <w:bottom w:val="nil"/>
              <w:right w:val="nil"/>
            </w:tcBorders>
            <w:shd w:val="clear" w:color="auto" w:fill="FFFFFF"/>
          </w:tcPr>
          <w:p w14:paraId="302EB717" w14:textId="77777777" w:rsidR="00F83806" w:rsidRDefault="007B0A2A">
            <w:pPr>
              <w:spacing w:after="0"/>
              <w:rPr>
                <w:rFonts w:ascii="Times New Roman" w:eastAsia="Times New Roman" w:hAnsi="Times New Roman" w:cs="Times New Roman"/>
                <w:b/>
              </w:rPr>
            </w:pPr>
            <w:r>
              <w:rPr>
                <w:rFonts w:ascii="Times New Roman" w:eastAsia="Times New Roman" w:hAnsi="Times New Roman" w:cs="Times New Roman"/>
                <w:b/>
              </w:rPr>
              <w:t>Source: Authors (2025)</w:t>
            </w:r>
          </w:p>
          <w:p w14:paraId="0B32C7B9" w14:textId="77777777" w:rsidR="00F83806" w:rsidRDefault="00F83806">
            <w:pPr>
              <w:spacing w:after="0"/>
              <w:ind w:left="60" w:right="60"/>
              <w:rPr>
                <w:rFonts w:ascii="Times New Roman" w:eastAsia="Times New Roman" w:hAnsi="Times New Roman" w:cs="Times New Roman"/>
                <w:color w:val="000000"/>
              </w:rPr>
            </w:pPr>
          </w:p>
        </w:tc>
      </w:tr>
    </w:tbl>
    <w:p w14:paraId="39FDC25E" w14:textId="77777777" w:rsidR="00F83806" w:rsidRDefault="007B0A2A">
      <w:pPr>
        <w:rPr>
          <w:rFonts w:ascii="Times New Roman" w:eastAsia="Times New Roman" w:hAnsi="Times New Roman" w:cs="Times New Roman"/>
          <w:b/>
        </w:rPr>
      </w:pPr>
      <w:r>
        <w:rPr>
          <w:rFonts w:ascii="Times New Roman" w:eastAsia="Times New Roman" w:hAnsi="Times New Roman" w:cs="Times New Roman"/>
          <w:b/>
        </w:rPr>
        <w:t>Discussion of Results</w:t>
      </w:r>
    </w:p>
    <w:p w14:paraId="571660FF"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The summary of results obtained in this study indicates that workload, job insecurity, and lack of control are significant predictors of employees' psychological health in construction companies within the Centre Region of Cameroon. These findings are cons</w:t>
      </w:r>
      <w:r>
        <w:rPr>
          <w:rFonts w:ascii="Times New Roman" w:eastAsia="Times New Roman" w:hAnsi="Times New Roman" w:cs="Times New Roman"/>
        </w:rPr>
        <w:t xml:space="preserve">istent with previous studies that have shown that psychosocial risk factors such as workload, job insecurity, and lack of control can have negative effects on employees' psychological health (Demerouti &amp; Bakker, 2017; </w:t>
      </w:r>
      <w:proofErr w:type="spellStart"/>
      <w:r>
        <w:rPr>
          <w:rFonts w:ascii="Times New Roman" w:eastAsia="Times New Roman" w:hAnsi="Times New Roman" w:cs="Times New Roman"/>
        </w:rPr>
        <w:t>Hämmig</w:t>
      </w:r>
      <w:proofErr w:type="spellEnd"/>
      <w:r>
        <w:rPr>
          <w:rFonts w:ascii="Times New Roman" w:eastAsia="Times New Roman" w:hAnsi="Times New Roman" w:cs="Times New Roman"/>
        </w:rPr>
        <w:t>, 2017).</w:t>
      </w:r>
    </w:p>
    <w:p w14:paraId="1093F01B"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The results of this stu</w:t>
      </w:r>
      <w:r>
        <w:rPr>
          <w:rFonts w:ascii="Times New Roman" w:eastAsia="Times New Roman" w:hAnsi="Times New Roman" w:cs="Times New Roman"/>
        </w:rPr>
        <w:t>dy also suggest that workload is the strongest predictor of psychological health, followed by job insecurity and lack of control. This is consistent with a study by Kivimäki et al. (2015) that found that long working hours and high workload were associated</w:t>
      </w:r>
      <w:r>
        <w:rPr>
          <w:rFonts w:ascii="Times New Roman" w:eastAsia="Times New Roman" w:hAnsi="Times New Roman" w:cs="Times New Roman"/>
        </w:rPr>
        <w:t xml:space="preserve"> with an increased risk of depression and anxiety. Similarly, a study by Goldenhar et al. (2013) found that construction workers who experienced high levels of job insecurity and lack of control were more likely to experience stress and anxiety.</w:t>
      </w:r>
    </w:p>
    <w:p w14:paraId="166EEAA4"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The findin</w:t>
      </w:r>
      <w:r>
        <w:rPr>
          <w:rFonts w:ascii="Times New Roman" w:eastAsia="Times New Roman" w:hAnsi="Times New Roman" w:cs="Times New Roman"/>
        </w:rPr>
        <w:t>gs of this study have implications for the development of interventions aimed at promoting employees' psychological health and well-being in construction companies. As suggested by Demerouti and Bakker (2017), employers can implement stress management prog</w:t>
      </w:r>
      <w:r>
        <w:rPr>
          <w:rFonts w:ascii="Times New Roman" w:eastAsia="Times New Roman" w:hAnsi="Times New Roman" w:cs="Times New Roman"/>
        </w:rPr>
        <w:t>rams, provide training on time management and prioritization, and promote a healthy work-life balance to mitigate the negative effects of psychosocial risk factors on employees' psychological health. By addressing these risk factors, construction companies</w:t>
      </w:r>
      <w:r>
        <w:rPr>
          <w:rFonts w:ascii="Times New Roman" w:eastAsia="Times New Roman" w:hAnsi="Times New Roman" w:cs="Times New Roman"/>
        </w:rPr>
        <w:t xml:space="preserve"> can help to promote a healthy and productive work environment that supports the well-being of their employees.</w:t>
      </w:r>
    </w:p>
    <w:p w14:paraId="382C5D36" w14:textId="77777777" w:rsidR="00F83806" w:rsidRDefault="007B0A2A">
      <w:pPr>
        <w:rPr>
          <w:rFonts w:ascii="Times New Roman" w:eastAsia="Times New Roman" w:hAnsi="Times New Roman" w:cs="Times New Roman"/>
          <w:b/>
        </w:rPr>
      </w:pPr>
      <w:r>
        <w:rPr>
          <w:rFonts w:ascii="Times New Roman" w:eastAsia="Times New Roman" w:hAnsi="Times New Roman" w:cs="Times New Roman"/>
          <w:b/>
        </w:rPr>
        <w:t>Conclusion</w:t>
      </w:r>
    </w:p>
    <w:p w14:paraId="1900ACF9"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The study found that workload, job insecurity, and lack of control are significant predictors of employees' psychological health in c</w:t>
      </w:r>
      <w:r>
        <w:rPr>
          <w:rFonts w:ascii="Times New Roman" w:eastAsia="Times New Roman" w:hAnsi="Times New Roman" w:cs="Times New Roman"/>
        </w:rPr>
        <w:t>onstruction companies within the Centre Region of Cameroon. Specifically, the results indicate that workload is the strongest predictor of psychological health, followed by job insecurity and lack of control. This suggests that employees who experience hig</w:t>
      </w:r>
      <w:r>
        <w:rPr>
          <w:rFonts w:ascii="Times New Roman" w:eastAsia="Times New Roman" w:hAnsi="Times New Roman" w:cs="Times New Roman"/>
        </w:rPr>
        <w:t>h levels of workload, job insecurity, and lack of control are more likely to experience poor psychological health, including stress, anxiety, and depression.</w:t>
      </w:r>
    </w:p>
    <w:p w14:paraId="49F88374"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The study also found that the psychosocial risk factors (workload, job insecurity, and lack of con</w:t>
      </w:r>
      <w:r>
        <w:rPr>
          <w:rFonts w:ascii="Times New Roman" w:eastAsia="Times New Roman" w:hAnsi="Times New Roman" w:cs="Times New Roman"/>
        </w:rPr>
        <w:t>trol) explain approximately 86.1% of the variance in psychological health. This indicates that these risk factors are a major contributor to employees' psychological health in the construction industry. The findings of this study highlight the importance o</w:t>
      </w:r>
      <w:r>
        <w:rPr>
          <w:rFonts w:ascii="Times New Roman" w:eastAsia="Times New Roman" w:hAnsi="Times New Roman" w:cs="Times New Roman"/>
        </w:rPr>
        <w:t xml:space="preserve">f addressing psychosocial risk factors in the construction industry to </w:t>
      </w:r>
      <w:r>
        <w:rPr>
          <w:rFonts w:ascii="Times New Roman" w:eastAsia="Times New Roman" w:hAnsi="Times New Roman" w:cs="Times New Roman"/>
        </w:rPr>
        <w:lastRenderedPageBreak/>
        <w:t xml:space="preserve">promote employees' psychological health and well-being. By mitigating these risk factors, construction companies can help to create a healthier and more productive work environment for </w:t>
      </w:r>
      <w:r>
        <w:rPr>
          <w:rFonts w:ascii="Times New Roman" w:eastAsia="Times New Roman" w:hAnsi="Times New Roman" w:cs="Times New Roman"/>
        </w:rPr>
        <w:t>their employees.</w:t>
      </w:r>
    </w:p>
    <w:p w14:paraId="5DD7DF6B"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In conclusion, this study has provided valuable insights into the relationship between psychosocial risk factors and employees' psychological health in construction companies within the Centre Region of Cameroon. The findings of this study</w:t>
      </w:r>
      <w:r>
        <w:rPr>
          <w:rFonts w:ascii="Times New Roman" w:eastAsia="Times New Roman" w:hAnsi="Times New Roman" w:cs="Times New Roman"/>
        </w:rPr>
        <w:t xml:space="preserve"> suggest that workload, job insecurity, and lack of control are significant predictors of employees' psychological health. These results are consistent with previous studies that have shown that psychosocial risk factors can have negative effects on employ</w:t>
      </w:r>
      <w:r>
        <w:rPr>
          <w:rFonts w:ascii="Times New Roman" w:eastAsia="Times New Roman" w:hAnsi="Times New Roman" w:cs="Times New Roman"/>
        </w:rPr>
        <w:t>ees' psychological health. The study's results have implications for the development of interventions aimed at promoting employees' psychological health and well-being in construction companies.</w:t>
      </w:r>
    </w:p>
    <w:p w14:paraId="3DA2E363"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Despite the significant contributions of this study, there ar</w:t>
      </w:r>
      <w:r>
        <w:rPr>
          <w:rFonts w:ascii="Times New Roman" w:eastAsia="Times New Roman" w:hAnsi="Times New Roman" w:cs="Times New Roman"/>
        </w:rPr>
        <w:t>e several limitations that need to be acknowledged. One of the major limitations of this study is the use of a cross-sectional design, which does not allow for the establishment of causality between the psychosocial risk factors and employees' psychologica</w:t>
      </w:r>
      <w:r>
        <w:rPr>
          <w:rFonts w:ascii="Times New Roman" w:eastAsia="Times New Roman" w:hAnsi="Times New Roman" w:cs="Times New Roman"/>
        </w:rPr>
        <w:t xml:space="preserve">l health. Another limitation is the reliance on self-reported measures, which may be subject to biases and inaccuracies. Furthermore, the study only focused on construction companies within the Centre Region of Cameroon, which may not be representative of </w:t>
      </w:r>
      <w:r>
        <w:rPr>
          <w:rFonts w:ascii="Times New Roman" w:eastAsia="Times New Roman" w:hAnsi="Times New Roman" w:cs="Times New Roman"/>
        </w:rPr>
        <w:t>the entire construction industry in Cameroon.</w:t>
      </w:r>
    </w:p>
    <w:p w14:paraId="2CFA2CCD"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 xml:space="preserve">Based on the findings of this study, several recommendations can be made for future research. Firstly, future studies should consider using longitudinal designs to establish causality between psychosocial risk </w:t>
      </w:r>
      <w:r>
        <w:rPr>
          <w:rFonts w:ascii="Times New Roman" w:eastAsia="Times New Roman" w:hAnsi="Times New Roman" w:cs="Times New Roman"/>
        </w:rPr>
        <w:t>factors and employees' psychological health. Secondly, future studies should consider using objective measures of psychosocial risk factors and employees' psychological health to minimize biases and inaccuracies. Thirdly, future studies should consider exp</w:t>
      </w:r>
      <w:r>
        <w:rPr>
          <w:rFonts w:ascii="Times New Roman" w:eastAsia="Times New Roman" w:hAnsi="Times New Roman" w:cs="Times New Roman"/>
        </w:rPr>
        <w:t>loring the impact of psychosocial risk factors on employees' psychological health in other industries and sectors in Cameroon. Finally, future studies should consider developing and evaluating interventions aimed at mitigating the negative effects of psych</w:t>
      </w:r>
      <w:r>
        <w:rPr>
          <w:rFonts w:ascii="Times New Roman" w:eastAsia="Times New Roman" w:hAnsi="Times New Roman" w:cs="Times New Roman"/>
        </w:rPr>
        <w:t>osocial risk factors on employees' psychological health.</w:t>
      </w:r>
    </w:p>
    <w:p w14:paraId="1495742A" w14:textId="77777777" w:rsidR="00F83806" w:rsidRDefault="007B0A2A">
      <w:pPr>
        <w:jc w:val="both"/>
        <w:rPr>
          <w:rFonts w:ascii="Times New Roman" w:eastAsia="Times New Roman" w:hAnsi="Times New Roman" w:cs="Times New Roman"/>
        </w:rPr>
      </w:pPr>
      <w:r>
        <w:rPr>
          <w:rFonts w:ascii="Times New Roman" w:eastAsia="Times New Roman" w:hAnsi="Times New Roman" w:cs="Times New Roman"/>
        </w:rPr>
        <w:t>In terms of practical implications, the findings of this study suggest that construction companies in Cameroon should prioritize the development of interventions aimed at promoting employees' psychol</w:t>
      </w:r>
      <w:r>
        <w:rPr>
          <w:rFonts w:ascii="Times New Roman" w:eastAsia="Times New Roman" w:hAnsi="Times New Roman" w:cs="Times New Roman"/>
        </w:rPr>
        <w:t>ogical health and well-being. This can be achieved through the implementation of stress management programs, provision of training on time management and prioritization, and promotion of a healthy work-life balance. Additionally, construction companies sho</w:t>
      </w:r>
      <w:r>
        <w:rPr>
          <w:rFonts w:ascii="Times New Roman" w:eastAsia="Times New Roman" w:hAnsi="Times New Roman" w:cs="Times New Roman"/>
        </w:rPr>
        <w:t>uld consider providing support services for employees who are experiencing psychological health problems. By prioritizing employees' psychological health and well-being, construction companies in Cameroon can help to promote a healthy and productive work e</w:t>
      </w:r>
      <w:r>
        <w:rPr>
          <w:rFonts w:ascii="Times New Roman" w:eastAsia="Times New Roman" w:hAnsi="Times New Roman" w:cs="Times New Roman"/>
        </w:rPr>
        <w:t>nvironment that supports the well-being of their employees.</w:t>
      </w:r>
    </w:p>
    <w:p w14:paraId="449631DE" w14:textId="77777777" w:rsidR="00F83806" w:rsidRDefault="007B0A2A">
      <w:pPr>
        <w:rPr>
          <w:rFonts w:ascii="Times New Roman" w:eastAsia="Times New Roman" w:hAnsi="Times New Roman" w:cs="Times New Roman"/>
          <w:b/>
        </w:rPr>
      </w:pPr>
      <w:r>
        <w:rPr>
          <w:rFonts w:ascii="Times New Roman" w:eastAsia="Times New Roman" w:hAnsi="Times New Roman" w:cs="Times New Roman"/>
          <w:b/>
        </w:rPr>
        <w:t>References</w:t>
      </w:r>
    </w:p>
    <w:p w14:paraId="5103FDD8"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 xml:space="preserve">African Development Bank. (2018). Cameroon: Country Brief. </w:t>
      </w:r>
    </w:p>
    <w:p w14:paraId="212E2C66"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 xml:space="preserve">African Development Bank. (2019). Cameroon: Local Content Policy. </w:t>
      </w:r>
    </w:p>
    <w:p w14:paraId="036A123C"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Bakker, A. B., &amp; Demerouti, E. (2007). The Job Demands-Res</w:t>
      </w:r>
      <w:r>
        <w:rPr>
          <w:rFonts w:ascii="Times New Roman" w:eastAsia="Times New Roman" w:hAnsi="Times New Roman" w:cs="Times New Roman"/>
        </w:rPr>
        <w:t>ources model: State of the art. Journal of Managerial Psychology, 22(3), 309-328.</w:t>
      </w:r>
    </w:p>
    <w:p w14:paraId="174A3EB9"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Bolger, N., &amp; Zuckerman, A. (1995). A framework for studying personality in the stress process. Journal of Personality and Social Psychology, 69(5), 890-902.</w:t>
      </w:r>
    </w:p>
    <w:p w14:paraId="1654F828"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lastRenderedPageBreak/>
        <w:t xml:space="preserve">Burchell, B. </w:t>
      </w:r>
      <w:r>
        <w:rPr>
          <w:rFonts w:ascii="Times New Roman" w:eastAsia="Times New Roman" w:hAnsi="Times New Roman" w:cs="Times New Roman"/>
        </w:rPr>
        <w:t>(1994). The effects of labour market position, job insecurity, and unemployment on psychological health. In C. L. Cooper &amp; I. T. Robertson (Eds.), International review of industrial and organizational psychology (pp. 33-64). Wiley.</w:t>
      </w:r>
    </w:p>
    <w:p w14:paraId="54C0CBCE"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Cameroon Ministry of Eco</w:t>
      </w:r>
      <w:r>
        <w:rPr>
          <w:rFonts w:ascii="Times New Roman" w:eastAsia="Times New Roman" w:hAnsi="Times New Roman" w:cs="Times New Roman"/>
        </w:rPr>
        <w:t xml:space="preserve">nomy, Planning, and Regional Development. (2020). National Development Plan 2020-2025. </w:t>
      </w:r>
    </w:p>
    <w:p w14:paraId="03577D4C"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Cameroon Ministry of Public Works. (2019). Annual Report 2019.</w:t>
      </w:r>
    </w:p>
    <w:p w14:paraId="4E6E8FD2"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Cohen, S., Gottlieb, B. H., &amp; Underwood, L. G. (2015). Social relationships and mortality: An analysis of</w:t>
      </w:r>
      <w:r>
        <w:rPr>
          <w:rFonts w:ascii="Times New Roman" w:eastAsia="Times New Roman" w:hAnsi="Times New Roman" w:cs="Times New Roman"/>
        </w:rPr>
        <w:t xml:space="preserve"> the National Longitudinal Study of Adolescent Health. Social and Personality Psychology Compass, 9(2), 142-155.</w:t>
      </w:r>
    </w:p>
    <w:p w14:paraId="02904282"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De Witte, H. (2005). Job insecurity: A review of the literature. International Journal of Management Reviews, 7(2), 103-124.</w:t>
      </w:r>
    </w:p>
    <w:p w14:paraId="7354392F"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 xml:space="preserve">Deloitte. (2020). </w:t>
      </w:r>
      <w:r>
        <w:rPr>
          <w:rFonts w:ascii="Times New Roman" w:eastAsia="Times New Roman" w:hAnsi="Times New Roman" w:cs="Times New Roman"/>
        </w:rPr>
        <w:t xml:space="preserve">2020 Construction Outlook. </w:t>
      </w:r>
    </w:p>
    <w:p w14:paraId="0122B69E"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Demerouti, E., &amp; Bakker, A. B. (2017). Burnout and work engagement: New perspectives. Journal of Occupational Health Psychology, 22(3), 300-315.</w:t>
      </w:r>
    </w:p>
    <w:p w14:paraId="2BC47D3A"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 xml:space="preserve">Demerouti, E., &amp; Bakker, A. B. (2018). Burnout and work engagement: An etiological </w:t>
      </w:r>
      <w:r>
        <w:rPr>
          <w:rFonts w:ascii="Times New Roman" w:eastAsia="Times New Roman" w:hAnsi="Times New Roman" w:cs="Times New Roman"/>
        </w:rPr>
        <w:t>model. Journal of Occupational Health Psychology, 23(3), 381-396.</w:t>
      </w:r>
    </w:p>
    <w:p w14:paraId="2C04EBE5"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Goldenhar, L. M., LaMontagne, A. D., Katz, T., Heaney, C., &amp; Landsbergis, P. (2013). The intervention research process in occupational safety and health: An overview from the NIOSH Office of</w:t>
      </w:r>
      <w:r>
        <w:rPr>
          <w:rFonts w:ascii="Times New Roman" w:eastAsia="Times New Roman" w:hAnsi="Times New Roman" w:cs="Times New Roman"/>
        </w:rPr>
        <w:t xml:space="preserve"> Extramural Programs. American Journal of Industrial Medicine, 56(5), 527-539.</w:t>
      </w:r>
    </w:p>
    <w:p w14:paraId="53DA7CA8" w14:textId="77777777" w:rsidR="00F83806" w:rsidRDefault="007B0A2A">
      <w:pPr>
        <w:ind w:left="720" w:hanging="720"/>
        <w:rPr>
          <w:rFonts w:ascii="Times New Roman" w:eastAsia="Times New Roman" w:hAnsi="Times New Roman" w:cs="Times New Roman"/>
        </w:rPr>
      </w:pPr>
      <w:proofErr w:type="spellStart"/>
      <w:r>
        <w:rPr>
          <w:rFonts w:ascii="Times New Roman" w:eastAsia="Times New Roman" w:hAnsi="Times New Roman" w:cs="Times New Roman"/>
        </w:rPr>
        <w:t>Hämmig</w:t>
      </w:r>
      <w:proofErr w:type="spellEnd"/>
      <w:r>
        <w:rPr>
          <w:rFonts w:ascii="Times New Roman" w:eastAsia="Times New Roman" w:hAnsi="Times New Roman" w:cs="Times New Roman"/>
        </w:rPr>
        <w:t>, O. (2017). Workload and work stress in the context of the job demands-resources model. Journal of Occupational and Organizational Psychology, 30(3), 341-355.</w:t>
      </w:r>
    </w:p>
    <w:p w14:paraId="7FED0DA9" w14:textId="77777777" w:rsidR="00F83806" w:rsidRDefault="007B0A2A">
      <w:pPr>
        <w:ind w:left="720" w:hanging="720"/>
        <w:rPr>
          <w:rFonts w:ascii="Times New Roman" w:eastAsia="Times New Roman" w:hAnsi="Times New Roman" w:cs="Times New Roman"/>
        </w:rPr>
      </w:pPr>
      <w:proofErr w:type="spellStart"/>
      <w:r>
        <w:rPr>
          <w:rFonts w:ascii="Times New Roman" w:eastAsia="Times New Roman" w:hAnsi="Times New Roman" w:cs="Times New Roman"/>
        </w:rPr>
        <w:t>Hämmig</w:t>
      </w:r>
      <w:proofErr w:type="spellEnd"/>
      <w:r>
        <w:rPr>
          <w:rFonts w:ascii="Times New Roman" w:eastAsia="Times New Roman" w:hAnsi="Times New Roman" w:cs="Times New Roman"/>
        </w:rPr>
        <w:t>, O.,</w:t>
      </w:r>
      <w:r>
        <w:rPr>
          <w:rFonts w:ascii="Times New Roman" w:eastAsia="Times New Roman" w:hAnsi="Times New Roman" w:cs="Times New Roman"/>
        </w:rPr>
        <w:t xml:space="preserve"> Knecht, M., &amp; </w:t>
      </w:r>
      <w:proofErr w:type="spellStart"/>
      <w:r>
        <w:rPr>
          <w:rFonts w:ascii="Times New Roman" w:eastAsia="Times New Roman" w:hAnsi="Times New Roman" w:cs="Times New Roman"/>
        </w:rPr>
        <w:t>Laubli</w:t>
      </w:r>
      <w:proofErr w:type="spellEnd"/>
      <w:r>
        <w:rPr>
          <w:rFonts w:ascii="Times New Roman" w:eastAsia="Times New Roman" w:hAnsi="Times New Roman" w:cs="Times New Roman"/>
        </w:rPr>
        <w:t>, T. (2011). Work-related stress and strain in the construction industry. Journal of Occupational and Environmental Medicine, 53(10), 1144-1151.</w:t>
      </w:r>
    </w:p>
    <w:p w14:paraId="4431FFA2"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 xml:space="preserve">Hofstede, G. (2001). Culture's consequences: Comparing values, </w:t>
      </w:r>
      <w:proofErr w:type="spellStart"/>
      <w:r>
        <w:rPr>
          <w:rFonts w:ascii="Times New Roman" w:eastAsia="Times New Roman" w:hAnsi="Times New Roman" w:cs="Times New Roman"/>
        </w:rPr>
        <w:t>behaviors</w:t>
      </w:r>
      <w:proofErr w:type="spellEnd"/>
      <w:r>
        <w:rPr>
          <w:rFonts w:ascii="Times New Roman" w:eastAsia="Times New Roman" w:hAnsi="Times New Roman" w:cs="Times New Roman"/>
        </w:rPr>
        <w:t>, institutions, an</w:t>
      </w:r>
      <w:r>
        <w:rPr>
          <w:rFonts w:ascii="Times New Roman" w:eastAsia="Times New Roman" w:hAnsi="Times New Roman" w:cs="Times New Roman"/>
        </w:rPr>
        <w:t>d organizations across nations. Sage Publications.</w:t>
      </w:r>
    </w:p>
    <w:p w14:paraId="4D28D1C7" w14:textId="77777777" w:rsidR="00F83806" w:rsidRDefault="007B0A2A">
      <w:pPr>
        <w:ind w:left="720" w:hanging="720"/>
        <w:rPr>
          <w:rFonts w:ascii="Times New Roman" w:eastAsia="Times New Roman" w:hAnsi="Times New Roman" w:cs="Times New Roman"/>
        </w:rPr>
      </w:pPr>
      <w:proofErr w:type="spellStart"/>
      <w:r>
        <w:rPr>
          <w:rFonts w:ascii="Times New Roman" w:eastAsia="Times New Roman" w:hAnsi="Times New Roman" w:cs="Times New Roman"/>
        </w:rPr>
        <w:t>Iacuone</w:t>
      </w:r>
      <w:proofErr w:type="spellEnd"/>
      <w:r>
        <w:rPr>
          <w:rFonts w:ascii="Times New Roman" w:eastAsia="Times New Roman" w:hAnsi="Times New Roman" w:cs="Times New Roman"/>
        </w:rPr>
        <w:t>, D. (2005). 'Real men are tough guys': Hegemonic masculinity and safety in the construction industry. Journal of Occupational Health and Safety, Australia and New Zealand, 21(4), 351-361.</w:t>
      </w:r>
    </w:p>
    <w:p w14:paraId="320496A9"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Internati</w:t>
      </w:r>
      <w:r>
        <w:rPr>
          <w:rFonts w:ascii="Times New Roman" w:eastAsia="Times New Roman" w:hAnsi="Times New Roman" w:cs="Times New Roman"/>
        </w:rPr>
        <w:t xml:space="preserve">onal Labour Organization. (2019). Occupational Safety and Health in the Construction Sector. </w:t>
      </w:r>
    </w:p>
    <w:p w14:paraId="7514A34A"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 xml:space="preserve">International Monetary Fund. (2020). Cameroon: Staff Report for the 2020 Article IV Consultation. </w:t>
      </w:r>
    </w:p>
    <w:p w14:paraId="33C93C2E"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Karasek, R. A., &amp; Theorell, T. (1990). Healthy work: Stress, pr</w:t>
      </w:r>
      <w:r>
        <w:rPr>
          <w:rFonts w:ascii="Times New Roman" w:eastAsia="Times New Roman" w:hAnsi="Times New Roman" w:cs="Times New Roman"/>
        </w:rPr>
        <w:t>oductivity, and the reconstruction of working life. Basic Books.</w:t>
      </w:r>
    </w:p>
    <w:p w14:paraId="4A167293"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lastRenderedPageBreak/>
        <w:t>Kivimäki, M., Jokela, M., Nyberg, S. T., Singh-</w:t>
      </w:r>
      <w:proofErr w:type="spellStart"/>
      <w:r>
        <w:rPr>
          <w:rFonts w:ascii="Times New Roman" w:eastAsia="Times New Roman" w:hAnsi="Times New Roman" w:cs="Times New Roman"/>
        </w:rPr>
        <w:t>Manoux</w:t>
      </w:r>
      <w:proofErr w:type="spellEnd"/>
      <w:r>
        <w:rPr>
          <w:rFonts w:ascii="Times New Roman" w:eastAsia="Times New Roman" w:hAnsi="Times New Roman" w:cs="Times New Roman"/>
        </w:rPr>
        <w:t>, A., Fransson, E. I., Alfredsson, L., ... &amp; Westerholm, P. J. (2015). Long working hours and risk of coronary heart disease and stroke: A</w:t>
      </w:r>
      <w:r>
        <w:rPr>
          <w:rFonts w:ascii="Times New Roman" w:eastAsia="Times New Roman" w:hAnsi="Times New Roman" w:cs="Times New Roman"/>
        </w:rPr>
        <w:t xml:space="preserve"> systematic review and meta-analysis. American Journal of Epidemiology, 182(7), 596-611.</w:t>
      </w:r>
    </w:p>
    <w:p w14:paraId="5A363E47"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 xml:space="preserve">Landsbergis, P. A., Theorell, T., &amp; Schwartz, J. E. (2014). Work organization, job stress, and cardiovascular disease. In P. L. </w:t>
      </w:r>
      <w:proofErr w:type="spellStart"/>
      <w:r>
        <w:rPr>
          <w:rFonts w:ascii="Times New Roman" w:eastAsia="Times New Roman" w:hAnsi="Times New Roman" w:cs="Times New Roman"/>
        </w:rPr>
        <w:t>Perrewé</w:t>
      </w:r>
      <w:proofErr w:type="spellEnd"/>
      <w:r>
        <w:rPr>
          <w:rFonts w:ascii="Times New Roman" w:eastAsia="Times New Roman" w:hAnsi="Times New Roman" w:cs="Times New Roman"/>
        </w:rPr>
        <w:t>, J. R. B. </w:t>
      </w:r>
      <w:proofErr w:type="spellStart"/>
      <w:r>
        <w:rPr>
          <w:rFonts w:ascii="Times New Roman" w:eastAsia="Times New Roman" w:hAnsi="Times New Roman" w:cs="Times New Roman"/>
        </w:rPr>
        <w:t>Halbesle</w:t>
      </w:r>
      <w:proofErr w:type="spellEnd"/>
    </w:p>
    <w:p w14:paraId="6E001191"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Lingard, H.,</w:t>
      </w:r>
      <w:r>
        <w:rPr>
          <w:rFonts w:ascii="Times New Roman" w:eastAsia="Times New Roman" w:hAnsi="Times New Roman" w:cs="Times New Roman"/>
        </w:rPr>
        <w:t xml:space="preserve"> &amp; Francis, V. (2006). The impact of work-related stress on construction workers. Journal of Construction Engineering and Management, 132(10), 1081-1088.</w:t>
      </w:r>
    </w:p>
    <w:p w14:paraId="13AED779"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 xml:space="preserve">Maslach, C., &amp; Jackson, S. E. (1981). The measurement of experienced burnout. Journal of Occupational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2(2), 99-113.</w:t>
      </w:r>
    </w:p>
    <w:p w14:paraId="358CF0BC"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Maslach, C., &amp; Leiter, M. P. (2008). Early predictors of job burnout and engagement. Journal of Applied Psychology, 93(3), 498-512.</w:t>
      </w:r>
    </w:p>
    <w:p w14:paraId="7AFC237A"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 xml:space="preserve">Podsakoff, P. M., </w:t>
      </w:r>
      <w:proofErr w:type="spellStart"/>
      <w:r>
        <w:rPr>
          <w:rFonts w:ascii="Times New Roman" w:eastAsia="Times New Roman" w:hAnsi="Times New Roman" w:cs="Times New Roman"/>
        </w:rPr>
        <w:t>MacKenzie</w:t>
      </w:r>
      <w:proofErr w:type="spellEnd"/>
      <w:r>
        <w:rPr>
          <w:rFonts w:ascii="Times New Roman" w:eastAsia="Times New Roman" w:hAnsi="Times New Roman" w:cs="Times New Roman"/>
        </w:rPr>
        <w:t xml:space="preserve">, S. B., Lee, J. Y., &amp; Podsakoff, N. P. (2003). Common method biases in </w:t>
      </w:r>
      <w:proofErr w:type="spellStart"/>
      <w:r>
        <w:rPr>
          <w:rFonts w:ascii="Times New Roman" w:eastAsia="Times New Roman" w:hAnsi="Times New Roman" w:cs="Times New Roman"/>
        </w:rPr>
        <w:t>b</w:t>
      </w:r>
      <w:r>
        <w:rPr>
          <w:rFonts w:ascii="Times New Roman" w:eastAsia="Times New Roman" w:hAnsi="Times New Roman" w:cs="Times New Roman"/>
        </w:rPr>
        <w:t>ehavioral</w:t>
      </w:r>
      <w:proofErr w:type="spellEnd"/>
      <w:r>
        <w:rPr>
          <w:rFonts w:ascii="Times New Roman" w:eastAsia="Times New Roman" w:hAnsi="Times New Roman" w:cs="Times New Roman"/>
        </w:rPr>
        <w:t xml:space="preserve"> research: A critical review of the literature and recommended remedies. Journal of Applied Psychology, 88(5), 879-903.</w:t>
      </w:r>
    </w:p>
    <w:p w14:paraId="35E9EE97"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Siegrist, J. (1996). Adverse health effects of high-effort/low-reward conditions. Journal of Occupational Health Psychology, 1(</w:t>
      </w:r>
      <w:r>
        <w:rPr>
          <w:rFonts w:ascii="Times New Roman" w:eastAsia="Times New Roman" w:hAnsi="Times New Roman" w:cs="Times New Roman"/>
        </w:rPr>
        <w:t>1), 27-41.</w:t>
      </w:r>
    </w:p>
    <w:p w14:paraId="6A72E6A7"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 xml:space="preserve">Transparency International. (2020). Corruption Perceptions Index 2020. </w:t>
      </w:r>
    </w:p>
    <w:p w14:paraId="55077FAA"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Tugade, M. M., &amp; Fredrickson, B. L. (2004). Resilient individuals use positive emotions to bounce back from negative emotional experiences. Journal of Personality and Social</w:t>
      </w:r>
      <w:r>
        <w:rPr>
          <w:rFonts w:ascii="Times New Roman" w:eastAsia="Times New Roman" w:hAnsi="Times New Roman" w:cs="Times New Roman"/>
        </w:rPr>
        <w:t xml:space="preserve"> Psychology, 86(3), 320-333. Demerouti, E., &amp; Bakker, A. B. (2018). Burnout and work engagement: An etiological model. Journal of Occupational Health Psychology, 23(3), 381-396.</w:t>
      </w:r>
    </w:p>
    <w:p w14:paraId="1BB98549"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 xml:space="preserve">World Bank. (2019). Cameroon Overview. </w:t>
      </w:r>
    </w:p>
    <w:p w14:paraId="373B03E8" w14:textId="77777777" w:rsidR="00F83806" w:rsidRDefault="007B0A2A">
      <w:pPr>
        <w:ind w:left="720" w:hanging="720"/>
        <w:rPr>
          <w:rFonts w:ascii="Times New Roman" w:eastAsia="Times New Roman" w:hAnsi="Times New Roman" w:cs="Times New Roman"/>
        </w:rPr>
      </w:pPr>
      <w:r>
        <w:rPr>
          <w:rFonts w:ascii="Times New Roman" w:eastAsia="Times New Roman" w:hAnsi="Times New Roman" w:cs="Times New Roman"/>
        </w:rPr>
        <w:t>World Economic Forum. (2019). The Futu</w:t>
      </w:r>
      <w:r>
        <w:rPr>
          <w:rFonts w:ascii="Times New Roman" w:eastAsia="Times New Roman" w:hAnsi="Times New Roman" w:cs="Times New Roman"/>
        </w:rPr>
        <w:t xml:space="preserve">re of Construction: A Call to Action. </w:t>
      </w:r>
    </w:p>
    <w:sectPr w:rsidR="00F838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0B6D1" w14:textId="77777777" w:rsidR="007B0A2A" w:rsidRDefault="007B0A2A" w:rsidP="004B2F58">
      <w:pPr>
        <w:spacing w:after="0" w:line="240" w:lineRule="auto"/>
      </w:pPr>
      <w:r>
        <w:separator/>
      </w:r>
    </w:p>
  </w:endnote>
  <w:endnote w:type="continuationSeparator" w:id="0">
    <w:p w14:paraId="142B7AAE" w14:textId="77777777" w:rsidR="007B0A2A" w:rsidRDefault="007B0A2A" w:rsidP="004B2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9C177" w14:textId="77777777" w:rsidR="004B2F58" w:rsidRDefault="004B2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7863C" w14:textId="77777777" w:rsidR="004B2F58" w:rsidRDefault="004B2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C1A0" w14:textId="77777777" w:rsidR="004B2F58" w:rsidRDefault="004B2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EE8CA" w14:textId="77777777" w:rsidR="007B0A2A" w:rsidRDefault="007B0A2A" w:rsidP="004B2F58">
      <w:pPr>
        <w:spacing w:after="0" w:line="240" w:lineRule="auto"/>
      </w:pPr>
      <w:r>
        <w:separator/>
      </w:r>
    </w:p>
  </w:footnote>
  <w:footnote w:type="continuationSeparator" w:id="0">
    <w:p w14:paraId="74513C75" w14:textId="77777777" w:rsidR="007B0A2A" w:rsidRDefault="007B0A2A" w:rsidP="004B2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FC6BB" w14:textId="2D9C1F2F" w:rsidR="004B2F58" w:rsidRDefault="004B2F58">
    <w:pPr>
      <w:pStyle w:val="Header"/>
    </w:pPr>
    <w:r>
      <w:rPr>
        <w:noProof/>
      </w:rPr>
      <w:pict w14:anchorId="57889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569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402C" w14:textId="7AE5A2F8" w:rsidR="004B2F58" w:rsidRDefault="004B2F58">
    <w:pPr>
      <w:pStyle w:val="Header"/>
    </w:pPr>
    <w:r>
      <w:rPr>
        <w:noProof/>
      </w:rPr>
      <w:pict w14:anchorId="58BD8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569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18481" w14:textId="618E6AB8" w:rsidR="004B2F58" w:rsidRDefault="004B2F58">
    <w:pPr>
      <w:pStyle w:val="Header"/>
    </w:pPr>
    <w:r>
      <w:rPr>
        <w:noProof/>
      </w:rPr>
      <w:pict w14:anchorId="01E24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569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06"/>
    <w:rsid w:val="00273919"/>
    <w:rsid w:val="00331E25"/>
    <w:rsid w:val="003D0502"/>
    <w:rsid w:val="004B2F58"/>
    <w:rsid w:val="005619A7"/>
    <w:rsid w:val="007B0A2A"/>
    <w:rsid w:val="00F83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705650"/>
  <w15:docId w15:val="{08F2A550-2CBE-4BDD-8FB8-7B88BD39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3D0502"/>
    <w:rPr>
      <w:color w:val="0000FF" w:themeColor="hyperlink"/>
      <w:u w:val="single"/>
    </w:rPr>
  </w:style>
  <w:style w:type="character" w:styleId="UnresolvedMention">
    <w:name w:val="Unresolved Mention"/>
    <w:basedOn w:val="DefaultParagraphFont"/>
    <w:uiPriority w:val="99"/>
    <w:semiHidden/>
    <w:unhideWhenUsed/>
    <w:rsid w:val="003D0502"/>
    <w:rPr>
      <w:color w:val="605E5C"/>
      <w:shd w:val="clear" w:color="auto" w:fill="E1DFDD"/>
    </w:rPr>
  </w:style>
  <w:style w:type="paragraph" w:styleId="ListParagraph">
    <w:name w:val="List Paragraph"/>
    <w:basedOn w:val="Normal"/>
    <w:uiPriority w:val="34"/>
    <w:qFormat/>
    <w:rsid w:val="003D0502"/>
    <w:pPr>
      <w:ind w:left="720"/>
      <w:contextualSpacing/>
    </w:pPr>
  </w:style>
  <w:style w:type="paragraph" w:styleId="Header">
    <w:name w:val="header"/>
    <w:basedOn w:val="Normal"/>
    <w:link w:val="HeaderChar"/>
    <w:uiPriority w:val="99"/>
    <w:unhideWhenUsed/>
    <w:rsid w:val="004B2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F58"/>
  </w:style>
  <w:style w:type="paragraph" w:styleId="Footer">
    <w:name w:val="footer"/>
    <w:basedOn w:val="Normal"/>
    <w:link w:val="FooterChar"/>
    <w:uiPriority w:val="99"/>
    <w:unhideWhenUsed/>
    <w:rsid w:val="004B2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7528</Words>
  <Characters>42911</Characters>
  <Application>Microsoft Office Word</Application>
  <DocSecurity>0</DocSecurity>
  <Lines>357</Lines>
  <Paragraphs>100</Paragraphs>
  <ScaleCrop>false</ScaleCrop>
  <Company/>
  <LinksUpToDate>false</LinksUpToDate>
  <CharactersWithSpaces>50339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7</cp:revision>
  <dcterms:created xsi:type="dcterms:W3CDTF">2025-07-14T09:39:00Z</dcterms:created>
  <dcterms:modified xsi:type="dcterms:W3CDTF">2025-07-14T10:57:00Z</dcterms:modified>
</cp:coreProperties>
</file>