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14805" w14:textId="62C30E20" w:rsidR="005A2666" w:rsidRPr="00242D06" w:rsidRDefault="005A2666" w:rsidP="00C05B27">
      <w:pPr>
        <w:jc w:val="center"/>
        <w:rPr>
          <w:rFonts w:ascii="Arial" w:eastAsia="Times New Roman" w:hAnsi="Arial" w:cs="Arial"/>
          <w:b/>
          <w:bCs/>
          <w:iCs/>
          <w:kern w:val="28"/>
          <w:sz w:val="36"/>
          <w:szCs w:val="20"/>
          <w:lang w:val="en-US"/>
          <w14:ligatures w14:val="none"/>
        </w:rPr>
      </w:pPr>
      <w:r w:rsidRPr="00242D06">
        <w:rPr>
          <w:rFonts w:ascii="Arial" w:eastAsia="Times New Roman" w:hAnsi="Arial" w:cs="Arial"/>
          <w:b/>
          <w:bCs/>
          <w:iCs/>
          <w:kern w:val="28"/>
          <w:sz w:val="36"/>
          <w:szCs w:val="20"/>
          <w:lang w:val="en-US"/>
          <w14:ligatures w14:val="none"/>
        </w:rPr>
        <w:t xml:space="preserve">From Conflict to Caution: Understanding How Geopolitical Crises Reshape Travel </w:t>
      </w:r>
      <w:proofErr w:type="spellStart"/>
      <w:r w:rsidR="00825F45" w:rsidRPr="00242D06">
        <w:rPr>
          <w:rFonts w:ascii="Arial" w:eastAsia="Times New Roman" w:hAnsi="Arial" w:cs="Arial"/>
          <w:b/>
          <w:bCs/>
          <w:iCs/>
          <w:kern w:val="28"/>
          <w:sz w:val="36"/>
          <w:szCs w:val="20"/>
          <w:lang w:val="en-US"/>
          <w14:ligatures w14:val="none"/>
        </w:rPr>
        <w:t>Behaviour</w:t>
      </w:r>
      <w:proofErr w:type="spellEnd"/>
    </w:p>
    <w:p w14:paraId="7C90C71D" w14:textId="77777777" w:rsidR="0011431C" w:rsidRDefault="0011431C" w:rsidP="00C05B27">
      <w:pPr>
        <w:jc w:val="center"/>
        <w:rPr>
          <w:rFonts w:ascii="Times New Roman" w:hAnsi="Times New Roman" w:cs="Times New Roman"/>
          <w:b/>
          <w:bCs/>
          <w:sz w:val="24"/>
          <w:szCs w:val="24"/>
        </w:rPr>
      </w:pPr>
    </w:p>
    <w:p w14:paraId="2A855935" w14:textId="5567CF17" w:rsidR="0011431C" w:rsidRPr="007B07B4" w:rsidRDefault="0011431C" w:rsidP="00242D06">
      <w:pPr>
        <w:rPr>
          <w:rFonts w:ascii="Times New Roman" w:hAnsi="Times New Roman" w:cs="Times New Roman"/>
          <w:b/>
          <w:bCs/>
          <w:sz w:val="24"/>
          <w:szCs w:val="24"/>
        </w:rPr>
      </w:pPr>
    </w:p>
    <w:p w14:paraId="6E405CFA" w14:textId="40FC9B56" w:rsidR="00242D06" w:rsidRPr="00ED16B1" w:rsidRDefault="00EC0D55" w:rsidP="00242D06">
      <w:pPr>
        <w:jc w:val="both"/>
        <w:rPr>
          <w:rFonts w:ascii="Arial" w:eastAsia="Calibri" w:hAnsi="Arial" w:cs="Arial"/>
          <w:kern w:val="0"/>
          <w:sz w:val="20"/>
          <w:szCs w:val="20"/>
          <w:lang w:val="en-US"/>
          <w14:ligatures w14:val="none"/>
        </w:rPr>
      </w:pPr>
      <w:r>
        <w:rPr>
          <w:rFonts w:ascii="Arial" w:hAnsi="Arial" w:cs="Arial"/>
          <w:b/>
          <w:bCs/>
        </w:rPr>
        <w:t>ABSTRACT</w:t>
      </w:r>
      <w:r w:rsidR="00410AFD" w:rsidRPr="007B07B4">
        <w:rPr>
          <w:rFonts w:ascii="Times New Roman" w:hAnsi="Times New Roman" w:cs="Times New Roman"/>
          <w:sz w:val="24"/>
          <w:szCs w:val="24"/>
        </w:rPr>
        <w:br/>
      </w:r>
      <w:r w:rsidR="00242D06" w:rsidRPr="00ED16B1">
        <w:rPr>
          <w:rFonts w:ascii="Arial" w:hAnsi="Arial" w:cs="Arial"/>
          <w:b/>
          <w:bCs/>
          <w:sz w:val="20"/>
          <w:szCs w:val="20"/>
        </w:rPr>
        <w:t>Aims:</w:t>
      </w:r>
      <w:r w:rsidR="00242D06" w:rsidRPr="00ED16B1">
        <w:rPr>
          <w:rFonts w:ascii="Arial" w:hAnsi="Arial" w:cs="Arial"/>
          <w:sz w:val="20"/>
          <w:szCs w:val="20"/>
        </w:rPr>
        <w:br/>
        <w:t xml:space="preserve">To </w:t>
      </w:r>
      <w:r w:rsidR="00242D06" w:rsidRPr="00ED16B1">
        <w:rPr>
          <w:rFonts w:ascii="Arial" w:eastAsia="Calibri" w:hAnsi="Arial" w:cs="Arial"/>
          <w:kern w:val="0"/>
          <w:sz w:val="20"/>
          <w:szCs w:val="20"/>
          <w:lang w:val="en-US"/>
          <w14:ligatures w14:val="none"/>
        </w:rPr>
        <w:t xml:space="preserve">examine how geopolitical crises—such as war, political unrest, terrorism alerts, and diplomatic sanctions—influence tourist risk perception, travel deterrence, and adaptive </w:t>
      </w:r>
      <w:proofErr w:type="spellStart"/>
      <w:r w:rsidR="00242D06" w:rsidRPr="00ED16B1">
        <w:rPr>
          <w:rFonts w:ascii="Arial" w:eastAsia="Calibri" w:hAnsi="Arial" w:cs="Arial"/>
          <w:kern w:val="0"/>
          <w:sz w:val="20"/>
          <w:szCs w:val="20"/>
          <w:lang w:val="en-US"/>
          <w14:ligatures w14:val="none"/>
        </w:rPr>
        <w:t>behavioural</w:t>
      </w:r>
      <w:proofErr w:type="spellEnd"/>
      <w:r w:rsidR="00242D06" w:rsidRPr="00ED16B1">
        <w:rPr>
          <w:rFonts w:ascii="Arial" w:eastAsia="Calibri" w:hAnsi="Arial" w:cs="Arial"/>
          <w:kern w:val="0"/>
          <w:sz w:val="20"/>
          <w:szCs w:val="20"/>
          <w:lang w:val="en-US"/>
          <w14:ligatures w14:val="none"/>
        </w:rPr>
        <w:t xml:space="preserve"> responses. The study aims to assess how conflict-related advisories and risk maps shape travel decision-making.</w:t>
      </w:r>
    </w:p>
    <w:p w14:paraId="63777C79" w14:textId="77777777" w:rsidR="00242D06" w:rsidRPr="00ED16B1" w:rsidRDefault="00242D06" w:rsidP="00242D06">
      <w:pPr>
        <w:jc w:val="both"/>
        <w:rPr>
          <w:rFonts w:ascii="Arial" w:eastAsia="Calibri" w:hAnsi="Arial" w:cs="Arial"/>
          <w:kern w:val="0"/>
          <w:sz w:val="20"/>
          <w:szCs w:val="20"/>
          <w:lang w:val="en-US"/>
          <w14:ligatures w14:val="none"/>
        </w:rPr>
      </w:pPr>
      <w:r w:rsidRPr="00242D06">
        <w:rPr>
          <w:rFonts w:ascii="Arial" w:hAnsi="Arial" w:cs="Arial"/>
          <w:b/>
          <w:bCs/>
          <w:sz w:val="20"/>
          <w:szCs w:val="20"/>
        </w:rPr>
        <w:t>Study Design:</w:t>
      </w:r>
      <w:r w:rsidRPr="00ED16B1">
        <w:rPr>
          <w:rFonts w:ascii="Arial" w:hAnsi="Arial" w:cs="Arial"/>
          <w:sz w:val="20"/>
          <w:szCs w:val="20"/>
        </w:rPr>
        <w:t xml:space="preserve"> </w:t>
      </w:r>
      <w:r w:rsidRPr="00242D06">
        <w:rPr>
          <w:rFonts w:ascii="Arial" w:hAnsi="Arial" w:cs="Arial"/>
          <w:sz w:val="20"/>
          <w:szCs w:val="20"/>
        </w:rPr>
        <w:t>Cross-sectional analytical study using both primary and secondary data.</w:t>
      </w:r>
    </w:p>
    <w:p w14:paraId="5089FCF0" w14:textId="66C23876" w:rsidR="00242D06" w:rsidRPr="00242D06" w:rsidRDefault="00242D06" w:rsidP="00242D06">
      <w:pPr>
        <w:jc w:val="both"/>
        <w:rPr>
          <w:rFonts w:ascii="Arial" w:eastAsia="Calibri" w:hAnsi="Arial" w:cs="Arial"/>
          <w:kern w:val="0"/>
          <w:sz w:val="20"/>
          <w:szCs w:val="20"/>
          <w:lang w:val="en-US"/>
          <w14:ligatures w14:val="none"/>
        </w:rPr>
      </w:pPr>
      <w:r w:rsidRPr="00242D06">
        <w:rPr>
          <w:rFonts w:ascii="Arial" w:hAnsi="Arial" w:cs="Arial"/>
          <w:b/>
          <w:bCs/>
          <w:sz w:val="20"/>
          <w:szCs w:val="20"/>
        </w:rPr>
        <w:t>Place and Duration of Study:</w:t>
      </w:r>
      <w:r w:rsidRPr="00ED16B1">
        <w:rPr>
          <w:rFonts w:ascii="Arial" w:hAnsi="Arial" w:cs="Arial"/>
          <w:sz w:val="20"/>
          <w:szCs w:val="20"/>
        </w:rPr>
        <w:t xml:space="preserve"> </w:t>
      </w:r>
      <w:r w:rsidRPr="00242D06">
        <w:rPr>
          <w:rFonts w:ascii="Arial" w:hAnsi="Arial" w:cs="Arial"/>
          <w:sz w:val="20"/>
          <w:szCs w:val="20"/>
        </w:rPr>
        <w:t>Online survey and secondary data analysis conducted between January and April 2025, using inputs from the Global Peace Index and International SOS.</w:t>
      </w:r>
    </w:p>
    <w:p w14:paraId="58B97501" w14:textId="5C4D177D" w:rsidR="00242D06" w:rsidRPr="00242D06" w:rsidRDefault="00242D06" w:rsidP="00242D06">
      <w:pPr>
        <w:jc w:val="both"/>
        <w:rPr>
          <w:rFonts w:ascii="Arial" w:hAnsi="Arial" w:cs="Arial"/>
          <w:sz w:val="20"/>
          <w:szCs w:val="20"/>
        </w:rPr>
      </w:pPr>
      <w:r w:rsidRPr="00242D06">
        <w:rPr>
          <w:rFonts w:ascii="Arial" w:hAnsi="Arial" w:cs="Arial"/>
          <w:b/>
          <w:bCs/>
          <w:sz w:val="20"/>
          <w:szCs w:val="20"/>
        </w:rPr>
        <w:t>Methodology:</w:t>
      </w:r>
      <w:r w:rsidRPr="00ED16B1">
        <w:rPr>
          <w:rFonts w:ascii="Arial" w:hAnsi="Arial" w:cs="Arial"/>
          <w:sz w:val="20"/>
          <w:szCs w:val="20"/>
        </w:rPr>
        <w:t xml:space="preserve"> </w:t>
      </w:r>
      <w:r w:rsidRPr="00242D06">
        <w:rPr>
          <w:rFonts w:ascii="Arial" w:hAnsi="Arial" w:cs="Arial"/>
          <w:sz w:val="20"/>
          <w:szCs w:val="20"/>
        </w:rPr>
        <w:t>Data were collected via a structured online survey of 400 international travellers. The questionnaire measured travel frequency, perceived risk, behavioural change, and reliance on official information sources. Secondary indicators of geopolitical instability were also included. Multiple regression and Structural Equation Modelling (SEM) were used to analyse relationships between conflict exposure, perceived travel risk, and behavioural adaptation.</w:t>
      </w:r>
    </w:p>
    <w:p w14:paraId="5DCA7DD4" w14:textId="306661FA" w:rsidR="00242D06" w:rsidRPr="00242D06" w:rsidRDefault="00242D06" w:rsidP="00242D06">
      <w:pPr>
        <w:jc w:val="both"/>
        <w:rPr>
          <w:rFonts w:ascii="Arial" w:hAnsi="Arial" w:cs="Arial"/>
          <w:sz w:val="20"/>
          <w:szCs w:val="20"/>
        </w:rPr>
      </w:pPr>
      <w:r w:rsidRPr="00242D06">
        <w:rPr>
          <w:rFonts w:ascii="Arial" w:hAnsi="Arial" w:cs="Arial"/>
          <w:b/>
          <w:bCs/>
          <w:sz w:val="20"/>
          <w:szCs w:val="20"/>
        </w:rPr>
        <w:t>Results:</w:t>
      </w:r>
      <w:r w:rsidRPr="00ED16B1">
        <w:rPr>
          <w:rFonts w:ascii="Arial" w:hAnsi="Arial" w:cs="Arial"/>
          <w:sz w:val="20"/>
          <w:szCs w:val="20"/>
        </w:rPr>
        <w:t xml:space="preserve"> </w:t>
      </w:r>
      <w:r w:rsidRPr="00242D06">
        <w:rPr>
          <w:rFonts w:ascii="Arial" w:hAnsi="Arial" w:cs="Arial"/>
          <w:sz w:val="20"/>
          <w:szCs w:val="20"/>
        </w:rPr>
        <w:t>Among 400 respondents, 72% of frequent travellers reported changing travel plans due to conflict advisories. Perceived risk correlated positively with proximity to conflict zones (r = 0.61, p &lt; 0.001) and negatively with travel intention (β = -0.49, p &lt; 0.001). Adaptive behaviours, such as consulting embassy alerts and risk maps, were more common among high-risk respondents (β = 0.54, p &lt; 0.01). SEM confirmed that perceived risk mediated the link between conflict exposure and travel deterrence, with adaptive information-seeking acting as a significant moderator.</w:t>
      </w:r>
    </w:p>
    <w:p w14:paraId="3C4A1F62" w14:textId="6ADF67A0" w:rsidR="00242D06" w:rsidRPr="00242D06" w:rsidRDefault="00242D06" w:rsidP="00242D06">
      <w:pPr>
        <w:jc w:val="both"/>
        <w:rPr>
          <w:rFonts w:ascii="Arial" w:hAnsi="Arial" w:cs="Arial"/>
          <w:sz w:val="20"/>
          <w:szCs w:val="20"/>
        </w:rPr>
      </w:pPr>
      <w:r w:rsidRPr="00242D06">
        <w:rPr>
          <w:rFonts w:ascii="Arial" w:hAnsi="Arial" w:cs="Arial"/>
          <w:b/>
          <w:bCs/>
          <w:sz w:val="20"/>
          <w:szCs w:val="20"/>
        </w:rPr>
        <w:t>Conclusion:</w:t>
      </w:r>
      <w:r w:rsidRPr="00ED16B1">
        <w:rPr>
          <w:rFonts w:ascii="Arial" w:hAnsi="Arial" w:cs="Arial"/>
          <w:sz w:val="20"/>
          <w:szCs w:val="20"/>
        </w:rPr>
        <w:t xml:space="preserve"> </w:t>
      </w:r>
      <w:r w:rsidRPr="00242D06">
        <w:rPr>
          <w:rFonts w:ascii="Arial" w:hAnsi="Arial" w:cs="Arial"/>
          <w:sz w:val="20"/>
          <w:szCs w:val="20"/>
        </w:rPr>
        <w:t>Geopolitical disruptions substantially shape tourist behaviour, even for those distant from conflict zones. Risk perception and information tools now play a pivotal role in travel safety. Findings suggest that tourism boards and policy agencies must incorporate adaptive communication strategies in uncertain global environments.</w:t>
      </w:r>
    </w:p>
    <w:p w14:paraId="02A2C5A0" w14:textId="77777777" w:rsidR="00242D06" w:rsidRPr="00242D06" w:rsidRDefault="00242D06" w:rsidP="00242D06">
      <w:pPr>
        <w:jc w:val="both"/>
        <w:rPr>
          <w:rFonts w:ascii="Arial" w:hAnsi="Arial" w:cs="Arial"/>
          <w:sz w:val="20"/>
          <w:szCs w:val="20"/>
        </w:rPr>
      </w:pPr>
      <w:r w:rsidRPr="00242D06">
        <w:rPr>
          <w:rFonts w:ascii="Arial" w:hAnsi="Arial" w:cs="Arial"/>
          <w:b/>
          <w:bCs/>
          <w:sz w:val="20"/>
          <w:szCs w:val="20"/>
        </w:rPr>
        <w:t>Keywords:</w:t>
      </w:r>
      <w:r w:rsidRPr="00242D06">
        <w:rPr>
          <w:rFonts w:ascii="Arial" w:hAnsi="Arial" w:cs="Arial"/>
          <w:sz w:val="20"/>
          <w:szCs w:val="20"/>
        </w:rPr>
        <w:t xml:space="preserve"> Geopolitical risk, travel behaviour, tourist perception, conflict zones, adaptive strategies, travel safety</w:t>
      </w:r>
    </w:p>
    <w:p w14:paraId="4458C0A7" w14:textId="77777777" w:rsidR="00242D06" w:rsidRDefault="00242D06" w:rsidP="00242D06">
      <w:pPr>
        <w:jc w:val="both"/>
        <w:rPr>
          <w:rFonts w:ascii="Times New Roman" w:hAnsi="Times New Roman" w:cs="Times New Roman"/>
          <w:b/>
          <w:bCs/>
          <w:sz w:val="24"/>
          <w:szCs w:val="24"/>
        </w:rPr>
      </w:pPr>
    </w:p>
    <w:p w14:paraId="6044A1E9" w14:textId="7EF84313" w:rsidR="0054715D" w:rsidRPr="00681977" w:rsidRDefault="00681977" w:rsidP="00242D06">
      <w:pPr>
        <w:jc w:val="both"/>
        <w:rPr>
          <w:rFonts w:ascii="Arial" w:hAnsi="Arial" w:cs="Arial"/>
          <w:b/>
          <w:bCs/>
        </w:rPr>
      </w:pPr>
      <w:r w:rsidRPr="00681977">
        <w:rPr>
          <w:rFonts w:ascii="Arial" w:hAnsi="Arial" w:cs="Arial"/>
          <w:b/>
          <w:bCs/>
        </w:rPr>
        <w:t>1. INTRODUCTION</w:t>
      </w:r>
    </w:p>
    <w:p w14:paraId="440441A2" w14:textId="77777777" w:rsidR="0054715D" w:rsidRPr="00681977" w:rsidRDefault="0054715D" w:rsidP="007B07B4">
      <w:pPr>
        <w:jc w:val="both"/>
        <w:rPr>
          <w:rFonts w:ascii="Arial" w:hAnsi="Arial" w:cs="Arial"/>
          <w:b/>
          <w:bCs/>
        </w:rPr>
      </w:pPr>
      <w:r w:rsidRPr="00681977">
        <w:rPr>
          <w:rFonts w:ascii="Arial" w:hAnsi="Arial" w:cs="Arial"/>
          <w:b/>
          <w:bCs/>
        </w:rPr>
        <w:t>1.1 Background and Rationale</w:t>
      </w:r>
    </w:p>
    <w:p w14:paraId="6CE72F42" w14:textId="77777777" w:rsidR="00ED6954" w:rsidRPr="00681977" w:rsidRDefault="00EC3D2A" w:rsidP="007B07B4">
      <w:pPr>
        <w:jc w:val="both"/>
        <w:rPr>
          <w:rFonts w:ascii="Arial" w:hAnsi="Arial" w:cs="Arial"/>
          <w:sz w:val="20"/>
          <w:szCs w:val="20"/>
        </w:rPr>
      </w:pPr>
      <w:r w:rsidRPr="00681977">
        <w:rPr>
          <w:rFonts w:ascii="Arial" w:hAnsi="Arial" w:cs="Arial"/>
          <w:sz w:val="20"/>
          <w:szCs w:val="20"/>
        </w:rPr>
        <w:t>Tourism is quite susceptible to outside forces; therefore, geopolitical crises have become a formidable force in determining travel behaviour. Against these backdrops, they act either as logistical hindrances or in the long term as altering perceptions of safety. To cite an instance, the 2023 Israel-Gaza conflict contributed grossly to dwindling air travel demand in the entire region, in-distance almost 2,000 km, where perceptions of safety fell (</w:t>
      </w:r>
      <w:proofErr w:type="spellStart"/>
      <w:r w:rsidRPr="00681977">
        <w:rPr>
          <w:rFonts w:ascii="Arial" w:hAnsi="Arial" w:cs="Arial"/>
          <w:sz w:val="20"/>
          <w:szCs w:val="20"/>
        </w:rPr>
        <w:t>Mabrian</w:t>
      </w:r>
      <w:proofErr w:type="spellEnd"/>
      <w:r w:rsidRPr="00681977">
        <w:rPr>
          <w:rFonts w:ascii="Arial" w:hAnsi="Arial" w:cs="Arial"/>
          <w:sz w:val="20"/>
          <w:szCs w:val="20"/>
        </w:rPr>
        <w:t xml:space="preserve"> Technologies, 2023). Similarly, a 2025 escalation between Israel and Iran would have led to widespread Middle East airspace closure and thereby to a global disturbance of air traffic, bringing in advisories such as the U.S. "Worldwide Caution" (Associated Press, 2025). </w:t>
      </w:r>
    </w:p>
    <w:p w14:paraId="742A9701" w14:textId="18436786" w:rsidR="00ED6954" w:rsidRPr="00681977" w:rsidRDefault="00EC3D2A" w:rsidP="007B07B4">
      <w:pPr>
        <w:jc w:val="both"/>
        <w:rPr>
          <w:rFonts w:ascii="Arial" w:hAnsi="Arial" w:cs="Arial"/>
          <w:sz w:val="20"/>
          <w:szCs w:val="20"/>
        </w:rPr>
      </w:pPr>
      <w:r w:rsidRPr="00681977">
        <w:rPr>
          <w:rFonts w:ascii="Arial" w:hAnsi="Arial" w:cs="Arial"/>
          <w:sz w:val="20"/>
          <w:szCs w:val="20"/>
        </w:rPr>
        <w:t xml:space="preserve">Such are not one-off effects, however. According to data by </w:t>
      </w:r>
      <w:proofErr w:type="spellStart"/>
      <w:r w:rsidRPr="00681977">
        <w:rPr>
          <w:rFonts w:ascii="Arial" w:hAnsi="Arial" w:cs="Arial"/>
          <w:sz w:val="20"/>
          <w:szCs w:val="20"/>
        </w:rPr>
        <w:t>ForwardKeys</w:t>
      </w:r>
      <w:proofErr w:type="spellEnd"/>
      <w:r w:rsidRPr="00681977">
        <w:rPr>
          <w:rFonts w:ascii="Arial" w:hAnsi="Arial" w:cs="Arial"/>
          <w:sz w:val="20"/>
          <w:szCs w:val="20"/>
        </w:rPr>
        <w:t xml:space="preserve">, the Gaza conflict led to cascades of cancellations and rerouting, as if </w:t>
      </w:r>
      <w:r w:rsidR="00ED6954" w:rsidRPr="00681977">
        <w:rPr>
          <w:rFonts w:ascii="Arial" w:hAnsi="Arial" w:cs="Arial"/>
          <w:sz w:val="20"/>
          <w:szCs w:val="20"/>
        </w:rPr>
        <w:t>traveller</w:t>
      </w:r>
      <w:r w:rsidRPr="00681977">
        <w:rPr>
          <w:rFonts w:ascii="Arial" w:hAnsi="Arial" w:cs="Arial"/>
          <w:sz w:val="20"/>
          <w:szCs w:val="20"/>
        </w:rPr>
        <w:t xml:space="preserve">s internalize regional instability even when not experienced directly (Bradley, 2024). Larger longitudinal studies further affirm this pattern: geopolitics </w:t>
      </w:r>
      <w:r w:rsidRPr="00681977">
        <w:rPr>
          <w:rFonts w:ascii="Arial" w:hAnsi="Arial" w:cs="Arial"/>
          <w:sz w:val="20"/>
          <w:szCs w:val="20"/>
        </w:rPr>
        <w:lastRenderedPageBreak/>
        <w:t>risk is significantly correlated with less touristic arrival as seen in cross-country analyses using GPI scores (Institute for Economics and Peace, 2024; Smith &amp; Jones, 2023; Carballo et al., 2021).</w:t>
      </w:r>
    </w:p>
    <w:p w14:paraId="4D380381" w14:textId="4E1419B2" w:rsidR="0054715D" w:rsidRPr="00681977" w:rsidRDefault="00EC3D2A" w:rsidP="007B07B4">
      <w:pPr>
        <w:jc w:val="both"/>
        <w:rPr>
          <w:rFonts w:ascii="Arial" w:hAnsi="Arial" w:cs="Arial"/>
          <w:sz w:val="20"/>
          <w:szCs w:val="20"/>
        </w:rPr>
      </w:pPr>
      <w:r w:rsidRPr="00681977">
        <w:rPr>
          <w:rFonts w:ascii="Arial" w:hAnsi="Arial" w:cs="Arial"/>
          <w:sz w:val="20"/>
          <w:szCs w:val="20"/>
        </w:rPr>
        <w:t xml:space="preserve">The rise in adaptive </w:t>
      </w:r>
      <w:r w:rsidR="00ED6954" w:rsidRPr="00681977">
        <w:rPr>
          <w:rFonts w:ascii="Arial" w:hAnsi="Arial" w:cs="Arial"/>
          <w:sz w:val="20"/>
          <w:szCs w:val="20"/>
        </w:rPr>
        <w:t>behaviour</w:t>
      </w:r>
      <w:r w:rsidRPr="00681977">
        <w:rPr>
          <w:rFonts w:ascii="Arial" w:hAnsi="Arial" w:cs="Arial"/>
          <w:sz w:val="20"/>
          <w:szCs w:val="20"/>
        </w:rPr>
        <w:t xml:space="preserve"> amplifies problems. Considering the origin of crises becomes a crucial factor as tourists, now more than ever, would seek the information of embassies, real-time risk maps, and insurance aggregators before confirming a trip (Moral </w:t>
      </w:r>
      <w:proofErr w:type="spellStart"/>
      <w:r w:rsidRPr="00681977">
        <w:rPr>
          <w:rFonts w:ascii="Arial" w:hAnsi="Arial" w:cs="Arial"/>
          <w:sz w:val="20"/>
          <w:szCs w:val="20"/>
        </w:rPr>
        <w:t>Moral</w:t>
      </w:r>
      <w:proofErr w:type="spellEnd"/>
      <w:r w:rsidRPr="00681977">
        <w:rPr>
          <w:rFonts w:ascii="Arial" w:hAnsi="Arial" w:cs="Arial"/>
          <w:sz w:val="20"/>
          <w:szCs w:val="20"/>
        </w:rPr>
        <w:t xml:space="preserve">, 2024; Zhao &amp; Nguyen, 2023; </w:t>
      </w:r>
      <w:proofErr w:type="spellStart"/>
      <w:r w:rsidRPr="00681977">
        <w:rPr>
          <w:rFonts w:ascii="Arial" w:hAnsi="Arial" w:cs="Arial"/>
          <w:sz w:val="20"/>
          <w:szCs w:val="20"/>
        </w:rPr>
        <w:t>Akamavi</w:t>
      </w:r>
      <w:proofErr w:type="spellEnd"/>
      <w:r w:rsidRPr="00681977">
        <w:rPr>
          <w:rFonts w:ascii="Arial" w:hAnsi="Arial" w:cs="Arial"/>
          <w:sz w:val="20"/>
          <w:szCs w:val="20"/>
        </w:rPr>
        <w:t xml:space="preserve"> et al., 2022; Lemy et al., 2021). As mentioned in Chen et al. 2025, these behaviours exhibit variations in intensity with an individual's knowledge, attitudes toward risk, and loyalty to a destination. However, gaps loom large in terms of the mediating variable of perceived risk and the moderating variable of information-seeking behaviour under high-tension scenarios.</w:t>
      </w:r>
    </w:p>
    <w:p w14:paraId="78EB378A" w14:textId="77777777" w:rsidR="0054715D" w:rsidRPr="00681977" w:rsidRDefault="0054715D" w:rsidP="007B07B4">
      <w:pPr>
        <w:jc w:val="both"/>
        <w:rPr>
          <w:rFonts w:ascii="Arial" w:hAnsi="Arial" w:cs="Arial"/>
          <w:b/>
          <w:bCs/>
        </w:rPr>
      </w:pPr>
      <w:r w:rsidRPr="00681977">
        <w:rPr>
          <w:rFonts w:ascii="Arial" w:hAnsi="Arial" w:cs="Arial"/>
          <w:b/>
          <w:bCs/>
        </w:rPr>
        <w:t>1.2 Problem Statement</w:t>
      </w:r>
    </w:p>
    <w:p w14:paraId="72BE9481" w14:textId="2E6B9515" w:rsidR="0054715D" w:rsidRPr="00681977" w:rsidRDefault="00AE16B5" w:rsidP="007B07B4">
      <w:pPr>
        <w:jc w:val="both"/>
        <w:rPr>
          <w:rFonts w:ascii="Arial" w:hAnsi="Arial" w:cs="Arial"/>
          <w:sz w:val="20"/>
          <w:szCs w:val="20"/>
        </w:rPr>
      </w:pPr>
      <w:r w:rsidRPr="00681977">
        <w:rPr>
          <w:rFonts w:ascii="Arial" w:hAnsi="Arial" w:cs="Arial"/>
          <w:sz w:val="20"/>
          <w:szCs w:val="20"/>
        </w:rPr>
        <w:t xml:space="preserve">Although macro-level indices like GPI, SOS travel risk maps, and booking data contribute to valuable signals, </w:t>
      </w:r>
      <w:proofErr w:type="spellStart"/>
      <w:r w:rsidRPr="00681977">
        <w:rPr>
          <w:rFonts w:ascii="Arial" w:hAnsi="Arial" w:cs="Arial"/>
          <w:sz w:val="20"/>
          <w:szCs w:val="20"/>
        </w:rPr>
        <w:t>intermicro</w:t>
      </w:r>
      <w:proofErr w:type="spellEnd"/>
      <w:r w:rsidRPr="00681977">
        <w:rPr>
          <w:rFonts w:ascii="Arial" w:hAnsi="Arial" w:cs="Arial"/>
          <w:sz w:val="20"/>
          <w:szCs w:val="20"/>
        </w:rPr>
        <w:t xml:space="preserve"> mechanisms-poorly understood include travellers' psychological reactions to political instability. Questions linger: How do individuals assess risk amid incomplete or emotionally charged information? What factors led some to cancel while others proceed with caution? In the absence of answers to these questions, tourism authorities are left with little means of supporting traveller confidence during volatile geopolitical periods.</w:t>
      </w:r>
    </w:p>
    <w:p w14:paraId="1453FDF2" w14:textId="77777777" w:rsidR="0054715D" w:rsidRPr="00681977" w:rsidRDefault="0054715D" w:rsidP="007B07B4">
      <w:pPr>
        <w:jc w:val="both"/>
        <w:rPr>
          <w:rFonts w:ascii="Arial" w:hAnsi="Arial" w:cs="Arial"/>
          <w:b/>
          <w:bCs/>
        </w:rPr>
      </w:pPr>
      <w:r w:rsidRPr="00681977">
        <w:rPr>
          <w:rFonts w:ascii="Arial" w:hAnsi="Arial" w:cs="Arial"/>
          <w:b/>
          <w:bCs/>
        </w:rPr>
        <w:t>1.3 Research Questions and Objectives</w:t>
      </w:r>
    </w:p>
    <w:p w14:paraId="130D0992" w14:textId="77777777" w:rsidR="00AE16B5" w:rsidRPr="00681977" w:rsidRDefault="00AE16B5" w:rsidP="00AE16B5">
      <w:pPr>
        <w:jc w:val="both"/>
        <w:rPr>
          <w:rFonts w:ascii="Arial" w:hAnsi="Arial" w:cs="Arial"/>
          <w:sz w:val="20"/>
          <w:szCs w:val="20"/>
        </w:rPr>
      </w:pPr>
      <w:r w:rsidRPr="00681977">
        <w:rPr>
          <w:rFonts w:ascii="Arial" w:hAnsi="Arial" w:cs="Arial"/>
          <w:sz w:val="20"/>
          <w:szCs w:val="20"/>
        </w:rPr>
        <w:t xml:space="preserve">Three major questions were addressed by this research. First, it was interested in how major geopolitical tensions-wars, terror alerts, or even imposition of diplomatic sanctions-interfere in the tourist consideration of travel risk. Second, how far do the increased risk perceptions actually go in changing travellers' intentions to visit the affected or </w:t>
      </w:r>
      <w:proofErr w:type="spellStart"/>
      <w:r w:rsidRPr="00681977">
        <w:rPr>
          <w:rFonts w:ascii="Arial" w:hAnsi="Arial" w:cs="Arial"/>
          <w:sz w:val="20"/>
          <w:szCs w:val="20"/>
        </w:rPr>
        <w:t>neighboring</w:t>
      </w:r>
      <w:proofErr w:type="spellEnd"/>
      <w:r w:rsidRPr="00681977">
        <w:rPr>
          <w:rFonts w:ascii="Arial" w:hAnsi="Arial" w:cs="Arial"/>
          <w:sz w:val="20"/>
          <w:szCs w:val="20"/>
        </w:rPr>
        <w:t xml:space="preserve"> destinations? Third, does adaptive information seeking, such as embassy advisories, risk maps, or special travel insurance, lessen, increase, or otherwise alter the links between perceived risk and actual decision making? </w:t>
      </w:r>
    </w:p>
    <w:p w14:paraId="3ACC993B" w14:textId="7634DBF2" w:rsidR="00BC3F83" w:rsidRPr="00681977" w:rsidRDefault="00AE16B5" w:rsidP="00AE16B5">
      <w:pPr>
        <w:jc w:val="both"/>
        <w:rPr>
          <w:rFonts w:ascii="Arial" w:hAnsi="Arial" w:cs="Arial"/>
          <w:sz w:val="20"/>
          <w:szCs w:val="20"/>
        </w:rPr>
      </w:pPr>
      <w:r w:rsidRPr="00681977">
        <w:rPr>
          <w:rFonts w:ascii="Arial" w:hAnsi="Arial" w:cs="Arial"/>
          <w:sz w:val="20"/>
          <w:szCs w:val="20"/>
        </w:rPr>
        <w:t>In pursuit of these questions, three corresponding objectives are being pursued by the study. The first objective is to measure some key geopolitical indicators, such as Global Peace Index scores, real time conflict news, and embassy advisories, upon tourists' risk perceptions. The second objective is to model the direct effect of perceived risk on intention to travel with Structural Equation Modelling (SEM), and hence to appreciate both the strength of the relationship and its significance. The third objective is to assess the mediating or moderating role played by adaptive strategies worthy of trust-those from embassies, NGOs, insurance providers, etc.-between risk perception and intention to travel. Together, the objectives translate the questions into researchable constructs, thereby providing a working methodology for empirical testing.</w:t>
      </w:r>
    </w:p>
    <w:p w14:paraId="545EB8E1" w14:textId="77777777" w:rsidR="0054715D" w:rsidRPr="00681977" w:rsidRDefault="0054715D" w:rsidP="007B07B4">
      <w:pPr>
        <w:jc w:val="both"/>
        <w:rPr>
          <w:rFonts w:ascii="Arial" w:hAnsi="Arial" w:cs="Arial"/>
          <w:b/>
          <w:bCs/>
        </w:rPr>
      </w:pPr>
      <w:r w:rsidRPr="00681977">
        <w:rPr>
          <w:rFonts w:ascii="Arial" w:hAnsi="Arial" w:cs="Arial"/>
          <w:b/>
          <w:bCs/>
        </w:rPr>
        <w:t>1.4 Significance of the Study</w:t>
      </w:r>
    </w:p>
    <w:p w14:paraId="50E76528" w14:textId="0BCAC8E5" w:rsidR="0054715D" w:rsidRPr="00681977" w:rsidRDefault="00DF6110" w:rsidP="007B07B4">
      <w:pPr>
        <w:jc w:val="both"/>
        <w:rPr>
          <w:rFonts w:ascii="Arial" w:hAnsi="Arial" w:cs="Arial"/>
          <w:sz w:val="20"/>
          <w:szCs w:val="20"/>
        </w:rPr>
      </w:pPr>
      <w:r w:rsidRPr="00681977">
        <w:rPr>
          <w:rFonts w:ascii="Arial" w:hAnsi="Arial" w:cs="Arial"/>
          <w:sz w:val="20"/>
          <w:szCs w:val="20"/>
        </w:rPr>
        <w:t>Theoretical research contributes to the understanding of risk perception against tourism by merging macro-level conflict indicators with micro-level decision-making processes. Based on Risk Perception Theory and the Social Amplification of Risk Framework, the research will aim to shed light on the processes that influence those who suffer this amplified perception and react to geopolitical crises. Practically, the findings could help tourism marketing bodies, airlines, and risk communication agencies to develop and tailor evidence-based messaging, safety advisories, and resilience-building strategies.</w:t>
      </w:r>
    </w:p>
    <w:p w14:paraId="46BBC0FB" w14:textId="39F5F8B3" w:rsidR="001314F9" w:rsidRPr="00681977" w:rsidRDefault="00681977" w:rsidP="007B07B4">
      <w:pPr>
        <w:jc w:val="both"/>
        <w:rPr>
          <w:rFonts w:ascii="Arial" w:hAnsi="Arial" w:cs="Arial"/>
          <w:b/>
          <w:bCs/>
        </w:rPr>
      </w:pPr>
      <w:r w:rsidRPr="00681977">
        <w:rPr>
          <w:rFonts w:ascii="Arial" w:hAnsi="Arial" w:cs="Arial"/>
          <w:b/>
          <w:bCs/>
        </w:rPr>
        <w:t>2. LITERATURE REVIEW</w:t>
      </w:r>
    </w:p>
    <w:p w14:paraId="7A90C6A2" w14:textId="77777777" w:rsidR="00297B2F" w:rsidRPr="00681977" w:rsidRDefault="00297B2F" w:rsidP="007B07B4">
      <w:pPr>
        <w:jc w:val="both"/>
        <w:rPr>
          <w:rFonts w:ascii="Arial" w:hAnsi="Arial" w:cs="Arial"/>
          <w:b/>
          <w:bCs/>
        </w:rPr>
      </w:pPr>
      <w:r w:rsidRPr="00681977">
        <w:rPr>
          <w:rFonts w:ascii="Arial" w:hAnsi="Arial" w:cs="Arial"/>
          <w:b/>
          <w:bCs/>
        </w:rPr>
        <w:t>2.1 Geopolitical Conflicts and Travel Disruptions</w:t>
      </w:r>
    </w:p>
    <w:p w14:paraId="023C02C5" w14:textId="77777777" w:rsidR="005078BC" w:rsidRDefault="00297B2F" w:rsidP="007B07B4">
      <w:pPr>
        <w:jc w:val="both"/>
        <w:rPr>
          <w:rFonts w:ascii="Arial" w:hAnsi="Arial" w:cs="Arial"/>
          <w:sz w:val="20"/>
          <w:szCs w:val="20"/>
        </w:rPr>
      </w:pPr>
      <w:r w:rsidRPr="00681977">
        <w:rPr>
          <w:rFonts w:ascii="Arial" w:hAnsi="Arial" w:cs="Arial"/>
          <w:sz w:val="20"/>
          <w:szCs w:val="20"/>
        </w:rPr>
        <w:t>Armed conflicts and political unrest are factors influencing global tourism, acting on logistics and destination image. The Israel-Gaza conflict of 2023 came to be perceived as unsafe by potential tourists in an area almost 2,000 km away from the conflict itself (</w:t>
      </w:r>
      <w:proofErr w:type="spellStart"/>
      <w:r w:rsidRPr="00681977">
        <w:rPr>
          <w:rFonts w:ascii="Arial" w:hAnsi="Arial" w:cs="Arial"/>
          <w:sz w:val="20"/>
          <w:szCs w:val="20"/>
        </w:rPr>
        <w:t>Mabrian</w:t>
      </w:r>
      <w:proofErr w:type="spellEnd"/>
      <w:r w:rsidRPr="00681977">
        <w:rPr>
          <w:rFonts w:ascii="Arial" w:hAnsi="Arial" w:cs="Arial"/>
          <w:sz w:val="20"/>
          <w:szCs w:val="20"/>
        </w:rPr>
        <w:t xml:space="preserve"> Technologies, 2023). The 2025 Israel–Iran confrontation, meanwhile, caused closure of multiple airspaces, therefore the issuance of international travel advisories, and disruptions to the regional and global travel agendas (Associated Press, 2025). The </w:t>
      </w:r>
      <w:proofErr w:type="spellStart"/>
      <w:r w:rsidRPr="00681977">
        <w:rPr>
          <w:rFonts w:ascii="Arial" w:hAnsi="Arial" w:cs="Arial"/>
          <w:sz w:val="20"/>
          <w:szCs w:val="20"/>
        </w:rPr>
        <w:t>ForwardKeys</w:t>
      </w:r>
      <w:proofErr w:type="spellEnd"/>
      <w:r w:rsidRPr="00681977">
        <w:rPr>
          <w:rFonts w:ascii="Arial" w:hAnsi="Arial" w:cs="Arial"/>
          <w:sz w:val="20"/>
          <w:szCs w:val="20"/>
        </w:rPr>
        <w:t xml:space="preserve"> records confirmed the drag in redirected bookings manifested </w:t>
      </w:r>
      <w:r w:rsidRPr="00681977">
        <w:rPr>
          <w:rFonts w:ascii="Arial" w:hAnsi="Arial" w:cs="Arial"/>
          <w:sz w:val="20"/>
          <w:szCs w:val="20"/>
        </w:rPr>
        <w:lastRenderedPageBreak/>
        <w:t xml:space="preserve">simultaneously as cancellations soared, especially among </w:t>
      </w:r>
      <w:proofErr w:type="spellStart"/>
      <w:r w:rsidRPr="00681977">
        <w:rPr>
          <w:rFonts w:ascii="Arial" w:hAnsi="Arial" w:cs="Arial"/>
          <w:sz w:val="20"/>
          <w:szCs w:val="20"/>
        </w:rPr>
        <w:t>neighboring</w:t>
      </w:r>
      <w:proofErr w:type="spellEnd"/>
      <w:r w:rsidRPr="00681977">
        <w:rPr>
          <w:rFonts w:ascii="Arial" w:hAnsi="Arial" w:cs="Arial"/>
          <w:sz w:val="20"/>
          <w:szCs w:val="20"/>
        </w:rPr>
        <w:t xml:space="preserve"> countries (Bradley, 2024; </w:t>
      </w:r>
      <w:proofErr w:type="spellStart"/>
      <w:r w:rsidRPr="00681977">
        <w:rPr>
          <w:rFonts w:ascii="Arial" w:hAnsi="Arial" w:cs="Arial"/>
          <w:sz w:val="20"/>
          <w:szCs w:val="20"/>
        </w:rPr>
        <w:t>Akamavi</w:t>
      </w:r>
      <w:proofErr w:type="spellEnd"/>
      <w:r w:rsidRPr="00681977">
        <w:rPr>
          <w:rFonts w:ascii="Arial" w:hAnsi="Arial" w:cs="Arial"/>
          <w:sz w:val="20"/>
          <w:szCs w:val="20"/>
        </w:rPr>
        <w:t xml:space="preserve"> et al., 2022).</w:t>
      </w:r>
    </w:p>
    <w:p w14:paraId="19B8974F" w14:textId="1462A85F" w:rsidR="001314F9" w:rsidRPr="00681977" w:rsidRDefault="00297B2F" w:rsidP="007B07B4">
      <w:pPr>
        <w:jc w:val="both"/>
        <w:rPr>
          <w:rFonts w:ascii="Arial" w:hAnsi="Arial" w:cs="Arial"/>
          <w:sz w:val="20"/>
          <w:szCs w:val="20"/>
        </w:rPr>
      </w:pPr>
      <w:r w:rsidRPr="00681977">
        <w:rPr>
          <w:rFonts w:ascii="Arial" w:hAnsi="Arial" w:cs="Arial"/>
          <w:sz w:val="20"/>
          <w:szCs w:val="20"/>
        </w:rPr>
        <w:t xml:space="preserve">The Ukrainian situation and the geopolitical muscle pull in the umbrella of </w:t>
      </w:r>
      <w:r w:rsidR="00D9465E" w:rsidRPr="00681977">
        <w:rPr>
          <w:rFonts w:ascii="Arial" w:hAnsi="Arial" w:cs="Arial"/>
          <w:sz w:val="20"/>
          <w:szCs w:val="20"/>
        </w:rPr>
        <w:t>international</w:t>
      </w:r>
      <w:r w:rsidRPr="00681977">
        <w:rPr>
          <w:rFonts w:ascii="Arial" w:hAnsi="Arial" w:cs="Arial"/>
          <w:sz w:val="20"/>
          <w:szCs w:val="20"/>
        </w:rPr>
        <w:t xml:space="preserve"> tourism eventually withdrawing even from those zones mildly affected by the crisis (Cooper &amp; Hall, 2025; Smith &amp; Jones, 2023; Jiang et al., 2023). Although few quantitative studies on tourist arrival obviously use indices of geopolitical risk and reveal the inverse correlation between tourist arrival and intensity of conflict (Cruz Costa Alves, 2025; </w:t>
      </w:r>
      <w:proofErr w:type="spellStart"/>
      <w:r w:rsidRPr="00681977">
        <w:rPr>
          <w:rFonts w:ascii="Arial" w:hAnsi="Arial" w:cs="Arial"/>
          <w:sz w:val="20"/>
          <w:szCs w:val="20"/>
        </w:rPr>
        <w:t>Gozgor</w:t>
      </w:r>
      <w:proofErr w:type="spellEnd"/>
      <w:r w:rsidRPr="00681977">
        <w:rPr>
          <w:rFonts w:ascii="Arial" w:hAnsi="Arial" w:cs="Arial"/>
          <w:sz w:val="20"/>
          <w:szCs w:val="20"/>
        </w:rPr>
        <w:t xml:space="preserve"> &amp; Sheng, 2020; </w:t>
      </w:r>
      <w:proofErr w:type="spellStart"/>
      <w:r w:rsidRPr="00681977">
        <w:rPr>
          <w:rFonts w:ascii="Arial" w:hAnsi="Arial" w:cs="Arial"/>
          <w:sz w:val="20"/>
          <w:szCs w:val="20"/>
        </w:rPr>
        <w:t>Tunççu</w:t>
      </w:r>
      <w:proofErr w:type="spellEnd"/>
      <w:r w:rsidRPr="00681977">
        <w:rPr>
          <w:rFonts w:ascii="Arial" w:hAnsi="Arial" w:cs="Arial"/>
          <w:sz w:val="20"/>
          <w:szCs w:val="20"/>
        </w:rPr>
        <w:t>, 2023). The findings illustrate how tourism mechanics can be rightly curtailed by both direct and proximate geopolitical incidences.</w:t>
      </w:r>
    </w:p>
    <w:p w14:paraId="599164CD" w14:textId="77777777" w:rsidR="001314F9" w:rsidRPr="00681977" w:rsidRDefault="001314F9" w:rsidP="007B07B4">
      <w:pPr>
        <w:jc w:val="both"/>
        <w:rPr>
          <w:rFonts w:ascii="Arial" w:hAnsi="Arial" w:cs="Arial"/>
          <w:b/>
          <w:bCs/>
        </w:rPr>
      </w:pPr>
      <w:r w:rsidRPr="00681977">
        <w:rPr>
          <w:rFonts w:ascii="Arial" w:hAnsi="Arial" w:cs="Arial"/>
          <w:b/>
          <w:bCs/>
        </w:rPr>
        <w:t>2.2 Terrorism Alerts, Visa Sanctions, and Policy Constraints</w:t>
      </w:r>
    </w:p>
    <w:p w14:paraId="0F5AC234" w14:textId="77777777" w:rsidR="00297B2F" w:rsidRPr="00681977" w:rsidRDefault="00297B2F" w:rsidP="00297B2F">
      <w:pPr>
        <w:jc w:val="both"/>
        <w:rPr>
          <w:rFonts w:ascii="Arial" w:hAnsi="Arial" w:cs="Arial"/>
          <w:sz w:val="20"/>
          <w:szCs w:val="20"/>
        </w:rPr>
      </w:pPr>
      <w:r w:rsidRPr="00681977">
        <w:rPr>
          <w:rFonts w:ascii="Arial" w:hAnsi="Arial" w:cs="Arial"/>
          <w:sz w:val="20"/>
          <w:szCs w:val="20"/>
        </w:rPr>
        <w:t xml:space="preserve">Besides largescale warfare, geopolitical tensions usually pervade policy instruments such as travel bans, visa sanctions, and elevated terrorism alerts. Such interventions set down a safety dimension in perception and therefore influence decision-making. Smith and Jones (2023) reported that advisories by Western governments often result in tourism declines in nations experiencing isolated conflict. In situations like Iran and Russia, the presence of wide-ranging sanctions along with extensive media negativity amplifies perceptions of instability (Chen et al., 2025; Ullah &amp; </w:t>
      </w:r>
      <w:proofErr w:type="spellStart"/>
      <w:r w:rsidRPr="00681977">
        <w:rPr>
          <w:rFonts w:ascii="Arial" w:hAnsi="Arial" w:cs="Arial"/>
          <w:sz w:val="20"/>
          <w:szCs w:val="20"/>
        </w:rPr>
        <w:t>Chattoraj</w:t>
      </w:r>
      <w:proofErr w:type="spellEnd"/>
      <w:r w:rsidRPr="00681977">
        <w:rPr>
          <w:rFonts w:ascii="Arial" w:hAnsi="Arial" w:cs="Arial"/>
          <w:sz w:val="20"/>
          <w:szCs w:val="20"/>
        </w:rPr>
        <w:t>, 2025).</w:t>
      </w:r>
    </w:p>
    <w:p w14:paraId="36E224C1" w14:textId="1AE437C6" w:rsidR="001314F9" w:rsidRPr="00681977" w:rsidRDefault="00297B2F" w:rsidP="00297B2F">
      <w:pPr>
        <w:jc w:val="both"/>
        <w:rPr>
          <w:rFonts w:ascii="Arial" w:hAnsi="Arial" w:cs="Arial"/>
          <w:sz w:val="20"/>
          <w:szCs w:val="20"/>
        </w:rPr>
      </w:pPr>
      <w:r w:rsidRPr="00681977">
        <w:rPr>
          <w:rFonts w:ascii="Arial" w:hAnsi="Arial" w:cs="Arial"/>
          <w:sz w:val="20"/>
          <w:szCs w:val="20"/>
        </w:rPr>
        <w:t xml:space="preserve">More evidence hails from Turkey. </w:t>
      </w:r>
      <w:proofErr w:type="spellStart"/>
      <w:r w:rsidRPr="00681977">
        <w:rPr>
          <w:rFonts w:ascii="Arial" w:hAnsi="Arial" w:cs="Arial"/>
          <w:sz w:val="20"/>
          <w:szCs w:val="20"/>
        </w:rPr>
        <w:t>Tunççu</w:t>
      </w:r>
      <w:proofErr w:type="spellEnd"/>
      <w:r w:rsidRPr="00681977">
        <w:rPr>
          <w:rFonts w:ascii="Arial" w:hAnsi="Arial" w:cs="Arial"/>
          <w:sz w:val="20"/>
          <w:szCs w:val="20"/>
        </w:rPr>
        <w:t xml:space="preserve"> (2023) found that in the absence of widespread violence, political tensions sustained over time coupled with international sanctions led to a measurable decline in foreign tourist arrivals for almost two decades. This could tentatively be translated to mean that the symbolic heft of policy restrictions can be just as much of a deterrent to travel </w:t>
      </w:r>
      <w:r w:rsidR="00ED6954" w:rsidRPr="00681977">
        <w:rPr>
          <w:rFonts w:ascii="Arial" w:hAnsi="Arial" w:cs="Arial"/>
          <w:sz w:val="20"/>
          <w:szCs w:val="20"/>
        </w:rPr>
        <w:t>behaviour</w:t>
      </w:r>
      <w:r w:rsidRPr="00681977">
        <w:rPr>
          <w:rFonts w:ascii="Arial" w:hAnsi="Arial" w:cs="Arial"/>
          <w:sz w:val="20"/>
          <w:szCs w:val="20"/>
        </w:rPr>
        <w:t xml:space="preserve"> as actual conflict.</w:t>
      </w:r>
    </w:p>
    <w:p w14:paraId="1CA8CC78" w14:textId="77777777" w:rsidR="001314F9" w:rsidRPr="00681977" w:rsidRDefault="001314F9" w:rsidP="007B07B4">
      <w:pPr>
        <w:jc w:val="both"/>
        <w:rPr>
          <w:rFonts w:ascii="Arial" w:hAnsi="Arial" w:cs="Arial"/>
          <w:b/>
          <w:bCs/>
        </w:rPr>
      </w:pPr>
      <w:r w:rsidRPr="00681977">
        <w:rPr>
          <w:rFonts w:ascii="Arial" w:hAnsi="Arial" w:cs="Arial"/>
          <w:b/>
          <w:bCs/>
        </w:rPr>
        <w:t>2.3 Tourist Risk Perception and Psychological Response</w:t>
      </w:r>
    </w:p>
    <w:p w14:paraId="25BBB0DE" w14:textId="2D1F733D" w:rsidR="00297B2F" w:rsidRPr="00681977" w:rsidRDefault="00297B2F" w:rsidP="007B07B4">
      <w:pPr>
        <w:jc w:val="both"/>
        <w:rPr>
          <w:rFonts w:ascii="Arial" w:hAnsi="Arial" w:cs="Arial"/>
          <w:sz w:val="20"/>
          <w:szCs w:val="20"/>
        </w:rPr>
      </w:pPr>
      <w:r w:rsidRPr="00681977">
        <w:rPr>
          <w:rFonts w:ascii="Arial" w:hAnsi="Arial" w:cs="Arial"/>
          <w:sz w:val="20"/>
          <w:szCs w:val="20"/>
        </w:rPr>
        <w:t xml:space="preserve">Tourist behaviour is shaped not only by objective threats but by the subjective risk interpretation. Zhao and Nguyen (2023) devised a traveller typology depending on their risk sensitivity: ranging from the so-called "fatalists" who virtually do not care about risk to "proactive avoiders," who cancel or change travel plans when even slight threats are perceived. These classifications </w:t>
      </w:r>
      <w:r w:rsidR="007E523F" w:rsidRPr="00681977">
        <w:rPr>
          <w:rFonts w:ascii="Arial" w:hAnsi="Arial" w:cs="Arial"/>
          <w:sz w:val="20"/>
          <w:szCs w:val="20"/>
        </w:rPr>
        <w:t>investigate</w:t>
      </w:r>
      <w:r w:rsidRPr="00681977">
        <w:rPr>
          <w:rFonts w:ascii="Arial" w:hAnsi="Arial" w:cs="Arial"/>
          <w:sz w:val="20"/>
          <w:szCs w:val="20"/>
        </w:rPr>
        <w:t xml:space="preserve"> the various types of tourist reactions to political events. </w:t>
      </w:r>
    </w:p>
    <w:p w14:paraId="56DA5D22" w14:textId="1141D601" w:rsidR="001314F9" w:rsidRPr="00681977" w:rsidRDefault="00297B2F" w:rsidP="007B07B4">
      <w:pPr>
        <w:jc w:val="both"/>
        <w:rPr>
          <w:rFonts w:ascii="Arial" w:hAnsi="Arial" w:cs="Arial"/>
          <w:sz w:val="20"/>
          <w:szCs w:val="20"/>
        </w:rPr>
      </w:pPr>
      <w:r w:rsidRPr="00681977">
        <w:rPr>
          <w:rFonts w:ascii="Arial" w:hAnsi="Arial" w:cs="Arial"/>
          <w:sz w:val="20"/>
          <w:szCs w:val="20"/>
        </w:rPr>
        <w:t xml:space="preserve">Chen et al. (2025) found that knowledge, risk perception, past experiences, and destination loyalty mediate the effects of perceived risk on travel behaviour. Essentially, their study suggested that tourists tend to cancel their travel plans only in the event of some extreme emergency alerts unless they are emotionally resilient or they are aware of how to cope with uncertainty. The study conducted by </w:t>
      </w:r>
      <w:proofErr w:type="spellStart"/>
      <w:r w:rsidRPr="00681977">
        <w:rPr>
          <w:rFonts w:ascii="Arial" w:hAnsi="Arial" w:cs="Arial"/>
          <w:sz w:val="20"/>
          <w:szCs w:val="20"/>
        </w:rPr>
        <w:t>Awais</w:t>
      </w:r>
      <w:proofErr w:type="spellEnd"/>
      <w:r w:rsidRPr="00681977">
        <w:rPr>
          <w:rFonts w:ascii="Arial" w:hAnsi="Arial" w:cs="Arial"/>
          <w:sz w:val="20"/>
          <w:szCs w:val="20"/>
        </w:rPr>
        <w:t>-E-</w:t>
      </w:r>
      <w:proofErr w:type="spellStart"/>
      <w:r w:rsidRPr="00681977">
        <w:rPr>
          <w:rFonts w:ascii="Arial" w:hAnsi="Arial" w:cs="Arial"/>
          <w:sz w:val="20"/>
          <w:szCs w:val="20"/>
        </w:rPr>
        <w:t>Yazdan</w:t>
      </w:r>
      <w:proofErr w:type="spellEnd"/>
      <w:r w:rsidRPr="00681977">
        <w:rPr>
          <w:rFonts w:ascii="Arial" w:hAnsi="Arial" w:cs="Arial"/>
          <w:sz w:val="20"/>
          <w:szCs w:val="20"/>
        </w:rPr>
        <w:t xml:space="preserve">, Popescu, </w:t>
      </w:r>
      <w:proofErr w:type="spellStart"/>
      <w:r w:rsidRPr="00681977">
        <w:rPr>
          <w:rFonts w:ascii="Arial" w:hAnsi="Arial" w:cs="Arial"/>
          <w:sz w:val="20"/>
          <w:szCs w:val="20"/>
        </w:rPr>
        <w:t>Birau</w:t>
      </w:r>
      <w:proofErr w:type="spellEnd"/>
      <w:r w:rsidRPr="00681977">
        <w:rPr>
          <w:rFonts w:ascii="Arial" w:hAnsi="Arial" w:cs="Arial"/>
          <w:sz w:val="20"/>
          <w:szCs w:val="20"/>
        </w:rPr>
        <w:t xml:space="preserve">, and </w:t>
      </w:r>
      <w:proofErr w:type="spellStart"/>
      <w:r w:rsidRPr="00681977">
        <w:rPr>
          <w:rFonts w:ascii="Arial" w:hAnsi="Arial" w:cs="Arial"/>
          <w:sz w:val="20"/>
          <w:szCs w:val="20"/>
        </w:rPr>
        <w:t>Bărbăcioru</w:t>
      </w:r>
      <w:proofErr w:type="spellEnd"/>
      <w:r w:rsidRPr="00681977">
        <w:rPr>
          <w:rFonts w:ascii="Arial" w:hAnsi="Arial" w:cs="Arial"/>
          <w:sz w:val="20"/>
          <w:szCs w:val="20"/>
        </w:rPr>
        <w:t xml:space="preserve"> (2025) has offered more support in favour of this idea, stating perceived safety to be the main criterion for tourists making decisions for travelling after a crisis in Thailand, regardless of the real level of risk.</w:t>
      </w:r>
    </w:p>
    <w:p w14:paraId="1233B8DF" w14:textId="77777777" w:rsidR="001314F9" w:rsidRPr="00681977" w:rsidRDefault="001314F9" w:rsidP="007B07B4">
      <w:pPr>
        <w:jc w:val="both"/>
        <w:rPr>
          <w:rFonts w:ascii="Arial" w:hAnsi="Arial" w:cs="Arial"/>
          <w:b/>
          <w:bCs/>
        </w:rPr>
      </w:pPr>
      <w:r w:rsidRPr="00681977">
        <w:rPr>
          <w:rFonts w:ascii="Arial" w:hAnsi="Arial" w:cs="Arial"/>
          <w:b/>
          <w:bCs/>
        </w:rPr>
        <w:t>2.4 Role of Risk Maps and Safety Indexes</w:t>
      </w:r>
    </w:p>
    <w:p w14:paraId="62BA1D5C" w14:textId="77777777" w:rsidR="009D094E" w:rsidRPr="00681977" w:rsidRDefault="009D094E" w:rsidP="009D094E">
      <w:pPr>
        <w:jc w:val="both"/>
        <w:rPr>
          <w:rFonts w:ascii="Arial" w:hAnsi="Arial" w:cs="Arial"/>
          <w:sz w:val="20"/>
          <w:szCs w:val="20"/>
        </w:rPr>
      </w:pPr>
      <w:r w:rsidRPr="00681977">
        <w:rPr>
          <w:rFonts w:ascii="Arial" w:hAnsi="Arial" w:cs="Arial"/>
          <w:sz w:val="20"/>
          <w:szCs w:val="20"/>
        </w:rPr>
        <w:t>Previously unheard-of, data-driven tools such as real-time risk maps and global safety indexes have revolutionized travels trade as applied to assessing geopolitical instability. The Global Peace Index (Institute for Economics and Peace, 2024) has become a common reference with which nations are compared in terms of safety. Countries with low peace scores tend to see less tourist arrival, even when the levels of physical risk are minimal.</w:t>
      </w:r>
    </w:p>
    <w:p w14:paraId="15ADE0BD" w14:textId="7DEF5C70" w:rsidR="001314F9" w:rsidRPr="00681977" w:rsidRDefault="009D094E" w:rsidP="009D094E">
      <w:pPr>
        <w:jc w:val="both"/>
        <w:rPr>
          <w:rFonts w:ascii="Arial" w:hAnsi="Arial" w:cs="Arial"/>
          <w:sz w:val="20"/>
          <w:szCs w:val="20"/>
        </w:rPr>
      </w:pPr>
      <w:r w:rsidRPr="00681977">
        <w:rPr>
          <w:rFonts w:ascii="Arial" w:hAnsi="Arial" w:cs="Arial"/>
          <w:sz w:val="20"/>
          <w:szCs w:val="20"/>
        </w:rPr>
        <w:t xml:space="preserve">Somehow, the study by </w:t>
      </w:r>
      <w:proofErr w:type="spellStart"/>
      <w:r w:rsidRPr="00681977">
        <w:rPr>
          <w:rFonts w:ascii="Arial" w:hAnsi="Arial" w:cs="Arial"/>
          <w:sz w:val="20"/>
          <w:szCs w:val="20"/>
        </w:rPr>
        <w:t>Diakonidze</w:t>
      </w:r>
      <w:proofErr w:type="spellEnd"/>
      <w:r w:rsidRPr="00681977">
        <w:rPr>
          <w:rFonts w:ascii="Arial" w:hAnsi="Arial" w:cs="Arial"/>
          <w:sz w:val="20"/>
          <w:szCs w:val="20"/>
        </w:rPr>
        <w:t xml:space="preserve"> (2024) goes further by applying SARF to tourist behaviour. It was found media coverage and institutional warnings greatly amplify the perception of risk, and from this increased perception, behavioural changes occur. Therefore, travellers are not engaging in an independent assessment of risks themselves; rather, there is a mediated structure of alerts, visuals, and official advisories through which they perceive risk.</w:t>
      </w:r>
    </w:p>
    <w:p w14:paraId="4A937545" w14:textId="1C915754" w:rsidR="001314F9" w:rsidRPr="00681977" w:rsidRDefault="001314F9" w:rsidP="007B07B4">
      <w:pPr>
        <w:jc w:val="both"/>
        <w:rPr>
          <w:rFonts w:ascii="Arial" w:hAnsi="Arial" w:cs="Arial"/>
          <w:b/>
          <w:bCs/>
        </w:rPr>
      </w:pPr>
      <w:r w:rsidRPr="00681977">
        <w:rPr>
          <w:rFonts w:ascii="Arial" w:hAnsi="Arial" w:cs="Arial"/>
          <w:b/>
          <w:bCs/>
        </w:rPr>
        <w:t xml:space="preserve">2.5 Adaptive Information-Seeking and </w:t>
      </w:r>
      <w:r w:rsidR="00825F45" w:rsidRPr="00681977">
        <w:rPr>
          <w:rFonts w:ascii="Arial" w:hAnsi="Arial" w:cs="Arial"/>
          <w:b/>
          <w:bCs/>
        </w:rPr>
        <w:t>Traveller</w:t>
      </w:r>
      <w:r w:rsidRPr="00681977">
        <w:rPr>
          <w:rFonts w:ascii="Arial" w:hAnsi="Arial" w:cs="Arial"/>
          <w:b/>
          <w:bCs/>
        </w:rPr>
        <w:t xml:space="preserve"> Resilience</w:t>
      </w:r>
    </w:p>
    <w:p w14:paraId="4ADD201F" w14:textId="77777777" w:rsidR="009D094E" w:rsidRPr="00681977" w:rsidRDefault="009D094E" w:rsidP="007B07B4">
      <w:pPr>
        <w:jc w:val="both"/>
        <w:rPr>
          <w:rFonts w:ascii="Arial" w:hAnsi="Arial" w:cs="Arial"/>
          <w:sz w:val="20"/>
          <w:szCs w:val="20"/>
        </w:rPr>
      </w:pPr>
      <w:r w:rsidRPr="00681977">
        <w:rPr>
          <w:rFonts w:ascii="Arial" w:hAnsi="Arial" w:cs="Arial"/>
          <w:sz w:val="20"/>
          <w:szCs w:val="20"/>
        </w:rPr>
        <w:t xml:space="preserve">Adaptative strategies take the centre stage, with most travellers coping with rising uncertainty, instead of never travelling at all. Zhao and Nguyen (2023) illustrated how persons with prior crisis exposure or </w:t>
      </w:r>
      <w:r w:rsidRPr="00681977">
        <w:rPr>
          <w:rFonts w:ascii="Arial" w:hAnsi="Arial" w:cs="Arial"/>
          <w:sz w:val="20"/>
          <w:szCs w:val="20"/>
        </w:rPr>
        <w:lastRenderedPageBreak/>
        <w:t xml:space="preserve">perhaps higher education levels tend to consult embassies, NGOs, insurance platforms, and alternate sources of information to arrive at their individual travel decisions. </w:t>
      </w:r>
    </w:p>
    <w:p w14:paraId="1CA42345" w14:textId="68A98841" w:rsidR="001314F9" w:rsidRPr="00681977" w:rsidRDefault="009D094E" w:rsidP="007B07B4">
      <w:pPr>
        <w:jc w:val="both"/>
        <w:rPr>
          <w:rFonts w:ascii="Arial" w:hAnsi="Arial" w:cs="Arial"/>
          <w:sz w:val="20"/>
          <w:szCs w:val="20"/>
        </w:rPr>
      </w:pPr>
      <w:r w:rsidRPr="00681977">
        <w:rPr>
          <w:rFonts w:ascii="Arial" w:hAnsi="Arial" w:cs="Arial"/>
          <w:sz w:val="20"/>
          <w:szCs w:val="20"/>
        </w:rPr>
        <w:t>A case study by Sufi et al. (2024) supports this, stating that mental resilience and active information gathering would probably empower travellers with greater confidence to navigate conflict-laden regions. Such travellers provide risk analysis depending on the context, relying on cross-verified information instead of first reactions. These results highlight the crucial role of dexterous digital tools, credible communication, and sample safety messaging within the modern travel ecosystem.</w:t>
      </w:r>
    </w:p>
    <w:p w14:paraId="0E679683" w14:textId="77777777" w:rsidR="00B1112A" w:rsidRPr="00681977" w:rsidRDefault="00B1112A" w:rsidP="007B07B4">
      <w:pPr>
        <w:jc w:val="both"/>
        <w:rPr>
          <w:rFonts w:ascii="Arial" w:hAnsi="Arial" w:cs="Arial"/>
          <w:b/>
          <w:bCs/>
        </w:rPr>
      </w:pPr>
      <w:r w:rsidRPr="00681977">
        <w:rPr>
          <w:rFonts w:ascii="Arial" w:hAnsi="Arial" w:cs="Arial"/>
          <w:b/>
          <w:bCs/>
        </w:rPr>
        <w:t>2.6 Crisis-Driven Tourism and Dark Tourism</w:t>
      </w:r>
    </w:p>
    <w:p w14:paraId="4E9A91AC" w14:textId="77777777" w:rsidR="005078BC" w:rsidRDefault="009D094E" w:rsidP="007B07B4">
      <w:pPr>
        <w:jc w:val="both"/>
        <w:rPr>
          <w:rFonts w:ascii="Arial" w:hAnsi="Arial" w:cs="Arial"/>
          <w:sz w:val="20"/>
          <w:szCs w:val="20"/>
        </w:rPr>
      </w:pPr>
      <w:r w:rsidRPr="00681977">
        <w:rPr>
          <w:rFonts w:ascii="Arial" w:hAnsi="Arial" w:cs="Arial"/>
          <w:sz w:val="20"/>
          <w:szCs w:val="20"/>
        </w:rPr>
        <w:t xml:space="preserve">In all of the world's tumultuous regions, regular tourists tend to avoid the conflict-affected areas while a small but growing segment seeks to experience politically unstable areas. Conflict zone tourism thus presents a new frontier for negating traditional avoidance models. When considering </w:t>
      </w:r>
      <w:r w:rsidR="00ED6954" w:rsidRPr="00681977">
        <w:rPr>
          <w:rFonts w:ascii="Arial" w:hAnsi="Arial" w:cs="Arial"/>
          <w:sz w:val="20"/>
          <w:szCs w:val="20"/>
        </w:rPr>
        <w:t>behaviour</w:t>
      </w:r>
      <w:r w:rsidRPr="00681977">
        <w:rPr>
          <w:rFonts w:ascii="Arial" w:hAnsi="Arial" w:cs="Arial"/>
          <w:sz w:val="20"/>
          <w:szCs w:val="20"/>
        </w:rPr>
        <w:t xml:space="preserve"> as a matter of experiential consumption on danger, </w:t>
      </w:r>
      <w:proofErr w:type="spellStart"/>
      <w:r w:rsidRPr="00681977">
        <w:rPr>
          <w:rFonts w:ascii="Arial" w:hAnsi="Arial" w:cs="Arial"/>
          <w:sz w:val="20"/>
          <w:szCs w:val="20"/>
        </w:rPr>
        <w:t>historics</w:t>
      </w:r>
      <w:proofErr w:type="spellEnd"/>
      <w:r w:rsidRPr="00681977">
        <w:rPr>
          <w:rFonts w:ascii="Arial" w:hAnsi="Arial" w:cs="Arial"/>
          <w:sz w:val="20"/>
          <w:szCs w:val="20"/>
        </w:rPr>
        <w:t xml:space="preserve">, and geopolitics, Cruz Costa Alves et al. (2025) discovered that some tourists happen to be drawn to conflict zones out of curiosity, the need for genuine experiences, or even personal choice in the matter. </w:t>
      </w:r>
    </w:p>
    <w:p w14:paraId="77003384" w14:textId="0765271F" w:rsidR="00B1112A" w:rsidRPr="00681977" w:rsidRDefault="009D094E" w:rsidP="007B07B4">
      <w:pPr>
        <w:jc w:val="both"/>
        <w:rPr>
          <w:rFonts w:ascii="Arial" w:hAnsi="Arial" w:cs="Arial"/>
          <w:sz w:val="20"/>
          <w:szCs w:val="20"/>
        </w:rPr>
      </w:pPr>
      <w:r w:rsidRPr="00681977">
        <w:rPr>
          <w:rFonts w:ascii="Arial" w:hAnsi="Arial" w:cs="Arial"/>
          <w:sz w:val="20"/>
          <w:szCs w:val="20"/>
        </w:rPr>
        <w:t xml:space="preserve">It is by no means an irrational reaction; tourists preserving their visits to these high-risk locales often exhibit keen psychological resilience and engage in active information-seeking </w:t>
      </w:r>
      <w:r w:rsidR="00ED6954" w:rsidRPr="00681977">
        <w:rPr>
          <w:rFonts w:ascii="Arial" w:hAnsi="Arial" w:cs="Arial"/>
          <w:sz w:val="20"/>
          <w:szCs w:val="20"/>
        </w:rPr>
        <w:t>behaviour</w:t>
      </w:r>
      <w:r w:rsidRPr="00681977">
        <w:rPr>
          <w:rFonts w:ascii="Arial" w:hAnsi="Arial" w:cs="Arial"/>
          <w:sz w:val="20"/>
          <w:szCs w:val="20"/>
        </w:rPr>
        <w:t>, per Sufi et al. (2024</w:t>
      </w:r>
      <w:r w:rsidR="0018676D" w:rsidRPr="00681977">
        <w:rPr>
          <w:rFonts w:ascii="Arial" w:hAnsi="Arial" w:cs="Arial"/>
          <w:sz w:val="20"/>
          <w:szCs w:val="20"/>
        </w:rPr>
        <w:t>). These</w:t>
      </w:r>
      <w:r w:rsidRPr="00681977">
        <w:rPr>
          <w:rFonts w:ascii="Arial" w:hAnsi="Arial" w:cs="Arial"/>
          <w:sz w:val="20"/>
          <w:szCs w:val="20"/>
        </w:rPr>
        <w:t xml:space="preserve"> </w:t>
      </w:r>
      <w:r w:rsidR="0018676D" w:rsidRPr="00681977">
        <w:rPr>
          <w:rFonts w:ascii="Arial" w:hAnsi="Arial" w:cs="Arial"/>
          <w:sz w:val="20"/>
          <w:szCs w:val="20"/>
        </w:rPr>
        <w:t>are not</w:t>
      </w:r>
      <w:r w:rsidRPr="00681977">
        <w:rPr>
          <w:rFonts w:ascii="Arial" w:hAnsi="Arial" w:cs="Arial"/>
          <w:sz w:val="20"/>
          <w:szCs w:val="20"/>
        </w:rPr>
        <w:t xml:space="preserve"> your run-of-the-mill adrenaline junkies. Instead, they make decisions that are calculated and weighted against travel advisory information updated by authorities, their own values, and confidence in local safety mechanisms (Reed, 2025; Czermak &amp; Vogler, 2025).</w:t>
      </w:r>
    </w:p>
    <w:p w14:paraId="5DC53F92" w14:textId="77777777" w:rsidR="00B1112A" w:rsidRPr="00681977" w:rsidRDefault="00B1112A" w:rsidP="007B07B4">
      <w:pPr>
        <w:jc w:val="both"/>
        <w:rPr>
          <w:rFonts w:ascii="Arial" w:hAnsi="Arial" w:cs="Arial"/>
          <w:b/>
          <w:bCs/>
        </w:rPr>
      </w:pPr>
      <w:r w:rsidRPr="00681977">
        <w:rPr>
          <w:rFonts w:ascii="Arial" w:hAnsi="Arial" w:cs="Arial"/>
          <w:b/>
          <w:bCs/>
        </w:rPr>
        <w:t>2.7 Geopolitical Risk, Sustainable Development, and Resilience</w:t>
      </w:r>
    </w:p>
    <w:p w14:paraId="3BDB8380" w14:textId="77777777" w:rsidR="005078BC" w:rsidRDefault="00DC7175" w:rsidP="007B07B4">
      <w:pPr>
        <w:jc w:val="both"/>
        <w:rPr>
          <w:rFonts w:ascii="Arial" w:hAnsi="Arial" w:cs="Arial"/>
          <w:sz w:val="20"/>
          <w:szCs w:val="20"/>
        </w:rPr>
      </w:pPr>
      <w:r w:rsidRPr="00681977">
        <w:rPr>
          <w:rFonts w:ascii="Arial" w:hAnsi="Arial" w:cs="Arial"/>
          <w:sz w:val="20"/>
          <w:szCs w:val="20"/>
        </w:rPr>
        <w:t>Geopolitical instability has long-term consequences for the sustainable development of tourism systems. Destinations beset with recurring episodes of political turmoil often undergo stalled infrastructure projects, disincentives to foreign investment, and blockages toward community participation (</w:t>
      </w:r>
      <w:proofErr w:type="spellStart"/>
      <w:r w:rsidRPr="00681977">
        <w:rPr>
          <w:rFonts w:ascii="Arial" w:hAnsi="Arial" w:cs="Arial"/>
          <w:sz w:val="20"/>
          <w:szCs w:val="20"/>
        </w:rPr>
        <w:t>Tunççu</w:t>
      </w:r>
      <w:proofErr w:type="spellEnd"/>
      <w:r w:rsidRPr="00681977">
        <w:rPr>
          <w:rFonts w:ascii="Arial" w:hAnsi="Arial" w:cs="Arial"/>
          <w:sz w:val="20"/>
          <w:szCs w:val="20"/>
        </w:rPr>
        <w:t xml:space="preserve">, 2023). Above-mentioned structural barriers hence act against the proper implementation of sustainable tourism strategies, especially within the turbulence of conflict. </w:t>
      </w:r>
      <w:r w:rsidRPr="00681977">
        <w:rPr>
          <w:rFonts w:ascii="Arial" w:hAnsi="Arial" w:cs="Arial"/>
          <w:sz w:val="20"/>
          <w:szCs w:val="20"/>
        </w:rPr>
        <w:br/>
        <w:t xml:space="preserve">Cooper and Hall (2024) stress the importance of tourism planning informed by geopolitics. Their work posits that sustainable tourism cannot exist in isolation from the geopolitical environment and that there must be flexible policies, coordination between stakeholders, and risk mitigation mechanisms embedded within it. Through social globalization, an instrument wrongly termed by the tourist being softer than his malevolent counterpart, </w:t>
      </w:r>
      <w:proofErr w:type="spellStart"/>
      <w:r w:rsidRPr="00681977">
        <w:rPr>
          <w:rFonts w:ascii="Arial" w:hAnsi="Arial" w:cs="Arial"/>
          <w:sz w:val="20"/>
          <w:szCs w:val="20"/>
        </w:rPr>
        <w:t>signaling</w:t>
      </w:r>
      <w:proofErr w:type="spellEnd"/>
      <w:r w:rsidRPr="00681977">
        <w:rPr>
          <w:rFonts w:ascii="Arial" w:hAnsi="Arial" w:cs="Arial"/>
          <w:sz w:val="20"/>
          <w:szCs w:val="20"/>
        </w:rPr>
        <w:t xml:space="preserve"> a cushioning effect against political volatility that may help preserve destination visibility and </w:t>
      </w:r>
      <w:r w:rsidR="00ED6954" w:rsidRPr="00681977">
        <w:rPr>
          <w:rFonts w:ascii="Arial" w:hAnsi="Arial" w:cs="Arial"/>
          <w:sz w:val="20"/>
          <w:szCs w:val="20"/>
        </w:rPr>
        <w:t>traveller</w:t>
      </w:r>
      <w:r w:rsidRPr="00681977">
        <w:rPr>
          <w:rFonts w:ascii="Arial" w:hAnsi="Arial" w:cs="Arial"/>
          <w:sz w:val="20"/>
          <w:szCs w:val="20"/>
        </w:rPr>
        <w:t xml:space="preserve"> engagement via education, diasporic connections, and digital global interconnectivity. </w:t>
      </w:r>
    </w:p>
    <w:p w14:paraId="2F1C473F" w14:textId="44F9BD2F" w:rsidR="00B1112A" w:rsidRPr="00681977" w:rsidRDefault="00DC7175" w:rsidP="007B07B4">
      <w:pPr>
        <w:jc w:val="both"/>
        <w:rPr>
          <w:rFonts w:ascii="Arial" w:hAnsi="Arial" w:cs="Arial"/>
          <w:sz w:val="20"/>
          <w:szCs w:val="20"/>
        </w:rPr>
      </w:pPr>
      <w:r w:rsidRPr="00681977">
        <w:rPr>
          <w:rFonts w:ascii="Arial" w:hAnsi="Arial" w:cs="Arial"/>
          <w:sz w:val="20"/>
          <w:szCs w:val="20"/>
        </w:rPr>
        <w:t xml:space="preserve">In the same vein, Andrades et al. (2024) opine that tourism resilience ought to be integrated within disaster risk management systems. They assert, with a global study of tourism responses to crises, that coalesced local responses, infrastructure </w:t>
      </w:r>
      <w:r w:rsidR="00ED6954" w:rsidRPr="00681977">
        <w:rPr>
          <w:rFonts w:ascii="Arial" w:hAnsi="Arial" w:cs="Arial"/>
          <w:sz w:val="20"/>
          <w:szCs w:val="20"/>
        </w:rPr>
        <w:t>modelling</w:t>
      </w:r>
      <w:r w:rsidRPr="00681977">
        <w:rPr>
          <w:rFonts w:ascii="Arial" w:hAnsi="Arial" w:cs="Arial"/>
          <w:sz w:val="20"/>
          <w:szCs w:val="20"/>
        </w:rPr>
        <w:t xml:space="preserve"> with adaptive capacity, and foresight governance constitute the prime ingredients for recovery and sustainable liveability against geopolitical instability.</w:t>
      </w:r>
    </w:p>
    <w:p w14:paraId="6AE6198B" w14:textId="77777777" w:rsidR="00B1112A" w:rsidRPr="00681977" w:rsidRDefault="00B1112A" w:rsidP="007B07B4">
      <w:pPr>
        <w:jc w:val="both"/>
        <w:rPr>
          <w:rFonts w:ascii="Arial" w:hAnsi="Arial" w:cs="Arial"/>
          <w:b/>
          <w:bCs/>
        </w:rPr>
      </w:pPr>
      <w:r w:rsidRPr="00681977">
        <w:rPr>
          <w:rFonts w:ascii="Arial" w:hAnsi="Arial" w:cs="Arial"/>
          <w:b/>
          <w:bCs/>
        </w:rPr>
        <w:t>2.8 Theoretical Perspectives</w:t>
      </w:r>
    </w:p>
    <w:p w14:paraId="45D87686" w14:textId="77777777" w:rsidR="0079552B" w:rsidRPr="00681977" w:rsidRDefault="009D139E" w:rsidP="007B07B4">
      <w:pPr>
        <w:jc w:val="both"/>
        <w:rPr>
          <w:rFonts w:ascii="Arial" w:hAnsi="Arial" w:cs="Arial"/>
          <w:sz w:val="20"/>
          <w:szCs w:val="20"/>
        </w:rPr>
      </w:pPr>
      <w:r w:rsidRPr="00681977">
        <w:rPr>
          <w:rFonts w:ascii="Arial" w:hAnsi="Arial" w:cs="Arial"/>
          <w:sz w:val="20"/>
          <w:szCs w:val="20"/>
        </w:rPr>
        <w:t xml:space="preserve">The way tourists react towards a geopolitical crisis will hence be established upon the risk perception and processing paradigm. Risk Perception Theory proposes that depending on media propagated information, prior conception, triggers, emotions, etc., every risk can be perceived subjectively by individuals. Should an incident be considered minor by one group, a fuss may be thrown by social or institutional channels, and enormous reactions may occur (Najar &amp; Rather, 2023). </w:t>
      </w:r>
    </w:p>
    <w:p w14:paraId="4E65229F" w14:textId="010D94F2" w:rsidR="0079552B" w:rsidRPr="00681977" w:rsidRDefault="009D139E" w:rsidP="007B07B4">
      <w:pPr>
        <w:jc w:val="both"/>
        <w:rPr>
          <w:rFonts w:ascii="Arial" w:hAnsi="Arial" w:cs="Arial"/>
          <w:sz w:val="20"/>
          <w:szCs w:val="20"/>
        </w:rPr>
      </w:pPr>
      <w:r w:rsidRPr="00681977">
        <w:rPr>
          <w:rFonts w:ascii="Arial" w:hAnsi="Arial" w:cs="Arial"/>
          <w:sz w:val="20"/>
          <w:szCs w:val="20"/>
        </w:rPr>
        <w:t xml:space="preserve">Weighing the </w:t>
      </w:r>
      <w:r w:rsidR="0079552B" w:rsidRPr="00681977">
        <w:rPr>
          <w:rFonts w:ascii="Arial" w:hAnsi="Arial" w:cs="Arial"/>
          <w:sz w:val="20"/>
          <w:szCs w:val="20"/>
        </w:rPr>
        <w:t>assumption</w:t>
      </w:r>
      <w:r w:rsidRPr="00681977">
        <w:rPr>
          <w:rFonts w:ascii="Arial" w:hAnsi="Arial" w:cs="Arial"/>
          <w:sz w:val="20"/>
          <w:szCs w:val="20"/>
        </w:rPr>
        <w:t xml:space="preserve"> fits the Social Amplification of Risk Framework (SARF), which delineates mechanisms through which risk information might be filtered, amplified, or attenuated through the operations of various communication networks. Sufi et al. (2024) reported that high-risk tourists heavily depend on multiple-source validation that encompasses embassy updates, local news, and peer communications to judge actual risk. Unlike in cases of other risks, these tourists are not passive but active agents in interpreting and counteracting geopolitical instability.</w:t>
      </w:r>
    </w:p>
    <w:p w14:paraId="287C2DFE" w14:textId="08054CEF" w:rsidR="005541C0" w:rsidRPr="00681977" w:rsidRDefault="009D139E" w:rsidP="007B07B4">
      <w:pPr>
        <w:jc w:val="both"/>
        <w:rPr>
          <w:rFonts w:ascii="Arial" w:hAnsi="Arial" w:cs="Arial"/>
          <w:sz w:val="20"/>
          <w:szCs w:val="20"/>
        </w:rPr>
      </w:pPr>
      <w:r w:rsidRPr="00681977">
        <w:rPr>
          <w:rFonts w:ascii="Arial" w:hAnsi="Arial" w:cs="Arial"/>
          <w:sz w:val="20"/>
          <w:szCs w:val="20"/>
        </w:rPr>
        <w:lastRenderedPageBreak/>
        <w:t>Interwoven, the two theoretical lenses explain wide individual variations in risk perception among tourists and thus underline the significance of communication and psychological preparedness in tourism management.</w:t>
      </w:r>
    </w:p>
    <w:p w14:paraId="5584E41D" w14:textId="35AE132F" w:rsidR="005541C0" w:rsidRPr="00681977" w:rsidRDefault="00681977" w:rsidP="007B07B4">
      <w:pPr>
        <w:jc w:val="both"/>
        <w:rPr>
          <w:rFonts w:ascii="Arial" w:hAnsi="Arial" w:cs="Arial"/>
          <w:b/>
          <w:bCs/>
        </w:rPr>
      </w:pPr>
      <w:r w:rsidRPr="00681977">
        <w:rPr>
          <w:rFonts w:ascii="Arial" w:hAnsi="Arial" w:cs="Arial"/>
          <w:b/>
          <w:bCs/>
        </w:rPr>
        <w:t>3. CONCEPTUAL FRAMEWORK AND HYPOTHESES</w:t>
      </w:r>
    </w:p>
    <w:p w14:paraId="662FFF07" w14:textId="77777777" w:rsidR="005541C0" w:rsidRPr="00681977" w:rsidRDefault="005541C0" w:rsidP="007B07B4">
      <w:pPr>
        <w:jc w:val="both"/>
        <w:rPr>
          <w:rFonts w:ascii="Arial" w:hAnsi="Arial" w:cs="Arial"/>
          <w:b/>
          <w:bCs/>
        </w:rPr>
      </w:pPr>
      <w:r w:rsidRPr="00681977">
        <w:rPr>
          <w:rFonts w:ascii="Arial" w:hAnsi="Arial" w:cs="Arial"/>
          <w:b/>
          <w:bCs/>
        </w:rPr>
        <w:t>3.1 Conceptual Overview</w:t>
      </w:r>
    </w:p>
    <w:p w14:paraId="4DAF5B55" w14:textId="4E43495A" w:rsidR="0079552B" w:rsidRPr="00681977" w:rsidRDefault="0079552B" w:rsidP="0079552B">
      <w:pPr>
        <w:jc w:val="both"/>
        <w:rPr>
          <w:rFonts w:ascii="Arial" w:hAnsi="Arial" w:cs="Arial"/>
          <w:sz w:val="20"/>
          <w:szCs w:val="20"/>
        </w:rPr>
      </w:pPr>
      <w:r w:rsidRPr="00681977">
        <w:rPr>
          <w:rFonts w:ascii="Arial" w:hAnsi="Arial" w:cs="Arial"/>
          <w:sz w:val="20"/>
          <w:szCs w:val="20"/>
        </w:rPr>
        <w:t>The geopolitical crises and the perceived and adapted risk-taking behaviour are the key focal points of this study. Rooted in Risk Perception Theory and the Social Amplification of Risk Framework (SARF), the model proposes that the geopolitical disruptions (e.g. conflict, sanctions, or terrorism threats) cause an elevation in the perception of risk by the potential tourists, who then translate it into an intention to travel. By means of adaptive behaviour, such as consulting embassies, reviewing risk maps, or browsing insurance platforms, travellers can moderate the relationship between perceived risk and the intention to travel.</w:t>
      </w:r>
    </w:p>
    <w:p w14:paraId="6870C138" w14:textId="5B4F9CCD" w:rsidR="005541C0" w:rsidRPr="00681977" w:rsidRDefault="0079552B" w:rsidP="0079552B">
      <w:pPr>
        <w:jc w:val="both"/>
        <w:rPr>
          <w:rFonts w:ascii="Arial" w:hAnsi="Arial" w:cs="Arial"/>
          <w:sz w:val="20"/>
          <w:szCs w:val="20"/>
        </w:rPr>
      </w:pPr>
      <w:r w:rsidRPr="00681977">
        <w:rPr>
          <w:rFonts w:ascii="Arial" w:hAnsi="Arial" w:cs="Arial"/>
          <w:sz w:val="20"/>
          <w:szCs w:val="20"/>
        </w:rPr>
        <w:t>The proposed model is constructed around four constructs: Geopolitical Disruption as the independent construct, Perceived Travel Risk associated mediating construct, Travel Intention as the dependent construct, and Adaptive Information-seeking as the moderating construct.</w:t>
      </w:r>
    </w:p>
    <w:p w14:paraId="48B17D5A" w14:textId="77777777" w:rsidR="005541C0" w:rsidRDefault="005541C0" w:rsidP="007B07B4">
      <w:pPr>
        <w:jc w:val="both"/>
        <w:rPr>
          <w:rFonts w:ascii="Arial" w:hAnsi="Arial" w:cs="Arial"/>
          <w:b/>
          <w:bCs/>
        </w:rPr>
      </w:pPr>
      <w:r w:rsidRPr="00681977">
        <w:rPr>
          <w:rFonts w:ascii="Arial" w:hAnsi="Arial" w:cs="Arial"/>
          <w:b/>
          <w:bCs/>
        </w:rPr>
        <w:t>3.2 Visual Representation of the Conceptual Framework</w:t>
      </w:r>
    </w:p>
    <w:p w14:paraId="58ACC512" w14:textId="77777777" w:rsidR="00942D01" w:rsidRPr="00681977" w:rsidRDefault="00942D01" w:rsidP="007B07B4">
      <w:pPr>
        <w:jc w:val="both"/>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D30AE" w:rsidRPr="00681977" w14:paraId="199FE111" w14:textId="77777777" w:rsidTr="00FD30AE">
        <w:tc>
          <w:tcPr>
            <w:tcW w:w="9016" w:type="dxa"/>
          </w:tcPr>
          <w:p w14:paraId="0F254035" w14:textId="7903C670" w:rsidR="00FD30AE" w:rsidRPr="00681977" w:rsidRDefault="00836823" w:rsidP="007B07B4">
            <w:pPr>
              <w:jc w:val="both"/>
              <w:rPr>
                <w:rFonts w:ascii="Arial" w:hAnsi="Arial" w:cs="Arial"/>
                <w:b/>
                <w:bCs/>
                <w:sz w:val="20"/>
                <w:szCs w:val="20"/>
              </w:rPr>
            </w:pPr>
            <w:r w:rsidRPr="00681977">
              <w:rPr>
                <w:rFonts w:ascii="Arial" w:hAnsi="Arial" w:cs="Arial"/>
                <w:noProof/>
                <w:sz w:val="20"/>
                <w:szCs w:val="20"/>
              </w:rPr>
              <w:drawing>
                <wp:inline distT="0" distB="0" distL="0" distR="0" wp14:anchorId="422BD561" wp14:editId="148E4AC0">
                  <wp:extent cx="5518150" cy="1774825"/>
                  <wp:effectExtent l="0" t="0" r="6350" b="0"/>
                  <wp:docPr id="16477440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18150" cy="1774825"/>
                          </a:xfrm>
                          <a:prstGeom prst="rect">
                            <a:avLst/>
                          </a:prstGeom>
                          <a:noFill/>
                          <a:ln>
                            <a:noFill/>
                          </a:ln>
                        </pic:spPr>
                      </pic:pic>
                    </a:graphicData>
                  </a:graphic>
                </wp:inline>
              </w:drawing>
            </w:r>
          </w:p>
          <w:p w14:paraId="0F28570A" w14:textId="08C43D94" w:rsidR="00226744" w:rsidRPr="00681977" w:rsidRDefault="00226744" w:rsidP="007B07B4">
            <w:pPr>
              <w:jc w:val="both"/>
              <w:rPr>
                <w:rFonts w:ascii="Arial" w:hAnsi="Arial" w:cs="Arial"/>
                <w:b/>
                <w:bCs/>
                <w:sz w:val="20"/>
                <w:szCs w:val="20"/>
              </w:rPr>
            </w:pPr>
          </w:p>
        </w:tc>
      </w:tr>
      <w:tr w:rsidR="00942D01" w:rsidRPr="00681977" w14:paraId="3C060F64" w14:textId="77777777" w:rsidTr="00FD30AE">
        <w:tc>
          <w:tcPr>
            <w:tcW w:w="9016" w:type="dxa"/>
          </w:tcPr>
          <w:p w14:paraId="6542F4DC" w14:textId="77777777" w:rsidR="00942D01" w:rsidRDefault="00942D01" w:rsidP="00942D01">
            <w:pPr>
              <w:jc w:val="both"/>
              <w:rPr>
                <w:rFonts w:ascii="Arial" w:hAnsi="Arial" w:cs="Arial"/>
                <w:b/>
                <w:bCs/>
                <w:sz w:val="20"/>
                <w:szCs w:val="20"/>
              </w:rPr>
            </w:pPr>
          </w:p>
          <w:p w14:paraId="752F11E9" w14:textId="53FB2839" w:rsidR="00942D01" w:rsidRPr="00681977" w:rsidRDefault="00942D01" w:rsidP="00942D01">
            <w:pPr>
              <w:jc w:val="both"/>
              <w:rPr>
                <w:rFonts w:ascii="Arial" w:hAnsi="Arial" w:cs="Arial"/>
                <w:i/>
                <w:iCs/>
                <w:sz w:val="20"/>
                <w:szCs w:val="20"/>
              </w:rPr>
            </w:pPr>
            <w:r w:rsidRPr="00681977">
              <w:rPr>
                <w:rFonts w:ascii="Arial" w:hAnsi="Arial" w:cs="Arial"/>
                <w:b/>
                <w:bCs/>
                <w:sz w:val="20"/>
                <w:szCs w:val="20"/>
              </w:rPr>
              <w:t>Fig</w:t>
            </w:r>
            <w:r>
              <w:rPr>
                <w:rFonts w:ascii="Arial" w:hAnsi="Arial" w:cs="Arial"/>
                <w:b/>
                <w:bCs/>
                <w:sz w:val="20"/>
                <w:szCs w:val="20"/>
              </w:rPr>
              <w:t>.</w:t>
            </w:r>
            <w:r w:rsidRPr="00681977">
              <w:rPr>
                <w:rFonts w:ascii="Arial" w:hAnsi="Arial" w:cs="Arial"/>
                <w:b/>
                <w:bCs/>
                <w:sz w:val="20"/>
                <w:szCs w:val="20"/>
              </w:rPr>
              <w:t xml:space="preserve"> 1</w:t>
            </w:r>
            <w:r>
              <w:rPr>
                <w:rFonts w:ascii="Arial" w:hAnsi="Arial" w:cs="Arial"/>
                <w:b/>
                <w:bCs/>
                <w:sz w:val="20"/>
                <w:szCs w:val="20"/>
              </w:rPr>
              <w:t xml:space="preserve">. </w:t>
            </w:r>
            <w:r w:rsidRPr="00681977">
              <w:rPr>
                <w:rFonts w:ascii="Arial" w:hAnsi="Arial" w:cs="Arial"/>
                <w:i/>
                <w:iCs/>
                <w:sz w:val="20"/>
                <w:szCs w:val="20"/>
              </w:rPr>
              <w:t>Conceptual Framework</w:t>
            </w:r>
          </w:p>
          <w:p w14:paraId="635481D7" w14:textId="77777777" w:rsidR="00942D01" w:rsidRPr="00681977" w:rsidRDefault="00942D01" w:rsidP="007B07B4">
            <w:pPr>
              <w:jc w:val="both"/>
              <w:rPr>
                <w:rFonts w:ascii="Arial" w:hAnsi="Arial" w:cs="Arial"/>
                <w:noProof/>
                <w:sz w:val="20"/>
                <w:szCs w:val="20"/>
              </w:rPr>
            </w:pPr>
          </w:p>
        </w:tc>
      </w:tr>
    </w:tbl>
    <w:p w14:paraId="0C8C97FC" w14:textId="1B9DF9C0" w:rsidR="005541C0" w:rsidRPr="00681977" w:rsidRDefault="005541C0" w:rsidP="007B07B4">
      <w:pPr>
        <w:jc w:val="both"/>
        <w:rPr>
          <w:rFonts w:ascii="Arial" w:hAnsi="Arial" w:cs="Arial"/>
          <w:b/>
          <w:bCs/>
        </w:rPr>
      </w:pPr>
      <w:r w:rsidRPr="00681977">
        <w:rPr>
          <w:rFonts w:ascii="Arial" w:hAnsi="Arial" w:cs="Arial"/>
          <w:b/>
          <w:bCs/>
        </w:rPr>
        <w:t>3.3 Hypotheses Development</w:t>
      </w:r>
    </w:p>
    <w:p w14:paraId="29B4B560" w14:textId="3CCBCAF8" w:rsidR="002763C9" w:rsidRPr="00681977" w:rsidRDefault="002763C9" w:rsidP="007B07B4">
      <w:pPr>
        <w:jc w:val="both"/>
        <w:rPr>
          <w:rFonts w:ascii="Arial" w:hAnsi="Arial" w:cs="Arial"/>
          <w:sz w:val="20"/>
          <w:szCs w:val="20"/>
        </w:rPr>
      </w:pPr>
      <w:r w:rsidRPr="00681977">
        <w:rPr>
          <w:rFonts w:ascii="Arial" w:hAnsi="Arial" w:cs="Arial"/>
          <w:b/>
          <w:bCs/>
          <w:sz w:val="20"/>
          <w:szCs w:val="20"/>
        </w:rPr>
        <w:t>H1: Geopolitical crises exert a positive-one-way effect on tourists' perception of travel risk.</w:t>
      </w:r>
      <w:r w:rsidRPr="00681977">
        <w:rPr>
          <w:rFonts w:ascii="Arial" w:hAnsi="Arial" w:cs="Arial"/>
          <w:sz w:val="20"/>
          <w:szCs w:val="20"/>
        </w:rPr>
        <w:t xml:space="preserve"> This hypothesis has been developed based on prior empirical evidence; conflicts, diplomatic disagreements, and travel warnings intensify the perception of risk from the view of </w:t>
      </w:r>
      <w:r w:rsidR="00ED6954" w:rsidRPr="00681977">
        <w:rPr>
          <w:rFonts w:ascii="Arial" w:hAnsi="Arial" w:cs="Arial"/>
          <w:sz w:val="20"/>
          <w:szCs w:val="20"/>
        </w:rPr>
        <w:t>traveller</w:t>
      </w:r>
      <w:r w:rsidRPr="00681977">
        <w:rPr>
          <w:rFonts w:ascii="Arial" w:hAnsi="Arial" w:cs="Arial"/>
          <w:sz w:val="20"/>
          <w:szCs w:val="20"/>
        </w:rPr>
        <w:t>s (</w:t>
      </w:r>
      <w:proofErr w:type="spellStart"/>
      <w:r w:rsidRPr="00681977">
        <w:rPr>
          <w:rFonts w:ascii="Arial" w:hAnsi="Arial" w:cs="Arial"/>
          <w:sz w:val="20"/>
          <w:szCs w:val="20"/>
        </w:rPr>
        <w:t>Tunççu</w:t>
      </w:r>
      <w:proofErr w:type="spellEnd"/>
      <w:r w:rsidRPr="00681977">
        <w:rPr>
          <w:rFonts w:ascii="Arial" w:hAnsi="Arial" w:cs="Arial"/>
          <w:sz w:val="20"/>
          <w:szCs w:val="20"/>
        </w:rPr>
        <w:t>, 2023; Cruz Costa Alves et al., 2025).</w:t>
      </w:r>
    </w:p>
    <w:p w14:paraId="4B0B5354" w14:textId="77777777" w:rsidR="002763C9" w:rsidRPr="00681977" w:rsidRDefault="002763C9" w:rsidP="007B07B4">
      <w:pPr>
        <w:jc w:val="both"/>
        <w:rPr>
          <w:rFonts w:ascii="Arial" w:hAnsi="Arial" w:cs="Arial"/>
          <w:sz w:val="20"/>
          <w:szCs w:val="20"/>
        </w:rPr>
      </w:pPr>
      <w:r w:rsidRPr="00681977">
        <w:rPr>
          <w:rFonts w:ascii="Arial" w:hAnsi="Arial" w:cs="Arial"/>
          <w:b/>
          <w:bCs/>
          <w:sz w:val="20"/>
          <w:szCs w:val="20"/>
        </w:rPr>
        <w:t>H2: Perceived travel risk has a significant negative effect on tourists' intention to travel.</w:t>
      </w:r>
      <w:r w:rsidRPr="00681977">
        <w:rPr>
          <w:rFonts w:ascii="Arial" w:hAnsi="Arial" w:cs="Arial"/>
          <w:b/>
          <w:bCs/>
          <w:sz w:val="20"/>
          <w:szCs w:val="20"/>
        </w:rPr>
        <w:br/>
      </w:r>
      <w:r w:rsidRPr="00681977">
        <w:rPr>
          <w:rFonts w:ascii="Arial" w:hAnsi="Arial" w:cs="Arial"/>
          <w:sz w:val="20"/>
          <w:szCs w:val="20"/>
        </w:rPr>
        <w:t>Risk Perception Theory, validated by Awais-E-Yazdan et al. (2025), suggests that a higher perception of risk deters travel intentions generated amongst most tourist segments.</w:t>
      </w:r>
    </w:p>
    <w:p w14:paraId="1FA4FB6A" w14:textId="6CCA8AC2" w:rsidR="005541C0" w:rsidRPr="00681977" w:rsidRDefault="002763C9" w:rsidP="007B07B4">
      <w:pPr>
        <w:jc w:val="both"/>
        <w:rPr>
          <w:rFonts w:ascii="Arial" w:hAnsi="Arial" w:cs="Arial"/>
          <w:sz w:val="20"/>
          <w:szCs w:val="20"/>
        </w:rPr>
      </w:pPr>
      <w:r w:rsidRPr="00681977">
        <w:rPr>
          <w:rFonts w:ascii="Arial" w:hAnsi="Arial" w:cs="Arial"/>
          <w:b/>
          <w:bCs/>
          <w:sz w:val="20"/>
          <w:szCs w:val="20"/>
        </w:rPr>
        <w:t>H3: Adaptive information-seeking behaviour moderates the relationship between perceived risk and travel intention such that the negative effect will be less strong for travellers who engage in adaptive behaviour.</w:t>
      </w:r>
      <w:r w:rsidRPr="00681977">
        <w:rPr>
          <w:rFonts w:ascii="Arial" w:hAnsi="Arial" w:cs="Arial"/>
          <w:sz w:val="20"/>
          <w:szCs w:val="20"/>
        </w:rPr>
        <w:t xml:space="preserve"> Traveller-oriented research findings by Sufi et al. (2024) and Zhao and Nguyen (2023) presuppose that in residents who actively engage in seeking information from such authorities as embassies, insurance providers, and risk indexes, such individuals should be able to understand better the magnitude of threat and even proceed with their travel intention irrespective of higher perceived risk.</w:t>
      </w:r>
    </w:p>
    <w:tbl>
      <w:tblPr>
        <w:tblW w:w="5000" w:type="pct"/>
        <w:tblLayout w:type="fixed"/>
        <w:tblLook w:val="04A0" w:firstRow="1" w:lastRow="0" w:firstColumn="1" w:lastColumn="0" w:noHBand="0" w:noVBand="1"/>
      </w:tblPr>
      <w:tblGrid>
        <w:gridCol w:w="1700"/>
        <w:gridCol w:w="7326"/>
      </w:tblGrid>
      <w:tr w:rsidR="009A5344" w:rsidRPr="00681977" w14:paraId="2ECF3329" w14:textId="77777777" w:rsidTr="009A5344">
        <w:trPr>
          <w:trHeight w:val="312"/>
        </w:trPr>
        <w:tc>
          <w:tcPr>
            <w:tcW w:w="5000" w:type="pct"/>
            <w:gridSpan w:val="2"/>
            <w:tcBorders>
              <w:top w:val="nil"/>
              <w:left w:val="nil"/>
              <w:bottom w:val="nil"/>
              <w:right w:val="nil"/>
            </w:tcBorders>
            <w:shd w:val="clear" w:color="auto" w:fill="auto"/>
            <w:noWrap/>
            <w:vAlign w:val="bottom"/>
            <w:hideMark/>
          </w:tcPr>
          <w:p w14:paraId="775C207E" w14:textId="77777777" w:rsidR="007C0535" w:rsidRPr="00681977" w:rsidRDefault="009A5344" w:rsidP="009A5344">
            <w:pPr>
              <w:spacing w:after="0" w:line="240" w:lineRule="auto"/>
              <w:rPr>
                <w:rFonts w:ascii="Arial" w:eastAsia="Times New Roman" w:hAnsi="Arial" w:cs="Arial"/>
                <w:b/>
                <w:bCs/>
                <w:color w:val="000000"/>
                <w:kern w:val="0"/>
                <w:sz w:val="20"/>
                <w:szCs w:val="20"/>
                <w:lang w:eastAsia="en-IN"/>
                <w14:ligatures w14:val="none"/>
              </w:rPr>
            </w:pPr>
            <w:r w:rsidRPr="00681977">
              <w:rPr>
                <w:rFonts w:ascii="Arial" w:eastAsia="Times New Roman" w:hAnsi="Arial" w:cs="Arial"/>
                <w:b/>
                <w:bCs/>
                <w:color w:val="000000"/>
                <w:kern w:val="0"/>
                <w:sz w:val="20"/>
                <w:szCs w:val="20"/>
                <w:lang w:eastAsia="en-IN"/>
                <w14:ligatures w14:val="none"/>
              </w:rPr>
              <w:t xml:space="preserve">Table </w:t>
            </w:r>
            <w:r w:rsidR="00372C45" w:rsidRPr="00681977">
              <w:rPr>
                <w:rFonts w:ascii="Arial" w:eastAsia="Times New Roman" w:hAnsi="Arial" w:cs="Arial"/>
                <w:b/>
                <w:bCs/>
                <w:color w:val="000000"/>
                <w:kern w:val="0"/>
                <w:sz w:val="20"/>
                <w:szCs w:val="20"/>
                <w:lang w:eastAsia="en-IN"/>
                <w14:ligatures w14:val="none"/>
              </w:rPr>
              <w:t>1</w:t>
            </w:r>
          </w:p>
          <w:p w14:paraId="4AAF5653" w14:textId="77777777" w:rsidR="007C0535" w:rsidRPr="00681977" w:rsidRDefault="007C0535" w:rsidP="009A5344">
            <w:pPr>
              <w:spacing w:after="0" w:line="240" w:lineRule="auto"/>
              <w:rPr>
                <w:rFonts w:ascii="Arial" w:eastAsia="Times New Roman" w:hAnsi="Arial" w:cs="Arial"/>
                <w:b/>
                <w:bCs/>
                <w:color w:val="000000"/>
                <w:kern w:val="0"/>
                <w:sz w:val="20"/>
                <w:szCs w:val="20"/>
                <w:lang w:eastAsia="en-IN"/>
                <w14:ligatures w14:val="none"/>
              </w:rPr>
            </w:pPr>
          </w:p>
          <w:p w14:paraId="41FD4AB5" w14:textId="24577850" w:rsidR="009A5344" w:rsidRPr="00681977" w:rsidRDefault="009A5344" w:rsidP="009A5344">
            <w:pPr>
              <w:spacing w:after="0" w:line="240" w:lineRule="auto"/>
              <w:rPr>
                <w:rFonts w:ascii="Arial" w:eastAsia="Times New Roman" w:hAnsi="Arial" w:cs="Arial"/>
                <w:i/>
                <w:iCs/>
                <w:color w:val="000000"/>
                <w:kern w:val="0"/>
                <w:sz w:val="20"/>
                <w:szCs w:val="20"/>
                <w:lang w:eastAsia="en-IN"/>
                <w14:ligatures w14:val="none"/>
              </w:rPr>
            </w:pPr>
            <w:r w:rsidRPr="00681977">
              <w:rPr>
                <w:rFonts w:ascii="Arial" w:eastAsia="Times New Roman" w:hAnsi="Arial" w:cs="Arial"/>
                <w:i/>
                <w:iCs/>
                <w:color w:val="000000"/>
                <w:kern w:val="0"/>
                <w:sz w:val="20"/>
                <w:szCs w:val="20"/>
                <w:lang w:eastAsia="en-IN"/>
                <w14:ligatures w14:val="none"/>
              </w:rPr>
              <w:t>Summary of Hypotheses</w:t>
            </w:r>
          </w:p>
          <w:p w14:paraId="75947F1B" w14:textId="77777777" w:rsidR="007C0535" w:rsidRPr="00681977" w:rsidRDefault="007C0535" w:rsidP="009A5344">
            <w:pPr>
              <w:spacing w:after="0" w:line="240" w:lineRule="auto"/>
              <w:rPr>
                <w:rFonts w:ascii="Arial" w:eastAsia="Times New Roman" w:hAnsi="Arial" w:cs="Arial"/>
                <w:b/>
                <w:bCs/>
                <w:color w:val="000000"/>
                <w:kern w:val="0"/>
                <w:sz w:val="20"/>
                <w:szCs w:val="20"/>
                <w:lang w:eastAsia="en-IN"/>
                <w14:ligatures w14:val="none"/>
              </w:rPr>
            </w:pPr>
          </w:p>
          <w:p w14:paraId="554763DF" w14:textId="77777777" w:rsidR="009A5344" w:rsidRPr="00681977" w:rsidRDefault="009A5344" w:rsidP="009A5344">
            <w:pPr>
              <w:spacing w:after="0" w:line="240" w:lineRule="auto"/>
              <w:rPr>
                <w:rFonts w:ascii="Arial" w:eastAsia="Times New Roman" w:hAnsi="Arial" w:cs="Arial"/>
                <w:color w:val="000000"/>
                <w:kern w:val="0"/>
                <w:sz w:val="20"/>
                <w:szCs w:val="20"/>
                <w:lang w:eastAsia="en-IN"/>
                <w14:ligatures w14:val="none"/>
              </w:rPr>
            </w:pPr>
          </w:p>
        </w:tc>
      </w:tr>
      <w:tr w:rsidR="009A5344" w:rsidRPr="00681977" w14:paraId="35155F57" w14:textId="77777777" w:rsidTr="009A5344">
        <w:trPr>
          <w:trHeight w:val="312"/>
        </w:trPr>
        <w:tc>
          <w:tcPr>
            <w:tcW w:w="942" w:type="pct"/>
            <w:tcBorders>
              <w:top w:val="single" w:sz="4" w:space="0" w:color="auto"/>
              <w:left w:val="nil"/>
              <w:bottom w:val="single" w:sz="4" w:space="0" w:color="auto"/>
              <w:right w:val="nil"/>
            </w:tcBorders>
            <w:shd w:val="clear" w:color="auto" w:fill="auto"/>
            <w:noWrap/>
            <w:vAlign w:val="center"/>
            <w:hideMark/>
          </w:tcPr>
          <w:p w14:paraId="5DEA7ADE" w14:textId="70A478E6" w:rsidR="009A5344" w:rsidRPr="00681977" w:rsidRDefault="009A5344" w:rsidP="002E2181">
            <w:pPr>
              <w:spacing w:after="0" w:line="240" w:lineRule="auto"/>
              <w:rPr>
                <w:rFonts w:ascii="Arial" w:eastAsia="Times New Roman" w:hAnsi="Arial" w:cs="Arial"/>
                <w:b/>
                <w:bCs/>
                <w:color w:val="000000"/>
                <w:kern w:val="0"/>
                <w:sz w:val="20"/>
                <w:szCs w:val="20"/>
                <w:lang w:eastAsia="en-IN"/>
                <w14:ligatures w14:val="none"/>
              </w:rPr>
            </w:pPr>
            <w:r w:rsidRPr="00681977">
              <w:rPr>
                <w:rFonts w:ascii="Arial" w:eastAsia="Times New Roman" w:hAnsi="Arial" w:cs="Arial"/>
                <w:b/>
                <w:bCs/>
                <w:color w:val="000000"/>
                <w:kern w:val="0"/>
                <w:sz w:val="20"/>
                <w:szCs w:val="20"/>
                <w:lang w:eastAsia="en-IN"/>
                <w14:ligatures w14:val="none"/>
              </w:rPr>
              <w:lastRenderedPageBreak/>
              <w:t>Hypothesis Code</w:t>
            </w:r>
          </w:p>
        </w:tc>
        <w:tc>
          <w:tcPr>
            <w:tcW w:w="4058" w:type="pct"/>
            <w:tcBorders>
              <w:top w:val="single" w:sz="4" w:space="0" w:color="auto"/>
              <w:left w:val="nil"/>
              <w:bottom w:val="single" w:sz="4" w:space="0" w:color="auto"/>
              <w:right w:val="nil"/>
            </w:tcBorders>
            <w:shd w:val="clear" w:color="auto" w:fill="auto"/>
            <w:noWrap/>
            <w:vAlign w:val="center"/>
            <w:hideMark/>
          </w:tcPr>
          <w:p w14:paraId="077881BA" w14:textId="77777777" w:rsidR="009A5344" w:rsidRPr="00681977" w:rsidRDefault="009A5344" w:rsidP="009A5344">
            <w:pPr>
              <w:spacing w:after="0" w:line="240" w:lineRule="auto"/>
              <w:jc w:val="both"/>
              <w:rPr>
                <w:rFonts w:ascii="Arial" w:eastAsia="Times New Roman" w:hAnsi="Arial" w:cs="Arial"/>
                <w:b/>
                <w:bCs/>
                <w:color w:val="000000"/>
                <w:kern w:val="0"/>
                <w:sz w:val="20"/>
                <w:szCs w:val="20"/>
                <w:lang w:eastAsia="en-IN"/>
                <w14:ligatures w14:val="none"/>
              </w:rPr>
            </w:pPr>
            <w:r w:rsidRPr="00681977">
              <w:rPr>
                <w:rFonts w:ascii="Arial" w:eastAsia="Times New Roman" w:hAnsi="Arial" w:cs="Arial"/>
                <w:b/>
                <w:bCs/>
                <w:color w:val="000000"/>
                <w:kern w:val="0"/>
                <w:sz w:val="20"/>
                <w:szCs w:val="20"/>
                <w:lang w:eastAsia="en-IN"/>
                <w14:ligatures w14:val="none"/>
              </w:rPr>
              <w:t>Statement</w:t>
            </w:r>
          </w:p>
        </w:tc>
      </w:tr>
      <w:tr w:rsidR="009A5344" w:rsidRPr="00681977" w14:paraId="298BEE9F" w14:textId="77777777" w:rsidTr="009A5344">
        <w:trPr>
          <w:trHeight w:val="312"/>
        </w:trPr>
        <w:tc>
          <w:tcPr>
            <w:tcW w:w="942" w:type="pct"/>
            <w:tcBorders>
              <w:top w:val="nil"/>
              <w:left w:val="nil"/>
              <w:bottom w:val="nil"/>
              <w:right w:val="nil"/>
            </w:tcBorders>
            <w:shd w:val="clear" w:color="auto" w:fill="auto"/>
            <w:noWrap/>
            <w:vAlign w:val="center"/>
            <w:hideMark/>
          </w:tcPr>
          <w:p w14:paraId="0FF74AE0" w14:textId="77777777" w:rsidR="009A5344" w:rsidRPr="00681977" w:rsidRDefault="009A5344" w:rsidP="0002799A">
            <w:pPr>
              <w:spacing w:line="240" w:lineRule="auto"/>
              <w:jc w:val="center"/>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H1</w:t>
            </w:r>
          </w:p>
        </w:tc>
        <w:tc>
          <w:tcPr>
            <w:tcW w:w="4058" w:type="pct"/>
            <w:tcBorders>
              <w:top w:val="nil"/>
              <w:left w:val="nil"/>
              <w:bottom w:val="nil"/>
              <w:right w:val="nil"/>
            </w:tcBorders>
            <w:shd w:val="clear" w:color="auto" w:fill="auto"/>
            <w:noWrap/>
            <w:vAlign w:val="center"/>
            <w:hideMark/>
          </w:tcPr>
          <w:p w14:paraId="1D0024AE" w14:textId="77777777" w:rsidR="009A5344" w:rsidRPr="00681977" w:rsidRDefault="009A5344" w:rsidP="0002799A">
            <w:pPr>
              <w:spacing w:line="240" w:lineRule="auto"/>
              <w:jc w:val="both"/>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Geopolitical crises → higher perceived travel risk</w:t>
            </w:r>
          </w:p>
        </w:tc>
      </w:tr>
      <w:tr w:rsidR="009A5344" w:rsidRPr="00681977" w14:paraId="551D570C" w14:textId="77777777" w:rsidTr="009A5344">
        <w:trPr>
          <w:trHeight w:val="312"/>
        </w:trPr>
        <w:tc>
          <w:tcPr>
            <w:tcW w:w="942" w:type="pct"/>
            <w:tcBorders>
              <w:top w:val="nil"/>
              <w:left w:val="nil"/>
              <w:bottom w:val="nil"/>
              <w:right w:val="nil"/>
            </w:tcBorders>
            <w:shd w:val="clear" w:color="auto" w:fill="auto"/>
            <w:noWrap/>
            <w:vAlign w:val="center"/>
            <w:hideMark/>
          </w:tcPr>
          <w:p w14:paraId="784E0135" w14:textId="77777777" w:rsidR="009A5344" w:rsidRPr="00681977" w:rsidRDefault="009A5344" w:rsidP="0002799A">
            <w:pPr>
              <w:spacing w:line="240" w:lineRule="auto"/>
              <w:jc w:val="center"/>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H2</w:t>
            </w:r>
          </w:p>
        </w:tc>
        <w:tc>
          <w:tcPr>
            <w:tcW w:w="4058" w:type="pct"/>
            <w:tcBorders>
              <w:top w:val="nil"/>
              <w:left w:val="nil"/>
              <w:bottom w:val="nil"/>
              <w:right w:val="nil"/>
            </w:tcBorders>
            <w:shd w:val="clear" w:color="auto" w:fill="auto"/>
            <w:noWrap/>
            <w:vAlign w:val="center"/>
            <w:hideMark/>
          </w:tcPr>
          <w:p w14:paraId="639137FA" w14:textId="77777777" w:rsidR="009A5344" w:rsidRPr="00681977" w:rsidRDefault="009A5344" w:rsidP="0002799A">
            <w:pPr>
              <w:spacing w:line="240" w:lineRule="auto"/>
              <w:jc w:val="both"/>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Higher perceived travel risk → lower travel intention</w:t>
            </w:r>
          </w:p>
        </w:tc>
      </w:tr>
      <w:tr w:rsidR="009A5344" w:rsidRPr="00681977" w14:paraId="20765CB9" w14:textId="77777777" w:rsidTr="009A5344">
        <w:trPr>
          <w:trHeight w:val="312"/>
        </w:trPr>
        <w:tc>
          <w:tcPr>
            <w:tcW w:w="942" w:type="pct"/>
            <w:tcBorders>
              <w:top w:val="nil"/>
              <w:left w:val="nil"/>
              <w:bottom w:val="single" w:sz="4" w:space="0" w:color="auto"/>
              <w:right w:val="nil"/>
            </w:tcBorders>
            <w:shd w:val="clear" w:color="auto" w:fill="auto"/>
            <w:noWrap/>
            <w:vAlign w:val="center"/>
            <w:hideMark/>
          </w:tcPr>
          <w:p w14:paraId="61A15068" w14:textId="77777777" w:rsidR="009A5344" w:rsidRPr="00681977" w:rsidRDefault="009A5344" w:rsidP="0002799A">
            <w:pPr>
              <w:spacing w:line="240" w:lineRule="auto"/>
              <w:jc w:val="center"/>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H3</w:t>
            </w:r>
          </w:p>
        </w:tc>
        <w:tc>
          <w:tcPr>
            <w:tcW w:w="4058" w:type="pct"/>
            <w:tcBorders>
              <w:top w:val="nil"/>
              <w:left w:val="nil"/>
              <w:bottom w:val="single" w:sz="4" w:space="0" w:color="auto"/>
              <w:right w:val="nil"/>
            </w:tcBorders>
            <w:shd w:val="clear" w:color="auto" w:fill="auto"/>
            <w:noWrap/>
            <w:vAlign w:val="center"/>
            <w:hideMark/>
          </w:tcPr>
          <w:p w14:paraId="049698F3" w14:textId="5CCA1B74" w:rsidR="009A5344" w:rsidRPr="00681977" w:rsidRDefault="009A5344" w:rsidP="0002799A">
            <w:pPr>
              <w:spacing w:line="240" w:lineRule="auto"/>
              <w:jc w:val="both"/>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 xml:space="preserve">Adaptive </w:t>
            </w:r>
            <w:r w:rsidR="00825F45" w:rsidRPr="00681977">
              <w:rPr>
                <w:rFonts w:ascii="Arial" w:eastAsia="Times New Roman" w:hAnsi="Arial" w:cs="Arial"/>
                <w:color w:val="000000"/>
                <w:kern w:val="0"/>
                <w:sz w:val="20"/>
                <w:szCs w:val="20"/>
                <w:lang w:eastAsia="en-IN"/>
                <w14:ligatures w14:val="none"/>
              </w:rPr>
              <w:t>behaviour</w:t>
            </w:r>
            <w:r w:rsidRPr="00681977">
              <w:rPr>
                <w:rFonts w:ascii="Arial" w:eastAsia="Times New Roman" w:hAnsi="Arial" w:cs="Arial"/>
                <w:color w:val="000000"/>
                <w:kern w:val="0"/>
                <w:sz w:val="20"/>
                <w:szCs w:val="20"/>
                <w:lang w:eastAsia="en-IN"/>
                <w14:ligatures w14:val="none"/>
              </w:rPr>
              <w:t xml:space="preserve"> weakens the negative link between risk and intention</w:t>
            </w:r>
          </w:p>
        </w:tc>
      </w:tr>
    </w:tbl>
    <w:p w14:paraId="3A300143" w14:textId="31B599B8" w:rsidR="005541C0" w:rsidRPr="00681977" w:rsidRDefault="00681977" w:rsidP="007B07B4">
      <w:pPr>
        <w:jc w:val="both"/>
        <w:rPr>
          <w:rFonts w:ascii="Arial" w:hAnsi="Arial" w:cs="Arial"/>
          <w:b/>
          <w:bCs/>
        </w:rPr>
      </w:pPr>
      <w:r w:rsidRPr="00681977">
        <w:rPr>
          <w:rFonts w:ascii="Arial" w:hAnsi="Arial" w:cs="Arial"/>
          <w:b/>
          <w:bCs/>
        </w:rPr>
        <w:t>4. METHODOLOGY</w:t>
      </w:r>
    </w:p>
    <w:p w14:paraId="5EAD2887" w14:textId="77777777" w:rsidR="005541C0" w:rsidRPr="00681977" w:rsidRDefault="005541C0" w:rsidP="007B07B4">
      <w:pPr>
        <w:jc w:val="both"/>
        <w:rPr>
          <w:rFonts w:ascii="Arial" w:hAnsi="Arial" w:cs="Arial"/>
          <w:b/>
          <w:bCs/>
        </w:rPr>
      </w:pPr>
      <w:r w:rsidRPr="00681977">
        <w:rPr>
          <w:rFonts w:ascii="Arial" w:hAnsi="Arial" w:cs="Arial"/>
          <w:b/>
          <w:bCs/>
        </w:rPr>
        <w:t>4.1 Research Design</w:t>
      </w:r>
    </w:p>
    <w:p w14:paraId="26A41C54" w14:textId="77777777" w:rsidR="00235366" w:rsidRPr="00681977" w:rsidRDefault="00235366" w:rsidP="007B07B4">
      <w:pPr>
        <w:jc w:val="both"/>
        <w:rPr>
          <w:rFonts w:ascii="Arial" w:hAnsi="Arial" w:cs="Arial"/>
          <w:sz w:val="20"/>
          <w:szCs w:val="20"/>
        </w:rPr>
      </w:pPr>
      <w:r w:rsidRPr="00681977">
        <w:rPr>
          <w:rFonts w:ascii="Arial" w:hAnsi="Arial" w:cs="Arial"/>
          <w:sz w:val="20"/>
          <w:szCs w:val="20"/>
        </w:rPr>
        <w:t xml:space="preserve">A quantitative, cross-sectional research design is adopted by the study to explore the way terrestrial crises affect tourist behaviour depending on the mediating factor of travel risk perception and on the moderating factor of adaptive information-seeking. The study follows a survey-based research approach supplemented with secondary data on geopolitical instability from internationally recognized indexes. The Structural Equation Modelling (SEM) is then applied for hypothesis testing and model validation. </w:t>
      </w:r>
    </w:p>
    <w:p w14:paraId="4CA55579" w14:textId="36E913A9" w:rsidR="00235366" w:rsidRPr="00681977" w:rsidRDefault="00235366" w:rsidP="007B07B4">
      <w:pPr>
        <w:jc w:val="both"/>
        <w:rPr>
          <w:rFonts w:ascii="Arial" w:hAnsi="Arial" w:cs="Arial"/>
          <w:b/>
          <w:bCs/>
        </w:rPr>
      </w:pPr>
      <w:r w:rsidRPr="00681977">
        <w:rPr>
          <w:rFonts w:ascii="Arial" w:hAnsi="Arial" w:cs="Arial"/>
          <w:b/>
          <w:bCs/>
        </w:rPr>
        <w:t>4.2 Population and Sample</w:t>
      </w:r>
    </w:p>
    <w:p w14:paraId="42A49E6C" w14:textId="7FD294D9" w:rsidR="00235366" w:rsidRPr="00681977" w:rsidRDefault="00235366" w:rsidP="007B07B4">
      <w:pPr>
        <w:jc w:val="both"/>
        <w:rPr>
          <w:rFonts w:ascii="Arial" w:hAnsi="Arial" w:cs="Arial"/>
          <w:sz w:val="20"/>
          <w:szCs w:val="20"/>
        </w:rPr>
      </w:pPr>
      <w:r w:rsidRPr="00681977">
        <w:rPr>
          <w:rFonts w:ascii="Arial" w:hAnsi="Arial" w:cs="Arial"/>
          <w:sz w:val="20"/>
          <w:szCs w:val="20"/>
        </w:rPr>
        <w:t xml:space="preserve">The target population for this study includes international leisure travellers aged 18 and above who have either undertaken international travel within the past 24 months or plan to do so within the next year. To reach this audience, a sampling frame was constructed using online travel communities and consumer research panels. A purposive sampling technique, falling within the non-probability sampling category, was thus employed to include only those who had relevant experience or intention. </w:t>
      </w:r>
    </w:p>
    <w:p w14:paraId="4629AF78" w14:textId="77F30F73" w:rsidR="00235366" w:rsidRPr="00681977" w:rsidRDefault="00235366" w:rsidP="007B07B4">
      <w:pPr>
        <w:jc w:val="both"/>
        <w:rPr>
          <w:rFonts w:ascii="Arial" w:hAnsi="Arial" w:cs="Arial"/>
          <w:sz w:val="20"/>
          <w:szCs w:val="20"/>
        </w:rPr>
      </w:pPr>
      <w:r w:rsidRPr="00681977">
        <w:rPr>
          <w:rFonts w:ascii="Arial" w:hAnsi="Arial" w:cs="Arial"/>
          <w:sz w:val="20"/>
          <w:szCs w:val="20"/>
        </w:rPr>
        <w:t>Gaining at least 400 validated responses was the minimum requirement for the study; such a size conforms to the requirements of structural equation modelling (SEM) that puts the show on between 10 and 20 observations per parameter being estimated to make for reliable analysis (Hair et al., 2019). But then again, the criteria were restricted even further by way of a screening question. Respondents had to have, at the very least, some awareness of international travel advisories or of the concept of travel risk perception, making sure that data were gathered from participants who all knew the basics.</w:t>
      </w:r>
    </w:p>
    <w:p w14:paraId="1F6AAFBB" w14:textId="3CF961CC" w:rsidR="005541C0" w:rsidRPr="00681977" w:rsidRDefault="005541C0" w:rsidP="007B07B4">
      <w:pPr>
        <w:jc w:val="both"/>
        <w:rPr>
          <w:rFonts w:ascii="Arial" w:hAnsi="Arial" w:cs="Arial"/>
          <w:b/>
          <w:bCs/>
        </w:rPr>
      </w:pPr>
      <w:r w:rsidRPr="00681977">
        <w:rPr>
          <w:rFonts w:ascii="Arial" w:hAnsi="Arial" w:cs="Arial"/>
          <w:b/>
          <w:bCs/>
        </w:rPr>
        <w:t>4.3 Data Collection Procedure</w:t>
      </w:r>
    </w:p>
    <w:p w14:paraId="5744A9AD" w14:textId="77777777" w:rsidR="00341642" w:rsidRPr="00681977" w:rsidRDefault="00341642" w:rsidP="00341642">
      <w:pPr>
        <w:jc w:val="both"/>
        <w:rPr>
          <w:rFonts w:ascii="Arial" w:hAnsi="Arial" w:cs="Arial"/>
          <w:sz w:val="20"/>
          <w:szCs w:val="20"/>
        </w:rPr>
      </w:pPr>
      <w:r w:rsidRPr="00681977">
        <w:rPr>
          <w:rFonts w:ascii="Arial" w:hAnsi="Arial" w:cs="Arial"/>
          <w:sz w:val="20"/>
          <w:szCs w:val="20"/>
        </w:rPr>
        <w:t>An online, structured, self-administered questionnaire was deployed through websites such as Google Forms and Qualtrics. It remained opened for 30 days as users from travel forums, university mailing lists, and professional social media views such as LinkedIn were all exposed to the recruitment campaign to maximize its reach to the sampled population.</w:t>
      </w:r>
    </w:p>
    <w:p w14:paraId="338D72BC" w14:textId="002E4731" w:rsidR="00C15F1D" w:rsidRPr="00681977" w:rsidRDefault="00341642" w:rsidP="00341642">
      <w:pPr>
        <w:jc w:val="both"/>
        <w:rPr>
          <w:rFonts w:ascii="Arial" w:hAnsi="Arial" w:cs="Arial"/>
          <w:sz w:val="20"/>
          <w:szCs w:val="20"/>
        </w:rPr>
      </w:pPr>
      <w:r w:rsidRPr="00681977">
        <w:rPr>
          <w:rFonts w:ascii="Arial" w:hAnsi="Arial" w:cs="Arial"/>
          <w:sz w:val="20"/>
          <w:szCs w:val="20"/>
        </w:rPr>
        <w:t>To minimize biases and ensure the quality of the data, records of respondents who exhibited straight-lining behaviour and those completed in less than 90 seconds were removed from the final dataset. Ethical clearance was obtained for the study before the actual data collections, and informed consent was obtained from all participants who agreed to partake voluntarily and understood the purpose of the study.</w:t>
      </w:r>
    </w:p>
    <w:p w14:paraId="11FC3FA0" w14:textId="77777777" w:rsidR="005541C0" w:rsidRPr="00681977" w:rsidRDefault="005541C0" w:rsidP="007B07B4">
      <w:pPr>
        <w:jc w:val="both"/>
        <w:rPr>
          <w:rFonts w:ascii="Arial" w:hAnsi="Arial" w:cs="Arial"/>
          <w:b/>
          <w:bCs/>
        </w:rPr>
      </w:pPr>
      <w:r w:rsidRPr="00681977">
        <w:rPr>
          <w:rFonts w:ascii="Arial" w:hAnsi="Arial" w:cs="Arial"/>
          <w:b/>
          <w:bCs/>
        </w:rPr>
        <w:t>4.4 Measurement Instrument</w:t>
      </w:r>
    </w:p>
    <w:p w14:paraId="15219121" w14:textId="77777777" w:rsidR="005541C0" w:rsidRPr="00681977" w:rsidRDefault="005541C0" w:rsidP="007B07B4">
      <w:pPr>
        <w:jc w:val="both"/>
        <w:rPr>
          <w:rFonts w:ascii="Arial" w:hAnsi="Arial" w:cs="Arial"/>
          <w:sz w:val="20"/>
          <w:szCs w:val="20"/>
        </w:rPr>
      </w:pPr>
      <w:r w:rsidRPr="00681977">
        <w:rPr>
          <w:rFonts w:ascii="Arial" w:hAnsi="Arial" w:cs="Arial"/>
          <w:sz w:val="20"/>
          <w:szCs w:val="20"/>
        </w:rPr>
        <w:t>The survey questionnaire comprised five sections, each corresponding to one of the study’s constructs:</w:t>
      </w:r>
    </w:p>
    <w:tbl>
      <w:tblPr>
        <w:tblW w:w="5000" w:type="pct"/>
        <w:tblLook w:val="04A0" w:firstRow="1" w:lastRow="0" w:firstColumn="1" w:lastColumn="0" w:noHBand="0" w:noVBand="1"/>
      </w:tblPr>
      <w:tblGrid>
        <w:gridCol w:w="1006"/>
        <w:gridCol w:w="5048"/>
        <w:gridCol w:w="2972"/>
      </w:tblGrid>
      <w:tr w:rsidR="0031741B" w:rsidRPr="00681977" w14:paraId="01DF896B" w14:textId="77777777" w:rsidTr="005C1254">
        <w:trPr>
          <w:trHeight w:val="312"/>
        </w:trPr>
        <w:tc>
          <w:tcPr>
            <w:tcW w:w="5000" w:type="pct"/>
            <w:gridSpan w:val="3"/>
            <w:tcBorders>
              <w:top w:val="nil"/>
              <w:left w:val="nil"/>
              <w:bottom w:val="nil"/>
              <w:right w:val="nil"/>
            </w:tcBorders>
            <w:shd w:val="clear" w:color="auto" w:fill="auto"/>
            <w:noWrap/>
            <w:vAlign w:val="center"/>
            <w:hideMark/>
          </w:tcPr>
          <w:p w14:paraId="6AED4565" w14:textId="77777777" w:rsidR="007C0535" w:rsidRPr="00681977" w:rsidRDefault="0031741B" w:rsidP="0031741B">
            <w:pPr>
              <w:spacing w:after="0" w:line="240" w:lineRule="auto"/>
              <w:rPr>
                <w:rFonts w:ascii="Arial" w:eastAsia="Times New Roman" w:hAnsi="Arial" w:cs="Arial"/>
                <w:b/>
                <w:bCs/>
                <w:color w:val="000000"/>
                <w:kern w:val="0"/>
                <w:sz w:val="20"/>
                <w:szCs w:val="20"/>
                <w:lang w:eastAsia="en-IN"/>
                <w14:ligatures w14:val="none"/>
              </w:rPr>
            </w:pPr>
            <w:r w:rsidRPr="00681977">
              <w:rPr>
                <w:rFonts w:ascii="Arial" w:eastAsia="Times New Roman" w:hAnsi="Arial" w:cs="Arial"/>
                <w:b/>
                <w:bCs/>
                <w:color w:val="000000"/>
                <w:kern w:val="0"/>
                <w:sz w:val="20"/>
                <w:szCs w:val="20"/>
                <w:lang w:eastAsia="en-IN"/>
                <w14:ligatures w14:val="none"/>
              </w:rPr>
              <w:t>Table 2</w:t>
            </w:r>
          </w:p>
          <w:p w14:paraId="3AE97E5F" w14:textId="77777777" w:rsidR="007C0535" w:rsidRPr="00681977" w:rsidRDefault="007C0535" w:rsidP="0031741B">
            <w:pPr>
              <w:spacing w:after="0" w:line="240" w:lineRule="auto"/>
              <w:rPr>
                <w:rFonts w:ascii="Arial" w:eastAsia="Times New Roman" w:hAnsi="Arial" w:cs="Arial"/>
                <w:b/>
                <w:bCs/>
                <w:color w:val="000000"/>
                <w:kern w:val="0"/>
                <w:sz w:val="20"/>
                <w:szCs w:val="20"/>
                <w:lang w:eastAsia="en-IN"/>
                <w14:ligatures w14:val="none"/>
              </w:rPr>
            </w:pPr>
          </w:p>
          <w:p w14:paraId="7E273365" w14:textId="2B8C280E" w:rsidR="0031741B" w:rsidRPr="00681977" w:rsidRDefault="0031741B" w:rsidP="0031741B">
            <w:pPr>
              <w:spacing w:after="0" w:line="240" w:lineRule="auto"/>
              <w:rPr>
                <w:rFonts w:ascii="Arial" w:eastAsia="Times New Roman" w:hAnsi="Arial" w:cs="Arial"/>
                <w:i/>
                <w:iCs/>
                <w:color w:val="000000"/>
                <w:kern w:val="0"/>
                <w:sz w:val="20"/>
                <w:szCs w:val="20"/>
                <w:lang w:eastAsia="en-IN"/>
                <w14:ligatures w14:val="none"/>
              </w:rPr>
            </w:pPr>
            <w:r w:rsidRPr="00681977">
              <w:rPr>
                <w:rFonts w:ascii="Arial" w:eastAsia="Times New Roman" w:hAnsi="Arial" w:cs="Arial"/>
                <w:i/>
                <w:iCs/>
                <w:color w:val="000000"/>
                <w:kern w:val="0"/>
                <w:sz w:val="20"/>
                <w:szCs w:val="20"/>
                <w:lang w:eastAsia="en-IN"/>
                <w14:ligatures w14:val="none"/>
              </w:rPr>
              <w:t>Measurement Instrument</w:t>
            </w:r>
          </w:p>
          <w:p w14:paraId="1F6110EE" w14:textId="77777777" w:rsidR="007C0535" w:rsidRPr="00681977" w:rsidRDefault="007C0535" w:rsidP="0031741B">
            <w:pPr>
              <w:spacing w:after="0" w:line="240" w:lineRule="auto"/>
              <w:rPr>
                <w:rFonts w:ascii="Arial" w:eastAsia="Times New Roman" w:hAnsi="Arial" w:cs="Arial"/>
                <w:b/>
                <w:bCs/>
                <w:color w:val="000000"/>
                <w:kern w:val="0"/>
                <w:sz w:val="20"/>
                <w:szCs w:val="20"/>
                <w:lang w:eastAsia="en-IN"/>
                <w14:ligatures w14:val="none"/>
              </w:rPr>
            </w:pPr>
          </w:p>
          <w:p w14:paraId="19B9A444" w14:textId="77777777" w:rsidR="0031741B" w:rsidRPr="00681977" w:rsidRDefault="0031741B" w:rsidP="0031741B">
            <w:pPr>
              <w:spacing w:after="0" w:line="240" w:lineRule="auto"/>
              <w:rPr>
                <w:rFonts w:ascii="Arial" w:eastAsia="Times New Roman" w:hAnsi="Arial" w:cs="Arial"/>
                <w:b/>
                <w:bCs/>
                <w:color w:val="000000"/>
                <w:kern w:val="0"/>
                <w:sz w:val="20"/>
                <w:szCs w:val="20"/>
                <w:lang w:eastAsia="en-IN"/>
                <w14:ligatures w14:val="none"/>
              </w:rPr>
            </w:pPr>
          </w:p>
        </w:tc>
      </w:tr>
      <w:tr w:rsidR="0031741B" w:rsidRPr="00681977" w14:paraId="75D3E57E" w14:textId="77777777" w:rsidTr="005C1254">
        <w:trPr>
          <w:trHeight w:val="312"/>
        </w:trPr>
        <w:tc>
          <w:tcPr>
            <w:tcW w:w="610" w:type="pct"/>
            <w:tcBorders>
              <w:top w:val="single" w:sz="4" w:space="0" w:color="auto"/>
              <w:left w:val="nil"/>
              <w:bottom w:val="single" w:sz="4" w:space="0" w:color="auto"/>
              <w:right w:val="nil"/>
            </w:tcBorders>
            <w:shd w:val="clear" w:color="auto" w:fill="auto"/>
            <w:noWrap/>
            <w:vAlign w:val="center"/>
            <w:hideMark/>
          </w:tcPr>
          <w:p w14:paraId="77A770A2" w14:textId="77777777" w:rsidR="0031741B" w:rsidRPr="00681977" w:rsidRDefault="0031741B" w:rsidP="0031741B">
            <w:pPr>
              <w:spacing w:after="0" w:line="240" w:lineRule="auto"/>
              <w:jc w:val="both"/>
              <w:rPr>
                <w:rFonts w:ascii="Arial" w:eastAsia="Times New Roman" w:hAnsi="Arial" w:cs="Arial"/>
                <w:b/>
                <w:bCs/>
                <w:color w:val="000000"/>
                <w:kern w:val="0"/>
                <w:sz w:val="20"/>
                <w:szCs w:val="20"/>
                <w:lang w:eastAsia="en-IN"/>
                <w14:ligatures w14:val="none"/>
              </w:rPr>
            </w:pPr>
            <w:r w:rsidRPr="00681977">
              <w:rPr>
                <w:rFonts w:ascii="Arial" w:eastAsia="Times New Roman" w:hAnsi="Arial" w:cs="Arial"/>
                <w:b/>
                <w:bCs/>
                <w:color w:val="000000"/>
                <w:kern w:val="0"/>
                <w:sz w:val="20"/>
                <w:szCs w:val="20"/>
                <w:lang w:eastAsia="en-IN"/>
                <w14:ligatures w14:val="none"/>
              </w:rPr>
              <w:t>Construct</w:t>
            </w:r>
          </w:p>
        </w:tc>
        <w:tc>
          <w:tcPr>
            <w:tcW w:w="3583" w:type="pct"/>
            <w:tcBorders>
              <w:top w:val="single" w:sz="4" w:space="0" w:color="auto"/>
              <w:left w:val="nil"/>
              <w:bottom w:val="single" w:sz="4" w:space="0" w:color="auto"/>
              <w:right w:val="nil"/>
            </w:tcBorders>
            <w:shd w:val="clear" w:color="auto" w:fill="auto"/>
            <w:noWrap/>
            <w:vAlign w:val="center"/>
            <w:hideMark/>
          </w:tcPr>
          <w:p w14:paraId="6D9901D8" w14:textId="77777777" w:rsidR="0031741B" w:rsidRPr="00681977" w:rsidRDefault="0031741B" w:rsidP="0031741B">
            <w:pPr>
              <w:spacing w:after="0" w:line="240" w:lineRule="auto"/>
              <w:jc w:val="both"/>
              <w:rPr>
                <w:rFonts w:ascii="Arial" w:eastAsia="Times New Roman" w:hAnsi="Arial" w:cs="Arial"/>
                <w:b/>
                <w:bCs/>
                <w:color w:val="000000"/>
                <w:kern w:val="0"/>
                <w:sz w:val="20"/>
                <w:szCs w:val="20"/>
                <w:lang w:eastAsia="en-IN"/>
                <w14:ligatures w14:val="none"/>
              </w:rPr>
            </w:pPr>
            <w:r w:rsidRPr="00681977">
              <w:rPr>
                <w:rFonts w:ascii="Arial" w:eastAsia="Times New Roman" w:hAnsi="Arial" w:cs="Arial"/>
                <w:b/>
                <w:bCs/>
                <w:color w:val="000000"/>
                <w:kern w:val="0"/>
                <w:sz w:val="20"/>
                <w:szCs w:val="20"/>
                <w:lang w:eastAsia="en-IN"/>
                <w14:ligatures w14:val="none"/>
              </w:rPr>
              <w:t>Example Items (5-point Likert Scale)</w:t>
            </w:r>
          </w:p>
        </w:tc>
        <w:tc>
          <w:tcPr>
            <w:tcW w:w="807" w:type="pct"/>
            <w:tcBorders>
              <w:top w:val="single" w:sz="4" w:space="0" w:color="auto"/>
              <w:left w:val="nil"/>
              <w:bottom w:val="single" w:sz="4" w:space="0" w:color="auto"/>
              <w:right w:val="nil"/>
            </w:tcBorders>
            <w:shd w:val="clear" w:color="auto" w:fill="auto"/>
            <w:noWrap/>
            <w:vAlign w:val="center"/>
            <w:hideMark/>
          </w:tcPr>
          <w:p w14:paraId="21E8AA24" w14:textId="77777777" w:rsidR="0031741B" w:rsidRPr="00681977" w:rsidRDefault="0031741B" w:rsidP="0031741B">
            <w:pPr>
              <w:spacing w:after="0" w:line="240" w:lineRule="auto"/>
              <w:jc w:val="both"/>
              <w:rPr>
                <w:rFonts w:ascii="Arial" w:eastAsia="Times New Roman" w:hAnsi="Arial" w:cs="Arial"/>
                <w:b/>
                <w:bCs/>
                <w:color w:val="000000"/>
                <w:kern w:val="0"/>
                <w:sz w:val="20"/>
                <w:szCs w:val="20"/>
                <w:lang w:eastAsia="en-IN"/>
                <w14:ligatures w14:val="none"/>
              </w:rPr>
            </w:pPr>
            <w:r w:rsidRPr="00681977">
              <w:rPr>
                <w:rFonts w:ascii="Arial" w:eastAsia="Times New Roman" w:hAnsi="Arial" w:cs="Arial"/>
                <w:b/>
                <w:bCs/>
                <w:color w:val="000000"/>
                <w:kern w:val="0"/>
                <w:sz w:val="20"/>
                <w:szCs w:val="20"/>
                <w:lang w:eastAsia="en-IN"/>
                <w14:ligatures w14:val="none"/>
              </w:rPr>
              <w:t>Source/Adaptation</w:t>
            </w:r>
          </w:p>
        </w:tc>
      </w:tr>
      <w:tr w:rsidR="0031741B" w:rsidRPr="00681977" w14:paraId="3FB3B2A7" w14:textId="77777777" w:rsidTr="005C1254">
        <w:trPr>
          <w:trHeight w:val="624"/>
        </w:trPr>
        <w:tc>
          <w:tcPr>
            <w:tcW w:w="610" w:type="pct"/>
            <w:tcBorders>
              <w:top w:val="nil"/>
              <w:left w:val="nil"/>
              <w:bottom w:val="nil"/>
              <w:right w:val="nil"/>
            </w:tcBorders>
            <w:shd w:val="clear" w:color="auto" w:fill="auto"/>
            <w:vAlign w:val="center"/>
            <w:hideMark/>
          </w:tcPr>
          <w:p w14:paraId="5D17F860" w14:textId="77777777" w:rsidR="0031741B" w:rsidRPr="00681977" w:rsidRDefault="0031741B" w:rsidP="0031741B">
            <w:pPr>
              <w:spacing w:after="0" w:line="240" w:lineRule="auto"/>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lastRenderedPageBreak/>
              <w:t>Geopolitical Disruption (GDP)</w:t>
            </w:r>
          </w:p>
        </w:tc>
        <w:tc>
          <w:tcPr>
            <w:tcW w:w="3583" w:type="pct"/>
            <w:tcBorders>
              <w:top w:val="nil"/>
              <w:left w:val="nil"/>
              <w:bottom w:val="nil"/>
              <w:right w:val="nil"/>
            </w:tcBorders>
            <w:shd w:val="clear" w:color="auto" w:fill="auto"/>
            <w:noWrap/>
            <w:vAlign w:val="center"/>
            <w:hideMark/>
          </w:tcPr>
          <w:p w14:paraId="7BA06066" w14:textId="77777777" w:rsidR="0031741B" w:rsidRPr="00681977" w:rsidRDefault="0031741B" w:rsidP="0031741B">
            <w:pPr>
              <w:spacing w:after="0" w:line="240" w:lineRule="auto"/>
              <w:jc w:val="both"/>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“I follow news about war, unrest, or political conflict.”</w:t>
            </w:r>
          </w:p>
        </w:tc>
        <w:tc>
          <w:tcPr>
            <w:tcW w:w="807" w:type="pct"/>
            <w:tcBorders>
              <w:top w:val="nil"/>
              <w:left w:val="nil"/>
              <w:bottom w:val="nil"/>
              <w:right w:val="nil"/>
            </w:tcBorders>
            <w:shd w:val="clear" w:color="auto" w:fill="auto"/>
            <w:noWrap/>
            <w:vAlign w:val="center"/>
            <w:hideMark/>
          </w:tcPr>
          <w:p w14:paraId="529F2DFA" w14:textId="77777777" w:rsidR="0031741B" w:rsidRPr="00681977" w:rsidRDefault="0031741B" w:rsidP="0031741B">
            <w:pPr>
              <w:spacing w:after="0" w:line="240" w:lineRule="auto"/>
              <w:jc w:val="both"/>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Adapted from GPI and previous tourism risk scales</w:t>
            </w:r>
          </w:p>
        </w:tc>
      </w:tr>
      <w:tr w:rsidR="0031741B" w:rsidRPr="00681977" w14:paraId="684CA4D2" w14:textId="77777777" w:rsidTr="005C1254">
        <w:trPr>
          <w:trHeight w:val="624"/>
        </w:trPr>
        <w:tc>
          <w:tcPr>
            <w:tcW w:w="610" w:type="pct"/>
            <w:tcBorders>
              <w:top w:val="nil"/>
              <w:left w:val="nil"/>
              <w:bottom w:val="nil"/>
              <w:right w:val="nil"/>
            </w:tcBorders>
            <w:shd w:val="clear" w:color="auto" w:fill="auto"/>
            <w:vAlign w:val="center"/>
            <w:hideMark/>
          </w:tcPr>
          <w:p w14:paraId="6BD97A8B" w14:textId="77777777" w:rsidR="0031741B" w:rsidRPr="00681977" w:rsidRDefault="0031741B" w:rsidP="0031741B">
            <w:pPr>
              <w:spacing w:after="0" w:line="240" w:lineRule="auto"/>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Perceived Travel Risk (PTR)</w:t>
            </w:r>
          </w:p>
        </w:tc>
        <w:tc>
          <w:tcPr>
            <w:tcW w:w="3583" w:type="pct"/>
            <w:tcBorders>
              <w:top w:val="nil"/>
              <w:left w:val="nil"/>
              <w:bottom w:val="nil"/>
              <w:right w:val="nil"/>
            </w:tcBorders>
            <w:shd w:val="clear" w:color="auto" w:fill="auto"/>
            <w:noWrap/>
            <w:vAlign w:val="center"/>
            <w:hideMark/>
          </w:tcPr>
          <w:p w14:paraId="113F2A73" w14:textId="77777777" w:rsidR="0031741B" w:rsidRPr="00681977" w:rsidRDefault="0031741B" w:rsidP="0031741B">
            <w:pPr>
              <w:spacing w:after="0" w:line="240" w:lineRule="auto"/>
              <w:jc w:val="both"/>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“I avoid destinations with even minor safety concerns.”</w:t>
            </w:r>
          </w:p>
        </w:tc>
        <w:tc>
          <w:tcPr>
            <w:tcW w:w="807" w:type="pct"/>
            <w:tcBorders>
              <w:top w:val="nil"/>
              <w:left w:val="nil"/>
              <w:bottom w:val="nil"/>
              <w:right w:val="nil"/>
            </w:tcBorders>
            <w:shd w:val="clear" w:color="auto" w:fill="auto"/>
            <w:noWrap/>
            <w:vAlign w:val="center"/>
            <w:hideMark/>
          </w:tcPr>
          <w:p w14:paraId="3F4C2C4F" w14:textId="77777777" w:rsidR="0031741B" w:rsidRPr="00681977" w:rsidRDefault="0031741B" w:rsidP="0031741B">
            <w:pPr>
              <w:spacing w:after="0" w:line="240" w:lineRule="auto"/>
              <w:jc w:val="both"/>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 xml:space="preserve">Chen et al. (2025); </w:t>
            </w:r>
            <w:proofErr w:type="spellStart"/>
            <w:r w:rsidRPr="00681977">
              <w:rPr>
                <w:rFonts w:ascii="Arial" w:eastAsia="Times New Roman" w:hAnsi="Arial" w:cs="Arial"/>
                <w:color w:val="000000"/>
                <w:kern w:val="0"/>
                <w:sz w:val="20"/>
                <w:szCs w:val="20"/>
                <w:lang w:eastAsia="en-IN"/>
                <w14:ligatures w14:val="none"/>
              </w:rPr>
              <w:t>Tunççu</w:t>
            </w:r>
            <w:proofErr w:type="spellEnd"/>
            <w:r w:rsidRPr="00681977">
              <w:rPr>
                <w:rFonts w:ascii="Arial" w:eastAsia="Times New Roman" w:hAnsi="Arial" w:cs="Arial"/>
                <w:color w:val="000000"/>
                <w:kern w:val="0"/>
                <w:sz w:val="20"/>
                <w:szCs w:val="20"/>
                <w:lang w:eastAsia="en-IN"/>
                <w14:ligatures w14:val="none"/>
              </w:rPr>
              <w:t xml:space="preserve"> (2023)</w:t>
            </w:r>
          </w:p>
        </w:tc>
      </w:tr>
      <w:tr w:rsidR="0031741B" w:rsidRPr="00681977" w14:paraId="3BE20A5B" w14:textId="77777777" w:rsidTr="005C1254">
        <w:trPr>
          <w:trHeight w:val="936"/>
        </w:trPr>
        <w:tc>
          <w:tcPr>
            <w:tcW w:w="610" w:type="pct"/>
            <w:tcBorders>
              <w:top w:val="nil"/>
              <w:left w:val="nil"/>
              <w:bottom w:val="nil"/>
              <w:right w:val="nil"/>
            </w:tcBorders>
            <w:shd w:val="clear" w:color="auto" w:fill="auto"/>
            <w:vAlign w:val="center"/>
            <w:hideMark/>
          </w:tcPr>
          <w:p w14:paraId="5F5BE920" w14:textId="77777777" w:rsidR="0031741B" w:rsidRPr="00681977" w:rsidRDefault="0031741B" w:rsidP="0031741B">
            <w:pPr>
              <w:spacing w:after="0" w:line="240" w:lineRule="auto"/>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Travel Intention (TI)</w:t>
            </w:r>
          </w:p>
        </w:tc>
        <w:tc>
          <w:tcPr>
            <w:tcW w:w="3583" w:type="pct"/>
            <w:tcBorders>
              <w:top w:val="nil"/>
              <w:left w:val="nil"/>
              <w:bottom w:val="nil"/>
              <w:right w:val="nil"/>
            </w:tcBorders>
            <w:shd w:val="clear" w:color="auto" w:fill="auto"/>
            <w:noWrap/>
            <w:vAlign w:val="center"/>
            <w:hideMark/>
          </w:tcPr>
          <w:p w14:paraId="640B4C7C" w14:textId="77777777" w:rsidR="0031741B" w:rsidRPr="00681977" w:rsidRDefault="0031741B" w:rsidP="0031741B">
            <w:pPr>
              <w:spacing w:after="0" w:line="240" w:lineRule="auto"/>
              <w:jc w:val="both"/>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“I would still consider visiting a destination with moderate risk if the experience is unique.”</w:t>
            </w:r>
          </w:p>
        </w:tc>
        <w:tc>
          <w:tcPr>
            <w:tcW w:w="807" w:type="pct"/>
            <w:tcBorders>
              <w:top w:val="nil"/>
              <w:left w:val="nil"/>
              <w:bottom w:val="nil"/>
              <w:right w:val="nil"/>
            </w:tcBorders>
            <w:shd w:val="clear" w:color="auto" w:fill="auto"/>
            <w:noWrap/>
            <w:vAlign w:val="center"/>
            <w:hideMark/>
          </w:tcPr>
          <w:p w14:paraId="2082256A" w14:textId="77777777" w:rsidR="0031741B" w:rsidRPr="00681977" w:rsidRDefault="0031741B" w:rsidP="0031741B">
            <w:pPr>
              <w:spacing w:after="0" w:line="240" w:lineRule="auto"/>
              <w:jc w:val="both"/>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Awais-E-Yazdan et al. (2025)</w:t>
            </w:r>
          </w:p>
        </w:tc>
      </w:tr>
      <w:tr w:rsidR="0031741B" w:rsidRPr="00681977" w14:paraId="1C71420A" w14:textId="77777777" w:rsidTr="005C1254">
        <w:trPr>
          <w:trHeight w:val="624"/>
        </w:trPr>
        <w:tc>
          <w:tcPr>
            <w:tcW w:w="610" w:type="pct"/>
            <w:tcBorders>
              <w:top w:val="nil"/>
              <w:left w:val="nil"/>
              <w:bottom w:val="nil"/>
              <w:right w:val="nil"/>
            </w:tcBorders>
            <w:shd w:val="clear" w:color="auto" w:fill="auto"/>
            <w:vAlign w:val="center"/>
            <w:hideMark/>
          </w:tcPr>
          <w:p w14:paraId="69B41D66" w14:textId="77777777" w:rsidR="0031741B" w:rsidRPr="00681977" w:rsidRDefault="0031741B" w:rsidP="0031741B">
            <w:pPr>
              <w:spacing w:after="0" w:line="240" w:lineRule="auto"/>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Adaptive Information-Seeking (AIS)</w:t>
            </w:r>
          </w:p>
        </w:tc>
        <w:tc>
          <w:tcPr>
            <w:tcW w:w="3583" w:type="pct"/>
            <w:tcBorders>
              <w:top w:val="nil"/>
              <w:left w:val="nil"/>
              <w:bottom w:val="nil"/>
              <w:right w:val="nil"/>
            </w:tcBorders>
            <w:shd w:val="clear" w:color="auto" w:fill="auto"/>
            <w:noWrap/>
            <w:vAlign w:val="center"/>
            <w:hideMark/>
          </w:tcPr>
          <w:p w14:paraId="3DD8B1D0" w14:textId="77777777" w:rsidR="0031741B" w:rsidRPr="00681977" w:rsidRDefault="0031741B" w:rsidP="0031741B">
            <w:pPr>
              <w:spacing w:after="0" w:line="240" w:lineRule="auto"/>
              <w:jc w:val="both"/>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“Before I travel, I check travel advisories from multiple sources.”</w:t>
            </w:r>
          </w:p>
        </w:tc>
        <w:tc>
          <w:tcPr>
            <w:tcW w:w="807" w:type="pct"/>
            <w:tcBorders>
              <w:top w:val="nil"/>
              <w:left w:val="nil"/>
              <w:bottom w:val="nil"/>
              <w:right w:val="nil"/>
            </w:tcBorders>
            <w:shd w:val="clear" w:color="auto" w:fill="auto"/>
            <w:noWrap/>
            <w:vAlign w:val="center"/>
            <w:hideMark/>
          </w:tcPr>
          <w:p w14:paraId="3D2A57A6" w14:textId="77777777" w:rsidR="0031741B" w:rsidRPr="00681977" w:rsidRDefault="0031741B" w:rsidP="0031741B">
            <w:pPr>
              <w:spacing w:after="0" w:line="240" w:lineRule="auto"/>
              <w:jc w:val="both"/>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Sufi et al. (2024); Zhao &amp; Nguyen (2023)</w:t>
            </w:r>
          </w:p>
        </w:tc>
      </w:tr>
      <w:tr w:rsidR="0031741B" w:rsidRPr="00681977" w14:paraId="07062DD1" w14:textId="77777777" w:rsidTr="005C1254">
        <w:trPr>
          <w:trHeight w:val="624"/>
        </w:trPr>
        <w:tc>
          <w:tcPr>
            <w:tcW w:w="610" w:type="pct"/>
            <w:tcBorders>
              <w:top w:val="nil"/>
              <w:left w:val="nil"/>
              <w:bottom w:val="single" w:sz="4" w:space="0" w:color="auto"/>
              <w:right w:val="nil"/>
            </w:tcBorders>
            <w:shd w:val="clear" w:color="auto" w:fill="auto"/>
            <w:vAlign w:val="center"/>
            <w:hideMark/>
          </w:tcPr>
          <w:p w14:paraId="3FFF3F17" w14:textId="77777777" w:rsidR="0031741B" w:rsidRPr="00681977" w:rsidRDefault="0031741B" w:rsidP="0031741B">
            <w:pPr>
              <w:spacing w:after="0" w:line="240" w:lineRule="auto"/>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Demographics</w:t>
            </w:r>
          </w:p>
        </w:tc>
        <w:tc>
          <w:tcPr>
            <w:tcW w:w="3583" w:type="pct"/>
            <w:tcBorders>
              <w:top w:val="nil"/>
              <w:left w:val="nil"/>
              <w:bottom w:val="single" w:sz="4" w:space="0" w:color="auto"/>
              <w:right w:val="nil"/>
            </w:tcBorders>
            <w:shd w:val="clear" w:color="auto" w:fill="auto"/>
            <w:noWrap/>
            <w:vAlign w:val="center"/>
            <w:hideMark/>
          </w:tcPr>
          <w:p w14:paraId="3E243DCE" w14:textId="77777777" w:rsidR="0031741B" w:rsidRPr="00681977" w:rsidRDefault="0031741B" w:rsidP="0031741B">
            <w:pPr>
              <w:spacing w:after="0" w:line="240" w:lineRule="auto"/>
              <w:jc w:val="both"/>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Age, gender, travel frequency, preferred regions</w:t>
            </w:r>
          </w:p>
        </w:tc>
        <w:tc>
          <w:tcPr>
            <w:tcW w:w="807" w:type="pct"/>
            <w:tcBorders>
              <w:top w:val="nil"/>
              <w:left w:val="nil"/>
              <w:bottom w:val="single" w:sz="4" w:space="0" w:color="auto"/>
              <w:right w:val="nil"/>
            </w:tcBorders>
            <w:shd w:val="clear" w:color="auto" w:fill="auto"/>
            <w:noWrap/>
            <w:vAlign w:val="center"/>
            <w:hideMark/>
          </w:tcPr>
          <w:p w14:paraId="0F63E99F" w14:textId="77777777" w:rsidR="0031741B" w:rsidRPr="00681977" w:rsidRDefault="0031741B" w:rsidP="0031741B">
            <w:pPr>
              <w:spacing w:after="0" w:line="240" w:lineRule="auto"/>
              <w:jc w:val="both"/>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Custom-developed</w:t>
            </w:r>
          </w:p>
        </w:tc>
      </w:tr>
    </w:tbl>
    <w:p w14:paraId="7FFA70D1" w14:textId="1ED94134" w:rsidR="005541C0" w:rsidRPr="00681977" w:rsidRDefault="005541C0" w:rsidP="007B07B4">
      <w:pPr>
        <w:jc w:val="both"/>
        <w:rPr>
          <w:rFonts w:ascii="Arial" w:hAnsi="Arial" w:cs="Arial"/>
          <w:sz w:val="20"/>
          <w:szCs w:val="20"/>
        </w:rPr>
      </w:pPr>
    </w:p>
    <w:p w14:paraId="45C70520" w14:textId="77777777" w:rsidR="005541C0" w:rsidRPr="00681977" w:rsidRDefault="005541C0" w:rsidP="007B07B4">
      <w:pPr>
        <w:jc w:val="both"/>
        <w:rPr>
          <w:rFonts w:ascii="Arial" w:hAnsi="Arial" w:cs="Arial"/>
          <w:b/>
          <w:bCs/>
        </w:rPr>
      </w:pPr>
      <w:r w:rsidRPr="00681977">
        <w:rPr>
          <w:rFonts w:ascii="Arial" w:hAnsi="Arial" w:cs="Arial"/>
          <w:b/>
          <w:bCs/>
        </w:rPr>
        <w:t>4.5 Operational Definitions and Coding</w:t>
      </w:r>
    </w:p>
    <w:p w14:paraId="335C7342" w14:textId="77777777" w:rsidR="00B306C8" w:rsidRPr="00681977" w:rsidRDefault="00B306C8" w:rsidP="007B07B4">
      <w:pPr>
        <w:jc w:val="both"/>
        <w:rPr>
          <w:rFonts w:ascii="Arial" w:hAnsi="Arial" w:cs="Arial"/>
          <w:sz w:val="20"/>
          <w:szCs w:val="20"/>
        </w:rPr>
      </w:pPr>
      <w:r w:rsidRPr="00681977">
        <w:rPr>
          <w:rFonts w:ascii="Arial" w:hAnsi="Arial" w:cs="Arial"/>
          <w:sz w:val="20"/>
          <w:szCs w:val="20"/>
        </w:rPr>
        <w:t xml:space="preserve">The study utilized standard five-point Likert scales from 1 (Strongly Disagree) to 5 (Strongly Agree) to measure four key constructs. Geopolitical Disruption (GDP) was identified as the extent to which such external conflict cases-wars, diplomatic tugs, or terrorism alerts-are perceived by an individual to affect his or her travel decisions. Tourists have to judge Perceived Travel Risk (PTR) in his own terms, with respect to the threats faced in safety and security at a destination, such as concern about instability, personal damages, or disruption in itineraries. </w:t>
      </w:r>
    </w:p>
    <w:p w14:paraId="61F1DB6C" w14:textId="77777777" w:rsidR="00B306C8" w:rsidRPr="00681977" w:rsidRDefault="00B306C8" w:rsidP="007B07B4">
      <w:pPr>
        <w:jc w:val="both"/>
        <w:rPr>
          <w:rFonts w:ascii="Arial" w:hAnsi="Arial" w:cs="Arial"/>
          <w:sz w:val="20"/>
          <w:szCs w:val="20"/>
        </w:rPr>
      </w:pPr>
      <w:r w:rsidRPr="00681977">
        <w:rPr>
          <w:rFonts w:ascii="Arial" w:hAnsi="Arial" w:cs="Arial"/>
          <w:sz w:val="20"/>
          <w:szCs w:val="20"/>
        </w:rPr>
        <w:t xml:space="preserve">Travel Intention (TI) stands to characterize the standpoint whereby respondents could consider spending time at a given destination in consideration of the geopolitical risks that may be actual or perceived. Adaptive Information-Seeking (AIS) stands for how much travellers are engaging in proactive safety verification procedures, including assessing embassy warnings, advertisers or NGOs' recommendations, or real-time alert tools. </w:t>
      </w:r>
    </w:p>
    <w:p w14:paraId="22D44F21" w14:textId="0420A623" w:rsidR="005541C0" w:rsidRPr="00681977" w:rsidRDefault="00B306C8" w:rsidP="007B07B4">
      <w:pPr>
        <w:jc w:val="both"/>
        <w:rPr>
          <w:rFonts w:ascii="Arial" w:hAnsi="Arial" w:cs="Arial"/>
          <w:sz w:val="20"/>
          <w:szCs w:val="20"/>
        </w:rPr>
      </w:pPr>
      <w:r w:rsidRPr="00681977">
        <w:rPr>
          <w:rFonts w:ascii="Arial" w:hAnsi="Arial" w:cs="Arial"/>
          <w:sz w:val="20"/>
          <w:szCs w:val="20"/>
        </w:rPr>
        <w:t xml:space="preserve">The composite scores calculated by finding the average of responses to items measuring each construct ensured its internal consistency, thus allowing valid comparative conclusion in subsequent structural </w:t>
      </w:r>
      <w:r w:rsidR="00ED6954" w:rsidRPr="00681977">
        <w:rPr>
          <w:rFonts w:ascii="Arial" w:hAnsi="Arial" w:cs="Arial"/>
          <w:sz w:val="20"/>
          <w:szCs w:val="20"/>
        </w:rPr>
        <w:t>modelling</w:t>
      </w:r>
      <w:r w:rsidRPr="00681977">
        <w:rPr>
          <w:rFonts w:ascii="Arial" w:hAnsi="Arial" w:cs="Arial"/>
          <w:sz w:val="20"/>
          <w:szCs w:val="20"/>
        </w:rPr>
        <w:t xml:space="preserve"> analyses.</w:t>
      </w:r>
    </w:p>
    <w:p w14:paraId="45EC6341" w14:textId="77777777" w:rsidR="005541C0" w:rsidRPr="00681977" w:rsidRDefault="005541C0" w:rsidP="007B07B4">
      <w:pPr>
        <w:jc w:val="both"/>
        <w:rPr>
          <w:rFonts w:ascii="Arial" w:hAnsi="Arial" w:cs="Arial"/>
          <w:b/>
          <w:bCs/>
        </w:rPr>
      </w:pPr>
      <w:r w:rsidRPr="00681977">
        <w:rPr>
          <w:rFonts w:ascii="Arial" w:hAnsi="Arial" w:cs="Arial"/>
          <w:b/>
          <w:bCs/>
        </w:rPr>
        <w:t>4.6 Data Analysis Techniques</w:t>
      </w:r>
    </w:p>
    <w:p w14:paraId="299A6A44" w14:textId="77777777" w:rsidR="00B306C8" w:rsidRPr="00681977" w:rsidRDefault="00B306C8" w:rsidP="00B306C8">
      <w:pPr>
        <w:jc w:val="both"/>
        <w:rPr>
          <w:rFonts w:ascii="Arial" w:hAnsi="Arial" w:cs="Arial"/>
          <w:sz w:val="20"/>
          <w:szCs w:val="20"/>
        </w:rPr>
      </w:pPr>
      <w:r w:rsidRPr="00681977">
        <w:rPr>
          <w:rFonts w:ascii="Arial" w:hAnsi="Arial" w:cs="Arial"/>
          <w:sz w:val="20"/>
          <w:szCs w:val="20"/>
        </w:rPr>
        <w:t>Data analyses were conducted in two major platforms: IBM SPSS (version 27) for preliminary statistics and AMOS/</w:t>
      </w:r>
      <w:proofErr w:type="spellStart"/>
      <w:r w:rsidRPr="00681977">
        <w:rPr>
          <w:rFonts w:ascii="Arial" w:hAnsi="Arial" w:cs="Arial"/>
          <w:sz w:val="20"/>
          <w:szCs w:val="20"/>
        </w:rPr>
        <w:t>SmartPLS</w:t>
      </w:r>
      <w:proofErr w:type="spellEnd"/>
      <w:r w:rsidRPr="00681977">
        <w:rPr>
          <w:rFonts w:ascii="Arial" w:hAnsi="Arial" w:cs="Arial"/>
          <w:sz w:val="20"/>
          <w:szCs w:val="20"/>
        </w:rPr>
        <w:t xml:space="preserve"> for the structural equation components. The process began with descriptive statistics including means, standard deviations, and frequency distributions applied to profile the samples and detect any anomalies. Reliability was assessed next through Cronbach's alpha, retaining only those constructs whose coefficients of internal consistency </w:t>
      </w:r>
      <w:proofErr w:type="spellStart"/>
      <w:r w:rsidRPr="00681977">
        <w:rPr>
          <w:rFonts w:ascii="Arial" w:hAnsi="Arial" w:cs="Arial"/>
          <w:sz w:val="20"/>
          <w:szCs w:val="20"/>
        </w:rPr>
        <w:t>equaled</w:t>
      </w:r>
      <w:proofErr w:type="spellEnd"/>
      <w:r w:rsidRPr="00681977">
        <w:rPr>
          <w:rFonts w:ascii="Arial" w:hAnsi="Arial" w:cs="Arial"/>
          <w:sz w:val="20"/>
          <w:szCs w:val="20"/>
        </w:rPr>
        <w:t xml:space="preserve"> or exceeded .70 threshold. Construct validity was next established: For convergent validity, each factor had an Average Variance Extracted (AVE) of more than .50, and discriminant validity set by the Fornell–Larcker criterion whereby the square root of each construct's AVE was greater than its correlations with other constructs. </w:t>
      </w:r>
    </w:p>
    <w:p w14:paraId="19D94521" w14:textId="23EB6BF3" w:rsidR="005541C0" w:rsidRPr="00681977" w:rsidRDefault="00B306C8" w:rsidP="00B306C8">
      <w:pPr>
        <w:jc w:val="both"/>
        <w:rPr>
          <w:rFonts w:ascii="Arial" w:hAnsi="Arial" w:cs="Arial"/>
          <w:sz w:val="20"/>
          <w:szCs w:val="20"/>
        </w:rPr>
      </w:pPr>
      <w:r w:rsidRPr="00681977">
        <w:rPr>
          <w:rFonts w:ascii="Arial" w:hAnsi="Arial" w:cs="Arial"/>
          <w:sz w:val="20"/>
          <w:szCs w:val="20"/>
        </w:rPr>
        <w:t>With reliability and validity ensured, the dataset was set for the exploratory and confirmatory factor analyses (EFA and CFA). This step helped in adjusting item loadings and confirming the measurement model structure. Lastly, SEM was run to test the hypothesized relationships. Path coefficients along with their corresponding R² values assessed direct effects among the constructs, while moderation was tested with the introduction of an interaction term (AIS × PTR) to examine the influence of adaptive information seeking on the perceived risk–intention relationship.</w:t>
      </w:r>
    </w:p>
    <w:p w14:paraId="3F3DB018" w14:textId="77777777" w:rsidR="005541C0" w:rsidRPr="00681977" w:rsidRDefault="005541C0" w:rsidP="007B07B4">
      <w:pPr>
        <w:jc w:val="both"/>
        <w:rPr>
          <w:rFonts w:ascii="Arial" w:hAnsi="Arial" w:cs="Arial"/>
          <w:b/>
          <w:bCs/>
        </w:rPr>
      </w:pPr>
      <w:r w:rsidRPr="00681977">
        <w:rPr>
          <w:rFonts w:ascii="Arial" w:hAnsi="Arial" w:cs="Arial"/>
          <w:b/>
          <w:bCs/>
        </w:rPr>
        <w:t>4.7 Ethical Considerations</w:t>
      </w:r>
    </w:p>
    <w:p w14:paraId="5CA36400" w14:textId="77777777" w:rsidR="00A178EB" w:rsidRPr="00681977" w:rsidRDefault="00A178EB" w:rsidP="00A178EB">
      <w:pPr>
        <w:jc w:val="both"/>
        <w:rPr>
          <w:rFonts w:ascii="Arial" w:hAnsi="Arial" w:cs="Arial"/>
          <w:sz w:val="20"/>
          <w:szCs w:val="20"/>
        </w:rPr>
      </w:pPr>
      <w:r w:rsidRPr="00681977">
        <w:rPr>
          <w:rFonts w:ascii="Arial" w:hAnsi="Arial" w:cs="Arial"/>
          <w:sz w:val="20"/>
          <w:szCs w:val="20"/>
        </w:rPr>
        <w:lastRenderedPageBreak/>
        <w:t>The ethical standards of the host institution formed the basis for the conduct of this study. Respondents gave their consent after being informed about the aims of the study and that their participation was voluntary, as well as how to withdraw from the study at any stage should they wish to. The research maintained strict confidentiality and anonymity throughout; no one was able to identify those who participated, nor were responses released in any form other than aggregate data.</w:t>
      </w:r>
    </w:p>
    <w:p w14:paraId="4B56267E" w14:textId="034041B3" w:rsidR="005A1045" w:rsidRPr="00681977" w:rsidRDefault="00A178EB" w:rsidP="00A178EB">
      <w:pPr>
        <w:jc w:val="both"/>
        <w:rPr>
          <w:rFonts w:ascii="Arial" w:hAnsi="Arial" w:cs="Arial"/>
          <w:sz w:val="20"/>
          <w:szCs w:val="20"/>
        </w:rPr>
      </w:pPr>
      <w:r w:rsidRPr="00681977">
        <w:rPr>
          <w:rFonts w:ascii="Arial" w:hAnsi="Arial" w:cs="Arial"/>
          <w:sz w:val="20"/>
          <w:szCs w:val="20"/>
        </w:rPr>
        <w:t>All data collected were used strictly for academic purposes and securely stored in password-protected systems, which were accessible only to the principal investigators. The study complied with prescribed regulations for the protection of data to safeguard the parties involved and ensure the integrity of the research process.</w:t>
      </w:r>
    </w:p>
    <w:p w14:paraId="1E2B966E" w14:textId="3E516358" w:rsidR="00ED008E" w:rsidRPr="00681977" w:rsidRDefault="00681977" w:rsidP="007B07B4">
      <w:pPr>
        <w:jc w:val="both"/>
        <w:rPr>
          <w:rFonts w:ascii="Arial" w:hAnsi="Arial" w:cs="Arial"/>
          <w:b/>
          <w:bCs/>
        </w:rPr>
      </w:pPr>
      <w:r w:rsidRPr="00681977">
        <w:rPr>
          <w:rFonts w:ascii="Arial" w:hAnsi="Arial" w:cs="Arial"/>
          <w:b/>
          <w:bCs/>
        </w:rPr>
        <w:t>5. RESULTS AND DISCUSSION</w:t>
      </w:r>
    </w:p>
    <w:p w14:paraId="0936B5E8" w14:textId="77777777" w:rsidR="00ED008E" w:rsidRPr="00681977" w:rsidRDefault="00ED008E" w:rsidP="007B07B4">
      <w:pPr>
        <w:jc w:val="both"/>
        <w:rPr>
          <w:rFonts w:ascii="Arial" w:hAnsi="Arial" w:cs="Arial"/>
          <w:b/>
          <w:bCs/>
        </w:rPr>
      </w:pPr>
      <w:r w:rsidRPr="00681977">
        <w:rPr>
          <w:rFonts w:ascii="Arial" w:hAnsi="Arial" w:cs="Arial"/>
          <w:b/>
          <w:bCs/>
        </w:rPr>
        <w:t>5.1 Respondent Profile</w:t>
      </w:r>
    </w:p>
    <w:p w14:paraId="12ED44C0" w14:textId="765A0562" w:rsidR="00ED008E" w:rsidRPr="00681977" w:rsidRDefault="00B20687" w:rsidP="007B07B4">
      <w:pPr>
        <w:jc w:val="both"/>
        <w:rPr>
          <w:rFonts w:ascii="Arial" w:hAnsi="Arial" w:cs="Arial"/>
          <w:sz w:val="20"/>
          <w:szCs w:val="20"/>
        </w:rPr>
      </w:pPr>
      <w:r w:rsidRPr="00681977">
        <w:rPr>
          <w:rFonts w:ascii="Arial" w:hAnsi="Arial" w:cs="Arial"/>
          <w:sz w:val="20"/>
          <w:szCs w:val="20"/>
        </w:rPr>
        <w:t xml:space="preserve">Table 3 entails the demographic profile of respondents. The largest age group was 26–35, making 37.5% of the sample; the second largest group was 18–25, with 27.5%. The gender distribution was quite balanced: 52.5% identified themselves as male and 43.8% as female; the remaining 3.7% indicated "others, non-binary" or simply "prefer not to say." The selected sample contained rather experienced travellers: 55% of them claimed to have been on at least three international trips during the past year. In all, these demographic features profile a </w:t>
      </w:r>
      <w:r w:rsidR="00EA5FD7" w:rsidRPr="00681977">
        <w:rPr>
          <w:rFonts w:ascii="Arial" w:hAnsi="Arial" w:cs="Arial"/>
          <w:sz w:val="20"/>
          <w:szCs w:val="20"/>
        </w:rPr>
        <w:t>dust busting</w:t>
      </w:r>
      <w:r w:rsidRPr="00681977">
        <w:rPr>
          <w:rFonts w:ascii="Arial" w:hAnsi="Arial" w:cs="Arial"/>
          <w:sz w:val="20"/>
          <w:szCs w:val="20"/>
        </w:rPr>
        <w:t>, internationally on-the-go population, perfect for the study of adaptive information-seeking behaviours with respect to travel risk and decision-making.</w:t>
      </w:r>
    </w:p>
    <w:tbl>
      <w:tblPr>
        <w:tblW w:w="5000" w:type="pct"/>
        <w:tblLook w:val="04A0" w:firstRow="1" w:lastRow="0" w:firstColumn="1" w:lastColumn="0" w:noHBand="0" w:noVBand="1"/>
      </w:tblPr>
      <w:tblGrid>
        <w:gridCol w:w="5071"/>
        <w:gridCol w:w="1325"/>
        <w:gridCol w:w="2630"/>
      </w:tblGrid>
      <w:tr w:rsidR="00222702" w:rsidRPr="00681977" w14:paraId="36C2CB89" w14:textId="77777777" w:rsidTr="00607653">
        <w:trPr>
          <w:trHeight w:val="288"/>
        </w:trPr>
        <w:tc>
          <w:tcPr>
            <w:tcW w:w="5000" w:type="pct"/>
            <w:gridSpan w:val="3"/>
            <w:tcBorders>
              <w:top w:val="nil"/>
              <w:left w:val="nil"/>
              <w:bottom w:val="single" w:sz="4" w:space="0" w:color="auto"/>
              <w:right w:val="nil"/>
            </w:tcBorders>
            <w:shd w:val="clear" w:color="auto" w:fill="auto"/>
            <w:noWrap/>
            <w:vAlign w:val="bottom"/>
            <w:hideMark/>
          </w:tcPr>
          <w:p w14:paraId="2CBEB578" w14:textId="77777777" w:rsidR="00832C58" w:rsidRPr="00681977" w:rsidRDefault="00222702" w:rsidP="007B07B4">
            <w:pPr>
              <w:spacing w:after="0" w:line="240" w:lineRule="auto"/>
              <w:jc w:val="both"/>
              <w:rPr>
                <w:rFonts w:ascii="Arial" w:eastAsia="Times New Roman" w:hAnsi="Arial" w:cs="Arial"/>
                <w:b/>
                <w:bCs/>
                <w:color w:val="000000"/>
                <w:kern w:val="0"/>
                <w:sz w:val="20"/>
                <w:szCs w:val="20"/>
                <w:lang w:eastAsia="en-IN"/>
                <w14:ligatures w14:val="none"/>
              </w:rPr>
            </w:pPr>
            <w:r w:rsidRPr="00681977">
              <w:rPr>
                <w:rFonts w:ascii="Arial" w:eastAsia="Times New Roman" w:hAnsi="Arial" w:cs="Arial"/>
                <w:b/>
                <w:bCs/>
                <w:color w:val="000000"/>
                <w:kern w:val="0"/>
                <w:sz w:val="20"/>
                <w:szCs w:val="20"/>
                <w:lang w:eastAsia="en-IN"/>
                <w14:ligatures w14:val="none"/>
              </w:rPr>
              <w:t xml:space="preserve">Table </w:t>
            </w:r>
            <w:r w:rsidR="00607653" w:rsidRPr="00681977">
              <w:rPr>
                <w:rFonts w:ascii="Arial" w:eastAsia="Times New Roman" w:hAnsi="Arial" w:cs="Arial"/>
                <w:b/>
                <w:bCs/>
                <w:color w:val="000000"/>
                <w:kern w:val="0"/>
                <w:sz w:val="20"/>
                <w:szCs w:val="20"/>
                <w:lang w:eastAsia="en-IN"/>
                <w14:ligatures w14:val="none"/>
              </w:rPr>
              <w:t>3</w:t>
            </w:r>
          </w:p>
          <w:p w14:paraId="7FB6A43A" w14:textId="77777777" w:rsidR="00832C58" w:rsidRPr="00681977" w:rsidRDefault="00832C58" w:rsidP="007B07B4">
            <w:pPr>
              <w:spacing w:after="0" w:line="240" w:lineRule="auto"/>
              <w:jc w:val="both"/>
              <w:rPr>
                <w:rFonts w:ascii="Arial" w:eastAsia="Times New Roman" w:hAnsi="Arial" w:cs="Arial"/>
                <w:b/>
                <w:bCs/>
                <w:color w:val="000000"/>
                <w:kern w:val="0"/>
                <w:sz w:val="20"/>
                <w:szCs w:val="20"/>
                <w:lang w:eastAsia="en-IN"/>
                <w14:ligatures w14:val="none"/>
              </w:rPr>
            </w:pPr>
          </w:p>
          <w:p w14:paraId="107898FB" w14:textId="2B448BDF" w:rsidR="00222702" w:rsidRPr="00681977" w:rsidRDefault="00222702" w:rsidP="007B07B4">
            <w:pPr>
              <w:spacing w:after="0" w:line="240" w:lineRule="auto"/>
              <w:jc w:val="both"/>
              <w:rPr>
                <w:rFonts w:ascii="Arial" w:eastAsia="Times New Roman" w:hAnsi="Arial" w:cs="Arial"/>
                <w:i/>
                <w:iCs/>
                <w:color w:val="000000"/>
                <w:kern w:val="0"/>
                <w:sz w:val="20"/>
                <w:szCs w:val="20"/>
                <w:lang w:eastAsia="en-IN"/>
                <w14:ligatures w14:val="none"/>
              </w:rPr>
            </w:pPr>
            <w:r w:rsidRPr="00681977">
              <w:rPr>
                <w:rFonts w:ascii="Arial" w:eastAsia="Times New Roman" w:hAnsi="Arial" w:cs="Arial"/>
                <w:i/>
                <w:iCs/>
                <w:color w:val="000000"/>
                <w:kern w:val="0"/>
                <w:sz w:val="20"/>
                <w:szCs w:val="20"/>
                <w:lang w:eastAsia="en-IN"/>
                <w14:ligatures w14:val="none"/>
              </w:rPr>
              <w:t>Demographic Profile (n = 400)</w:t>
            </w:r>
          </w:p>
          <w:p w14:paraId="339D1E85" w14:textId="77777777" w:rsidR="00607653" w:rsidRPr="00681977" w:rsidRDefault="00607653" w:rsidP="007B07B4">
            <w:pPr>
              <w:spacing w:after="0" w:line="240" w:lineRule="auto"/>
              <w:jc w:val="both"/>
              <w:rPr>
                <w:rFonts w:ascii="Arial" w:eastAsia="Times New Roman" w:hAnsi="Arial" w:cs="Arial"/>
                <w:b/>
                <w:bCs/>
                <w:color w:val="000000"/>
                <w:kern w:val="0"/>
                <w:sz w:val="20"/>
                <w:szCs w:val="20"/>
                <w:lang w:eastAsia="en-IN"/>
                <w14:ligatures w14:val="none"/>
              </w:rPr>
            </w:pPr>
          </w:p>
          <w:p w14:paraId="600EE70D" w14:textId="77777777" w:rsidR="00222702" w:rsidRPr="00681977" w:rsidRDefault="00222702" w:rsidP="007B07B4">
            <w:pPr>
              <w:spacing w:after="0" w:line="240" w:lineRule="auto"/>
              <w:jc w:val="both"/>
              <w:rPr>
                <w:rFonts w:ascii="Arial" w:eastAsia="Times New Roman" w:hAnsi="Arial" w:cs="Arial"/>
                <w:b/>
                <w:bCs/>
                <w:color w:val="000000"/>
                <w:kern w:val="0"/>
                <w:sz w:val="20"/>
                <w:szCs w:val="20"/>
                <w:lang w:eastAsia="en-IN"/>
                <w14:ligatures w14:val="none"/>
              </w:rPr>
            </w:pPr>
          </w:p>
        </w:tc>
      </w:tr>
      <w:tr w:rsidR="00222702" w:rsidRPr="00681977" w14:paraId="00755540" w14:textId="77777777" w:rsidTr="00607653">
        <w:trPr>
          <w:trHeight w:val="288"/>
        </w:trPr>
        <w:tc>
          <w:tcPr>
            <w:tcW w:w="2809" w:type="pct"/>
            <w:tcBorders>
              <w:top w:val="nil"/>
              <w:left w:val="nil"/>
              <w:bottom w:val="single" w:sz="4" w:space="0" w:color="auto"/>
              <w:right w:val="nil"/>
            </w:tcBorders>
            <w:shd w:val="clear" w:color="auto" w:fill="auto"/>
            <w:noWrap/>
            <w:vAlign w:val="bottom"/>
            <w:hideMark/>
          </w:tcPr>
          <w:p w14:paraId="6A07057B" w14:textId="77777777" w:rsidR="00222702" w:rsidRPr="00681977" w:rsidRDefault="00222702" w:rsidP="007B07B4">
            <w:pPr>
              <w:spacing w:after="0" w:line="240" w:lineRule="auto"/>
              <w:jc w:val="both"/>
              <w:rPr>
                <w:rFonts w:ascii="Arial" w:eastAsia="Times New Roman" w:hAnsi="Arial" w:cs="Arial"/>
                <w:b/>
                <w:bCs/>
                <w:color w:val="000000"/>
                <w:kern w:val="0"/>
                <w:sz w:val="20"/>
                <w:szCs w:val="20"/>
                <w:lang w:eastAsia="en-IN"/>
                <w14:ligatures w14:val="none"/>
              </w:rPr>
            </w:pPr>
            <w:r w:rsidRPr="00681977">
              <w:rPr>
                <w:rFonts w:ascii="Arial" w:eastAsia="Times New Roman" w:hAnsi="Arial" w:cs="Arial"/>
                <w:b/>
                <w:bCs/>
                <w:color w:val="000000"/>
                <w:kern w:val="0"/>
                <w:sz w:val="20"/>
                <w:szCs w:val="20"/>
                <w:lang w:eastAsia="en-IN"/>
                <w14:ligatures w14:val="none"/>
              </w:rPr>
              <w:t>Category</w:t>
            </w:r>
          </w:p>
        </w:tc>
        <w:tc>
          <w:tcPr>
            <w:tcW w:w="734" w:type="pct"/>
            <w:tcBorders>
              <w:top w:val="nil"/>
              <w:left w:val="nil"/>
              <w:bottom w:val="single" w:sz="4" w:space="0" w:color="auto"/>
              <w:right w:val="nil"/>
            </w:tcBorders>
            <w:shd w:val="clear" w:color="auto" w:fill="auto"/>
            <w:noWrap/>
            <w:vAlign w:val="bottom"/>
            <w:hideMark/>
          </w:tcPr>
          <w:p w14:paraId="2A6A4129" w14:textId="77777777" w:rsidR="00222702" w:rsidRPr="00681977" w:rsidRDefault="00222702" w:rsidP="00607653">
            <w:pPr>
              <w:spacing w:after="0" w:line="240" w:lineRule="auto"/>
              <w:jc w:val="center"/>
              <w:rPr>
                <w:rFonts w:ascii="Arial" w:eastAsia="Times New Roman" w:hAnsi="Arial" w:cs="Arial"/>
                <w:b/>
                <w:bCs/>
                <w:color w:val="000000"/>
                <w:kern w:val="0"/>
                <w:sz w:val="20"/>
                <w:szCs w:val="20"/>
                <w:lang w:eastAsia="en-IN"/>
                <w14:ligatures w14:val="none"/>
              </w:rPr>
            </w:pPr>
            <w:r w:rsidRPr="00681977">
              <w:rPr>
                <w:rFonts w:ascii="Arial" w:eastAsia="Times New Roman" w:hAnsi="Arial" w:cs="Arial"/>
                <w:b/>
                <w:bCs/>
                <w:color w:val="000000"/>
                <w:kern w:val="0"/>
                <w:sz w:val="20"/>
                <w:szCs w:val="20"/>
                <w:lang w:eastAsia="en-IN"/>
                <w14:ligatures w14:val="none"/>
              </w:rPr>
              <w:t>Count</w:t>
            </w:r>
          </w:p>
        </w:tc>
        <w:tc>
          <w:tcPr>
            <w:tcW w:w="1457" w:type="pct"/>
            <w:tcBorders>
              <w:top w:val="nil"/>
              <w:left w:val="nil"/>
              <w:bottom w:val="single" w:sz="4" w:space="0" w:color="auto"/>
              <w:right w:val="nil"/>
            </w:tcBorders>
            <w:shd w:val="clear" w:color="auto" w:fill="auto"/>
            <w:noWrap/>
            <w:vAlign w:val="bottom"/>
            <w:hideMark/>
          </w:tcPr>
          <w:p w14:paraId="495296F0" w14:textId="77777777" w:rsidR="00222702" w:rsidRPr="00681977" w:rsidRDefault="00222702" w:rsidP="00607653">
            <w:pPr>
              <w:spacing w:after="0" w:line="240" w:lineRule="auto"/>
              <w:jc w:val="center"/>
              <w:rPr>
                <w:rFonts w:ascii="Arial" w:eastAsia="Times New Roman" w:hAnsi="Arial" w:cs="Arial"/>
                <w:b/>
                <w:bCs/>
                <w:color w:val="000000"/>
                <w:kern w:val="0"/>
                <w:sz w:val="20"/>
                <w:szCs w:val="20"/>
                <w:lang w:eastAsia="en-IN"/>
                <w14:ligatures w14:val="none"/>
              </w:rPr>
            </w:pPr>
            <w:r w:rsidRPr="00681977">
              <w:rPr>
                <w:rFonts w:ascii="Arial" w:eastAsia="Times New Roman" w:hAnsi="Arial" w:cs="Arial"/>
                <w:b/>
                <w:bCs/>
                <w:color w:val="000000"/>
                <w:kern w:val="0"/>
                <w:sz w:val="20"/>
                <w:szCs w:val="20"/>
                <w:lang w:eastAsia="en-IN"/>
                <w14:ligatures w14:val="none"/>
              </w:rPr>
              <w:t>Percentage (%)</w:t>
            </w:r>
          </w:p>
        </w:tc>
      </w:tr>
      <w:tr w:rsidR="00222702" w:rsidRPr="00681977" w14:paraId="6724B430" w14:textId="77777777" w:rsidTr="00607653">
        <w:trPr>
          <w:trHeight w:val="288"/>
        </w:trPr>
        <w:tc>
          <w:tcPr>
            <w:tcW w:w="2809" w:type="pct"/>
            <w:tcBorders>
              <w:top w:val="nil"/>
              <w:left w:val="nil"/>
              <w:bottom w:val="nil"/>
              <w:right w:val="nil"/>
            </w:tcBorders>
            <w:shd w:val="clear" w:color="auto" w:fill="auto"/>
            <w:noWrap/>
            <w:vAlign w:val="bottom"/>
            <w:hideMark/>
          </w:tcPr>
          <w:p w14:paraId="3054267B" w14:textId="77777777" w:rsidR="00222702" w:rsidRPr="00681977" w:rsidRDefault="00222702" w:rsidP="00BB0D8C">
            <w:pPr>
              <w:spacing w:line="240" w:lineRule="auto"/>
              <w:jc w:val="both"/>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Age 18 - 25</w:t>
            </w:r>
          </w:p>
        </w:tc>
        <w:tc>
          <w:tcPr>
            <w:tcW w:w="734" w:type="pct"/>
            <w:tcBorders>
              <w:top w:val="nil"/>
              <w:left w:val="nil"/>
              <w:bottom w:val="nil"/>
              <w:right w:val="nil"/>
            </w:tcBorders>
            <w:shd w:val="clear" w:color="auto" w:fill="auto"/>
            <w:noWrap/>
            <w:vAlign w:val="bottom"/>
            <w:hideMark/>
          </w:tcPr>
          <w:p w14:paraId="2755194C" w14:textId="77777777" w:rsidR="00222702" w:rsidRPr="00681977" w:rsidRDefault="00222702" w:rsidP="00BB0D8C">
            <w:pPr>
              <w:spacing w:line="240" w:lineRule="auto"/>
              <w:jc w:val="center"/>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110</w:t>
            </w:r>
          </w:p>
        </w:tc>
        <w:tc>
          <w:tcPr>
            <w:tcW w:w="1457" w:type="pct"/>
            <w:tcBorders>
              <w:top w:val="nil"/>
              <w:left w:val="nil"/>
              <w:bottom w:val="nil"/>
              <w:right w:val="nil"/>
            </w:tcBorders>
            <w:shd w:val="clear" w:color="auto" w:fill="auto"/>
            <w:noWrap/>
            <w:vAlign w:val="bottom"/>
            <w:hideMark/>
          </w:tcPr>
          <w:p w14:paraId="06B84B12" w14:textId="77777777" w:rsidR="00222702" w:rsidRPr="00681977" w:rsidRDefault="00222702" w:rsidP="00BB0D8C">
            <w:pPr>
              <w:spacing w:line="240" w:lineRule="auto"/>
              <w:jc w:val="center"/>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27.5</w:t>
            </w:r>
          </w:p>
        </w:tc>
      </w:tr>
      <w:tr w:rsidR="00222702" w:rsidRPr="00681977" w14:paraId="0B813422" w14:textId="77777777" w:rsidTr="00607653">
        <w:trPr>
          <w:trHeight w:val="288"/>
        </w:trPr>
        <w:tc>
          <w:tcPr>
            <w:tcW w:w="2809" w:type="pct"/>
            <w:tcBorders>
              <w:top w:val="nil"/>
              <w:left w:val="nil"/>
              <w:bottom w:val="nil"/>
              <w:right w:val="nil"/>
            </w:tcBorders>
            <w:shd w:val="clear" w:color="auto" w:fill="auto"/>
            <w:noWrap/>
            <w:vAlign w:val="bottom"/>
            <w:hideMark/>
          </w:tcPr>
          <w:p w14:paraId="062171F1" w14:textId="77777777" w:rsidR="00222702" w:rsidRPr="00681977" w:rsidRDefault="00222702" w:rsidP="00BB0D8C">
            <w:pPr>
              <w:spacing w:line="240" w:lineRule="auto"/>
              <w:jc w:val="both"/>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Age 26 - 35</w:t>
            </w:r>
          </w:p>
        </w:tc>
        <w:tc>
          <w:tcPr>
            <w:tcW w:w="734" w:type="pct"/>
            <w:tcBorders>
              <w:top w:val="nil"/>
              <w:left w:val="nil"/>
              <w:bottom w:val="nil"/>
              <w:right w:val="nil"/>
            </w:tcBorders>
            <w:shd w:val="clear" w:color="auto" w:fill="auto"/>
            <w:noWrap/>
            <w:vAlign w:val="bottom"/>
            <w:hideMark/>
          </w:tcPr>
          <w:p w14:paraId="4C1CD3E9" w14:textId="77777777" w:rsidR="00222702" w:rsidRPr="00681977" w:rsidRDefault="00222702" w:rsidP="00BB0D8C">
            <w:pPr>
              <w:spacing w:line="240" w:lineRule="auto"/>
              <w:jc w:val="center"/>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150</w:t>
            </w:r>
          </w:p>
        </w:tc>
        <w:tc>
          <w:tcPr>
            <w:tcW w:w="1457" w:type="pct"/>
            <w:tcBorders>
              <w:top w:val="nil"/>
              <w:left w:val="nil"/>
              <w:bottom w:val="nil"/>
              <w:right w:val="nil"/>
            </w:tcBorders>
            <w:shd w:val="clear" w:color="auto" w:fill="auto"/>
            <w:noWrap/>
            <w:vAlign w:val="bottom"/>
            <w:hideMark/>
          </w:tcPr>
          <w:p w14:paraId="08FA75AD" w14:textId="77777777" w:rsidR="00222702" w:rsidRPr="00681977" w:rsidRDefault="00222702" w:rsidP="00BB0D8C">
            <w:pPr>
              <w:spacing w:line="240" w:lineRule="auto"/>
              <w:jc w:val="center"/>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37.5</w:t>
            </w:r>
          </w:p>
        </w:tc>
      </w:tr>
      <w:tr w:rsidR="00222702" w:rsidRPr="00681977" w14:paraId="14BC1215" w14:textId="77777777" w:rsidTr="00607653">
        <w:trPr>
          <w:trHeight w:val="288"/>
        </w:trPr>
        <w:tc>
          <w:tcPr>
            <w:tcW w:w="2809" w:type="pct"/>
            <w:tcBorders>
              <w:top w:val="nil"/>
              <w:left w:val="nil"/>
              <w:bottom w:val="nil"/>
              <w:right w:val="nil"/>
            </w:tcBorders>
            <w:shd w:val="clear" w:color="auto" w:fill="auto"/>
            <w:noWrap/>
            <w:vAlign w:val="bottom"/>
            <w:hideMark/>
          </w:tcPr>
          <w:p w14:paraId="76B9BE5C" w14:textId="77777777" w:rsidR="00222702" w:rsidRPr="00681977" w:rsidRDefault="00222702" w:rsidP="00BB0D8C">
            <w:pPr>
              <w:spacing w:line="240" w:lineRule="auto"/>
              <w:jc w:val="both"/>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Age 36 - 45</w:t>
            </w:r>
          </w:p>
        </w:tc>
        <w:tc>
          <w:tcPr>
            <w:tcW w:w="734" w:type="pct"/>
            <w:tcBorders>
              <w:top w:val="nil"/>
              <w:left w:val="nil"/>
              <w:bottom w:val="nil"/>
              <w:right w:val="nil"/>
            </w:tcBorders>
            <w:shd w:val="clear" w:color="auto" w:fill="auto"/>
            <w:noWrap/>
            <w:vAlign w:val="bottom"/>
            <w:hideMark/>
          </w:tcPr>
          <w:p w14:paraId="4EC8D099" w14:textId="77777777" w:rsidR="00222702" w:rsidRPr="00681977" w:rsidRDefault="00222702" w:rsidP="00BB0D8C">
            <w:pPr>
              <w:spacing w:line="240" w:lineRule="auto"/>
              <w:jc w:val="center"/>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90</w:t>
            </w:r>
          </w:p>
        </w:tc>
        <w:tc>
          <w:tcPr>
            <w:tcW w:w="1457" w:type="pct"/>
            <w:tcBorders>
              <w:top w:val="nil"/>
              <w:left w:val="nil"/>
              <w:bottom w:val="nil"/>
              <w:right w:val="nil"/>
            </w:tcBorders>
            <w:shd w:val="clear" w:color="auto" w:fill="auto"/>
            <w:noWrap/>
            <w:vAlign w:val="bottom"/>
            <w:hideMark/>
          </w:tcPr>
          <w:p w14:paraId="08F75D1F" w14:textId="77777777" w:rsidR="00222702" w:rsidRPr="00681977" w:rsidRDefault="00222702" w:rsidP="00BB0D8C">
            <w:pPr>
              <w:spacing w:line="240" w:lineRule="auto"/>
              <w:jc w:val="center"/>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22.5</w:t>
            </w:r>
          </w:p>
        </w:tc>
      </w:tr>
      <w:tr w:rsidR="00222702" w:rsidRPr="00681977" w14:paraId="244F10E1" w14:textId="77777777" w:rsidTr="00607653">
        <w:trPr>
          <w:trHeight w:val="288"/>
        </w:trPr>
        <w:tc>
          <w:tcPr>
            <w:tcW w:w="2809" w:type="pct"/>
            <w:tcBorders>
              <w:top w:val="nil"/>
              <w:left w:val="nil"/>
              <w:bottom w:val="single" w:sz="4" w:space="0" w:color="auto"/>
              <w:right w:val="nil"/>
            </w:tcBorders>
            <w:shd w:val="clear" w:color="auto" w:fill="auto"/>
            <w:noWrap/>
            <w:vAlign w:val="bottom"/>
            <w:hideMark/>
          </w:tcPr>
          <w:p w14:paraId="0E0E5C5D" w14:textId="77777777" w:rsidR="00222702" w:rsidRPr="00681977" w:rsidRDefault="00222702" w:rsidP="00BB0D8C">
            <w:pPr>
              <w:spacing w:line="240" w:lineRule="auto"/>
              <w:jc w:val="both"/>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Age 46+</w:t>
            </w:r>
          </w:p>
        </w:tc>
        <w:tc>
          <w:tcPr>
            <w:tcW w:w="734" w:type="pct"/>
            <w:tcBorders>
              <w:top w:val="nil"/>
              <w:left w:val="nil"/>
              <w:bottom w:val="single" w:sz="4" w:space="0" w:color="auto"/>
              <w:right w:val="nil"/>
            </w:tcBorders>
            <w:shd w:val="clear" w:color="auto" w:fill="auto"/>
            <w:noWrap/>
            <w:vAlign w:val="bottom"/>
            <w:hideMark/>
          </w:tcPr>
          <w:p w14:paraId="57FA201E" w14:textId="77777777" w:rsidR="00222702" w:rsidRPr="00681977" w:rsidRDefault="00222702" w:rsidP="00BB0D8C">
            <w:pPr>
              <w:spacing w:line="240" w:lineRule="auto"/>
              <w:jc w:val="center"/>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50</w:t>
            </w:r>
          </w:p>
        </w:tc>
        <w:tc>
          <w:tcPr>
            <w:tcW w:w="1457" w:type="pct"/>
            <w:tcBorders>
              <w:top w:val="nil"/>
              <w:left w:val="nil"/>
              <w:bottom w:val="single" w:sz="4" w:space="0" w:color="auto"/>
              <w:right w:val="nil"/>
            </w:tcBorders>
            <w:shd w:val="clear" w:color="auto" w:fill="auto"/>
            <w:noWrap/>
            <w:vAlign w:val="bottom"/>
            <w:hideMark/>
          </w:tcPr>
          <w:p w14:paraId="31AF11EA" w14:textId="77777777" w:rsidR="00222702" w:rsidRPr="00681977" w:rsidRDefault="00222702" w:rsidP="00BB0D8C">
            <w:pPr>
              <w:spacing w:line="240" w:lineRule="auto"/>
              <w:jc w:val="center"/>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12.5</w:t>
            </w:r>
          </w:p>
        </w:tc>
      </w:tr>
      <w:tr w:rsidR="00222702" w:rsidRPr="00681977" w14:paraId="6EB0D88A" w14:textId="77777777" w:rsidTr="00607653">
        <w:trPr>
          <w:trHeight w:val="288"/>
        </w:trPr>
        <w:tc>
          <w:tcPr>
            <w:tcW w:w="2809" w:type="pct"/>
            <w:tcBorders>
              <w:top w:val="nil"/>
              <w:left w:val="nil"/>
              <w:bottom w:val="nil"/>
              <w:right w:val="nil"/>
            </w:tcBorders>
            <w:shd w:val="clear" w:color="auto" w:fill="auto"/>
            <w:noWrap/>
            <w:vAlign w:val="bottom"/>
            <w:hideMark/>
          </w:tcPr>
          <w:p w14:paraId="08475D89" w14:textId="77777777" w:rsidR="00222702" w:rsidRPr="00681977" w:rsidRDefault="00222702" w:rsidP="00BB0D8C">
            <w:pPr>
              <w:spacing w:line="240" w:lineRule="auto"/>
              <w:jc w:val="both"/>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Male</w:t>
            </w:r>
          </w:p>
        </w:tc>
        <w:tc>
          <w:tcPr>
            <w:tcW w:w="734" w:type="pct"/>
            <w:tcBorders>
              <w:top w:val="nil"/>
              <w:left w:val="nil"/>
              <w:bottom w:val="nil"/>
              <w:right w:val="nil"/>
            </w:tcBorders>
            <w:shd w:val="clear" w:color="auto" w:fill="auto"/>
            <w:noWrap/>
            <w:vAlign w:val="bottom"/>
            <w:hideMark/>
          </w:tcPr>
          <w:p w14:paraId="34DC036C" w14:textId="77777777" w:rsidR="00222702" w:rsidRPr="00681977" w:rsidRDefault="00222702" w:rsidP="00BB0D8C">
            <w:pPr>
              <w:spacing w:line="240" w:lineRule="auto"/>
              <w:jc w:val="center"/>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210</w:t>
            </w:r>
          </w:p>
        </w:tc>
        <w:tc>
          <w:tcPr>
            <w:tcW w:w="1457" w:type="pct"/>
            <w:tcBorders>
              <w:top w:val="nil"/>
              <w:left w:val="nil"/>
              <w:bottom w:val="nil"/>
              <w:right w:val="nil"/>
            </w:tcBorders>
            <w:shd w:val="clear" w:color="auto" w:fill="auto"/>
            <w:noWrap/>
            <w:vAlign w:val="bottom"/>
            <w:hideMark/>
          </w:tcPr>
          <w:p w14:paraId="777C17FA" w14:textId="77777777" w:rsidR="00222702" w:rsidRPr="00681977" w:rsidRDefault="00222702" w:rsidP="00BB0D8C">
            <w:pPr>
              <w:spacing w:line="240" w:lineRule="auto"/>
              <w:jc w:val="center"/>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52.5</w:t>
            </w:r>
          </w:p>
        </w:tc>
      </w:tr>
      <w:tr w:rsidR="00222702" w:rsidRPr="00681977" w14:paraId="2C786AFF" w14:textId="77777777" w:rsidTr="00607653">
        <w:trPr>
          <w:trHeight w:val="288"/>
        </w:trPr>
        <w:tc>
          <w:tcPr>
            <w:tcW w:w="2809" w:type="pct"/>
            <w:tcBorders>
              <w:top w:val="nil"/>
              <w:left w:val="nil"/>
              <w:bottom w:val="nil"/>
              <w:right w:val="nil"/>
            </w:tcBorders>
            <w:shd w:val="clear" w:color="auto" w:fill="auto"/>
            <w:noWrap/>
            <w:vAlign w:val="bottom"/>
            <w:hideMark/>
          </w:tcPr>
          <w:p w14:paraId="117016C1" w14:textId="77777777" w:rsidR="00222702" w:rsidRPr="00681977" w:rsidRDefault="00222702" w:rsidP="00BB0D8C">
            <w:pPr>
              <w:spacing w:line="240" w:lineRule="auto"/>
              <w:jc w:val="both"/>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Female</w:t>
            </w:r>
          </w:p>
        </w:tc>
        <w:tc>
          <w:tcPr>
            <w:tcW w:w="734" w:type="pct"/>
            <w:tcBorders>
              <w:top w:val="nil"/>
              <w:left w:val="nil"/>
              <w:bottom w:val="nil"/>
              <w:right w:val="nil"/>
            </w:tcBorders>
            <w:shd w:val="clear" w:color="auto" w:fill="auto"/>
            <w:noWrap/>
            <w:vAlign w:val="bottom"/>
            <w:hideMark/>
          </w:tcPr>
          <w:p w14:paraId="14259DE4" w14:textId="77777777" w:rsidR="00222702" w:rsidRPr="00681977" w:rsidRDefault="00222702" w:rsidP="00BB0D8C">
            <w:pPr>
              <w:spacing w:line="240" w:lineRule="auto"/>
              <w:jc w:val="center"/>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175</w:t>
            </w:r>
          </w:p>
        </w:tc>
        <w:tc>
          <w:tcPr>
            <w:tcW w:w="1457" w:type="pct"/>
            <w:tcBorders>
              <w:top w:val="nil"/>
              <w:left w:val="nil"/>
              <w:bottom w:val="nil"/>
              <w:right w:val="nil"/>
            </w:tcBorders>
            <w:shd w:val="clear" w:color="auto" w:fill="auto"/>
            <w:noWrap/>
            <w:vAlign w:val="bottom"/>
            <w:hideMark/>
          </w:tcPr>
          <w:p w14:paraId="0226FB04" w14:textId="77777777" w:rsidR="00222702" w:rsidRPr="00681977" w:rsidRDefault="00222702" w:rsidP="00BB0D8C">
            <w:pPr>
              <w:spacing w:line="240" w:lineRule="auto"/>
              <w:jc w:val="center"/>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43.8</w:t>
            </w:r>
          </w:p>
        </w:tc>
      </w:tr>
      <w:tr w:rsidR="00222702" w:rsidRPr="00681977" w14:paraId="11C1191F" w14:textId="77777777" w:rsidTr="00607653">
        <w:trPr>
          <w:trHeight w:val="288"/>
        </w:trPr>
        <w:tc>
          <w:tcPr>
            <w:tcW w:w="2809" w:type="pct"/>
            <w:tcBorders>
              <w:top w:val="nil"/>
              <w:left w:val="nil"/>
              <w:bottom w:val="single" w:sz="4" w:space="0" w:color="auto"/>
              <w:right w:val="nil"/>
            </w:tcBorders>
            <w:shd w:val="clear" w:color="auto" w:fill="auto"/>
            <w:noWrap/>
            <w:vAlign w:val="bottom"/>
            <w:hideMark/>
          </w:tcPr>
          <w:p w14:paraId="22AD885D" w14:textId="77777777" w:rsidR="00222702" w:rsidRPr="00681977" w:rsidRDefault="00222702" w:rsidP="00BB0D8C">
            <w:pPr>
              <w:spacing w:line="240" w:lineRule="auto"/>
              <w:jc w:val="both"/>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Non-binary / Prefer not to say</w:t>
            </w:r>
          </w:p>
        </w:tc>
        <w:tc>
          <w:tcPr>
            <w:tcW w:w="734" w:type="pct"/>
            <w:tcBorders>
              <w:top w:val="nil"/>
              <w:left w:val="nil"/>
              <w:bottom w:val="single" w:sz="4" w:space="0" w:color="auto"/>
              <w:right w:val="nil"/>
            </w:tcBorders>
            <w:shd w:val="clear" w:color="auto" w:fill="auto"/>
            <w:noWrap/>
            <w:vAlign w:val="bottom"/>
            <w:hideMark/>
          </w:tcPr>
          <w:p w14:paraId="76552C73" w14:textId="77777777" w:rsidR="00222702" w:rsidRPr="00681977" w:rsidRDefault="00222702" w:rsidP="00BB0D8C">
            <w:pPr>
              <w:spacing w:line="240" w:lineRule="auto"/>
              <w:jc w:val="center"/>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15</w:t>
            </w:r>
          </w:p>
        </w:tc>
        <w:tc>
          <w:tcPr>
            <w:tcW w:w="1457" w:type="pct"/>
            <w:tcBorders>
              <w:top w:val="nil"/>
              <w:left w:val="nil"/>
              <w:bottom w:val="single" w:sz="4" w:space="0" w:color="auto"/>
              <w:right w:val="nil"/>
            </w:tcBorders>
            <w:shd w:val="clear" w:color="auto" w:fill="auto"/>
            <w:noWrap/>
            <w:vAlign w:val="bottom"/>
            <w:hideMark/>
          </w:tcPr>
          <w:p w14:paraId="3C9741B9" w14:textId="77777777" w:rsidR="00222702" w:rsidRPr="00681977" w:rsidRDefault="00222702" w:rsidP="00BB0D8C">
            <w:pPr>
              <w:spacing w:line="240" w:lineRule="auto"/>
              <w:jc w:val="center"/>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3.7</w:t>
            </w:r>
          </w:p>
        </w:tc>
      </w:tr>
      <w:tr w:rsidR="00222702" w:rsidRPr="00681977" w14:paraId="149FED96" w14:textId="77777777" w:rsidTr="00607653">
        <w:trPr>
          <w:trHeight w:val="288"/>
        </w:trPr>
        <w:tc>
          <w:tcPr>
            <w:tcW w:w="2809" w:type="pct"/>
            <w:tcBorders>
              <w:top w:val="nil"/>
              <w:left w:val="nil"/>
              <w:bottom w:val="nil"/>
              <w:right w:val="nil"/>
            </w:tcBorders>
            <w:shd w:val="clear" w:color="auto" w:fill="auto"/>
            <w:noWrap/>
            <w:vAlign w:val="bottom"/>
            <w:hideMark/>
          </w:tcPr>
          <w:p w14:paraId="37ED759B" w14:textId="77777777" w:rsidR="00222702" w:rsidRPr="00681977" w:rsidRDefault="00222702" w:rsidP="00BB0D8C">
            <w:pPr>
              <w:spacing w:line="240" w:lineRule="auto"/>
              <w:jc w:val="both"/>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1 - 2 trips</w:t>
            </w:r>
          </w:p>
        </w:tc>
        <w:tc>
          <w:tcPr>
            <w:tcW w:w="734" w:type="pct"/>
            <w:tcBorders>
              <w:top w:val="nil"/>
              <w:left w:val="nil"/>
              <w:bottom w:val="nil"/>
              <w:right w:val="nil"/>
            </w:tcBorders>
            <w:shd w:val="clear" w:color="auto" w:fill="auto"/>
            <w:noWrap/>
            <w:vAlign w:val="bottom"/>
            <w:hideMark/>
          </w:tcPr>
          <w:p w14:paraId="2BC58FC1" w14:textId="77777777" w:rsidR="00222702" w:rsidRPr="00681977" w:rsidRDefault="00222702" w:rsidP="00BB0D8C">
            <w:pPr>
              <w:spacing w:line="240" w:lineRule="auto"/>
              <w:jc w:val="center"/>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180</w:t>
            </w:r>
          </w:p>
        </w:tc>
        <w:tc>
          <w:tcPr>
            <w:tcW w:w="1457" w:type="pct"/>
            <w:tcBorders>
              <w:top w:val="nil"/>
              <w:left w:val="nil"/>
              <w:bottom w:val="nil"/>
              <w:right w:val="nil"/>
            </w:tcBorders>
            <w:shd w:val="clear" w:color="auto" w:fill="auto"/>
            <w:noWrap/>
            <w:vAlign w:val="bottom"/>
            <w:hideMark/>
          </w:tcPr>
          <w:p w14:paraId="5528ADC9" w14:textId="77777777" w:rsidR="00222702" w:rsidRPr="00681977" w:rsidRDefault="00222702" w:rsidP="00BB0D8C">
            <w:pPr>
              <w:spacing w:line="240" w:lineRule="auto"/>
              <w:jc w:val="center"/>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45</w:t>
            </w:r>
          </w:p>
        </w:tc>
      </w:tr>
      <w:tr w:rsidR="00222702" w:rsidRPr="00681977" w14:paraId="22356DD6" w14:textId="77777777" w:rsidTr="00607653">
        <w:trPr>
          <w:trHeight w:val="288"/>
        </w:trPr>
        <w:tc>
          <w:tcPr>
            <w:tcW w:w="2809" w:type="pct"/>
            <w:tcBorders>
              <w:top w:val="nil"/>
              <w:left w:val="nil"/>
              <w:bottom w:val="nil"/>
              <w:right w:val="nil"/>
            </w:tcBorders>
            <w:shd w:val="clear" w:color="auto" w:fill="auto"/>
            <w:noWrap/>
            <w:vAlign w:val="bottom"/>
            <w:hideMark/>
          </w:tcPr>
          <w:p w14:paraId="566A46BE" w14:textId="77777777" w:rsidR="00222702" w:rsidRPr="00681977" w:rsidRDefault="00222702" w:rsidP="00BB0D8C">
            <w:pPr>
              <w:spacing w:line="240" w:lineRule="auto"/>
              <w:jc w:val="both"/>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3 - 5 trips</w:t>
            </w:r>
          </w:p>
        </w:tc>
        <w:tc>
          <w:tcPr>
            <w:tcW w:w="734" w:type="pct"/>
            <w:tcBorders>
              <w:top w:val="nil"/>
              <w:left w:val="nil"/>
              <w:bottom w:val="nil"/>
              <w:right w:val="nil"/>
            </w:tcBorders>
            <w:shd w:val="clear" w:color="auto" w:fill="auto"/>
            <w:noWrap/>
            <w:vAlign w:val="bottom"/>
            <w:hideMark/>
          </w:tcPr>
          <w:p w14:paraId="4628CA27" w14:textId="77777777" w:rsidR="00222702" w:rsidRPr="00681977" w:rsidRDefault="00222702" w:rsidP="00BB0D8C">
            <w:pPr>
              <w:spacing w:line="240" w:lineRule="auto"/>
              <w:jc w:val="center"/>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150</w:t>
            </w:r>
          </w:p>
        </w:tc>
        <w:tc>
          <w:tcPr>
            <w:tcW w:w="1457" w:type="pct"/>
            <w:tcBorders>
              <w:top w:val="nil"/>
              <w:left w:val="nil"/>
              <w:bottom w:val="nil"/>
              <w:right w:val="nil"/>
            </w:tcBorders>
            <w:shd w:val="clear" w:color="auto" w:fill="auto"/>
            <w:noWrap/>
            <w:vAlign w:val="bottom"/>
            <w:hideMark/>
          </w:tcPr>
          <w:p w14:paraId="25E01FEC" w14:textId="77777777" w:rsidR="00222702" w:rsidRPr="00681977" w:rsidRDefault="00222702" w:rsidP="00BB0D8C">
            <w:pPr>
              <w:spacing w:line="240" w:lineRule="auto"/>
              <w:jc w:val="center"/>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37.5</w:t>
            </w:r>
          </w:p>
        </w:tc>
      </w:tr>
      <w:tr w:rsidR="00222702" w:rsidRPr="00681977" w14:paraId="0F6260DB" w14:textId="77777777" w:rsidTr="00607653">
        <w:trPr>
          <w:trHeight w:val="288"/>
        </w:trPr>
        <w:tc>
          <w:tcPr>
            <w:tcW w:w="2809" w:type="pct"/>
            <w:tcBorders>
              <w:top w:val="nil"/>
              <w:left w:val="nil"/>
              <w:bottom w:val="single" w:sz="4" w:space="0" w:color="auto"/>
              <w:right w:val="nil"/>
            </w:tcBorders>
            <w:shd w:val="clear" w:color="auto" w:fill="auto"/>
            <w:noWrap/>
            <w:vAlign w:val="bottom"/>
            <w:hideMark/>
          </w:tcPr>
          <w:p w14:paraId="76C3810E" w14:textId="77777777" w:rsidR="00222702" w:rsidRPr="00681977" w:rsidRDefault="00222702" w:rsidP="00BB0D8C">
            <w:pPr>
              <w:spacing w:line="240" w:lineRule="auto"/>
              <w:jc w:val="both"/>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6+ trips</w:t>
            </w:r>
          </w:p>
        </w:tc>
        <w:tc>
          <w:tcPr>
            <w:tcW w:w="734" w:type="pct"/>
            <w:tcBorders>
              <w:top w:val="nil"/>
              <w:left w:val="nil"/>
              <w:bottom w:val="single" w:sz="4" w:space="0" w:color="auto"/>
              <w:right w:val="nil"/>
            </w:tcBorders>
            <w:shd w:val="clear" w:color="auto" w:fill="auto"/>
            <w:noWrap/>
            <w:vAlign w:val="bottom"/>
            <w:hideMark/>
          </w:tcPr>
          <w:p w14:paraId="453AFFE1" w14:textId="77777777" w:rsidR="00222702" w:rsidRPr="00681977" w:rsidRDefault="00222702" w:rsidP="00BB0D8C">
            <w:pPr>
              <w:spacing w:line="240" w:lineRule="auto"/>
              <w:jc w:val="center"/>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70</w:t>
            </w:r>
          </w:p>
        </w:tc>
        <w:tc>
          <w:tcPr>
            <w:tcW w:w="1457" w:type="pct"/>
            <w:tcBorders>
              <w:top w:val="nil"/>
              <w:left w:val="nil"/>
              <w:bottom w:val="single" w:sz="4" w:space="0" w:color="auto"/>
              <w:right w:val="nil"/>
            </w:tcBorders>
            <w:shd w:val="clear" w:color="auto" w:fill="auto"/>
            <w:noWrap/>
            <w:vAlign w:val="bottom"/>
            <w:hideMark/>
          </w:tcPr>
          <w:p w14:paraId="03773614" w14:textId="77777777" w:rsidR="00222702" w:rsidRPr="00681977" w:rsidRDefault="00222702" w:rsidP="00BB0D8C">
            <w:pPr>
              <w:spacing w:line="240" w:lineRule="auto"/>
              <w:jc w:val="center"/>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17.5</w:t>
            </w:r>
          </w:p>
        </w:tc>
      </w:tr>
    </w:tbl>
    <w:p w14:paraId="1C2578CD" w14:textId="77777777" w:rsidR="00ED008E" w:rsidRPr="00681977" w:rsidRDefault="00ED008E" w:rsidP="007B07B4">
      <w:pPr>
        <w:jc w:val="both"/>
        <w:rPr>
          <w:rFonts w:ascii="Arial" w:hAnsi="Arial" w:cs="Arial"/>
          <w:sz w:val="20"/>
          <w:szCs w:val="20"/>
        </w:rPr>
      </w:pPr>
    </w:p>
    <w:p w14:paraId="33732775" w14:textId="77777777" w:rsidR="00ED008E" w:rsidRPr="00681977" w:rsidRDefault="00ED008E" w:rsidP="007B07B4">
      <w:pPr>
        <w:jc w:val="both"/>
        <w:rPr>
          <w:rFonts w:ascii="Arial" w:hAnsi="Arial" w:cs="Arial"/>
          <w:b/>
          <w:bCs/>
        </w:rPr>
      </w:pPr>
      <w:r w:rsidRPr="00681977">
        <w:rPr>
          <w:rFonts w:ascii="Arial" w:hAnsi="Arial" w:cs="Arial"/>
          <w:b/>
          <w:bCs/>
        </w:rPr>
        <w:t>5.2 Measurement Model Evaluation</w:t>
      </w:r>
    </w:p>
    <w:p w14:paraId="63BD85B3" w14:textId="763B3568" w:rsidR="00ED008E" w:rsidRPr="00681977" w:rsidRDefault="00EA5FD7" w:rsidP="007B07B4">
      <w:pPr>
        <w:jc w:val="both"/>
        <w:rPr>
          <w:rFonts w:ascii="Arial" w:hAnsi="Arial" w:cs="Arial"/>
          <w:sz w:val="20"/>
          <w:szCs w:val="20"/>
        </w:rPr>
      </w:pPr>
      <w:r w:rsidRPr="00681977">
        <w:rPr>
          <w:rFonts w:ascii="Arial" w:hAnsi="Arial" w:cs="Arial"/>
          <w:sz w:val="20"/>
          <w:szCs w:val="20"/>
        </w:rPr>
        <w:t xml:space="preserve">Table 4 provides a summary of the analysis results relating to the measurement model's reliability and convergent validity, both established satisfactorily. All constructs exhibited strong internal consistency, with values of Cronbach's alpha (α) surpassing the recommended cutoff of 0.80. Composite reliability (CR) measures were surpassing a value of 0.86 for all cases, indicating a stable and reliable latent construct. Average Variance Extracted (AVE) values ranged above 0.57, thus fulfilling accepted criteria for convergent validity (Hair et al., 2019). Furthermore, discriminant validity (Table 5) was established through both the Fornell–Larcker criterion and the </w:t>
      </w:r>
      <w:proofErr w:type="spellStart"/>
      <w:r w:rsidRPr="00681977">
        <w:rPr>
          <w:rFonts w:ascii="Arial" w:hAnsi="Arial" w:cs="Arial"/>
          <w:sz w:val="20"/>
          <w:szCs w:val="20"/>
        </w:rPr>
        <w:t>Heterotrait</w:t>
      </w:r>
      <w:proofErr w:type="spellEnd"/>
      <w:r w:rsidRPr="00681977">
        <w:rPr>
          <w:rFonts w:ascii="Arial" w:hAnsi="Arial" w:cs="Arial"/>
          <w:sz w:val="20"/>
          <w:szCs w:val="20"/>
        </w:rPr>
        <w:t>–</w:t>
      </w:r>
      <w:proofErr w:type="spellStart"/>
      <w:r w:rsidRPr="00681977">
        <w:rPr>
          <w:rFonts w:ascii="Arial" w:hAnsi="Arial" w:cs="Arial"/>
          <w:sz w:val="20"/>
          <w:szCs w:val="20"/>
        </w:rPr>
        <w:t>Monotrait</w:t>
      </w:r>
      <w:proofErr w:type="spellEnd"/>
      <w:r w:rsidRPr="00681977">
        <w:rPr>
          <w:rFonts w:ascii="Arial" w:hAnsi="Arial" w:cs="Arial"/>
          <w:sz w:val="20"/>
          <w:szCs w:val="20"/>
        </w:rPr>
        <w:t xml:space="preserve"> (HTMT) ratio of correlations. Results generated by these two tests confirmed the empirical distinctiveness of each construct, thus meeting the respective criteria for discriminant validity.</w:t>
      </w:r>
    </w:p>
    <w:tbl>
      <w:tblPr>
        <w:tblW w:w="5000" w:type="pct"/>
        <w:tblLook w:val="04A0" w:firstRow="1" w:lastRow="0" w:firstColumn="1" w:lastColumn="0" w:noHBand="0" w:noVBand="1"/>
      </w:tblPr>
      <w:tblGrid>
        <w:gridCol w:w="3511"/>
        <w:gridCol w:w="1955"/>
        <w:gridCol w:w="2605"/>
        <w:gridCol w:w="955"/>
      </w:tblGrid>
      <w:tr w:rsidR="004D4D88" w:rsidRPr="00681977" w14:paraId="39D08254" w14:textId="77777777" w:rsidTr="00607653">
        <w:trPr>
          <w:trHeight w:val="288"/>
        </w:trPr>
        <w:tc>
          <w:tcPr>
            <w:tcW w:w="5000" w:type="pct"/>
            <w:gridSpan w:val="4"/>
            <w:tcBorders>
              <w:top w:val="nil"/>
              <w:left w:val="nil"/>
              <w:bottom w:val="nil"/>
              <w:right w:val="nil"/>
            </w:tcBorders>
            <w:shd w:val="clear" w:color="auto" w:fill="auto"/>
            <w:noWrap/>
            <w:vAlign w:val="bottom"/>
            <w:hideMark/>
          </w:tcPr>
          <w:p w14:paraId="29CF8307" w14:textId="77777777" w:rsidR="001B6D99" w:rsidRPr="00681977" w:rsidRDefault="004D4D88" w:rsidP="007B07B4">
            <w:pPr>
              <w:spacing w:after="0" w:line="240" w:lineRule="auto"/>
              <w:jc w:val="both"/>
              <w:rPr>
                <w:rFonts w:ascii="Arial" w:eastAsia="Times New Roman" w:hAnsi="Arial" w:cs="Arial"/>
                <w:b/>
                <w:bCs/>
                <w:color w:val="000000"/>
                <w:kern w:val="0"/>
                <w:sz w:val="20"/>
                <w:szCs w:val="20"/>
                <w:lang w:eastAsia="en-IN"/>
                <w14:ligatures w14:val="none"/>
              </w:rPr>
            </w:pPr>
            <w:r w:rsidRPr="00681977">
              <w:rPr>
                <w:rFonts w:ascii="Arial" w:eastAsia="Times New Roman" w:hAnsi="Arial" w:cs="Arial"/>
                <w:b/>
                <w:bCs/>
                <w:color w:val="000000"/>
                <w:kern w:val="0"/>
                <w:sz w:val="20"/>
                <w:szCs w:val="20"/>
                <w:lang w:eastAsia="en-IN"/>
                <w14:ligatures w14:val="none"/>
              </w:rPr>
              <w:lastRenderedPageBreak/>
              <w:t xml:space="preserve">Table </w:t>
            </w:r>
            <w:r w:rsidR="00607653" w:rsidRPr="00681977">
              <w:rPr>
                <w:rFonts w:ascii="Arial" w:eastAsia="Times New Roman" w:hAnsi="Arial" w:cs="Arial"/>
                <w:b/>
                <w:bCs/>
                <w:color w:val="000000"/>
                <w:kern w:val="0"/>
                <w:sz w:val="20"/>
                <w:szCs w:val="20"/>
                <w:lang w:eastAsia="en-IN"/>
                <w14:ligatures w14:val="none"/>
              </w:rPr>
              <w:t>4</w:t>
            </w:r>
          </w:p>
          <w:p w14:paraId="40C36EDF" w14:textId="77777777" w:rsidR="001B6D99" w:rsidRPr="00681977" w:rsidRDefault="001B6D99" w:rsidP="007B07B4">
            <w:pPr>
              <w:spacing w:after="0" w:line="240" w:lineRule="auto"/>
              <w:jc w:val="both"/>
              <w:rPr>
                <w:rFonts w:ascii="Arial" w:eastAsia="Times New Roman" w:hAnsi="Arial" w:cs="Arial"/>
                <w:b/>
                <w:bCs/>
                <w:color w:val="000000"/>
                <w:kern w:val="0"/>
                <w:sz w:val="20"/>
                <w:szCs w:val="20"/>
                <w:lang w:eastAsia="en-IN"/>
                <w14:ligatures w14:val="none"/>
              </w:rPr>
            </w:pPr>
          </w:p>
          <w:p w14:paraId="0EF79522" w14:textId="77777777" w:rsidR="004D4D88" w:rsidRPr="00681977" w:rsidRDefault="004D4D88" w:rsidP="007B07B4">
            <w:pPr>
              <w:spacing w:after="0" w:line="240" w:lineRule="auto"/>
              <w:jc w:val="both"/>
              <w:rPr>
                <w:rFonts w:ascii="Arial" w:eastAsia="Times New Roman" w:hAnsi="Arial" w:cs="Arial"/>
                <w:i/>
                <w:iCs/>
                <w:color w:val="000000"/>
                <w:kern w:val="0"/>
                <w:sz w:val="20"/>
                <w:szCs w:val="20"/>
                <w:lang w:eastAsia="en-IN"/>
                <w14:ligatures w14:val="none"/>
              </w:rPr>
            </w:pPr>
            <w:r w:rsidRPr="00681977">
              <w:rPr>
                <w:rFonts w:ascii="Arial" w:eastAsia="Times New Roman" w:hAnsi="Arial" w:cs="Arial"/>
                <w:i/>
                <w:iCs/>
                <w:color w:val="000000"/>
                <w:kern w:val="0"/>
                <w:sz w:val="20"/>
                <w:szCs w:val="20"/>
                <w:lang w:eastAsia="en-IN"/>
                <w14:ligatures w14:val="none"/>
              </w:rPr>
              <w:t>Reliability and Validity</w:t>
            </w:r>
          </w:p>
          <w:p w14:paraId="24F082A4" w14:textId="18E2682E" w:rsidR="001B6D99" w:rsidRPr="00681977" w:rsidRDefault="001B6D99" w:rsidP="007B07B4">
            <w:pPr>
              <w:spacing w:after="0" w:line="240" w:lineRule="auto"/>
              <w:jc w:val="both"/>
              <w:rPr>
                <w:rFonts w:ascii="Arial" w:eastAsia="Times New Roman" w:hAnsi="Arial" w:cs="Arial"/>
                <w:b/>
                <w:bCs/>
                <w:color w:val="000000"/>
                <w:kern w:val="0"/>
                <w:sz w:val="20"/>
                <w:szCs w:val="20"/>
                <w:lang w:eastAsia="en-IN"/>
                <w14:ligatures w14:val="none"/>
              </w:rPr>
            </w:pPr>
          </w:p>
        </w:tc>
      </w:tr>
      <w:tr w:rsidR="004D4D88" w:rsidRPr="00681977" w14:paraId="16782861" w14:textId="77777777" w:rsidTr="00607653">
        <w:trPr>
          <w:trHeight w:val="288"/>
        </w:trPr>
        <w:tc>
          <w:tcPr>
            <w:tcW w:w="1945" w:type="pct"/>
            <w:tcBorders>
              <w:top w:val="single" w:sz="4" w:space="0" w:color="auto"/>
              <w:left w:val="nil"/>
              <w:bottom w:val="single" w:sz="4" w:space="0" w:color="auto"/>
              <w:right w:val="nil"/>
            </w:tcBorders>
            <w:shd w:val="clear" w:color="auto" w:fill="auto"/>
            <w:noWrap/>
            <w:vAlign w:val="bottom"/>
            <w:hideMark/>
          </w:tcPr>
          <w:p w14:paraId="0F24A590" w14:textId="77777777" w:rsidR="004D4D88" w:rsidRPr="00681977" w:rsidRDefault="004D4D88" w:rsidP="007B07B4">
            <w:pPr>
              <w:spacing w:after="0" w:line="240" w:lineRule="auto"/>
              <w:jc w:val="both"/>
              <w:rPr>
                <w:rFonts w:ascii="Arial" w:eastAsia="Times New Roman" w:hAnsi="Arial" w:cs="Arial"/>
                <w:b/>
                <w:bCs/>
                <w:color w:val="000000"/>
                <w:kern w:val="0"/>
                <w:sz w:val="20"/>
                <w:szCs w:val="20"/>
                <w:lang w:eastAsia="en-IN"/>
                <w14:ligatures w14:val="none"/>
              </w:rPr>
            </w:pPr>
            <w:r w:rsidRPr="00681977">
              <w:rPr>
                <w:rFonts w:ascii="Arial" w:eastAsia="Times New Roman" w:hAnsi="Arial" w:cs="Arial"/>
                <w:b/>
                <w:bCs/>
                <w:color w:val="000000"/>
                <w:kern w:val="0"/>
                <w:sz w:val="20"/>
                <w:szCs w:val="20"/>
                <w:lang w:eastAsia="en-IN"/>
                <w14:ligatures w14:val="none"/>
              </w:rPr>
              <w:t>Construct</w:t>
            </w:r>
          </w:p>
        </w:tc>
        <w:tc>
          <w:tcPr>
            <w:tcW w:w="1083" w:type="pct"/>
            <w:tcBorders>
              <w:top w:val="single" w:sz="4" w:space="0" w:color="auto"/>
              <w:left w:val="nil"/>
              <w:bottom w:val="single" w:sz="4" w:space="0" w:color="auto"/>
              <w:right w:val="nil"/>
            </w:tcBorders>
            <w:shd w:val="clear" w:color="auto" w:fill="auto"/>
            <w:noWrap/>
            <w:vAlign w:val="bottom"/>
            <w:hideMark/>
          </w:tcPr>
          <w:p w14:paraId="0BF03F03" w14:textId="77777777" w:rsidR="004D4D88" w:rsidRPr="00681977" w:rsidRDefault="004D4D88" w:rsidP="008E56F8">
            <w:pPr>
              <w:spacing w:after="0" w:line="240" w:lineRule="auto"/>
              <w:jc w:val="center"/>
              <w:rPr>
                <w:rFonts w:ascii="Arial" w:eastAsia="Times New Roman" w:hAnsi="Arial" w:cs="Arial"/>
                <w:b/>
                <w:bCs/>
                <w:color w:val="000000"/>
                <w:kern w:val="0"/>
                <w:sz w:val="20"/>
                <w:szCs w:val="20"/>
                <w:lang w:eastAsia="en-IN"/>
                <w14:ligatures w14:val="none"/>
              </w:rPr>
            </w:pPr>
            <w:r w:rsidRPr="00681977">
              <w:rPr>
                <w:rFonts w:ascii="Arial" w:eastAsia="Times New Roman" w:hAnsi="Arial" w:cs="Arial"/>
                <w:b/>
                <w:bCs/>
                <w:color w:val="000000"/>
                <w:kern w:val="0"/>
                <w:sz w:val="20"/>
                <w:szCs w:val="20"/>
                <w:lang w:eastAsia="en-IN"/>
                <w14:ligatures w14:val="none"/>
              </w:rPr>
              <w:t>Cronbach Alpha</w:t>
            </w:r>
          </w:p>
        </w:tc>
        <w:tc>
          <w:tcPr>
            <w:tcW w:w="1443" w:type="pct"/>
            <w:tcBorders>
              <w:top w:val="single" w:sz="4" w:space="0" w:color="auto"/>
              <w:left w:val="nil"/>
              <w:bottom w:val="single" w:sz="4" w:space="0" w:color="auto"/>
              <w:right w:val="nil"/>
            </w:tcBorders>
            <w:shd w:val="clear" w:color="auto" w:fill="auto"/>
            <w:noWrap/>
            <w:vAlign w:val="bottom"/>
            <w:hideMark/>
          </w:tcPr>
          <w:p w14:paraId="1AAE0453" w14:textId="77777777" w:rsidR="004D4D88" w:rsidRPr="00681977" w:rsidRDefault="004D4D88" w:rsidP="008E56F8">
            <w:pPr>
              <w:spacing w:after="0" w:line="240" w:lineRule="auto"/>
              <w:jc w:val="center"/>
              <w:rPr>
                <w:rFonts w:ascii="Arial" w:eastAsia="Times New Roman" w:hAnsi="Arial" w:cs="Arial"/>
                <w:b/>
                <w:bCs/>
                <w:color w:val="000000"/>
                <w:kern w:val="0"/>
                <w:sz w:val="20"/>
                <w:szCs w:val="20"/>
                <w:lang w:eastAsia="en-IN"/>
                <w14:ligatures w14:val="none"/>
              </w:rPr>
            </w:pPr>
            <w:r w:rsidRPr="00681977">
              <w:rPr>
                <w:rFonts w:ascii="Arial" w:eastAsia="Times New Roman" w:hAnsi="Arial" w:cs="Arial"/>
                <w:b/>
                <w:bCs/>
                <w:color w:val="000000"/>
                <w:kern w:val="0"/>
                <w:sz w:val="20"/>
                <w:szCs w:val="20"/>
                <w:lang w:eastAsia="en-IN"/>
                <w14:ligatures w14:val="none"/>
              </w:rPr>
              <w:t>Composite Reliability</w:t>
            </w:r>
          </w:p>
        </w:tc>
        <w:tc>
          <w:tcPr>
            <w:tcW w:w="529" w:type="pct"/>
            <w:tcBorders>
              <w:top w:val="single" w:sz="4" w:space="0" w:color="auto"/>
              <w:left w:val="nil"/>
              <w:bottom w:val="single" w:sz="4" w:space="0" w:color="auto"/>
              <w:right w:val="nil"/>
            </w:tcBorders>
            <w:shd w:val="clear" w:color="auto" w:fill="auto"/>
            <w:noWrap/>
            <w:vAlign w:val="bottom"/>
            <w:hideMark/>
          </w:tcPr>
          <w:p w14:paraId="20E89A67" w14:textId="77777777" w:rsidR="004D4D88" w:rsidRPr="00681977" w:rsidRDefault="004D4D88" w:rsidP="008E56F8">
            <w:pPr>
              <w:spacing w:after="0" w:line="240" w:lineRule="auto"/>
              <w:jc w:val="center"/>
              <w:rPr>
                <w:rFonts w:ascii="Arial" w:eastAsia="Times New Roman" w:hAnsi="Arial" w:cs="Arial"/>
                <w:b/>
                <w:bCs/>
                <w:color w:val="000000"/>
                <w:kern w:val="0"/>
                <w:sz w:val="20"/>
                <w:szCs w:val="20"/>
                <w:lang w:eastAsia="en-IN"/>
                <w14:ligatures w14:val="none"/>
              </w:rPr>
            </w:pPr>
            <w:r w:rsidRPr="00681977">
              <w:rPr>
                <w:rFonts w:ascii="Arial" w:eastAsia="Times New Roman" w:hAnsi="Arial" w:cs="Arial"/>
                <w:b/>
                <w:bCs/>
                <w:color w:val="000000"/>
                <w:kern w:val="0"/>
                <w:sz w:val="20"/>
                <w:szCs w:val="20"/>
                <w:lang w:eastAsia="en-IN"/>
                <w14:ligatures w14:val="none"/>
              </w:rPr>
              <w:t>AVE</w:t>
            </w:r>
          </w:p>
        </w:tc>
      </w:tr>
      <w:tr w:rsidR="004D4D88" w:rsidRPr="00681977" w14:paraId="3A616CAF" w14:textId="77777777" w:rsidTr="00607653">
        <w:trPr>
          <w:trHeight w:val="288"/>
        </w:trPr>
        <w:tc>
          <w:tcPr>
            <w:tcW w:w="1945" w:type="pct"/>
            <w:tcBorders>
              <w:top w:val="nil"/>
              <w:left w:val="nil"/>
              <w:bottom w:val="nil"/>
              <w:right w:val="nil"/>
            </w:tcBorders>
            <w:shd w:val="clear" w:color="auto" w:fill="auto"/>
            <w:noWrap/>
            <w:vAlign w:val="bottom"/>
            <w:hideMark/>
          </w:tcPr>
          <w:p w14:paraId="1AB1C53E" w14:textId="77777777" w:rsidR="004D4D88" w:rsidRPr="00681977" w:rsidRDefault="004D4D88" w:rsidP="00BB0D8C">
            <w:pPr>
              <w:spacing w:line="240" w:lineRule="auto"/>
              <w:jc w:val="both"/>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Geopolitical Disruption (GDP)</w:t>
            </w:r>
          </w:p>
        </w:tc>
        <w:tc>
          <w:tcPr>
            <w:tcW w:w="1083" w:type="pct"/>
            <w:tcBorders>
              <w:top w:val="nil"/>
              <w:left w:val="nil"/>
              <w:bottom w:val="nil"/>
              <w:right w:val="nil"/>
            </w:tcBorders>
            <w:shd w:val="clear" w:color="auto" w:fill="auto"/>
            <w:noWrap/>
            <w:vAlign w:val="bottom"/>
            <w:hideMark/>
          </w:tcPr>
          <w:p w14:paraId="30E89140" w14:textId="77777777" w:rsidR="004D4D88" w:rsidRPr="00681977" w:rsidRDefault="004D4D88" w:rsidP="00BB0D8C">
            <w:pPr>
              <w:spacing w:line="240" w:lineRule="auto"/>
              <w:jc w:val="center"/>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0.87</w:t>
            </w:r>
          </w:p>
        </w:tc>
        <w:tc>
          <w:tcPr>
            <w:tcW w:w="1443" w:type="pct"/>
            <w:tcBorders>
              <w:top w:val="nil"/>
              <w:left w:val="nil"/>
              <w:bottom w:val="nil"/>
              <w:right w:val="nil"/>
            </w:tcBorders>
            <w:shd w:val="clear" w:color="auto" w:fill="auto"/>
            <w:noWrap/>
            <w:vAlign w:val="bottom"/>
            <w:hideMark/>
          </w:tcPr>
          <w:p w14:paraId="651900CA" w14:textId="77777777" w:rsidR="004D4D88" w:rsidRPr="00681977" w:rsidRDefault="004D4D88" w:rsidP="00BB0D8C">
            <w:pPr>
              <w:spacing w:line="240" w:lineRule="auto"/>
              <w:jc w:val="center"/>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0.9</w:t>
            </w:r>
          </w:p>
        </w:tc>
        <w:tc>
          <w:tcPr>
            <w:tcW w:w="529" w:type="pct"/>
            <w:tcBorders>
              <w:top w:val="nil"/>
              <w:left w:val="nil"/>
              <w:bottom w:val="nil"/>
              <w:right w:val="nil"/>
            </w:tcBorders>
            <w:shd w:val="clear" w:color="auto" w:fill="auto"/>
            <w:noWrap/>
            <w:vAlign w:val="bottom"/>
            <w:hideMark/>
          </w:tcPr>
          <w:p w14:paraId="0B403C99" w14:textId="77777777" w:rsidR="004D4D88" w:rsidRPr="00681977" w:rsidRDefault="004D4D88" w:rsidP="00BB0D8C">
            <w:pPr>
              <w:spacing w:line="240" w:lineRule="auto"/>
              <w:jc w:val="center"/>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0.64</w:t>
            </w:r>
          </w:p>
        </w:tc>
      </w:tr>
      <w:tr w:rsidR="004D4D88" w:rsidRPr="00681977" w14:paraId="7AD7A15B" w14:textId="77777777" w:rsidTr="00607653">
        <w:trPr>
          <w:trHeight w:val="288"/>
        </w:trPr>
        <w:tc>
          <w:tcPr>
            <w:tcW w:w="1945" w:type="pct"/>
            <w:tcBorders>
              <w:top w:val="nil"/>
              <w:left w:val="nil"/>
              <w:bottom w:val="nil"/>
              <w:right w:val="nil"/>
            </w:tcBorders>
            <w:shd w:val="clear" w:color="auto" w:fill="auto"/>
            <w:noWrap/>
            <w:vAlign w:val="bottom"/>
            <w:hideMark/>
          </w:tcPr>
          <w:p w14:paraId="46934AC5" w14:textId="77777777" w:rsidR="004D4D88" w:rsidRPr="00681977" w:rsidRDefault="004D4D88" w:rsidP="00BB0D8C">
            <w:pPr>
              <w:spacing w:line="240" w:lineRule="auto"/>
              <w:jc w:val="both"/>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Perceived Travel Risk (PTR)</w:t>
            </w:r>
          </w:p>
        </w:tc>
        <w:tc>
          <w:tcPr>
            <w:tcW w:w="1083" w:type="pct"/>
            <w:tcBorders>
              <w:top w:val="nil"/>
              <w:left w:val="nil"/>
              <w:bottom w:val="nil"/>
              <w:right w:val="nil"/>
            </w:tcBorders>
            <w:shd w:val="clear" w:color="auto" w:fill="auto"/>
            <w:noWrap/>
            <w:vAlign w:val="bottom"/>
            <w:hideMark/>
          </w:tcPr>
          <w:p w14:paraId="1BA82F33" w14:textId="77777777" w:rsidR="004D4D88" w:rsidRPr="00681977" w:rsidRDefault="004D4D88" w:rsidP="00BB0D8C">
            <w:pPr>
              <w:spacing w:line="240" w:lineRule="auto"/>
              <w:jc w:val="center"/>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0.83</w:t>
            </w:r>
          </w:p>
        </w:tc>
        <w:tc>
          <w:tcPr>
            <w:tcW w:w="1443" w:type="pct"/>
            <w:tcBorders>
              <w:top w:val="nil"/>
              <w:left w:val="nil"/>
              <w:bottom w:val="nil"/>
              <w:right w:val="nil"/>
            </w:tcBorders>
            <w:shd w:val="clear" w:color="auto" w:fill="auto"/>
            <w:noWrap/>
            <w:vAlign w:val="bottom"/>
            <w:hideMark/>
          </w:tcPr>
          <w:p w14:paraId="1E2783E2" w14:textId="77777777" w:rsidR="004D4D88" w:rsidRPr="00681977" w:rsidRDefault="004D4D88" w:rsidP="00BB0D8C">
            <w:pPr>
              <w:spacing w:line="240" w:lineRule="auto"/>
              <w:jc w:val="center"/>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0.88</w:t>
            </w:r>
          </w:p>
        </w:tc>
        <w:tc>
          <w:tcPr>
            <w:tcW w:w="529" w:type="pct"/>
            <w:tcBorders>
              <w:top w:val="nil"/>
              <w:left w:val="nil"/>
              <w:bottom w:val="nil"/>
              <w:right w:val="nil"/>
            </w:tcBorders>
            <w:shd w:val="clear" w:color="auto" w:fill="auto"/>
            <w:noWrap/>
            <w:vAlign w:val="bottom"/>
            <w:hideMark/>
          </w:tcPr>
          <w:p w14:paraId="6CFB2C19" w14:textId="77777777" w:rsidR="004D4D88" w:rsidRPr="00681977" w:rsidRDefault="004D4D88" w:rsidP="00BB0D8C">
            <w:pPr>
              <w:spacing w:line="240" w:lineRule="auto"/>
              <w:jc w:val="center"/>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0.6</w:t>
            </w:r>
          </w:p>
        </w:tc>
      </w:tr>
      <w:tr w:rsidR="004D4D88" w:rsidRPr="00681977" w14:paraId="08F2AD89" w14:textId="77777777" w:rsidTr="00607653">
        <w:trPr>
          <w:trHeight w:val="288"/>
        </w:trPr>
        <w:tc>
          <w:tcPr>
            <w:tcW w:w="1945" w:type="pct"/>
            <w:tcBorders>
              <w:top w:val="nil"/>
              <w:left w:val="nil"/>
              <w:bottom w:val="nil"/>
              <w:right w:val="nil"/>
            </w:tcBorders>
            <w:shd w:val="clear" w:color="auto" w:fill="auto"/>
            <w:noWrap/>
            <w:vAlign w:val="bottom"/>
            <w:hideMark/>
          </w:tcPr>
          <w:p w14:paraId="3D561E03" w14:textId="77777777" w:rsidR="004D4D88" w:rsidRPr="00681977" w:rsidRDefault="004D4D88" w:rsidP="00BB0D8C">
            <w:pPr>
              <w:spacing w:line="240" w:lineRule="auto"/>
              <w:jc w:val="both"/>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Travel Intention (TI)</w:t>
            </w:r>
          </w:p>
        </w:tc>
        <w:tc>
          <w:tcPr>
            <w:tcW w:w="1083" w:type="pct"/>
            <w:tcBorders>
              <w:top w:val="nil"/>
              <w:left w:val="nil"/>
              <w:bottom w:val="nil"/>
              <w:right w:val="nil"/>
            </w:tcBorders>
            <w:shd w:val="clear" w:color="auto" w:fill="auto"/>
            <w:noWrap/>
            <w:vAlign w:val="bottom"/>
            <w:hideMark/>
          </w:tcPr>
          <w:p w14:paraId="2BCA3FF8" w14:textId="77777777" w:rsidR="004D4D88" w:rsidRPr="00681977" w:rsidRDefault="004D4D88" w:rsidP="00BB0D8C">
            <w:pPr>
              <w:spacing w:line="240" w:lineRule="auto"/>
              <w:jc w:val="center"/>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0.81</w:t>
            </w:r>
          </w:p>
        </w:tc>
        <w:tc>
          <w:tcPr>
            <w:tcW w:w="1443" w:type="pct"/>
            <w:tcBorders>
              <w:top w:val="nil"/>
              <w:left w:val="nil"/>
              <w:bottom w:val="nil"/>
              <w:right w:val="nil"/>
            </w:tcBorders>
            <w:shd w:val="clear" w:color="auto" w:fill="auto"/>
            <w:noWrap/>
            <w:vAlign w:val="bottom"/>
            <w:hideMark/>
          </w:tcPr>
          <w:p w14:paraId="0904CFA2" w14:textId="77777777" w:rsidR="004D4D88" w:rsidRPr="00681977" w:rsidRDefault="004D4D88" w:rsidP="00BB0D8C">
            <w:pPr>
              <w:spacing w:line="240" w:lineRule="auto"/>
              <w:jc w:val="center"/>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0.86</w:t>
            </w:r>
          </w:p>
        </w:tc>
        <w:tc>
          <w:tcPr>
            <w:tcW w:w="529" w:type="pct"/>
            <w:tcBorders>
              <w:top w:val="nil"/>
              <w:left w:val="nil"/>
              <w:bottom w:val="nil"/>
              <w:right w:val="nil"/>
            </w:tcBorders>
            <w:shd w:val="clear" w:color="auto" w:fill="auto"/>
            <w:noWrap/>
            <w:vAlign w:val="bottom"/>
            <w:hideMark/>
          </w:tcPr>
          <w:p w14:paraId="189E38B8" w14:textId="77777777" w:rsidR="004D4D88" w:rsidRPr="00681977" w:rsidRDefault="004D4D88" w:rsidP="00BB0D8C">
            <w:pPr>
              <w:spacing w:line="240" w:lineRule="auto"/>
              <w:jc w:val="center"/>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0.57</w:t>
            </w:r>
          </w:p>
        </w:tc>
      </w:tr>
      <w:tr w:rsidR="004D4D88" w:rsidRPr="00681977" w14:paraId="290FCCEE" w14:textId="77777777" w:rsidTr="00607653">
        <w:trPr>
          <w:trHeight w:val="288"/>
        </w:trPr>
        <w:tc>
          <w:tcPr>
            <w:tcW w:w="1945" w:type="pct"/>
            <w:tcBorders>
              <w:top w:val="nil"/>
              <w:left w:val="nil"/>
              <w:bottom w:val="single" w:sz="4" w:space="0" w:color="auto"/>
              <w:right w:val="nil"/>
            </w:tcBorders>
            <w:shd w:val="clear" w:color="auto" w:fill="auto"/>
            <w:noWrap/>
            <w:vAlign w:val="bottom"/>
            <w:hideMark/>
          </w:tcPr>
          <w:p w14:paraId="60F80735" w14:textId="77777777" w:rsidR="004D4D88" w:rsidRPr="00681977" w:rsidRDefault="004D4D88" w:rsidP="00BB0D8C">
            <w:pPr>
              <w:spacing w:line="240" w:lineRule="auto"/>
              <w:jc w:val="both"/>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Adaptive Info-Seeking (AIS)</w:t>
            </w:r>
          </w:p>
        </w:tc>
        <w:tc>
          <w:tcPr>
            <w:tcW w:w="1083" w:type="pct"/>
            <w:tcBorders>
              <w:top w:val="nil"/>
              <w:left w:val="nil"/>
              <w:bottom w:val="single" w:sz="4" w:space="0" w:color="auto"/>
              <w:right w:val="nil"/>
            </w:tcBorders>
            <w:shd w:val="clear" w:color="auto" w:fill="auto"/>
            <w:noWrap/>
            <w:vAlign w:val="bottom"/>
            <w:hideMark/>
          </w:tcPr>
          <w:p w14:paraId="26395D10" w14:textId="77777777" w:rsidR="004D4D88" w:rsidRPr="00681977" w:rsidRDefault="004D4D88" w:rsidP="00BB0D8C">
            <w:pPr>
              <w:spacing w:line="240" w:lineRule="auto"/>
              <w:jc w:val="center"/>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0.85</w:t>
            </w:r>
          </w:p>
        </w:tc>
        <w:tc>
          <w:tcPr>
            <w:tcW w:w="1443" w:type="pct"/>
            <w:tcBorders>
              <w:top w:val="nil"/>
              <w:left w:val="nil"/>
              <w:bottom w:val="single" w:sz="4" w:space="0" w:color="auto"/>
              <w:right w:val="nil"/>
            </w:tcBorders>
            <w:shd w:val="clear" w:color="auto" w:fill="auto"/>
            <w:noWrap/>
            <w:vAlign w:val="bottom"/>
            <w:hideMark/>
          </w:tcPr>
          <w:p w14:paraId="01B3FC5E" w14:textId="77777777" w:rsidR="004D4D88" w:rsidRPr="00681977" w:rsidRDefault="004D4D88" w:rsidP="00BB0D8C">
            <w:pPr>
              <w:spacing w:line="240" w:lineRule="auto"/>
              <w:jc w:val="center"/>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0.89</w:t>
            </w:r>
          </w:p>
        </w:tc>
        <w:tc>
          <w:tcPr>
            <w:tcW w:w="529" w:type="pct"/>
            <w:tcBorders>
              <w:top w:val="nil"/>
              <w:left w:val="nil"/>
              <w:bottom w:val="single" w:sz="4" w:space="0" w:color="auto"/>
              <w:right w:val="nil"/>
            </w:tcBorders>
            <w:shd w:val="clear" w:color="auto" w:fill="auto"/>
            <w:noWrap/>
            <w:vAlign w:val="bottom"/>
            <w:hideMark/>
          </w:tcPr>
          <w:p w14:paraId="70E5558C" w14:textId="77777777" w:rsidR="004D4D88" w:rsidRPr="00681977" w:rsidRDefault="004D4D88" w:rsidP="00BB0D8C">
            <w:pPr>
              <w:spacing w:line="240" w:lineRule="auto"/>
              <w:jc w:val="center"/>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0.62</w:t>
            </w:r>
          </w:p>
        </w:tc>
      </w:tr>
    </w:tbl>
    <w:p w14:paraId="5C37F5A0" w14:textId="77777777" w:rsidR="004D5A0B" w:rsidRPr="00681977" w:rsidRDefault="004D5A0B" w:rsidP="007B07B4">
      <w:pPr>
        <w:jc w:val="both"/>
        <w:rPr>
          <w:rFonts w:ascii="Arial" w:hAnsi="Arial" w:cs="Arial"/>
          <w:sz w:val="20"/>
          <w:szCs w:val="20"/>
        </w:rPr>
      </w:pPr>
    </w:p>
    <w:tbl>
      <w:tblPr>
        <w:tblW w:w="5000" w:type="pct"/>
        <w:tblLook w:val="04A0" w:firstRow="1" w:lastRow="0" w:firstColumn="1" w:lastColumn="0" w:noHBand="0" w:noVBand="1"/>
      </w:tblPr>
      <w:tblGrid>
        <w:gridCol w:w="1876"/>
        <w:gridCol w:w="1971"/>
        <w:gridCol w:w="1872"/>
        <w:gridCol w:w="1652"/>
        <w:gridCol w:w="1655"/>
      </w:tblGrid>
      <w:tr w:rsidR="003E082C" w:rsidRPr="00681977" w14:paraId="5F02F6D5" w14:textId="77777777" w:rsidTr="003E082C">
        <w:trPr>
          <w:trHeight w:val="312"/>
        </w:trPr>
        <w:tc>
          <w:tcPr>
            <w:tcW w:w="5000" w:type="pct"/>
            <w:gridSpan w:val="5"/>
            <w:tcBorders>
              <w:top w:val="nil"/>
              <w:left w:val="nil"/>
              <w:bottom w:val="nil"/>
              <w:right w:val="nil"/>
            </w:tcBorders>
            <w:shd w:val="clear" w:color="auto" w:fill="auto"/>
            <w:noWrap/>
            <w:vAlign w:val="bottom"/>
            <w:hideMark/>
          </w:tcPr>
          <w:p w14:paraId="34A64646" w14:textId="0894F662" w:rsidR="003E082C" w:rsidRPr="00681977" w:rsidRDefault="003E082C" w:rsidP="003E082C">
            <w:pPr>
              <w:spacing w:after="0" w:line="240" w:lineRule="auto"/>
              <w:rPr>
                <w:rFonts w:ascii="Arial" w:eastAsia="Times New Roman" w:hAnsi="Arial" w:cs="Arial"/>
                <w:b/>
                <w:bCs/>
                <w:color w:val="000000"/>
                <w:kern w:val="0"/>
                <w:sz w:val="20"/>
                <w:szCs w:val="20"/>
                <w:lang w:eastAsia="en-IN"/>
                <w14:ligatures w14:val="none"/>
              </w:rPr>
            </w:pPr>
            <w:r w:rsidRPr="00681977">
              <w:rPr>
                <w:rFonts w:ascii="Arial" w:eastAsia="Times New Roman" w:hAnsi="Arial" w:cs="Arial"/>
                <w:b/>
                <w:bCs/>
                <w:color w:val="000000"/>
                <w:kern w:val="0"/>
                <w:sz w:val="20"/>
                <w:szCs w:val="20"/>
                <w:lang w:eastAsia="en-IN"/>
                <w14:ligatures w14:val="none"/>
              </w:rPr>
              <w:t>Table</w:t>
            </w:r>
            <w:r w:rsidR="00B81B06" w:rsidRPr="00681977">
              <w:rPr>
                <w:rFonts w:ascii="Arial" w:eastAsia="Times New Roman" w:hAnsi="Arial" w:cs="Arial"/>
                <w:b/>
                <w:bCs/>
                <w:color w:val="000000"/>
                <w:kern w:val="0"/>
                <w:sz w:val="20"/>
                <w:szCs w:val="20"/>
                <w:lang w:eastAsia="en-IN"/>
                <w14:ligatures w14:val="none"/>
              </w:rPr>
              <w:t xml:space="preserve"> 5</w:t>
            </w:r>
          </w:p>
          <w:p w14:paraId="38F9594B" w14:textId="77777777" w:rsidR="001B6D99" w:rsidRPr="00681977" w:rsidRDefault="001B6D99" w:rsidP="003E082C">
            <w:pPr>
              <w:spacing w:after="0" w:line="240" w:lineRule="auto"/>
              <w:rPr>
                <w:rFonts w:ascii="Arial" w:eastAsia="Times New Roman" w:hAnsi="Arial" w:cs="Arial"/>
                <w:b/>
                <w:bCs/>
                <w:color w:val="000000"/>
                <w:kern w:val="0"/>
                <w:sz w:val="20"/>
                <w:szCs w:val="20"/>
                <w:lang w:eastAsia="en-IN"/>
                <w14:ligatures w14:val="none"/>
              </w:rPr>
            </w:pPr>
          </w:p>
          <w:p w14:paraId="41A8D8FF" w14:textId="28BC20E5" w:rsidR="001B6D99" w:rsidRPr="00681977" w:rsidRDefault="001B6D99" w:rsidP="003E082C">
            <w:pPr>
              <w:spacing w:after="0" w:line="240" w:lineRule="auto"/>
              <w:rPr>
                <w:rFonts w:ascii="Arial" w:hAnsi="Arial" w:cs="Arial"/>
                <w:i/>
                <w:iCs/>
                <w:sz w:val="20"/>
                <w:szCs w:val="20"/>
              </w:rPr>
            </w:pPr>
            <w:r w:rsidRPr="00681977">
              <w:rPr>
                <w:rFonts w:ascii="Arial" w:hAnsi="Arial" w:cs="Arial"/>
                <w:i/>
                <w:iCs/>
                <w:sz w:val="20"/>
                <w:szCs w:val="20"/>
              </w:rPr>
              <w:t>Discriminant Validity</w:t>
            </w:r>
            <w:r w:rsidR="00A10DF1" w:rsidRPr="00681977">
              <w:rPr>
                <w:rFonts w:ascii="Arial" w:hAnsi="Arial" w:cs="Arial"/>
                <w:i/>
                <w:iCs/>
                <w:sz w:val="20"/>
                <w:szCs w:val="20"/>
              </w:rPr>
              <w:t xml:space="preserve"> </w:t>
            </w:r>
          </w:p>
          <w:p w14:paraId="7B6B50AD" w14:textId="50E373BA" w:rsidR="001B6D99" w:rsidRPr="00681977" w:rsidRDefault="001B6D99" w:rsidP="003E082C">
            <w:pPr>
              <w:spacing w:after="0" w:line="240" w:lineRule="auto"/>
              <w:rPr>
                <w:rFonts w:ascii="Arial" w:eastAsia="Times New Roman" w:hAnsi="Arial" w:cs="Arial"/>
                <w:b/>
                <w:bCs/>
                <w:color w:val="000000"/>
                <w:kern w:val="0"/>
                <w:sz w:val="20"/>
                <w:szCs w:val="20"/>
                <w:lang w:eastAsia="en-IN"/>
                <w14:ligatures w14:val="none"/>
              </w:rPr>
            </w:pPr>
          </w:p>
        </w:tc>
      </w:tr>
      <w:tr w:rsidR="003E082C" w:rsidRPr="00681977" w14:paraId="488C8B0C" w14:textId="77777777" w:rsidTr="003E082C">
        <w:trPr>
          <w:trHeight w:val="312"/>
        </w:trPr>
        <w:tc>
          <w:tcPr>
            <w:tcW w:w="1039" w:type="pct"/>
            <w:tcBorders>
              <w:top w:val="single" w:sz="4" w:space="0" w:color="auto"/>
              <w:left w:val="nil"/>
              <w:bottom w:val="single" w:sz="4" w:space="0" w:color="auto"/>
              <w:right w:val="nil"/>
            </w:tcBorders>
            <w:shd w:val="clear" w:color="auto" w:fill="auto"/>
            <w:noWrap/>
            <w:vAlign w:val="bottom"/>
            <w:hideMark/>
          </w:tcPr>
          <w:p w14:paraId="0FC423AC" w14:textId="3FAF9B83" w:rsidR="003E082C" w:rsidRPr="00681977" w:rsidRDefault="003E082C" w:rsidP="003E082C">
            <w:pPr>
              <w:spacing w:after="0" w:line="240" w:lineRule="auto"/>
              <w:jc w:val="center"/>
              <w:rPr>
                <w:rFonts w:ascii="Arial" w:eastAsia="Times New Roman" w:hAnsi="Arial" w:cs="Arial"/>
                <w:b/>
                <w:bCs/>
                <w:color w:val="000000"/>
                <w:kern w:val="0"/>
                <w:sz w:val="20"/>
                <w:szCs w:val="20"/>
                <w:lang w:eastAsia="en-IN"/>
                <w14:ligatures w14:val="none"/>
              </w:rPr>
            </w:pPr>
          </w:p>
        </w:tc>
        <w:tc>
          <w:tcPr>
            <w:tcW w:w="1092" w:type="pct"/>
            <w:tcBorders>
              <w:top w:val="single" w:sz="4" w:space="0" w:color="auto"/>
              <w:left w:val="nil"/>
              <w:bottom w:val="single" w:sz="4" w:space="0" w:color="auto"/>
              <w:right w:val="nil"/>
            </w:tcBorders>
            <w:shd w:val="clear" w:color="auto" w:fill="auto"/>
            <w:noWrap/>
            <w:vAlign w:val="bottom"/>
            <w:hideMark/>
          </w:tcPr>
          <w:p w14:paraId="72992C3D" w14:textId="77777777" w:rsidR="003E082C" w:rsidRPr="00681977" w:rsidRDefault="003E082C" w:rsidP="003E082C">
            <w:pPr>
              <w:spacing w:after="0" w:line="240" w:lineRule="auto"/>
              <w:jc w:val="center"/>
              <w:rPr>
                <w:rFonts w:ascii="Arial" w:eastAsia="Times New Roman" w:hAnsi="Arial" w:cs="Arial"/>
                <w:b/>
                <w:bCs/>
                <w:color w:val="000000"/>
                <w:kern w:val="0"/>
                <w:sz w:val="20"/>
                <w:szCs w:val="20"/>
                <w:lang w:eastAsia="en-IN"/>
                <w14:ligatures w14:val="none"/>
              </w:rPr>
            </w:pPr>
            <w:r w:rsidRPr="00681977">
              <w:rPr>
                <w:rFonts w:ascii="Arial" w:eastAsia="Times New Roman" w:hAnsi="Arial" w:cs="Arial"/>
                <w:b/>
                <w:bCs/>
                <w:color w:val="000000"/>
                <w:kern w:val="0"/>
                <w:sz w:val="20"/>
                <w:szCs w:val="20"/>
                <w:lang w:eastAsia="en-IN"/>
                <w14:ligatures w14:val="none"/>
              </w:rPr>
              <w:t>GDP</w:t>
            </w:r>
          </w:p>
        </w:tc>
        <w:tc>
          <w:tcPr>
            <w:tcW w:w="1037" w:type="pct"/>
            <w:tcBorders>
              <w:top w:val="single" w:sz="4" w:space="0" w:color="auto"/>
              <w:left w:val="nil"/>
              <w:bottom w:val="single" w:sz="4" w:space="0" w:color="auto"/>
              <w:right w:val="nil"/>
            </w:tcBorders>
            <w:shd w:val="clear" w:color="auto" w:fill="auto"/>
            <w:noWrap/>
            <w:vAlign w:val="bottom"/>
            <w:hideMark/>
          </w:tcPr>
          <w:p w14:paraId="7943072F" w14:textId="77777777" w:rsidR="003E082C" w:rsidRPr="00681977" w:rsidRDefault="003E082C" w:rsidP="003E082C">
            <w:pPr>
              <w:spacing w:after="0" w:line="240" w:lineRule="auto"/>
              <w:jc w:val="center"/>
              <w:rPr>
                <w:rFonts w:ascii="Arial" w:eastAsia="Times New Roman" w:hAnsi="Arial" w:cs="Arial"/>
                <w:b/>
                <w:bCs/>
                <w:color w:val="000000"/>
                <w:kern w:val="0"/>
                <w:sz w:val="20"/>
                <w:szCs w:val="20"/>
                <w:lang w:eastAsia="en-IN"/>
                <w14:ligatures w14:val="none"/>
              </w:rPr>
            </w:pPr>
            <w:r w:rsidRPr="00681977">
              <w:rPr>
                <w:rFonts w:ascii="Arial" w:eastAsia="Times New Roman" w:hAnsi="Arial" w:cs="Arial"/>
                <w:b/>
                <w:bCs/>
                <w:color w:val="000000"/>
                <w:kern w:val="0"/>
                <w:sz w:val="20"/>
                <w:szCs w:val="20"/>
                <w:lang w:eastAsia="en-IN"/>
                <w14:ligatures w14:val="none"/>
              </w:rPr>
              <w:t>PTR</w:t>
            </w:r>
          </w:p>
        </w:tc>
        <w:tc>
          <w:tcPr>
            <w:tcW w:w="915" w:type="pct"/>
            <w:tcBorders>
              <w:top w:val="single" w:sz="4" w:space="0" w:color="auto"/>
              <w:left w:val="nil"/>
              <w:bottom w:val="single" w:sz="4" w:space="0" w:color="auto"/>
              <w:right w:val="nil"/>
            </w:tcBorders>
            <w:shd w:val="clear" w:color="auto" w:fill="auto"/>
            <w:noWrap/>
            <w:vAlign w:val="bottom"/>
            <w:hideMark/>
          </w:tcPr>
          <w:p w14:paraId="1B778CFD" w14:textId="77777777" w:rsidR="003E082C" w:rsidRPr="00681977" w:rsidRDefault="003E082C" w:rsidP="003E082C">
            <w:pPr>
              <w:spacing w:after="0" w:line="240" w:lineRule="auto"/>
              <w:jc w:val="center"/>
              <w:rPr>
                <w:rFonts w:ascii="Arial" w:eastAsia="Times New Roman" w:hAnsi="Arial" w:cs="Arial"/>
                <w:b/>
                <w:bCs/>
                <w:color w:val="000000"/>
                <w:kern w:val="0"/>
                <w:sz w:val="20"/>
                <w:szCs w:val="20"/>
                <w:lang w:eastAsia="en-IN"/>
                <w14:ligatures w14:val="none"/>
              </w:rPr>
            </w:pPr>
            <w:r w:rsidRPr="00681977">
              <w:rPr>
                <w:rFonts w:ascii="Arial" w:eastAsia="Times New Roman" w:hAnsi="Arial" w:cs="Arial"/>
                <w:b/>
                <w:bCs/>
                <w:color w:val="000000"/>
                <w:kern w:val="0"/>
                <w:sz w:val="20"/>
                <w:szCs w:val="20"/>
                <w:lang w:eastAsia="en-IN"/>
                <w14:ligatures w14:val="none"/>
              </w:rPr>
              <w:t>TI</w:t>
            </w:r>
          </w:p>
        </w:tc>
        <w:tc>
          <w:tcPr>
            <w:tcW w:w="915" w:type="pct"/>
            <w:tcBorders>
              <w:top w:val="single" w:sz="4" w:space="0" w:color="auto"/>
              <w:left w:val="nil"/>
              <w:bottom w:val="single" w:sz="4" w:space="0" w:color="auto"/>
              <w:right w:val="nil"/>
            </w:tcBorders>
            <w:shd w:val="clear" w:color="auto" w:fill="auto"/>
            <w:noWrap/>
            <w:vAlign w:val="bottom"/>
            <w:hideMark/>
          </w:tcPr>
          <w:p w14:paraId="54688393" w14:textId="77777777" w:rsidR="003E082C" w:rsidRPr="00681977" w:rsidRDefault="003E082C" w:rsidP="003E082C">
            <w:pPr>
              <w:spacing w:after="0" w:line="240" w:lineRule="auto"/>
              <w:jc w:val="center"/>
              <w:rPr>
                <w:rFonts w:ascii="Arial" w:eastAsia="Times New Roman" w:hAnsi="Arial" w:cs="Arial"/>
                <w:b/>
                <w:bCs/>
                <w:color w:val="000000"/>
                <w:kern w:val="0"/>
                <w:sz w:val="20"/>
                <w:szCs w:val="20"/>
                <w:lang w:eastAsia="en-IN"/>
                <w14:ligatures w14:val="none"/>
              </w:rPr>
            </w:pPr>
            <w:r w:rsidRPr="00681977">
              <w:rPr>
                <w:rFonts w:ascii="Arial" w:eastAsia="Times New Roman" w:hAnsi="Arial" w:cs="Arial"/>
                <w:b/>
                <w:bCs/>
                <w:color w:val="000000"/>
                <w:kern w:val="0"/>
                <w:sz w:val="20"/>
                <w:szCs w:val="20"/>
                <w:lang w:eastAsia="en-IN"/>
                <w14:ligatures w14:val="none"/>
              </w:rPr>
              <w:t>AIS</w:t>
            </w:r>
          </w:p>
        </w:tc>
      </w:tr>
      <w:tr w:rsidR="003E082C" w:rsidRPr="00681977" w14:paraId="70CB8D11" w14:textId="77777777" w:rsidTr="003E082C">
        <w:trPr>
          <w:trHeight w:val="312"/>
        </w:trPr>
        <w:tc>
          <w:tcPr>
            <w:tcW w:w="1039" w:type="pct"/>
            <w:tcBorders>
              <w:top w:val="nil"/>
              <w:left w:val="nil"/>
              <w:bottom w:val="nil"/>
              <w:right w:val="nil"/>
            </w:tcBorders>
            <w:shd w:val="clear" w:color="auto" w:fill="auto"/>
            <w:noWrap/>
            <w:vAlign w:val="bottom"/>
            <w:hideMark/>
          </w:tcPr>
          <w:p w14:paraId="52BF33BC" w14:textId="77777777" w:rsidR="003E082C" w:rsidRPr="00681977" w:rsidRDefault="003E082C" w:rsidP="00BB0D8C">
            <w:pPr>
              <w:spacing w:line="240" w:lineRule="auto"/>
              <w:jc w:val="center"/>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GDP</w:t>
            </w:r>
          </w:p>
        </w:tc>
        <w:tc>
          <w:tcPr>
            <w:tcW w:w="1092" w:type="pct"/>
            <w:tcBorders>
              <w:top w:val="nil"/>
              <w:left w:val="nil"/>
              <w:bottom w:val="nil"/>
              <w:right w:val="nil"/>
            </w:tcBorders>
            <w:shd w:val="clear" w:color="auto" w:fill="auto"/>
            <w:noWrap/>
            <w:vAlign w:val="bottom"/>
            <w:hideMark/>
          </w:tcPr>
          <w:p w14:paraId="0C308E1D" w14:textId="77777777" w:rsidR="003E082C" w:rsidRPr="00681977" w:rsidRDefault="003E082C" w:rsidP="00BB0D8C">
            <w:pPr>
              <w:spacing w:line="240" w:lineRule="auto"/>
              <w:jc w:val="center"/>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0.8</w:t>
            </w:r>
          </w:p>
        </w:tc>
        <w:tc>
          <w:tcPr>
            <w:tcW w:w="1037" w:type="pct"/>
            <w:tcBorders>
              <w:top w:val="nil"/>
              <w:left w:val="nil"/>
              <w:bottom w:val="nil"/>
              <w:right w:val="nil"/>
            </w:tcBorders>
            <w:shd w:val="clear" w:color="auto" w:fill="auto"/>
            <w:noWrap/>
            <w:vAlign w:val="bottom"/>
            <w:hideMark/>
          </w:tcPr>
          <w:p w14:paraId="3DC8A7B5" w14:textId="77777777" w:rsidR="003E082C" w:rsidRPr="00681977" w:rsidRDefault="003E082C" w:rsidP="00BB0D8C">
            <w:pPr>
              <w:spacing w:line="240" w:lineRule="auto"/>
              <w:jc w:val="center"/>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0.52</w:t>
            </w:r>
          </w:p>
        </w:tc>
        <w:tc>
          <w:tcPr>
            <w:tcW w:w="915" w:type="pct"/>
            <w:tcBorders>
              <w:top w:val="nil"/>
              <w:left w:val="nil"/>
              <w:bottom w:val="nil"/>
              <w:right w:val="nil"/>
            </w:tcBorders>
            <w:shd w:val="clear" w:color="auto" w:fill="auto"/>
            <w:noWrap/>
            <w:vAlign w:val="bottom"/>
            <w:hideMark/>
          </w:tcPr>
          <w:p w14:paraId="55D694EF" w14:textId="77777777" w:rsidR="003E082C" w:rsidRPr="00681977" w:rsidRDefault="003E082C" w:rsidP="00BB0D8C">
            <w:pPr>
              <w:spacing w:line="240" w:lineRule="auto"/>
              <w:jc w:val="center"/>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0.48</w:t>
            </w:r>
          </w:p>
        </w:tc>
        <w:tc>
          <w:tcPr>
            <w:tcW w:w="915" w:type="pct"/>
            <w:tcBorders>
              <w:top w:val="nil"/>
              <w:left w:val="nil"/>
              <w:bottom w:val="nil"/>
              <w:right w:val="nil"/>
            </w:tcBorders>
            <w:shd w:val="clear" w:color="auto" w:fill="auto"/>
            <w:noWrap/>
            <w:vAlign w:val="bottom"/>
            <w:hideMark/>
          </w:tcPr>
          <w:p w14:paraId="241C67EC" w14:textId="77777777" w:rsidR="003E082C" w:rsidRPr="00681977" w:rsidRDefault="003E082C" w:rsidP="00BB0D8C">
            <w:pPr>
              <w:spacing w:line="240" w:lineRule="auto"/>
              <w:jc w:val="center"/>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0.5</w:t>
            </w:r>
          </w:p>
        </w:tc>
      </w:tr>
      <w:tr w:rsidR="003E082C" w:rsidRPr="00681977" w14:paraId="4889C3A4" w14:textId="77777777" w:rsidTr="003E082C">
        <w:trPr>
          <w:trHeight w:val="312"/>
        </w:trPr>
        <w:tc>
          <w:tcPr>
            <w:tcW w:w="1039" w:type="pct"/>
            <w:tcBorders>
              <w:top w:val="nil"/>
              <w:left w:val="nil"/>
              <w:bottom w:val="nil"/>
              <w:right w:val="nil"/>
            </w:tcBorders>
            <w:shd w:val="clear" w:color="auto" w:fill="auto"/>
            <w:noWrap/>
            <w:vAlign w:val="bottom"/>
            <w:hideMark/>
          </w:tcPr>
          <w:p w14:paraId="4BEFB831" w14:textId="77777777" w:rsidR="003E082C" w:rsidRPr="00681977" w:rsidRDefault="003E082C" w:rsidP="00BB0D8C">
            <w:pPr>
              <w:spacing w:line="240" w:lineRule="auto"/>
              <w:jc w:val="center"/>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PTR</w:t>
            </w:r>
          </w:p>
        </w:tc>
        <w:tc>
          <w:tcPr>
            <w:tcW w:w="1092" w:type="pct"/>
            <w:tcBorders>
              <w:top w:val="nil"/>
              <w:left w:val="nil"/>
              <w:bottom w:val="nil"/>
              <w:right w:val="nil"/>
            </w:tcBorders>
            <w:shd w:val="clear" w:color="auto" w:fill="auto"/>
            <w:noWrap/>
            <w:vAlign w:val="bottom"/>
            <w:hideMark/>
          </w:tcPr>
          <w:p w14:paraId="467A02BF" w14:textId="77777777" w:rsidR="003E082C" w:rsidRPr="00681977" w:rsidRDefault="003E082C" w:rsidP="00BB0D8C">
            <w:pPr>
              <w:spacing w:line="240" w:lineRule="auto"/>
              <w:jc w:val="center"/>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0.52</w:t>
            </w:r>
          </w:p>
        </w:tc>
        <w:tc>
          <w:tcPr>
            <w:tcW w:w="1037" w:type="pct"/>
            <w:tcBorders>
              <w:top w:val="nil"/>
              <w:left w:val="nil"/>
              <w:bottom w:val="nil"/>
              <w:right w:val="nil"/>
            </w:tcBorders>
            <w:shd w:val="clear" w:color="auto" w:fill="auto"/>
            <w:noWrap/>
            <w:vAlign w:val="bottom"/>
            <w:hideMark/>
          </w:tcPr>
          <w:p w14:paraId="51C83626" w14:textId="77777777" w:rsidR="003E082C" w:rsidRPr="00681977" w:rsidRDefault="003E082C" w:rsidP="00BB0D8C">
            <w:pPr>
              <w:spacing w:line="240" w:lineRule="auto"/>
              <w:jc w:val="center"/>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0.77</w:t>
            </w:r>
          </w:p>
        </w:tc>
        <w:tc>
          <w:tcPr>
            <w:tcW w:w="915" w:type="pct"/>
            <w:tcBorders>
              <w:top w:val="nil"/>
              <w:left w:val="nil"/>
              <w:bottom w:val="nil"/>
              <w:right w:val="nil"/>
            </w:tcBorders>
            <w:shd w:val="clear" w:color="auto" w:fill="auto"/>
            <w:noWrap/>
            <w:vAlign w:val="bottom"/>
            <w:hideMark/>
          </w:tcPr>
          <w:p w14:paraId="08D224B4" w14:textId="77777777" w:rsidR="003E082C" w:rsidRPr="00681977" w:rsidRDefault="003E082C" w:rsidP="00BB0D8C">
            <w:pPr>
              <w:spacing w:line="240" w:lineRule="auto"/>
              <w:jc w:val="center"/>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0.55</w:t>
            </w:r>
          </w:p>
        </w:tc>
        <w:tc>
          <w:tcPr>
            <w:tcW w:w="915" w:type="pct"/>
            <w:tcBorders>
              <w:top w:val="nil"/>
              <w:left w:val="nil"/>
              <w:bottom w:val="nil"/>
              <w:right w:val="nil"/>
            </w:tcBorders>
            <w:shd w:val="clear" w:color="auto" w:fill="auto"/>
            <w:noWrap/>
            <w:vAlign w:val="bottom"/>
            <w:hideMark/>
          </w:tcPr>
          <w:p w14:paraId="00D6B927" w14:textId="77777777" w:rsidR="003E082C" w:rsidRPr="00681977" w:rsidRDefault="003E082C" w:rsidP="00BB0D8C">
            <w:pPr>
              <w:spacing w:line="240" w:lineRule="auto"/>
              <w:jc w:val="center"/>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0.49</w:t>
            </w:r>
          </w:p>
        </w:tc>
      </w:tr>
      <w:tr w:rsidR="003E082C" w:rsidRPr="00681977" w14:paraId="70E4A5FE" w14:textId="77777777" w:rsidTr="003E082C">
        <w:trPr>
          <w:trHeight w:val="312"/>
        </w:trPr>
        <w:tc>
          <w:tcPr>
            <w:tcW w:w="1039" w:type="pct"/>
            <w:tcBorders>
              <w:top w:val="nil"/>
              <w:left w:val="nil"/>
              <w:bottom w:val="nil"/>
              <w:right w:val="nil"/>
            </w:tcBorders>
            <w:shd w:val="clear" w:color="auto" w:fill="auto"/>
            <w:noWrap/>
            <w:vAlign w:val="bottom"/>
            <w:hideMark/>
          </w:tcPr>
          <w:p w14:paraId="68234670" w14:textId="77777777" w:rsidR="003E082C" w:rsidRPr="00681977" w:rsidRDefault="003E082C" w:rsidP="00BB0D8C">
            <w:pPr>
              <w:spacing w:line="240" w:lineRule="auto"/>
              <w:jc w:val="center"/>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TI</w:t>
            </w:r>
          </w:p>
        </w:tc>
        <w:tc>
          <w:tcPr>
            <w:tcW w:w="1092" w:type="pct"/>
            <w:tcBorders>
              <w:top w:val="nil"/>
              <w:left w:val="nil"/>
              <w:bottom w:val="nil"/>
              <w:right w:val="nil"/>
            </w:tcBorders>
            <w:shd w:val="clear" w:color="auto" w:fill="auto"/>
            <w:noWrap/>
            <w:vAlign w:val="bottom"/>
            <w:hideMark/>
          </w:tcPr>
          <w:p w14:paraId="2C523684" w14:textId="77777777" w:rsidR="003E082C" w:rsidRPr="00681977" w:rsidRDefault="003E082C" w:rsidP="00BB0D8C">
            <w:pPr>
              <w:spacing w:line="240" w:lineRule="auto"/>
              <w:jc w:val="center"/>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0.48</w:t>
            </w:r>
          </w:p>
        </w:tc>
        <w:tc>
          <w:tcPr>
            <w:tcW w:w="1037" w:type="pct"/>
            <w:tcBorders>
              <w:top w:val="nil"/>
              <w:left w:val="nil"/>
              <w:bottom w:val="nil"/>
              <w:right w:val="nil"/>
            </w:tcBorders>
            <w:shd w:val="clear" w:color="auto" w:fill="auto"/>
            <w:noWrap/>
            <w:vAlign w:val="bottom"/>
            <w:hideMark/>
          </w:tcPr>
          <w:p w14:paraId="69023B25" w14:textId="77777777" w:rsidR="003E082C" w:rsidRPr="00681977" w:rsidRDefault="003E082C" w:rsidP="00BB0D8C">
            <w:pPr>
              <w:spacing w:line="240" w:lineRule="auto"/>
              <w:jc w:val="center"/>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0.55</w:t>
            </w:r>
          </w:p>
        </w:tc>
        <w:tc>
          <w:tcPr>
            <w:tcW w:w="915" w:type="pct"/>
            <w:tcBorders>
              <w:top w:val="nil"/>
              <w:left w:val="nil"/>
              <w:bottom w:val="nil"/>
              <w:right w:val="nil"/>
            </w:tcBorders>
            <w:shd w:val="clear" w:color="auto" w:fill="auto"/>
            <w:noWrap/>
            <w:vAlign w:val="bottom"/>
            <w:hideMark/>
          </w:tcPr>
          <w:p w14:paraId="15A3E870" w14:textId="77777777" w:rsidR="003E082C" w:rsidRPr="00681977" w:rsidRDefault="003E082C" w:rsidP="00BB0D8C">
            <w:pPr>
              <w:spacing w:line="240" w:lineRule="auto"/>
              <w:jc w:val="center"/>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0.75</w:t>
            </w:r>
          </w:p>
        </w:tc>
        <w:tc>
          <w:tcPr>
            <w:tcW w:w="915" w:type="pct"/>
            <w:tcBorders>
              <w:top w:val="nil"/>
              <w:left w:val="nil"/>
              <w:bottom w:val="nil"/>
              <w:right w:val="nil"/>
            </w:tcBorders>
            <w:shd w:val="clear" w:color="auto" w:fill="auto"/>
            <w:noWrap/>
            <w:vAlign w:val="bottom"/>
            <w:hideMark/>
          </w:tcPr>
          <w:p w14:paraId="4C18DD0A" w14:textId="77777777" w:rsidR="003E082C" w:rsidRPr="00681977" w:rsidRDefault="003E082C" w:rsidP="00BB0D8C">
            <w:pPr>
              <w:spacing w:line="240" w:lineRule="auto"/>
              <w:jc w:val="center"/>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0.44</w:t>
            </w:r>
          </w:p>
        </w:tc>
      </w:tr>
      <w:tr w:rsidR="003E082C" w:rsidRPr="00681977" w14:paraId="6A7654B0" w14:textId="77777777" w:rsidTr="003E082C">
        <w:trPr>
          <w:trHeight w:val="312"/>
        </w:trPr>
        <w:tc>
          <w:tcPr>
            <w:tcW w:w="1039" w:type="pct"/>
            <w:tcBorders>
              <w:top w:val="nil"/>
              <w:left w:val="nil"/>
              <w:bottom w:val="single" w:sz="4" w:space="0" w:color="auto"/>
              <w:right w:val="nil"/>
            </w:tcBorders>
            <w:shd w:val="clear" w:color="auto" w:fill="auto"/>
            <w:noWrap/>
            <w:vAlign w:val="bottom"/>
            <w:hideMark/>
          </w:tcPr>
          <w:p w14:paraId="0EC0E78E" w14:textId="77777777" w:rsidR="003E082C" w:rsidRPr="00681977" w:rsidRDefault="003E082C" w:rsidP="00BB0D8C">
            <w:pPr>
              <w:spacing w:line="240" w:lineRule="auto"/>
              <w:jc w:val="center"/>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AIS</w:t>
            </w:r>
          </w:p>
        </w:tc>
        <w:tc>
          <w:tcPr>
            <w:tcW w:w="1092" w:type="pct"/>
            <w:tcBorders>
              <w:top w:val="nil"/>
              <w:left w:val="nil"/>
              <w:bottom w:val="single" w:sz="4" w:space="0" w:color="auto"/>
              <w:right w:val="nil"/>
            </w:tcBorders>
            <w:shd w:val="clear" w:color="auto" w:fill="auto"/>
            <w:noWrap/>
            <w:vAlign w:val="bottom"/>
            <w:hideMark/>
          </w:tcPr>
          <w:p w14:paraId="197FE3D1" w14:textId="77777777" w:rsidR="003E082C" w:rsidRPr="00681977" w:rsidRDefault="003E082C" w:rsidP="00BB0D8C">
            <w:pPr>
              <w:spacing w:line="240" w:lineRule="auto"/>
              <w:jc w:val="center"/>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0.5</w:t>
            </w:r>
          </w:p>
        </w:tc>
        <w:tc>
          <w:tcPr>
            <w:tcW w:w="1037" w:type="pct"/>
            <w:tcBorders>
              <w:top w:val="nil"/>
              <w:left w:val="nil"/>
              <w:bottom w:val="single" w:sz="4" w:space="0" w:color="auto"/>
              <w:right w:val="nil"/>
            </w:tcBorders>
            <w:shd w:val="clear" w:color="auto" w:fill="auto"/>
            <w:noWrap/>
            <w:vAlign w:val="bottom"/>
            <w:hideMark/>
          </w:tcPr>
          <w:p w14:paraId="5A53895D" w14:textId="77777777" w:rsidR="003E082C" w:rsidRPr="00681977" w:rsidRDefault="003E082C" w:rsidP="00BB0D8C">
            <w:pPr>
              <w:spacing w:line="240" w:lineRule="auto"/>
              <w:jc w:val="center"/>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0.49</w:t>
            </w:r>
          </w:p>
        </w:tc>
        <w:tc>
          <w:tcPr>
            <w:tcW w:w="915" w:type="pct"/>
            <w:tcBorders>
              <w:top w:val="nil"/>
              <w:left w:val="nil"/>
              <w:bottom w:val="single" w:sz="4" w:space="0" w:color="auto"/>
              <w:right w:val="nil"/>
            </w:tcBorders>
            <w:shd w:val="clear" w:color="auto" w:fill="auto"/>
            <w:noWrap/>
            <w:vAlign w:val="bottom"/>
            <w:hideMark/>
          </w:tcPr>
          <w:p w14:paraId="51C996B7" w14:textId="77777777" w:rsidR="003E082C" w:rsidRPr="00681977" w:rsidRDefault="003E082C" w:rsidP="00BB0D8C">
            <w:pPr>
              <w:spacing w:line="240" w:lineRule="auto"/>
              <w:jc w:val="center"/>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0.44</w:t>
            </w:r>
          </w:p>
        </w:tc>
        <w:tc>
          <w:tcPr>
            <w:tcW w:w="915" w:type="pct"/>
            <w:tcBorders>
              <w:top w:val="nil"/>
              <w:left w:val="nil"/>
              <w:bottom w:val="single" w:sz="4" w:space="0" w:color="auto"/>
              <w:right w:val="nil"/>
            </w:tcBorders>
            <w:shd w:val="clear" w:color="auto" w:fill="auto"/>
            <w:noWrap/>
            <w:vAlign w:val="bottom"/>
            <w:hideMark/>
          </w:tcPr>
          <w:p w14:paraId="3DA7D3D5" w14:textId="77777777" w:rsidR="003E082C" w:rsidRPr="00681977" w:rsidRDefault="003E082C" w:rsidP="00BB0D8C">
            <w:pPr>
              <w:spacing w:line="240" w:lineRule="auto"/>
              <w:jc w:val="center"/>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0.79</w:t>
            </w:r>
          </w:p>
        </w:tc>
      </w:tr>
    </w:tbl>
    <w:p w14:paraId="75B26DAA" w14:textId="77777777" w:rsidR="003E082C" w:rsidRPr="00681977" w:rsidRDefault="003E082C" w:rsidP="003E082C">
      <w:pPr>
        <w:jc w:val="center"/>
        <w:rPr>
          <w:rFonts w:ascii="Arial" w:hAnsi="Arial" w:cs="Arial"/>
          <w:sz w:val="20"/>
          <w:szCs w:val="20"/>
        </w:rPr>
      </w:pPr>
    </w:p>
    <w:p w14:paraId="78BF07D4" w14:textId="77777777" w:rsidR="00ED008E" w:rsidRPr="00681977" w:rsidRDefault="00ED008E" w:rsidP="007B07B4">
      <w:pPr>
        <w:jc w:val="both"/>
        <w:rPr>
          <w:rFonts w:ascii="Arial" w:hAnsi="Arial" w:cs="Arial"/>
          <w:b/>
          <w:bCs/>
        </w:rPr>
      </w:pPr>
      <w:r w:rsidRPr="00681977">
        <w:rPr>
          <w:rFonts w:ascii="Arial" w:hAnsi="Arial" w:cs="Arial"/>
          <w:b/>
          <w:bCs/>
        </w:rPr>
        <w:t>5.3 Structural Model &amp; Hypothesis Testing</w:t>
      </w:r>
    </w:p>
    <w:p w14:paraId="0A0BBF0B" w14:textId="2ED3A896" w:rsidR="00ED008E" w:rsidRPr="00681977" w:rsidRDefault="005A6BEC" w:rsidP="007B07B4">
      <w:pPr>
        <w:jc w:val="both"/>
        <w:rPr>
          <w:rFonts w:ascii="Arial" w:hAnsi="Arial" w:cs="Arial"/>
          <w:sz w:val="20"/>
          <w:szCs w:val="20"/>
        </w:rPr>
      </w:pPr>
      <w:r w:rsidRPr="00681977">
        <w:rPr>
          <w:rFonts w:ascii="Arial" w:hAnsi="Arial" w:cs="Arial"/>
          <w:sz w:val="20"/>
          <w:szCs w:val="20"/>
        </w:rPr>
        <w:t>Structural equation modelling (SEM) results (Table 6, Table 7, and Figure 2) offer empirical support to all three hypothesized relationships. According to Figure 2, geopolitical disruption is strongly and positively associated with perceived travel risks. Such risk perception negatively and significantly influences travel intention; however, this negative effect is highly moderated among travellers who undertake adaptive information-searching behaviours-the buffer effect keeps travel intention intact irrespective of enhanced risk perception.</w:t>
      </w:r>
    </w:p>
    <w:tbl>
      <w:tblPr>
        <w:tblW w:w="5000" w:type="pct"/>
        <w:tblLook w:val="04A0" w:firstRow="1" w:lastRow="0" w:firstColumn="1" w:lastColumn="0" w:noHBand="0" w:noVBand="1"/>
      </w:tblPr>
      <w:tblGrid>
        <w:gridCol w:w="5127"/>
        <w:gridCol w:w="905"/>
        <w:gridCol w:w="717"/>
        <w:gridCol w:w="922"/>
        <w:gridCol w:w="1355"/>
      </w:tblGrid>
      <w:tr w:rsidR="00722BB9" w:rsidRPr="00681977" w14:paraId="32CA7195" w14:textId="77777777" w:rsidTr="002E2AC6">
        <w:trPr>
          <w:trHeight w:val="288"/>
        </w:trPr>
        <w:tc>
          <w:tcPr>
            <w:tcW w:w="5000" w:type="pct"/>
            <w:gridSpan w:val="5"/>
            <w:tcBorders>
              <w:top w:val="nil"/>
              <w:left w:val="nil"/>
              <w:bottom w:val="nil"/>
              <w:right w:val="nil"/>
            </w:tcBorders>
            <w:shd w:val="clear" w:color="auto" w:fill="auto"/>
            <w:noWrap/>
            <w:vAlign w:val="center"/>
            <w:hideMark/>
          </w:tcPr>
          <w:p w14:paraId="0D095FE2" w14:textId="77777777" w:rsidR="005E3F3A" w:rsidRPr="00681977" w:rsidRDefault="00722BB9" w:rsidP="002E2AC6">
            <w:pPr>
              <w:spacing w:after="0" w:line="240" w:lineRule="auto"/>
              <w:jc w:val="both"/>
              <w:rPr>
                <w:rFonts w:ascii="Arial" w:eastAsia="Times New Roman" w:hAnsi="Arial" w:cs="Arial"/>
                <w:b/>
                <w:bCs/>
                <w:color w:val="000000"/>
                <w:kern w:val="0"/>
                <w:sz w:val="20"/>
                <w:szCs w:val="20"/>
                <w:lang w:eastAsia="en-IN"/>
                <w14:ligatures w14:val="none"/>
              </w:rPr>
            </w:pPr>
            <w:r w:rsidRPr="00681977">
              <w:rPr>
                <w:rFonts w:ascii="Arial" w:eastAsia="Times New Roman" w:hAnsi="Arial" w:cs="Arial"/>
                <w:b/>
                <w:bCs/>
                <w:color w:val="000000"/>
                <w:kern w:val="0"/>
                <w:sz w:val="20"/>
                <w:szCs w:val="20"/>
                <w:lang w:eastAsia="en-IN"/>
                <w14:ligatures w14:val="none"/>
              </w:rPr>
              <w:t>Table 6</w:t>
            </w:r>
          </w:p>
          <w:p w14:paraId="6B8B5506" w14:textId="77777777" w:rsidR="005E3F3A" w:rsidRPr="00681977" w:rsidRDefault="005E3F3A" w:rsidP="002E2AC6">
            <w:pPr>
              <w:spacing w:after="0" w:line="240" w:lineRule="auto"/>
              <w:jc w:val="both"/>
              <w:rPr>
                <w:rFonts w:ascii="Arial" w:eastAsia="Times New Roman" w:hAnsi="Arial" w:cs="Arial"/>
                <w:b/>
                <w:bCs/>
                <w:color w:val="000000"/>
                <w:kern w:val="0"/>
                <w:sz w:val="20"/>
                <w:szCs w:val="20"/>
                <w:lang w:eastAsia="en-IN"/>
                <w14:ligatures w14:val="none"/>
              </w:rPr>
            </w:pPr>
          </w:p>
          <w:p w14:paraId="4371E7DD" w14:textId="3BB00A63" w:rsidR="00722BB9" w:rsidRPr="00681977" w:rsidRDefault="00722BB9" w:rsidP="002E2AC6">
            <w:pPr>
              <w:spacing w:after="0" w:line="240" w:lineRule="auto"/>
              <w:jc w:val="both"/>
              <w:rPr>
                <w:rFonts w:ascii="Arial" w:eastAsia="Times New Roman" w:hAnsi="Arial" w:cs="Arial"/>
                <w:i/>
                <w:iCs/>
                <w:color w:val="000000"/>
                <w:kern w:val="0"/>
                <w:sz w:val="20"/>
                <w:szCs w:val="20"/>
                <w:lang w:eastAsia="en-IN"/>
                <w14:ligatures w14:val="none"/>
              </w:rPr>
            </w:pPr>
            <w:r w:rsidRPr="00681977">
              <w:rPr>
                <w:rFonts w:ascii="Arial" w:eastAsia="Times New Roman" w:hAnsi="Arial" w:cs="Arial"/>
                <w:i/>
                <w:iCs/>
                <w:color w:val="000000"/>
                <w:kern w:val="0"/>
                <w:sz w:val="20"/>
                <w:szCs w:val="20"/>
                <w:lang w:eastAsia="en-IN"/>
                <w14:ligatures w14:val="none"/>
              </w:rPr>
              <w:t>Inference of Hypotheses</w:t>
            </w:r>
          </w:p>
          <w:p w14:paraId="3622A6FE" w14:textId="77777777" w:rsidR="005E3F3A" w:rsidRPr="00681977" w:rsidRDefault="005E3F3A" w:rsidP="002E2AC6">
            <w:pPr>
              <w:spacing w:after="0" w:line="240" w:lineRule="auto"/>
              <w:jc w:val="both"/>
              <w:rPr>
                <w:rFonts w:ascii="Arial" w:eastAsia="Times New Roman" w:hAnsi="Arial" w:cs="Arial"/>
                <w:b/>
                <w:bCs/>
                <w:color w:val="000000"/>
                <w:kern w:val="0"/>
                <w:sz w:val="20"/>
                <w:szCs w:val="20"/>
                <w:lang w:eastAsia="en-IN"/>
                <w14:ligatures w14:val="none"/>
              </w:rPr>
            </w:pPr>
          </w:p>
          <w:p w14:paraId="03D8E4B4" w14:textId="77777777" w:rsidR="00722BB9" w:rsidRPr="00681977" w:rsidRDefault="00722BB9" w:rsidP="002E2AC6">
            <w:pPr>
              <w:spacing w:after="0" w:line="240" w:lineRule="auto"/>
              <w:jc w:val="both"/>
              <w:rPr>
                <w:rFonts w:ascii="Arial" w:eastAsia="Times New Roman" w:hAnsi="Arial" w:cs="Arial"/>
                <w:b/>
                <w:bCs/>
                <w:color w:val="000000"/>
                <w:kern w:val="0"/>
                <w:sz w:val="20"/>
                <w:szCs w:val="20"/>
                <w:lang w:eastAsia="en-IN"/>
                <w14:ligatures w14:val="none"/>
              </w:rPr>
            </w:pPr>
          </w:p>
        </w:tc>
      </w:tr>
      <w:tr w:rsidR="00722BB9" w:rsidRPr="00681977" w14:paraId="711ADE6A" w14:textId="77777777" w:rsidTr="002E2AC6">
        <w:trPr>
          <w:trHeight w:val="288"/>
        </w:trPr>
        <w:tc>
          <w:tcPr>
            <w:tcW w:w="2843" w:type="pct"/>
            <w:tcBorders>
              <w:top w:val="single" w:sz="4" w:space="0" w:color="auto"/>
              <w:left w:val="nil"/>
              <w:bottom w:val="single" w:sz="4" w:space="0" w:color="auto"/>
              <w:right w:val="nil"/>
            </w:tcBorders>
            <w:shd w:val="clear" w:color="auto" w:fill="auto"/>
            <w:noWrap/>
            <w:vAlign w:val="center"/>
            <w:hideMark/>
          </w:tcPr>
          <w:p w14:paraId="1B7430B5" w14:textId="77777777" w:rsidR="00722BB9" w:rsidRPr="00681977" w:rsidRDefault="00722BB9" w:rsidP="002E2AC6">
            <w:pPr>
              <w:spacing w:after="0" w:line="240" w:lineRule="auto"/>
              <w:jc w:val="both"/>
              <w:rPr>
                <w:rFonts w:ascii="Arial" w:eastAsia="Times New Roman" w:hAnsi="Arial" w:cs="Arial"/>
                <w:b/>
                <w:bCs/>
                <w:color w:val="000000"/>
                <w:kern w:val="0"/>
                <w:sz w:val="20"/>
                <w:szCs w:val="20"/>
                <w:lang w:eastAsia="en-IN"/>
                <w14:ligatures w14:val="none"/>
              </w:rPr>
            </w:pPr>
            <w:r w:rsidRPr="00681977">
              <w:rPr>
                <w:rFonts w:ascii="Arial" w:eastAsia="Times New Roman" w:hAnsi="Arial" w:cs="Arial"/>
                <w:b/>
                <w:bCs/>
                <w:color w:val="000000"/>
                <w:kern w:val="0"/>
                <w:sz w:val="20"/>
                <w:szCs w:val="20"/>
                <w:lang w:eastAsia="en-IN"/>
                <w14:ligatures w14:val="none"/>
              </w:rPr>
              <w:t>Hypothesis</w:t>
            </w:r>
          </w:p>
        </w:tc>
        <w:tc>
          <w:tcPr>
            <w:tcW w:w="491" w:type="pct"/>
            <w:tcBorders>
              <w:top w:val="single" w:sz="4" w:space="0" w:color="auto"/>
              <w:left w:val="nil"/>
              <w:bottom w:val="single" w:sz="4" w:space="0" w:color="auto"/>
              <w:right w:val="nil"/>
            </w:tcBorders>
            <w:shd w:val="clear" w:color="auto" w:fill="auto"/>
            <w:noWrap/>
            <w:vAlign w:val="center"/>
            <w:hideMark/>
          </w:tcPr>
          <w:p w14:paraId="537D3F7B" w14:textId="77777777" w:rsidR="00722BB9" w:rsidRPr="00681977" w:rsidRDefault="00722BB9" w:rsidP="002E2AC6">
            <w:pPr>
              <w:spacing w:after="0" w:line="240" w:lineRule="auto"/>
              <w:jc w:val="center"/>
              <w:rPr>
                <w:rFonts w:ascii="Arial" w:eastAsia="Times New Roman" w:hAnsi="Arial" w:cs="Arial"/>
                <w:b/>
                <w:bCs/>
                <w:color w:val="000000"/>
                <w:kern w:val="0"/>
                <w:sz w:val="20"/>
                <w:szCs w:val="20"/>
                <w:lang w:eastAsia="en-IN"/>
                <w14:ligatures w14:val="none"/>
              </w:rPr>
            </w:pPr>
            <w:r w:rsidRPr="00681977">
              <w:rPr>
                <w:rFonts w:ascii="Arial" w:eastAsia="Times New Roman" w:hAnsi="Arial" w:cs="Arial"/>
                <w:b/>
                <w:bCs/>
                <w:color w:val="000000"/>
                <w:kern w:val="0"/>
                <w:sz w:val="20"/>
                <w:szCs w:val="20"/>
                <w:lang w:eastAsia="en-IN"/>
                <w14:ligatures w14:val="none"/>
              </w:rPr>
              <w:t>β (Std.)</w:t>
            </w:r>
          </w:p>
        </w:tc>
        <w:tc>
          <w:tcPr>
            <w:tcW w:w="399" w:type="pct"/>
            <w:tcBorders>
              <w:top w:val="single" w:sz="4" w:space="0" w:color="auto"/>
              <w:left w:val="nil"/>
              <w:bottom w:val="single" w:sz="4" w:space="0" w:color="auto"/>
              <w:right w:val="nil"/>
            </w:tcBorders>
            <w:shd w:val="clear" w:color="auto" w:fill="auto"/>
            <w:noWrap/>
            <w:vAlign w:val="center"/>
            <w:hideMark/>
          </w:tcPr>
          <w:p w14:paraId="06F94693" w14:textId="77777777" w:rsidR="00722BB9" w:rsidRPr="00681977" w:rsidRDefault="00722BB9" w:rsidP="002E2AC6">
            <w:pPr>
              <w:spacing w:after="0" w:line="240" w:lineRule="auto"/>
              <w:jc w:val="center"/>
              <w:rPr>
                <w:rFonts w:ascii="Arial" w:eastAsia="Times New Roman" w:hAnsi="Arial" w:cs="Arial"/>
                <w:b/>
                <w:bCs/>
                <w:color w:val="000000"/>
                <w:kern w:val="0"/>
                <w:sz w:val="20"/>
                <w:szCs w:val="20"/>
                <w:lang w:eastAsia="en-IN"/>
                <w14:ligatures w14:val="none"/>
              </w:rPr>
            </w:pPr>
            <w:r w:rsidRPr="00681977">
              <w:rPr>
                <w:rFonts w:ascii="Arial" w:eastAsia="Times New Roman" w:hAnsi="Arial" w:cs="Arial"/>
                <w:b/>
                <w:bCs/>
                <w:color w:val="000000"/>
                <w:kern w:val="0"/>
                <w:sz w:val="20"/>
                <w:szCs w:val="20"/>
                <w:lang w:eastAsia="en-IN"/>
                <w14:ligatures w14:val="none"/>
              </w:rPr>
              <w:t>t</w:t>
            </w:r>
          </w:p>
        </w:tc>
        <w:tc>
          <w:tcPr>
            <w:tcW w:w="514" w:type="pct"/>
            <w:tcBorders>
              <w:top w:val="single" w:sz="4" w:space="0" w:color="auto"/>
              <w:left w:val="nil"/>
              <w:bottom w:val="single" w:sz="4" w:space="0" w:color="auto"/>
              <w:right w:val="nil"/>
            </w:tcBorders>
            <w:shd w:val="clear" w:color="auto" w:fill="auto"/>
            <w:noWrap/>
            <w:vAlign w:val="center"/>
            <w:hideMark/>
          </w:tcPr>
          <w:p w14:paraId="241536AB" w14:textId="77777777" w:rsidR="00722BB9" w:rsidRPr="00681977" w:rsidRDefault="00722BB9" w:rsidP="002E2AC6">
            <w:pPr>
              <w:spacing w:after="0" w:line="240" w:lineRule="auto"/>
              <w:jc w:val="center"/>
              <w:rPr>
                <w:rFonts w:ascii="Arial" w:eastAsia="Times New Roman" w:hAnsi="Arial" w:cs="Arial"/>
                <w:b/>
                <w:bCs/>
                <w:color w:val="000000"/>
                <w:kern w:val="0"/>
                <w:sz w:val="20"/>
                <w:szCs w:val="20"/>
                <w:lang w:eastAsia="en-IN"/>
                <w14:ligatures w14:val="none"/>
              </w:rPr>
            </w:pPr>
            <w:r w:rsidRPr="00681977">
              <w:rPr>
                <w:rFonts w:ascii="Arial" w:eastAsia="Times New Roman" w:hAnsi="Arial" w:cs="Arial"/>
                <w:b/>
                <w:bCs/>
                <w:color w:val="000000"/>
                <w:kern w:val="0"/>
                <w:sz w:val="20"/>
                <w:szCs w:val="20"/>
                <w:lang w:eastAsia="en-IN"/>
                <w14:ligatures w14:val="none"/>
              </w:rPr>
              <w:t>p</w:t>
            </w:r>
          </w:p>
        </w:tc>
        <w:tc>
          <w:tcPr>
            <w:tcW w:w="754" w:type="pct"/>
            <w:tcBorders>
              <w:top w:val="single" w:sz="4" w:space="0" w:color="auto"/>
              <w:left w:val="nil"/>
              <w:bottom w:val="single" w:sz="4" w:space="0" w:color="auto"/>
              <w:right w:val="nil"/>
            </w:tcBorders>
            <w:shd w:val="clear" w:color="auto" w:fill="auto"/>
            <w:noWrap/>
            <w:vAlign w:val="center"/>
            <w:hideMark/>
          </w:tcPr>
          <w:p w14:paraId="5CDEF99D" w14:textId="77777777" w:rsidR="00722BB9" w:rsidRPr="00681977" w:rsidRDefault="00722BB9" w:rsidP="002E2AC6">
            <w:pPr>
              <w:spacing w:after="0" w:line="240" w:lineRule="auto"/>
              <w:jc w:val="center"/>
              <w:rPr>
                <w:rFonts w:ascii="Arial" w:eastAsia="Times New Roman" w:hAnsi="Arial" w:cs="Arial"/>
                <w:b/>
                <w:bCs/>
                <w:color w:val="000000"/>
                <w:kern w:val="0"/>
                <w:sz w:val="20"/>
                <w:szCs w:val="20"/>
                <w:lang w:eastAsia="en-IN"/>
                <w14:ligatures w14:val="none"/>
              </w:rPr>
            </w:pPr>
            <w:r w:rsidRPr="00681977">
              <w:rPr>
                <w:rFonts w:ascii="Arial" w:eastAsia="Times New Roman" w:hAnsi="Arial" w:cs="Arial"/>
                <w:b/>
                <w:bCs/>
                <w:color w:val="000000"/>
                <w:kern w:val="0"/>
                <w:sz w:val="20"/>
                <w:szCs w:val="20"/>
                <w:lang w:eastAsia="en-IN"/>
                <w14:ligatures w14:val="none"/>
              </w:rPr>
              <w:t>Inference</w:t>
            </w:r>
          </w:p>
        </w:tc>
      </w:tr>
      <w:tr w:rsidR="00722BB9" w:rsidRPr="00681977" w14:paraId="738D48F0" w14:textId="77777777" w:rsidTr="002E2AC6">
        <w:trPr>
          <w:trHeight w:val="288"/>
        </w:trPr>
        <w:tc>
          <w:tcPr>
            <w:tcW w:w="2843" w:type="pct"/>
            <w:tcBorders>
              <w:top w:val="nil"/>
              <w:left w:val="nil"/>
              <w:bottom w:val="nil"/>
              <w:right w:val="nil"/>
            </w:tcBorders>
            <w:shd w:val="clear" w:color="auto" w:fill="auto"/>
            <w:noWrap/>
            <w:vAlign w:val="center"/>
            <w:hideMark/>
          </w:tcPr>
          <w:p w14:paraId="2ED3754E" w14:textId="77777777" w:rsidR="00722BB9" w:rsidRPr="00681977" w:rsidRDefault="00722BB9" w:rsidP="00BB0D8C">
            <w:pPr>
              <w:spacing w:line="240" w:lineRule="auto"/>
              <w:jc w:val="both"/>
              <w:rPr>
                <w:rFonts w:ascii="Arial" w:eastAsia="Times New Roman" w:hAnsi="Arial" w:cs="Arial"/>
                <w:b/>
                <w:bCs/>
                <w:color w:val="000000"/>
                <w:kern w:val="0"/>
                <w:sz w:val="20"/>
                <w:szCs w:val="20"/>
                <w:lang w:eastAsia="en-IN"/>
                <w14:ligatures w14:val="none"/>
              </w:rPr>
            </w:pPr>
            <w:r w:rsidRPr="00681977">
              <w:rPr>
                <w:rFonts w:ascii="Arial" w:eastAsia="Times New Roman" w:hAnsi="Arial" w:cs="Arial"/>
                <w:b/>
                <w:bCs/>
                <w:color w:val="000000"/>
                <w:kern w:val="0"/>
                <w:sz w:val="20"/>
                <w:szCs w:val="20"/>
                <w:lang w:eastAsia="en-IN"/>
                <w14:ligatures w14:val="none"/>
              </w:rPr>
              <w:t>H1</w:t>
            </w:r>
            <w:r w:rsidRPr="00681977">
              <w:rPr>
                <w:rFonts w:ascii="Arial" w:eastAsia="Times New Roman" w:hAnsi="Arial" w:cs="Arial"/>
                <w:color w:val="000000"/>
                <w:kern w:val="0"/>
                <w:sz w:val="20"/>
                <w:szCs w:val="20"/>
                <w:lang w:eastAsia="en-IN"/>
                <w14:ligatures w14:val="none"/>
              </w:rPr>
              <w:t xml:space="preserve"> – Geopolitical disruption → Perceived risk</w:t>
            </w:r>
          </w:p>
        </w:tc>
        <w:tc>
          <w:tcPr>
            <w:tcW w:w="491" w:type="pct"/>
            <w:tcBorders>
              <w:top w:val="nil"/>
              <w:left w:val="nil"/>
              <w:bottom w:val="nil"/>
              <w:right w:val="nil"/>
            </w:tcBorders>
            <w:shd w:val="clear" w:color="auto" w:fill="auto"/>
            <w:noWrap/>
            <w:vAlign w:val="center"/>
            <w:hideMark/>
          </w:tcPr>
          <w:p w14:paraId="0148014A" w14:textId="77777777" w:rsidR="00722BB9" w:rsidRPr="00681977" w:rsidRDefault="00722BB9" w:rsidP="00BB0D8C">
            <w:pPr>
              <w:spacing w:line="240" w:lineRule="auto"/>
              <w:jc w:val="center"/>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0.65</w:t>
            </w:r>
          </w:p>
        </w:tc>
        <w:tc>
          <w:tcPr>
            <w:tcW w:w="399" w:type="pct"/>
            <w:tcBorders>
              <w:top w:val="nil"/>
              <w:left w:val="nil"/>
              <w:bottom w:val="nil"/>
              <w:right w:val="nil"/>
            </w:tcBorders>
            <w:shd w:val="clear" w:color="auto" w:fill="auto"/>
            <w:noWrap/>
            <w:vAlign w:val="center"/>
            <w:hideMark/>
          </w:tcPr>
          <w:p w14:paraId="42662017" w14:textId="77777777" w:rsidR="00722BB9" w:rsidRPr="00681977" w:rsidRDefault="00722BB9" w:rsidP="00BB0D8C">
            <w:pPr>
              <w:spacing w:line="240" w:lineRule="auto"/>
              <w:jc w:val="center"/>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12.1</w:t>
            </w:r>
          </w:p>
        </w:tc>
        <w:tc>
          <w:tcPr>
            <w:tcW w:w="514" w:type="pct"/>
            <w:tcBorders>
              <w:top w:val="nil"/>
              <w:left w:val="nil"/>
              <w:bottom w:val="nil"/>
              <w:right w:val="nil"/>
            </w:tcBorders>
            <w:shd w:val="clear" w:color="auto" w:fill="auto"/>
            <w:noWrap/>
            <w:vAlign w:val="center"/>
            <w:hideMark/>
          </w:tcPr>
          <w:p w14:paraId="62E9F2A3" w14:textId="77777777" w:rsidR="00722BB9" w:rsidRPr="00681977" w:rsidRDefault="00722BB9" w:rsidP="00BB0D8C">
            <w:pPr>
              <w:spacing w:line="240" w:lineRule="auto"/>
              <w:jc w:val="center"/>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&lt; .001</w:t>
            </w:r>
          </w:p>
        </w:tc>
        <w:tc>
          <w:tcPr>
            <w:tcW w:w="754" w:type="pct"/>
            <w:tcBorders>
              <w:top w:val="nil"/>
              <w:left w:val="nil"/>
              <w:bottom w:val="nil"/>
              <w:right w:val="nil"/>
            </w:tcBorders>
            <w:shd w:val="clear" w:color="auto" w:fill="auto"/>
            <w:noWrap/>
            <w:vAlign w:val="center"/>
            <w:hideMark/>
          </w:tcPr>
          <w:p w14:paraId="440E4C2E" w14:textId="77777777" w:rsidR="00722BB9" w:rsidRPr="00681977" w:rsidRDefault="00722BB9" w:rsidP="00BB0D8C">
            <w:pPr>
              <w:spacing w:line="240" w:lineRule="auto"/>
              <w:jc w:val="center"/>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Supported</w:t>
            </w:r>
          </w:p>
        </w:tc>
      </w:tr>
      <w:tr w:rsidR="00722BB9" w:rsidRPr="00681977" w14:paraId="41C0AF60" w14:textId="77777777" w:rsidTr="002E2AC6">
        <w:trPr>
          <w:trHeight w:val="288"/>
        </w:trPr>
        <w:tc>
          <w:tcPr>
            <w:tcW w:w="2843" w:type="pct"/>
            <w:tcBorders>
              <w:top w:val="nil"/>
              <w:left w:val="nil"/>
              <w:bottom w:val="nil"/>
              <w:right w:val="nil"/>
            </w:tcBorders>
            <w:shd w:val="clear" w:color="auto" w:fill="auto"/>
            <w:noWrap/>
            <w:vAlign w:val="center"/>
            <w:hideMark/>
          </w:tcPr>
          <w:p w14:paraId="0E34234A" w14:textId="77777777" w:rsidR="00722BB9" w:rsidRPr="00681977" w:rsidRDefault="00722BB9" w:rsidP="00BB0D8C">
            <w:pPr>
              <w:spacing w:line="240" w:lineRule="auto"/>
              <w:jc w:val="both"/>
              <w:rPr>
                <w:rFonts w:ascii="Arial" w:eastAsia="Times New Roman" w:hAnsi="Arial" w:cs="Arial"/>
                <w:b/>
                <w:bCs/>
                <w:color w:val="000000"/>
                <w:kern w:val="0"/>
                <w:sz w:val="20"/>
                <w:szCs w:val="20"/>
                <w:lang w:eastAsia="en-IN"/>
                <w14:ligatures w14:val="none"/>
              </w:rPr>
            </w:pPr>
            <w:r w:rsidRPr="00681977">
              <w:rPr>
                <w:rFonts w:ascii="Arial" w:eastAsia="Times New Roman" w:hAnsi="Arial" w:cs="Arial"/>
                <w:b/>
                <w:bCs/>
                <w:color w:val="000000"/>
                <w:kern w:val="0"/>
                <w:sz w:val="20"/>
                <w:szCs w:val="20"/>
                <w:lang w:eastAsia="en-IN"/>
                <w14:ligatures w14:val="none"/>
              </w:rPr>
              <w:t>H2</w:t>
            </w:r>
            <w:r w:rsidRPr="00681977">
              <w:rPr>
                <w:rFonts w:ascii="Arial" w:eastAsia="Times New Roman" w:hAnsi="Arial" w:cs="Arial"/>
                <w:color w:val="000000"/>
                <w:kern w:val="0"/>
                <w:sz w:val="20"/>
                <w:szCs w:val="20"/>
                <w:lang w:eastAsia="en-IN"/>
                <w14:ligatures w14:val="none"/>
              </w:rPr>
              <w:t xml:space="preserve"> – Perceived risk → Travel intention</w:t>
            </w:r>
          </w:p>
        </w:tc>
        <w:tc>
          <w:tcPr>
            <w:tcW w:w="491" w:type="pct"/>
            <w:tcBorders>
              <w:top w:val="nil"/>
              <w:left w:val="nil"/>
              <w:bottom w:val="nil"/>
              <w:right w:val="nil"/>
            </w:tcBorders>
            <w:shd w:val="clear" w:color="auto" w:fill="auto"/>
            <w:noWrap/>
            <w:vAlign w:val="center"/>
            <w:hideMark/>
          </w:tcPr>
          <w:p w14:paraId="013A8A5B" w14:textId="77777777" w:rsidR="00722BB9" w:rsidRPr="00681977" w:rsidRDefault="00722BB9" w:rsidP="00BB0D8C">
            <w:pPr>
              <w:spacing w:line="240" w:lineRule="auto"/>
              <w:jc w:val="center"/>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–0.58</w:t>
            </w:r>
          </w:p>
        </w:tc>
        <w:tc>
          <w:tcPr>
            <w:tcW w:w="399" w:type="pct"/>
            <w:tcBorders>
              <w:top w:val="nil"/>
              <w:left w:val="nil"/>
              <w:bottom w:val="nil"/>
              <w:right w:val="nil"/>
            </w:tcBorders>
            <w:shd w:val="clear" w:color="auto" w:fill="auto"/>
            <w:noWrap/>
            <w:vAlign w:val="center"/>
            <w:hideMark/>
          </w:tcPr>
          <w:p w14:paraId="3DDA6893" w14:textId="77777777" w:rsidR="00722BB9" w:rsidRPr="00681977" w:rsidRDefault="00722BB9" w:rsidP="00BB0D8C">
            <w:pPr>
              <w:spacing w:line="240" w:lineRule="auto"/>
              <w:jc w:val="center"/>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–10.4</w:t>
            </w:r>
          </w:p>
        </w:tc>
        <w:tc>
          <w:tcPr>
            <w:tcW w:w="514" w:type="pct"/>
            <w:tcBorders>
              <w:top w:val="nil"/>
              <w:left w:val="nil"/>
              <w:bottom w:val="nil"/>
              <w:right w:val="nil"/>
            </w:tcBorders>
            <w:shd w:val="clear" w:color="auto" w:fill="auto"/>
            <w:noWrap/>
            <w:vAlign w:val="center"/>
            <w:hideMark/>
          </w:tcPr>
          <w:p w14:paraId="7EEAACFC" w14:textId="77777777" w:rsidR="00722BB9" w:rsidRPr="00681977" w:rsidRDefault="00722BB9" w:rsidP="00BB0D8C">
            <w:pPr>
              <w:spacing w:line="240" w:lineRule="auto"/>
              <w:jc w:val="center"/>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&lt; .001</w:t>
            </w:r>
          </w:p>
        </w:tc>
        <w:tc>
          <w:tcPr>
            <w:tcW w:w="754" w:type="pct"/>
            <w:tcBorders>
              <w:top w:val="nil"/>
              <w:left w:val="nil"/>
              <w:bottom w:val="nil"/>
              <w:right w:val="nil"/>
            </w:tcBorders>
            <w:shd w:val="clear" w:color="auto" w:fill="auto"/>
            <w:noWrap/>
            <w:vAlign w:val="center"/>
            <w:hideMark/>
          </w:tcPr>
          <w:p w14:paraId="0BFB4632" w14:textId="77777777" w:rsidR="00722BB9" w:rsidRPr="00681977" w:rsidRDefault="00722BB9" w:rsidP="00BB0D8C">
            <w:pPr>
              <w:spacing w:line="240" w:lineRule="auto"/>
              <w:jc w:val="center"/>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Supported</w:t>
            </w:r>
          </w:p>
        </w:tc>
      </w:tr>
      <w:tr w:rsidR="00722BB9" w:rsidRPr="00681977" w14:paraId="0D1E537B" w14:textId="77777777" w:rsidTr="002E2AC6">
        <w:trPr>
          <w:trHeight w:val="288"/>
        </w:trPr>
        <w:tc>
          <w:tcPr>
            <w:tcW w:w="2843" w:type="pct"/>
            <w:tcBorders>
              <w:top w:val="nil"/>
              <w:left w:val="nil"/>
              <w:bottom w:val="single" w:sz="4" w:space="0" w:color="auto"/>
              <w:right w:val="nil"/>
            </w:tcBorders>
            <w:shd w:val="clear" w:color="auto" w:fill="auto"/>
            <w:noWrap/>
            <w:vAlign w:val="center"/>
            <w:hideMark/>
          </w:tcPr>
          <w:p w14:paraId="1814CD18" w14:textId="77777777" w:rsidR="00722BB9" w:rsidRPr="00681977" w:rsidRDefault="00722BB9" w:rsidP="00BB0D8C">
            <w:pPr>
              <w:spacing w:line="240" w:lineRule="auto"/>
              <w:jc w:val="both"/>
              <w:rPr>
                <w:rFonts w:ascii="Arial" w:eastAsia="Times New Roman" w:hAnsi="Arial" w:cs="Arial"/>
                <w:b/>
                <w:bCs/>
                <w:color w:val="000000"/>
                <w:kern w:val="0"/>
                <w:sz w:val="20"/>
                <w:szCs w:val="20"/>
                <w:lang w:eastAsia="en-IN"/>
                <w14:ligatures w14:val="none"/>
              </w:rPr>
            </w:pPr>
            <w:r w:rsidRPr="00681977">
              <w:rPr>
                <w:rFonts w:ascii="Arial" w:eastAsia="Times New Roman" w:hAnsi="Arial" w:cs="Arial"/>
                <w:b/>
                <w:bCs/>
                <w:color w:val="000000"/>
                <w:kern w:val="0"/>
                <w:sz w:val="20"/>
                <w:szCs w:val="20"/>
                <w:lang w:eastAsia="en-IN"/>
                <w14:ligatures w14:val="none"/>
              </w:rPr>
              <w:t>H3</w:t>
            </w:r>
            <w:r w:rsidRPr="00681977">
              <w:rPr>
                <w:rFonts w:ascii="Arial" w:eastAsia="Times New Roman" w:hAnsi="Arial" w:cs="Arial"/>
                <w:color w:val="000000"/>
                <w:kern w:val="0"/>
                <w:sz w:val="20"/>
                <w:szCs w:val="20"/>
                <w:lang w:eastAsia="en-IN"/>
                <w14:ligatures w14:val="none"/>
              </w:rPr>
              <w:t xml:space="preserve"> – Moderation of adaptive info</w:t>
            </w:r>
            <w:r w:rsidRPr="00681977">
              <w:rPr>
                <w:rFonts w:ascii="Arial" w:eastAsia="Times New Roman" w:hAnsi="Arial" w:cs="Arial"/>
                <w:color w:val="000000"/>
                <w:kern w:val="0"/>
                <w:sz w:val="20"/>
                <w:szCs w:val="20"/>
                <w:lang w:eastAsia="en-IN"/>
                <w14:ligatures w14:val="none"/>
              </w:rPr>
              <w:noBreakHyphen/>
              <w:t>seeking</w:t>
            </w:r>
          </w:p>
        </w:tc>
        <w:tc>
          <w:tcPr>
            <w:tcW w:w="491" w:type="pct"/>
            <w:tcBorders>
              <w:top w:val="nil"/>
              <w:left w:val="nil"/>
              <w:bottom w:val="single" w:sz="4" w:space="0" w:color="auto"/>
              <w:right w:val="nil"/>
            </w:tcBorders>
            <w:shd w:val="clear" w:color="auto" w:fill="auto"/>
            <w:noWrap/>
            <w:vAlign w:val="center"/>
            <w:hideMark/>
          </w:tcPr>
          <w:p w14:paraId="710CD5AD" w14:textId="77777777" w:rsidR="00722BB9" w:rsidRPr="00681977" w:rsidRDefault="00722BB9" w:rsidP="00BB0D8C">
            <w:pPr>
              <w:spacing w:line="240" w:lineRule="auto"/>
              <w:jc w:val="center"/>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0.25</w:t>
            </w:r>
          </w:p>
        </w:tc>
        <w:tc>
          <w:tcPr>
            <w:tcW w:w="399" w:type="pct"/>
            <w:tcBorders>
              <w:top w:val="nil"/>
              <w:left w:val="nil"/>
              <w:bottom w:val="single" w:sz="4" w:space="0" w:color="auto"/>
              <w:right w:val="nil"/>
            </w:tcBorders>
            <w:shd w:val="clear" w:color="auto" w:fill="auto"/>
            <w:noWrap/>
            <w:vAlign w:val="center"/>
            <w:hideMark/>
          </w:tcPr>
          <w:p w14:paraId="146E4463" w14:textId="77777777" w:rsidR="00722BB9" w:rsidRPr="00681977" w:rsidRDefault="00722BB9" w:rsidP="00BB0D8C">
            <w:pPr>
              <w:spacing w:line="240" w:lineRule="auto"/>
              <w:jc w:val="center"/>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3.2</w:t>
            </w:r>
          </w:p>
        </w:tc>
        <w:tc>
          <w:tcPr>
            <w:tcW w:w="514" w:type="pct"/>
            <w:tcBorders>
              <w:top w:val="nil"/>
              <w:left w:val="nil"/>
              <w:bottom w:val="single" w:sz="4" w:space="0" w:color="auto"/>
              <w:right w:val="nil"/>
            </w:tcBorders>
            <w:shd w:val="clear" w:color="auto" w:fill="auto"/>
            <w:noWrap/>
            <w:vAlign w:val="center"/>
            <w:hideMark/>
          </w:tcPr>
          <w:p w14:paraId="65424B3A" w14:textId="77777777" w:rsidR="00722BB9" w:rsidRPr="00681977" w:rsidRDefault="00722BB9" w:rsidP="00BB0D8C">
            <w:pPr>
              <w:spacing w:line="240" w:lineRule="auto"/>
              <w:jc w:val="center"/>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0.001</w:t>
            </w:r>
          </w:p>
        </w:tc>
        <w:tc>
          <w:tcPr>
            <w:tcW w:w="754" w:type="pct"/>
            <w:tcBorders>
              <w:top w:val="nil"/>
              <w:left w:val="nil"/>
              <w:bottom w:val="single" w:sz="4" w:space="0" w:color="auto"/>
              <w:right w:val="nil"/>
            </w:tcBorders>
            <w:shd w:val="clear" w:color="auto" w:fill="auto"/>
            <w:noWrap/>
            <w:vAlign w:val="center"/>
            <w:hideMark/>
          </w:tcPr>
          <w:p w14:paraId="3B4CD1ED" w14:textId="77777777" w:rsidR="00722BB9" w:rsidRPr="00681977" w:rsidRDefault="00722BB9" w:rsidP="00BB0D8C">
            <w:pPr>
              <w:spacing w:line="240" w:lineRule="auto"/>
              <w:jc w:val="center"/>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Supported</w:t>
            </w:r>
          </w:p>
        </w:tc>
      </w:tr>
    </w:tbl>
    <w:p w14:paraId="0663F31A" w14:textId="77777777" w:rsidR="00722BB9" w:rsidRPr="00681977" w:rsidRDefault="00722BB9" w:rsidP="007B07B4">
      <w:pPr>
        <w:jc w:val="both"/>
        <w:rPr>
          <w:rFonts w:ascii="Arial" w:hAnsi="Arial" w:cs="Arial"/>
          <w:sz w:val="20"/>
          <w:szCs w:val="20"/>
        </w:rPr>
      </w:pPr>
    </w:p>
    <w:tbl>
      <w:tblPr>
        <w:tblW w:w="5000" w:type="pct"/>
        <w:tblLook w:val="04A0" w:firstRow="1" w:lastRow="0" w:firstColumn="1" w:lastColumn="0" w:noHBand="0" w:noVBand="1"/>
      </w:tblPr>
      <w:tblGrid>
        <w:gridCol w:w="3321"/>
        <w:gridCol w:w="2953"/>
        <w:gridCol w:w="1376"/>
        <w:gridCol w:w="1376"/>
      </w:tblGrid>
      <w:tr w:rsidR="00B74F2A" w:rsidRPr="00681977" w14:paraId="3D0ECC70" w14:textId="77777777" w:rsidTr="00A31191">
        <w:trPr>
          <w:trHeight w:val="288"/>
        </w:trPr>
        <w:tc>
          <w:tcPr>
            <w:tcW w:w="5000" w:type="pct"/>
            <w:gridSpan w:val="4"/>
            <w:tcBorders>
              <w:top w:val="nil"/>
              <w:left w:val="nil"/>
              <w:bottom w:val="nil"/>
              <w:right w:val="nil"/>
            </w:tcBorders>
            <w:shd w:val="clear" w:color="auto" w:fill="auto"/>
            <w:noWrap/>
            <w:vAlign w:val="bottom"/>
            <w:hideMark/>
          </w:tcPr>
          <w:p w14:paraId="3A088386" w14:textId="77777777" w:rsidR="005E3F3A" w:rsidRPr="00681977" w:rsidRDefault="00B74F2A" w:rsidP="007B07B4">
            <w:pPr>
              <w:spacing w:after="0" w:line="240" w:lineRule="auto"/>
              <w:jc w:val="both"/>
              <w:rPr>
                <w:rFonts w:ascii="Arial" w:eastAsia="Times New Roman" w:hAnsi="Arial" w:cs="Arial"/>
                <w:b/>
                <w:bCs/>
                <w:color w:val="000000"/>
                <w:kern w:val="0"/>
                <w:sz w:val="20"/>
                <w:szCs w:val="20"/>
                <w:lang w:eastAsia="en-IN"/>
                <w14:ligatures w14:val="none"/>
              </w:rPr>
            </w:pPr>
            <w:r w:rsidRPr="00681977">
              <w:rPr>
                <w:rFonts w:ascii="Arial" w:eastAsia="Times New Roman" w:hAnsi="Arial" w:cs="Arial"/>
                <w:b/>
                <w:bCs/>
                <w:color w:val="000000"/>
                <w:kern w:val="0"/>
                <w:sz w:val="20"/>
                <w:szCs w:val="20"/>
                <w:lang w:eastAsia="en-IN"/>
                <w14:ligatures w14:val="none"/>
              </w:rPr>
              <w:t xml:space="preserve">Table </w:t>
            </w:r>
            <w:r w:rsidR="00722BB9" w:rsidRPr="00681977">
              <w:rPr>
                <w:rFonts w:ascii="Arial" w:eastAsia="Times New Roman" w:hAnsi="Arial" w:cs="Arial"/>
                <w:b/>
                <w:bCs/>
                <w:color w:val="000000"/>
                <w:kern w:val="0"/>
                <w:sz w:val="20"/>
                <w:szCs w:val="20"/>
                <w:lang w:eastAsia="en-IN"/>
                <w14:ligatures w14:val="none"/>
              </w:rPr>
              <w:t>7</w:t>
            </w:r>
          </w:p>
          <w:p w14:paraId="6F893438" w14:textId="77777777" w:rsidR="005E3F3A" w:rsidRPr="00681977" w:rsidRDefault="005E3F3A" w:rsidP="007B07B4">
            <w:pPr>
              <w:spacing w:after="0" w:line="240" w:lineRule="auto"/>
              <w:jc w:val="both"/>
              <w:rPr>
                <w:rFonts w:ascii="Arial" w:eastAsia="Times New Roman" w:hAnsi="Arial" w:cs="Arial"/>
                <w:b/>
                <w:bCs/>
                <w:color w:val="000000"/>
                <w:kern w:val="0"/>
                <w:sz w:val="20"/>
                <w:szCs w:val="20"/>
                <w:lang w:eastAsia="en-IN"/>
                <w14:ligatures w14:val="none"/>
              </w:rPr>
            </w:pPr>
          </w:p>
          <w:p w14:paraId="016EF029" w14:textId="73AA83A5" w:rsidR="00B74F2A" w:rsidRPr="00681977" w:rsidRDefault="00B74F2A" w:rsidP="007B07B4">
            <w:pPr>
              <w:spacing w:after="0" w:line="240" w:lineRule="auto"/>
              <w:jc w:val="both"/>
              <w:rPr>
                <w:rFonts w:ascii="Arial" w:eastAsia="Times New Roman" w:hAnsi="Arial" w:cs="Arial"/>
                <w:i/>
                <w:iCs/>
                <w:color w:val="000000"/>
                <w:kern w:val="0"/>
                <w:sz w:val="20"/>
                <w:szCs w:val="20"/>
                <w:lang w:eastAsia="en-IN"/>
                <w14:ligatures w14:val="none"/>
              </w:rPr>
            </w:pPr>
            <w:r w:rsidRPr="00681977">
              <w:rPr>
                <w:rFonts w:ascii="Arial" w:eastAsia="Times New Roman" w:hAnsi="Arial" w:cs="Arial"/>
                <w:i/>
                <w:iCs/>
                <w:color w:val="000000"/>
                <w:kern w:val="0"/>
                <w:sz w:val="20"/>
                <w:szCs w:val="20"/>
                <w:lang w:eastAsia="en-IN"/>
                <w14:ligatures w14:val="none"/>
              </w:rPr>
              <w:t>SEM Path Coefficients</w:t>
            </w:r>
          </w:p>
          <w:p w14:paraId="5C3B90A6" w14:textId="77777777" w:rsidR="00B32689" w:rsidRPr="00681977" w:rsidRDefault="00B32689" w:rsidP="007B07B4">
            <w:pPr>
              <w:spacing w:after="0" w:line="240" w:lineRule="auto"/>
              <w:jc w:val="both"/>
              <w:rPr>
                <w:rFonts w:ascii="Arial" w:eastAsia="Times New Roman" w:hAnsi="Arial" w:cs="Arial"/>
                <w:b/>
                <w:bCs/>
                <w:color w:val="000000"/>
                <w:kern w:val="0"/>
                <w:sz w:val="20"/>
                <w:szCs w:val="20"/>
                <w:lang w:eastAsia="en-IN"/>
                <w14:ligatures w14:val="none"/>
              </w:rPr>
            </w:pPr>
          </w:p>
          <w:p w14:paraId="2DF221FE" w14:textId="77777777" w:rsidR="00CE3705" w:rsidRPr="00681977" w:rsidRDefault="00CE3705" w:rsidP="007B07B4">
            <w:pPr>
              <w:spacing w:after="0" w:line="240" w:lineRule="auto"/>
              <w:jc w:val="both"/>
              <w:rPr>
                <w:rFonts w:ascii="Arial" w:eastAsia="Times New Roman" w:hAnsi="Arial" w:cs="Arial"/>
                <w:b/>
                <w:bCs/>
                <w:color w:val="000000"/>
                <w:kern w:val="0"/>
                <w:sz w:val="20"/>
                <w:szCs w:val="20"/>
                <w:lang w:eastAsia="en-IN"/>
                <w14:ligatures w14:val="none"/>
              </w:rPr>
            </w:pPr>
          </w:p>
        </w:tc>
      </w:tr>
      <w:tr w:rsidR="00B74F2A" w:rsidRPr="00681977" w14:paraId="08AB7600" w14:textId="77777777" w:rsidTr="00A31191">
        <w:trPr>
          <w:trHeight w:val="288"/>
        </w:trPr>
        <w:tc>
          <w:tcPr>
            <w:tcW w:w="1840" w:type="pct"/>
            <w:tcBorders>
              <w:top w:val="single" w:sz="4" w:space="0" w:color="auto"/>
              <w:left w:val="nil"/>
              <w:bottom w:val="single" w:sz="4" w:space="0" w:color="auto"/>
              <w:right w:val="nil"/>
            </w:tcBorders>
            <w:shd w:val="clear" w:color="auto" w:fill="auto"/>
            <w:noWrap/>
            <w:vAlign w:val="bottom"/>
            <w:hideMark/>
          </w:tcPr>
          <w:p w14:paraId="7BC5C33E" w14:textId="77777777" w:rsidR="00B74F2A" w:rsidRPr="00681977" w:rsidRDefault="00B74F2A" w:rsidP="007B07B4">
            <w:pPr>
              <w:spacing w:after="0" w:line="240" w:lineRule="auto"/>
              <w:jc w:val="both"/>
              <w:rPr>
                <w:rFonts w:ascii="Arial" w:eastAsia="Times New Roman" w:hAnsi="Arial" w:cs="Arial"/>
                <w:b/>
                <w:bCs/>
                <w:color w:val="000000"/>
                <w:kern w:val="0"/>
                <w:sz w:val="20"/>
                <w:szCs w:val="20"/>
                <w:lang w:eastAsia="en-IN"/>
                <w14:ligatures w14:val="none"/>
              </w:rPr>
            </w:pPr>
            <w:r w:rsidRPr="00681977">
              <w:rPr>
                <w:rFonts w:ascii="Arial" w:eastAsia="Times New Roman" w:hAnsi="Arial" w:cs="Arial"/>
                <w:b/>
                <w:bCs/>
                <w:color w:val="000000"/>
                <w:kern w:val="0"/>
                <w:sz w:val="20"/>
                <w:szCs w:val="20"/>
                <w:lang w:eastAsia="en-IN"/>
                <w14:ligatures w14:val="none"/>
              </w:rPr>
              <w:t>Path</w:t>
            </w:r>
          </w:p>
        </w:tc>
        <w:tc>
          <w:tcPr>
            <w:tcW w:w="1636" w:type="pct"/>
            <w:tcBorders>
              <w:top w:val="single" w:sz="4" w:space="0" w:color="auto"/>
              <w:left w:val="nil"/>
              <w:bottom w:val="single" w:sz="4" w:space="0" w:color="auto"/>
              <w:right w:val="nil"/>
            </w:tcBorders>
            <w:shd w:val="clear" w:color="auto" w:fill="auto"/>
            <w:noWrap/>
            <w:vAlign w:val="bottom"/>
            <w:hideMark/>
          </w:tcPr>
          <w:p w14:paraId="6CE02A91" w14:textId="03DD29EB" w:rsidR="00B74F2A" w:rsidRPr="00681977" w:rsidRDefault="00B74F2A" w:rsidP="00A31191">
            <w:pPr>
              <w:spacing w:after="0" w:line="240" w:lineRule="auto"/>
              <w:jc w:val="center"/>
              <w:rPr>
                <w:rFonts w:ascii="Arial" w:eastAsia="Times New Roman" w:hAnsi="Arial" w:cs="Arial"/>
                <w:b/>
                <w:bCs/>
                <w:color w:val="000000"/>
                <w:kern w:val="0"/>
                <w:sz w:val="20"/>
                <w:szCs w:val="20"/>
                <w:lang w:eastAsia="en-IN"/>
                <w14:ligatures w14:val="none"/>
              </w:rPr>
            </w:pPr>
            <w:r w:rsidRPr="00681977">
              <w:rPr>
                <w:rFonts w:ascii="Arial" w:eastAsia="Times New Roman" w:hAnsi="Arial" w:cs="Arial"/>
                <w:b/>
                <w:bCs/>
                <w:color w:val="000000"/>
                <w:kern w:val="0"/>
                <w:sz w:val="20"/>
                <w:szCs w:val="20"/>
                <w:lang w:eastAsia="en-IN"/>
                <w14:ligatures w14:val="none"/>
              </w:rPr>
              <w:t>Std. Coefficient (</w:t>
            </w:r>
            <w:r w:rsidR="00CE3705" w:rsidRPr="00681977">
              <w:rPr>
                <w:rFonts w:ascii="Arial" w:hAnsi="Arial" w:cs="Arial"/>
                <w:b/>
                <w:bCs/>
                <w:color w:val="1F1F1F"/>
                <w:sz w:val="20"/>
                <w:szCs w:val="20"/>
              </w:rPr>
              <w:t>β</w:t>
            </w:r>
            <w:r w:rsidRPr="00681977">
              <w:rPr>
                <w:rFonts w:ascii="Arial" w:eastAsia="Times New Roman" w:hAnsi="Arial" w:cs="Arial"/>
                <w:b/>
                <w:bCs/>
                <w:color w:val="000000"/>
                <w:kern w:val="0"/>
                <w:sz w:val="20"/>
                <w:szCs w:val="20"/>
                <w:lang w:eastAsia="en-IN"/>
                <w14:ligatures w14:val="none"/>
              </w:rPr>
              <w:t>)</w:t>
            </w:r>
          </w:p>
        </w:tc>
        <w:tc>
          <w:tcPr>
            <w:tcW w:w="762" w:type="pct"/>
            <w:tcBorders>
              <w:top w:val="single" w:sz="4" w:space="0" w:color="auto"/>
              <w:left w:val="nil"/>
              <w:bottom w:val="single" w:sz="4" w:space="0" w:color="auto"/>
              <w:right w:val="nil"/>
            </w:tcBorders>
            <w:shd w:val="clear" w:color="auto" w:fill="auto"/>
            <w:noWrap/>
            <w:vAlign w:val="bottom"/>
            <w:hideMark/>
          </w:tcPr>
          <w:p w14:paraId="6ECDDF0E" w14:textId="77777777" w:rsidR="00B74F2A" w:rsidRPr="00681977" w:rsidRDefault="00B74F2A" w:rsidP="00A31191">
            <w:pPr>
              <w:spacing w:after="0" w:line="240" w:lineRule="auto"/>
              <w:jc w:val="center"/>
              <w:rPr>
                <w:rFonts w:ascii="Arial" w:eastAsia="Times New Roman" w:hAnsi="Arial" w:cs="Arial"/>
                <w:b/>
                <w:bCs/>
                <w:color w:val="000000"/>
                <w:kern w:val="0"/>
                <w:sz w:val="20"/>
                <w:szCs w:val="20"/>
                <w:lang w:eastAsia="en-IN"/>
                <w14:ligatures w14:val="none"/>
              </w:rPr>
            </w:pPr>
            <w:r w:rsidRPr="00681977">
              <w:rPr>
                <w:rFonts w:ascii="Arial" w:eastAsia="Times New Roman" w:hAnsi="Arial" w:cs="Arial"/>
                <w:b/>
                <w:bCs/>
                <w:color w:val="000000"/>
                <w:kern w:val="0"/>
                <w:sz w:val="20"/>
                <w:szCs w:val="20"/>
                <w:lang w:eastAsia="en-IN"/>
                <w14:ligatures w14:val="none"/>
              </w:rPr>
              <w:t>t-value</w:t>
            </w:r>
          </w:p>
        </w:tc>
        <w:tc>
          <w:tcPr>
            <w:tcW w:w="762" w:type="pct"/>
            <w:tcBorders>
              <w:top w:val="single" w:sz="4" w:space="0" w:color="auto"/>
              <w:left w:val="nil"/>
              <w:bottom w:val="single" w:sz="4" w:space="0" w:color="auto"/>
              <w:right w:val="nil"/>
            </w:tcBorders>
            <w:shd w:val="clear" w:color="auto" w:fill="auto"/>
            <w:noWrap/>
            <w:vAlign w:val="bottom"/>
            <w:hideMark/>
          </w:tcPr>
          <w:p w14:paraId="6AF308F4" w14:textId="77777777" w:rsidR="00B74F2A" w:rsidRPr="00681977" w:rsidRDefault="00B74F2A" w:rsidP="00A31191">
            <w:pPr>
              <w:spacing w:after="0" w:line="240" w:lineRule="auto"/>
              <w:jc w:val="center"/>
              <w:rPr>
                <w:rFonts w:ascii="Arial" w:eastAsia="Times New Roman" w:hAnsi="Arial" w:cs="Arial"/>
                <w:b/>
                <w:bCs/>
                <w:color w:val="000000"/>
                <w:kern w:val="0"/>
                <w:sz w:val="20"/>
                <w:szCs w:val="20"/>
                <w:lang w:eastAsia="en-IN"/>
                <w14:ligatures w14:val="none"/>
              </w:rPr>
            </w:pPr>
            <w:r w:rsidRPr="00681977">
              <w:rPr>
                <w:rFonts w:ascii="Arial" w:eastAsia="Times New Roman" w:hAnsi="Arial" w:cs="Arial"/>
                <w:b/>
                <w:bCs/>
                <w:color w:val="000000"/>
                <w:kern w:val="0"/>
                <w:sz w:val="20"/>
                <w:szCs w:val="20"/>
                <w:lang w:eastAsia="en-IN"/>
                <w14:ligatures w14:val="none"/>
              </w:rPr>
              <w:t>p-value</w:t>
            </w:r>
          </w:p>
        </w:tc>
      </w:tr>
      <w:tr w:rsidR="00B74F2A" w:rsidRPr="00681977" w14:paraId="131C5DE7" w14:textId="77777777" w:rsidTr="00A31191">
        <w:trPr>
          <w:trHeight w:val="288"/>
        </w:trPr>
        <w:tc>
          <w:tcPr>
            <w:tcW w:w="1840" w:type="pct"/>
            <w:tcBorders>
              <w:top w:val="nil"/>
              <w:left w:val="nil"/>
              <w:bottom w:val="nil"/>
              <w:right w:val="nil"/>
            </w:tcBorders>
            <w:shd w:val="clear" w:color="auto" w:fill="auto"/>
            <w:noWrap/>
            <w:vAlign w:val="bottom"/>
            <w:hideMark/>
          </w:tcPr>
          <w:p w14:paraId="34DA8D22" w14:textId="77777777" w:rsidR="00B74F2A" w:rsidRPr="00681977" w:rsidRDefault="00B74F2A" w:rsidP="00BB0D8C">
            <w:pPr>
              <w:spacing w:line="240" w:lineRule="auto"/>
              <w:jc w:val="both"/>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H1: GDP -&gt; PTR</w:t>
            </w:r>
          </w:p>
        </w:tc>
        <w:tc>
          <w:tcPr>
            <w:tcW w:w="1636" w:type="pct"/>
            <w:tcBorders>
              <w:top w:val="nil"/>
              <w:left w:val="nil"/>
              <w:bottom w:val="nil"/>
              <w:right w:val="nil"/>
            </w:tcBorders>
            <w:shd w:val="clear" w:color="auto" w:fill="auto"/>
            <w:noWrap/>
            <w:vAlign w:val="bottom"/>
            <w:hideMark/>
          </w:tcPr>
          <w:p w14:paraId="3F650E7E" w14:textId="77777777" w:rsidR="00B74F2A" w:rsidRPr="00681977" w:rsidRDefault="00B74F2A" w:rsidP="00BB0D8C">
            <w:pPr>
              <w:spacing w:line="240" w:lineRule="auto"/>
              <w:jc w:val="center"/>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0.65</w:t>
            </w:r>
          </w:p>
        </w:tc>
        <w:tc>
          <w:tcPr>
            <w:tcW w:w="762" w:type="pct"/>
            <w:tcBorders>
              <w:top w:val="nil"/>
              <w:left w:val="nil"/>
              <w:bottom w:val="nil"/>
              <w:right w:val="nil"/>
            </w:tcBorders>
            <w:shd w:val="clear" w:color="auto" w:fill="auto"/>
            <w:noWrap/>
            <w:vAlign w:val="bottom"/>
            <w:hideMark/>
          </w:tcPr>
          <w:p w14:paraId="22E9DA02" w14:textId="77777777" w:rsidR="00B74F2A" w:rsidRPr="00681977" w:rsidRDefault="00B74F2A" w:rsidP="00BB0D8C">
            <w:pPr>
              <w:spacing w:line="240" w:lineRule="auto"/>
              <w:jc w:val="center"/>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12.1</w:t>
            </w:r>
          </w:p>
        </w:tc>
        <w:tc>
          <w:tcPr>
            <w:tcW w:w="762" w:type="pct"/>
            <w:tcBorders>
              <w:top w:val="nil"/>
              <w:left w:val="nil"/>
              <w:bottom w:val="nil"/>
              <w:right w:val="nil"/>
            </w:tcBorders>
            <w:shd w:val="clear" w:color="auto" w:fill="auto"/>
            <w:noWrap/>
            <w:vAlign w:val="bottom"/>
            <w:hideMark/>
          </w:tcPr>
          <w:p w14:paraId="005D373A" w14:textId="77777777" w:rsidR="00B74F2A" w:rsidRPr="00681977" w:rsidRDefault="00B74F2A" w:rsidP="00BB0D8C">
            <w:pPr>
              <w:spacing w:line="240" w:lineRule="auto"/>
              <w:jc w:val="center"/>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&lt; .001</w:t>
            </w:r>
          </w:p>
        </w:tc>
      </w:tr>
      <w:tr w:rsidR="00B74F2A" w:rsidRPr="00681977" w14:paraId="1D242707" w14:textId="77777777" w:rsidTr="00A31191">
        <w:trPr>
          <w:trHeight w:val="288"/>
        </w:trPr>
        <w:tc>
          <w:tcPr>
            <w:tcW w:w="1840" w:type="pct"/>
            <w:tcBorders>
              <w:top w:val="nil"/>
              <w:left w:val="nil"/>
              <w:bottom w:val="nil"/>
              <w:right w:val="nil"/>
            </w:tcBorders>
            <w:shd w:val="clear" w:color="auto" w:fill="auto"/>
            <w:noWrap/>
            <w:vAlign w:val="bottom"/>
            <w:hideMark/>
          </w:tcPr>
          <w:p w14:paraId="424B1261" w14:textId="77777777" w:rsidR="00B74F2A" w:rsidRPr="00681977" w:rsidRDefault="00B74F2A" w:rsidP="00BB0D8C">
            <w:pPr>
              <w:spacing w:line="240" w:lineRule="auto"/>
              <w:jc w:val="both"/>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H2: PTR -&gt; TI</w:t>
            </w:r>
          </w:p>
        </w:tc>
        <w:tc>
          <w:tcPr>
            <w:tcW w:w="1636" w:type="pct"/>
            <w:tcBorders>
              <w:top w:val="nil"/>
              <w:left w:val="nil"/>
              <w:bottom w:val="nil"/>
              <w:right w:val="nil"/>
            </w:tcBorders>
            <w:shd w:val="clear" w:color="auto" w:fill="auto"/>
            <w:noWrap/>
            <w:vAlign w:val="bottom"/>
            <w:hideMark/>
          </w:tcPr>
          <w:p w14:paraId="550CE291" w14:textId="77777777" w:rsidR="00B74F2A" w:rsidRPr="00681977" w:rsidRDefault="00B74F2A" w:rsidP="00BB0D8C">
            <w:pPr>
              <w:spacing w:line="240" w:lineRule="auto"/>
              <w:jc w:val="center"/>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-0.58</w:t>
            </w:r>
          </w:p>
        </w:tc>
        <w:tc>
          <w:tcPr>
            <w:tcW w:w="762" w:type="pct"/>
            <w:tcBorders>
              <w:top w:val="nil"/>
              <w:left w:val="nil"/>
              <w:bottom w:val="nil"/>
              <w:right w:val="nil"/>
            </w:tcBorders>
            <w:shd w:val="clear" w:color="auto" w:fill="auto"/>
            <w:noWrap/>
            <w:vAlign w:val="bottom"/>
            <w:hideMark/>
          </w:tcPr>
          <w:p w14:paraId="6A5CC418" w14:textId="77777777" w:rsidR="00B74F2A" w:rsidRPr="00681977" w:rsidRDefault="00B74F2A" w:rsidP="00BB0D8C">
            <w:pPr>
              <w:spacing w:line="240" w:lineRule="auto"/>
              <w:jc w:val="center"/>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-10.4</w:t>
            </w:r>
          </w:p>
        </w:tc>
        <w:tc>
          <w:tcPr>
            <w:tcW w:w="762" w:type="pct"/>
            <w:tcBorders>
              <w:top w:val="nil"/>
              <w:left w:val="nil"/>
              <w:bottom w:val="nil"/>
              <w:right w:val="nil"/>
            </w:tcBorders>
            <w:shd w:val="clear" w:color="auto" w:fill="auto"/>
            <w:noWrap/>
            <w:vAlign w:val="bottom"/>
            <w:hideMark/>
          </w:tcPr>
          <w:p w14:paraId="03DBAA62" w14:textId="77777777" w:rsidR="00B74F2A" w:rsidRPr="00681977" w:rsidRDefault="00B74F2A" w:rsidP="00BB0D8C">
            <w:pPr>
              <w:spacing w:line="240" w:lineRule="auto"/>
              <w:jc w:val="center"/>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&lt; .001</w:t>
            </w:r>
          </w:p>
        </w:tc>
      </w:tr>
      <w:tr w:rsidR="00B74F2A" w:rsidRPr="00681977" w14:paraId="0507C42B" w14:textId="77777777" w:rsidTr="00A31191">
        <w:trPr>
          <w:trHeight w:val="288"/>
        </w:trPr>
        <w:tc>
          <w:tcPr>
            <w:tcW w:w="1840" w:type="pct"/>
            <w:tcBorders>
              <w:top w:val="nil"/>
              <w:left w:val="nil"/>
              <w:bottom w:val="single" w:sz="4" w:space="0" w:color="auto"/>
              <w:right w:val="nil"/>
            </w:tcBorders>
            <w:shd w:val="clear" w:color="auto" w:fill="auto"/>
            <w:noWrap/>
            <w:vAlign w:val="bottom"/>
            <w:hideMark/>
          </w:tcPr>
          <w:p w14:paraId="0EF9FE94" w14:textId="77777777" w:rsidR="00B74F2A" w:rsidRPr="00681977" w:rsidRDefault="00B74F2A" w:rsidP="00BB0D8C">
            <w:pPr>
              <w:spacing w:line="240" w:lineRule="auto"/>
              <w:jc w:val="both"/>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H3: PTR x AIS -&gt; TI</w:t>
            </w:r>
          </w:p>
        </w:tc>
        <w:tc>
          <w:tcPr>
            <w:tcW w:w="1636" w:type="pct"/>
            <w:tcBorders>
              <w:top w:val="nil"/>
              <w:left w:val="nil"/>
              <w:bottom w:val="single" w:sz="4" w:space="0" w:color="auto"/>
              <w:right w:val="nil"/>
            </w:tcBorders>
            <w:shd w:val="clear" w:color="auto" w:fill="auto"/>
            <w:noWrap/>
            <w:vAlign w:val="bottom"/>
            <w:hideMark/>
          </w:tcPr>
          <w:p w14:paraId="27A82EBC" w14:textId="77777777" w:rsidR="00B74F2A" w:rsidRPr="00681977" w:rsidRDefault="00B74F2A" w:rsidP="00BB0D8C">
            <w:pPr>
              <w:spacing w:line="240" w:lineRule="auto"/>
              <w:jc w:val="center"/>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0.25</w:t>
            </w:r>
          </w:p>
        </w:tc>
        <w:tc>
          <w:tcPr>
            <w:tcW w:w="762" w:type="pct"/>
            <w:tcBorders>
              <w:top w:val="nil"/>
              <w:left w:val="nil"/>
              <w:bottom w:val="single" w:sz="4" w:space="0" w:color="auto"/>
              <w:right w:val="nil"/>
            </w:tcBorders>
            <w:shd w:val="clear" w:color="auto" w:fill="auto"/>
            <w:noWrap/>
            <w:vAlign w:val="bottom"/>
            <w:hideMark/>
          </w:tcPr>
          <w:p w14:paraId="7A15BA42" w14:textId="77777777" w:rsidR="00B74F2A" w:rsidRPr="00681977" w:rsidRDefault="00B74F2A" w:rsidP="00BB0D8C">
            <w:pPr>
              <w:spacing w:line="240" w:lineRule="auto"/>
              <w:jc w:val="center"/>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3.2</w:t>
            </w:r>
          </w:p>
        </w:tc>
        <w:tc>
          <w:tcPr>
            <w:tcW w:w="762" w:type="pct"/>
            <w:tcBorders>
              <w:top w:val="nil"/>
              <w:left w:val="nil"/>
              <w:bottom w:val="single" w:sz="4" w:space="0" w:color="auto"/>
              <w:right w:val="nil"/>
            </w:tcBorders>
            <w:shd w:val="clear" w:color="auto" w:fill="auto"/>
            <w:noWrap/>
            <w:vAlign w:val="bottom"/>
            <w:hideMark/>
          </w:tcPr>
          <w:p w14:paraId="2E977F9F" w14:textId="77777777" w:rsidR="00B74F2A" w:rsidRPr="00681977" w:rsidRDefault="00B74F2A" w:rsidP="00BB0D8C">
            <w:pPr>
              <w:spacing w:line="240" w:lineRule="auto"/>
              <w:jc w:val="center"/>
              <w:rPr>
                <w:rFonts w:ascii="Arial" w:eastAsia="Times New Roman" w:hAnsi="Arial" w:cs="Arial"/>
                <w:color w:val="000000"/>
                <w:kern w:val="0"/>
                <w:sz w:val="20"/>
                <w:szCs w:val="20"/>
                <w:lang w:eastAsia="en-IN"/>
                <w14:ligatures w14:val="none"/>
              </w:rPr>
            </w:pPr>
            <w:r w:rsidRPr="00681977">
              <w:rPr>
                <w:rFonts w:ascii="Arial" w:eastAsia="Times New Roman" w:hAnsi="Arial" w:cs="Arial"/>
                <w:color w:val="000000"/>
                <w:kern w:val="0"/>
                <w:sz w:val="20"/>
                <w:szCs w:val="20"/>
                <w:lang w:eastAsia="en-IN"/>
                <w14:ligatures w14:val="none"/>
              </w:rPr>
              <w:t>0.001</w:t>
            </w:r>
          </w:p>
        </w:tc>
      </w:tr>
    </w:tbl>
    <w:p w14:paraId="73D2D24F" w14:textId="77777777" w:rsidR="00B74F2A" w:rsidRDefault="00B74F2A" w:rsidP="007B07B4">
      <w:pPr>
        <w:jc w:val="both"/>
        <w:rPr>
          <w:rFonts w:ascii="Arial" w:hAnsi="Arial" w:cs="Arial"/>
          <w:sz w:val="20"/>
          <w:szCs w:val="20"/>
        </w:rPr>
      </w:pPr>
    </w:p>
    <w:p w14:paraId="3481480F" w14:textId="77777777" w:rsidR="00942D01" w:rsidRDefault="00942D01" w:rsidP="007B07B4">
      <w:pPr>
        <w:jc w:val="both"/>
        <w:rPr>
          <w:rFonts w:ascii="Arial" w:hAnsi="Arial" w:cs="Arial"/>
          <w:sz w:val="20"/>
          <w:szCs w:val="20"/>
        </w:rPr>
      </w:pPr>
    </w:p>
    <w:p w14:paraId="0D3650A0" w14:textId="77777777" w:rsidR="00942D01" w:rsidRDefault="00942D01" w:rsidP="007B07B4">
      <w:pPr>
        <w:jc w:val="both"/>
        <w:rPr>
          <w:rFonts w:ascii="Arial" w:hAnsi="Arial" w:cs="Arial"/>
          <w:sz w:val="20"/>
          <w:szCs w:val="20"/>
        </w:rPr>
      </w:pPr>
    </w:p>
    <w:p w14:paraId="1077FE87" w14:textId="77777777" w:rsidR="00942D01" w:rsidRPr="00681977" w:rsidRDefault="00942D01" w:rsidP="007B07B4">
      <w:pPr>
        <w:jc w:val="both"/>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26526C" w:rsidRPr="00681977" w14:paraId="63D7FA16" w14:textId="77777777" w:rsidTr="0006627E">
        <w:trPr>
          <w:trHeight w:val="3564"/>
        </w:trPr>
        <w:tc>
          <w:tcPr>
            <w:tcW w:w="5000" w:type="pct"/>
          </w:tcPr>
          <w:p w14:paraId="0444F0D6" w14:textId="45FEA1C1" w:rsidR="0026526C" w:rsidRPr="00681977" w:rsidRDefault="00791D11" w:rsidP="007B07B4">
            <w:pPr>
              <w:jc w:val="both"/>
              <w:rPr>
                <w:rFonts w:ascii="Arial" w:hAnsi="Arial" w:cs="Arial"/>
                <w:sz w:val="20"/>
                <w:szCs w:val="20"/>
              </w:rPr>
            </w:pPr>
            <w:r w:rsidRPr="00681977">
              <w:rPr>
                <w:rFonts w:ascii="Arial" w:hAnsi="Arial" w:cs="Arial"/>
                <w:noProof/>
                <w:sz w:val="20"/>
                <w:szCs w:val="20"/>
              </w:rPr>
              <w:drawing>
                <wp:inline distT="0" distB="0" distL="0" distR="0" wp14:anchorId="54903B89" wp14:editId="22C458AD">
                  <wp:extent cx="4235450" cy="2222500"/>
                  <wp:effectExtent l="0" t="0" r="0" b="6350"/>
                  <wp:docPr id="1242161611" name="Chart 1">
                    <a:extLst xmlns:a="http://schemas.openxmlformats.org/drawingml/2006/main">
                      <a:ext uri="{FF2B5EF4-FFF2-40B4-BE49-F238E27FC236}">
                        <a16:creationId xmlns:a16="http://schemas.microsoft.com/office/drawing/2014/main" id="{A44C15BF-03E9-14DE-279E-9CB30616DE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942D01" w:rsidRPr="00681977" w14:paraId="532EC61A" w14:textId="77777777" w:rsidTr="0006627E">
        <w:trPr>
          <w:trHeight w:val="3564"/>
        </w:trPr>
        <w:tc>
          <w:tcPr>
            <w:tcW w:w="5000" w:type="pct"/>
          </w:tcPr>
          <w:p w14:paraId="18B379A3" w14:textId="77777777" w:rsidR="00942D01" w:rsidRDefault="00942D01" w:rsidP="00942D01">
            <w:pPr>
              <w:jc w:val="both"/>
              <w:rPr>
                <w:rFonts w:ascii="Arial" w:hAnsi="Arial" w:cs="Arial"/>
                <w:b/>
                <w:bCs/>
                <w:sz w:val="20"/>
                <w:szCs w:val="20"/>
              </w:rPr>
            </w:pPr>
          </w:p>
          <w:p w14:paraId="451BB655" w14:textId="28DC1F5E" w:rsidR="00942D01" w:rsidRPr="00681977" w:rsidRDefault="00942D01" w:rsidP="00942D01">
            <w:pPr>
              <w:jc w:val="both"/>
              <w:rPr>
                <w:rFonts w:ascii="Arial" w:hAnsi="Arial" w:cs="Arial"/>
                <w:noProof/>
                <w:sz w:val="20"/>
                <w:szCs w:val="20"/>
              </w:rPr>
            </w:pPr>
            <w:r w:rsidRPr="00681977">
              <w:rPr>
                <w:rFonts w:ascii="Arial" w:hAnsi="Arial" w:cs="Arial"/>
                <w:b/>
                <w:bCs/>
                <w:sz w:val="20"/>
                <w:szCs w:val="20"/>
              </w:rPr>
              <w:t>Fig</w:t>
            </w:r>
            <w:r>
              <w:rPr>
                <w:rFonts w:ascii="Arial" w:hAnsi="Arial" w:cs="Arial"/>
                <w:b/>
                <w:bCs/>
                <w:sz w:val="20"/>
                <w:szCs w:val="20"/>
              </w:rPr>
              <w:t>.</w:t>
            </w:r>
            <w:r w:rsidRPr="00681977">
              <w:rPr>
                <w:rFonts w:ascii="Arial" w:hAnsi="Arial" w:cs="Arial"/>
                <w:b/>
                <w:bCs/>
                <w:sz w:val="20"/>
                <w:szCs w:val="20"/>
              </w:rPr>
              <w:t xml:space="preserve"> 2</w:t>
            </w:r>
            <w:r>
              <w:rPr>
                <w:rFonts w:ascii="Arial" w:hAnsi="Arial" w:cs="Arial"/>
                <w:b/>
                <w:bCs/>
                <w:sz w:val="20"/>
                <w:szCs w:val="20"/>
              </w:rPr>
              <w:t xml:space="preserve">. </w:t>
            </w:r>
            <w:r w:rsidRPr="00681977">
              <w:rPr>
                <w:rFonts w:ascii="Arial" w:hAnsi="Arial" w:cs="Arial"/>
                <w:i/>
                <w:iCs/>
                <w:sz w:val="20"/>
                <w:szCs w:val="20"/>
              </w:rPr>
              <w:t>Hypothesized Path Strengths - Std. Coefficient (β)</w:t>
            </w:r>
          </w:p>
        </w:tc>
      </w:tr>
    </w:tbl>
    <w:p w14:paraId="6B359693" w14:textId="77777777" w:rsidR="0026526C" w:rsidRPr="00681977" w:rsidRDefault="0026526C" w:rsidP="007B07B4">
      <w:pPr>
        <w:jc w:val="both"/>
        <w:rPr>
          <w:rFonts w:ascii="Arial" w:hAnsi="Arial" w:cs="Arial"/>
          <w:sz w:val="20"/>
          <w:szCs w:val="20"/>
        </w:rPr>
      </w:pPr>
    </w:p>
    <w:p w14:paraId="6F0D6E5D" w14:textId="77777777" w:rsidR="00F12BE8" w:rsidRPr="00681977" w:rsidRDefault="00ED008E" w:rsidP="00F12BE8">
      <w:pPr>
        <w:jc w:val="both"/>
        <w:rPr>
          <w:rFonts w:ascii="Arial" w:hAnsi="Arial" w:cs="Arial"/>
          <w:b/>
          <w:bCs/>
        </w:rPr>
      </w:pPr>
      <w:r w:rsidRPr="00681977">
        <w:rPr>
          <w:rFonts w:ascii="Arial" w:hAnsi="Arial" w:cs="Arial"/>
          <w:b/>
          <w:bCs/>
        </w:rPr>
        <w:t>5.4</w:t>
      </w:r>
      <w:r w:rsidR="00F12BE8" w:rsidRPr="00681977">
        <w:rPr>
          <w:rFonts w:ascii="Arial" w:hAnsi="Arial" w:cs="Arial"/>
          <w:b/>
          <w:bCs/>
        </w:rPr>
        <w:t xml:space="preserve"> Discussion</w:t>
      </w:r>
    </w:p>
    <w:p w14:paraId="36418744" w14:textId="77777777" w:rsidR="00CA39AD" w:rsidRPr="00681977" w:rsidRDefault="00CA39AD" w:rsidP="00F12BE8">
      <w:pPr>
        <w:jc w:val="both"/>
        <w:rPr>
          <w:rFonts w:ascii="Arial" w:hAnsi="Arial" w:cs="Arial"/>
          <w:sz w:val="20"/>
          <w:szCs w:val="20"/>
        </w:rPr>
      </w:pPr>
      <w:r w:rsidRPr="00681977">
        <w:rPr>
          <w:rFonts w:ascii="Arial" w:hAnsi="Arial" w:cs="Arial"/>
          <w:sz w:val="20"/>
          <w:szCs w:val="20"/>
        </w:rPr>
        <w:t>Geopolitical tensions, such as wars, terrorist threats, and diplomatic sanctions, influence travel risk perceptions and would-be destinations and thus constitute a research theme. According to the first objective of the study, results show that the geopolitical cues increase risk perception significantly (</w:t>
      </w:r>
      <w:proofErr w:type="spellStart"/>
      <w:r w:rsidRPr="00681977">
        <w:rPr>
          <w:rFonts w:ascii="Arial" w:hAnsi="Arial" w:cs="Arial"/>
          <w:sz w:val="20"/>
          <w:szCs w:val="20"/>
        </w:rPr>
        <w:t>Tunççu</w:t>
      </w:r>
      <w:proofErr w:type="spellEnd"/>
      <w:r w:rsidRPr="00681977">
        <w:rPr>
          <w:rFonts w:ascii="Arial" w:hAnsi="Arial" w:cs="Arial"/>
          <w:sz w:val="20"/>
          <w:szCs w:val="20"/>
        </w:rPr>
        <w:t xml:space="preserve">, 2023; Cruz Costa Alves et al., 2025), also corroborating earlier findings and the regional applicability of Risk Perception Theory. Media and official warnings tend to increase perceptions of risk toward destinations, even when they are not directly affected by the conflict (García &amp; </w:t>
      </w:r>
      <w:proofErr w:type="spellStart"/>
      <w:r w:rsidRPr="00681977">
        <w:rPr>
          <w:rFonts w:ascii="Arial" w:hAnsi="Arial" w:cs="Arial"/>
          <w:sz w:val="20"/>
          <w:szCs w:val="20"/>
        </w:rPr>
        <w:t>Horutz</w:t>
      </w:r>
      <w:proofErr w:type="spellEnd"/>
      <w:r w:rsidRPr="00681977">
        <w:rPr>
          <w:rFonts w:ascii="Arial" w:hAnsi="Arial" w:cs="Arial"/>
          <w:sz w:val="20"/>
          <w:szCs w:val="20"/>
        </w:rPr>
        <w:t>, 2024).</w:t>
      </w:r>
    </w:p>
    <w:p w14:paraId="550E9730" w14:textId="3321E456" w:rsidR="00F12BE8" w:rsidRPr="00681977" w:rsidRDefault="00CA39AD" w:rsidP="00F12BE8">
      <w:pPr>
        <w:jc w:val="both"/>
        <w:rPr>
          <w:rFonts w:ascii="Arial" w:hAnsi="Arial" w:cs="Arial"/>
          <w:sz w:val="20"/>
          <w:szCs w:val="20"/>
        </w:rPr>
      </w:pPr>
      <w:r w:rsidRPr="00681977">
        <w:rPr>
          <w:rFonts w:ascii="Arial" w:hAnsi="Arial" w:cs="Arial"/>
          <w:sz w:val="20"/>
          <w:szCs w:val="20"/>
        </w:rPr>
        <w:t>In alignment with the second objective, the study finds that perceived travel risk has a strong negative effect on travel intention (β = –0.58), supporting earlier findings (Awais-E-Yazdan et al., 2025). What one perceives as a threat is the first and foremost factor stopping somebody from visiting the place, although familiarity, trust, and experience may mediate these reactions (Steel et al., 2021). Not everybody reacts the same to perceived risks; some tour groups weigh prior experience and destination loyalty as risk factors.</w:t>
      </w:r>
    </w:p>
    <w:p w14:paraId="11F36416" w14:textId="72FB46A4" w:rsidR="00CA39AD" w:rsidRPr="00681977" w:rsidRDefault="00CA39AD" w:rsidP="00F12BE8">
      <w:pPr>
        <w:jc w:val="both"/>
        <w:rPr>
          <w:rFonts w:ascii="Arial" w:hAnsi="Arial" w:cs="Arial"/>
          <w:sz w:val="20"/>
          <w:szCs w:val="20"/>
        </w:rPr>
      </w:pPr>
      <w:r w:rsidRPr="00681977">
        <w:rPr>
          <w:rFonts w:ascii="Arial" w:hAnsi="Arial" w:cs="Arial"/>
          <w:sz w:val="20"/>
          <w:szCs w:val="20"/>
        </w:rPr>
        <w:t xml:space="preserve">Addressing the third objective, the study shows that adaptive information-seeking </w:t>
      </w:r>
      <w:r w:rsidR="00ED6954" w:rsidRPr="00681977">
        <w:rPr>
          <w:rFonts w:ascii="Arial" w:hAnsi="Arial" w:cs="Arial"/>
          <w:sz w:val="20"/>
          <w:szCs w:val="20"/>
        </w:rPr>
        <w:t>behaviour</w:t>
      </w:r>
      <w:r w:rsidRPr="00681977">
        <w:rPr>
          <w:rFonts w:ascii="Arial" w:hAnsi="Arial" w:cs="Arial"/>
          <w:sz w:val="20"/>
          <w:szCs w:val="20"/>
        </w:rPr>
        <w:t xml:space="preserve"> significantly moderates the risk–intention relationship (β = 0.25, p = .001). Travellers consulting embassies, NGOs, or real-time safety dashboards hold travel intention even with high-risk perception—this is consistent with findings reported by Sufi et al. (2024), Zhao and Nguyen (2023), and Mishra and Brunt (2023). It gives one clue about risk literacy and psychological resilience being respective crucial facets of modern travel behaviour. </w:t>
      </w:r>
    </w:p>
    <w:p w14:paraId="7E0BE265" w14:textId="7C966F74" w:rsidR="00CA39AD" w:rsidRPr="00681977" w:rsidRDefault="00CA39AD" w:rsidP="00F12BE8">
      <w:pPr>
        <w:jc w:val="both"/>
        <w:rPr>
          <w:rFonts w:ascii="Arial" w:hAnsi="Arial" w:cs="Arial"/>
          <w:sz w:val="20"/>
          <w:szCs w:val="20"/>
        </w:rPr>
      </w:pPr>
      <w:r w:rsidRPr="00681977">
        <w:rPr>
          <w:rFonts w:ascii="Arial" w:hAnsi="Arial" w:cs="Arial"/>
          <w:sz w:val="20"/>
          <w:szCs w:val="20"/>
        </w:rPr>
        <w:lastRenderedPageBreak/>
        <w:t>The results draw attention toward important practical implications. Destination Management Organizations, airlines, and travel insurers should build behaviourally intelligent communication strategies. Using such methods, one can divide audiences according to risk indexes, such as the Global Peace Index (Institute for Economics and Peace, 2024). Thus, they can provide regional messaging to empower travellers, rather than instilling too much fear (</w:t>
      </w:r>
      <w:proofErr w:type="spellStart"/>
      <w:r w:rsidRPr="00681977">
        <w:rPr>
          <w:rFonts w:ascii="Arial" w:hAnsi="Arial" w:cs="Arial"/>
          <w:sz w:val="20"/>
          <w:szCs w:val="20"/>
        </w:rPr>
        <w:t>Diakonidze</w:t>
      </w:r>
      <w:proofErr w:type="spellEnd"/>
      <w:r w:rsidRPr="00681977">
        <w:rPr>
          <w:rFonts w:ascii="Arial" w:hAnsi="Arial" w:cs="Arial"/>
          <w:sz w:val="20"/>
          <w:szCs w:val="20"/>
        </w:rPr>
        <w:t xml:space="preserve">, 2024; </w:t>
      </w:r>
      <w:proofErr w:type="spellStart"/>
      <w:r w:rsidRPr="00681977">
        <w:rPr>
          <w:rFonts w:ascii="Arial" w:hAnsi="Arial" w:cs="Arial"/>
          <w:sz w:val="20"/>
          <w:szCs w:val="20"/>
        </w:rPr>
        <w:t>Beirman</w:t>
      </w:r>
      <w:proofErr w:type="spellEnd"/>
      <w:r w:rsidRPr="00681977">
        <w:rPr>
          <w:rFonts w:ascii="Arial" w:hAnsi="Arial" w:cs="Arial"/>
          <w:sz w:val="20"/>
          <w:szCs w:val="20"/>
        </w:rPr>
        <w:t xml:space="preserve">, 2024). Clear safety content in multiple languages along with verified updates on advisories will help to shore up proactive travellers, thereby preventing a demand collapse in areas of low-to-moderate risk. </w:t>
      </w:r>
    </w:p>
    <w:p w14:paraId="3A0BAADB" w14:textId="375975E0" w:rsidR="00F12BE8" w:rsidRPr="00681977" w:rsidRDefault="00CA39AD" w:rsidP="00F12BE8">
      <w:pPr>
        <w:jc w:val="both"/>
        <w:rPr>
          <w:rFonts w:ascii="Arial" w:hAnsi="Arial" w:cs="Arial"/>
          <w:sz w:val="20"/>
          <w:szCs w:val="20"/>
        </w:rPr>
      </w:pPr>
      <w:r w:rsidRPr="00681977">
        <w:rPr>
          <w:rFonts w:ascii="Arial" w:hAnsi="Arial" w:cs="Arial"/>
          <w:sz w:val="20"/>
          <w:szCs w:val="20"/>
        </w:rPr>
        <w:t>In conclusion, the findings reinforce the notion of travellers not being passive receptors of risk but adaptive agents. Collaborative working models based on behavioural insights, real-time data, and stakeholder alignment will cement resilience in tourism in growing geopolitical instability.</w:t>
      </w:r>
    </w:p>
    <w:p w14:paraId="5DF70EE7" w14:textId="34A07D25" w:rsidR="003F75C1" w:rsidRPr="00681977" w:rsidRDefault="00681977" w:rsidP="00F12BE8">
      <w:pPr>
        <w:jc w:val="both"/>
        <w:rPr>
          <w:rFonts w:ascii="Arial" w:hAnsi="Arial" w:cs="Arial"/>
          <w:b/>
          <w:bCs/>
        </w:rPr>
      </w:pPr>
      <w:r w:rsidRPr="00681977">
        <w:rPr>
          <w:rFonts w:ascii="Arial" w:hAnsi="Arial" w:cs="Arial"/>
          <w:b/>
          <w:bCs/>
        </w:rPr>
        <w:t xml:space="preserve">6. CONCLUSION </w:t>
      </w:r>
    </w:p>
    <w:p w14:paraId="53A6AA3C" w14:textId="0F9B2768" w:rsidR="00CA39AD" w:rsidRPr="00681977" w:rsidRDefault="00CA39AD" w:rsidP="003F75C1">
      <w:pPr>
        <w:jc w:val="both"/>
        <w:rPr>
          <w:rFonts w:ascii="Arial" w:hAnsi="Arial" w:cs="Arial"/>
          <w:sz w:val="20"/>
          <w:szCs w:val="20"/>
        </w:rPr>
      </w:pPr>
      <w:r w:rsidRPr="00681977">
        <w:rPr>
          <w:rFonts w:ascii="Arial" w:hAnsi="Arial" w:cs="Arial"/>
          <w:sz w:val="20"/>
          <w:szCs w:val="20"/>
        </w:rPr>
        <w:t xml:space="preserve">This study explored the way </w:t>
      </w:r>
      <w:r w:rsidR="00ED6954" w:rsidRPr="00681977">
        <w:rPr>
          <w:rFonts w:ascii="Arial" w:hAnsi="Arial" w:cs="Arial"/>
          <w:sz w:val="20"/>
          <w:szCs w:val="20"/>
        </w:rPr>
        <w:t>traveller</w:t>
      </w:r>
      <w:r w:rsidRPr="00681977">
        <w:rPr>
          <w:rFonts w:ascii="Arial" w:hAnsi="Arial" w:cs="Arial"/>
          <w:sz w:val="20"/>
          <w:szCs w:val="20"/>
        </w:rPr>
        <w:t>s might alter their preferences with geopolitical disruptions in between, essentially creating a mediation through perceived risk and moderation via adaptive information seeking. Tourists are not completely passive during crises; that is, they actively interpret and respond to geopolitical stimuli on the basis of their preparedness and availability of credible information.</w:t>
      </w:r>
    </w:p>
    <w:p w14:paraId="4C841773" w14:textId="3E9AD7F2" w:rsidR="00CA39AD" w:rsidRPr="00681977" w:rsidRDefault="00CA39AD" w:rsidP="003F75C1">
      <w:pPr>
        <w:jc w:val="both"/>
        <w:rPr>
          <w:rFonts w:ascii="Arial" w:hAnsi="Arial" w:cs="Arial"/>
          <w:sz w:val="20"/>
          <w:szCs w:val="20"/>
        </w:rPr>
      </w:pPr>
      <w:r w:rsidRPr="00681977">
        <w:rPr>
          <w:rFonts w:ascii="Arial" w:hAnsi="Arial" w:cs="Arial"/>
          <w:sz w:val="20"/>
          <w:szCs w:val="20"/>
        </w:rPr>
        <w:t xml:space="preserve">Hence, the study lends support to extending Risk Perception Theory and the Social Amplification of Risk Framework by establishing that an individual's ability to withstand change and certain behavioural strategies will determine the extent to which risk is translated into travel intention. Adding moderation analysis points to the existence of adaptive behaviours that help reduce the perceived threats from acting. Examples of these adaptive </w:t>
      </w:r>
      <w:r w:rsidR="00ED6954" w:rsidRPr="00681977">
        <w:rPr>
          <w:rFonts w:ascii="Arial" w:hAnsi="Arial" w:cs="Arial"/>
          <w:sz w:val="20"/>
          <w:szCs w:val="20"/>
        </w:rPr>
        <w:t>behaviour</w:t>
      </w:r>
      <w:r w:rsidRPr="00681977">
        <w:rPr>
          <w:rFonts w:ascii="Arial" w:hAnsi="Arial" w:cs="Arial"/>
          <w:sz w:val="20"/>
          <w:szCs w:val="20"/>
        </w:rPr>
        <w:t>s are seeking alerts from embassies or insurance companies.</w:t>
      </w:r>
    </w:p>
    <w:p w14:paraId="4CBDA476" w14:textId="77777777" w:rsidR="00CA39AD" w:rsidRPr="00681977" w:rsidRDefault="00CA39AD" w:rsidP="003F75C1">
      <w:pPr>
        <w:jc w:val="both"/>
        <w:rPr>
          <w:rFonts w:ascii="Arial" w:hAnsi="Arial" w:cs="Arial"/>
          <w:sz w:val="20"/>
          <w:szCs w:val="20"/>
        </w:rPr>
      </w:pPr>
      <w:r w:rsidRPr="00681977">
        <w:rPr>
          <w:rFonts w:ascii="Arial" w:hAnsi="Arial" w:cs="Arial"/>
          <w:sz w:val="20"/>
          <w:szCs w:val="20"/>
        </w:rPr>
        <w:t xml:space="preserve">Theoretically, Destination Management Organisations, airlines, and insurance companies should focus on the particulars of the situation rather than general risk communication. Asterix could operate a locally bounded dashboard of real-time safety and a behavioural messaging system that boosts traveller empowerment without ever generating unwarranted anxiety. It is suggested that policymakers consider the development of multi-lingual, context-sensitive advisories that facilitate informed travel decisions and support tourism resilience. </w:t>
      </w:r>
    </w:p>
    <w:p w14:paraId="7B7DC5E1" w14:textId="43EF9DE6" w:rsidR="003F75C1" w:rsidRPr="00681977" w:rsidRDefault="00CA39AD" w:rsidP="003F75C1">
      <w:pPr>
        <w:jc w:val="both"/>
        <w:rPr>
          <w:rFonts w:ascii="Arial" w:hAnsi="Arial" w:cs="Arial"/>
          <w:sz w:val="20"/>
          <w:szCs w:val="20"/>
        </w:rPr>
      </w:pPr>
      <w:r w:rsidRPr="00681977">
        <w:rPr>
          <w:rFonts w:ascii="Arial" w:hAnsi="Arial" w:cs="Arial"/>
          <w:sz w:val="20"/>
          <w:szCs w:val="20"/>
        </w:rPr>
        <w:t xml:space="preserve">Although it </w:t>
      </w:r>
      <w:r w:rsidR="00550E4A" w:rsidRPr="00681977">
        <w:rPr>
          <w:rFonts w:ascii="Arial" w:hAnsi="Arial" w:cs="Arial"/>
          <w:sz w:val="20"/>
          <w:szCs w:val="20"/>
        </w:rPr>
        <w:t>contributes</w:t>
      </w:r>
      <w:r w:rsidRPr="00681977">
        <w:rPr>
          <w:rFonts w:ascii="Arial" w:hAnsi="Arial" w:cs="Arial"/>
          <w:sz w:val="20"/>
          <w:szCs w:val="20"/>
        </w:rPr>
        <w:t xml:space="preserve"> to research, the study also has options a couple of limitations. Because of the cross-sectional design, the study cannot track how risk perceptions change across time. Purposive online sampling was implemented; whereas, it potentially meaningfully finalizes the selection of participants who are digitally savvy and risk aware. Lastly, there is some potential for hybridizing the findings, with the respondent's intention options to respondents of moving beyond. Insofar, recommendations are given for the design of longitudinal studies where diverse samples are considered and behavioural or transactional data are indeed taken for validation and the further elaboration of the findings.</w:t>
      </w:r>
    </w:p>
    <w:p w14:paraId="2D9DC323" w14:textId="2ECF342B" w:rsidR="001314F9" w:rsidRDefault="00CA39AD" w:rsidP="007B07B4">
      <w:pPr>
        <w:jc w:val="both"/>
        <w:rPr>
          <w:rFonts w:ascii="Arial" w:hAnsi="Arial" w:cs="Arial"/>
          <w:sz w:val="20"/>
          <w:szCs w:val="20"/>
        </w:rPr>
      </w:pPr>
      <w:r w:rsidRPr="00681977">
        <w:rPr>
          <w:rFonts w:ascii="Arial" w:hAnsi="Arial" w:cs="Arial"/>
          <w:sz w:val="20"/>
          <w:szCs w:val="20"/>
        </w:rPr>
        <w:t>In fact, the research enlarged our understanding of tourist behaviour under geopolitical stress and gave realistic insights for academia, industry, and policy to steer through global tourism complexities in a rapidly changing global environment.</w:t>
      </w:r>
    </w:p>
    <w:p w14:paraId="459F277D" w14:textId="77777777" w:rsidR="00942D01" w:rsidRPr="00942D01" w:rsidRDefault="00942D01" w:rsidP="00942D01">
      <w:pPr>
        <w:jc w:val="both"/>
        <w:rPr>
          <w:rFonts w:ascii="Arial" w:hAnsi="Arial" w:cs="Arial"/>
          <w:b/>
          <w:bCs/>
          <w:sz w:val="20"/>
          <w:szCs w:val="20"/>
        </w:rPr>
      </w:pPr>
      <w:bookmarkStart w:id="0" w:name="_GoBack"/>
      <w:bookmarkEnd w:id="0"/>
      <w:r w:rsidRPr="00942D01">
        <w:rPr>
          <w:rFonts w:ascii="Arial" w:hAnsi="Arial" w:cs="Arial"/>
          <w:b/>
          <w:bCs/>
          <w:sz w:val="20"/>
          <w:szCs w:val="20"/>
        </w:rPr>
        <w:t>CONSENT (WHEREVER APPLICABLE)</w:t>
      </w:r>
    </w:p>
    <w:p w14:paraId="05BAAFEB" w14:textId="77777777" w:rsidR="00942D01" w:rsidRPr="00942D01" w:rsidRDefault="00942D01" w:rsidP="00942D01">
      <w:pPr>
        <w:jc w:val="both"/>
        <w:rPr>
          <w:rFonts w:ascii="Arial" w:hAnsi="Arial" w:cs="Arial"/>
          <w:sz w:val="20"/>
          <w:szCs w:val="20"/>
        </w:rPr>
      </w:pPr>
      <w:r w:rsidRPr="00942D01">
        <w:rPr>
          <w:rFonts w:ascii="Arial" w:hAnsi="Arial" w:cs="Arial"/>
          <w:sz w:val="20"/>
          <w:szCs w:val="20"/>
        </w:rPr>
        <w:t>Not applicable. This study did not involve patients, case reports, or personal health information requiring individual consent.</w:t>
      </w:r>
    </w:p>
    <w:p w14:paraId="7D2E92F5" w14:textId="77777777" w:rsidR="00942D01" w:rsidRPr="00942D01" w:rsidRDefault="00942D01" w:rsidP="00942D01">
      <w:pPr>
        <w:jc w:val="both"/>
        <w:rPr>
          <w:rFonts w:ascii="Arial" w:hAnsi="Arial" w:cs="Arial"/>
          <w:b/>
          <w:bCs/>
          <w:sz w:val="20"/>
          <w:szCs w:val="20"/>
        </w:rPr>
      </w:pPr>
      <w:r w:rsidRPr="00942D01">
        <w:rPr>
          <w:rFonts w:ascii="Arial" w:hAnsi="Arial" w:cs="Arial"/>
          <w:b/>
          <w:bCs/>
          <w:sz w:val="20"/>
          <w:szCs w:val="20"/>
        </w:rPr>
        <w:t>ETHICAL APPROVAL (WHEREVER APPLICABLE)</w:t>
      </w:r>
    </w:p>
    <w:p w14:paraId="7EC8B0A5" w14:textId="77777777" w:rsidR="00942D01" w:rsidRPr="00942D01" w:rsidRDefault="00942D01" w:rsidP="00942D01">
      <w:pPr>
        <w:jc w:val="both"/>
        <w:rPr>
          <w:rFonts w:ascii="Arial" w:hAnsi="Arial" w:cs="Arial"/>
          <w:sz w:val="20"/>
          <w:szCs w:val="20"/>
        </w:rPr>
      </w:pPr>
      <w:r w:rsidRPr="00942D01">
        <w:rPr>
          <w:rFonts w:ascii="Arial" w:hAnsi="Arial" w:cs="Arial"/>
          <w:sz w:val="20"/>
          <w:szCs w:val="20"/>
        </w:rPr>
        <w:t>This study involved voluntary participation from adult respondents via an online survey. All responses were anonymized and handled with confidentiality. Ethical approval was obtained from the Institutional Ethics Committee of [Insert Institution Name Here], and the study adhered to the ethical guidelines for research involving human participants.</w:t>
      </w:r>
    </w:p>
    <w:p w14:paraId="32E3C752" w14:textId="77777777" w:rsidR="00942D01" w:rsidRDefault="00942D01" w:rsidP="007B07B4">
      <w:pPr>
        <w:jc w:val="both"/>
        <w:rPr>
          <w:rFonts w:ascii="Arial" w:hAnsi="Arial" w:cs="Arial"/>
          <w:sz w:val="20"/>
          <w:szCs w:val="20"/>
        </w:rPr>
      </w:pPr>
    </w:p>
    <w:p w14:paraId="56BDF493" w14:textId="070B6E68" w:rsidR="00681977" w:rsidRPr="00942D01" w:rsidRDefault="00942D01" w:rsidP="007B07B4">
      <w:pPr>
        <w:jc w:val="both"/>
        <w:rPr>
          <w:rFonts w:ascii="Arial" w:hAnsi="Arial" w:cs="Arial"/>
          <w:b/>
          <w:bCs/>
        </w:rPr>
      </w:pPr>
      <w:r w:rsidRPr="00942D01">
        <w:rPr>
          <w:rFonts w:ascii="Arial" w:hAnsi="Arial" w:cs="Arial"/>
          <w:b/>
          <w:bCs/>
        </w:rPr>
        <w:lastRenderedPageBreak/>
        <w:t>REFERENCES</w:t>
      </w:r>
    </w:p>
    <w:p w14:paraId="7CB84E98" w14:textId="77777777" w:rsidR="00ED6954" w:rsidRPr="00942D01" w:rsidRDefault="00ED6954" w:rsidP="00ED6954">
      <w:pPr>
        <w:rPr>
          <w:rFonts w:ascii="Arial" w:hAnsi="Arial" w:cs="Arial"/>
          <w:sz w:val="20"/>
          <w:szCs w:val="20"/>
        </w:rPr>
      </w:pPr>
      <w:bookmarkStart w:id="1" w:name="_Hlk202209674"/>
      <w:proofErr w:type="spellStart"/>
      <w:r w:rsidRPr="00942D01">
        <w:rPr>
          <w:rFonts w:ascii="Arial" w:hAnsi="Arial" w:cs="Arial"/>
          <w:sz w:val="20"/>
          <w:szCs w:val="20"/>
        </w:rPr>
        <w:t>Akamavi</w:t>
      </w:r>
      <w:bookmarkEnd w:id="1"/>
      <w:proofErr w:type="spellEnd"/>
      <w:r w:rsidRPr="00942D01">
        <w:rPr>
          <w:rFonts w:ascii="Arial" w:hAnsi="Arial" w:cs="Arial"/>
          <w:sz w:val="20"/>
          <w:szCs w:val="20"/>
        </w:rPr>
        <w:t>, R. K., Ibrahim, F., &amp; Swaray, R. (2022). Tourism and Troubles: Effects of Security Threats on the Global Travel and Tourism Industry Performance. </w:t>
      </w:r>
      <w:r w:rsidRPr="00942D01">
        <w:rPr>
          <w:rFonts w:ascii="Arial" w:hAnsi="Arial" w:cs="Arial"/>
          <w:i/>
          <w:iCs/>
          <w:sz w:val="20"/>
          <w:szCs w:val="20"/>
        </w:rPr>
        <w:t>Journal of Travel Research</w:t>
      </w:r>
      <w:r w:rsidRPr="00942D01">
        <w:rPr>
          <w:rFonts w:ascii="Arial" w:hAnsi="Arial" w:cs="Arial"/>
          <w:sz w:val="20"/>
          <w:szCs w:val="20"/>
        </w:rPr>
        <w:t>, </w:t>
      </w:r>
      <w:r w:rsidRPr="00942D01">
        <w:rPr>
          <w:rFonts w:ascii="Arial" w:hAnsi="Arial" w:cs="Arial"/>
          <w:i/>
          <w:iCs/>
          <w:sz w:val="20"/>
          <w:szCs w:val="20"/>
        </w:rPr>
        <w:t>62</w:t>
      </w:r>
      <w:r w:rsidRPr="00942D01">
        <w:rPr>
          <w:rFonts w:ascii="Arial" w:hAnsi="Arial" w:cs="Arial"/>
          <w:sz w:val="20"/>
          <w:szCs w:val="20"/>
        </w:rPr>
        <w:t>(8), 1755-1800. </w:t>
      </w:r>
      <w:hyperlink r:id="rId9" w:history="1">
        <w:r w:rsidRPr="00942D01">
          <w:rPr>
            <w:rStyle w:val="Hyperlink"/>
            <w:rFonts w:ascii="Arial" w:hAnsi="Arial" w:cs="Arial"/>
            <w:sz w:val="20"/>
            <w:szCs w:val="20"/>
          </w:rPr>
          <w:t>https://doi.org/10.1177/00472875221138792</w:t>
        </w:r>
      </w:hyperlink>
    </w:p>
    <w:p w14:paraId="45AC0C1D" w14:textId="77777777" w:rsidR="00ED6954" w:rsidRPr="00942D01" w:rsidRDefault="00ED6954" w:rsidP="00ED6954">
      <w:pPr>
        <w:rPr>
          <w:rFonts w:ascii="Arial" w:hAnsi="Arial" w:cs="Arial"/>
          <w:sz w:val="20"/>
          <w:szCs w:val="20"/>
        </w:rPr>
      </w:pPr>
      <w:bookmarkStart w:id="2" w:name="_Hlk202210614"/>
      <w:proofErr w:type="spellStart"/>
      <w:r w:rsidRPr="00942D01">
        <w:rPr>
          <w:rFonts w:ascii="Arial" w:hAnsi="Arial" w:cs="Arial"/>
          <w:sz w:val="20"/>
          <w:szCs w:val="20"/>
        </w:rPr>
        <w:t>Akamavi</w:t>
      </w:r>
      <w:bookmarkEnd w:id="2"/>
      <w:proofErr w:type="spellEnd"/>
      <w:r w:rsidRPr="00942D01">
        <w:rPr>
          <w:rFonts w:ascii="Arial" w:hAnsi="Arial" w:cs="Arial"/>
          <w:sz w:val="20"/>
          <w:szCs w:val="20"/>
        </w:rPr>
        <w:t xml:space="preserve">, R. K., Ibrahim, F., &amp; Swaray, R. (2022). </w:t>
      </w:r>
      <w:r w:rsidRPr="00942D01">
        <w:rPr>
          <w:rFonts w:ascii="Arial" w:hAnsi="Arial" w:cs="Arial"/>
          <w:i/>
          <w:iCs/>
          <w:sz w:val="20"/>
          <w:szCs w:val="20"/>
        </w:rPr>
        <w:t>Tourism and troubles: Effects of security threats on the global travel and tourism industry performance</w:t>
      </w:r>
      <w:r w:rsidRPr="00942D01">
        <w:rPr>
          <w:rFonts w:ascii="Arial" w:hAnsi="Arial" w:cs="Arial"/>
          <w:sz w:val="20"/>
          <w:szCs w:val="20"/>
        </w:rPr>
        <w:t xml:space="preserve">. </w:t>
      </w:r>
      <w:r w:rsidRPr="00942D01">
        <w:rPr>
          <w:rFonts w:ascii="Arial" w:hAnsi="Arial" w:cs="Arial"/>
          <w:i/>
          <w:iCs/>
          <w:sz w:val="20"/>
          <w:szCs w:val="20"/>
        </w:rPr>
        <w:t>Journal of Travel Research</w:t>
      </w:r>
      <w:r w:rsidRPr="00942D01">
        <w:rPr>
          <w:rFonts w:ascii="Arial" w:hAnsi="Arial" w:cs="Arial"/>
          <w:sz w:val="20"/>
          <w:szCs w:val="20"/>
        </w:rPr>
        <w:t xml:space="preserve">. </w:t>
      </w:r>
      <w:hyperlink r:id="rId10" w:tgtFrame="_new" w:history="1">
        <w:r w:rsidRPr="00942D01">
          <w:rPr>
            <w:rStyle w:val="Hyperlink"/>
            <w:rFonts w:ascii="Arial" w:hAnsi="Arial" w:cs="Arial"/>
            <w:sz w:val="20"/>
            <w:szCs w:val="20"/>
          </w:rPr>
          <w:t>https://doi.org/10.1177/00472875221138792</w:t>
        </w:r>
      </w:hyperlink>
    </w:p>
    <w:p w14:paraId="745987C7" w14:textId="77777777" w:rsidR="00ED6954" w:rsidRPr="00942D01" w:rsidRDefault="00ED6954" w:rsidP="00ED6954">
      <w:pPr>
        <w:rPr>
          <w:rFonts w:ascii="Arial" w:hAnsi="Arial" w:cs="Arial"/>
          <w:sz w:val="20"/>
          <w:szCs w:val="20"/>
        </w:rPr>
      </w:pPr>
      <w:proofErr w:type="spellStart"/>
      <w:r w:rsidRPr="00942D01">
        <w:rPr>
          <w:rFonts w:ascii="Arial" w:hAnsi="Arial" w:cs="Arial"/>
          <w:sz w:val="20"/>
          <w:szCs w:val="20"/>
        </w:rPr>
        <w:t>Asiye</w:t>
      </w:r>
      <w:proofErr w:type="spellEnd"/>
      <w:r w:rsidRPr="00942D01">
        <w:rPr>
          <w:rFonts w:ascii="Arial" w:hAnsi="Arial" w:cs="Arial"/>
          <w:sz w:val="20"/>
          <w:szCs w:val="20"/>
        </w:rPr>
        <w:t xml:space="preserve"> </w:t>
      </w:r>
      <w:proofErr w:type="spellStart"/>
      <w:r w:rsidRPr="00942D01">
        <w:rPr>
          <w:rFonts w:ascii="Arial" w:hAnsi="Arial" w:cs="Arial"/>
          <w:sz w:val="20"/>
          <w:szCs w:val="20"/>
        </w:rPr>
        <w:t>Tunççu</w:t>
      </w:r>
      <w:proofErr w:type="spellEnd"/>
      <w:r w:rsidRPr="00942D01">
        <w:rPr>
          <w:rFonts w:ascii="Arial" w:hAnsi="Arial" w:cs="Arial"/>
          <w:sz w:val="20"/>
          <w:szCs w:val="20"/>
        </w:rPr>
        <w:t xml:space="preserve">, A. (2023). Geopolitical risk and tourism in Turkey: Evidence from 2000–2019. </w:t>
      </w:r>
      <w:r w:rsidRPr="00942D01">
        <w:rPr>
          <w:rFonts w:ascii="Arial" w:hAnsi="Arial" w:cs="Arial"/>
          <w:i/>
          <w:iCs/>
          <w:sz w:val="20"/>
          <w:szCs w:val="20"/>
        </w:rPr>
        <w:t>Review of Economics and Political Science</w:t>
      </w:r>
      <w:r w:rsidRPr="00942D01">
        <w:rPr>
          <w:rFonts w:ascii="Arial" w:hAnsi="Arial" w:cs="Arial"/>
          <w:sz w:val="20"/>
          <w:szCs w:val="20"/>
        </w:rPr>
        <w:t xml:space="preserve">, </w:t>
      </w:r>
      <w:r w:rsidRPr="00942D01">
        <w:rPr>
          <w:rFonts w:ascii="Arial" w:hAnsi="Arial" w:cs="Arial"/>
          <w:i/>
          <w:iCs/>
          <w:sz w:val="20"/>
          <w:szCs w:val="20"/>
        </w:rPr>
        <w:t>8</w:t>
      </w:r>
      <w:r w:rsidRPr="00942D01">
        <w:rPr>
          <w:rFonts w:ascii="Arial" w:hAnsi="Arial" w:cs="Arial"/>
          <w:sz w:val="20"/>
          <w:szCs w:val="20"/>
        </w:rPr>
        <w:t xml:space="preserve">(4), 382–395. </w:t>
      </w:r>
      <w:hyperlink r:id="rId11" w:history="1">
        <w:r w:rsidRPr="00942D01">
          <w:rPr>
            <w:rStyle w:val="Hyperlink"/>
            <w:rFonts w:ascii="Arial" w:hAnsi="Arial" w:cs="Arial"/>
            <w:sz w:val="20"/>
            <w:szCs w:val="20"/>
          </w:rPr>
          <w:t>https://doi.org/10.1108/REPS-11-2022-0094</w:t>
        </w:r>
      </w:hyperlink>
    </w:p>
    <w:p w14:paraId="29BAD5EE" w14:textId="77777777" w:rsidR="00ED6954" w:rsidRPr="00942D01" w:rsidRDefault="00ED6954" w:rsidP="00ED6954">
      <w:pPr>
        <w:rPr>
          <w:rFonts w:ascii="Arial" w:hAnsi="Arial" w:cs="Arial"/>
          <w:sz w:val="20"/>
          <w:szCs w:val="20"/>
        </w:rPr>
      </w:pPr>
      <w:r w:rsidRPr="00942D01">
        <w:rPr>
          <w:rFonts w:ascii="Arial" w:hAnsi="Arial" w:cs="Arial"/>
          <w:sz w:val="20"/>
          <w:szCs w:val="20"/>
        </w:rPr>
        <w:t xml:space="preserve">Associated Press. (2025, June 16). </w:t>
      </w:r>
      <w:r w:rsidRPr="00942D01">
        <w:rPr>
          <w:rFonts w:ascii="Arial" w:hAnsi="Arial" w:cs="Arial"/>
          <w:i/>
          <w:iCs/>
          <w:sz w:val="20"/>
          <w:szCs w:val="20"/>
        </w:rPr>
        <w:t>Airports close across the Mideast as the Israel–Iran conflict shutters the region’s airspace</w:t>
      </w:r>
      <w:r w:rsidRPr="00942D01">
        <w:rPr>
          <w:rFonts w:ascii="Arial" w:hAnsi="Arial" w:cs="Arial"/>
          <w:sz w:val="20"/>
          <w:szCs w:val="20"/>
        </w:rPr>
        <w:t xml:space="preserve">. AP News. Retrieved June 30, 2025, from </w:t>
      </w:r>
      <w:hyperlink r:id="rId12" w:tgtFrame="_new" w:history="1">
        <w:r w:rsidRPr="00942D01">
          <w:rPr>
            <w:rStyle w:val="Hyperlink"/>
            <w:rFonts w:ascii="Arial" w:hAnsi="Arial" w:cs="Arial"/>
            <w:sz w:val="20"/>
            <w:szCs w:val="20"/>
          </w:rPr>
          <w:t>https://apnews.com/article/israel-iran-mideast-iraq-airports-airspace-closures-ebd0d9ea8362f2ecd06ceabc0cc40e7c</w:t>
        </w:r>
      </w:hyperlink>
    </w:p>
    <w:p w14:paraId="7FADD004" w14:textId="28522DA4" w:rsidR="00ED6954" w:rsidRPr="00942D01" w:rsidRDefault="00ED6954" w:rsidP="00ED6954">
      <w:pPr>
        <w:rPr>
          <w:rFonts w:ascii="Arial" w:hAnsi="Arial" w:cs="Arial"/>
          <w:sz w:val="20"/>
          <w:szCs w:val="20"/>
        </w:rPr>
      </w:pPr>
      <w:r w:rsidRPr="00942D01">
        <w:rPr>
          <w:rFonts w:ascii="Arial" w:hAnsi="Arial" w:cs="Arial"/>
          <w:sz w:val="20"/>
          <w:szCs w:val="20"/>
        </w:rPr>
        <w:t xml:space="preserve">Awais-E-Yazdan, M., Popescu, V., </w:t>
      </w:r>
      <w:proofErr w:type="spellStart"/>
      <w:r w:rsidRPr="00942D01">
        <w:rPr>
          <w:rFonts w:ascii="Arial" w:hAnsi="Arial" w:cs="Arial"/>
          <w:sz w:val="20"/>
          <w:szCs w:val="20"/>
        </w:rPr>
        <w:t>Birau</w:t>
      </w:r>
      <w:proofErr w:type="spellEnd"/>
      <w:r w:rsidRPr="00942D01">
        <w:rPr>
          <w:rFonts w:ascii="Arial" w:hAnsi="Arial" w:cs="Arial"/>
          <w:sz w:val="20"/>
          <w:szCs w:val="20"/>
        </w:rPr>
        <w:t xml:space="preserve">, R., &amp; </w:t>
      </w:r>
      <w:proofErr w:type="spellStart"/>
      <w:r w:rsidRPr="00942D01">
        <w:rPr>
          <w:rFonts w:ascii="Arial" w:hAnsi="Arial" w:cs="Arial"/>
          <w:sz w:val="20"/>
          <w:szCs w:val="20"/>
        </w:rPr>
        <w:t>Bărbăcioru</w:t>
      </w:r>
      <w:proofErr w:type="spellEnd"/>
      <w:r w:rsidRPr="00942D01">
        <w:rPr>
          <w:rFonts w:ascii="Arial" w:hAnsi="Arial" w:cs="Arial"/>
          <w:sz w:val="20"/>
          <w:szCs w:val="20"/>
        </w:rPr>
        <w:t xml:space="preserve">, I. C. (2025). Enhancing tourist’s perceived safety and their behavioural intention in Thailand: A pathway to sustainable tourism and sustainable economic growth. </w:t>
      </w:r>
      <w:r w:rsidRPr="00942D01">
        <w:rPr>
          <w:rFonts w:ascii="Arial" w:hAnsi="Arial" w:cs="Arial"/>
          <w:i/>
          <w:iCs/>
          <w:sz w:val="20"/>
          <w:szCs w:val="20"/>
        </w:rPr>
        <w:t>Sustainability, 17</w:t>
      </w:r>
      <w:r w:rsidRPr="00942D01">
        <w:rPr>
          <w:rFonts w:ascii="Arial" w:hAnsi="Arial" w:cs="Arial"/>
          <w:sz w:val="20"/>
          <w:szCs w:val="20"/>
        </w:rPr>
        <w:t xml:space="preserve">(10), 4297. </w:t>
      </w:r>
      <w:hyperlink r:id="rId13" w:tgtFrame="_new" w:history="1">
        <w:r w:rsidRPr="00942D01">
          <w:rPr>
            <w:rStyle w:val="Hyperlink"/>
            <w:rFonts w:ascii="Arial" w:hAnsi="Arial" w:cs="Arial"/>
            <w:sz w:val="20"/>
            <w:szCs w:val="20"/>
          </w:rPr>
          <w:t>https://doi.org/10.3390/su17104297</w:t>
        </w:r>
      </w:hyperlink>
    </w:p>
    <w:p w14:paraId="4A12315F" w14:textId="77777777" w:rsidR="00ED6954" w:rsidRPr="00942D01" w:rsidRDefault="00ED6954" w:rsidP="00ED6954">
      <w:pPr>
        <w:rPr>
          <w:rFonts w:ascii="Arial" w:hAnsi="Arial" w:cs="Arial"/>
          <w:sz w:val="20"/>
          <w:szCs w:val="20"/>
        </w:rPr>
      </w:pPr>
      <w:bookmarkStart w:id="3" w:name="_Hlk202210178"/>
      <w:r w:rsidRPr="00942D01">
        <w:rPr>
          <w:rFonts w:ascii="Arial" w:hAnsi="Arial" w:cs="Arial"/>
          <w:sz w:val="20"/>
          <w:szCs w:val="20"/>
        </w:rPr>
        <w:t>Carballo</w:t>
      </w:r>
      <w:bookmarkEnd w:id="3"/>
      <w:r w:rsidRPr="00942D01">
        <w:rPr>
          <w:rFonts w:ascii="Arial" w:hAnsi="Arial" w:cs="Arial"/>
          <w:sz w:val="20"/>
          <w:szCs w:val="20"/>
        </w:rPr>
        <w:t>, R. R., Leon, C. J., &amp; Carballo, M. M. (2021). The impact of terrorist attacks in cities on the relationship between tourists' risk perception, destination image and behavioural intentions. </w:t>
      </w:r>
      <w:r w:rsidRPr="00942D01">
        <w:rPr>
          <w:rFonts w:ascii="Arial" w:hAnsi="Arial" w:cs="Arial"/>
          <w:i/>
          <w:iCs/>
          <w:sz w:val="20"/>
          <w:szCs w:val="20"/>
        </w:rPr>
        <w:t>Cities</w:t>
      </w:r>
      <w:r w:rsidRPr="00942D01">
        <w:rPr>
          <w:rFonts w:ascii="Arial" w:hAnsi="Arial" w:cs="Arial"/>
          <w:sz w:val="20"/>
          <w:szCs w:val="20"/>
        </w:rPr>
        <w:t>, </w:t>
      </w:r>
      <w:r w:rsidRPr="00942D01">
        <w:rPr>
          <w:rFonts w:ascii="Arial" w:hAnsi="Arial" w:cs="Arial"/>
          <w:i/>
          <w:iCs/>
          <w:sz w:val="20"/>
          <w:szCs w:val="20"/>
        </w:rPr>
        <w:t>119</w:t>
      </w:r>
      <w:r w:rsidRPr="00942D01">
        <w:rPr>
          <w:rFonts w:ascii="Arial" w:hAnsi="Arial" w:cs="Arial"/>
          <w:sz w:val="20"/>
          <w:szCs w:val="20"/>
        </w:rPr>
        <w:t xml:space="preserve">, 103382. </w:t>
      </w:r>
      <w:hyperlink r:id="rId14" w:tgtFrame="_blank" w:tooltip="Persistent link using digital object identifier" w:history="1">
        <w:r w:rsidRPr="00942D01">
          <w:rPr>
            <w:rStyle w:val="Hyperlink"/>
            <w:rFonts w:ascii="Arial" w:hAnsi="Arial" w:cs="Arial"/>
            <w:sz w:val="20"/>
            <w:szCs w:val="20"/>
          </w:rPr>
          <w:t>https://doi.org/10.1016/j.cities.2021.103382</w:t>
        </w:r>
      </w:hyperlink>
    </w:p>
    <w:p w14:paraId="36FCF689" w14:textId="77777777" w:rsidR="00ED6954" w:rsidRPr="00942D01" w:rsidRDefault="00ED6954" w:rsidP="00ED6954">
      <w:pPr>
        <w:rPr>
          <w:rFonts w:ascii="Arial" w:hAnsi="Arial" w:cs="Arial"/>
          <w:sz w:val="20"/>
          <w:szCs w:val="20"/>
        </w:rPr>
      </w:pPr>
      <w:r w:rsidRPr="00942D01">
        <w:rPr>
          <w:rFonts w:ascii="Arial" w:hAnsi="Arial" w:cs="Arial"/>
          <w:sz w:val="20"/>
          <w:szCs w:val="20"/>
        </w:rPr>
        <w:t xml:space="preserve">Chen, J. L., Baláž, V., Li, G., &amp; Williams, A. M. (2025). Tourist decision-making and types of crises: Risk attitudes, knowledge, and destination preference persistence. </w:t>
      </w:r>
      <w:r w:rsidRPr="00942D01">
        <w:rPr>
          <w:rFonts w:ascii="Arial" w:hAnsi="Arial" w:cs="Arial"/>
          <w:i/>
          <w:iCs/>
          <w:sz w:val="20"/>
          <w:szCs w:val="20"/>
        </w:rPr>
        <w:t>Journal of Hospitality &amp; Tourism Research</w:t>
      </w:r>
      <w:r w:rsidRPr="00942D01">
        <w:rPr>
          <w:rFonts w:ascii="Arial" w:hAnsi="Arial" w:cs="Arial"/>
          <w:sz w:val="20"/>
          <w:szCs w:val="20"/>
        </w:rPr>
        <w:t xml:space="preserve">. Advance online publication. </w:t>
      </w:r>
      <w:hyperlink r:id="rId15" w:tgtFrame="_new" w:history="1">
        <w:r w:rsidRPr="00942D01">
          <w:rPr>
            <w:rStyle w:val="Hyperlink"/>
            <w:rFonts w:ascii="Arial" w:hAnsi="Arial" w:cs="Arial"/>
            <w:sz w:val="20"/>
            <w:szCs w:val="20"/>
          </w:rPr>
          <w:t>https://doi.org/10.1177/10963480241310819</w:t>
        </w:r>
      </w:hyperlink>
    </w:p>
    <w:p w14:paraId="218AA443" w14:textId="77777777" w:rsidR="00ED6954" w:rsidRPr="00942D01" w:rsidRDefault="00ED6954" w:rsidP="00ED6954">
      <w:pPr>
        <w:rPr>
          <w:rFonts w:ascii="Arial" w:hAnsi="Arial" w:cs="Arial"/>
          <w:sz w:val="20"/>
          <w:szCs w:val="20"/>
        </w:rPr>
      </w:pPr>
      <w:r w:rsidRPr="00942D01">
        <w:rPr>
          <w:rFonts w:ascii="Arial" w:hAnsi="Arial" w:cs="Arial"/>
          <w:sz w:val="20"/>
          <w:szCs w:val="20"/>
        </w:rPr>
        <w:t xml:space="preserve">Cooper, C., &amp; Hall, C. M. (2024). The geopolitics and challenges of current issues in tourism. </w:t>
      </w:r>
      <w:r w:rsidRPr="00942D01">
        <w:rPr>
          <w:rFonts w:ascii="Arial" w:hAnsi="Arial" w:cs="Arial"/>
          <w:i/>
          <w:iCs/>
          <w:sz w:val="20"/>
          <w:szCs w:val="20"/>
        </w:rPr>
        <w:t>Current Issues in Tourism, 27</w:t>
      </w:r>
      <w:r w:rsidRPr="00942D01">
        <w:rPr>
          <w:rFonts w:ascii="Arial" w:hAnsi="Arial" w:cs="Arial"/>
          <w:sz w:val="20"/>
          <w:szCs w:val="20"/>
        </w:rPr>
        <w:t xml:space="preserve">(1), 1–6. </w:t>
      </w:r>
      <w:hyperlink r:id="rId16" w:history="1">
        <w:r w:rsidRPr="00942D01">
          <w:rPr>
            <w:rStyle w:val="Hyperlink"/>
            <w:rFonts w:ascii="Arial" w:hAnsi="Arial" w:cs="Arial"/>
            <w:sz w:val="20"/>
            <w:szCs w:val="20"/>
          </w:rPr>
          <w:t>https://doi.org/10.1080/13683500.2024.2304114</w:t>
        </w:r>
      </w:hyperlink>
    </w:p>
    <w:p w14:paraId="5ECC648C" w14:textId="77777777" w:rsidR="00ED6954" w:rsidRPr="00942D01" w:rsidRDefault="00ED6954" w:rsidP="00ED6954">
      <w:pPr>
        <w:rPr>
          <w:rFonts w:ascii="Arial" w:hAnsi="Arial" w:cs="Arial"/>
          <w:sz w:val="20"/>
          <w:szCs w:val="20"/>
        </w:rPr>
      </w:pPr>
      <w:bookmarkStart w:id="4" w:name="_Hlk202202814"/>
      <w:r w:rsidRPr="00942D01">
        <w:rPr>
          <w:rFonts w:ascii="Arial" w:hAnsi="Arial" w:cs="Arial"/>
          <w:sz w:val="20"/>
          <w:szCs w:val="20"/>
        </w:rPr>
        <w:t>Cruz Costa Alves</w:t>
      </w:r>
      <w:bookmarkEnd w:id="4"/>
      <w:r w:rsidRPr="00942D01">
        <w:rPr>
          <w:rFonts w:ascii="Arial" w:hAnsi="Arial" w:cs="Arial"/>
          <w:sz w:val="20"/>
          <w:szCs w:val="20"/>
        </w:rPr>
        <w:t xml:space="preserve">, A. P., </w:t>
      </w:r>
      <w:proofErr w:type="spellStart"/>
      <w:r w:rsidRPr="00942D01">
        <w:rPr>
          <w:rFonts w:ascii="Arial" w:hAnsi="Arial" w:cs="Arial"/>
          <w:sz w:val="20"/>
          <w:szCs w:val="20"/>
        </w:rPr>
        <w:t>Sadocco</w:t>
      </w:r>
      <w:proofErr w:type="spellEnd"/>
      <w:r w:rsidRPr="00942D01">
        <w:rPr>
          <w:rFonts w:ascii="Arial" w:hAnsi="Arial" w:cs="Arial"/>
          <w:sz w:val="20"/>
          <w:szCs w:val="20"/>
        </w:rPr>
        <w:t>, R., &amp; Strehlau, V. I. (2025). Batten Down the Hatches! Conceptualizing Conflict Zone Tourism. </w:t>
      </w:r>
      <w:r w:rsidRPr="00942D01">
        <w:rPr>
          <w:rFonts w:ascii="Arial" w:hAnsi="Arial" w:cs="Arial"/>
          <w:i/>
          <w:iCs/>
          <w:sz w:val="20"/>
          <w:szCs w:val="20"/>
        </w:rPr>
        <w:t>Journal of Travel Research</w:t>
      </w:r>
      <w:r w:rsidRPr="00942D01">
        <w:rPr>
          <w:rFonts w:ascii="Arial" w:hAnsi="Arial" w:cs="Arial"/>
          <w:sz w:val="20"/>
          <w:szCs w:val="20"/>
        </w:rPr>
        <w:t>, </w:t>
      </w:r>
      <w:r w:rsidRPr="00942D01">
        <w:rPr>
          <w:rFonts w:ascii="Arial" w:hAnsi="Arial" w:cs="Arial"/>
          <w:i/>
          <w:iCs/>
          <w:sz w:val="20"/>
          <w:szCs w:val="20"/>
        </w:rPr>
        <w:t>0</w:t>
      </w:r>
      <w:r w:rsidRPr="00942D01">
        <w:rPr>
          <w:rFonts w:ascii="Arial" w:hAnsi="Arial" w:cs="Arial"/>
          <w:sz w:val="20"/>
          <w:szCs w:val="20"/>
        </w:rPr>
        <w:t>(0). </w:t>
      </w:r>
      <w:hyperlink r:id="rId17" w:history="1">
        <w:r w:rsidRPr="00942D01">
          <w:rPr>
            <w:rStyle w:val="Hyperlink"/>
            <w:rFonts w:ascii="Arial" w:hAnsi="Arial" w:cs="Arial"/>
            <w:sz w:val="20"/>
            <w:szCs w:val="20"/>
          </w:rPr>
          <w:t>https://doi.org/10.1177/00472875251335218</w:t>
        </w:r>
      </w:hyperlink>
    </w:p>
    <w:p w14:paraId="623A3044" w14:textId="77777777" w:rsidR="00ED6954" w:rsidRPr="00942D01" w:rsidRDefault="00ED6954" w:rsidP="00ED6954">
      <w:pPr>
        <w:rPr>
          <w:rFonts w:ascii="Arial" w:hAnsi="Arial" w:cs="Arial"/>
          <w:sz w:val="20"/>
          <w:szCs w:val="20"/>
        </w:rPr>
      </w:pPr>
      <w:bookmarkStart w:id="5" w:name="_Hlk202210945"/>
      <w:r w:rsidRPr="00942D01">
        <w:rPr>
          <w:rFonts w:ascii="Arial" w:hAnsi="Arial" w:cs="Arial"/>
          <w:sz w:val="20"/>
          <w:szCs w:val="20"/>
        </w:rPr>
        <w:t>Czermak, L., &amp; Vogler</w:t>
      </w:r>
      <w:bookmarkEnd w:id="5"/>
      <w:r w:rsidRPr="00942D01">
        <w:rPr>
          <w:rFonts w:ascii="Arial" w:hAnsi="Arial" w:cs="Arial"/>
          <w:sz w:val="20"/>
          <w:szCs w:val="20"/>
        </w:rPr>
        <w:t>, R. (2025). Light versus dark motives in dark tourism: a conceptualization from an ethical perspective. </w:t>
      </w:r>
      <w:r w:rsidRPr="00942D01">
        <w:rPr>
          <w:rFonts w:ascii="Arial" w:hAnsi="Arial" w:cs="Arial"/>
          <w:i/>
          <w:iCs/>
          <w:sz w:val="20"/>
          <w:szCs w:val="20"/>
        </w:rPr>
        <w:t>Current Issues in Tourism</w:t>
      </w:r>
      <w:r w:rsidRPr="00942D01">
        <w:rPr>
          <w:rFonts w:ascii="Arial" w:hAnsi="Arial" w:cs="Arial"/>
          <w:sz w:val="20"/>
          <w:szCs w:val="20"/>
        </w:rPr>
        <w:t>, </w:t>
      </w:r>
      <w:r w:rsidRPr="00942D01">
        <w:rPr>
          <w:rFonts w:ascii="Arial" w:hAnsi="Arial" w:cs="Arial"/>
          <w:i/>
          <w:iCs/>
          <w:sz w:val="20"/>
          <w:szCs w:val="20"/>
        </w:rPr>
        <w:t>28</w:t>
      </w:r>
      <w:r w:rsidRPr="00942D01">
        <w:rPr>
          <w:rFonts w:ascii="Arial" w:hAnsi="Arial" w:cs="Arial"/>
          <w:sz w:val="20"/>
          <w:szCs w:val="20"/>
        </w:rPr>
        <w:t xml:space="preserve">(2), 203-219. </w:t>
      </w:r>
      <w:hyperlink r:id="rId18" w:history="1">
        <w:r w:rsidRPr="00942D01">
          <w:rPr>
            <w:rStyle w:val="Hyperlink"/>
            <w:rFonts w:ascii="Arial" w:hAnsi="Arial" w:cs="Arial"/>
            <w:sz w:val="20"/>
            <w:szCs w:val="20"/>
          </w:rPr>
          <w:t>https://doi.org/10.1080/13683500.2023.2300035</w:t>
        </w:r>
      </w:hyperlink>
    </w:p>
    <w:p w14:paraId="6D5A7FA3" w14:textId="77777777" w:rsidR="00ED6954" w:rsidRPr="00942D01" w:rsidRDefault="00ED6954" w:rsidP="00ED6954">
      <w:pPr>
        <w:rPr>
          <w:rFonts w:ascii="Arial" w:hAnsi="Arial" w:cs="Arial"/>
          <w:sz w:val="20"/>
          <w:szCs w:val="20"/>
        </w:rPr>
      </w:pPr>
      <w:bookmarkStart w:id="6" w:name="_Hlk202202537"/>
      <w:proofErr w:type="spellStart"/>
      <w:r w:rsidRPr="00942D01">
        <w:rPr>
          <w:rFonts w:ascii="Arial" w:hAnsi="Arial" w:cs="Arial"/>
          <w:sz w:val="20"/>
          <w:szCs w:val="20"/>
        </w:rPr>
        <w:t>Diakonidze</w:t>
      </w:r>
      <w:bookmarkEnd w:id="6"/>
      <w:proofErr w:type="spellEnd"/>
      <w:r w:rsidRPr="00942D01">
        <w:rPr>
          <w:rFonts w:ascii="Arial" w:hAnsi="Arial" w:cs="Arial"/>
          <w:sz w:val="20"/>
          <w:szCs w:val="20"/>
        </w:rPr>
        <w:t>, M., &amp; Özen, E. (2024). Regional Political Risks and Sustainable Tourism Development Tendencies: A Case Study. </w:t>
      </w:r>
      <w:r w:rsidRPr="00942D01">
        <w:rPr>
          <w:rFonts w:ascii="Arial" w:hAnsi="Arial" w:cs="Arial"/>
          <w:i/>
          <w:iCs/>
          <w:sz w:val="20"/>
          <w:szCs w:val="20"/>
        </w:rPr>
        <w:t>International Journal of Sustainable Development &amp; Planning</w:t>
      </w:r>
      <w:r w:rsidRPr="00942D01">
        <w:rPr>
          <w:rFonts w:ascii="Arial" w:hAnsi="Arial" w:cs="Arial"/>
          <w:sz w:val="20"/>
          <w:szCs w:val="20"/>
        </w:rPr>
        <w:t>, </w:t>
      </w:r>
      <w:r w:rsidRPr="00942D01">
        <w:rPr>
          <w:rFonts w:ascii="Arial" w:hAnsi="Arial" w:cs="Arial"/>
          <w:i/>
          <w:iCs/>
          <w:sz w:val="20"/>
          <w:szCs w:val="20"/>
        </w:rPr>
        <w:t>19</w:t>
      </w:r>
      <w:r w:rsidRPr="00942D01">
        <w:rPr>
          <w:rFonts w:ascii="Arial" w:hAnsi="Arial" w:cs="Arial"/>
          <w:sz w:val="20"/>
          <w:szCs w:val="20"/>
        </w:rPr>
        <w:t xml:space="preserve">(12). </w:t>
      </w:r>
      <w:hyperlink r:id="rId19" w:history="1">
        <w:r w:rsidRPr="00942D01">
          <w:rPr>
            <w:rStyle w:val="Hyperlink"/>
            <w:rFonts w:ascii="Arial" w:hAnsi="Arial" w:cs="Arial"/>
            <w:sz w:val="20"/>
            <w:szCs w:val="20"/>
          </w:rPr>
          <w:t>https://doi.org/10.18280/ijsdp.191201</w:t>
        </w:r>
      </w:hyperlink>
    </w:p>
    <w:p w14:paraId="43DF6F60" w14:textId="77777777" w:rsidR="00ED6954" w:rsidRPr="00942D01" w:rsidRDefault="00ED6954" w:rsidP="00ED6954">
      <w:pPr>
        <w:rPr>
          <w:rFonts w:ascii="Arial" w:hAnsi="Arial" w:cs="Arial"/>
          <w:sz w:val="20"/>
          <w:szCs w:val="20"/>
        </w:rPr>
      </w:pPr>
      <w:proofErr w:type="spellStart"/>
      <w:r w:rsidRPr="00942D01">
        <w:rPr>
          <w:rFonts w:ascii="Arial" w:hAnsi="Arial" w:cs="Arial"/>
          <w:sz w:val="20"/>
          <w:szCs w:val="20"/>
        </w:rPr>
        <w:t>ForwardKeys</w:t>
      </w:r>
      <w:proofErr w:type="spellEnd"/>
      <w:r w:rsidRPr="00942D01">
        <w:rPr>
          <w:rFonts w:ascii="Arial" w:hAnsi="Arial" w:cs="Arial"/>
          <w:sz w:val="20"/>
          <w:szCs w:val="20"/>
        </w:rPr>
        <w:t xml:space="preserve"> data via Bradley (2024). Regional conflict, global ripples: Economic impacts of the conflict in Gaza. Bradley Insights. </w:t>
      </w:r>
      <w:hyperlink r:id="rId20" w:tgtFrame="_blank" w:history="1">
        <w:r w:rsidRPr="00942D01">
          <w:rPr>
            <w:rStyle w:val="Hyperlink"/>
            <w:rFonts w:ascii="Arial" w:hAnsi="Arial" w:cs="Arial"/>
            <w:sz w:val="20"/>
            <w:szCs w:val="20"/>
          </w:rPr>
          <w:t>bradley.com</w:t>
        </w:r>
      </w:hyperlink>
    </w:p>
    <w:p w14:paraId="6DC083B9" w14:textId="77777777" w:rsidR="00ED6954" w:rsidRPr="00942D01" w:rsidRDefault="00ED6954" w:rsidP="00ED6954">
      <w:pPr>
        <w:rPr>
          <w:rFonts w:ascii="Arial" w:hAnsi="Arial" w:cs="Arial"/>
          <w:sz w:val="20"/>
          <w:szCs w:val="20"/>
        </w:rPr>
      </w:pPr>
      <w:proofErr w:type="spellStart"/>
      <w:r w:rsidRPr="00942D01">
        <w:rPr>
          <w:rFonts w:ascii="Arial" w:hAnsi="Arial" w:cs="Arial"/>
          <w:sz w:val="20"/>
          <w:szCs w:val="20"/>
        </w:rPr>
        <w:t>Gozgor</w:t>
      </w:r>
      <w:proofErr w:type="spellEnd"/>
      <w:r w:rsidRPr="00942D01">
        <w:rPr>
          <w:rFonts w:ascii="Arial" w:hAnsi="Arial" w:cs="Arial"/>
          <w:sz w:val="20"/>
          <w:szCs w:val="20"/>
        </w:rPr>
        <w:t xml:space="preserve">, G., Lau, C. K. M., &amp; Sheng, X. (2020). The impact of geopolitical risks on tourism: Evidence from dynamic panel data. </w:t>
      </w:r>
      <w:r w:rsidRPr="00942D01">
        <w:rPr>
          <w:rFonts w:ascii="Arial" w:hAnsi="Arial" w:cs="Arial"/>
          <w:i/>
          <w:iCs/>
          <w:sz w:val="20"/>
          <w:szCs w:val="20"/>
        </w:rPr>
        <w:t>Current Issues in Tourism, 23</w:t>
      </w:r>
      <w:r w:rsidRPr="00942D01">
        <w:rPr>
          <w:rFonts w:ascii="Arial" w:hAnsi="Arial" w:cs="Arial"/>
          <w:sz w:val="20"/>
          <w:szCs w:val="20"/>
        </w:rPr>
        <w:t xml:space="preserve">(7), 812–827. </w:t>
      </w:r>
      <w:hyperlink r:id="rId21" w:history="1">
        <w:r w:rsidRPr="00942D01">
          <w:rPr>
            <w:rStyle w:val="Hyperlink"/>
            <w:rFonts w:ascii="Arial" w:hAnsi="Arial" w:cs="Arial"/>
            <w:sz w:val="20"/>
            <w:szCs w:val="20"/>
          </w:rPr>
          <w:t>https://doi.org/10.1080/13683500.2018.1546677</w:t>
        </w:r>
      </w:hyperlink>
    </w:p>
    <w:p w14:paraId="0D8A45D9" w14:textId="77777777" w:rsidR="00ED6954" w:rsidRPr="00942D01" w:rsidRDefault="00ED6954" w:rsidP="00ED6954">
      <w:pPr>
        <w:rPr>
          <w:rFonts w:ascii="Arial" w:hAnsi="Arial" w:cs="Arial"/>
          <w:sz w:val="20"/>
          <w:szCs w:val="20"/>
        </w:rPr>
      </w:pPr>
      <w:r w:rsidRPr="00942D01">
        <w:rPr>
          <w:rFonts w:ascii="Arial" w:hAnsi="Arial" w:cs="Arial"/>
          <w:sz w:val="20"/>
          <w:szCs w:val="20"/>
        </w:rPr>
        <w:t xml:space="preserve">Institute for Economics and Peace. (2024). </w:t>
      </w:r>
      <w:r w:rsidRPr="00942D01">
        <w:rPr>
          <w:rFonts w:ascii="Arial" w:hAnsi="Arial" w:cs="Arial"/>
          <w:i/>
          <w:iCs/>
          <w:sz w:val="20"/>
          <w:szCs w:val="20"/>
        </w:rPr>
        <w:t>Global Peace Index 2024: Measuring peace in a complex world</w:t>
      </w:r>
      <w:r w:rsidRPr="00942D01">
        <w:rPr>
          <w:rFonts w:ascii="Arial" w:hAnsi="Arial" w:cs="Arial"/>
          <w:sz w:val="20"/>
          <w:szCs w:val="20"/>
        </w:rPr>
        <w:t xml:space="preserve">. Sydney, Australia. Retrieved June 30, 2025, from </w:t>
      </w:r>
      <w:hyperlink r:id="rId22" w:tgtFrame="_new" w:history="1">
        <w:r w:rsidRPr="00942D01">
          <w:rPr>
            <w:rStyle w:val="Hyperlink"/>
            <w:rFonts w:ascii="Arial" w:hAnsi="Arial" w:cs="Arial"/>
            <w:sz w:val="20"/>
            <w:szCs w:val="20"/>
          </w:rPr>
          <w:t>http://visionofhumanity.org/resources</w:t>
        </w:r>
      </w:hyperlink>
    </w:p>
    <w:p w14:paraId="0CA65034" w14:textId="77777777" w:rsidR="00ED6954" w:rsidRPr="00942D01" w:rsidRDefault="00ED6954" w:rsidP="00ED6954">
      <w:pPr>
        <w:rPr>
          <w:rFonts w:ascii="Arial" w:hAnsi="Arial" w:cs="Arial"/>
          <w:sz w:val="20"/>
          <w:szCs w:val="20"/>
        </w:rPr>
      </w:pPr>
      <w:bookmarkStart w:id="7" w:name="_Hlk202209842"/>
      <w:r w:rsidRPr="00942D01">
        <w:rPr>
          <w:rFonts w:ascii="Arial" w:hAnsi="Arial" w:cs="Arial"/>
          <w:sz w:val="20"/>
          <w:szCs w:val="20"/>
        </w:rPr>
        <w:t>Jiang</w:t>
      </w:r>
      <w:bookmarkEnd w:id="7"/>
      <w:r w:rsidRPr="00942D01">
        <w:rPr>
          <w:rFonts w:ascii="Arial" w:hAnsi="Arial" w:cs="Arial"/>
          <w:sz w:val="20"/>
          <w:szCs w:val="20"/>
        </w:rPr>
        <w:t xml:space="preserve">, Q., Xu, Z., Cui, Y., &amp; Liu, J. (2023, October 6). </w:t>
      </w:r>
      <w:r w:rsidRPr="00942D01">
        <w:rPr>
          <w:rFonts w:ascii="Arial" w:hAnsi="Arial" w:cs="Arial"/>
          <w:i/>
          <w:iCs/>
          <w:sz w:val="20"/>
          <w:szCs w:val="20"/>
        </w:rPr>
        <w:t xml:space="preserve">Complex impacts of wars on global sustainable development in a </w:t>
      </w:r>
      <w:proofErr w:type="spellStart"/>
      <w:r w:rsidRPr="00942D01">
        <w:rPr>
          <w:rFonts w:ascii="Arial" w:hAnsi="Arial" w:cs="Arial"/>
          <w:i/>
          <w:iCs/>
          <w:sz w:val="20"/>
          <w:szCs w:val="20"/>
        </w:rPr>
        <w:t>metacoupled</w:t>
      </w:r>
      <w:proofErr w:type="spellEnd"/>
      <w:r w:rsidRPr="00942D01">
        <w:rPr>
          <w:rFonts w:ascii="Arial" w:hAnsi="Arial" w:cs="Arial"/>
          <w:i/>
          <w:iCs/>
          <w:sz w:val="20"/>
          <w:szCs w:val="20"/>
        </w:rPr>
        <w:t xml:space="preserve"> world</w:t>
      </w:r>
      <w:r w:rsidRPr="00942D01">
        <w:rPr>
          <w:rFonts w:ascii="Arial" w:hAnsi="Arial" w:cs="Arial"/>
          <w:sz w:val="20"/>
          <w:szCs w:val="20"/>
        </w:rPr>
        <w:t xml:space="preserve"> [Conference presentation]. I</w:t>
      </w:r>
      <w:r w:rsidRPr="00942D01">
        <w:rPr>
          <w:rFonts w:ascii="Arial" w:hAnsi="Arial" w:cs="Arial"/>
          <w:sz w:val="20"/>
          <w:szCs w:val="20"/>
        </w:rPr>
        <w:noBreakHyphen/>
        <w:t>GUIDE Forum 2023. Purdue e</w:t>
      </w:r>
      <w:r w:rsidRPr="00942D01">
        <w:rPr>
          <w:rFonts w:ascii="Arial" w:hAnsi="Arial" w:cs="Arial"/>
          <w:sz w:val="20"/>
          <w:szCs w:val="20"/>
        </w:rPr>
        <w:noBreakHyphen/>
        <w:t xml:space="preserve">Guide. </w:t>
      </w:r>
      <w:hyperlink r:id="rId23" w:history="1">
        <w:r w:rsidRPr="00942D01">
          <w:rPr>
            <w:rStyle w:val="Hyperlink"/>
            <w:rFonts w:ascii="Arial" w:hAnsi="Arial" w:cs="Arial"/>
            <w:sz w:val="20"/>
            <w:szCs w:val="20"/>
          </w:rPr>
          <w:t>https://doi.org/10.5703/1288284317680</w:t>
        </w:r>
      </w:hyperlink>
    </w:p>
    <w:p w14:paraId="635FA179" w14:textId="6826DC24" w:rsidR="00ED6954" w:rsidRPr="00942D01" w:rsidRDefault="00ED6954" w:rsidP="00ED6954">
      <w:pPr>
        <w:rPr>
          <w:rFonts w:ascii="Arial" w:hAnsi="Arial" w:cs="Arial"/>
          <w:sz w:val="20"/>
          <w:szCs w:val="20"/>
        </w:rPr>
      </w:pPr>
      <w:bookmarkStart w:id="8" w:name="_Hlk202210827"/>
      <w:r w:rsidRPr="00942D01">
        <w:rPr>
          <w:rFonts w:ascii="Arial" w:hAnsi="Arial" w:cs="Arial"/>
          <w:sz w:val="20"/>
          <w:szCs w:val="20"/>
        </w:rPr>
        <w:lastRenderedPageBreak/>
        <w:t>Lemy</w:t>
      </w:r>
      <w:bookmarkEnd w:id="8"/>
      <w:r w:rsidRPr="00942D01">
        <w:rPr>
          <w:rFonts w:ascii="Arial" w:hAnsi="Arial" w:cs="Arial"/>
          <w:sz w:val="20"/>
          <w:szCs w:val="20"/>
        </w:rPr>
        <w:t xml:space="preserve">, D. M., </w:t>
      </w:r>
      <w:proofErr w:type="spellStart"/>
      <w:r w:rsidRPr="00942D01">
        <w:rPr>
          <w:rFonts w:ascii="Arial" w:hAnsi="Arial" w:cs="Arial"/>
          <w:sz w:val="20"/>
          <w:szCs w:val="20"/>
        </w:rPr>
        <w:t>Pramezwary</w:t>
      </w:r>
      <w:proofErr w:type="spellEnd"/>
      <w:r w:rsidRPr="00942D01">
        <w:rPr>
          <w:rFonts w:ascii="Arial" w:hAnsi="Arial" w:cs="Arial"/>
          <w:sz w:val="20"/>
          <w:szCs w:val="20"/>
        </w:rPr>
        <w:t xml:space="preserve">, A., Juliana, P. R., &amp; </w:t>
      </w:r>
      <w:proofErr w:type="spellStart"/>
      <w:r w:rsidRPr="00942D01">
        <w:rPr>
          <w:rFonts w:ascii="Arial" w:hAnsi="Arial" w:cs="Arial"/>
          <w:sz w:val="20"/>
          <w:szCs w:val="20"/>
        </w:rPr>
        <w:t>Qurotadini</w:t>
      </w:r>
      <w:proofErr w:type="spellEnd"/>
      <w:r w:rsidRPr="00942D01">
        <w:rPr>
          <w:rFonts w:ascii="Arial" w:hAnsi="Arial" w:cs="Arial"/>
          <w:sz w:val="20"/>
          <w:szCs w:val="20"/>
        </w:rPr>
        <w:t>, L. N. (2021). Explorative study of tourist behaviour in seeking information to travel planning. </w:t>
      </w:r>
      <w:r w:rsidRPr="00942D01">
        <w:rPr>
          <w:rFonts w:ascii="Arial" w:hAnsi="Arial" w:cs="Arial"/>
          <w:i/>
          <w:iCs/>
          <w:sz w:val="20"/>
          <w:szCs w:val="20"/>
        </w:rPr>
        <w:t>Int. J. Sustain. Dev. Plan</w:t>
      </w:r>
      <w:r w:rsidRPr="00942D01">
        <w:rPr>
          <w:rFonts w:ascii="Arial" w:hAnsi="Arial" w:cs="Arial"/>
          <w:sz w:val="20"/>
          <w:szCs w:val="20"/>
        </w:rPr>
        <w:t>, </w:t>
      </w:r>
      <w:r w:rsidRPr="00942D01">
        <w:rPr>
          <w:rFonts w:ascii="Arial" w:hAnsi="Arial" w:cs="Arial"/>
          <w:i/>
          <w:iCs/>
          <w:sz w:val="20"/>
          <w:szCs w:val="20"/>
        </w:rPr>
        <w:t>16</w:t>
      </w:r>
      <w:r w:rsidRPr="00942D01">
        <w:rPr>
          <w:rFonts w:ascii="Arial" w:hAnsi="Arial" w:cs="Arial"/>
          <w:sz w:val="20"/>
          <w:szCs w:val="20"/>
        </w:rPr>
        <w:t xml:space="preserve">(8), 1583-1589. </w:t>
      </w:r>
      <w:r w:rsidRPr="00942D01">
        <w:rPr>
          <w:rFonts w:ascii="Arial" w:hAnsi="Arial" w:cs="Arial"/>
          <w:sz w:val="20"/>
          <w:szCs w:val="20"/>
        </w:rPr>
        <w:br/>
      </w:r>
      <w:hyperlink r:id="rId24" w:history="1">
        <w:r w:rsidRPr="00942D01">
          <w:rPr>
            <w:rStyle w:val="Hyperlink"/>
            <w:rFonts w:ascii="Arial" w:hAnsi="Arial" w:cs="Arial"/>
            <w:sz w:val="20"/>
            <w:szCs w:val="20"/>
          </w:rPr>
          <w:t>https://doi.org/10.18280/ijsdp.160819</w:t>
        </w:r>
      </w:hyperlink>
    </w:p>
    <w:p w14:paraId="66C27CD7" w14:textId="77777777" w:rsidR="00ED6954" w:rsidRPr="00942D01" w:rsidRDefault="00ED6954" w:rsidP="00ED6954">
      <w:pPr>
        <w:rPr>
          <w:rFonts w:ascii="Arial" w:hAnsi="Arial" w:cs="Arial"/>
          <w:sz w:val="20"/>
          <w:szCs w:val="20"/>
        </w:rPr>
      </w:pPr>
      <w:proofErr w:type="spellStart"/>
      <w:r w:rsidRPr="00942D01">
        <w:rPr>
          <w:rFonts w:ascii="Arial" w:hAnsi="Arial" w:cs="Arial"/>
          <w:sz w:val="20"/>
          <w:szCs w:val="20"/>
        </w:rPr>
        <w:t>Mabrian</w:t>
      </w:r>
      <w:proofErr w:type="spellEnd"/>
      <w:r w:rsidRPr="00942D01">
        <w:rPr>
          <w:rFonts w:ascii="Arial" w:hAnsi="Arial" w:cs="Arial"/>
          <w:sz w:val="20"/>
          <w:szCs w:val="20"/>
        </w:rPr>
        <w:t xml:space="preserve"> Technologies. (2023, December 1). </w:t>
      </w:r>
      <w:r w:rsidRPr="00942D01">
        <w:rPr>
          <w:rFonts w:ascii="Arial" w:hAnsi="Arial" w:cs="Arial"/>
          <w:i/>
          <w:iCs/>
          <w:sz w:val="20"/>
          <w:szCs w:val="20"/>
        </w:rPr>
        <w:t>The Israel–Gaza conflict affects the security perception of destinations up to 2,000 km away</w:t>
      </w:r>
      <w:r w:rsidRPr="00942D01">
        <w:rPr>
          <w:rFonts w:ascii="Arial" w:hAnsi="Arial" w:cs="Arial"/>
          <w:sz w:val="20"/>
          <w:szCs w:val="20"/>
        </w:rPr>
        <w:t xml:space="preserve"> [Blog post]. </w:t>
      </w:r>
      <w:proofErr w:type="spellStart"/>
      <w:r w:rsidRPr="00942D01">
        <w:rPr>
          <w:rFonts w:ascii="Arial" w:hAnsi="Arial" w:cs="Arial"/>
          <w:sz w:val="20"/>
          <w:szCs w:val="20"/>
        </w:rPr>
        <w:t>Mabrian</w:t>
      </w:r>
      <w:proofErr w:type="spellEnd"/>
      <w:r w:rsidRPr="00942D01">
        <w:rPr>
          <w:rFonts w:ascii="Arial" w:hAnsi="Arial" w:cs="Arial"/>
          <w:sz w:val="20"/>
          <w:szCs w:val="20"/>
        </w:rPr>
        <w:t xml:space="preserve"> Travel Intelligence. Retrieved June 30, 2025, from </w:t>
      </w:r>
      <w:hyperlink r:id="rId25" w:tgtFrame="_new" w:history="1">
        <w:r w:rsidRPr="00942D01">
          <w:rPr>
            <w:rStyle w:val="Hyperlink"/>
            <w:rFonts w:ascii="Arial" w:hAnsi="Arial" w:cs="Arial"/>
            <w:sz w:val="20"/>
            <w:szCs w:val="20"/>
          </w:rPr>
          <w:t>https://mabrian.com/blog/the-israel-gaza-conflict-affects-the-security-perception-of-destinations-up-to-2-000km-away</w:t>
        </w:r>
      </w:hyperlink>
    </w:p>
    <w:p w14:paraId="4E3C34CC" w14:textId="45D892A8" w:rsidR="00ED6954" w:rsidRPr="00942D01" w:rsidRDefault="00ED6954" w:rsidP="00ED6954">
      <w:pPr>
        <w:rPr>
          <w:rFonts w:ascii="Arial" w:hAnsi="Arial" w:cs="Arial"/>
          <w:sz w:val="20"/>
          <w:szCs w:val="20"/>
        </w:rPr>
      </w:pPr>
      <w:bookmarkStart w:id="9" w:name="_Hlk202210267"/>
      <w:r w:rsidRPr="00942D01">
        <w:rPr>
          <w:rFonts w:ascii="Arial" w:hAnsi="Arial" w:cs="Arial"/>
          <w:sz w:val="20"/>
          <w:szCs w:val="20"/>
        </w:rPr>
        <w:t>Moral</w:t>
      </w:r>
      <w:r w:rsidRPr="00942D01">
        <w:rPr>
          <w:rFonts w:ascii="Arial" w:hAnsi="Arial" w:cs="Arial"/>
          <w:sz w:val="20"/>
          <w:szCs w:val="20"/>
        </w:rPr>
        <w:noBreakHyphen/>
        <w:t>Moral</w:t>
      </w:r>
      <w:bookmarkEnd w:id="9"/>
      <w:r w:rsidRPr="00942D01">
        <w:rPr>
          <w:rFonts w:ascii="Arial" w:hAnsi="Arial" w:cs="Arial"/>
          <w:sz w:val="20"/>
          <w:szCs w:val="20"/>
        </w:rPr>
        <w:t xml:space="preserve">, M. (2024). </w:t>
      </w:r>
      <w:r w:rsidRPr="00942D01">
        <w:rPr>
          <w:rFonts w:ascii="Arial" w:hAnsi="Arial" w:cs="Arial"/>
          <w:i/>
          <w:iCs/>
          <w:sz w:val="20"/>
          <w:szCs w:val="20"/>
        </w:rPr>
        <w:t>Behavioural intention of residents in dark tourism: An empirical approach</w:t>
      </w:r>
      <w:r w:rsidRPr="00942D01">
        <w:rPr>
          <w:rFonts w:ascii="Arial" w:hAnsi="Arial" w:cs="Arial"/>
          <w:sz w:val="20"/>
          <w:szCs w:val="20"/>
        </w:rPr>
        <w:t xml:space="preserve">. </w:t>
      </w:r>
      <w:r w:rsidRPr="00942D01">
        <w:rPr>
          <w:rFonts w:ascii="Arial" w:hAnsi="Arial" w:cs="Arial"/>
          <w:i/>
          <w:iCs/>
          <w:sz w:val="20"/>
          <w:szCs w:val="20"/>
        </w:rPr>
        <w:t>Tourism and Hospitality, 5</w:t>
      </w:r>
      <w:r w:rsidRPr="00942D01">
        <w:rPr>
          <w:rFonts w:ascii="Arial" w:hAnsi="Arial" w:cs="Arial"/>
          <w:sz w:val="20"/>
          <w:szCs w:val="20"/>
        </w:rPr>
        <w:t xml:space="preserve">(4), 1344–1362. </w:t>
      </w:r>
      <w:hyperlink r:id="rId26" w:tgtFrame="_new" w:history="1">
        <w:r w:rsidRPr="00942D01">
          <w:rPr>
            <w:rStyle w:val="Hyperlink"/>
            <w:rFonts w:ascii="Arial" w:hAnsi="Arial" w:cs="Arial"/>
            <w:sz w:val="20"/>
            <w:szCs w:val="20"/>
          </w:rPr>
          <w:t>https://doi.org/10.3390/tourhosp5040075</w:t>
        </w:r>
      </w:hyperlink>
      <w:r w:rsidRPr="00942D01">
        <w:rPr>
          <w:rFonts w:ascii="Arial" w:hAnsi="Arial" w:cs="Arial"/>
          <w:sz w:val="20"/>
          <w:szCs w:val="20"/>
        </w:rPr>
        <w:t> </w:t>
      </w:r>
    </w:p>
    <w:p w14:paraId="76C25723" w14:textId="77777777" w:rsidR="00ED6954" w:rsidRPr="00942D01" w:rsidRDefault="00ED6954" w:rsidP="00ED6954">
      <w:pPr>
        <w:rPr>
          <w:rFonts w:ascii="Arial" w:hAnsi="Arial" w:cs="Arial"/>
          <w:sz w:val="20"/>
          <w:szCs w:val="20"/>
        </w:rPr>
      </w:pPr>
      <w:bookmarkStart w:id="10" w:name="_Hlk202210508"/>
      <w:r w:rsidRPr="00942D01">
        <w:rPr>
          <w:rFonts w:ascii="Arial" w:hAnsi="Arial" w:cs="Arial"/>
          <w:sz w:val="20"/>
          <w:szCs w:val="20"/>
        </w:rPr>
        <w:t>Najar, A. H., &amp; Rather</w:t>
      </w:r>
      <w:bookmarkEnd w:id="10"/>
      <w:r w:rsidRPr="00942D01">
        <w:rPr>
          <w:rFonts w:ascii="Arial" w:hAnsi="Arial" w:cs="Arial"/>
          <w:sz w:val="20"/>
          <w:szCs w:val="20"/>
        </w:rPr>
        <w:t>, A. H. (2023). Assessing the relationship of perceived risks with destination image and destination loyalty: a tourist's perspective visiting volatile destinations. </w:t>
      </w:r>
      <w:r w:rsidRPr="00942D01">
        <w:rPr>
          <w:rFonts w:ascii="Arial" w:hAnsi="Arial" w:cs="Arial"/>
          <w:i/>
          <w:iCs/>
          <w:sz w:val="20"/>
          <w:szCs w:val="20"/>
        </w:rPr>
        <w:t>Journal of Hospitality and Tourism Insights</w:t>
      </w:r>
      <w:r w:rsidRPr="00942D01">
        <w:rPr>
          <w:rFonts w:ascii="Arial" w:hAnsi="Arial" w:cs="Arial"/>
          <w:sz w:val="20"/>
          <w:szCs w:val="20"/>
        </w:rPr>
        <w:t>, </w:t>
      </w:r>
      <w:r w:rsidRPr="00942D01">
        <w:rPr>
          <w:rFonts w:ascii="Arial" w:hAnsi="Arial" w:cs="Arial"/>
          <w:i/>
          <w:iCs/>
          <w:sz w:val="20"/>
          <w:szCs w:val="20"/>
        </w:rPr>
        <w:t>6</w:t>
      </w:r>
      <w:r w:rsidRPr="00942D01">
        <w:rPr>
          <w:rFonts w:ascii="Arial" w:hAnsi="Arial" w:cs="Arial"/>
          <w:sz w:val="20"/>
          <w:szCs w:val="20"/>
        </w:rPr>
        <w:t xml:space="preserve">(3), 1357-1379. </w:t>
      </w:r>
      <w:hyperlink r:id="rId27" w:tooltip="DOI: https://doi.org/10.1108/JHTI-03-2022-0100" w:history="1">
        <w:r w:rsidRPr="00942D01">
          <w:rPr>
            <w:rStyle w:val="Hyperlink"/>
            <w:rFonts w:ascii="Arial" w:hAnsi="Arial" w:cs="Arial"/>
            <w:sz w:val="20"/>
            <w:szCs w:val="20"/>
          </w:rPr>
          <w:t>https://doi.org/10.1108/JHTI-03-2022-0100</w:t>
        </w:r>
      </w:hyperlink>
    </w:p>
    <w:p w14:paraId="1895E289" w14:textId="77777777" w:rsidR="00ED6954" w:rsidRPr="00942D01" w:rsidRDefault="00ED6954" w:rsidP="00ED6954">
      <w:pPr>
        <w:rPr>
          <w:rFonts w:ascii="Arial" w:hAnsi="Arial" w:cs="Arial"/>
          <w:sz w:val="20"/>
          <w:szCs w:val="20"/>
        </w:rPr>
      </w:pPr>
      <w:r w:rsidRPr="00942D01">
        <w:rPr>
          <w:rFonts w:ascii="Arial" w:hAnsi="Arial" w:cs="Arial"/>
          <w:sz w:val="20"/>
          <w:szCs w:val="20"/>
        </w:rPr>
        <w:t xml:space="preserve">Reed, C. (2025). </w:t>
      </w:r>
      <w:r w:rsidRPr="00942D01">
        <w:rPr>
          <w:rFonts w:ascii="Arial" w:hAnsi="Arial" w:cs="Arial"/>
          <w:i/>
          <w:iCs/>
          <w:sz w:val="20"/>
          <w:szCs w:val="20"/>
        </w:rPr>
        <w:t>Dark tourism through the lens of attachment theory</w:t>
      </w:r>
      <w:r w:rsidRPr="00942D01">
        <w:rPr>
          <w:rFonts w:ascii="Arial" w:hAnsi="Arial" w:cs="Arial"/>
          <w:sz w:val="20"/>
          <w:szCs w:val="20"/>
        </w:rPr>
        <w:t xml:space="preserve">. </w:t>
      </w:r>
      <w:r w:rsidRPr="00942D01">
        <w:rPr>
          <w:rFonts w:ascii="Arial" w:hAnsi="Arial" w:cs="Arial"/>
          <w:i/>
          <w:iCs/>
          <w:sz w:val="20"/>
          <w:szCs w:val="20"/>
        </w:rPr>
        <w:t>Journal of Travel Research, 64</w:t>
      </w:r>
      <w:r w:rsidRPr="00942D01">
        <w:rPr>
          <w:rFonts w:ascii="Arial" w:hAnsi="Arial" w:cs="Arial"/>
          <w:sz w:val="20"/>
          <w:szCs w:val="20"/>
        </w:rPr>
        <w:t xml:space="preserve">(2), 205–220. </w:t>
      </w:r>
      <w:hyperlink r:id="rId28" w:tgtFrame="_new" w:history="1">
        <w:r w:rsidRPr="00942D01">
          <w:rPr>
            <w:rStyle w:val="Hyperlink"/>
            <w:rFonts w:ascii="Arial" w:hAnsi="Arial" w:cs="Arial"/>
            <w:sz w:val="20"/>
            <w:szCs w:val="20"/>
          </w:rPr>
          <w:t>https://doi.org/10.1002/jtr.2609</w:t>
        </w:r>
      </w:hyperlink>
    </w:p>
    <w:p w14:paraId="49206F52" w14:textId="77777777" w:rsidR="00ED6954" w:rsidRPr="00942D01" w:rsidRDefault="00ED6954" w:rsidP="00ED6954">
      <w:pPr>
        <w:rPr>
          <w:rFonts w:ascii="Arial" w:hAnsi="Arial" w:cs="Arial"/>
          <w:sz w:val="20"/>
          <w:szCs w:val="20"/>
        </w:rPr>
      </w:pPr>
      <w:r w:rsidRPr="00942D01">
        <w:rPr>
          <w:rFonts w:ascii="Arial" w:hAnsi="Arial" w:cs="Arial"/>
          <w:sz w:val="20"/>
          <w:szCs w:val="20"/>
        </w:rPr>
        <w:t xml:space="preserve">Smith, A., &amp; Jones, B. (2023). The impact of geopolitical risks and international relations on inbound tourism. </w:t>
      </w:r>
      <w:r w:rsidRPr="00942D01">
        <w:rPr>
          <w:rFonts w:ascii="Arial" w:hAnsi="Arial" w:cs="Arial"/>
          <w:i/>
          <w:iCs/>
          <w:sz w:val="20"/>
          <w:szCs w:val="20"/>
        </w:rPr>
        <w:t>Cogent Social Sciences</w:t>
      </w:r>
      <w:r w:rsidRPr="00942D01">
        <w:rPr>
          <w:rFonts w:ascii="Arial" w:hAnsi="Arial" w:cs="Arial"/>
          <w:sz w:val="20"/>
          <w:szCs w:val="20"/>
        </w:rPr>
        <w:t xml:space="preserve">, </w:t>
      </w:r>
      <w:r w:rsidRPr="00942D01">
        <w:rPr>
          <w:rFonts w:ascii="Arial" w:hAnsi="Arial" w:cs="Arial"/>
          <w:i/>
          <w:iCs/>
          <w:sz w:val="20"/>
          <w:szCs w:val="20"/>
        </w:rPr>
        <w:t>9</w:t>
      </w:r>
      <w:r w:rsidRPr="00942D01">
        <w:rPr>
          <w:rFonts w:ascii="Arial" w:hAnsi="Arial" w:cs="Arial"/>
          <w:sz w:val="20"/>
          <w:szCs w:val="20"/>
        </w:rPr>
        <w:t xml:space="preserve">(1), 2285244. </w:t>
      </w:r>
      <w:hyperlink r:id="rId29" w:tgtFrame="_new" w:history="1">
        <w:r w:rsidRPr="00942D01">
          <w:rPr>
            <w:rStyle w:val="Hyperlink"/>
            <w:rFonts w:ascii="Arial" w:hAnsi="Arial" w:cs="Arial"/>
            <w:sz w:val="20"/>
            <w:szCs w:val="20"/>
          </w:rPr>
          <w:t>https://doi.org/10.1080/23311886.2023.2285244</w:t>
        </w:r>
      </w:hyperlink>
    </w:p>
    <w:p w14:paraId="7C5B768D" w14:textId="77777777" w:rsidR="00ED6954" w:rsidRPr="00942D01" w:rsidRDefault="00ED6954" w:rsidP="00ED6954">
      <w:pPr>
        <w:rPr>
          <w:rFonts w:ascii="Arial" w:hAnsi="Arial" w:cs="Arial"/>
          <w:sz w:val="20"/>
          <w:szCs w:val="20"/>
        </w:rPr>
      </w:pPr>
      <w:r w:rsidRPr="00942D01">
        <w:rPr>
          <w:rFonts w:ascii="Arial" w:hAnsi="Arial" w:cs="Arial"/>
          <w:sz w:val="20"/>
          <w:szCs w:val="20"/>
        </w:rPr>
        <w:t>Sufi, T., Ranga, B. and Ranga, I. (2024), "Encountering risk with resilience for experiences: a case study on tourism in a conflicted tourist destination", </w:t>
      </w:r>
      <w:r w:rsidRPr="00942D01">
        <w:rPr>
          <w:rFonts w:ascii="Arial" w:hAnsi="Arial" w:cs="Arial"/>
          <w:i/>
          <w:iCs/>
          <w:sz w:val="20"/>
          <w:szCs w:val="20"/>
        </w:rPr>
        <w:t>International Journal of Tourism Cities</w:t>
      </w:r>
      <w:r w:rsidRPr="00942D01">
        <w:rPr>
          <w:rFonts w:ascii="Arial" w:hAnsi="Arial" w:cs="Arial"/>
          <w:sz w:val="20"/>
          <w:szCs w:val="20"/>
        </w:rPr>
        <w:t>, Vol. 10 No. 4, pp. 1414-1434. </w:t>
      </w:r>
      <w:hyperlink r:id="rId30" w:tooltip="DOI: https://doi.org/10.1108/IJTC-05-2024-0110" w:history="1">
        <w:r w:rsidRPr="00942D01">
          <w:rPr>
            <w:rStyle w:val="Hyperlink"/>
            <w:rFonts w:ascii="Arial" w:hAnsi="Arial" w:cs="Arial"/>
            <w:sz w:val="20"/>
            <w:szCs w:val="20"/>
          </w:rPr>
          <w:t>https://doi.org/10.1108/IJTC-05-2024-0110</w:t>
        </w:r>
      </w:hyperlink>
    </w:p>
    <w:p w14:paraId="5BDFF04A" w14:textId="77777777" w:rsidR="00ED6954" w:rsidRPr="00942D01" w:rsidRDefault="00ED6954" w:rsidP="00ED6954">
      <w:pPr>
        <w:rPr>
          <w:rFonts w:ascii="Arial" w:hAnsi="Arial" w:cs="Arial"/>
          <w:sz w:val="20"/>
          <w:szCs w:val="20"/>
        </w:rPr>
      </w:pPr>
      <w:proofErr w:type="spellStart"/>
      <w:r w:rsidRPr="00942D01">
        <w:rPr>
          <w:rFonts w:ascii="Arial" w:hAnsi="Arial" w:cs="Arial"/>
          <w:sz w:val="20"/>
          <w:szCs w:val="20"/>
        </w:rPr>
        <w:t>Tunççu</w:t>
      </w:r>
      <w:proofErr w:type="spellEnd"/>
      <w:r w:rsidRPr="00942D01">
        <w:rPr>
          <w:rFonts w:ascii="Arial" w:hAnsi="Arial" w:cs="Arial"/>
          <w:sz w:val="20"/>
          <w:szCs w:val="20"/>
        </w:rPr>
        <w:t xml:space="preserve">, A. (2023). Geopolitical risk and tourism in Turkey: Evidence from 2000–2019. </w:t>
      </w:r>
      <w:r w:rsidRPr="00942D01">
        <w:rPr>
          <w:rFonts w:ascii="Arial" w:hAnsi="Arial" w:cs="Arial"/>
          <w:i/>
          <w:iCs/>
          <w:sz w:val="20"/>
          <w:szCs w:val="20"/>
        </w:rPr>
        <w:t>Review of Economics and Political Science, 8</w:t>
      </w:r>
      <w:r w:rsidRPr="00942D01">
        <w:rPr>
          <w:rFonts w:ascii="Arial" w:hAnsi="Arial" w:cs="Arial"/>
          <w:sz w:val="20"/>
          <w:szCs w:val="20"/>
        </w:rPr>
        <w:t xml:space="preserve">(4), 382–395. </w:t>
      </w:r>
      <w:hyperlink r:id="rId31" w:tgtFrame="_new" w:history="1">
        <w:r w:rsidRPr="00942D01">
          <w:rPr>
            <w:rStyle w:val="Hyperlink"/>
            <w:rFonts w:ascii="Arial" w:hAnsi="Arial" w:cs="Arial"/>
            <w:sz w:val="20"/>
            <w:szCs w:val="20"/>
          </w:rPr>
          <w:t>https://doi.org/10.1108/REPS-11-2022-0094</w:t>
        </w:r>
      </w:hyperlink>
    </w:p>
    <w:p w14:paraId="39122478" w14:textId="77777777" w:rsidR="00ED6954" w:rsidRPr="00942D01" w:rsidRDefault="00ED6954" w:rsidP="00ED6954">
      <w:pPr>
        <w:rPr>
          <w:rFonts w:ascii="Arial" w:hAnsi="Arial" w:cs="Arial"/>
          <w:sz w:val="20"/>
          <w:szCs w:val="20"/>
        </w:rPr>
      </w:pPr>
      <w:bookmarkStart w:id="11" w:name="_Hlk202209947"/>
      <w:r w:rsidRPr="00942D01">
        <w:rPr>
          <w:rFonts w:ascii="Arial" w:hAnsi="Arial" w:cs="Arial"/>
          <w:sz w:val="20"/>
          <w:szCs w:val="20"/>
        </w:rPr>
        <w:t xml:space="preserve">Ullah, A. A., &amp; </w:t>
      </w:r>
      <w:proofErr w:type="spellStart"/>
      <w:r w:rsidRPr="00942D01">
        <w:rPr>
          <w:rFonts w:ascii="Arial" w:hAnsi="Arial" w:cs="Arial"/>
          <w:sz w:val="20"/>
          <w:szCs w:val="20"/>
        </w:rPr>
        <w:t>Chattoraj</w:t>
      </w:r>
      <w:proofErr w:type="spellEnd"/>
      <w:r w:rsidRPr="00942D01">
        <w:rPr>
          <w:rFonts w:ascii="Arial" w:hAnsi="Arial" w:cs="Arial"/>
          <w:sz w:val="20"/>
          <w:szCs w:val="20"/>
        </w:rPr>
        <w:t>, D. (2025</w:t>
      </w:r>
      <w:bookmarkEnd w:id="11"/>
      <w:r w:rsidRPr="00942D01">
        <w:rPr>
          <w:rFonts w:ascii="Arial" w:hAnsi="Arial" w:cs="Arial"/>
          <w:sz w:val="20"/>
          <w:szCs w:val="20"/>
        </w:rPr>
        <w:t xml:space="preserve">). Traveling Across Global Divides: Freedom or Barriers to </w:t>
      </w:r>
      <w:proofErr w:type="gramStart"/>
      <w:r w:rsidRPr="00942D01">
        <w:rPr>
          <w:rFonts w:ascii="Arial" w:hAnsi="Arial" w:cs="Arial"/>
          <w:sz w:val="20"/>
          <w:szCs w:val="20"/>
        </w:rPr>
        <w:t>Move?.</w:t>
      </w:r>
      <w:proofErr w:type="gramEnd"/>
      <w:r w:rsidRPr="00942D01">
        <w:rPr>
          <w:rFonts w:ascii="Arial" w:hAnsi="Arial" w:cs="Arial"/>
          <w:sz w:val="20"/>
          <w:szCs w:val="20"/>
        </w:rPr>
        <w:t> </w:t>
      </w:r>
      <w:r w:rsidRPr="00942D01">
        <w:rPr>
          <w:rFonts w:ascii="Arial" w:hAnsi="Arial" w:cs="Arial"/>
          <w:i/>
          <w:iCs/>
          <w:sz w:val="20"/>
          <w:szCs w:val="20"/>
        </w:rPr>
        <w:t>World Affairs</w:t>
      </w:r>
      <w:r w:rsidRPr="00942D01">
        <w:rPr>
          <w:rFonts w:ascii="Arial" w:hAnsi="Arial" w:cs="Arial"/>
          <w:sz w:val="20"/>
          <w:szCs w:val="20"/>
        </w:rPr>
        <w:t>, </w:t>
      </w:r>
      <w:r w:rsidRPr="00942D01">
        <w:rPr>
          <w:rFonts w:ascii="Arial" w:hAnsi="Arial" w:cs="Arial"/>
          <w:i/>
          <w:iCs/>
          <w:sz w:val="20"/>
          <w:szCs w:val="20"/>
        </w:rPr>
        <w:t>188</w:t>
      </w:r>
      <w:r w:rsidRPr="00942D01">
        <w:rPr>
          <w:rFonts w:ascii="Arial" w:hAnsi="Arial" w:cs="Arial"/>
          <w:sz w:val="20"/>
          <w:szCs w:val="20"/>
        </w:rPr>
        <w:t xml:space="preserve">(1), e12062. </w:t>
      </w:r>
      <w:hyperlink r:id="rId32" w:history="1">
        <w:r w:rsidRPr="00942D01">
          <w:rPr>
            <w:rStyle w:val="Hyperlink"/>
            <w:rFonts w:ascii="Arial" w:hAnsi="Arial" w:cs="Arial"/>
            <w:sz w:val="20"/>
            <w:szCs w:val="20"/>
          </w:rPr>
          <w:t>https://doi.org/10.1002/waf2.12062</w:t>
        </w:r>
      </w:hyperlink>
    </w:p>
    <w:p w14:paraId="1FE5445B" w14:textId="6E33D2C3" w:rsidR="00ED6954" w:rsidRPr="00942D01" w:rsidRDefault="00ED6954" w:rsidP="00942D01">
      <w:pPr>
        <w:rPr>
          <w:rFonts w:ascii="Arial" w:hAnsi="Arial" w:cs="Arial"/>
          <w:sz w:val="20"/>
          <w:szCs w:val="20"/>
        </w:rPr>
      </w:pPr>
      <w:r w:rsidRPr="00942D01">
        <w:rPr>
          <w:rFonts w:ascii="Arial" w:hAnsi="Arial" w:cs="Arial"/>
          <w:sz w:val="20"/>
          <w:szCs w:val="20"/>
        </w:rPr>
        <w:t xml:space="preserve">Zhao, X., &amp; Nguyen, H. (2023). A typology of residents’ travel safety perceptions and geopolitical risk. </w:t>
      </w:r>
      <w:r w:rsidRPr="00942D01">
        <w:rPr>
          <w:rFonts w:ascii="Arial" w:hAnsi="Arial" w:cs="Arial"/>
          <w:i/>
          <w:iCs/>
          <w:sz w:val="20"/>
          <w:szCs w:val="20"/>
        </w:rPr>
        <w:t>Journal of Travel Research</w:t>
      </w:r>
      <w:r w:rsidRPr="00942D01">
        <w:rPr>
          <w:rFonts w:ascii="Arial" w:hAnsi="Arial" w:cs="Arial"/>
          <w:sz w:val="20"/>
          <w:szCs w:val="20"/>
        </w:rPr>
        <w:t xml:space="preserve">, </w:t>
      </w:r>
      <w:r w:rsidRPr="00942D01">
        <w:rPr>
          <w:rFonts w:ascii="Arial" w:hAnsi="Arial" w:cs="Arial"/>
          <w:i/>
          <w:iCs/>
          <w:sz w:val="20"/>
          <w:szCs w:val="20"/>
        </w:rPr>
        <w:t>62</w:t>
      </w:r>
      <w:r w:rsidRPr="00942D01">
        <w:rPr>
          <w:rFonts w:ascii="Arial" w:hAnsi="Arial" w:cs="Arial"/>
          <w:sz w:val="20"/>
          <w:szCs w:val="20"/>
        </w:rPr>
        <w:t xml:space="preserve">(4), 621–638. </w:t>
      </w:r>
      <w:hyperlink r:id="rId33" w:history="1">
        <w:r w:rsidRPr="00942D01">
          <w:rPr>
            <w:rStyle w:val="Hyperlink"/>
            <w:rFonts w:ascii="Arial" w:hAnsi="Arial" w:cs="Arial"/>
            <w:sz w:val="20"/>
            <w:szCs w:val="20"/>
          </w:rPr>
          <w:t>https://doi.org/10.1177/13567667241236975</w:t>
        </w:r>
      </w:hyperlink>
    </w:p>
    <w:sectPr w:rsidR="00ED6954" w:rsidRPr="00942D01" w:rsidSect="00103FA2">
      <w:headerReference w:type="even" r:id="rId34"/>
      <w:headerReference w:type="default" r:id="rId35"/>
      <w:footerReference w:type="even" r:id="rId36"/>
      <w:footerReference w:type="default" r:id="rId37"/>
      <w:headerReference w:type="first" r:id="rId38"/>
      <w:footerReference w:type="firs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F6035" w14:textId="77777777" w:rsidR="003440E0" w:rsidRDefault="003440E0" w:rsidP="00242D06">
      <w:pPr>
        <w:spacing w:after="0" w:line="240" w:lineRule="auto"/>
      </w:pPr>
      <w:r>
        <w:separator/>
      </w:r>
    </w:p>
  </w:endnote>
  <w:endnote w:type="continuationSeparator" w:id="0">
    <w:p w14:paraId="79BB73B8" w14:textId="77777777" w:rsidR="003440E0" w:rsidRDefault="003440E0" w:rsidP="00242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C0266" w14:textId="77777777" w:rsidR="00103FA2" w:rsidRDefault="00103F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FEAA7" w14:textId="77777777" w:rsidR="00103FA2" w:rsidRDefault="00103F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C6F37" w14:textId="77777777" w:rsidR="00103FA2" w:rsidRDefault="00103F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21D43" w14:textId="77777777" w:rsidR="003440E0" w:rsidRDefault="003440E0" w:rsidP="00242D06">
      <w:pPr>
        <w:spacing w:after="0" w:line="240" w:lineRule="auto"/>
      </w:pPr>
      <w:r>
        <w:separator/>
      </w:r>
    </w:p>
  </w:footnote>
  <w:footnote w:type="continuationSeparator" w:id="0">
    <w:p w14:paraId="6AF75691" w14:textId="77777777" w:rsidR="003440E0" w:rsidRDefault="003440E0" w:rsidP="00242D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98B80" w14:textId="41C28B96" w:rsidR="00103FA2" w:rsidRDefault="00103FA2">
    <w:pPr>
      <w:pStyle w:val="Header"/>
    </w:pPr>
    <w:r>
      <w:rPr>
        <w:noProof/>
      </w:rPr>
      <w:pict w14:anchorId="7F5D84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158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3743F" w14:textId="1C470700" w:rsidR="00103FA2" w:rsidRDefault="00103FA2">
    <w:pPr>
      <w:pStyle w:val="Header"/>
    </w:pPr>
    <w:r>
      <w:rPr>
        <w:noProof/>
      </w:rPr>
      <w:pict w14:anchorId="287B46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158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4EC97" w14:textId="12DF1C2F" w:rsidR="00103FA2" w:rsidRDefault="00103FA2">
    <w:pPr>
      <w:pStyle w:val="Header"/>
    </w:pPr>
    <w:r>
      <w:rPr>
        <w:noProof/>
      </w:rPr>
      <w:pict w14:anchorId="110F4B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158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83E2B"/>
    <w:multiLevelType w:val="multilevel"/>
    <w:tmpl w:val="6DCA4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15554"/>
    <w:multiLevelType w:val="multilevel"/>
    <w:tmpl w:val="83F27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C74AF4"/>
    <w:multiLevelType w:val="multilevel"/>
    <w:tmpl w:val="76366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97CF0"/>
    <w:multiLevelType w:val="multilevel"/>
    <w:tmpl w:val="C442C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8E197F"/>
    <w:multiLevelType w:val="multilevel"/>
    <w:tmpl w:val="9002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6E0F0D"/>
    <w:multiLevelType w:val="hybridMultilevel"/>
    <w:tmpl w:val="1752E5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DBC7A3F"/>
    <w:multiLevelType w:val="multilevel"/>
    <w:tmpl w:val="09A67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B944FF"/>
    <w:multiLevelType w:val="multilevel"/>
    <w:tmpl w:val="3E689F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6C6ED0"/>
    <w:multiLevelType w:val="multilevel"/>
    <w:tmpl w:val="E6025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AA482F"/>
    <w:multiLevelType w:val="multilevel"/>
    <w:tmpl w:val="D7A2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720B1D"/>
    <w:multiLevelType w:val="multilevel"/>
    <w:tmpl w:val="1C64A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602550"/>
    <w:multiLevelType w:val="multilevel"/>
    <w:tmpl w:val="28AA8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002B31"/>
    <w:multiLevelType w:val="multilevel"/>
    <w:tmpl w:val="6C486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6"/>
  </w:num>
  <w:num w:numId="4">
    <w:abstractNumId w:val="4"/>
  </w:num>
  <w:num w:numId="5">
    <w:abstractNumId w:val="12"/>
  </w:num>
  <w:num w:numId="6">
    <w:abstractNumId w:val="3"/>
  </w:num>
  <w:num w:numId="7">
    <w:abstractNumId w:val="9"/>
  </w:num>
  <w:num w:numId="8">
    <w:abstractNumId w:val="1"/>
  </w:num>
  <w:num w:numId="9">
    <w:abstractNumId w:val="7"/>
  </w:num>
  <w:num w:numId="10">
    <w:abstractNumId w:val="2"/>
  </w:num>
  <w:num w:numId="11">
    <w:abstractNumId w:val="10"/>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74C"/>
    <w:rsid w:val="0002799A"/>
    <w:rsid w:val="00033406"/>
    <w:rsid w:val="00035726"/>
    <w:rsid w:val="0006627E"/>
    <w:rsid w:val="000855F6"/>
    <w:rsid w:val="00093029"/>
    <w:rsid w:val="000C2A70"/>
    <w:rsid w:val="000C524D"/>
    <w:rsid w:val="00103FA2"/>
    <w:rsid w:val="00110E1E"/>
    <w:rsid w:val="0011431C"/>
    <w:rsid w:val="00115FBE"/>
    <w:rsid w:val="001314F9"/>
    <w:rsid w:val="00182AD9"/>
    <w:rsid w:val="0018676D"/>
    <w:rsid w:val="001B4294"/>
    <w:rsid w:val="001B6D99"/>
    <w:rsid w:val="00222702"/>
    <w:rsid w:val="00226744"/>
    <w:rsid w:val="00235366"/>
    <w:rsid w:val="00242D06"/>
    <w:rsid w:val="002478AA"/>
    <w:rsid w:val="0026526C"/>
    <w:rsid w:val="002763C9"/>
    <w:rsid w:val="00297B2F"/>
    <w:rsid w:val="002A096A"/>
    <w:rsid w:val="002B5A85"/>
    <w:rsid w:val="002D7659"/>
    <w:rsid w:val="002E2181"/>
    <w:rsid w:val="00305161"/>
    <w:rsid w:val="0031741B"/>
    <w:rsid w:val="00341642"/>
    <w:rsid w:val="003440E0"/>
    <w:rsid w:val="0036237A"/>
    <w:rsid w:val="0036442F"/>
    <w:rsid w:val="00371283"/>
    <w:rsid w:val="00372C45"/>
    <w:rsid w:val="003A6C1E"/>
    <w:rsid w:val="003B09E1"/>
    <w:rsid w:val="003E082C"/>
    <w:rsid w:val="003E6367"/>
    <w:rsid w:val="003F75C1"/>
    <w:rsid w:val="00410AFD"/>
    <w:rsid w:val="0045184C"/>
    <w:rsid w:val="00462E03"/>
    <w:rsid w:val="004A26C6"/>
    <w:rsid w:val="004D052C"/>
    <w:rsid w:val="004D1362"/>
    <w:rsid w:val="004D4D88"/>
    <w:rsid w:val="004D5A0B"/>
    <w:rsid w:val="004E7C92"/>
    <w:rsid w:val="005078BC"/>
    <w:rsid w:val="00516B44"/>
    <w:rsid w:val="005310E2"/>
    <w:rsid w:val="0054674C"/>
    <w:rsid w:val="0054715D"/>
    <w:rsid w:val="00550E4A"/>
    <w:rsid w:val="005541C0"/>
    <w:rsid w:val="005711FF"/>
    <w:rsid w:val="005754BD"/>
    <w:rsid w:val="005A1045"/>
    <w:rsid w:val="005A2666"/>
    <w:rsid w:val="005A6509"/>
    <w:rsid w:val="005A6BEC"/>
    <w:rsid w:val="005B387F"/>
    <w:rsid w:val="005B40C1"/>
    <w:rsid w:val="005C1254"/>
    <w:rsid w:val="005E3F3A"/>
    <w:rsid w:val="00607653"/>
    <w:rsid w:val="0064126D"/>
    <w:rsid w:val="00681977"/>
    <w:rsid w:val="00685021"/>
    <w:rsid w:val="006B02F8"/>
    <w:rsid w:val="006B6840"/>
    <w:rsid w:val="006D71B1"/>
    <w:rsid w:val="006E68ED"/>
    <w:rsid w:val="006F408D"/>
    <w:rsid w:val="00722BB9"/>
    <w:rsid w:val="00746844"/>
    <w:rsid w:val="00791D11"/>
    <w:rsid w:val="00793055"/>
    <w:rsid w:val="0079552B"/>
    <w:rsid w:val="007B07B4"/>
    <w:rsid w:val="007B7868"/>
    <w:rsid w:val="007C0535"/>
    <w:rsid w:val="007C1995"/>
    <w:rsid w:val="007C39D0"/>
    <w:rsid w:val="007E523F"/>
    <w:rsid w:val="00801330"/>
    <w:rsid w:val="00824774"/>
    <w:rsid w:val="00825F45"/>
    <w:rsid w:val="00832C58"/>
    <w:rsid w:val="00836823"/>
    <w:rsid w:val="00853309"/>
    <w:rsid w:val="008B0B2F"/>
    <w:rsid w:val="008D3BAA"/>
    <w:rsid w:val="008E56F8"/>
    <w:rsid w:val="00942D01"/>
    <w:rsid w:val="00954E9A"/>
    <w:rsid w:val="00976A7E"/>
    <w:rsid w:val="009A5344"/>
    <w:rsid w:val="009D094E"/>
    <w:rsid w:val="009D139E"/>
    <w:rsid w:val="009D5337"/>
    <w:rsid w:val="009E436C"/>
    <w:rsid w:val="009E7395"/>
    <w:rsid w:val="009E7ADB"/>
    <w:rsid w:val="00A10DF1"/>
    <w:rsid w:val="00A178EB"/>
    <w:rsid w:val="00A31191"/>
    <w:rsid w:val="00A35EAD"/>
    <w:rsid w:val="00A50492"/>
    <w:rsid w:val="00A76907"/>
    <w:rsid w:val="00A905B1"/>
    <w:rsid w:val="00AC56B9"/>
    <w:rsid w:val="00AC6D07"/>
    <w:rsid w:val="00AE16B5"/>
    <w:rsid w:val="00B1112A"/>
    <w:rsid w:val="00B13E30"/>
    <w:rsid w:val="00B20687"/>
    <w:rsid w:val="00B20EF5"/>
    <w:rsid w:val="00B306C8"/>
    <w:rsid w:val="00B32689"/>
    <w:rsid w:val="00B545DB"/>
    <w:rsid w:val="00B56662"/>
    <w:rsid w:val="00B632AA"/>
    <w:rsid w:val="00B74F2A"/>
    <w:rsid w:val="00B81B06"/>
    <w:rsid w:val="00B84DE9"/>
    <w:rsid w:val="00B90076"/>
    <w:rsid w:val="00BB0D8C"/>
    <w:rsid w:val="00BC3F83"/>
    <w:rsid w:val="00C05B27"/>
    <w:rsid w:val="00C1203F"/>
    <w:rsid w:val="00C15F1D"/>
    <w:rsid w:val="00C16AC2"/>
    <w:rsid w:val="00C20F07"/>
    <w:rsid w:val="00C27FB3"/>
    <w:rsid w:val="00C71648"/>
    <w:rsid w:val="00C80E9F"/>
    <w:rsid w:val="00C90F2D"/>
    <w:rsid w:val="00C9120D"/>
    <w:rsid w:val="00C96D6B"/>
    <w:rsid w:val="00CA39AD"/>
    <w:rsid w:val="00CC2FD8"/>
    <w:rsid w:val="00CE3705"/>
    <w:rsid w:val="00CE5B60"/>
    <w:rsid w:val="00D503CC"/>
    <w:rsid w:val="00D51FAB"/>
    <w:rsid w:val="00D70A4E"/>
    <w:rsid w:val="00D76CC3"/>
    <w:rsid w:val="00D839A9"/>
    <w:rsid w:val="00D9465E"/>
    <w:rsid w:val="00D94EDE"/>
    <w:rsid w:val="00DC7175"/>
    <w:rsid w:val="00DF3CB0"/>
    <w:rsid w:val="00DF6110"/>
    <w:rsid w:val="00E101E0"/>
    <w:rsid w:val="00E2211F"/>
    <w:rsid w:val="00E61EE7"/>
    <w:rsid w:val="00EA5FD7"/>
    <w:rsid w:val="00EC0D55"/>
    <w:rsid w:val="00EC3D2A"/>
    <w:rsid w:val="00ED008E"/>
    <w:rsid w:val="00ED16B1"/>
    <w:rsid w:val="00ED6954"/>
    <w:rsid w:val="00F12BE8"/>
    <w:rsid w:val="00F253E2"/>
    <w:rsid w:val="00FD30A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689538"/>
  <w15:chartTrackingRefBased/>
  <w15:docId w15:val="{12B8A160-96FF-4C38-B68C-B261776B2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67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467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4674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4674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4674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467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67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67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67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74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4674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4674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4674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4674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467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67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67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674C"/>
    <w:rPr>
      <w:rFonts w:eastAsiaTheme="majorEastAsia" w:cstheme="majorBidi"/>
      <w:color w:val="272727" w:themeColor="text1" w:themeTint="D8"/>
    </w:rPr>
  </w:style>
  <w:style w:type="paragraph" w:styleId="Title">
    <w:name w:val="Title"/>
    <w:basedOn w:val="Normal"/>
    <w:next w:val="Normal"/>
    <w:link w:val="TitleChar"/>
    <w:uiPriority w:val="10"/>
    <w:qFormat/>
    <w:rsid w:val="005467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67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67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67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674C"/>
    <w:pPr>
      <w:spacing w:before="160"/>
      <w:jc w:val="center"/>
    </w:pPr>
    <w:rPr>
      <w:i/>
      <w:iCs/>
      <w:color w:val="404040" w:themeColor="text1" w:themeTint="BF"/>
    </w:rPr>
  </w:style>
  <w:style w:type="character" w:customStyle="1" w:styleId="QuoteChar">
    <w:name w:val="Quote Char"/>
    <w:basedOn w:val="DefaultParagraphFont"/>
    <w:link w:val="Quote"/>
    <w:uiPriority w:val="29"/>
    <w:rsid w:val="0054674C"/>
    <w:rPr>
      <w:i/>
      <w:iCs/>
      <w:color w:val="404040" w:themeColor="text1" w:themeTint="BF"/>
    </w:rPr>
  </w:style>
  <w:style w:type="paragraph" w:styleId="ListParagraph">
    <w:name w:val="List Paragraph"/>
    <w:basedOn w:val="Normal"/>
    <w:uiPriority w:val="34"/>
    <w:qFormat/>
    <w:rsid w:val="0054674C"/>
    <w:pPr>
      <w:ind w:left="720"/>
      <w:contextualSpacing/>
    </w:pPr>
  </w:style>
  <w:style w:type="character" w:styleId="IntenseEmphasis">
    <w:name w:val="Intense Emphasis"/>
    <w:basedOn w:val="DefaultParagraphFont"/>
    <w:uiPriority w:val="21"/>
    <w:qFormat/>
    <w:rsid w:val="0054674C"/>
    <w:rPr>
      <w:i/>
      <w:iCs/>
      <w:color w:val="2F5496" w:themeColor="accent1" w:themeShade="BF"/>
    </w:rPr>
  </w:style>
  <w:style w:type="paragraph" w:styleId="IntenseQuote">
    <w:name w:val="Intense Quote"/>
    <w:basedOn w:val="Normal"/>
    <w:next w:val="Normal"/>
    <w:link w:val="IntenseQuoteChar"/>
    <w:uiPriority w:val="30"/>
    <w:qFormat/>
    <w:rsid w:val="005467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4674C"/>
    <w:rPr>
      <w:i/>
      <w:iCs/>
      <w:color w:val="2F5496" w:themeColor="accent1" w:themeShade="BF"/>
    </w:rPr>
  </w:style>
  <w:style w:type="character" w:styleId="IntenseReference">
    <w:name w:val="Intense Reference"/>
    <w:basedOn w:val="DefaultParagraphFont"/>
    <w:uiPriority w:val="32"/>
    <w:qFormat/>
    <w:rsid w:val="0054674C"/>
    <w:rPr>
      <w:b/>
      <w:bCs/>
      <w:smallCaps/>
      <w:color w:val="2F5496" w:themeColor="accent1" w:themeShade="BF"/>
      <w:spacing w:val="5"/>
    </w:rPr>
  </w:style>
  <w:style w:type="character" w:styleId="Hyperlink">
    <w:name w:val="Hyperlink"/>
    <w:basedOn w:val="DefaultParagraphFont"/>
    <w:uiPriority w:val="99"/>
    <w:unhideWhenUsed/>
    <w:rsid w:val="00E61EE7"/>
    <w:rPr>
      <w:color w:val="0563C1" w:themeColor="hyperlink"/>
      <w:u w:val="single"/>
    </w:rPr>
  </w:style>
  <w:style w:type="character" w:styleId="UnresolvedMention">
    <w:name w:val="Unresolved Mention"/>
    <w:basedOn w:val="DefaultParagraphFont"/>
    <w:uiPriority w:val="99"/>
    <w:semiHidden/>
    <w:unhideWhenUsed/>
    <w:rsid w:val="00E61EE7"/>
    <w:rPr>
      <w:color w:val="605E5C"/>
      <w:shd w:val="clear" w:color="auto" w:fill="E1DFDD"/>
    </w:rPr>
  </w:style>
  <w:style w:type="table" w:styleId="TableGrid">
    <w:name w:val="Table Grid"/>
    <w:basedOn w:val="TableNormal"/>
    <w:uiPriority w:val="39"/>
    <w:rsid w:val="00265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12BE8"/>
    <w:rPr>
      <w:rFonts w:ascii="Times New Roman" w:hAnsi="Times New Roman" w:cs="Times New Roman"/>
      <w:sz w:val="24"/>
      <w:szCs w:val="24"/>
    </w:rPr>
  </w:style>
  <w:style w:type="paragraph" w:styleId="Header">
    <w:name w:val="header"/>
    <w:basedOn w:val="Normal"/>
    <w:link w:val="HeaderChar"/>
    <w:uiPriority w:val="99"/>
    <w:unhideWhenUsed/>
    <w:rsid w:val="00242D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2D06"/>
  </w:style>
  <w:style w:type="paragraph" w:styleId="Footer">
    <w:name w:val="footer"/>
    <w:basedOn w:val="Normal"/>
    <w:link w:val="FooterChar"/>
    <w:uiPriority w:val="99"/>
    <w:unhideWhenUsed/>
    <w:rsid w:val="00242D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2D06"/>
  </w:style>
  <w:style w:type="character" w:styleId="LineNumber">
    <w:name w:val="line number"/>
    <w:basedOn w:val="DefaultParagraphFont"/>
    <w:uiPriority w:val="99"/>
    <w:semiHidden/>
    <w:unhideWhenUsed/>
    <w:rsid w:val="00942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0982">
      <w:bodyDiv w:val="1"/>
      <w:marLeft w:val="0"/>
      <w:marRight w:val="0"/>
      <w:marTop w:val="0"/>
      <w:marBottom w:val="0"/>
      <w:divBdr>
        <w:top w:val="none" w:sz="0" w:space="0" w:color="auto"/>
        <w:left w:val="none" w:sz="0" w:space="0" w:color="auto"/>
        <w:bottom w:val="none" w:sz="0" w:space="0" w:color="auto"/>
        <w:right w:val="none" w:sz="0" w:space="0" w:color="auto"/>
      </w:divBdr>
    </w:div>
    <w:div w:id="17053442">
      <w:bodyDiv w:val="1"/>
      <w:marLeft w:val="0"/>
      <w:marRight w:val="0"/>
      <w:marTop w:val="0"/>
      <w:marBottom w:val="0"/>
      <w:divBdr>
        <w:top w:val="none" w:sz="0" w:space="0" w:color="auto"/>
        <w:left w:val="none" w:sz="0" w:space="0" w:color="auto"/>
        <w:bottom w:val="none" w:sz="0" w:space="0" w:color="auto"/>
        <w:right w:val="none" w:sz="0" w:space="0" w:color="auto"/>
      </w:divBdr>
    </w:div>
    <w:div w:id="28529732">
      <w:bodyDiv w:val="1"/>
      <w:marLeft w:val="0"/>
      <w:marRight w:val="0"/>
      <w:marTop w:val="0"/>
      <w:marBottom w:val="0"/>
      <w:divBdr>
        <w:top w:val="none" w:sz="0" w:space="0" w:color="auto"/>
        <w:left w:val="none" w:sz="0" w:space="0" w:color="auto"/>
        <w:bottom w:val="none" w:sz="0" w:space="0" w:color="auto"/>
        <w:right w:val="none" w:sz="0" w:space="0" w:color="auto"/>
      </w:divBdr>
    </w:div>
    <w:div w:id="29234560">
      <w:bodyDiv w:val="1"/>
      <w:marLeft w:val="0"/>
      <w:marRight w:val="0"/>
      <w:marTop w:val="0"/>
      <w:marBottom w:val="0"/>
      <w:divBdr>
        <w:top w:val="none" w:sz="0" w:space="0" w:color="auto"/>
        <w:left w:val="none" w:sz="0" w:space="0" w:color="auto"/>
        <w:bottom w:val="none" w:sz="0" w:space="0" w:color="auto"/>
        <w:right w:val="none" w:sz="0" w:space="0" w:color="auto"/>
      </w:divBdr>
    </w:div>
    <w:div w:id="52122096">
      <w:bodyDiv w:val="1"/>
      <w:marLeft w:val="0"/>
      <w:marRight w:val="0"/>
      <w:marTop w:val="0"/>
      <w:marBottom w:val="0"/>
      <w:divBdr>
        <w:top w:val="none" w:sz="0" w:space="0" w:color="auto"/>
        <w:left w:val="none" w:sz="0" w:space="0" w:color="auto"/>
        <w:bottom w:val="none" w:sz="0" w:space="0" w:color="auto"/>
        <w:right w:val="none" w:sz="0" w:space="0" w:color="auto"/>
      </w:divBdr>
    </w:div>
    <w:div w:id="67506787">
      <w:bodyDiv w:val="1"/>
      <w:marLeft w:val="0"/>
      <w:marRight w:val="0"/>
      <w:marTop w:val="0"/>
      <w:marBottom w:val="0"/>
      <w:divBdr>
        <w:top w:val="none" w:sz="0" w:space="0" w:color="auto"/>
        <w:left w:val="none" w:sz="0" w:space="0" w:color="auto"/>
        <w:bottom w:val="none" w:sz="0" w:space="0" w:color="auto"/>
        <w:right w:val="none" w:sz="0" w:space="0" w:color="auto"/>
      </w:divBdr>
    </w:div>
    <w:div w:id="81530200">
      <w:bodyDiv w:val="1"/>
      <w:marLeft w:val="0"/>
      <w:marRight w:val="0"/>
      <w:marTop w:val="0"/>
      <w:marBottom w:val="0"/>
      <w:divBdr>
        <w:top w:val="none" w:sz="0" w:space="0" w:color="auto"/>
        <w:left w:val="none" w:sz="0" w:space="0" w:color="auto"/>
        <w:bottom w:val="none" w:sz="0" w:space="0" w:color="auto"/>
        <w:right w:val="none" w:sz="0" w:space="0" w:color="auto"/>
      </w:divBdr>
    </w:div>
    <w:div w:id="115761306">
      <w:bodyDiv w:val="1"/>
      <w:marLeft w:val="0"/>
      <w:marRight w:val="0"/>
      <w:marTop w:val="0"/>
      <w:marBottom w:val="0"/>
      <w:divBdr>
        <w:top w:val="none" w:sz="0" w:space="0" w:color="auto"/>
        <w:left w:val="none" w:sz="0" w:space="0" w:color="auto"/>
        <w:bottom w:val="none" w:sz="0" w:space="0" w:color="auto"/>
        <w:right w:val="none" w:sz="0" w:space="0" w:color="auto"/>
      </w:divBdr>
    </w:div>
    <w:div w:id="151723649">
      <w:bodyDiv w:val="1"/>
      <w:marLeft w:val="0"/>
      <w:marRight w:val="0"/>
      <w:marTop w:val="0"/>
      <w:marBottom w:val="0"/>
      <w:divBdr>
        <w:top w:val="none" w:sz="0" w:space="0" w:color="auto"/>
        <w:left w:val="none" w:sz="0" w:space="0" w:color="auto"/>
        <w:bottom w:val="none" w:sz="0" w:space="0" w:color="auto"/>
        <w:right w:val="none" w:sz="0" w:space="0" w:color="auto"/>
      </w:divBdr>
    </w:div>
    <w:div w:id="193928649">
      <w:bodyDiv w:val="1"/>
      <w:marLeft w:val="0"/>
      <w:marRight w:val="0"/>
      <w:marTop w:val="0"/>
      <w:marBottom w:val="0"/>
      <w:divBdr>
        <w:top w:val="none" w:sz="0" w:space="0" w:color="auto"/>
        <w:left w:val="none" w:sz="0" w:space="0" w:color="auto"/>
        <w:bottom w:val="none" w:sz="0" w:space="0" w:color="auto"/>
        <w:right w:val="none" w:sz="0" w:space="0" w:color="auto"/>
      </w:divBdr>
      <w:divsChild>
        <w:div w:id="114758184">
          <w:marLeft w:val="0"/>
          <w:marRight w:val="0"/>
          <w:marTop w:val="0"/>
          <w:marBottom w:val="0"/>
          <w:divBdr>
            <w:top w:val="none" w:sz="0" w:space="0" w:color="auto"/>
            <w:left w:val="none" w:sz="0" w:space="0" w:color="auto"/>
            <w:bottom w:val="none" w:sz="0" w:space="0" w:color="auto"/>
            <w:right w:val="none" w:sz="0" w:space="0" w:color="auto"/>
          </w:divBdr>
          <w:divsChild>
            <w:div w:id="80131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4078">
      <w:bodyDiv w:val="1"/>
      <w:marLeft w:val="0"/>
      <w:marRight w:val="0"/>
      <w:marTop w:val="0"/>
      <w:marBottom w:val="0"/>
      <w:divBdr>
        <w:top w:val="none" w:sz="0" w:space="0" w:color="auto"/>
        <w:left w:val="none" w:sz="0" w:space="0" w:color="auto"/>
        <w:bottom w:val="none" w:sz="0" w:space="0" w:color="auto"/>
        <w:right w:val="none" w:sz="0" w:space="0" w:color="auto"/>
      </w:divBdr>
    </w:div>
    <w:div w:id="270405763">
      <w:bodyDiv w:val="1"/>
      <w:marLeft w:val="0"/>
      <w:marRight w:val="0"/>
      <w:marTop w:val="0"/>
      <w:marBottom w:val="0"/>
      <w:divBdr>
        <w:top w:val="none" w:sz="0" w:space="0" w:color="auto"/>
        <w:left w:val="none" w:sz="0" w:space="0" w:color="auto"/>
        <w:bottom w:val="none" w:sz="0" w:space="0" w:color="auto"/>
        <w:right w:val="none" w:sz="0" w:space="0" w:color="auto"/>
      </w:divBdr>
    </w:div>
    <w:div w:id="302005603">
      <w:bodyDiv w:val="1"/>
      <w:marLeft w:val="0"/>
      <w:marRight w:val="0"/>
      <w:marTop w:val="0"/>
      <w:marBottom w:val="0"/>
      <w:divBdr>
        <w:top w:val="none" w:sz="0" w:space="0" w:color="auto"/>
        <w:left w:val="none" w:sz="0" w:space="0" w:color="auto"/>
        <w:bottom w:val="none" w:sz="0" w:space="0" w:color="auto"/>
        <w:right w:val="none" w:sz="0" w:space="0" w:color="auto"/>
      </w:divBdr>
      <w:divsChild>
        <w:div w:id="420217993">
          <w:marLeft w:val="0"/>
          <w:marRight w:val="0"/>
          <w:marTop w:val="0"/>
          <w:marBottom w:val="0"/>
          <w:divBdr>
            <w:top w:val="none" w:sz="0" w:space="0" w:color="auto"/>
            <w:left w:val="none" w:sz="0" w:space="0" w:color="auto"/>
            <w:bottom w:val="none" w:sz="0" w:space="0" w:color="auto"/>
            <w:right w:val="none" w:sz="0" w:space="0" w:color="auto"/>
          </w:divBdr>
          <w:divsChild>
            <w:div w:id="5316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16920">
      <w:bodyDiv w:val="1"/>
      <w:marLeft w:val="0"/>
      <w:marRight w:val="0"/>
      <w:marTop w:val="0"/>
      <w:marBottom w:val="0"/>
      <w:divBdr>
        <w:top w:val="none" w:sz="0" w:space="0" w:color="auto"/>
        <w:left w:val="none" w:sz="0" w:space="0" w:color="auto"/>
        <w:bottom w:val="none" w:sz="0" w:space="0" w:color="auto"/>
        <w:right w:val="none" w:sz="0" w:space="0" w:color="auto"/>
      </w:divBdr>
    </w:div>
    <w:div w:id="411662173">
      <w:bodyDiv w:val="1"/>
      <w:marLeft w:val="0"/>
      <w:marRight w:val="0"/>
      <w:marTop w:val="0"/>
      <w:marBottom w:val="0"/>
      <w:divBdr>
        <w:top w:val="none" w:sz="0" w:space="0" w:color="auto"/>
        <w:left w:val="none" w:sz="0" w:space="0" w:color="auto"/>
        <w:bottom w:val="none" w:sz="0" w:space="0" w:color="auto"/>
        <w:right w:val="none" w:sz="0" w:space="0" w:color="auto"/>
      </w:divBdr>
    </w:div>
    <w:div w:id="439838736">
      <w:bodyDiv w:val="1"/>
      <w:marLeft w:val="0"/>
      <w:marRight w:val="0"/>
      <w:marTop w:val="0"/>
      <w:marBottom w:val="0"/>
      <w:divBdr>
        <w:top w:val="none" w:sz="0" w:space="0" w:color="auto"/>
        <w:left w:val="none" w:sz="0" w:space="0" w:color="auto"/>
        <w:bottom w:val="none" w:sz="0" w:space="0" w:color="auto"/>
        <w:right w:val="none" w:sz="0" w:space="0" w:color="auto"/>
      </w:divBdr>
    </w:div>
    <w:div w:id="445857664">
      <w:bodyDiv w:val="1"/>
      <w:marLeft w:val="0"/>
      <w:marRight w:val="0"/>
      <w:marTop w:val="0"/>
      <w:marBottom w:val="0"/>
      <w:divBdr>
        <w:top w:val="none" w:sz="0" w:space="0" w:color="auto"/>
        <w:left w:val="none" w:sz="0" w:space="0" w:color="auto"/>
        <w:bottom w:val="none" w:sz="0" w:space="0" w:color="auto"/>
        <w:right w:val="none" w:sz="0" w:space="0" w:color="auto"/>
      </w:divBdr>
    </w:div>
    <w:div w:id="461189006">
      <w:bodyDiv w:val="1"/>
      <w:marLeft w:val="0"/>
      <w:marRight w:val="0"/>
      <w:marTop w:val="0"/>
      <w:marBottom w:val="0"/>
      <w:divBdr>
        <w:top w:val="none" w:sz="0" w:space="0" w:color="auto"/>
        <w:left w:val="none" w:sz="0" w:space="0" w:color="auto"/>
        <w:bottom w:val="none" w:sz="0" w:space="0" w:color="auto"/>
        <w:right w:val="none" w:sz="0" w:space="0" w:color="auto"/>
      </w:divBdr>
    </w:div>
    <w:div w:id="461339925">
      <w:bodyDiv w:val="1"/>
      <w:marLeft w:val="0"/>
      <w:marRight w:val="0"/>
      <w:marTop w:val="0"/>
      <w:marBottom w:val="0"/>
      <w:divBdr>
        <w:top w:val="none" w:sz="0" w:space="0" w:color="auto"/>
        <w:left w:val="none" w:sz="0" w:space="0" w:color="auto"/>
        <w:bottom w:val="none" w:sz="0" w:space="0" w:color="auto"/>
        <w:right w:val="none" w:sz="0" w:space="0" w:color="auto"/>
      </w:divBdr>
    </w:div>
    <w:div w:id="461726480">
      <w:bodyDiv w:val="1"/>
      <w:marLeft w:val="0"/>
      <w:marRight w:val="0"/>
      <w:marTop w:val="0"/>
      <w:marBottom w:val="0"/>
      <w:divBdr>
        <w:top w:val="none" w:sz="0" w:space="0" w:color="auto"/>
        <w:left w:val="none" w:sz="0" w:space="0" w:color="auto"/>
        <w:bottom w:val="none" w:sz="0" w:space="0" w:color="auto"/>
        <w:right w:val="none" w:sz="0" w:space="0" w:color="auto"/>
      </w:divBdr>
    </w:div>
    <w:div w:id="474034578">
      <w:bodyDiv w:val="1"/>
      <w:marLeft w:val="0"/>
      <w:marRight w:val="0"/>
      <w:marTop w:val="0"/>
      <w:marBottom w:val="0"/>
      <w:divBdr>
        <w:top w:val="none" w:sz="0" w:space="0" w:color="auto"/>
        <w:left w:val="none" w:sz="0" w:space="0" w:color="auto"/>
        <w:bottom w:val="none" w:sz="0" w:space="0" w:color="auto"/>
        <w:right w:val="none" w:sz="0" w:space="0" w:color="auto"/>
      </w:divBdr>
    </w:div>
    <w:div w:id="516696180">
      <w:bodyDiv w:val="1"/>
      <w:marLeft w:val="0"/>
      <w:marRight w:val="0"/>
      <w:marTop w:val="0"/>
      <w:marBottom w:val="0"/>
      <w:divBdr>
        <w:top w:val="none" w:sz="0" w:space="0" w:color="auto"/>
        <w:left w:val="none" w:sz="0" w:space="0" w:color="auto"/>
        <w:bottom w:val="none" w:sz="0" w:space="0" w:color="auto"/>
        <w:right w:val="none" w:sz="0" w:space="0" w:color="auto"/>
      </w:divBdr>
    </w:div>
    <w:div w:id="528757495">
      <w:bodyDiv w:val="1"/>
      <w:marLeft w:val="0"/>
      <w:marRight w:val="0"/>
      <w:marTop w:val="0"/>
      <w:marBottom w:val="0"/>
      <w:divBdr>
        <w:top w:val="none" w:sz="0" w:space="0" w:color="auto"/>
        <w:left w:val="none" w:sz="0" w:space="0" w:color="auto"/>
        <w:bottom w:val="none" w:sz="0" w:space="0" w:color="auto"/>
        <w:right w:val="none" w:sz="0" w:space="0" w:color="auto"/>
      </w:divBdr>
      <w:divsChild>
        <w:div w:id="1226180627">
          <w:marLeft w:val="0"/>
          <w:marRight w:val="0"/>
          <w:marTop w:val="0"/>
          <w:marBottom w:val="0"/>
          <w:divBdr>
            <w:top w:val="none" w:sz="0" w:space="0" w:color="auto"/>
            <w:left w:val="none" w:sz="0" w:space="0" w:color="auto"/>
            <w:bottom w:val="none" w:sz="0" w:space="0" w:color="auto"/>
            <w:right w:val="none" w:sz="0" w:space="0" w:color="auto"/>
          </w:divBdr>
          <w:divsChild>
            <w:div w:id="13177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11944">
      <w:bodyDiv w:val="1"/>
      <w:marLeft w:val="0"/>
      <w:marRight w:val="0"/>
      <w:marTop w:val="0"/>
      <w:marBottom w:val="0"/>
      <w:divBdr>
        <w:top w:val="none" w:sz="0" w:space="0" w:color="auto"/>
        <w:left w:val="none" w:sz="0" w:space="0" w:color="auto"/>
        <w:bottom w:val="none" w:sz="0" w:space="0" w:color="auto"/>
        <w:right w:val="none" w:sz="0" w:space="0" w:color="auto"/>
      </w:divBdr>
    </w:div>
    <w:div w:id="578294251">
      <w:bodyDiv w:val="1"/>
      <w:marLeft w:val="0"/>
      <w:marRight w:val="0"/>
      <w:marTop w:val="0"/>
      <w:marBottom w:val="0"/>
      <w:divBdr>
        <w:top w:val="none" w:sz="0" w:space="0" w:color="auto"/>
        <w:left w:val="none" w:sz="0" w:space="0" w:color="auto"/>
        <w:bottom w:val="none" w:sz="0" w:space="0" w:color="auto"/>
        <w:right w:val="none" w:sz="0" w:space="0" w:color="auto"/>
      </w:divBdr>
    </w:div>
    <w:div w:id="619915605">
      <w:bodyDiv w:val="1"/>
      <w:marLeft w:val="0"/>
      <w:marRight w:val="0"/>
      <w:marTop w:val="0"/>
      <w:marBottom w:val="0"/>
      <w:divBdr>
        <w:top w:val="none" w:sz="0" w:space="0" w:color="auto"/>
        <w:left w:val="none" w:sz="0" w:space="0" w:color="auto"/>
        <w:bottom w:val="none" w:sz="0" w:space="0" w:color="auto"/>
        <w:right w:val="none" w:sz="0" w:space="0" w:color="auto"/>
      </w:divBdr>
    </w:div>
    <w:div w:id="657534830">
      <w:bodyDiv w:val="1"/>
      <w:marLeft w:val="0"/>
      <w:marRight w:val="0"/>
      <w:marTop w:val="0"/>
      <w:marBottom w:val="0"/>
      <w:divBdr>
        <w:top w:val="none" w:sz="0" w:space="0" w:color="auto"/>
        <w:left w:val="none" w:sz="0" w:space="0" w:color="auto"/>
        <w:bottom w:val="none" w:sz="0" w:space="0" w:color="auto"/>
        <w:right w:val="none" w:sz="0" w:space="0" w:color="auto"/>
      </w:divBdr>
    </w:div>
    <w:div w:id="767392366">
      <w:bodyDiv w:val="1"/>
      <w:marLeft w:val="0"/>
      <w:marRight w:val="0"/>
      <w:marTop w:val="0"/>
      <w:marBottom w:val="0"/>
      <w:divBdr>
        <w:top w:val="none" w:sz="0" w:space="0" w:color="auto"/>
        <w:left w:val="none" w:sz="0" w:space="0" w:color="auto"/>
        <w:bottom w:val="none" w:sz="0" w:space="0" w:color="auto"/>
        <w:right w:val="none" w:sz="0" w:space="0" w:color="auto"/>
      </w:divBdr>
    </w:div>
    <w:div w:id="778792734">
      <w:bodyDiv w:val="1"/>
      <w:marLeft w:val="0"/>
      <w:marRight w:val="0"/>
      <w:marTop w:val="0"/>
      <w:marBottom w:val="0"/>
      <w:divBdr>
        <w:top w:val="none" w:sz="0" w:space="0" w:color="auto"/>
        <w:left w:val="none" w:sz="0" w:space="0" w:color="auto"/>
        <w:bottom w:val="none" w:sz="0" w:space="0" w:color="auto"/>
        <w:right w:val="none" w:sz="0" w:space="0" w:color="auto"/>
      </w:divBdr>
    </w:div>
    <w:div w:id="788471802">
      <w:bodyDiv w:val="1"/>
      <w:marLeft w:val="0"/>
      <w:marRight w:val="0"/>
      <w:marTop w:val="0"/>
      <w:marBottom w:val="0"/>
      <w:divBdr>
        <w:top w:val="none" w:sz="0" w:space="0" w:color="auto"/>
        <w:left w:val="none" w:sz="0" w:space="0" w:color="auto"/>
        <w:bottom w:val="none" w:sz="0" w:space="0" w:color="auto"/>
        <w:right w:val="none" w:sz="0" w:space="0" w:color="auto"/>
      </w:divBdr>
    </w:div>
    <w:div w:id="794520307">
      <w:bodyDiv w:val="1"/>
      <w:marLeft w:val="0"/>
      <w:marRight w:val="0"/>
      <w:marTop w:val="0"/>
      <w:marBottom w:val="0"/>
      <w:divBdr>
        <w:top w:val="none" w:sz="0" w:space="0" w:color="auto"/>
        <w:left w:val="none" w:sz="0" w:space="0" w:color="auto"/>
        <w:bottom w:val="none" w:sz="0" w:space="0" w:color="auto"/>
        <w:right w:val="none" w:sz="0" w:space="0" w:color="auto"/>
      </w:divBdr>
    </w:div>
    <w:div w:id="820124347">
      <w:bodyDiv w:val="1"/>
      <w:marLeft w:val="0"/>
      <w:marRight w:val="0"/>
      <w:marTop w:val="0"/>
      <w:marBottom w:val="0"/>
      <w:divBdr>
        <w:top w:val="none" w:sz="0" w:space="0" w:color="auto"/>
        <w:left w:val="none" w:sz="0" w:space="0" w:color="auto"/>
        <w:bottom w:val="none" w:sz="0" w:space="0" w:color="auto"/>
        <w:right w:val="none" w:sz="0" w:space="0" w:color="auto"/>
      </w:divBdr>
    </w:div>
    <w:div w:id="988705295">
      <w:bodyDiv w:val="1"/>
      <w:marLeft w:val="0"/>
      <w:marRight w:val="0"/>
      <w:marTop w:val="0"/>
      <w:marBottom w:val="0"/>
      <w:divBdr>
        <w:top w:val="none" w:sz="0" w:space="0" w:color="auto"/>
        <w:left w:val="none" w:sz="0" w:space="0" w:color="auto"/>
        <w:bottom w:val="none" w:sz="0" w:space="0" w:color="auto"/>
        <w:right w:val="none" w:sz="0" w:space="0" w:color="auto"/>
      </w:divBdr>
    </w:div>
    <w:div w:id="1001661248">
      <w:bodyDiv w:val="1"/>
      <w:marLeft w:val="0"/>
      <w:marRight w:val="0"/>
      <w:marTop w:val="0"/>
      <w:marBottom w:val="0"/>
      <w:divBdr>
        <w:top w:val="none" w:sz="0" w:space="0" w:color="auto"/>
        <w:left w:val="none" w:sz="0" w:space="0" w:color="auto"/>
        <w:bottom w:val="none" w:sz="0" w:space="0" w:color="auto"/>
        <w:right w:val="none" w:sz="0" w:space="0" w:color="auto"/>
      </w:divBdr>
    </w:div>
    <w:div w:id="1037698573">
      <w:bodyDiv w:val="1"/>
      <w:marLeft w:val="0"/>
      <w:marRight w:val="0"/>
      <w:marTop w:val="0"/>
      <w:marBottom w:val="0"/>
      <w:divBdr>
        <w:top w:val="none" w:sz="0" w:space="0" w:color="auto"/>
        <w:left w:val="none" w:sz="0" w:space="0" w:color="auto"/>
        <w:bottom w:val="none" w:sz="0" w:space="0" w:color="auto"/>
        <w:right w:val="none" w:sz="0" w:space="0" w:color="auto"/>
      </w:divBdr>
    </w:div>
    <w:div w:id="1066798723">
      <w:bodyDiv w:val="1"/>
      <w:marLeft w:val="0"/>
      <w:marRight w:val="0"/>
      <w:marTop w:val="0"/>
      <w:marBottom w:val="0"/>
      <w:divBdr>
        <w:top w:val="none" w:sz="0" w:space="0" w:color="auto"/>
        <w:left w:val="none" w:sz="0" w:space="0" w:color="auto"/>
        <w:bottom w:val="none" w:sz="0" w:space="0" w:color="auto"/>
        <w:right w:val="none" w:sz="0" w:space="0" w:color="auto"/>
      </w:divBdr>
    </w:div>
    <w:div w:id="1087533071">
      <w:bodyDiv w:val="1"/>
      <w:marLeft w:val="0"/>
      <w:marRight w:val="0"/>
      <w:marTop w:val="0"/>
      <w:marBottom w:val="0"/>
      <w:divBdr>
        <w:top w:val="none" w:sz="0" w:space="0" w:color="auto"/>
        <w:left w:val="none" w:sz="0" w:space="0" w:color="auto"/>
        <w:bottom w:val="none" w:sz="0" w:space="0" w:color="auto"/>
        <w:right w:val="none" w:sz="0" w:space="0" w:color="auto"/>
      </w:divBdr>
    </w:div>
    <w:div w:id="1173841778">
      <w:bodyDiv w:val="1"/>
      <w:marLeft w:val="0"/>
      <w:marRight w:val="0"/>
      <w:marTop w:val="0"/>
      <w:marBottom w:val="0"/>
      <w:divBdr>
        <w:top w:val="none" w:sz="0" w:space="0" w:color="auto"/>
        <w:left w:val="none" w:sz="0" w:space="0" w:color="auto"/>
        <w:bottom w:val="none" w:sz="0" w:space="0" w:color="auto"/>
        <w:right w:val="none" w:sz="0" w:space="0" w:color="auto"/>
      </w:divBdr>
    </w:div>
    <w:div w:id="1227568775">
      <w:bodyDiv w:val="1"/>
      <w:marLeft w:val="0"/>
      <w:marRight w:val="0"/>
      <w:marTop w:val="0"/>
      <w:marBottom w:val="0"/>
      <w:divBdr>
        <w:top w:val="none" w:sz="0" w:space="0" w:color="auto"/>
        <w:left w:val="none" w:sz="0" w:space="0" w:color="auto"/>
        <w:bottom w:val="none" w:sz="0" w:space="0" w:color="auto"/>
        <w:right w:val="none" w:sz="0" w:space="0" w:color="auto"/>
      </w:divBdr>
    </w:div>
    <w:div w:id="1281110832">
      <w:bodyDiv w:val="1"/>
      <w:marLeft w:val="0"/>
      <w:marRight w:val="0"/>
      <w:marTop w:val="0"/>
      <w:marBottom w:val="0"/>
      <w:divBdr>
        <w:top w:val="none" w:sz="0" w:space="0" w:color="auto"/>
        <w:left w:val="none" w:sz="0" w:space="0" w:color="auto"/>
        <w:bottom w:val="none" w:sz="0" w:space="0" w:color="auto"/>
        <w:right w:val="none" w:sz="0" w:space="0" w:color="auto"/>
      </w:divBdr>
      <w:divsChild>
        <w:div w:id="1581913703">
          <w:marLeft w:val="0"/>
          <w:marRight w:val="0"/>
          <w:marTop w:val="0"/>
          <w:marBottom w:val="0"/>
          <w:divBdr>
            <w:top w:val="none" w:sz="0" w:space="0" w:color="auto"/>
            <w:left w:val="none" w:sz="0" w:space="0" w:color="auto"/>
            <w:bottom w:val="none" w:sz="0" w:space="0" w:color="auto"/>
            <w:right w:val="none" w:sz="0" w:space="0" w:color="auto"/>
          </w:divBdr>
          <w:divsChild>
            <w:div w:id="149016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344177">
      <w:bodyDiv w:val="1"/>
      <w:marLeft w:val="0"/>
      <w:marRight w:val="0"/>
      <w:marTop w:val="0"/>
      <w:marBottom w:val="0"/>
      <w:divBdr>
        <w:top w:val="none" w:sz="0" w:space="0" w:color="auto"/>
        <w:left w:val="none" w:sz="0" w:space="0" w:color="auto"/>
        <w:bottom w:val="none" w:sz="0" w:space="0" w:color="auto"/>
        <w:right w:val="none" w:sz="0" w:space="0" w:color="auto"/>
      </w:divBdr>
    </w:div>
    <w:div w:id="1363479968">
      <w:bodyDiv w:val="1"/>
      <w:marLeft w:val="0"/>
      <w:marRight w:val="0"/>
      <w:marTop w:val="0"/>
      <w:marBottom w:val="0"/>
      <w:divBdr>
        <w:top w:val="none" w:sz="0" w:space="0" w:color="auto"/>
        <w:left w:val="none" w:sz="0" w:space="0" w:color="auto"/>
        <w:bottom w:val="none" w:sz="0" w:space="0" w:color="auto"/>
        <w:right w:val="none" w:sz="0" w:space="0" w:color="auto"/>
      </w:divBdr>
    </w:div>
    <w:div w:id="1367871641">
      <w:bodyDiv w:val="1"/>
      <w:marLeft w:val="0"/>
      <w:marRight w:val="0"/>
      <w:marTop w:val="0"/>
      <w:marBottom w:val="0"/>
      <w:divBdr>
        <w:top w:val="none" w:sz="0" w:space="0" w:color="auto"/>
        <w:left w:val="none" w:sz="0" w:space="0" w:color="auto"/>
        <w:bottom w:val="none" w:sz="0" w:space="0" w:color="auto"/>
        <w:right w:val="none" w:sz="0" w:space="0" w:color="auto"/>
      </w:divBdr>
    </w:div>
    <w:div w:id="1404836064">
      <w:bodyDiv w:val="1"/>
      <w:marLeft w:val="0"/>
      <w:marRight w:val="0"/>
      <w:marTop w:val="0"/>
      <w:marBottom w:val="0"/>
      <w:divBdr>
        <w:top w:val="none" w:sz="0" w:space="0" w:color="auto"/>
        <w:left w:val="none" w:sz="0" w:space="0" w:color="auto"/>
        <w:bottom w:val="none" w:sz="0" w:space="0" w:color="auto"/>
        <w:right w:val="none" w:sz="0" w:space="0" w:color="auto"/>
      </w:divBdr>
    </w:div>
    <w:div w:id="1406148130">
      <w:bodyDiv w:val="1"/>
      <w:marLeft w:val="0"/>
      <w:marRight w:val="0"/>
      <w:marTop w:val="0"/>
      <w:marBottom w:val="0"/>
      <w:divBdr>
        <w:top w:val="none" w:sz="0" w:space="0" w:color="auto"/>
        <w:left w:val="none" w:sz="0" w:space="0" w:color="auto"/>
        <w:bottom w:val="none" w:sz="0" w:space="0" w:color="auto"/>
        <w:right w:val="none" w:sz="0" w:space="0" w:color="auto"/>
      </w:divBdr>
    </w:div>
    <w:div w:id="1458066286">
      <w:bodyDiv w:val="1"/>
      <w:marLeft w:val="0"/>
      <w:marRight w:val="0"/>
      <w:marTop w:val="0"/>
      <w:marBottom w:val="0"/>
      <w:divBdr>
        <w:top w:val="none" w:sz="0" w:space="0" w:color="auto"/>
        <w:left w:val="none" w:sz="0" w:space="0" w:color="auto"/>
        <w:bottom w:val="none" w:sz="0" w:space="0" w:color="auto"/>
        <w:right w:val="none" w:sz="0" w:space="0" w:color="auto"/>
      </w:divBdr>
    </w:div>
    <w:div w:id="1596549170">
      <w:bodyDiv w:val="1"/>
      <w:marLeft w:val="0"/>
      <w:marRight w:val="0"/>
      <w:marTop w:val="0"/>
      <w:marBottom w:val="0"/>
      <w:divBdr>
        <w:top w:val="none" w:sz="0" w:space="0" w:color="auto"/>
        <w:left w:val="none" w:sz="0" w:space="0" w:color="auto"/>
        <w:bottom w:val="none" w:sz="0" w:space="0" w:color="auto"/>
        <w:right w:val="none" w:sz="0" w:space="0" w:color="auto"/>
      </w:divBdr>
    </w:div>
    <w:div w:id="1621037498">
      <w:bodyDiv w:val="1"/>
      <w:marLeft w:val="0"/>
      <w:marRight w:val="0"/>
      <w:marTop w:val="0"/>
      <w:marBottom w:val="0"/>
      <w:divBdr>
        <w:top w:val="none" w:sz="0" w:space="0" w:color="auto"/>
        <w:left w:val="none" w:sz="0" w:space="0" w:color="auto"/>
        <w:bottom w:val="none" w:sz="0" w:space="0" w:color="auto"/>
        <w:right w:val="none" w:sz="0" w:space="0" w:color="auto"/>
      </w:divBdr>
    </w:div>
    <w:div w:id="1632132281">
      <w:bodyDiv w:val="1"/>
      <w:marLeft w:val="0"/>
      <w:marRight w:val="0"/>
      <w:marTop w:val="0"/>
      <w:marBottom w:val="0"/>
      <w:divBdr>
        <w:top w:val="none" w:sz="0" w:space="0" w:color="auto"/>
        <w:left w:val="none" w:sz="0" w:space="0" w:color="auto"/>
        <w:bottom w:val="none" w:sz="0" w:space="0" w:color="auto"/>
        <w:right w:val="none" w:sz="0" w:space="0" w:color="auto"/>
      </w:divBdr>
    </w:div>
    <w:div w:id="1632251561">
      <w:bodyDiv w:val="1"/>
      <w:marLeft w:val="0"/>
      <w:marRight w:val="0"/>
      <w:marTop w:val="0"/>
      <w:marBottom w:val="0"/>
      <w:divBdr>
        <w:top w:val="none" w:sz="0" w:space="0" w:color="auto"/>
        <w:left w:val="none" w:sz="0" w:space="0" w:color="auto"/>
        <w:bottom w:val="none" w:sz="0" w:space="0" w:color="auto"/>
        <w:right w:val="none" w:sz="0" w:space="0" w:color="auto"/>
      </w:divBdr>
    </w:div>
    <w:div w:id="1671568571">
      <w:bodyDiv w:val="1"/>
      <w:marLeft w:val="0"/>
      <w:marRight w:val="0"/>
      <w:marTop w:val="0"/>
      <w:marBottom w:val="0"/>
      <w:divBdr>
        <w:top w:val="none" w:sz="0" w:space="0" w:color="auto"/>
        <w:left w:val="none" w:sz="0" w:space="0" w:color="auto"/>
        <w:bottom w:val="none" w:sz="0" w:space="0" w:color="auto"/>
        <w:right w:val="none" w:sz="0" w:space="0" w:color="auto"/>
      </w:divBdr>
    </w:div>
    <w:div w:id="1693729697">
      <w:bodyDiv w:val="1"/>
      <w:marLeft w:val="0"/>
      <w:marRight w:val="0"/>
      <w:marTop w:val="0"/>
      <w:marBottom w:val="0"/>
      <w:divBdr>
        <w:top w:val="none" w:sz="0" w:space="0" w:color="auto"/>
        <w:left w:val="none" w:sz="0" w:space="0" w:color="auto"/>
        <w:bottom w:val="none" w:sz="0" w:space="0" w:color="auto"/>
        <w:right w:val="none" w:sz="0" w:space="0" w:color="auto"/>
      </w:divBdr>
    </w:div>
    <w:div w:id="1723599739">
      <w:bodyDiv w:val="1"/>
      <w:marLeft w:val="0"/>
      <w:marRight w:val="0"/>
      <w:marTop w:val="0"/>
      <w:marBottom w:val="0"/>
      <w:divBdr>
        <w:top w:val="none" w:sz="0" w:space="0" w:color="auto"/>
        <w:left w:val="none" w:sz="0" w:space="0" w:color="auto"/>
        <w:bottom w:val="none" w:sz="0" w:space="0" w:color="auto"/>
        <w:right w:val="none" w:sz="0" w:space="0" w:color="auto"/>
      </w:divBdr>
    </w:div>
    <w:div w:id="1727215207">
      <w:bodyDiv w:val="1"/>
      <w:marLeft w:val="0"/>
      <w:marRight w:val="0"/>
      <w:marTop w:val="0"/>
      <w:marBottom w:val="0"/>
      <w:divBdr>
        <w:top w:val="none" w:sz="0" w:space="0" w:color="auto"/>
        <w:left w:val="none" w:sz="0" w:space="0" w:color="auto"/>
        <w:bottom w:val="none" w:sz="0" w:space="0" w:color="auto"/>
        <w:right w:val="none" w:sz="0" w:space="0" w:color="auto"/>
      </w:divBdr>
    </w:div>
    <w:div w:id="1727677436">
      <w:bodyDiv w:val="1"/>
      <w:marLeft w:val="0"/>
      <w:marRight w:val="0"/>
      <w:marTop w:val="0"/>
      <w:marBottom w:val="0"/>
      <w:divBdr>
        <w:top w:val="none" w:sz="0" w:space="0" w:color="auto"/>
        <w:left w:val="none" w:sz="0" w:space="0" w:color="auto"/>
        <w:bottom w:val="none" w:sz="0" w:space="0" w:color="auto"/>
        <w:right w:val="none" w:sz="0" w:space="0" w:color="auto"/>
      </w:divBdr>
      <w:divsChild>
        <w:div w:id="56052546">
          <w:marLeft w:val="0"/>
          <w:marRight w:val="0"/>
          <w:marTop w:val="0"/>
          <w:marBottom w:val="0"/>
          <w:divBdr>
            <w:top w:val="none" w:sz="0" w:space="0" w:color="auto"/>
            <w:left w:val="none" w:sz="0" w:space="0" w:color="auto"/>
            <w:bottom w:val="none" w:sz="0" w:space="0" w:color="auto"/>
            <w:right w:val="none" w:sz="0" w:space="0" w:color="auto"/>
          </w:divBdr>
          <w:divsChild>
            <w:div w:id="6787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22579">
      <w:bodyDiv w:val="1"/>
      <w:marLeft w:val="0"/>
      <w:marRight w:val="0"/>
      <w:marTop w:val="0"/>
      <w:marBottom w:val="0"/>
      <w:divBdr>
        <w:top w:val="none" w:sz="0" w:space="0" w:color="auto"/>
        <w:left w:val="none" w:sz="0" w:space="0" w:color="auto"/>
        <w:bottom w:val="none" w:sz="0" w:space="0" w:color="auto"/>
        <w:right w:val="none" w:sz="0" w:space="0" w:color="auto"/>
      </w:divBdr>
    </w:div>
    <w:div w:id="1779106920">
      <w:bodyDiv w:val="1"/>
      <w:marLeft w:val="0"/>
      <w:marRight w:val="0"/>
      <w:marTop w:val="0"/>
      <w:marBottom w:val="0"/>
      <w:divBdr>
        <w:top w:val="none" w:sz="0" w:space="0" w:color="auto"/>
        <w:left w:val="none" w:sz="0" w:space="0" w:color="auto"/>
        <w:bottom w:val="none" w:sz="0" w:space="0" w:color="auto"/>
        <w:right w:val="none" w:sz="0" w:space="0" w:color="auto"/>
      </w:divBdr>
    </w:div>
    <w:div w:id="1823696727">
      <w:bodyDiv w:val="1"/>
      <w:marLeft w:val="0"/>
      <w:marRight w:val="0"/>
      <w:marTop w:val="0"/>
      <w:marBottom w:val="0"/>
      <w:divBdr>
        <w:top w:val="none" w:sz="0" w:space="0" w:color="auto"/>
        <w:left w:val="none" w:sz="0" w:space="0" w:color="auto"/>
        <w:bottom w:val="none" w:sz="0" w:space="0" w:color="auto"/>
        <w:right w:val="none" w:sz="0" w:space="0" w:color="auto"/>
      </w:divBdr>
    </w:div>
    <w:div w:id="1833568106">
      <w:bodyDiv w:val="1"/>
      <w:marLeft w:val="0"/>
      <w:marRight w:val="0"/>
      <w:marTop w:val="0"/>
      <w:marBottom w:val="0"/>
      <w:divBdr>
        <w:top w:val="none" w:sz="0" w:space="0" w:color="auto"/>
        <w:left w:val="none" w:sz="0" w:space="0" w:color="auto"/>
        <w:bottom w:val="none" w:sz="0" w:space="0" w:color="auto"/>
        <w:right w:val="none" w:sz="0" w:space="0" w:color="auto"/>
      </w:divBdr>
    </w:div>
    <w:div w:id="1845972691">
      <w:bodyDiv w:val="1"/>
      <w:marLeft w:val="0"/>
      <w:marRight w:val="0"/>
      <w:marTop w:val="0"/>
      <w:marBottom w:val="0"/>
      <w:divBdr>
        <w:top w:val="none" w:sz="0" w:space="0" w:color="auto"/>
        <w:left w:val="none" w:sz="0" w:space="0" w:color="auto"/>
        <w:bottom w:val="none" w:sz="0" w:space="0" w:color="auto"/>
        <w:right w:val="none" w:sz="0" w:space="0" w:color="auto"/>
      </w:divBdr>
    </w:div>
    <w:div w:id="1861360487">
      <w:bodyDiv w:val="1"/>
      <w:marLeft w:val="0"/>
      <w:marRight w:val="0"/>
      <w:marTop w:val="0"/>
      <w:marBottom w:val="0"/>
      <w:divBdr>
        <w:top w:val="none" w:sz="0" w:space="0" w:color="auto"/>
        <w:left w:val="none" w:sz="0" w:space="0" w:color="auto"/>
        <w:bottom w:val="none" w:sz="0" w:space="0" w:color="auto"/>
        <w:right w:val="none" w:sz="0" w:space="0" w:color="auto"/>
      </w:divBdr>
    </w:div>
    <w:div w:id="1911847325">
      <w:bodyDiv w:val="1"/>
      <w:marLeft w:val="0"/>
      <w:marRight w:val="0"/>
      <w:marTop w:val="0"/>
      <w:marBottom w:val="0"/>
      <w:divBdr>
        <w:top w:val="none" w:sz="0" w:space="0" w:color="auto"/>
        <w:left w:val="none" w:sz="0" w:space="0" w:color="auto"/>
        <w:bottom w:val="none" w:sz="0" w:space="0" w:color="auto"/>
        <w:right w:val="none" w:sz="0" w:space="0" w:color="auto"/>
      </w:divBdr>
    </w:div>
    <w:div w:id="1998260457">
      <w:bodyDiv w:val="1"/>
      <w:marLeft w:val="0"/>
      <w:marRight w:val="0"/>
      <w:marTop w:val="0"/>
      <w:marBottom w:val="0"/>
      <w:divBdr>
        <w:top w:val="none" w:sz="0" w:space="0" w:color="auto"/>
        <w:left w:val="none" w:sz="0" w:space="0" w:color="auto"/>
        <w:bottom w:val="none" w:sz="0" w:space="0" w:color="auto"/>
        <w:right w:val="none" w:sz="0" w:space="0" w:color="auto"/>
      </w:divBdr>
    </w:div>
    <w:div w:id="2026786247">
      <w:bodyDiv w:val="1"/>
      <w:marLeft w:val="0"/>
      <w:marRight w:val="0"/>
      <w:marTop w:val="0"/>
      <w:marBottom w:val="0"/>
      <w:divBdr>
        <w:top w:val="none" w:sz="0" w:space="0" w:color="auto"/>
        <w:left w:val="none" w:sz="0" w:space="0" w:color="auto"/>
        <w:bottom w:val="none" w:sz="0" w:space="0" w:color="auto"/>
        <w:right w:val="none" w:sz="0" w:space="0" w:color="auto"/>
      </w:divBdr>
    </w:div>
    <w:div w:id="2033914702">
      <w:bodyDiv w:val="1"/>
      <w:marLeft w:val="0"/>
      <w:marRight w:val="0"/>
      <w:marTop w:val="0"/>
      <w:marBottom w:val="0"/>
      <w:divBdr>
        <w:top w:val="none" w:sz="0" w:space="0" w:color="auto"/>
        <w:left w:val="none" w:sz="0" w:space="0" w:color="auto"/>
        <w:bottom w:val="none" w:sz="0" w:space="0" w:color="auto"/>
        <w:right w:val="none" w:sz="0" w:space="0" w:color="auto"/>
      </w:divBdr>
    </w:div>
    <w:div w:id="2065175629">
      <w:bodyDiv w:val="1"/>
      <w:marLeft w:val="0"/>
      <w:marRight w:val="0"/>
      <w:marTop w:val="0"/>
      <w:marBottom w:val="0"/>
      <w:divBdr>
        <w:top w:val="none" w:sz="0" w:space="0" w:color="auto"/>
        <w:left w:val="none" w:sz="0" w:space="0" w:color="auto"/>
        <w:bottom w:val="none" w:sz="0" w:space="0" w:color="auto"/>
        <w:right w:val="none" w:sz="0" w:space="0" w:color="auto"/>
      </w:divBdr>
    </w:div>
    <w:div w:id="2068872461">
      <w:bodyDiv w:val="1"/>
      <w:marLeft w:val="0"/>
      <w:marRight w:val="0"/>
      <w:marTop w:val="0"/>
      <w:marBottom w:val="0"/>
      <w:divBdr>
        <w:top w:val="none" w:sz="0" w:space="0" w:color="auto"/>
        <w:left w:val="none" w:sz="0" w:space="0" w:color="auto"/>
        <w:bottom w:val="none" w:sz="0" w:space="0" w:color="auto"/>
        <w:right w:val="none" w:sz="0" w:space="0" w:color="auto"/>
      </w:divBdr>
    </w:div>
    <w:div w:id="2074623412">
      <w:bodyDiv w:val="1"/>
      <w:marLeft w:val="0"/>
      <w:marRight w:val="0"/>
      <w:marTop w:val="0"/>
      <w:marBottom w:val="0"/>
      <w:divBdr>
        <w:top w:val="none" w:sz="0" w:space="0" w:color="auto"/>
        <w:left w:val="none" w:sz="0" w:space="0" w:color="auto"/>
        <w:bottom w:val="none" w:sz="0" w:space="0" w:color="auto"/>
        <w:right w:val="none" w:sz="0" w:space="0" w:color="auto"/>
      </w:divBdr>
    </w:div>
    <w:div w:id="2075810844">
      <w:bodyDiv w:val="1"/>
      <w:marLeft w:val="0"/>
      <w:marRight w:val="0"/>
      <w:marTop w:val="0"/>
      <w:marBottom w:val="0"/>
      <w:divBdr>
        <w:top w:val="none" w:sz="0" w:space="0" w:color="auto"/>
        <w:left w:val="none" w:sz="0" w:space="0" w:color="auto"/>
        <w:bottom w:val="none" w:sz="0" w:space="0" w:color="auto"/>
        <w:right w:val="none" w:sz="0" w:space="0" w:color="auto"/>
      </w:divBdr>
      <w:divsChild>
        <w:div w:id="1569147779">
          <w:marLeft w:val="0"/>
          <w:marRight w:val="0"/>
          <w:marTop w:val="0"/>
          <w:marBottom w:val="0"/>
          <w:divBdr>
            <w:top w:val="none" w:sz="0" w:space="0" w:color="auto"/>
            <w:left w:val="none" w:sz="0" w:space="0" w:color="auto"/>
            <w:bottom w:val="none" w:sz="0" w:space="0" w:color="auto"/>
            <w:right w:val="none" w:sz="0" w:space="0" w:color="auto"/>
          </w:divBdr>
          <w:divsChild>
            <w:div w:id="143671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390/su17104297" TargetMode="External"/><Relationship Id="rId18" Type="http://schemas.openxmlformats.org/officeDocument/2006/relationships/hyperlink" Target="https://doi.org/10.1080/13683500.2023.2300035" TargetMode="External"/><Relationship Id="rId26" Type="http://schemas.openxmlformats.org/officeDocument/2006/relationships/hyperlink" Target="https://doi.org/10.3390/tourhosp5040075" TargetMode="External"/><Relationship Id="rId39" Type="http://schemas.openxmlformats.org/officeDocument/2006/relationships/footer" Target="footer3.xml"/><Relationship Id="rId21" Type="http://schemas.openxmlformats.org/officeDocument/2006/relationships/hyperlink" Target="https://doi.org/10.1080/13683500.2018.1546677" TargetMode="External"/><Relationship Id="rId34" Type="http://schemas.openxmlformats.org/officeDocument/2006/relationships/header" Target="head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doi.org/10.1080/13683500.2024.2304114" TargetMode="External"/><Relationship Id="rId20" Type="http://schemas.openxmlformats.org/officeDocument/2006/relationships/hyperlink" Target="https://www.bradley.com/insights/publications/2024/01/regional-conflict-global-ripples-economic-impacts-of-the-conflict-in-gaza?utm_source=chatgpt.com" TargetMode="External"/><Relationship Id="rId29" Type="http://schemas.openxmlformats.org/officeDocument/2006/relationships/hyperlink" Target="https://doi.org/10.1080/23311886.2023.2285244"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08/REPS-11-2022-0094" TargetMode="External"/><Relationship Id="rId24" Type="http://schemas.openxmlformats.org/officeDocument/2006/relationships/hyperlink" Target="https://doi.org/10.18280/ijsdp.160819" TargetMode="External"/><Relationship Id="rId32" Type="http://schemas.openxmlformats.org/officeDocument/2006/relationships/hyperlink" Target="https://doi.org/10.1002/waf2.12062"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177/10963480241310819" TargetMode="External"/><Relationship Id="rId23" Type="http://schemas.openxmlformats.org/officeDocument/2006/relationships/hyperlink" Target="https://doi.org/10.5703/1288284317680" TargetMode="External"/><Relationship Id="rId28" Type="http://schemas.openxmlformats.org/officeDocument/2006/relationships/hyperlink" Target="https://doi.org/10.1002/jtr.2609" TargetMode="External"/><Relationship Id="rId36" Type="http://schemas.openxmlformats.org/officeDocument/2006/relationships/footer" Target="footer1.xml"/><Relationship Id="rId10" Type="http://schemas.openxmlformats.org/officeDocument/2006/relationships/hyperlink" Target="https://doi.org/10.1177/00472875221138792" TargetMode="External"/><Relationship Id="rId19" Type="http://schemas.openxmlformats.org/officeDocument/2006/relationships/hyperlink" Target="https://doi.org/10.18280/ijsdp.191201" TargetMode="External"/><Relationship Id="rId31" Type="http://schemas.openxmlformats.org/officeDocument/2006/relationships/hyperlink" Target="https://doi.org/10.1108/REPS-11-2022-0094" TargetMode="External"/><Relationship Id="rId4" Type="http://schemas.openxmlformats.org/officeDocument/2006/relationships/webSettings" Target="webSettings.xml"/><Relationship Id="rId9" Type="http://schemas.openxmlformats.org/officeDocument/2006/relationships/hyperlink" Target="https://doi.org/10.1177/00472875221138792" TargetMode="External"/><Relationship Id="rId14" Type="http://schemas.openxmlformats.org/officeDocument/2006/relationships/hyperlink" Target="https://doi.org/10.1016/j.cities.2021.103382" TargetMode="External"/><Relationship Id="rId22" Type="http://schemas.openxmlformats.org/officeDocument/2006/relationships/hyperlink" Target="http://visionofhumanity.org/resources" TargetMode="External"/><Relationship Id="rId27" Type="http://schemas.openxmlformats.org/officeDocument/2006/relationships/hyperlink" Target="https://doi.org/10.1108/JHTI-03-2022-0100" TargetMode="External"/><Relationship Id="rId30" Type="http://schemas.openxmlformats.org/officeDocument/2006/relationships/hyperlink" Target="https://doi.org/10.1108/IJTC-05-2024-0110" TargetMode="External"/><Relationship Id="rId35" Type="http://schemas.openxmlformats.org/officeDocument/2006/relationships/header" Target="header2.xml"/><Relationship Id="rId8" Type="http://schemas.openxmlformats.org/officeDocument/2006/relationships/chart" Target="charts/chart1.xml"/><Relationship Id="rId3" Type="http://schemas.openxmlformats.org/officeDocument/2006/relationships/settings" Target="settings.xml"/><Relationship Id="rId12" Type="http://schemas.openxmlformats.org/officeDocument/2006/relationships/hyperlink" Target="https://apnews.com/article/israel-iran-mideast-iraq-airports-airspace-closures-ebd0d9ea8362f2ecd06ceabc0cc40e7c" TargetMode="External"/><Relationship Id="rId17" Type="http://schemas.openxmlformats.org/officeDocument/2006/relationships/hyperlink" Target="https://doi.org/10.1177/00472875251335218" TargetMode="External"/><Relationship Id="rId25" Type="http://schemas.openxmlformats.org/officeDocument/2006/relationships/hyperlink" Target="https://mabrian.com/blog/the-israel-gaza-conflict-affects-the-security-perception-of-destinations-up-to-2-000km-away" TargetMode="External"/><Relationship Id="rId33" Type="http://schemas.openxmlformats.org/officeDocument/2006/relationships/hyperlink" Target="https://doi.org/10.1177/13567667241236975" TargetMode="External"/><Relationship Id="rId38"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G:\My%20Drive\Publications\To%20be%20completed\Geo%20Political%20Tensions\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Sheet2!$I$12</c:f>
              <c:strCache>
                <c:ptCount val="1"/>
                <c:pt idx="0">
                  <c:v>Std. Coefficient (β)</c:v>
                </c:pt>
              </c:strCache>
            </c:strRef>
          </c:tx>
          <c:spPr>
            <a:gradFill flip="none" rotWithShape="1">
              <a:gsLst>
                <a:gs pos="0">
                  <a:schemeClr val="accent4">
                    <a:lumMod val="67000"/>
                  </a:schemeClr>
                </a:gs>
                <a:gs pos="48000">
                  <a:schemeClr val="accent4">
                    <a:lumMod val="97000"/>
                    <a:lumOff val="3000"/>
                  </a:schemeClr>
                </a:gs>
                <a:gs pos="100000">
                  <a:schemeClr val="accent4">
                    <a:lumMod val="60000"/>
                    <a:lumOff val="40000"/>
                  </a:schemeClr>
                </a:gs>
              </a:gsLst>
              <a:lin ang="162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Sheet2!$H$13:$H$15</c:f>
              <c:strCache>
                <c:ptCount val="3"/>
                <c:pt idx="0">
                  <c:v>H1: GDP -&gt; PTR</c:v>
                </c:pt>
                <c:pt idx="1">
                  <c:v>H2: PTR -&gt; TI</c:v>
                </c:pt>
                <c:pt idx="2">
                  <c:v>H3: PTR x AIS -&gt; TI</c:v>
                </c:pt>
              </c:strCache>
            </c:strRef>
          </c:cat>
          <c:val>
            <c:numRef>
              <c:f>Sheet2!$I$13:$I$15</c:f>
              <c:numCache>
                <c:formatCode>General</c:formatCode>
                <c:ptCount val="3"/>
                <c:pt idx="0">
                  <c:v>0.65</c:v>
                </c:pt>
                <c:pt idx="1">
                  <c:v>-0.57999999999999996</c:v>
                </c:pt>
                <c:pt idx="2">
                  <c:v>0.25</c:v>
                </c:pt>
              </c:numCache>
            </c:numRef>
          </c:val>
          <c:extLst>
            <c:ext xmlns:c16="http://schemas.microsoft.com/office/drawing/2014/chart" uri="{C3380CC4-5D6E-409C-BE32-E72D297353CC}">
              <c16:uniqueId val="{00000000-9D5E-4B60-BB67-E6E7F0234692}"/>
            </c:ext>
          </c:extLst>
        </c:ser>
        <c:dLbls>
          <c:dLblPos val="inEnd"/>
          <c:showLegendKey val="0"/>
          <c:showVal val="1"/>
          <c:showCatName val="0"/>
          <c:showSerName val="0"/>
          <c:showPercent val="0"/>
          <c:showBubbleSize val="0"/>
        </c:dLbls>
        <c:gapWidth val="30"/>
        <c:overlap val="-70"/>
        <c:axId val="102804672"/>
        <c:axId val="102805152"/>
      </c:barChart>
      <c:catAx>
        <c:axId val="102804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3120000" spcFirstLastPara="1" vertOverflow="ellipsis"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2805152"/>
        <c:crosses val="autoZero"/>
        <c:auto val="1"/>
        <c:lblAlgn val="ctr"/>
        <c:lblOffset val="100"/>
        <c:noMultiLvlLbl val="0"/>
      </c:catAx>
      <c:valAx>
        <c:axId val="102805152"/>
        <c:scaling>
          <c:orientation val="minMax"/>
          <c:max val="0.70000000000000007"/>
          <c:min val="-0.60000000000000009"/>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8046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13</Pages>
  <Words>6341</Words>
  <Characters>36144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Bhaskar Sailesh</dc:creator>
  <cp:keywords/>
  <dc:description/>
  <cp:lastModifiedBy>SDI 1180</cp:lastModifiedBy>
  <cp:revision>140</cp:revision>
  <dcterms:created xsi:type="dcterms:W3CDTF">2025-06-30T12:38:00Z</dcterms:created>
  <dcterms:modified xsi:type="dcterms:W3CDTF">2025-07-04T11:54:00Z</dcterms:modified>
</cp:coreProperties>
</file>