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uthor"/>
        <w:spacing w:line="276" w:lineRule="auto"/>
        <w:rPr>
          <w:rFonts w:ascii="Arial" w:hAnsi="Arial" w:cs="Arial"/>
          <w:bCs/>
          <w:i/>
          <w:iCs/>
          <w:kern w:val="28"/>
          <w:sz w:val="36"/>
          <w:u w:val="single"/>
        </w:rPr>
      </w:pPr>
      <w:r>
        <w:rPr>
          <w:rFonts w:ascii="Arial" w:hAnsi="Arial" w:cs="Arial"/>
          <w:bCs/>
          <w:i/>
          <w:iCs/>
          <w:kern w:val="28"/>
          <w:sz w:val="36"/>
          <w:u w:val="single"/>
        </w:rPr>
        <w:t>Original Research Article</w:t>
      </w:r>
    </w:p>
    <w:p>
      <w:pPr>
        <w:pStyle w:val="Author"/>
        <w:spacing w:line="276" w:lineRule="auto"/>
        <w:rPr>
          <w:rFonts w:ascii="Arial" w:hAnsi="Arial" w:cs="Arial"/>
          <w:bCs/>
          <w:iCs/>
          <w:kern w:val="28"/>
          <w:sz w:val="36"/>
        </w:rPr>
      </w:pPr>
    </w:p>
    <w:p>
      <w:pPr>
        <w:pStyle w:val="Author"/>
        <w:spacing w:line="276" w:lineRule="auto"/>
        <w:rPr>
          <w:rFonts w:ascii="Arial" w:hAnsi="Arial" w:cs="Arial"/>
          <w:bCs/>
          <w:iCs/>
          <w:kern w:val="28"/>
          <w:sz w:val="36"/>
        </w:rPr>
      </w:pPr>
      <w:r>
        <w:rPr>
          <w:rFonts w:ascii="Arial" w:hAnsi="Arial" w:cs="Arial"/>
          <w:bCs/>
          <w:iCs/>
          <w:kern w:val="28"/>
          <w:sz w:val="36"/>
        </w:rPr>
        <w:t xml:space="preserve">Effect of sowing dates on performance of summer groundnut cultivars </w:t>
      </w:r>
    </w:p>
    <w:p>
      <w:pPr>
        <w:pStyle w:val="Copyright"/>
        <w:spacing w:after="0" w:line="276" w:lineRule="auto"/>
        <w:jc w:val="both"/>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pPr>
        <w:pStyle w:val="AbstHead"/>
        <w:spacing w:after="0" w:line="276" w:lineRule="auto"/>
        <w:jc w:val="both"/>
        <w:rPr>
          <w:rFonts w:ascii="Arial" w:hAnsi="Arial" w:cs="Arial"/>
        </w:rPr>
      </w:pPr>
      <w:r>
        <w:rPr>
          <w:rFonts w:ascii="Arial" w:hAnsi="Arial" w:cs="Arial"/>
        </w:rPr>
        <w:t xml:space="preserve">ABSTRACT </w:t>
      </w:r>
    </w:p>
    <w:p>
      <w:pPr>
        <w:pStyle w:val="AbstHead"/>
        <w:spacing w:after="0"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tc>
          <w:tcPr>
            <w:tcW w:w="9576" w:type="dxa"/>
            <w:shd w:val="clear" w:color="auto" w:fill="F2F2F2"/>
          </w:tcPr>
          <w:p>
            <w:pPr>
              <w:pStyle w:val="Body"/>
              <w:spacing w:after="0" w:line="276" w:lineRule="auto"/>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To study the effect of different sowing dates on performance of summer groundnut cultivars </w:t>
            </w:r>
          </w:p>
          <w:p>
            <w:pPr>
              <w:pStyle w:val="Body"/>
              <w:spacing w:after="0" w:line="276" w:lineRule="auto"/>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Strip Plot Design</w:t>
            </w:r>
          </w:p>
          <w:p>
            <w:pPr>
              <w:pStyle w:val="Body"/>
              <w:spacing w:after="0" w:line="276" w:lineRule="auto"/>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Instructional Farm, Department of Agronomy, College of Agriculture, Junagadh Agricultural University, Junagadh</w:t>
            </w:r>
          </w:p>
          <w:p>
            <w:pPr>
              <w:pStyle w:val="Body"/>
              <w:spacing w:after="0" w:line="276" w:lineRule="auto"/>
              <w:rPr>
                <w:rFonts w:ascii="Arial" w:eastAsia="Calibri" w:hAnsi="Arial" w:cs="Arial"/>
                <w:szCs w:val="22"/>
              </w:rPr>
            </w:pPr>
            <w:r>
              <w:rPr>
                <w:rFonts w:ascii="Arial" w:eastAsia="Calibri" w:hAnsi="Arial" w:cs="Arial"/>
                <w:b/>
                <w:bCs/>
                <w:szCs w:val="22"/>
              </w:rPr>
              <w:t xml:space="preserve">Methodology: </w:t>
            </w:r>
            <w:r>
              <w:rPr>
                <w:rFonts w:ascii="Arial" w:eastAsia="Calibri" w:hAnsi="Arial" w:cs="Arial"/>
                <w:szCs w:val="22"/>
              </w:rPr>
              <w:t>The experiment contained three replication and twelve treatment combinations,</w:t>
            </w:r>
            <w:r>
              <w:rPr>
                <w:rFonts w:ascii="Times New Roman" w:eastAsiaTheme="minorHAnsi" w:hAnsi="Times New Roman"/>
                <w:kern w:val="2"/>
                <w:sz w:val="24"/>
                <w:lang w:val="en-IN" w:bidi="hi-IN"/>
                <w14:ligatures w14:val="standardContextual"/>
              </w:rPr>
              <w:t xml:space="preserve"> </w:t>
            </w:r>
            <w:r>
              <w:rPr>
                <w:rFonts w:ascii="Arial" w:eastAsia="Calibri" w:hAnsi="Arial" w:cs="Arial"/>
                <w:szCs w:val="22"/>
                <w:lang w:val="en-IN"/>
              </w:rPr>
              <w:t xml:space="preserve">where horizontal plot consisted of four </w:t>
            </w:r>
            <w:bookmarkStart w:id="0" w:name="_GoBack"/>
            <w:bookmarkEnd w:id="0"/>
            <w:r>
              <w:rPr>
                <w:rFonts w:ascii="Arial" w:eastAsia="Calibri" w:hAnsi="Arial" w:cs="Arial"/>
                <w:szCs w:val="22"/>
                <w:lang w:val="en-IN"/>
              </w:rPr>
              <w:t xml:space="preserve">different sowing dates </w:t>
            </w:r>
            <w:r>
              <w:rPr>
                <w:rFonts w:ascii="Arial" w:eastAsia="Calibri" w:hAnsi="Arial" w:cs="Arial"/>
                <w:i/>
                <w:iCs/>
                <w:szCs w:val="22"/>
                <w:lang w:val="en-IN"/>
              </w:rPr>
              <w:t>viz.,</w:t>
            </w:r>
            <w:r>
              <w:rPr>
                <w:rFonts w:ascii="Arial" w:eastAsia="Calibri" w:hAnsi="Arial" w:cs="Arial"/>
                <w:szCs w:val="22"/>
                <w:lang w:val="en-IN"/>
              </w:rPr>
              <w:t xml:space="preserve"> D</w:t>
            </w:r>
            <w:proofErr w:type="gramStart"/>
            <w:r>
              <w:rPr>
                <w:rFonts w:ascii="Arial" w:eastAsia="Calibri" w:hAnsi="Arial" w:cs="Arial"/>
                <w:szCs w:val="22"/>
                <w:vertAlign w:val="subscript"/>
                <w:lang w:val="en-IN"/>
              </w:rPr>
              <w:t xml:space="preserve">1 </w:t>
            </w:r>
            <w:r>
              <w:rPr>
                <w:rFonts w:ascii="Arial" w:eastAsia="Calibri" w:hAnsi="Arial" w:cs="Arial"/>
                <w:szCs w:val="22"/>
                <w:lang w:val="en-IN"/>
              </w:rPr>
              <w:t>:</w:t>
            </w:r>
            <w:proofErr w:type="gramEnd"/>
            <w:r>
              <w:rPr>
                <w:rFonts w:ascii="Arial" w:eastAsia="Calibri" w:hAnsi="Arial" w:cs="Arial"/>
                <w:szCs w:val="22"/>
                <w:lang w:val="en-IN"/>
              </w:rPr>
              <w:t xml:space="preserve"> 4</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2</w:t>
            </w:r>
            <w:r>
              <w:rPr>
                <w:rFonts w:ascii="Arial" w:eastAsia="Calibri" w:hAnsi="Arial" w:cs="Arial"/>
                <w:szCs w:val="22"/>
                <w:lang w:val="en-IN"/>
              </w:rPr>
              <w:t xml:space="preserve"> : 6</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3</w:t>
            </w:r>
            <w:r>
              <w:rPr>
                <w:rFonts w:ascii="Arial" w:eastAsia="Calibri" w:hAnsi="Arial" w:cs="Arial"/>
                <w:szCs w:val="22"/>
                <w:lang w:val="en-IN"/>
              </w:rPr>
              <w:t xml:space="preserve"> : 8</w:t>
            </w:r>
            <w:r>
              <w:rPr>
                <w:rFonts w:ascii="Arial" w:eastAsia="Calibri" w:hAnsi="Arial" w:cs="Arial"/>
                <w:szCs w:val="22"/>
                <w:vertAlign w:val="superscript"/>
                <w:lang w:val="en-IN"/>
              </w:rPr>
              <w:t>th</w:t>
            </w:r>
            <w:r>
              <w:rPr>
                <w:rFonts w:ascii="Arial" w:eastAsia="Calibri" w:hAnsi="Arial" w:cs="Arial"/>
                <w:szCs w:val="22"/>
                <w:lang w:val="en-IN"/>
              </w:rPr>
              <w:t xml:space="preserve"> SMW and D</w:t>
            </w:r>
            <w:r>
              <w:rPr>
                <w:rFonts w:ascii="Arial" w:eastAsia="Calibri" w:hAnsi="Arial" w:cs="Arial"/>
                <w:szCs w:val="22"/>
                <w:vertAlign w:val="subscript"/>
                <w:lang w:val="en-IN"/>
              </w:rPr>
              <w:t>4</w:t>
            </w:r>
            <w:r>
              <w:rPr>
                <w:rFonts w:ascii="Arial" w:eastAsia="Calibri" w:hAnsi="Arial" w:cs="Arial"/>
                <w:szCs w:val="22"/>
                <w:lang w:val="en-IN"/>
              </w:rPr>
              <w:t xml:space="preserve"> : 10</w:t>
            </w:r>
            <w:r>
              <w:rPr>
                <w:rFonts w:ascii="Arial" w:eastAsia="Calibri" w:hAnsi="Arial" w:cs="Arial"/>
                <w:szCs w:val="22"/>
                <w:vertAlign w:val="superscript"/>
                <w:lang w:val="en-IN"/>
              </w:rPr>
              <w:t>th</w:t>
            </w:r>
            <w:r>
              <w:rPr>
                <w:rFonts w:ascii="Arial" w:eastAsia="Calibri" w:hAnsi="Arial" w:cs="Arial"/>
                <w:szCs w:val="22"/>
                <w:lang w:val="en-IN"/>
              </w:rPr>
              <w:t xml:space="preserve"> SMW and vertical plot consisted of three different groundnut varieties </w:t>
            </w:r>
            <w:r>
              <w:rPr>
                <w:rFonts w:ascii="Arial" w:eastAsia="Calibri" w:hAnsi="Arial" w:cs="Arial"/>
                <w:i/>
                <w:iCs/>
                <w:szCs w:val="22"/>
                <w:lang w:val="en-IN"/>
              </w:rPr>
              <w:t>viz.,</w:t>
            </w:r>
            <w:r>
              <w:rPr>
                <w:rFonts w:ascii="Arial" w:eastAsia="Calibri" w:hAnsi="Arial" w:cs="Arial"/>
                <w:szCs w:val="22"/>
                <w:lang w:val="en-IN"/>
              </w:rPr>
              <w:t xml:space="preserve"> V</w:t>
            </w:r>
            <w:r>
              <w:rPr>
                <w:rFonts w:ascii="Arial" w:eastAsia="Calibri" w:hAnsi="Arial" w:cs="Arial"/>
                <w:szCs w:val="22"/>
                <w:vertAlign w:val="subscript"/>
                <w:lang w:val="en-IN"/>
              </w:rPr>
              <w:t>1</w:t>
            </w:r>
            <w:r>
              <w:rPr>
                <w:rFonts w:ascii="Arial" w:eastAsia="Calibri" w:hAnsi="Arial" w:cs="Arial"/>
                <w:szCs w:val="22"/>
                <w:lang w:val="en-IN"/>
              </w:rPr>
              <w:t xml:space="preserve"> : GJG-31, V</w:t>
            </w:r>
            <w:r>
              <w:rPr>
                <w:rFonts w:ascii="Arial" w:eastAsia="Calibri" w:hAnsi="Arial" w:cs="Arial"/>
                <w:szCs w:val="22"/>
                <w:vertAlign w:val="subscript"/>
                <w:lang w:val="en-IN"/>
              </w:rPr>
              <w:t>2</w:t>
            </w:r>
            <w:r>
              <w:rPr>
                <w:rFonts w:ascii="Arial" w:eastAsia="Calibri" w:hAnsi="Arial" w:cs="Arial"/>
                <w:szCs w:val="22"/>
                <w:lang w:val="en-IN"/>
              </w:rPr>
              <w:t xml:space="preserve"> : GG-34 and V</w:t>
            </w:r>
            <w:r>
              <w:rPr>
                <w:rFonts w:ascii="Arial" w:eastAsia="Calibri" w:hAnsi="Arial" w:cs="Arial"/>
                <w:szCs w:val="22"/>
                <w:vertAlign w:val="subscript"/>
                <w:lang w:val="en-IN"/>
              </w:rPr>
              <w:t>3</w:t>
            </w:r>
            <w:r>
              <w:rPr>
                <w:rFonts w:ascii="Arial" w:eastAsia="Calibri" w:hAnsi="Arial" w:cs="Arial"/>
                <w:szCs w:val="22"/>
                <w:lang w:val="en-IN"/>
              </w:rPr>
              <w:t xml:space="preserve"> : GG-37.</w:t>
            </w:r>
            <w:r>
              <w:rPr>
                <w:rFonts w:ascii="Arial" w:eastAsia="Calibri" w:hAnsi="Arial" w:cs="Arial"/>
                <w:szCs w:val="22"/>
              </w:rPr>
              <w:t xml:space="preserve"> </w:t>
            </w:r>
            <w:r>
              <w:rPr>
                <w:rFonts w:ascii="Arial" w:eastAsia="Calibri" w:hAnsi="Arial" w:cs="Arial"/>
                <w:szCs w:val="22"/>
                <w:lang w:val="en-IN"/>
              </w:rPr>
              <w:t>The study assessed plant population, growth parameters: days to 50 per cent flowering, plant height at 60, 90 DAS and at harvest (cm), number of branches per plant at harvest and dry matter accumulation at 30, 60, 90 DAS and at harvest (g/plant) with yield attribute and yield: number of pods per plant, total number of pegs per plant, pod yield (kg/ha), haulm yield (kg/ha), Shelling percentage (%) and seed index (g). Physiological parameters were also recorded as Crop Growth Rate (CGR) ((g m</w:t>
            </w:r>
            <w:r>
              <w:rPr>
                <w:rFonts w:ascii="Arial" w:eastAsia="Calibri" w:hAnsi="Arial" w:cs="Arial"/>
                <w:szCs w:val="22"/>
                <w:vertAlign w:val="superscript"/>
                <w:lang w:val="en-IN"/>
              </w:rPr>
              <w:t>-2</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 and Relative Growth Rate (RGR) (g g</w:t>
            </w:r>
            <w:r>
              <w:rPr>
                <w:rFonts w:ascii="Arial" w:eastAsia="Calibri" w:hAnsi="Arial" w:cs="Arial"/>
                <w:szCs w:val="22"/>
                <w:vertAlign w:val="superscript"/>
                <w:lang w:val="en-IN"/>
              </w:rPr>
              <w:t>-1</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w:t>
            </w:r>
          </w:p>
          <w:p>
            <w:pPr>
              <w:pStyle w:val="Body"/>
              <w:spacing w:after="0" w:line="276" w:lineRule="auto"/>
              <w:rPr>
                <w:rFonts w:ascii="Arial" w:eastAsia="Calibri" w:hAnsi="Arial" w:cs="Arial"/>
                <w:szCs w:val="22"/>
                <w:lang w:val="en-IN"/>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cs="Arial"/>
                <w:szCs w:val="22"/>
                <w:lang w:val="en-IN"/>
              </w:rPr>
              <w:t>The results showed that sowing in 6</w:t>
            </w:r>
            <w:r>
              <w:rPr>
                <w:rFonts w:ascii="Arial" w:eastAsia="Calibri" w:hAnsi="Arial" w:cs="Arial"/>
                <w:szCs w:val="22"/>
                <w:vertAlign w:val="superscript"/>
                <w:lang w:val="en-IN"/>
              </w:rPr>
              <w:t>th</w:t>
            </w:r>
            <w:r>
              <w:rPr>
                <w:rFonts w:ascii="Arial" w:eastAsia="Calibri" w:hAnsi="Arial" w:cs="Arial"/>
                <w:szCs w:val="22"/>
                <w:lang w:val="en-IN"/>
              </w:rPr>
              <w:t xml:space="preserve"> SMW resulted in significantly higher plant height at 60, 90 DAS and at harvest, number of branches per plant at harvest and dry matter accumulation at 30, 60, 90 DAS and at harvest. The sowing in 6</w:t>
            </w:r>
            <w:r>
              <w:rPr>
                <w:rFonts w:ascii="Arial" w:eastAsia="Calibri" w:hAnsi="Arial" w:cs="Arial"/>
                <w:szCs w:val="22"/>
                <w:vertAlign w:val="superscript"/>
                <w:lang w:val="en-IN"/>
              </w:rPr>
              <w:t>th</w:t>
            </w:r>
            <w:r>
              <w:rPr>
                <w:rFonts w:ascii="Arial" w:eastAsia="Calibri" w:hAnsi="Arial" w:cs="Arial"/>
                <w:szCs w:val="22"/>
                <w:lang w:val="en-IN"/>
              </w:rPr>
              <w:t xml:space="preserve"> SMW also resulted in significantly higher number of pods per plant, total number of pegs per plant, pod yield, haulm yield, CGR and RGR. Among the varieties, GJG-31 was observed the highest in plant height, dry matter accumulation, pods per plant, total number of pegs per plant, seed index, CGR and RGR. The variety GJG-31 also produced the highest pod yield as well as haulm yield. </w:t>
            </w:r>
          </w:p>
          <w:p>
            <w:pPr>
              <w:pStyle w:val="Body"/>
              <w:spacing w:after="0" w:line="276" w:lineRule="auto"/>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Based on this experiment it can be concluded that most suitable sowing dates reported is 6</w:t>
            </w:r>
            <w:r>
              <w:rPr>
                <w:rFonts w:ascii="Arial" w:eastAsia="Calibri" w:hAnsi="Arial" w:cs="Arial"/>
                <w:szCs w:val="22"/>
                <w:vertAlign w:val="superscript"/>
              </w:rPr>
              <w:t>th</w:t>
            </w:r>
            <w:r>
              <w:rPr>
                <w:rFonts w:ascii="Arial" w:eastAsia="Calibri" w:hAnsi="Arial" w:cs="Arial"/>
                <w:szCs w:val="22"/>
              </w:rPr>
              <w:t xml:space="preserve"> SMW. GJG-31 variety gave superior result as compared to other varieties. It </w:t>
            </w:r>
            <w:r>
              <w:rPr>
                <w:rFonts w:ascii="Arial" w:eastAsia="Calibri" w:hAnsi="Arial" w:cs="Arial"/>
                <w:szCs w:val="22"/>
                <w:lang w:val="en-IN"/>
              </w:rPr>
              <w:t xml:space="preserve">can be also concluded that the </w:t>
            </w:r>
            <w:r>
              <w:rPr>
                <w:rFonts w:ascii="Arial" w:eastAsia="Calibri" w:hAnsi="Arial" w:cs="Arial"/>
                <w:bCs/>
                <w:szCs w:val="22"/>
                <w:lang w:val="en-IN"/>
              </w:rPr>
              <w:t>treatment combination D</w:t>
            </w:r>
            <w:r>
              <w:rPr>
                <w:rFonts w:ascii="Arial" w:eastAsia="Calibri" w:hAnsi="Arial" w:cs="Arial"/>
                <w:bCs/>
                <w:szCs w:val="22"/>
                <w:vertAlign w:val="subscript"/>
                <w:lang w:val="en-IN"/>
              </w:rPr>
              <w:t>2</w:t>
            </w:r>
            <w:r>
              <w:rPr>
                <w:rFonts w:ascii="Arial" w:eastAsia="Calibri" w:hAnsi="Arial" w:cs="Arial"/>
                <w:bCs/>
                <w:szCs w:val="22"/>
                <w:lang w:val="en-IN"/>
              </w:rPr>
              <w:t>V</w:t>
            </w:r>
            <w:r>
              <w:rPr>
                <w:rFonts w:ascii="Arial" w:eastAsia="Calibri" w:hAnsi="Arial" w:cs="Arial"/>
                <w:bCs/>
                <w:szCs w:val="22"/>
                <w:vertAlign w:val="subscript"/>
                <w:lang w:val="en-IN"/>
              </w:rPr>
              <w:t>1</w:t>
            </w:r>
            <w:r>
              <w:rPr>
                <w:rFonts w:ascii="Arial" w:eastAsia="Calibri" w:hAnsi="Arial" w:cs="Arial"/>
                <w:bCs/>
                <w:szCs w:val="22"/>
                <w:lang w:val="en-IN"/>
              </w:rPr>
              <w:t xml:space="preserve"> </w:t>
            </w:r>
            <w:r>
              <w:rPr>
                <w:rFonts w:ascii="Arial" w:eastAsia="Calibri" w:hAnsi="Arial" w:cs="Arial"/>
                <w:bCs/>
                <w:i/>
                <w:iCs/>
                <w:szCs w:val="22"/>
                <w:lang w:val="en-IN"/>
              </w:rPr>
              <w:t>viz.,</w:t>
            </w:r>
            <w:r>
              <w:rPr>
                <w:rFonts w:ascii="Arial" w:eastAsia="Calibri" w:hAnsi="Arial" w:cs="Arial"/>
                <w:bCs/>
                <w:szCs w:val="22"/>
                <w:lang w:val="en-IN"/>
              </w:rPr>
              <w:t xml:space="preserve"> sowing in 6</w:t>
            </w:r>
            <w:r>
              <w:rPr>
                <w:rFonts w:ascii="Arial" w:eastAsia="Calibri" w:hAnsi="Arial" w:cs="Arial"/>
                <w:bCs/>
                <w:szCs w:val="22"/>
                <w:vertAlign w:val="superscript"/>
                <w:lang w:val="en-IN"/>
              </w:rPr>
              <w:t>th</w:t>
            </w:r>
            <w:r>
              <w:rPr>
                <w:rFonts w:ascii="Arial" w:eastAsia="Calibri" w:hAnsi="Arial" w:cs="Arial"/>
                <w:bCs/>
                <w:szCs w:val="22"/>
                <w:lang w:val="en-IN"/>
              </w:rPr>
              <w:t xml:space="preserve"> SMW with GJG-31 is best suitable for sowing in South Saurashtra </w:t>
            </w:r>
            <w:proofErr w:type="spellStart"/>
            <w:r>
              <w:rPr>
                <w:rFonts w:ascii="Arial" w:eastAsia="Calibri" w:hAnsi="Arial" w:cs="Arial"/>
                <w:bCs/>
                <w:szCs w:val="22"/>
                <w:lang w:val="en-IN"/>
              </w:rPr>
              <w:t>Agro</w:t>
            </w:r>
            <w:proofErr w:type="spellEnd"/>
            <w:r>
              <w:rPr>
                <w:rFonts w:ascii="Arial" w:eastAsia="Calibri" w:hAnsi="Arial" w:cs="Arial"/>
                <w:bCs/>
                <w:szCs w:val="22"/>
                <w:lang w:val="en-IN"/>
              </w:rPr>
              <w:t>-climatic conditions.</w:t>
            </w:r>
          </w:p>
        </w:tc>
      </w:tr>
    </w:tbl>
    <w:p>
      <w:pPr>
        <w:pStyle w:val="Body"/>
        <w:spacing w:after="0" w:line="276" w:lineRule="auto"/>
        <w:rPr>
          <w:rFonts w:ascii="Arial" w:hAnsi="Arial" w:cs="Arial"/>
          <w:i/>
        </w:rPr>
      </w:pPr>
      <w:r>
        <w:rPr>
          <w:rFonts w:ascii="Arial" w:hAnsi="Arial" w:cs="Arial"/>
          <w:i/>
        </w:rPr>
        <w:t xml:space="preserve">Keywords: </w:t>
      </w:r>
      <w:r>
        <w:rPr>
          <w:rFonts w:ascii="Arial" w:hAnsi="Arial" w:cs="Arial"/>
          <w:i/>
          <w:lang w:val="en-IN"/>
        </w:rPr>
        <w:t>Summer groundnut, sowing dates, varieties, 6</w:t>
      </w:r>
      <w:r>
        <w:rPr>
          <w:rFonts w:ascii="Arial" w:hAnsi="Arial" w:cs="Arial"/>
          <w:i/>
          <w:vertAlign w:val="superscript"/>
          <w:lang w:val="en-IN"/>
        </w:rPr>
        <w:t>th</w:t>
      </w:r>
      <w:r>
        <w:rPr>
          <w:rFonts w:ascii="Arial" w:hAnsi="Arial" w:cs="Arial"/>
          <w:i/>
          <w:lang w:val="en-IN"/>
        </w:rPr>
        <w:t xml:space="preserve"> SMW, GJG-31</w:t>
      </w:r>
    </w:p>
    <w:p>
      <w:pPr>
        <w:pStyle w:val="AbstHead"/>
        <w:spacing w:after="0" w:line="276" w:lineRule="auto"/>
        <w:jc w:val="both"/>
        <w:rPr>
          <w:rFonts w:ascii="Arial" w:hAnsi="Arial" w:cs="Arial"/>
        </w:rPr>
      </w:pPr>
    </w:p>
    <w:p>
      <w:pPr>
        <w:pStyle w:val="AbstHead"/>
        <w:spacing w:after="0" w:line="276" w:lineRule="auto"/>
        <w:jc w:val="both"/>
        <w:rPr>
          <w:rFonts w:ascii="Arial" w:hAnsi="Arial" w:cs="Arial"/>
        </w:rPr>
      </w:pPr>
      <w:r>
        <w:rPr>
          <w:rFonts w:ascii="Arial" w:hAnsi="Arial" w:cs="Arial"/>
        </w:rPr>
        <w:t xml:space="preserve">1. INTRODUCTION </w:t>
      </w:r>
    </w:p>
    <w:p>
      <w:pPr>
        <w:pStyle w:val="AbstHead"/>
        <w:spacing w:after="0" w:line="276" w:lineRule="auto"/>
        <w:jc w:val="both"/>
        <w:rPr>
          <w:rFonts w:ascii="Arial" w:hAnsi="Arial" w:cs="Arial"/>
        </w:rPr>
      </w:pPr>
    </w:p>
    <w:p>
      <w:pPr>
        <w:pStyle w:val="Body"/>
        <w:spacing w:after="0" w:line="276" w:lineRule="auto"/>
        <w:ind w:firstLine="720"/>
        <w:rPr>
          <w:rFonts w:ascii="Arial" w:hAnsi="Arial" w:cs="Arial"/>
        </w:rPr>
      </w:pPr>
      <w:r>
        <w:rPr>
          <w:rFonts w:ascii="Arial" w:hAnsi="Arial" w:cs="Arial"/>
          <w:lang w:val="en-IN"/>
        </w:rPr>
        <w:t xml:space="preserve">Groundnut </w:t>
      </w:r>
      <w:r>
        <w:rPr>
          <w:rFonts w:ascii="Arial" w:hAnsi="Arial" w:cs="Arial"/>
          <w:bCs/>
          <w:lang w:val="en-IN"/>
        </w:rPr>
        <w:t>(</w:t>
      </w:r>
      <w:r>
        <w:rPr>
          <w:rFonts w:ascii="Arial" w:hAnsi="Arial" w:cs="Arial"/>
          <w:bCs/>
          <w:i/>
          <w:iCs/>
          <w:lang w:val="en-IN"/>
        </w:rPr>
        <w:t>Arachis hypogaea</w:t>
      </w:r>
      <w:r>
        <w:rPr>
          <w:rFonts w:ascii="Arial" w:hAnsi="Arial" w:cs="Arial"/>
          <w:bCs/>
          <w:lang w:val="en-IN"/>
        </w:rPr>
        <w:t xml:space="preserve"> L.) is an annual legume crop which belongs to family </w:t>
      </w:r>
      <w:r>
        <w:rPr>
          <w:rFonts w:ascii="Arial" w:hAnsi="Arial" w:cs="Arial"/>
          <w:bCs/>
          <w:i/>
          <w:iCs/>
          <w:lang w:val="en-IN"/>
        </w:rPr>
        <w:t>Leguminosae</w:t>
      </w:r>
      <w:r>
        <w:rPr>
          <w:rFonts w:ascii="Arial" w:hAnsi="Arial" w:cs="Arial"/>
          <w:bCs/>
          <w:lang w:val="en-IN"/>
        </w:rPr>
        <w:t xml:space="preserve"> and have its origin in South America. It is a major oilseed of tropical and subtropical countries. It is commonly known as peanut, earthnut, monkey nut and goobers. It is the 13</w:t>
      </w:r>
      <w:r>
        <w:rPr>
          <w:rFonts w:ascii="Arial" w:hAnsi="Arial" w:cs="Arial"/>
          <w:bCs/>
          <w:vertAlign w:val="superscript"/>
          <w:lang w:val="en-IN"/>
        </w:rPr>
        <w:t>th</w:t>
      </w:r>
      <w:r>
        <w:rPr>
          <w:rFonts w:ascii="Arial" w:hAnsi="Arial" w:cs="Arial"/>
          <w:bCs/>
          <w:lang w:val="en-IN"/>
        </w:rPr>
        <w:t xml:space="preserve"> most important food crop and 4</w:t>
      </w:r>
      <w:r>
        <w:rPr>
          <w:rFonts w:ascii="Arial" w:hAnsi="Arial" w:cs="Arial"/>
          <w:bCs/>
          <w:vertAlign w:val="superscript"/>
          <w:lang w:val="en-IN"/>
        </w:rPr>
        <w:t>th</w:t>
      </w:r>
      <w:r>
        <w:rPr>
          <w:rFonts w:ascii="Arial" w:hAnsi="Arial" w:cs="Arial"/>
          <w:bCs/>
          <w:lang w:val="en-IN"/>
        </w:rPr>
        <w:t xml:space="preserve"> most important oilseed crop of the world (</w:t>
      </w:r>
      <w:r>
        <w:rPr>
          <w:rFonts w:ascii="Arial" w:hAnsi="Arial" w:cs="Arial"/>
          <w:lang w:val="en-IN"/>
        </w:rPr>
        <w:t xml:space="preserve">Kumar </w:t>
      </w:r>
      <w:r>
        <w:rPr>
          <w:rFonts w:ascii="Arial" w:hAnsi="Arial" w:cs="Arial"/>
          <w:i/>
          <w:iCs/>
          <w:lang w:val="en-IN"/>
        </w:rPr>
        <w:t>et al.</w:t>
      </w:r>
      <w:r>
        <w:rPr>
          <w:rFonts w:ascii="Arial" w:hAnsi="Arial" w:cs="Arial"/>
          <w:lang w:val="en-IN"/>
        </w:rPr>
        <w:t>, 2017).</w:t>
      </w:r>
      <w:r>
        <w:rPr>
          <w:rFonts w:ascii="Arial" w:hAnsi="Arial" w:cs="Arial"/>
        </w:rPr>
        <w:t xml:space="preserve"> Groundnut kernels are an excellent source of plant protein, which is nearly </w:t>
      </w:r>
      <w:r>
        <w:rPr>
          <w:rFonts w:ascii="Arial" w:hAnsi="Arial" w:cs="Arial"/>
        </w:rPr>
        <w:lastRenderedPageBreak/>
        <w:t xml:space="preserve">about 27 to 33 per cent and contain 45 to 50 per cent oil, as well as essential minerals, carbohydrates and vitamins. They play an important role in the dietary requirements for poor women and children and haulms are used as livestock feed. Groundnut oil is composed of mixed glycerides and contains a high proportion of unsaturated fatty acids </w:t>
      </w:r>
      <w:r>
        <w:rPr>
          <w:rFonts w:ascii="Arial" w:hAnsi="Arial" w:cs="Arial"/>
          <w:i/>
          <w:iCs/>
        </w:rPr>
        <w:t>viz.,</w:t>
      </w:r>
      <w:r>
        <w:rPr>
          <w:rFonts w:ascii="Arial" w:hAnsi="Arial" w:cs="Arial"/>
        </w:rPr>
        <w:t xml:space="preserve"> oleic acid (50 to 65 %) and linoleic acid (18 to 30 %) (Young, 1996). The by-products of this crop like haulm and cake have good nutritive value. The groundnut cake obtained after groundnut oil extraction is rich in protein and considered as valuable organic manure and animal feed, which contains 7 to 8 per cent N, 1.5 per cent P</w:t>
      </w:r>
      <w:r>
        <w:rPr>
          <w:rFonts w:ascii="Arial" w:hAnsi="Arial" w:cs="Arial"/>
          <w:vertAlign w:val="subscript"/>
        </w:rPr>
        <w:t>2</w:t>
      </w:r>
      <w:r>
        <w:rPr>
          <w:rFonts w:ascii="Arial" w:hAnsi="Arial" w:cs="Arial"/>
        </w:rPr>
        <w:t>O</w:t>
      </w:r>
      <w:r>
        <w:rPr>
          <w:rFonts w:ascii="Arial" w:hAnsi="Arial" w:cs="Arial"/>
          <w:vertAlign w:val="subscript"/>
        </w:rPr>
        <w:t xml:space="preserve">5 </w:t>
      </w:r>
      <w:r>
        <w:rPr>
          <w:rFonts w:ascii="Arial" w:hAnsi="Arial" w:cs="Arial"/>
        </w:rPr>
        <w:t>and 1 per cent K</w:t>
      </w:r>
      <w:r>
        <w:rPr>
          <w:rFonts w:ascii="Arial" w:hAnsi="Arial" w:cs="Arial"/>
          <w:vertAlign w:val="subscript"/>
        </w:rPr>
        <w:t>2</w:t>
      </w:r>
      <w:r>
        <w:rPr>
          <w:rFonts w:ascii="Arial" w:hAnsi="Arial" w:cs="Arial"/>
        </w:rPr>
        <w:t xml:space="preserve">O. Some industrial products like paints, varnishes, soap and lubricating oils are also manufactured from groundnut. </w:t>
      </w:r>
      <w:r>
        <w:rPr>
          <w:rFonts w:ascii="Arial" w:hAnsi="Arial" w:cs="Arial"/>
          <w:lang w:val="en-IN"/>
        </w:rPr>
        <w:t xml:space="preserve">In India, total area under groundnut cultivation was 4.7 million hectares and total production was 10.2 million tonnes with productivity of 2163 kg/ha during the year 2023-24 (DA&amp;FW, 2024a). Among the major groundnut growing states in India, Gujarat ranks first in area and production with area of 1.7 million hectares and production of 4.6 million tonnes. Gujarat also ranks first in productivity with yield of 2739 kg/ha (DA&amp;FW, 2024b). The sowing time plays an important role among various agronomic factors, which influencing the yield of groundnut. Fine management of crop by date of sowing is a good approach to enhance both crop yield and economic benefit. Shift in sowing dates directly influence both thermo and photoperiod and consequently a great bearing on the phasic development and partitioning of dry matter (Rani </w:t>
      </w:r>
      <w:r>
        <w:rPr>
          <w:rFonts w:ascii="Arial" w:hAnsi="Arial" w:cs="Arial"/>
          <w:i/>
          <w:iCs/>
          <w:lang w:val="en-IN"/>
        </w:rPr>
        <w:t>et al</w:t>
      </w:r>
      <w:r>
        <w:rPr>
          <w:rFonts w:ascii="Arial" w:hAnsi="Arial" w:cs="Arial"/>
          <w:lang w:val="en-IN"/>
        </w:rPr>
        <w:t>., 2012). For summer groundnut, germination is affected due to low temperature if sowing is done early and if crop is sown late, there are chances of damage from rain at maturity. It is therefore, necessary to find out optimum time of sowing for groundnut in summer season for obtaining higher productivity. The optimum time of sowing ensures the harmony between the vegetative and reproductive phases on one hand and the climatic rhythm on the other hand helps in realizing the potential yield. Sometime farmers faced problems regarding early monsoon at the time of harvesting, So, timely sowing is necessary for particular variety in case of summer season. Keeping this in mind, the research topic is taken “Effect of sowing dates on performance of summer groundnut cultivars”. This research paper will provide valuable insights into the interaction between sowing time and variety selection, contributing to the development of effective strategies for maximizing productivity and meeting the increasing global demand for this vital crop.</w:t>
      </w:r>
    </w:p>
    <w:p>
      <w:pPr>
        <w:pStyle w:val="Body"/>
        <w:spacing w:after="0" w:line="276" w:lineRule="auto"/>
        <w:rPr>
          <w:rFonts w:ascii="Arial" w:hAnsi="Arial" w:cs="Arial"/>
        </w:rPr>
      </w:pPr>
    </w:p>
    <w:p>
      <w:pPr>
        <w:pStyle w:val="AbstHead"/>
        <w:spacing w:after="0" w:line="276" w:lineRule="auto"/>
        <w:jc w:val="both"/>
        <w:rPr>
          <w:rFonts w:ascii="Arial" w:hAnsi="Arial" w:cs="Arial"/>
        </w:rPr>
      </w:pPr>
      <w:r>
        <w:rPr>
          <w:rFonts w:ascii="Arial" w:hAnsi="Arial" w:cs="Arial"/>
        </w:rPr>
        <w:t xml:space="preserve">2. material and methods </w:t>
      </w:r>
    </w:p>
    <w:p>
      <w:pPr>
        <w:pStyle w:val="AbstHead"/>
        <w:spacing w:after="0" w:line="276" w:lineRule="auto"/>
        <w:jc w:val="both"/>
        <w:rPr>
          <w:rFonts w:ascii="Arial" w:hAnsi="Arial" w:cs="Arial"/>
        </w:rPr>
      </w:pPr>
    </w:p>
    <w:p>
      <w:pPr>
        <w:pStyle w:val="Body"/>
        <w:spacing w:after="0" w:line="276" w:lineRule="auto"/>
        <w:ind w:firstLine="720"/>
        <w:rPr>
          <w:rFonts w:ascii="Arial" w:hAnsi="Arial" w:cs="Arial"/>
          <w:lang w:val="en-IN"/>
        </w:rPr>
      </w:pPr>
      <w:r>
        <w:rPr>
          <w:rFonts w:ascii="Arial" w:hAnsi="Arial" w:cs="Arial"/>
          <w:lang w:val="en-IN"/>
        </w:rPr>
        <w:t xml:space="preserve">The experiment was conducted in C-6 plot of Instructional Farm, Department of Agronomy, College of Agriculture, Junagadh Agricultural University, Junagadh, Gujarat, India (21.5°N latitude and 70.5°E longitude and 60 m above the mean sea level) during summer season of 2024. This site is located in the South Saurashtra </w:t>
      </w:r>
      <w:proofErr w:type="spellStart"/>
      <w:r>
        <w:rPr>
          <w:rFonts w:ascii="Arial" w:hAnsi="Arial" w:cs="Arial"/>
          <w:lang w:val="en-IN"/>
        </w:rPr>
        <w:t>Agro</w:t>
      </w:r>
      <w:proofErr w:type="spellEnd"/>
      <w:r>
        <w:rPr>
          <w:rFonts w:ascii="Arial" w:hAnsi="Arial" w:cs="Arial"/>
          <w:lang w:val="en-IN"/>
        </w:rPr>
        <w:t xml:space="preserve">-Climatic Zone of Gujarat. The experimental field has an even topography with a gentle slope having good drainage. The soil samples were taken randomly from experimental plot to a depth of 0-15. The soil was clayey in texture, medium in organic carbon (0.58 %), medium in available phosphorus (29.6 kg/ha) and available potash (224 kg/ha) with average nitrogen (247 kg/ha). Its pH was alkaline (8.31) and low in soluble salts. The experimental design followed a strip plot design with four different sowing dates as horizontal plot treatments and three groundnut varieties as vertical plot treatment with three replications. The treatments consisted of four sowing </w:t>
      </w:r>
      <w:proofErr w:type="gramStart"/>
      <w:r>
        <w:rPr>
          <w:rFonts w:ascii="Arial" w:hAnsi="Arial" w:cs="Arial"/>
          <w:lang w:val="en-IN"/>
        </w:rPr>
        <w:t>dates :</w:t>
      </w:r>
      <w:proofErr w:type="gramEnd"/>
      <w:r>
        <w:rPr>
          <w:rFonts w:ascii="Arial" w:hAnsi="Arial" w:cs="Arial"/>
          <w:lang w:val="en-IN"/>
        </w:rPr>
        <w:t xml:space="preserve"> D</w:t>
      </w:r>
      <w:r>
        <w:rPr>
          <w:rFonts w:ascii="Arial" w:hAnsi="Arial" w:cs="Arial"/>
          <w:vertAlign w:val="subscript"/>
          <w:lang w:val="en-IN"/>
        </w:rPr>
        <w:t>1</w:t>
      </w:r>
      <w:r>
        <w:rPr>
          <w:rFonts w:ascii="Arial" w:hAnsi="Arial" w:cs="Arial"/>
          <w:lang w:val="en-IN"/>
        </w:rPr>
        <w:t xml:space="preserve"> : 4</w:t>
      </w:r>
      <w:r>
        <w:rPr>
          <w:rFonts w:ascii="Arial" w:hAnsi="Arial" w:cs="Arial"/>
          <w:vertAlign w:val="superscript"/>
          <w:lang w:val="en-IN"/>
        </w:rPr>
        <w:t>th</w:t>
      </w:r>
      <w:r>
        <w:rPr>
          <w:rFonts w:ascii="Arial" w:hAnsi="Arial" w:cs="Arial"/>
          <w:lang w:val="en-IN"/>
        </w:rPr>
        <w:t xml:space="preserve"> SMW, D</w:t>
      </w:r>
      <w:r>
        <w:rPr>
          <w:rFonts w:ascii="Arial" w:hAnsi="Arial" w:cs="Arial"/>
          <w:vertAlign w:val="subscript"/>
          <w:lang w:val="en-IN"/>
        </w:rPr>
        <w:t>2</w:t>
      </w:r>
      <w:r>
        <w:rPr>
          <w:rFonts w:ascii="Arial" w:hAnsi="Arial" w:cs="Arial"/>
          <w:lang w:val="en-IN"/>
        </w:rPr>
        <w:t xml:space="preserve"> : 6</w:t>
      </w:r>
      <w:r>
        <w:rPr>
          <w:rFonts w:ascii="Arial" w:hAnsi="Arial" w:cs="Arial"/>
          <w:vertAlign w:val="superscript"/>
          <w:lang w:val="en-IN"/>
        </w:rPr>
        <w:t>th</w:t>
      </w:r>
      <w:r>
        <w:rPr>
          <w:rFonts w:ascii="Arial" w:hAnsi="Arial" w:cs="Arial"/>
          <w:lang w:val="en-IN"/>
        </w:rPr>
        <w:t xml:space="preserve"> SMW, D</w:t>
      </w:r>
      <w:r>
        <w:rPr>
          <w:rFonts w:ascii="Arial" w:hAnsi="Arial" w:cs="Arial"/>
          <w:vertAlign w:val="subscript"/>
          <w:lang w:val="en-IN"/>
        </w:rPr>
        <w:t>3</w:t>
      </w:r>
      <w:r>
        <w:rPr>
          <w:rFonts w:ascii="Arial" w:hAnsi="Arial" w:cs="Arial"/>
          <w:lang w:val="en-IN"/>
        </w:rPr>
        <w:t xml:space="preserve"> : 8</w:t>
      </w:r>
      <w:r>
        <w:rPr>
          <w:rFonts w:ascii="Arial" w:hAnsi="Arial" w:cs="Arial"/>
          <w:vertAlign w:val="superscript"/>
          <w:lang w:val="en-IN"/>
        </w:rPr>
        <w:t>th</w:t>
      </w:r>
      <w:r>
        <w:rPr>
          <w:rFonts w:ascii="Arial" w:hAnsi="Arial" w:cs="Arial"/>
          <w:lang w:val="en-IN"/>
        </w:rPr>
        <w:t xml:space="preserve"> SMW and D</w:t>
      </w:r>
      <w:r>
        <w:rPr>
          <w:rFonts w:ascii="Arial" w:hAnsi="Arial" w:cs="Arial"/>
          <w:vertAlign w:val="subscript"/>
          <w:lang w:val="en-IN"/>
        </w:rPr>
        <w:t>4</w:t>
      </w:r>
      <w:r>
        <w:rPr>
          <w:rFonts w:ascii="Arial" w:hAnsi="Arial" w:cs="Arial"/>
          <w:lang w:val="en-IN"/>
        </w:rPr>
        <w:t xml:space="preserve"> : 10</w:t>
      </w:r>
      <w:r>
        <w:rPr>
          <w:rFonts w:ascii="Arial" w:hAnsi="Arial" w:cs="Arial"/>
          <w:vertAlign w:val="superscript"/>
          <w:lang w:val="en-IN"/>
        </w:rPr>
        <w:t>th</w:t>
      </w:r>
      <w:r>
        <w:rPr>
          <w:rFonts w:ascii="Arial" w:hAnsi="Arial" w:cs="Arial"/>
          <w:lang w:val="en-IN"/>
        </w:rPr>
        <w:t xml:space="preserve"> SMW and three varieties: GJG-31, GG-34 and GG-37. The recommended dose of nitrogen, </w:t>
      </w:r>
      <w:r>
        <w:rPr>
          <w:rFonts w:ascii="Arial" w:hAnsi="Arial" w:cs="Arial"/>
          <w:lang w:val="en-IN"/>
        </w:rPr>
        <w:lastRenderedPageBreak/>
        <w:t>phosphorus and potassium (N: P</w:t>
      </w:r>
      <w:r>
        <w:rPr>
          <w:rFonts w:ascii="Arial" w:hAnsi="Arial" w:cs="Arial"/>
          <w:vertAlign w:val="subscript"/>
          <w:lang w:val="en-IN"/>
        </w:rPr>
        <w:t>2</w:t>
      </w:r>
      <w:r>
        <w:rPr>
          <w:rFonts w:ascii="Arial" w:hAnsi="Arial" w:cs="Arial"/>
          <w:lang w:val="en-IN"/>
        </w:rPr>
        <w:t>O</w:t>
      </w:r>
      <w:r>
        <w:rPr>
          <w:rFonts w:ascii="Arial" w:hAnsi="Arial" w:cs="Arial"/>
          <w:vertAlign w:val="subscript"/>
          <w:lang w:val="en-IN"/>
        </w:rPr>
        <w:t>5</w:t>
      </w:r>
      <w:r>
        <w:rPr>
          <w:rFonts w:ascii="Arial" w:hAnsi="Arial" w:cs="Arial"/>
          <w:lang w:val="en-IN"/>
        </w:rPr>
        <w:t>: K</w:t>
      </w:r>
      <w:r>
        <w:rPr>
          <w:rFonts w:ascii="Arial" w:hAnsi="Arial" w:cs="Arial"/>
          <w:vertAlign w:val="subscript"/>
          <w:lang w:val="en-IN"/>
        </w:rPr>
        <w:t>2</w:t>
      </w:r>
      <w:r>
        <w:rPr>
          <w:rFonts w:ascii="Arial" w:hAnsi="Arial" w:cs="Arial"/>
          <w:lang w:val="en-IN"/>
        </w:rPr>
        <w:t xml:space="preserve">O @ 25:50:50 kg/ha) was applied through urea, DAP and MOP. Entire dose was applied to all the plots as basal dose in furrow prior to sowing. The seed were treated with fungicide </w:t>
      </w:r>
      <w:proofErr w:type="spellStart"/>
      <w:r>
        <w:rPr>
          <w:rFonts w:ascii="Arial" w:hAnsi="Arial" w:cs="Arial"/>
          <w:lang w:val="en-IN"/>
        </w:rPr>
        <w:t>Vitavex</w:t>
      </w:r>
      <w:proofErr w:type="spellEnd"/>
      <w:r>
        <w:rPr>
          <w:rFonts w:ascii="Arial" w:hAnsi="Arial" w:cs="Arial"/>
          <w:lang w:val="en-IN"/>
        </w:rPr>
        <w:t xml:space="preserve"> powder (Carboxin 37.5% + Thiram 37.5% WS) @ 3 g/kg of seed mixed properly before sowing. The seeds of groundnut varieties were sown at the distance of 45 cm between the rows @ 120 kg/ha. The first irrigation was given just after sowing and remaining irrigations were given as and when required by the crop. Weed management was done by hand weeding and </w:t>
      </w:r>
      <w:proofErr w:type="spellStart"/>
      <w:r>
        <w:rPr>
          <w:rFonts w:ascii="Arial" w:hAnsi="Arial" w:cs="Arial"/>
          <w:lang w:val="en-IN"/>
        </w:rPr>
        <w:t>interculturing</w:t>
      </w:r>
      <w:proofErr w:type="spellEnd"/>
      <w:r>
        <w:rPr>
          <w:rFonts w:ascii="Arial" w:hAnsi="Arial" w:cs="Arial"/>
          <w:lang w:val="en-IN"/>
        </w:rPr>
        <w:t xml:space="preserve"> at 30 and 45 DAS respectively. The crop experienced iron deficiency which was controlled by application of 100 g ferrous sulphate with 10 g citric acid in 10 L of water. The crop was also infested by sucking pest at vegetative stage which was controlled by application of </w:t>
      </w:r>
      <w:proofErr w:type="spellStart"/>
      <w:r>
        <w:rPr>
          <w:rFonts w:ascii="Arial" w:hAnsi="Arial" w:cs="Arial"/>
          <w:lang w:val="en-IN"/>
        </w:rPr>
        <w:t>Rogor</w:t>
      </w:r>
      <w:proofErr w:type="spellEnd"/>
      <w:r>
        <w:rPr>
          <w:rFonts w:ascii="Arial" w:hAnsi="Arial" w:cs="Arial"/>
          <w:lang w:val="en-IN"/>
        </w:rPr>
        <w:t xml:space="preserve"> (Dimethoate 30% EC) @ 2 mL/L. The harvesting of the crop was done at physiological maturity manually. The plant population at 20 DAS and at harvest was counted. Growth and yield attributing characters </w:t>
      </w:r>
      <w:r>
        <w:rPr>
          <w:rFonts w:ascii="Arial" w:hAnsi="Arial" w:cs="Arial"/>
          <w:i/>
          <w:iCs/>
          <w:lang w:val="en-IN"/>
        </w:rPr>
        <w:t>viz.,</w:t>
      </w:r>
      <w:r>
        <w:rPr>
          <w:rFonts w:ascii="Arial" w:hAnsi="Arial" w:cs="Arial"/>
          <w:lang w:val="en-IN"/>
        </w:rPr>
        <w:t xml:space="preserve"> days to 50 per cent flowering, plant height at 60, 90 DAS and at harvest (cm), number of branches per plant at harvest and dry matter accumulation at 30, 60, 90 DAS and at harvest (g/plant), number of pods per plant, total number of pegs per plant, Shelling percentage (%) and seed index (g) were recorded. The pod yield (kg/ha) and haulm yield (kg/ha) were recorded at harvesting of the crop. Physiological parameters </w:t>
      </w:r>
      <w:r>
        <w:rPr>
          <w:rFonts w:ascii="Arial" w:hAnsi="Arial" w:cs="Arial"/>
          <w:i/>
          <w:iCs/>
          <w:lang w:val="en-IN"/>
        </w:rPr>
        <w:t>viz.,</w:t>
      </w:r>
      <w:r>
        <w:rPr>
          <w:rFonts w:ascii="Arial" w:hAnsi="Arial" w:cs="Arial"/>
          <w:lang w:val="en-IN"/>
        </w:rPr>
        <w:t xml:space="preserve"> Crop Growth Rate (CGR) ((g m</w:t>
      </w:r>
      <w:r>
        <w:rPr>
          <w:rFonts w:ascii="Arial" w:hAnsi="Arial" w:cs="Arial"/>
          <w:vertAlign w:val="superscript"/>
          <w:lang w:val="en-IN"/>
        </w:rPr>
        <w:t>-2</w:t>
      </w:r>
      <w:r>
        <w:rPr>
          <w:rFonts w:ascii="Arial" w:hAnsi="Arial" w:cs="Arial"/>
          <w:lang w:val="en-IN"/>
        </w:rPr>
        <w:t xml:space="preserve"> day</w:t>
      </w:r>
      <w:r>
        <w:rPr>
          <w:rFonts w:ascii="Arial" w:hAnsi="Arial" w:cs="Arial"/>
          <w:vertAlign w:val="superscript"/>
          <w:lang w:val="en-IN"/>
        </w:rPr>
        <w:t>-1</w:t>
      </w:r>
      <w:r>
        <w:rPr>
          <w:rFonts w:ascii="Arial" w:hAnsi="Arial" w:cs="Arial"/>
          <w:lang w:val="en-IN"/>
        </w:rPr>
        <w:t>) and Relative Growth Rate (RGR) (g g</w:t>
      </w:r>
      <w:r>
        <w:rPr>
          <w:rFonts w:ascii="Arial" w:hAnsi="Arial" w:cs="Arial"/>
          <w:vertAlign w:val="superscript"/>
          <w:lang w:val="en-IN"/>
        </w:rPr>
        <w:t>-1</w:t>
      </w:r>
      <w:r>
        <w:rPr>
          <w:rFonts w:ascii="Arial" w:hAnsi="Arial" w:cs="Arial"/>
          <w:lang w:val="en-IN"/>
        </w:rPr>
        <w:t xml:space="preserve"> day</w:t>
      </w:r>
      <w:r>
        <w:rPr>
          <w:rFonts w:ascii="Arial" w:hAnsi="Arial" w:cs="Arial"/>
          <w:vertAlign w:val="superscript"/>
          <w:lang w:val="en-IN"/>
        </w:rPr>
        <w:t>-1</w:t>
      </w:r>
      <w:r>
        <w:rPr>
          <w:rFonts w:ascii="Arial" w:hAnsi="Arial" w:cs="Arial"/>
          <w:lang w:val="en-IN"/>
        </w:rPr>
        <w:t>) were also calculated by using the following formula:</w:t>
      </w:r>
    </w:p>
    <w:p>
      <w:pPr>
        <w:pStyle w:val="Body"/>
        <w:spacing w:line="276" w:lineRule="auto"/>
        <w:rPr>
          <w:rFonts w:ascii="Arial" w:hAnsi="Arial" w:cs="Arial"/>
          <w:lang w:val="en-IN"/>
        </w:rPr>
      </w:pPr>
      <w:r>
        <w:rPr>
          <w:rFonts w:ascii="Arial" w:hAnsi="Arial" w:cs="Arial"/>
          <w:lang w:val="en-IN"/>
        </w:rPr>
        <w:t xml:space="preserve">Crop Growth Rate (CGR) =    </w:t>
      </w:r>
      <m:oMath>
        <m:f>
          <m:fPr>
            <m:ctrlPr>
              <w:rPr>
                <w:rFonts w:ascii="Cambria Math" w:hAnsi="Cambria Math" w:cs="Arial"/>
                <w:i/>
                <w:sz w:val="28"/>
                <w:szCs w:val="28"/>
                <w:lang w:val="en-IN"/>
              </w:rPr>
            </m:ctrlPr>
          </m:fPr>
          <m:num>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2</m:t>
                </m:r>
              </m:sub>
            </m:sSub>
            <m:r>
              <w:rPr>
                <w:rFonts w:ascii="Cambria Math" w:hAnsi="Cambria Math" w:cs="Arial"/>
                <w:sz w:val="28"/>
                <w:szCs w:val="28"/>
                <w:lang w:val="en-IN"/>
              </w:rPr>
              <m:t>-</m:t>
            </m:r>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1</m:t>
                </m:r>
              </m:sub>
            </m:sSub>
          </m:num>
          <m:den>
            <m:sSup>
              <m:sSupPr>
                <m:ctrlPr>
                  <w:rPr>
                    <w:rFonts w:ascii="Cambria Math" w:hAnsi="Cambria Math" w:cs="Arial"/>
                    <w:i/>
                    <w:sz w:val="28"/>
                    <w:szCs w:val="28"/>
                    <w:lang w:val="en-IN"/>
                  </w:rPr>
                </m:ctrlPr>
              </m:sSupPr>
              <m:e>
                <m:d>
                  <m:dPr>
                    <m:ctrlPr>
                      <w:rPr>
                        <w:rFonts w:ascii="Cambria Math" w:hAnsi="Cambria Math" w:cs="Arial"/>
                        <w:i/>
                        <w:sz w:val="28"/>
                        <w:szCs w:val="28"/>
                        <w:lang w:val="en-IN"/>
                      </w:rPr>
                    </m:ctrlPr>
                  </m:dPr>
                  <m:e>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2</m:t>
                        </m:r>
                      </m:sub>
                    </m:sSub>
                    <m:r>
                      <w:rPr>
                        <w:rFonts w:ascii="Cambria Math" w:hAnsi="Cambria Math" w:cs="Arial"/>
                        <w:sz w:val="28"/>
                        <w:szCs w:val="28"/>
                        <w:lang w:val="en-IN"/>
                      </w:rPr>
                      <m:t>-</m:t>
                    </m:r>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1</m:t>
                        </m:r>
                      </m:sub>
                    </m:sSub>
                  </m:e>
                </m:d>
              </m:e>
              <m:sup>
                <m:r>
                  <w:rPr>
                    <w:rFonts w:ascii="Cambria Math" w:hAnsi="Cambria Math" w:cs="Arial"/>
                    <w:sz w:val="28"/>
                    <w:szCs w:val="28"/>
                    <w:lang w:val="en-IN"/>
                  </w:rPr>
                  <m:t>*</m:t>
                </m:r>
              </m:sup>
            </m:sSup>
            <m:r>
              <w:rPr>
                <w:rFonts w:ascii="Cambria Math" w:hAnsi="Cambria Math" w:cs="Arial"/>
                <w:sz w:val="28"/>
                <w:szCs w:val="28"/>
                <w:lang w:val="en-IN"/>
              </w:rPr>
              <m:t>A</m:t>
            </m:r>
          </m:den>
        </m:f>
      </m:oMath>
      <w:r>
        <w:rPr>
          <w:rFonts w:ascii="Arial" w:hAnsi="Arial" w:cs="Arial"/>
          <w:sz w:val="24"/>
          <w:szCs w:val="24"/>
          <w:lang w:val="en-IN"/>
        </w:rPr>
        <w:t xml:space="preserve">  </w:t>
      </w:r>
    </w:p>
    <w:p>
      <w:pPr>
        <w:pStyle w:val="Body"/>
        <w:spacing w:line="276" w:lineRule="auto"/>
        <w:rPr>
          <w:rFonts w:ascii="Arial" w:hAnsi="Arial" w:cs="Arial"/>
          <w:lang w:val="en-IN"/>
        </w:rPr>
      </w:pPr>
      <w:r>
        <w:rPr>
          <w:rFonts w:ascii="Arial" w:hAnsi="Arial" w:cs="Arial"/>
          <w:lang w:val="en-IN"/>
        </w:rPr>
        <w:t xml:space="preserve">Relative Growth Rate (RGR) =  </w:t>
      </w:r>
      <m:oMath>
        <m:f>
          <m:fPr>
            <m:ctrlPr>
              <w:rPr>
                <w:rFonts w:ascii="Cambria Math" w:hAnsi="Cambria Math" w:cs="Arial"/>
                <w:i/>
                <w:sz w:val="28"/>
                <w:szCs w:val="28"/>
                <w:lang w:val="en-IN"/>
              </w:rPr>
            </m:ctrlPr>
          </m:fPr>
          <m:num>
            <m:func>
              <m:funcPr>
                <m:ctrlPr>
                  <w:rPr>
                    <w:rFonts w:ascii="Cambria Math" w:hAnsi="Cambria Math" w:cs="Arial"/>
                    <w:i/>
                    <w:sz w:val="28"/>
                    <w:szCs w:val="28"/>
                    <w:lang w:val="en-IN"/>
                  </w:rPr>
                </m:ctrlPr>
              </m:funcPr>
              <m:fName>
                <m:sSub>
                  <m:sSubPr>
                    <m:ctrlPr>
                      <w:rPr>
                        <w:rFonts w:ascii="Cambria Math" w:hAnsi="Cambria Math" w:cs="Arial"/>
                        <w:i/>
                        <w:sz w:val="28"/>
                        <w:szCs w:val="28"/>
                        <w:lang w:val="en-IN"/>
                      </w:rPr>
                    </m:ctrlPr>
                  </m:sSubPr>
                  <m:e>
                    <m:r>
                      <w:rPr>
                        <w:rFonts w:ascii="Cambria Math" w:hAnsi="Cambria Math" w:cs="Arial"/>
                        <w:sz w:val="28"/>
                        <w:szCs w:val="28"/>
                        <w:lang w:val="en-IN"/>
                      </w:rPr>
                      <m:t>log</m:t>
                    </m:r>
                  </m:e>
                  <m:sub>
                    <m:r>
                      <w:rPr>
                        <w:rFonts w:ascii="Cambria Math" w:hAnsi="Cambria Math" w:cs="Arial"/>
                        <w:sz w:val="28"/>
                        <w:szCs w:val="28"/>
                        <w:lang w:val="en-IN"/>
                      </w:rPr>
                      <m:t>e</m:t>
                    </m:r>
                  </m:sub>
                </m:sSub>
              </m:fName>
              <m:e>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2</m:t>
                    </m:r>
                  </m:sub>
                </m:sSub>
              </m:e>
            </m:func>
            <m:r>
              <w:rPr>
                <w:rFonts w:ascii="Cambria Math" w:hAnsi="Cambria Math" w:cs="Arial"/>
                <w:sz w:val="28"/>
                <w:szCs w:val="28"/>
                <w:lang w:val="en-IN"/>
              </w:rPr>
              <m:t>-</m:t>
            </m:r>
            <m:func>
              <m:funcPr>
                <m:ctrlPr>
                  <w:rPr>
                    <w:rFonts w:ascii="Cambria Math" w:hAnsi="Cambria Math" w:cs="Arial"/>
                    <w:i/>
                    <w:sz w:val="28"/>
                    <w:szCs w:val="28"/>
                    <w:lang w:val="en-IN"/>
                  </w:rPr>
                </m:ctrlPr>
              </m:funcPr>
              <m:fName>
                <m:sSub>
                  <m:sSubPr>
                    <m:ctrlPr>
                      <w:rPr>
                        <w:rFonts w:ascii="Cambria Math" w:hAnsi="Cambria Math" w:cs="Arial"/>
                        <w:i/>
                        <w:sz w:val="28"/>
                        <w:szCs w:val="28"/>
                        <w:lang w:val="en-IN"/>
                      </w:rPr>
                    </m:ctrlPr>
                  </m:sSubPr>
                  <m:e>
                    <m:r>
                      <w:rPr>
                        <w:rFonts w:ascii="Cambria Math" w:hAnsi="Cambria Math" w:cs="Arial"/>
                        <w:sz w:val="28"/>
                        <w:szCs w:val="28"/>
                        <w:lang w:val="en-IN"/>
                      </w:rPr>
                      <m:t>log</m:t>
                    </m:r>
                  </m:e>
                  <m:sub>
                    <m:r>
                      <w:rPr>
                        <w:rFonts w:ascii="Cambria Math" w:hAnsi="Cambria Math" w:cs="Arial"/>
                        <w:sz w:val="28"/>
                        <w:szCs w:val="28"/>
                        <w:lang w:val="en-IN"/>
                      </w:rPr>
                      <m:t>e</m:t>
                    </m:r>
                  </m:sub>
                </m:sSub>
              </m:fName>
              <m:e>
                <m:sSub>
                  <m:sSubPr>
                    <m:ctrlPr>
                      <w:rPr>
                        <w:rFonts w:ascii="Cambria Math" w:hAnsi="Cambria Math" w:cs="Arial"/>
                        <w:i/>
                        <w:sz w:val="28"/>
                        <w:szCs w:val="28"/>
                        <w:lang w:val="en-IN"/>
                      </w:rPr>
                    </m:ctrlPr>
                  </m:sSubPr>
                  <m:e>
                    <m:r>
                      <w:rPr>
                        <w:rFonts w:ascii="Cambria Math" w:hAnsi="Cambria Math" w:cs="Arial"/>
                        <w:sz w:val="28"/>
                        <w:szCs w:val="28"/>
                        <w:lang w:val="en-IN"/>
                      </w:rPr>
                      <m:t>w</m:t>
                    </m:r>
                  </m:e>
                  <m:sub>
                    <m:r>
                      <w:rPr>
                        <w:rFonts w:ascii="Cambria Math" w:hAnsi="Cambria Math" w:cs="Arial"/>
                        <w:sz w:val="28"/>
                        <w:szCs w:val="28"/>
                        <w:lang w:val="en-IN"/>
                      </w:rPr>
                      <m:t>1</m:t>
                    </m:r>
                  </m:sub>
                </m:sSub>
              </m:e>
            </m:func>
          </m:num>
          <m:den>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2</m:t>
                </m:r>
              </m:sub>
            </m:sSub>
            <m:r>
              <w:rPr>
                <w:rFonts w:ascii="Cambria Math" w:hAnsi="Cambria Math" w:cs="Arial"/>
                <w:sz w:val="28"/>
                <w:szCs w:val="28"/>
                <w:lang w:val="en-IN"/>
              </w:rPr>
              <m:t>-</m:t>
            </m:r>
            <m:sSub>
              <m:sSubPr>
                <m:ctrlPr>
                  <w:rPr>
                    <w:rFonts w:ascii="Cambria Math" w:hAnsi="Cambria Math" w:cs="Arial"/>
                    <w:i/>
                    <w:sz w:val="28"/>
                    <w:szCs w:val="28"/>
                    <w:lang w:val="en-IN"/>
                  </w:rPr>
                </m:ctrlPr>
              </m:sSubPr>
              <m:e>
                <m:r>
                  <w:rPr>
                    <w:rFonts w:ascii="Cambria Math" w:hAnsi="Cambria Math" w:cs="Arial"/>
                    <w:sz w:val="28"/>
                    <w:szCs w:val="28"/>
                    <w:lang w:val="en-IN"/>
                  </w:rPr>
                  <m:t>t</m:t>
                </m:r>
              </m:e>
              <m:sub>
                <m:r>
                  <w:rPr>
                    <w:rFonts w:ascii="Cambria Math" w:hAnsi="Cambria Math" w:cs="Arial"/>
                    <w:sz w:val="28"/>
                    <w:szCs w:val="28"/>
                    <w:lang w:val="en-IN"/>
                  </w:rPr>
                  <m:t>1</m:t>
                </m:r>
              </m:sub>
            </m:sSub>
          </m:den>
        </m:f>
      </m:oMath>
      <w:r>
        <w:rPr>
          <w:rFonts w:ascii="Arial" w:hAnsi="Arial" w:cs="Arial"/>
          <w:lang w:val="en-IN"/>
        </w:rPr>
        <w:t xml:space="preserve"> </w:t>
      </w:r>
    </w:p>
    <w:p>
      <w:pPr>
        <w:pStyle w:val="Body"/>
        <w:spacing w:after="0" w:line="276" w:lineRule="auto"/>
        <w:rPr>
          <w:rFonts w:ascii="Arial" w:hAnsi="Arial" w:cs="Arial"/>
          <w:lang w:val="en-IN"/>
        </w:rPr>
      </w:pPr>
      <w:r>
        <w:rPr>
          <w:rFonts w:ascii="Arial" w:hAnsi="Arial" w:cs="Arial"/>
          <w:lang w:val="en-IN"/>
        </w:rPr>
        <w:t>where, W</w:t>
      </w:r>
      <w:r>
        <w:rPr>
          <w:rFonts w:ascii="Arial" w:hAnsi="Arial" w:cs="Arial"/>
          <w:vertAlign w:val="subscript"/>
          <w:lang w:val="en-IN"/>
        </w:rPr>
        <w:t>1</w:t>
      </w:r>
      <w:r>
        <w:rPr>
          <w:rFonts w:ascii="Arial" w:hAnsi="Arial" w:cs="Arial"/>
          <w:lang w:val="en-IN"/>
        </w:rPr>
        <w:t>= Dry weight in grams at time t</w:t>
      </w:r>
      <w:r>
        <w:rPr>
          <w:rFonts w:ascii="Arial" w:hAnsi="Arial" w:cs="Arial"/>
          <w:vertAlign w:val="subscript"/>
          <w:lang w:val="en-IN"/>
        </w:rPr>
        <w:t>1</w:t>
      </w:r>
    </w:p>
    <w:p>
      <w:pPr>
        <w:pStyle w:val="Body"/>
        <w:spacing w:after="0" w:line="276" w:lineRule="auto"/>
        <w:rPr>
          <w:rFonts w:ascii="Arial" w:hAnsi="Arial" w:cs="Arial"/>
          <w:lang w:val="en-IN"/>
        </w:rPr>
      </w:pPr>
      <w:r>
        <w:rPr>
          <w:rFonts w:ascii="Arial" w:hAnsi="Arial" w:cs="Arial"/>
          <w:lang w:val="en-IN"/>
        </w:rPr>
        <w:t xml:space="preserve">            W</w:t>
      </w:r>
      <w:r>
        <w:rPr>
          <w:rFonts w:ascii="Arial" w:hAnsi="Arial" w:cs="Arial"/>
          <w:vertAlign w:val="subscript"/>
          <w:lang w:val="en-IN"/>
        </w:rPr>
        <w:t>2</w:t>
      </w:r>
      <w:r>
        <w:rPr>
          <w:rFonts w:ascii="Arial" w:hAnsi="Arial" w:cs="Arial"/>
          <w:lang w:val="en-IN"/>
        </w:rPr>
        <w:t>= Dry weight in grams at time t</w:t>
      </w:r>
      <w:r>
        <w:rPr>
          <w:rFonts w:ascii="Arial" w:hAnsi="Arial" w:cs="Arial"/>
          <w:vertAlign w:val="subscript"/>
          <w:lang w:val="en-IN"/>
        </w:rPr>
        <w:t>2</w:t>
      </w:r>
    </w:p>
    <w:p>
      <w:pPr>
        <w:pStyle w:val="Body"/>
        <w:spacing w:after="0" w:line="276" w:lineRule="auto"/>
        <w:rPr>
          <w:rFonts w:ascii="Arial" w:hAnsi="Arial" w:cs="Arial"/>
          <w:lang w:val="en-IN"/>
        </w:rPr>
      </w:pPr>
      <w:r>
        <w:rPr>
          <w:rFonts w:ascii="Arial" w:hAnsi="Arial" w:cs="Arial"/>
          <w:lang w:val="en-IN"/>
        </w:rPr>
        <w:t xml:space="preserve">            t</w:t>
      </w:r>
      <w:r>
        <w:rPr>
          <w:rFonts w:ascii="Arial" w:hAnsi="Arial" w:cs="Arial"/>
          <w:vertAlign w:val="subscript"/>
          <w:lang w:val="en-IN"/>
        </w:rPr>
        <w:t>2</w:t>
      </w:r>
      <w:r>
        <w:rPr>
          <w:rFonts w:ascii="Arial" w:hAnsi="Arial" w:cs="Arial"/>
          <w:lang w:val="en-IN"/>
        </w:rPr>
        <w:t>-t</w:t>
      </w:r>
      <w:r>
        <w:rPr>
          <w:rFonts w:ascii="Arial" w:hAnsi="Arial" w:cs="Arial"/>
          <w:vertAlign w:val="subscript"/>
          <w:lang w:val="en-IN"/>
        </w:rPr>
        <w:t>1</w:t>
      </w:r>
      <w:r>
        <w:rPr>
          <w:rFonts w:ascii="Arial" w:hAnsi="Arial" w:cs="Arial"/>
          <w:lang w:val="en-IN"/>
        </w:rPr>
        <w:t>= Time interval (days)</w:t>
      </w:r>
    </w:p>
    <w:p>
      <w:pPr>
        <w:pStyle w:val="Body"/>
        <w:spacing w:after="0" w:line="276" w:lineRule="auto"/>
        <w:rPr>
          <w:rFonts w:ascii="Arial" w:hAnsi="Arial" w:cs="Arial"/>
        </w:rPr>
      </w:pPr>
      <w:r>
        <w:rPr>
          <w:rFonts w:ascii="Arial" w:hAnsi="Arial" w:cs="Arial"/>
          <w:lang w:val="en-IN"/>
        </w:rPr>
        <w:t xml:space="preserve">            A= Land area (m</w:t>
      </w:r>
      <w:r>
        <w:rPr>
          <w:rFonts w:ascii="Arial" w:hAnsi="Arial" w:cs="Arial"/>
          <w:vertAlign w:val="superscript"/>
          <w:lang w:val="en-IN"/>
        </w:rPr>
        <w:t>2</w:t>
      </w:r>
      <w:r>
        <w:rPr>
          <w:rFonts w:ascii="Arial" w:hAnsi="Arial" w:cs="Arial"/>
          <w:lang w:val="en-IN"/>
        </w:rPr>
        <w:t xml:space="preserve">)  </w:t>
      </w:r>
    </w:p>
    <w:p>
      <w:pPr>
        <w:pStyle w:val="Head1"/>
        <w:spacing w:after="0" w:line="276" w:lineRule="auto"/>
        <w:jc w:val="both"/>
        <w:rPr>
          <w:rFonts w:ascii="Arial" w:hAnsi="Arial" w:cs="Arial"/>
        </w:rPr>
      </w:pPr>
      <w:r>
        <w:rPr>
          <w:rFonts w:ascii="Arial" w:hAnsi="Arial" w:cs="Arial"/>
        </w:rPr>
        <w:t>3. results and discussion</w:t>
      </w:r>
    </w:p>
    <w:p>
      <w:pPr>
        <w:pStyle w:val="Head1"/>
        <w:spacing w:after="0" w:line="276" w:lineRule="auto"/>
        <w:jc w:val="both"/>
        <w:rPr>
          <w:rFonts w:ascii="Arial" w:hAnsi="Arial" w:cs="Arial"/>
        </w:rPr>
      </w:pPr>
    </w:p>
    <w:p>
      <w:pPr>
        <w:pStyle w:val="Body"/>
        <w:spacing w:after="0" w:line="276" w:lineRule="auto"/>
        <w:rPr>
          <w:rFonts w:ascii="Arial" w:hAnsi="Arial" w:cs="Arial"/>
          <w:b/>
          <w:bCs/>
          <w:sz w:val="22"/>
          <w:szCs w:val="22"/>
          <w:lang w:val="en-IN"/>
        </w:rPr>
      </w:pPr>
      <w:r>
        <w:rPr>
          <w:rFonts w:ascii="Arial" w:hAnsi="Arial" w:cs="Arial"/>
          <w:b/>
          <w:bCs/>
          <w:sz w:val="22"/>
          <w:szCs w:val="22"/>
          <w:lang w:val="en-IN"/>
        </w:rPr>
        <w:t>3.1 Effect of sowing dates and varieties</w:t>
      </w:r>
    </w:p>
    <w:p>
      <w:pPr>
        <w:pStyle w:val="Body"/>
        <w:spacing w:after="0" w:line="276" w:lineRule="auto"/>
        <w:rPr>
          <w:rFonts w:ascii="Arial" w:hAnsi="Arial" w:cs="Arial"/>
          <w:sz w:val="22"/>
          <w:szCs w:val="22"/>
          <w:lang w:val="en-IN"/>
        </w:rPr>
      </w:pPr>
    </w:p>
    <w:p>
      <w:pPr>
        <w:pStyle w:val="Body"/>
        <w:spacing w:after="0" w:line="276" w:lineRule="auto"/>
        <w:rPr>
          <w:rFonts w:ascii="Arial" w:hAnsi="Arial" w:cs="Arial"/>
          <w:b/>
          <w:bCs/>
          <w:u w:val="single"/>
          <w:lang w:val="en-IN"/>
        </w:rPr>
      </w:pPr>
      <w:proofErr w:type="gramStart"/>
      <w:r>
        <w:rPr>
          <w:rFonts w:ascii="Arial" w:hAnsi="Arial" w:cs="Arial"/>
          <w:b/>
          <w:bCs/>
          <w:u w:val="single"/>
          <w:lang w:val="en-IN"/>
        </w:rPr>
        <w:t>3.1.1  Plant</w:t>
      </w:r>
      <w:proofErr w:type="gramEnd"/>
      <w:r>
        <w:rPr>
          <w:rFonts w:ascii="Arial" w:hAnsi="Arial" w:cs="Arial"/>
          <w:b/>
          <w:bCs/>
          <w:u w:val="single"/>
          <w:lang w:val="en-IN"/>
        </w:rPr>
        <w:t xml:space="preserve"> population</w:t>
      </w:r>
    </w:p>
    <w:p>
      <w:pPr>
        <w:pStyle w:val="Body"/>
        <w:spacing w:after="0" w:line="276" w:lineRule="auto"/>
        <w:ind w:firstLine="720"/>
        <w:rPr>
          <w:rFonts w:ascii="Arial" w:hAnsi="Arial" w:cs="Arial"/>
          <w:bCs/>
          <w:lang w:val="en-IN"/>
        </w:rPr>
      </w:pPr>
      <w:r>
        <w:rPr>
          <w:rFonts w:ascii="Arial" w:hAnsi="Arial" w:cs="Arial"/>
          <w:bCs/>
          <w:lang w:val="en-IN"/>
        </w:rPr>
        <w:t>The data presented in Table 1 revealed that sowing dates and varieties did not exert significant effect on initial and final plant population in summer groundnut.</w:t>
      </w:r>
    </w:p>
    <w:p>
      <w:pPr>
        <w:pStyle w:val="Body"/>
        <w:spacing w:after="0" w:line="276" w:lineRule="auto"/>
        <w:ind w:firstLine="720"/>
        <w:rPr>
          <w:rFonts w:ascii="Arial" w:hAnsi="Arial" w:cs="Arial"/>
          <w:bCs/>
          <w:lang w:val="en-IN"/>
        </w:rPr>
      </w:pPr>
    </w:p>
    <w:p>
      <w:pPr>
        <w:pStyle w:val="Body"/>
        <w:spacing w:after="0" w:line="276" w:lineRule="auto"/>
        <w:rPr>
          <w:rFonts w:ascii="Arial" w:hAnsi="Arial" w:cs="Arial"/>
          <w:b/>
          <w:bCs/>
          <w:u w:val="single"/>
          <w:lang w:val="en-IN"/>
        </w:rPr>
      </w:pPr>
      <w:r>
        <w:rPr>
          <w:rFonts w:ascii="Arial" w:hAnsi="Arial" w:cs="Arial"/>
          <w:b/>
          <w:bCs/>
          <w:u w:val="single"/>
          <w:lang w:val="en-IN"/>
        </w:rPr>
        <w:t>3.1.2 Growth parameters</w:t>
      </w:r>
    </w:p>
    <w:p>
      <w:pPr>
        <w:pStyle w:val="Body"/>
        <w:spacing w:after="0" w:line="276" w:lineRule="auto"/>
        <w:rPr>
          <w:rFonts w:ascii="Arial" w:hAnsi="Arial" w:cs="Arial"/>
          <w:b/>
          <w:bCs/>
          <w:lang w:val="en-IN"/>
        </w:rPr>
      </w:pPr>
    </w:p>
    <w:p>
      <w:pPr>
        <w:pStyle w:val="Body"/>
        <w:spacing w:after="0" w:line="276" w:lineRule="auto"/>
        <w:rPr>
          <w:rFonts w:ascii="Arial" w:hAnsi="Arial" w:cs="Arial"/>
          <w:b/>
          <w:bCs/>
          <w:lang w:val="en-IN"/>
        </w:rPr>
      </w:pPr>
      <w:r>
        <w:rPr>
          <w:rFonts w:ascii="Arial" w:hAnsi="Arial" w:cs="Arial"/>
          <w:b/>
          <w:bCs/>
          <w:i/>
          <w:iCs/>
          <w:lang w:val="en-IN"/>
        </w:rPr>
        <w:t xml:space="preserve">3.1.2.1 </w:t>
      </w:r>
      <w:r>
        <w:rPr>
          <w:rFonts w:ascii="Arial" w:hAnsi="Arial" w:cs="Arial"/>
          <w:b/>
          <w:bCs/>
          <w:lang w:val="en-IN"/>
        </w:rPr>
        <w:t>Days to 50 per cent flowering</w:t>
      </w:r>
    </w:p>
    <w:p>
      <w:pPr>
        <w:pStyle w:val="Body"/>
        <w:spacing w:after="0" w:line="276" w:lineRule="auto"/>
        <w:rPr>
          <w:rFonts w:ascii="Arial" w:hAnsi="Arial" w:cs="Arial"/>
          <w:bCs/>
          <w:lang w:val="en-IN"/>
        </w:rPr>
      </w:pPr>
      <w:r>
        <w:rPr>
          <w:rFonts w:ascii="Arial" w:hAnsi="Arial" w:cs="Arial"/>
          <w:bCs/>
          <w:lang w:val="en-IN"/>
        </w:rPr>
        <w:tab/>
        <w:t>The data presented in Table 1 revealed that sowing dates and varieties had non-significant effect on days to 50 per cent flowering.</w:t>
      </w:r>
    </w:p>
    <w:p>
      <w:pPr>
        <w:pStyle w:val="Body"/>
        <w:spacing w:after="0" w:line="276" w:lineRule="auto"/>
        <w:rPr>
          <w:rFonts w:ascii="Arial" w:hAnsi="Arial" w:cs="Arial"/>
          <w:b/>
          <w:lang w:val="en-IN"/>
        </w:rPr>
      </w:pPr>
      <w:r>
        <w:rPr>
          <w:rFonts w:ascii="Arial" w:hAnsi="Arial" w:cs="Arial"/>
          <w:b/>
          <w:i/>
          <w:iCs/>
          <w:lang w:val="en-IN"/>
        </w:rPr>
        <w:t xml:space="preserve">3.1.2.2 </w:t>
      </w:r>
      <w:r>
        <w:rPr>
          <w:rFonts w:ascii="Arial" w:hAnsi="Arial" w:cs="Arial"/>
          <w:b/>
          <w:lang w:val="en-IN"/>
        </w:rPr>
        <w:t>Plant height at 60, 90 DAS and harvest (cm)</w:t>
      </w:r>
    </w:p>
    <w:p>
      <w:pPr>
        <w:pStyle w:val="Body"/>
        <w:spacing w:after="0" w:line="276" w:lineRule="auto"/>
        <w:ind w:firstLine="720"/>
        <w:rPr>
          <w:rFonts w:ascii="Arial" w:hAnsi="Arial" w:cs="Arial"/>
          <w:bCs/>
          <w:lang w:val="en-IN"/>
        </w:rPr>
      </w:pPr>
      <w:r>
        <w:rPr>
          <w:rFonts w:ascii="Arial" w:hAnsi="Arial" w:cs="Arial"/>
          <w:bCs/>
          <w:lang w:val="en-IN"/>
        </w:rPr>
        <w:t xml:space="preserve">The results shown in Table 1 revealed that the plant height at maturity was significantly influenced by sowing dates and varieties. The significant maximum plant height at 60 DAS (20.27 cm), at 90 DAS (22.42 cm) and at harvest (23.44 cm) was observed in the </w:t>
      </w:r>
      <w:r>
        <w:rPr>
          <w:rFonts w:ascii="Arial" w:hAnsi="Arial" w:cs="Arial"/>
          <w:bCs/>
          <w:lang w:val="en-IN"/>
        </w:rPr>
        <w:lastRenderedPageBreak/>
        <w:t>6</w:t>
      </w:r>
      <w:r>
        <w:rPr>
          <w:rFonts w:ascii="Arial" w:hAnsi="Arial" w:cs="Arial"/>
          <w:bCs/>
          <w:vertAlign w:val="superscript"/>
          <w:lang w:val="en-IN"/>
        </w:rPr>
        <w:t>th</w:t>
      </w:r>
      <w:r>
        <w:rPr>
          <w:rFonts w:ascii="Arial" w:hAnsi="Arial" w:cs="Arial"/>
          <w:bCs/>
          <w:lang w:val="en-IN"/>
        </w:rPr>
        <w:t xml:space="preserve"> SMW, which was at par with 8</w:t>
      </w:r>
      <w:r>
        <w:rPr>
          <w:rFonts w:ascii="Arial" w:hAnsi="Arial" w:cs="Arial"/>
          <w:bCs/>
          <w:vertAlign w:val="superscript"/>
          <w:lang w:val="en-IN"/>
        </w:rPr>
        <w:t>th</w:t>
      </w:r>
      <w:r>
        <w:rPr>
          <w:rFonts w:ascii="Arial" w:hAnsi="Arial" w:cs="Arial"/>
          <w:bCs/>
          <w:lang w:val="en-IN"/>
        </w:rPr>
        <w:t xml:space="preserve"> SMW in case of 90 DAS (20.55 cm) and at harvest (21.81 cm). Among the varieties, the significant maximum plant height at 60 DAS (19.35 cm), at 90 DAS (21.99 cm) and at harvest (23.42 cm) was obtained by GJG-31 variety, which was at par with GG-37 at 60 DAS (17.86 cm). The result may be due to favourable environmental condition, including optimal temperature, sunlight and soil moisture during 6</w:t>
      </w:r>
      <w:r>
        <w:rPr>
          <w:rFonts w:ascii="Arial" w:hAnsi="Arial" w:cs="Arial"/>
          <w:bCs/>
          <w:vertAlign w:val="superscript"/>
          <w:lang w:val="en-IN"/>
        </w:rPr>
        <w:t>th</w:t>
      </w:r>
      <w:r>
        <w:rPr>
          <w:rFonts w:ascii="Arial" w:hAnsi="Arial" w:cs="Arial"/>
          <w:bCs/>
          <w:lang w:val="en-IN"/>
        </w:rPr>
        <w:t xml:space="preserve"> SMW, which promoted vigorous growth. In contrast, sowing during 4</w:t>
      </w:r>
      <w:r>
        <w:rPr>
          <w:rFonts w:ascii="Arial" w:hAnsi="Arial" w:cs="Arial"/>
          <w:bCs/>
          <w:vertAlign w:val="superscript"/>
          <w:lang w:val="en-IN"/>
        </w:rPr>
        <w:t>th</w:t>
      </w:r>
      <w:r>
        <w:rPr>
          <w:rFonts w:ascii="Arial" w:hAnsi="Arial" w:cs="Arial"/>
          <w:bCs/>
          <w:lang w:val="en-IN"/>
        </w:rPr>
        <w:t xml:space="preserve"> SMW had encountered relatively lower temperatures and shorter day length, which suppress vegetative growth and late sowing during 8</w:t>
      </w:r>
      <w:r>
        <w:rPr>
          <w:rFonts w:ascii="Arial" w:hAnsi="Arial" w:cs="Arial"/>
          <w:bCs/>
          <w:vertAlign w:val="superscript"/>
          <w:lang w:val="en-IN"/>
        </w:rPr>
        <w:t>th</w:t>
      </w:r>
      <w:r>
        <w:rPr>
          <w:rFonts w:ascii="Arial" w:hAnsi="Arial" w:cs="Arial"/>
          <w:bCs/>
          <w:lang w:val="en-IN"/>
        </w:rPr>
        <w:t xml:space="preserve"> and 10</w:t>
      </w:r>
      <w:r>
        <w:rPr>
          <w:rFonts w:ascii="Arial" w:hAnsi="Arial" w:cs="Arial"/>
          <w:bCs/>
          <w:vertAlign w:val="superscript"/>
          <w:lang w:val="en-IN"/>
        </w:rPr>
        <w:t>th</w:t>
      </w:r>
      <w:r>
        <w:rPr>
          <w:rFonts w:ascii="Arial" w:hAnsi="Arial" w:cs="Arial"/>
          <w:bCs/>
          <w:lang w:val="en-IN"/>
        </w:rPr>
        <w:t xml:space="preserve"> SMW had exposed plant to terminal heat stress and accelerated phenological development, leading to restricted plant height. The finding was similar with Vijayakumar and </w:t>
      </w:r>
      <w:proofErr w:type="spellStart"/>
      <w:r>
        <w:rPr>
          <w:rFonts w:ascii="Arial" w:hAnsi="Arial" w:cs="Arial"/>
          <w:bCs/>
          <w:lang w:val="en-IN"/>
        </w:rPr>
        <w:t>Geethalakshmi</w:t>
      </w:r>
      <w:proofErr w:type="spellEnd"/>
      <w:r>
        <w:rPr>
          <w:rFonts w:ascii="Arial" w:hAnsi="Arial" w:cs="Arial"/>
          <w:bCs/>
          <w:lang w:val="en-IN"/>
        </w:rPr>
        <w:t xml:space="preserve"> (2018), </w:t>
      </w:r>
      <w:proofErr w:type="spellStart"/>
      <w:r>
        <w:rPr>
          <w:rFonts w:ascii="Arial" w:hAnsi="Arial" w:cs="Arial"/>
          <w:bCs/>
          <w:lang w:val="en-IN"/>
        </w:rPr>
        <w:t>Birajdar</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(2020), Sireesha and Dawson </w:t>
      </w:r>
      <w:r>
        <w:rPr>
          <w:rFonts w:ascii="Arial" w:hAnsi="Arial" w:cs="Arial"/>
          <w:bCs/>
          <w:i/>
          <w:iCs/>
          <w:lang w:val="en-IN"/>
        </w:rPr>
        <w:t>et al.</w:t>
      </w:r>
      <w:r>
        <w:rPr>
          <w:rFonts w:ascii="Arial" w:hAnsi="Arial" w:cs="Arial"/>
          <w:bCs/>
          <w:lang w:val="en-IN"/>
        </w:rPr>
        <w:t xml:space="preserve"> (2022) and </w:t>
      </w:r>
      <w:proofErr w:type="spellStart"/>
      <w:r>
        <w:rPr>
          <w:rFonts w:ascii="Arial" w:hAnsi="Arial" w:cs="Arial"/>
          <w:bCs/>
          <w:lang w:val="en-IN"/>
        </w:rPr>
        <w:t>Patoliya</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(2024).</w:t>
      </w:r>
    </w:p>
    <w:p>
      <w:pPr>
        <w:pStyle w:val="Body"/>
        <w:spacing w:after="0" w:line="276" w:lineRule="auto"/>
        <w:rPr>
          <w:rFonts w:ascii="Arial" w:hAnsi="Arial" w:cs="Arial"/>
          <w:b/>
          <w:lang w:val="en-IN"/>
        </w:rPr>
      </w:pPr>
      <w:r>
        <w:rPr>
          <w:rFonts w:ascii="Arial" w:hAnsi="Arial" w:cs="Arial"/>
          <w:b/>
          <w:i/>
          <w:iCs/>
          <w:lang w:val="en-IN"/>
        </w:rPr>
        <w:t xml:space="preserve">3.1.2.3 </w:t>
      </w:r>
      <w:r>
        <w:rPr>
          <w:rFonts w:ascii="Arial" w:hAnsi="Arial" w:cs="Arial"/>
          <w:b/>
          <w:lang w:val="en-IN"/>
        </w:rPr>
        <w:t>Number of branches per plant at harvest</w:t>
      </w:r>
    </w:p>
    <w:p>
      <w:pPr>
        <w:pStyle w:val="Body"/>
        <w:spacing w:after="0" w:line="276" w:lineRule="auto"/>
        <w:ind w:firstLine="720"/>
        <w:rPr>
          <w:rFonts w:ascii="Arial" w:hAnsi="Arial" w:cs="Arial"/>
          <w:bCs/>
          <w:lang w:val="en-IN"/>
        </w:rPr>
      </w:pPr>
      <w:r>
        <w:rPr>
          <w:rFonts w:ascii="Arial" w:hAnsi="Arial" w:cs="Arial"/>
          <w:bCs/>
          <w:lang w:val="en-IN"/>
        </w:rPr>
        <w:t>The data represented in Table 1 showed that sowing dates have significant effect on number of branches per plant at harvest. The significant number of branches per plant at harvest (9.22) was observed in 6</w:t>
      </w:r>
      <w:r>
        <w:rPr>
          <w:rFonts w:ascii="Arial" w:hAnsi="Arial" w:cs="Arial"/>
          <w:bCs/>
          <w:vertAlign w:val="superscript"/>
          <w:lang w:val="en-IN"/>
        </w:rPr>
        <w:t>th</w:t>
      </w:r>
      <w:r>
        <w:rPr>
          <w:rFonts w:ascii="Arial" w:hAnsi="Arial" w:cs="Arial"/>
          <w:bCs/>
          <w:lang w:val="en-IN"/>
        </w:rPr>
        <w:t xml:space="preserve"> SMW and was followed by 8</w:t>
      </w:r>
      <w:proofErr w:type="gramStart"/>
      <w:r>
        <w:rPr>
          <w:rFonts w:ascii="Arial" w:hAnsi="Arial" w:cs="Arial"/>
          <w:bCs/>
          <w:vertAlign w:val="superscript"/>
          <w:lang w:val="en-IN"/>
        </w:rPr>
        <w:t>th</w:t>
      </w:r>
      <w:r>
        <w:rPr>
          <w:rFonts w:ascii="Arial" w:hAnsi="Arial" w:cs="Arial"/>
          <w:bCs/>
          <w:lang w:val="en-IN"/>
        </w:rPr>
        <w:t xml:space="preserve">  SMW</w:t>
      </w:r>
      <w:proofErr w:type="gramEnd"/>
      <w:r>
        <w:rPr>
          <w:rFonts w:ascii="Arial" w:hAnsi="Arial" w:cs="Arial"/>
          <w:bCs/>
          <w:lang w:val="en-IN"/>
        </w:rPr>
        <w:t xml:space="preserve"> (8.11) and 10</w:t>
      </w:r>
      <w:r>
        <w:rPr>
          <w:rFonts w:ascii="Arial" w:hAnsi="Arial" w:cs="Arial"/>
          <w:bCs/>
          <w:vertAlign w:val="superscript"/>
          <w:lang w:val="en-IN"/>
        </w:rPr>
        <w:t>th</w:t>
      </w:r>
      <w:r>
        <w:rPr>
          <w:rFonts w:ascii="Arial" w:hAnsi="Arial" w:cs="Arial"/>
          <w:bCs/>
          <w:lang w:val="en-IN"/>
        </w:rPr>
        <w:t xml:space="preserve"> SMW (7.78). Among the varieties, the result was found to be non-significant. It may be due to timely sowing during 6</w:t>
      </w:r>
      <w:r>
        <w:rPr>
          <w:rFonts w:ascii="Arial" w:hAnsi="Arial" w:cs="Arial"/>
          <w:bCs/>
          <w:vertAlign w:val="superscript"/>
          <w:lang w:val="en-IN"/>
        </w:rPr>
        <w:t>th</w:t>
      </w:r>
      <w:r>
        <w:rPr>
          <w:rFonts w:ascii="Arial" w:hAnsi="Arial" w:cs="Arial"/>
          <w:bCs/>
          <w:lang w:val="en-IN"/>
        </w:rPr>
        <w:t xml:space="preserve"> SMW had experience favourable vegetative phase, allowing the crop sufficient time for development of productive branches. Delayed sowing shortened the vegetative phase, resulting in fewer branches due to early transition to reproductive phase. The results are in accordance with the findings of Chaudhari </w:t>
      </w:r>
      <w:r>
        <w:rPr>
          <w:rFonts w:ascii="Arial" w:hAnsi="Arial" w:cs="Arial"/>
          <w:bCs/>
          <w:i/>
          <w:iCs/>
          <w:lang w:val="en-IN"/>
        </w:rPr>
        <w:t>et al.</w:t>
      </w:r>
      <w:r>
        <w:rPr>
          <w:rFonts w:ascii="Arial" w:hAnsi="Arial" w:cs="Arial"/>
          <w:lang w:val="en-IN"/>
        </w:rPr>
        <w:t xml:space="preserve"> (2018)</w:t>
      </w:r>
      <w:r>
        <w:rPr>
          <w:rFonts w:ascii="Arial" w:hAnsi="Arial" w:cs="Arial"/>
          <w:bCs/>
          <w:lang w:val="en-IN"/>
        </w:rPr>
        <w:t xml:space="preserve">, </w:t>
      </w:r>
      <w:proofErr w:type="spellStart"/>
      <w:r>
        <w:rPr>
          <w:rFonts w:ascii="Arial" w:hAnsi="Arial" w:cs="Arial"/>
          <w:bCs/>
          <w:lang w:val="en-IN"/>
        </w:rPr>
        <w:t>Shendage</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(2018), </w:t>
      </w:r>
      <w:proofErr w:type="spellStart"/>
      <w:r>
        <w:rPr>
          <w:rFonts w:ascii="Arial" w:hAnsi="Arial" w:cs="Arial"/>
          <w:bCs/>
          <w:lang w:val="en-IN"/>
        </w:rPr>
        <w:t>Birajdar</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(2020) and Reager </w:t>
      </w:r>
      <w:r>
        <w:rPr>
          <w:rFonts w:ascii="Arial" w:hAnsi="Arial" w:cs="Arial"/>
          <w:bCs/>
          <w:i/>
          <w:iCs/>
          <w:lang w:val="en-IN"/>
        </w:rPr>
        <w:t>et al.</w:t>
      </w:r>
      <w:r>
        <w:rPr>
          <w:rFonts w:ascii="Arial" w:hAnsi="Arial" w:cs="Arial"/>
          <w:bCs/>
          <w:lang w:val="en-IN"/>
        </w:rPr>
        <w:t xml:space="preserve"> (2024).</w:t>
      </w:r>
    </w:p>
    <w:p>
      <w:pPr>
        <w:pStyle w:val="Body"/>
        <w:spacing w:after="0" w:line="276" w:lineRule="auto"/>
        <w:rPr>
          <w:rFonts w:ascii="Arial" w:hAnsi="Arial" w:cs="Arial"/>
          <w:b/>
          <w:lang w:val="en-IN"/>
        </w:rPr>
      </w:pPr>
      <w:r>
        <w:rPr>
          <w:rFonts w:ascii="Arial" w:hAnsi="Arial" w:cs="Arial"/>
          <w:b/>
          <w:i/>
          <w:iCs/>
          <w:lang w:val="en-IN"/>
        </w:rPr>
        <w:t xml:space="preserve">3.1.2.4 </w:t>
      </w:r>
      <w:r>
        <w:rPr>
          <w:rFonts w:ascii="Arial" w:hAnsi="Arial" w:cs="Arial"/>
          <w:b/>
          <w:lang w:val="en-IN"/>
        </w:rPr>
        <w:t>Dry matter accumulation at 30, 60, 90 DAS and at harvest (g)</w:t>
      </w:r>
    </w:p>
    <w:p>
      <w:pPr>
        <w:pStyle w:val="Body"/>
        <w:spacing w:after="0" w:line="276" w:lineRule="auto"/>
        <w:ind w:firstLine="720"/>
        <w:rPr>
          <w:rFonts w:ascii="Arial" w:hAnsi="Arial" w:cs="Arial"/>
          <w:bCs/>
          <w:lang w:val="en-IN"/>
        </w:rPr>
      </w:pPr>
      <w:r>
        <w:rPr>
          <w:rFonts w:ascii="Arial" w:hAnsi="Arial" w:cs="Arial"/>
          <w:bCs/>
          <w:lang w:val="en-IN"/>
        </w:rPr>
        <w:t>According to Table 1 dry matter accumulation at 30, 60, 90 DAS and at harvest was significantly influenced by sowing dates. The significant maximum dry matter accumulation at 30 DAS (7.24 g), at 60 DAS (18.38 g), at 90 DAS (27.59 g) and at harvest (32.84 g) was found under 6</w:t>
      </w:r>
      <w:r>
        <w:rPr>
          <w:rFonts w:ascii="Arial" w:hAnsi="Arial" w:cs="Arial"/>
          <w:bCs/>
          <w:vertAlign w:val="superscript"/>
          <w:lang w:val="en-IN"/>
        </w:rPr>
        <w:t>th</w:t>
      </w:r>
      <w:r>
        <w:rPr>
          <w:rFonts w:ascii="Arial" w:hAnsi="Arial" w:cs="Arial"/>
          <w:bCs/>
          <w:lang w:val="en-IN"/>
        </w:rPr>
        <w:t xml:space="preserve"> SMW, which was at par with 8</w:t>
      </w:r>
      <w:r>
        <w:rPr>
          <w:rFonts w:ascii="Arial" w:hAnsi="Arial" w:cs="Arial"/>
          <w:bCs/>
          <w:vertAlign w:val="superscript"/>
          <w:lang w:val="en-IN"/>
        </w:rPr>
        <w:t>th</w:t>
      </w:r>
      <w:r>
        <w:rPr>
          <w:rFonts w:ascii="Arial" w:hAnsi="Arial" w:cs="Arial"/>
          <w:bCs/>
          <w:lang w:val="en-IN"/>
        </w:rPr>
        <w:t xml:space="preserve"> SMW in case of 30 DAS (7.21 g), 60 DAS (16.83 g) and 90 DAS (26.38 g). Among the varieties, significant maximum dry matter accumulation at 30 DAS (6.58 g), at 60 DAS (17.01 g), at 90 DAS (26.77 g) and at harvest (31.82 g) was obtained by GJG-31 variety, which was at par with GG-37 at 30 DAS (6.25 g), 60 DAS (16.29 g), 90 DAS (25.56 g) and at harvest (30.51 g). It could be due to environmental condition during 6</w:t>
      </w:r>
      <w:r>
        <w:rPr>
          <w:rFonts w:ascii="Arial" w:hAnsi="Arial" w:cs="Arial"/>
          <w:bCs/>
          <w:vertAlign w:val="superscript"/>
          <w:lang w:val="en-IN"/>
        </w:rPr>
        <w:t>th</w:t>
      </w:r>
      <w:r>
        <w:rPr>
          <w:rFonts w:ascii="Arial" w:hAnsi="Arial" w:cs="Arial"/>
          <w:bCs/>
          <w:lang w:val="en-IN"/>
        </w:rPr>
        <w:t xml:space="preserve"> SMW may have promoted photosynthetic activity, better root development and improved nutrient uptake, which may have led to higher biomass production, while reduced dry matter accumulation during early and late sowing may be because of sub-optimal temperature and lower growth vigour and reduced growing duration and stress condition respectively which may restrict photosynthate accumulation. The similar results have been reported by </w:t>
      </w:r>
      <w:proofErr w:type="spellStart"/>
      <w:r>
        <w:rPr>
          <w:rFonts w:ascii="Arial" w:hAnsi="Arial" w:cs="Arial"/>
          <w:bCs/>
          <w:lang w:val="en-IN"/>
        </w:rPr>
        <w:t>Shendage</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(2018), Vijaykumar and </w:t>
      </w:r>
      <w:proofErr w:type="spellStart"/>
      <w:r>
        <w:rPr>
          <w:rFonts w:ascii="Arial" w:hAnsi="Arial" w:cs="Arial"/>
          <w:bCs/>
          <w:lang w:val="en-IN"/>
        </w:rPr>
        <w:t>Geethalakshmi</w:t>
      </w:r>
      <w:proofErr w:type="spellEnd"/>
      <w:r>
        <w:rPr>
          <w:rFonts w:ascii="Arial" w:hAnsi="Arial" w:cs="Arial"/>
          <w:bCs/>
          <w:lang w:val="en-IN"/>
        </w:rPr>
        <w:t xml:space="preserve"> (2018), </w:t>
      </w:r>
      <w:proofErr w:type="spellStart"/>
      <w:r>
        <w:rPr>
          <w:rFonts w:ascii="Arial" w:hAnsi="Arial" w:cs="Arial"/>
          <w:bCs/>
          <w:lang w:val="en-IN"/>
        </w:rPr>
        <w:t>Birajdar</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(2020), Sireesha and Dawson </w:t>
      </w:r>
      <w:r>
        <w:rPr>
          <w:rFonts w:ascii="Arial" w:hAnsi="Arial" w:cs="Arial"/>
          <w:bCs/>
          <w:i/>
          <w:iCs/>
          <w:lang w:val="en-IN"/>
        </w:rPr>
        <w:t>et al.</w:t>
      </w:r>
      <w:r>
        <w:rPr>
          <w:rFonts w:ascii="Arial" w:hAnsi="Arial" w:cs="Arial"/>
          <w:bCs/>
          <w:lang w:val="en-IN"/>
        </w:rPr>
        <w:t xml:space="preserve"> (2022), Nayak </w:t>
      </w:r>
      <w:r>
        <w:rPr>
          <w:rFonts w:ascii="Arial" w:hAnsi="Arial" w:cs="Arial"/>
          <w:bCs/>
          <w:i/>
          <w:iCs/>
          <w:lang w:val="en-IN"/>
        </w:rPr>
        <w:t>et al.</w:t>
      </w:r>
      <w:r>
        <w:rPr>
          <w:rFonts w:ascii="Arial" w:hAnsi="Arial" w:cs="Arial"/>
          <w:bCs/>
          <w:lang w:val="en-IN"/>
        </w:rPr>
        <w:t xml:space="preserve"> (2023) and </w:t>
      </w:r>
      <w:proofErr w:type="spellStart"/>
      <w:r>
        <w:rPr>
          <w:rFonts w:ascii="Arial" w:hAnsi="Arial" w:cs="Arial"/>
          <w:bCs/>
          <w:lang w:val="en-IN"/>
        </w:rPr>
        <w:t>Patoliya</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(2024).</w:t>
      </w:r>
    </w:p>
    <w:p>
      <w:pPr>
        <w:pStyle w:val="Body"/>
        <w:spacing w:after="0" w:line="276" w:lineRule="auto"/>
        <w:ind w:firstLine="720"/>
        <w:rPr>
          <w:rFonts w:ascii="Arial" w:hAnsi="Arial" w:cs="Arial"/>
          <w:bCs/>
          <w:lang w:val="en-IN"/>
        </w:rPr>
      </w:pPr>
    </w:p>
    <w:p>
      <w:pPr>
        <w:pStyle w:val="Body"/>
        <w:spacing w:after="0" w:line="276" w:lineRule="auto"/>
        <w:rPr>
          <w:rFonts w:ascii="Arial" w:hAnsi="Arial" w:cs="Arial"/>
          <w:b/>
          <w:u w:val="single"/>
          <w:lang w:val="en-IN"/>
        </w:rPr>
      </w:pPr>
      <w:r>
        <w:rPr>
          <w:rFonts w:ascii="Arial" w:hAnsi="Arial" w:cs="Arial"/>
          <w:b/>
          <w:u w:val="single"/>
          <w:lang w:val="en-IN"/>
        </w:rPr>
        <w:t>3.1.3 Yield attributes and yield</w:t>
      </w:r>
    </w:p>
    <w:p>
      <w:pPr>
        <w:pStyle w:val="Body"/>
        <w:spacing w:after="0" w:line="276" w:lineRule="auto"/>
        <w:rPr>
          <w:rFonts w:ascii="Arial" w:hAnsi="Arial" w:cs="Arial"/>
          <w:b/>
          <w:lang w:val="en-IN"/>
        </w:rPr>
      </w:pPr>
    </w:p>
    <w:p>
      <w:pPr>
        <w:pStyle w:val="Body"/>
        <w:spacing w:after="0" w:line="276" w:lineRule="auto"/>
        <w:rPr>
          <w:rFonts w:ascii="Arial" w:hAnsi="Arial" w:cs="Arial"/>
          <w:b/>
          <w:lang w:val="en-IN"/>
        </w:rPr>
      </w:pPr>
      <w:r>
        <w:rPr>
          <w:rFonts w:ascii="Arial" w:hAnsi="Arial" w:cs="Arial"/>
          <w:b/>
          <w:i/>
          <w:iCs/>
          <w:lang w:val="en-IN"/>
        </w:rPr>
        <w:t xml:space="preserve">3.1.3.1 </w:t>
      </w:r>
      <w:r>
        <w:rPr>
          <w:rFonts w:ascii="Arial" w:hAnsi="Arial" w:cs="Arial"/>
          <w:b/>
          <w:lang w:val="en-IN"/>
        </w:rPr>
        <w:t xml:space="preserve">Number of pods per plant </w:t>
      </w:r>
    </w:p>
    <w:p>
      <w:pPr>
        <w:pStyle w:val="Body"/>
        <w:spacing w:after="0" w:line="276" w:lineRule="auto"/>
        <w:ind w:firstLine="720"/>
        <w:rPr>
          <w:rFonts w:ascii="Arial" w:hAnsi="Arial" w:cs="Arial"/>
          <w:bCs/>
          <w:lang w:val="en-IN"/>
        </w:rPr>
      </w:pPr>
      <w:r>
        <w:rPr>
          <w:rFonts w:ascii="Arial" w:hAnsi="Arial" w:cs="Arial"/>
          <w:bCs/>
          <w:lang w:val="en-IN"/>
        </w:rPr>
        <w:t>The results showed in Table 2 revealed that sowing dates significantly influenced the number of pods per plant. The significantly highest number of pods per plant (16.40) was recorded in 6</w:t>
      </w:r>
      <w:r>
        <w:rPr>
          <w:rFonts w:ascii="Arial" w:hAnsi="Arial" w:cs="Arial"/>
          <w:bCs/>
          <w:vertAlign w:val="superscript"/>
          <w:lang w:val="en-IN"/>
        </w:rPr>
        <w:t>th</w:t>
      </w:r>
      <w:r>
        <w:rPr>
          <w:rFonts w:ascii="Arial" w:hAnsi="Arial" w:cs="Arial"/>
          <w:bCs/>
          <w:lang w:val="en-IN"/>
        </w:rPr>
        <w:t xml:space="preserve"> SMW) and was followed by 8</w:t>
      </w:r>
      <w:r>
        <w:rPr>
          <w:rFonts w:ascii="Arial" w:hAnsi="Arial" w:cs="Arial"/>
          <w:bCs/>
          <w:vertAlign w:val="superscript"/>
          <w:lang w:val="en-IN"/>
        </w:rPr>
        <w:t>th</w:t>
      </w:r>
      <w:r>
        <w:rPr>
          <w:rFonts w:ascii="Arial" w:hAnsi="Arial" w:cs="Arial"/>
          <w:bCs/>
          <w:lang w:val="en-IN"/>
        </w:rPr>
        <w:t xml:space="preserve"> SMW (14.95) and 10</w:t>
      </w:r>
      <w:r>
        <w:rPr>
          <w:rFonts w:ascii="Arial" w:hAnsi="Arial" w:cs="Arial"/>
          <w:bCs/>
          <w:vertAlign w:val="superscript"/>
          <w:lang w:val="en-IN"/>
        </w:rPr>
        <w:t>th</w:t>
      </w:r>
      <w:r>
        <w:rPr>
          <w:rFonts w:ascii="Arial" w:hAnsi="Arial" w:cs="Arial"/>
          <w:bCs/>
          <w:lang w:val="en-IN"/>
        </w:rPr>
        <w:t xml:space="preserve"> SMW (13.38). Among the varieties, GJG-31 recorded the significantly highest number of pods per plant (15.54), </w:t>
      </w:r>
      <w:r>
        <w:rPr>
          <w:rFonts w:ascii="Arial" w:hAnsi="Arial" w:cs="Arial"/>
          <w:bCs/>
          <w:lang w:val="en-IN"/>
        </w:rPr>
        <w:lastRenderedPageBreak/>
        <w:t>which was followed by GG-37 (14.26). This might be due to sowing in 6</w:t>
      </w:r>
      <w:r>
        <w:rPr>
          <w:rFonts w:ascii="Arial" w:hAnsi="Arial" w:cs="Arial"/>
          <w:bCs/>
          <w:vertAlign w:val="superscript"/>
          <w:lang w:val="en-IN"/>
        </w:rPr>
        <w:t>th</w:t>
      </w:r>
      <w:r>
        <w:rPr>
          <w:rFonts w:ascii="Arial" w:hAnsi="Arial" w:cs="Arial"/>
          <w:bCs/>
          <w:lang w:val="en-IN"/>
        </w:rPr>
        <w:t xml:space="preserve"> SMW provided optimal soil moisture, suitable temperatures and optimum sunshine during the critical phases reproductive phase. During early sowing, lower temperature may have adversely affected floral initiation and</w:t>
      </w:r>
      <w:r>
        <w:rPr>
          <w:rFonts w:ascii="Times New Roman" w:eastAsiaTheme="minorHAnsi" w:hAnsi="Times New Roman"/>
          <w:bCs/>
          <w:kern w:val="2"/>
          <w:sz w:val="24"/>
          <w:szCs w:val="24"/>
          <w:lang w:val="en-IN" w:bidi="hi-IN"/>
          <w14:ligatures w14:val="standardContextual"/>
        </w:rPr>
        <w:t xml:space="preserve"> </w:t>
      </w:r>
      <w:r>
        <w:rPr>
          <w:rFonts w:ascii="Arial" w:hAnsi="Arial" w:cs="Arial"/>
          <w:bCs/>
          <w:lang w:val="en-IN"/>
        </w:rPr>
        <w:t xml:space="preserve">phase. During early sowing, lower temperature may have adversely affected floral initiation and pegging and during delayed sowing, the terminal heat may have led to poor pod filling. The findings are in close agreement with those obtained by Kumar </w:t>
      </w:r>
      <w:r>
        <w:rPr>
          <w:rFonts w:ascii="Arial" w:hAnsi="Arial" w:cs="Arial"/>
          <w:bCs/>
          <w:i/>
          <w:iCs/>
          <w:lang w:val="en-IN"/>
        </w:rPr>
        <w:t>et al.</w:t>
      </w:r>
      <w:r>
        <w:rPr>
          <w:rFonts w:ascii="Arial" w:hAnsi="Arial" w:cs="Arial"/>
          <w:bCs/>
          <w:lang w:val="en-IN"/>
        </w:rPr>
        <w:t xml:space="preserve"> (2017), Chaudhari </w:t>
      </w:r>
      <w:r>
        <w:rPr>
          <w:rFonts w:ascii="Arial" w:hAnsi="Arial" w:cs="Arial"/>
          <w:bCs/>
          <w:i/>
          <w:iCs/>
          <w:lang w:val="en-IN"/>
        </w:rPr>
        <w:t>et al.</w:t>
      </w:r>
      <w:r>
        <w:rPr>
          <w:rFonts w:ascii="Arial" w:hAnsi="Arial" w:cs="Arial"/>
          <w:bCs/>
          <w:lang w:val="en-IN"/>
        </w:rPr>
        <w:t xml:space="preserve"> (2018), </w:t>
      </w:r>
      <w:proofErr w:type="spellStart"/>
      <w:r>
        <w:rPr>
          <w:rFonts w:ascii="Arial" w:hAnsi="Arial" w:cs="Arial"/>
          <w:bCs/>
          <w:lang w:val="en-IN"/>
        </w:rPr>
        <w:t>Shendage</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(2018), </w:t>
      </w:r>
      <w:proofErr w:type="spellStart"/>
      <w:r>
        <w:rPr>
          <w:rFonts w:ascii="Arial" w:hAnsi="Arial" w:cs="Arial"/>
          <w:bCs/>
          <w:lang w:val="en-IN"/>
        </w:rPr>
        <w:t>Birajdar</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(2020), Nayak </w:t>
      </w:r>
      <w:r>
        <w:rPr>
          <w:rFonts w:ascii="Arial" w:hAnsi="Arial" w:cs="Arial"/>
          <w:bCs/>
          <w:i/>
          <w:iCs/>
          <w:lang w:val="en-IN"/>
        </w:rPr>
        <w:t>et al.</w:t>
      </w:r>
      <w:r>
        <w:rPr>
          <w:rFonts w:ascii="Arial" w:hAnsi="Arial" w:cs="Arial"/>
          <w:bCs/>
          <w:lang w:val="en-IN"/>
        </w:rPr>
        <w:t xml:space="preserve"> (2023), </w:t>
      </w:r>
      <w:proofErr w:type="spellStart"/>
      <w:r>
        <w:rPr>
          <w:rFonts w:ascii="Arial" w:hAnsi="Arial" w:cs="Arial"/>
          <w:bCs/>
          <w:lang w:val="en-IN"/>
        </w:rPr>
        <w:t>Patoliya</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(2024) and Reager </w:t>
      </w:r>
      <w:r>
        <w:rPr>
          <w:rFonts w:ascii="Arial" w:hAnsi="Arial" w:cs="Arial"/>
          <w:bCs/>
          <w:i/>
          <w:iCs/>
          <w:lang w:val="en-IN"/>
        </w:rPr>
        <w:t>et al.</w:t>
      </w:r>
      <w:r>
        <w:rPr>
          <w:rFonts w:ascii="Arial" w:hAnsi="Arial" w:cs="Arial"/>
          <w:bCs/>
          <w:lang w:val="en-IN"/>
        </w:rPr>
        <w:t xml:space="preserve"> (2024).</w:t>
      </w:r>
    </w:p>
    <w:p>
      <w:pPr>
        <w:pStyle w:val="Body"/>
        <w:spacing w:after="0" w:line="276" w:lineRule="auto"/>
        <w:rPr>
          <w:rFonts w:ascii="Arial" w:hAnsi="Arial" w:cs="Arial"/>
          <w:b/>
          <w:bCs/>
          <w:lang w:val="en-IN"/>
        </w:rPr>
      </w:pPr>
      <w:r>
        <w:rPr>
          <w:rFonts w:ascii="Arial" w:hAnsi="Arial" w:cs="Arial"/>
          <w:b/>
          <w:bCs/>
          <w:i/>
          <w:iCs/>
          <w:lang w:val="en-IN"/>
        </w:rPr>
        <w:t xml:space="preserve">3.1.3.2 </w:t>
      </w:r>
      <w:r>
        <w:rPr>
          <w:rFonts w:ascii="Arial" w:hAnsi="Arial" w:cs="Arial"/>
          <w:b/>
          <w:bCs/>
          <w:lang w:val="en-IN"/>
        </w:rPr>
        <w:t xml:space="preserve">Total number of pegs per plant </w:t>
      </w:r>
    </w:p>
    <w:p>
      <w:pPr>
        <w:pStyle w:val="Body"/>
        <w:spacing w:after="0" w:line="276" w:lineRule="auto"/>
        <w:ind w:firstLine="720"/>
        <w:rPr>
          <w:rFonts w:ascii="Arial" w:hAnsi="Arial" w:cs="Arial"/>
          <w:bCs/>
          <w:lang w:val="en-IN"/>
        </w:rPr>
      </w:pPr>
      <w:r>
        <w:rPr>
          <w:rFonts w:ascii="Arial" w:hAnsi="Arial" w:cs="Arial"/>
          <w:bCs/>
          <w:lang w:val="en-IN"/>
        </w:rPr>
        <w:t>According to Table 2, the total number of pegs per plant was significantly influenced by sowing dates. The significant maximum number of pegs (17.91) was observed in 6</w:t>
      </w:r>
      <w:r>
        <w:rPr>
          <w:rFonts w:ascii="Arial" w:hAnsi="Arial" w:cs="Arial"/>
          <w:bCs/>
          <w:vertAlign w:val="superscript"/>
          <w:lang w:val="en-IN"/>
        </w:rPr>
        <w:t>th</w:t>
      </w:r>
      <w:r>
        <w:rPr>
          <w:rFonts w:ascii="Arial" w:hAnsi="Arial" w:cs="Arial"/>
          <w:bCs/>
          <w:lang w:val="en-IN"/>
        </w:rPr>
        <w:t xml:space="preserve"> SMW, which remain statistically at par with 8</w:t>
      </w:r>
      <w:r>
        <w:rPr>
          <w:rFonts w:ascii="Arial" w:hAnsi="Arial" w:cs="Arial"/>
          <w:bCs/>
          <w:vertAlign w:val="superscript"/>
          <w:lang w:val="en-IN"/>
        </w:rPr>
        <w:t>th</w:t>
      </w:r>
      <w:r>
        <w:rPr>
          <w:rFonts w:ascii="Arial" w:hAnsi="Arial" w:cs="Arial"/>
          <w:bCs/>
          <w:lang w:val="en-IN"/>
        </w:rPr>
        <w:t xml:space="preserve"> SMW (16.83). Among the varieties, the significantly maximum total number of pegs per plant (17.07) was observed in GJG-31, which was statistically at par with GG-37 (16.28). Peg development is maximized when flowering and peg elongation coincide with moderate temperature and adequate moisture as it promotes better vegetative growth, enhanced flowering and efficient peg initiation. These conditions may have served during 6</w:t>
      </w:r>
      <w:r>
        <w:rPr>
          <w:rFonts w:ascii="Arial" w:hAnsi="Arial" w:cs="Arial"/>
          <w:bCs/>
          <w:vertAlign w:val="superscript"/>
          <w:lang w:val="en-IN"/>
        </w:rPr>
        <w:t>th</w:t>
      </w:r>
      <w:r>
        <w:rPr>
          <w:rFonts w:ascii="Arial" w:hAnsi="Arial" w:cs="Arial"/>
          <w:bCs/>
          <w:lang w:val="en-IN"/>
        </w:rPr>
        <w:t xml:space="preserve"> SMW sowing. Lower night temperatures during early sowing reduce enzymatic activity and slower the physiological process which may results in delay the flowering and poor peg penetration while during late sowing higher temperature may have cause flower drop and peg abortion. The results are in close association with findings of </w:t>
      </w:r>
      <w:proofErr w:type="spellStart"/>
      <w:r>
        <w:rPr>
          <w:rFonts w:ascii="Arial" w:hAnsi="Arial" w:cs="Arial"/>
          <w:bCs/>
          <w:lang w:val="en-IN"/>
        </w:rPr>
        <w:t>Birajdar</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(2020) and Reager </w:t>
      </w:r>
      <w:r>
        <w:rPr>
          <w:rFonts w:ascii="Arial" w:hAnsi="Arial" w:cs="Arial"/>
          <w:bCs/>
          <w:i/>
          <w:iCs/>
          <w:lang w:val="en-IN"/>
        </w:rPr>
        <w:t>et al.</w:t>
      </w:r>
      <w:r>
        <w:rPr>
          <w:rFonts w:ascii="Arial" w:hAnsi="Arial" w:cs="Arial"/>
          <w:bCs/>
          <w:lang w:val="en-IN"/>
        </w:rPr>
        <w:t xml:space="preserve"> (2024).</w:t>
      </w:r>
    </w:p>
    <w:p>
      <w:pPr>
        <w:pStyle w:val="Body"/>
        <w:spacing w:after="0" w:line="276" w:lineRule="auto"/>
        <w:rPr>
          <w:rFonts w:ascii="Arial" w:hAnsi="Arial" w:cs="Arial"/>
          <w:b/>
          <w:bCs/>
          <w:lang w:val="en-IN"/>
        </w:rPr>
      </w:pPr>
      <w:r>
        <w:rPr>
          <w:rFonts w:ascii="Arial" w:hAnsi="Arial" w:cs="Arial"/>
          <w:b/>
          <w:bCs/>
          <w:i/>
          <w:iCs/>
          <w:lang w:val="en-IN"/>
        </w:rPr>
        <w:t xml:space="preserve">3.1.3.3 </w:t>
      </w:r>
      <w:r>
        <w:rPr>
          <w:rFonts w:ascii="Arial" w:hAnsi="Arial" w:cs="Arial"/>
          <w:b/>
          <w:bCs/>
          <w:lang w:val="en-IN"/>
        </w:rPr>
        <w:t>Shelling percentage (%)</w:t>
      </w:r>
    </w:p>
    <w:p>
      <w:pPr>
        <w:pStyle w:val="Body"/>
        <w:spacing w:after="0" w:line="276" w:lineRule="auto"/>
        <w:ind w:firstLine="720"/>
        <w:rPr>
          <w:rFonts w:ascii="Arial" w:hAnsi="Arial" w:cs="Arial"/>
          <w:bCs/>
          <w:lang w:val="en-IN"/>
        </w:rPr>
      </w:pPr>
      <w:r>
        <w:rPr>
          <w:rFonts w:ascii="Arial" w:hAnsi="Arial" w:cs="Arial"/>
          <w:bCs/>
          <w:lang w:val="en-IN"/>
        </w:rPr>
        <w:t xml:space="preserve">The results showed in Table 2 revealed that sowing dates and varieties had non-significant effect on shelling percentage. </w:t>
      </w:r>
    </w:p>
    <w:p>
      <w:pPr>
        <w:pStyle w:val="Body"/>
        <w:spacing w:after="0" w:line="276" w:lineRule="auto"/>
        <w:rPr>
          <w:rFonts w:ascii="Arial" w:hAnsi="Arial" w:cs="Arial"/>
          <w:b/>
          <w:bCs/>
          <w:lang w:val="en-IN"/>
        </w:rPr>
      </w:pPr>
      <w:r>
        <w:rPr>
          <w:rFonts w:ascii="Arial" w:hAnsi="Arial" w:cs="Arial"/>
          <w:b/>
          <w:bCs/>
          <w:i/>
          <w:iCs/>
          <w:lang w:val="en-IN"/>
        </w:rPr>
        <w:t xml:space="preserve">3.1.3.4 </w:t>
      </w:r>
      <w:r>
        <w:rPr>
          <w:rFonts w:ascii="Arial" w:hAnsi="Arial" w:cs="Arial"/>
          <w:b/>
          <w:bCs/>
          <w:lang w:val="en-IN"/>
        </w:rPr>
        <w:t>Seed index (g)</w:t>
      </w:r>
    </w:p>
    <w:p>
      <w:pPr>
        <w:pStyle w:val="Body"/>
        <w:spacing w:after="0" w:line="276" w:lineRule="auto"/>
        <w:ind w:firstLine="720"/>
        <w:rPr>
          <w:rFonts w:ascii="Arial" w:hAnsi="Arial" w:cs="Arial"/>
          <w:bCs/>
          <w:lang w:val="en-IN"/>
        </w:rPr>
      </w:pPr>
      <w:r>
        <w:rPr>
          <w:rFonts w:ascii="Arial" w:hAnsi="Arial" w:cs="Arial"/>
          <w:bCs/>
          <w:lang w:val="en-IN"/>
        </w:rPr>
        <w:t xml:space="preserve">The data presented in Table 2 showed that sowing dates had non-significant effect and varieties had significant effect on test weight. Among the varieties, the significantly higher test weight (38.90 g) was found in GJG-31, which was followed by GG-37 (36.09 g). The finding was similar with Meena </w:t>
      </w:r>
      <w:r>
        <w:rPr>
          <w:rFonts w:ascii="Arial" w:hAnsi="Arial" w:cs="Arial"/>
          <w:bCs/>
          <w:i/>
          <w:iCs/>
          <w:lang w:val="en-IN"/>
        </w:rPr>
        <w:t>et al.</w:t>
      </w:r>
      <w:r>
        <w:rPr>
          <w:rFonts w:ascii="Arial" w:hAnsi="Arial" w:cs="Arial"/>
          <w:bCs/>
          <w:lang w:val="en-IN"/>
        </w:rPr>
        <w:t xml:space="preserve"> (2015) and </w:t>
      </w:r>
      <w:proofErr w:type="spellStart"/>
      <w:r>
        <w:rPr>
          <w:rFonts w:ascii="Arial" w:hAnsi="Arial" w:cs="Arial"/>
          <w:bCs/>
          <w:lang w:val="en-IN"/>
        </w:rPr>
        <w:t>Patoliya</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(2024).</w:t>
      </w:r>
    </w:p>
    <w:p>
      <w:pPr>
        <w:pStyle w:val="Body"/>
        <w:spacing w:after="0" w:line="276" w:lineRule="auto"/>
        <w:rPr>
          <w:rFonts w:ascii="Arial" w:hAnsi="Arial" w:cs="Arial"/>
          <w:b/>
          <w:bCs/>
          <w:lang w:val="en-IN"/>
        </w:rPr>
      </w:pPr>
      <w:r>
        <w:rPr>
          <w:rFonts w:ascii="Arial" w:hAnsi="Arial" w:cs="Arial"/>
          <w:b/>
          <w:bCs/>
          <w:i/>
          <w:iCs/>
          <w:lang w:val="en-IN"/>
        </w:rPr>
        <w:t xml:space="preserve">3.1.3.6 </w:t>
      </w:r>
      <w:r>
        <w:rPr>
          <w:rFonts w:ascii="Arial" w:hAnsi="Arial" w:cs="Arial"/>
          <w:b/>
          <w:bCs/>
          <w:lang w:val="en-IN"/>
        </w:rPr>
        <w:t>Haulm yield (kg/ha)</w:t>
      </w:r>
    </w:p>
    <w:p>
      <w:pPr>
        <w:pStyle w:val="Body"/>
        <w:spacing w:after="0" w:line="276" w:lineRule="auto"/>
        <w:rPr>
          <w:rFonts w:ascii="Arial" w:hAnsi="Arial" w:cs="Arial"/>
          <w:b/>
          <w:bCs/>
          <w:i/>
          <w:iCs/>
          <w:lang w:val="en-IN"/>
        </w:rPr>
      </w:pPr>
      <w:r>
        <w:rPr>
          <w:rFonts w:ascii="Arial" w:hAnsi="Arial" w:cs="Arial"/>
          <w:bCs/>
          <w:lang w:val="en-IN"/>
        </w:rPr>
        <w:t>The data furnished in the Table 2 showed that sowing dates have significant effect on haulm yield. The significantly higher haulm yield (2882 kg/ha) was found under 6</w:t>
      </w:r>
      <w:r>
        <w:rPr>
          <w:rFonts w:ascii="Arial" w:hAnsi="Arial" w:cs="Arial"/>
          <w:bCs/>
          <w:vertAlign w:val="superscript"/>
          <w:lang w:val="en-IN"/>
        </w:rPr>
        <w:t>th</w:t>
      </w:r>
      <w:r>
        <w:rPr>
          <w:rFonts w:ascii="Arial" w:hAnsi="Arial" w:cs="Arial"/>
          <w:bCs/>
          <w:lang w:val="en-IN"/>
        </w:rPr>
        <w:t xml:space="preserve"> SMW, which was at par with 8</w:t>
      </w:r>
      <w:r>
        <w:rPr>
          <w:rFonts w:ascii="Arial" w:hAnsi="Arial" w:cs="Arial"/>
          <w:bCs/>
          <w:vertAlign w:val="superscript"/>
          <w:lang w:val="en-IN"/>
        </w:rPr>
        <w:t>th</w:t>
      </w:r>
      <w:r>
        <w:rPr>
          <w:rFonts w:ascii="Arial" w:hAnsi="Arial" w:cs="Arial"/>
          <w:bCs/>
          <w:lang w:val="en-IN"/>
        </w:rPr>
        <w:t xml:space="preserve"> SMW (2265 kg/ha) and 10</w:t>
      </w:r>
      <w:r>
        <w:rPr>
          <w:rFonts w:ascii="Arial" w:hAnsi="Arial" w:cs="Arial"/>
          <w:bCs/>
          <w:vertAlign w:val="superscript"/>
          <w:lang w:val="en-IN"/>
        </w:rPr>
        <w:t>th</w:t>
      </w:r>
      <w:r>
        <w:rPr>
          <w:rFonts w:ascii="Arial" w:hAnsi="Arial" w:cs="Arial"/>
          <w:bCs/>
          <w:lang w:val="en-IN"/>
        </w:rPr>
        <w:t xml:space="preserve"> SMW (2771 kg/ha). Among the varieties, the significantly higher haulm yield (2840 kg/ha) was observed in the GJG-31, which was followed by GG-37 (2686 kg/ha).</w:t>
      </w:r>
    </w:p>
    <w:p>
      <w:pPr>
        <w:pStyle w:val="Body"/>
        <w:spacing w:after="0" w:line="276" w:lineRule="auto"/>
        <w:rPr>
          <w:rFonts w:ascii="Arial" w:hAnsi="Arial" w:cs="Arial"/>
          <w:b/>
          <w:bCs/>
          <w:i/>
          <w:iCs/>
          <w:lang w:val="en-IN"/>
        </w:rPr>
      </w:pPr>
    </w:p>
    <w:p>
      <w:pPr>
        <w:pStyle w:val="Body"/>
        <w:spacing w:after="0" w:line="276" w:lineRule="auto"/>
        <w:rPr>
          <w:rFonts w:ascii="Arial" w:hAnsi="Arial" w:cs="Arial"/>
          <w:b/>
          <w:bCs/>
          <w:i/>
          <w:iCs/>
          <w:lang w:val="en-IN"/>
        </w:rPr>
        <w:sectPr>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pPr>
        <w:widowControl w:val="0"/>
        <w:autoSpaceDE w:val="0"/>
        <w:autoSpaceDN w:val="0"/>
        <w:adjustRightInd w:val="0"/>
        <w:spacing w:line="276" w:lineRule="auto"/>
        <w:ind w:right="-188"/>
        <w:jc w:val="both"/>
        <w:rPr>
          <w:rFonts w:ascii="Arial" w:hAnsi="Arial" w:cs="Arial"/>
          <w:b/>
          <w:szCs w:val="24"/>
        </w:rPr>
      </w:pPr>
      <w:bookmarkStart w:id="1" w:name="_Hlk202206277"/>
      <w:r>
        <w:rPr>
          <w:rFonts w:ascii="Arial" w:hAnsi="Arial" w:cs="Arial"/>
          <w:b/>
          <w:szCs w:val="24"/>
        </w:rPr>
        <w:lastRenderedPageBreak/>
        <w:t xml:space="preserve">Table 1 Effect of sowing dates on plant population and growth parameters in summer groundnut varieties </w:t>
      </w:r>
    </w:p>
    <w:tbl>
      <w:tblPr>
        <w:tblW w:w="6289" w:type="pct"/>
        <w:tblInd w:w="-999" w:type="dxa"/>
        <w:tblLayout w:type="fixed"/>
        <w:tblLook w:val="04A0" w:firstRow="1" w:lastRow="0" w:firstColumn="1" w:lastColumn="0" w:noHBand="0" w:noVBand="1"/>
      </w:tblPr>
      <w:tblGrid>
        <w:gridCol w:w="1456"/>
        <w:gridCol w:w="1806"/>
        <w:gridCol w:w="1705"/>
        <w:gridCol w:w="1423"/>
        <w:gridCol w:w="814"/>
        <w:gridCol w:w="852"/>
        <w:gridCol w:w="992"/>
        <w:gridCol w:w="1699"/>
        <w:gridCol w:w="707"/>
        <w:gridCol w:w="852"/>
        <w:gridCol w:w="852"/>
        <w:gridCol w:w="992"/>
        <w:gridCol w:w="1695"/>
      </w:tblGrid>
      <w:tr>
        <w:trPr>
          <w:gridAfter w:val="1"/>
          <w:wAfter w:w="535" w:type="pct"/>
          <w:trHeight w:val="341"/>
        </w:trPr>
        <w:tc>
          <w:tcPr>
            <w:tcW w:w="459" w:type="pct"/>
            <w:vMerge w:val="restart"/>
            <w:tcBorders>
              <w:top w:val="single" w:sz="4" w:space="0" w:color="auto"/>
              <w:left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Treatment</w:t>
            </w:r>
          </w:p>
          <w:p>
            <w:pPr>
              <w:spacing w:line="276" w:lineRule="auto"/>
              <w:jc w:val="center"/>
              <w:rPr>
                <w:rFonts w:ascii="Arial" w:hAnsi="Arial" w:cs="Arial"/>
                <w:b/>
                <w:bCs/>
                <w:lang w:eastAsia="en-IN"/>
              </w:rPr>
            </w:pPr>
          </w:p>
        </w:tc>
        <w:tc>
          <w:tcPr>
            <w:tcW w:w="570" w:type="pct"/>
            <w:vMerge w:val="restart"/>
            <w:tcBorders>
              <w:top w:val="single" w:sz="4" w:space="0" w:color="auto"/>
              <w:left w:val="nil"/>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Initial plant population/ ha</w:t>
            </w:r>
          </w:p>
        </w:tc>
        <w:tc>
          <w:tcPr>
            <w:tcW w:w="538" w:type="pct"/>
            <w:vMerge w:val="restart"/>
            <w:tcBorders>
              <w:top w:val="single" w:sz="4" w:space="0" w:color="auto"/>
              <w:left w:val="nil"/>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Final plant population/ ha</w:t>
            </w:r>
          </w:p>
        </w:tc>
        <w:tc>
          <w:tcPr>
            <w:tcW w:w="449" w:type="pct"/>
            <w:vMerge w:val="restart"/>
            <w:tcBorders>
              <w:top w:val="single" w:sz="4" w:space="0" w:color="auto"/>
              <w:left w:val="nil"/>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Days to 50% flowering</w:t>
            </w:r>
          </w:p>
        </w:tc>
        <w:tc>
          <w:tcPr>
            <w:tcW w:w="839" w:type="pct"/>
            <w:gridSpan w:val="3"/>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Plant height (cm)</w:t>
            </w:r>
          </w:p>
        </w:tc>
        <w:tc>
          <w:tcPr>
            <w:tcW w:w="536" w:type="pct"/>
            <w:vMerge w:val="restart"/>
            <w:tcBorders>
              <w:top w:val="single" w:sz="4" w:space="0" w:color="auto"/>
              <w:left w:val="nil"/>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 xml:space="preserve">Number of </w:t>
            </w:r>
            <w:proofErr w:type="gramStart"/>
            <w:r>
              <w:rPr>
                <w:rFonts w:ascii="Arial" w:hAnsi="Arial" w:cs="Arial"/>
                <w:b/>
                <w:bCs/>
                <w:lang w:eastAsia="en-IN"/>
              </w:rPr>
              <w:t>branches/plant</w:t>
            </w:r>
            <w:proofErr w:type="gramEnd"/>
          </w:p>
        </w:tc>
        <w:tc>
          <w:tcPr>
            <w:tcW w:w="1074" w:type="pct"/>
            <w:gridSpan w:val="4"/>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Dry matter accumulation (g/plant)</w:t>
            </w:r>
          </w:p>
        </w:tc>
      </w:tr>
      <w:tr>
        <w:trPr>
          <w:gridAfter w:val="1"/>
          <w:wAfter w:w="535" w:type="pct"/>
          <w:trHeight w:val="341"/>
        </w:trPr>
        <w:tc>
          <w:tcPr>
            <w:tcW w:w="459" w:type="pct"/>
            <w:vMerge/>
            <w:tcBorders>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lang w:eastAsia="en-IN"/>
              </w:rPr>
            </w:pPr>
          </w:p>
        </w:tc>
        <w:tc>
          <w:tcPr>
            <w:tcW w:w="570" w:type="pct"/>
            <w:vMerge/>
            <w:tcBorders>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b/>
                <w:bCs/>
                <w:lang w:eastAsia="en-IN"/>
              </w:rPr>
            </w:pPr>
          </w:p>
        </w:tc>
        <w:tc>
          <w:tcPr>
            <w:tcW w:w="538" w:type="pct"/>
            <w:vMerge/>
            <w:tcBorders>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b/>
                <w:bCs/>
                <w:lang w:eastAsia="en-IN"/>
              </w:rPr>
            </w:pPr>
          </w:p>
        </w:tc>
        <w:tc>
          <w:tcPr>
            <w:tcW w:w="449" w:type="pct"/>
            <w:vMerge/>
            <w:tcBorders>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b/>
                <w:bCs/>
                <w:lang w:eastAsia="en-IN"/>
              </w:rPr>
            </w:pP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60 DAS</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90 DAS</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At harvest</w:t>
            </w:r>
          </w:p>
        </w:tc>
        <w:tc>
          <w:tcPr>
            <w:tcW w:w="536" w:type="pct"/>
            <w:vMerge/>
            <w:tcBorders>
              <w:left w:val="nil"/>
              <w:bottom w:val="single" w:sz="4" w:space="0" w:color="auto"/>
              <w:right w:val="single" w:sz="4" w:space="0" w:color="auto"/>
            </w:tcBorders>
            <w:vAlign w:val="center"/>
          </w:tcPr>
          <w:p>
            <w:pPr>
              <w:spacing w:line="276" w:lineRule="auto"/>
              <w:jc w:val="center"/>
              <w:rPr>
                <w:rFonts w:ascii="Arial" w:hAnsi="Arial" w:cs="Arial"/>
                <w:b/>
                <w:bCs/>
                <w:lang w:eastAsia="en-IN"/>
              </w:rPr>
            </w:pP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30 DAS</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60 DAS</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90 DAS</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eastAsia="en-IN"/>
              </w:rPr>
              <w:t>At harvest</w:t>
            </w:r>
          </w:p>
        </w:tc>
      </w:tr>
      <w:tr>
        <w:trPr>
          <w:gridAfter w:val="1"/>
          <w:wAfter w:w="535" w:type="pct"/>
          <w:trHeight w:val="341"/>
        </w:trPr>
        <w:tc>
          <w:tcPr>
            <w:tcW w:w="4465"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Sowing date</w:t>
            </w:r>
          </w:p>
        </w:tc>
      </w:tr>
      <w:tr>
        <w:trPr>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rPr>
            </w:pPr>
            <w:r>
              <w:rPr>
                <w:rFonts w:ascii="Arial" w:hAnsi="Arial" w:cs="Arial"/>
                <w:b/>
                <w:bCs/>
                <w:lang w:eastAsia="en-IN"/>
              </w:rPr>
              <w:t>D</w:t>
            </w:r>
            <w:r>
              <w:rPr>
                <w:rFonts w:ascii="Arial" w:hAnsi="Arial" w:cs="Arial"/>
                <w:b/>
                <w:bCs/>
                <w:vertAlign w:val="subscript"/>
                <w:lang w:eastAsia="en-IN"/>
              </w:rPr>
              <w:t>1</w:t>
            </w:r>
            <w:r>
              <w:rPr>
                <w:rFonts w:ascii="Arial" w:hAnsi="Arial" w:cs="Arial"/>
                <w:b/>
                <w:bCs/>
                <w:lang w:eastAsia="en-IN"/>
              </w:rPr>
              <w:t xml:space="preserve">: </w:t>
            </w:r>
            <w:r>
              <w:rPr>
                <w:rStyle w:val="fontstyle01"/>
                <w:rFonts w:ascii="Arial" w:hAnsi="Arial" w:cs="Arial"/>
                <w:b/>
                <w:bCs/>
                <w:sz w:val="20"/>
                <w:szCs w:val="20"/>
              </w:rPr>
              <w:t>4</w:t>
            </w:r>
            <w:r>
              <w:rPr>
                <w:rStyle w:val="fontstyle01"/>
                <w:rFonts w:ascii="Arial" w:hAnsi="Arial" w:cs="Arial"/>
                <w:b/>
                <w:bCs/>
                <w:sz w:val="20"/>
                <w:szCs w:val="20"/>
                <w:vertAlign w:val="superscript"/>
              </w:rPr>
              <w:t>th</w:t>
            </w:r>
            <w:r>
              <w:rPr>
                <w:rStyle w:val="fontstyle01"/>
                <w:rFonts w:ascii="Arial" w:hAnsi="Arial" w:cs="Arial"/>
                <w:b/>
                <w:bCs/>
                <w:sz w:val="20"/>
                <w:szCs w:val="20"/>
              </w:rPr>
              <w:t xml:space="preserve"> SMW</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142716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138910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45.89</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15.26</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18.08</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19.48</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7.00</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4.56</w:t>
            </w:r>
          </w:p>
        </w:tc>
        <w:tc>
          <w:tcPr>
            <w:tcW w:w="269" w:type="pct"/>
            <w:tcBorders>
              <w:top w:val="single" w:sz="4" w:space="0" w:color="auto"/>
              <w:bottom w:val="single" w:sz="4" w:space="0" w:color="auto"/>
              <w:right w:val="single" w:sz="4" w:space="0" w:color="auto"/>
            </w:tcBorders>
            <w:vAlign w:val="center"/>
          </w:tcPr>
          <w:p>
            <w:pPr>
              <w:spacing w:line="276" w:lineRule="auto"/>
              <w:jc w:val="center"/>
              <w:rPr>
                <w:rFonts w:ascii="Arial" w:hAnsi="Arial" w:cs="Arial"/>
              </w:rPr>
            </w:pPr>
            <w:r>
              <w:rPr>
                <w:rFonts w:ascii="Arial" w:hAnsi="Arial" w:cs="Arial"/>
                <w:color w:val="000000"/>
                <w:szCs w:val="28"/>
                <w:lang w:eastAsia="en-IN"/>
              </w:rPr>
              <w:t>14.62</w:t>
            </w:r>
          </w:p>
        </w:tc>
        <w:tc>
          <w:tcPr>
            <w:tcW w:w="269" w:type="pct"/>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Arial" w:hAnsi="Arial" w:cs="Arial"/>
              </w:rPr>
            </w:pPr>
            <w:r>
              <w:rPr>
                <w:rFonts w:ascii="Arial" w:hAnsi="Arial" w:cs="Arial"/>
                <w:color w:val="000000"/>
                <w:szCs w:val="28"/>
                <w:lang w:eastAsia="en-IN"/>
              </w:rPr>
              <w:t>22.90</w:t>
            </w:r>
          </w:p>
        </w:tc>
        <w:tc>
          <w:tcPr>
            <w:tcW w:w="313" w:type="pct"/>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Arial" w:hAnsi="Arial" w:cs="Arial"/>
              </w:rPr>
            </w:pPr>
            <w:r>
              <w:rPr>
                <w:rFonts w:ascii="Arial" w:hAnsi="Arial" w:cs="Arial"/>
                <w:color w:val="000000"/>
                <w:szCs w:val="28"/>
                <w:lang w:eastAsia="en-IN"/>
              </w:rPr>
              <w:t>29.37</w:t>
            </w:r>
          </w:p>
        </w:tc>
        <w:tc>
          <w:tcPr>
            <w:tcW w:w="535" w:type="pct"/>
            <w:tcBorders>
              <w:left w:val="single" w:sz="4" w:space="0" w:color="auto"/>
            </w:tcBorders>
          </w:tcPr>
          <w:p>
            <w:pPr>
              <w:spacing w:line="276" w:lineRule="auto"/>
              <w:rPr>
                <w:rFonts w:ascii="Arial" w:hAnsi="Arial" w:cs="Arial"/>
              </w:rPr>
            </w:pPr>
          </w:p>
        </w:tc>
      </w:tr>
      <w:tr>
        <w:trPr>
          <w:gridAfter w:val="1"/>
          <w:wAfter w:w="535" w:type="pct"/>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rPr>
            </w:pPr>
            <w:r>
              <w:rPr>
                <w:rFonts w:ascii="Arial" w:hAnsi="Arial" w:cs="Arial"/>
                <w:b/>
                <w:bCs/>
                <w:lang w:eastAsia="en-IN"/>
              </w:rPr>
              <w:t>D</w:t>
            </w:r>
            <w:r>
              <w:rPr>
                <w:rFonts w:ascii="Arial" w:hAnsi="Arial" w:cs="Arial"/>
                <w:b/>
                <w:bCs/>
                <w:vertAlign w:val="subscript"/>
                <w:lang w:eastAsia="en-IN"/>
              </w:rPr>
              <w:t>2</w:t>
            </w:r>
            <w:r>
              <w:rPr>
                <w:rFonts w:ascii="Arial" w:hAnsi="Arial" w:cs="Arial"/>
                <w:b/>
                <w:bCs/>
                <w:lang w:eastAsia="en-IN"/>
              </w:rPr>
              <w:t xml:space="preserve">: </w:t>
            </w:r>
            <w:r>
              <w:rPr>
                <w:rStyle w:val="fontstyle01"/>
                <w:rFonts w:ascii="Arial" w:hAnsi="Arial" w:cs="Arial"/>
                <w:b/>
                <w:bCs/>
                <w:sz w:val="20"/>
                <w:szCs w:val="20"/>
              </w:rPr>
              <w:t>6</w:t>
            </w:r>
            <w:r>
              <w:rPr>
                <w:rStyle w:val="fontstyle01"/>
                <w:rFonts w:ascii="Arial" w:hAnsi="Arial" w:cs="Arial"/>
                <w:b/>
                <w:bCs/>
                <w:sz w:val="20"/>
                <w:szCs w:val="20"/>
                <w:vertAlign w:val="superscript"/>
              </w:rPr>
              <w:t>th</w:t>
            </w:r>
            <w:r>
              <w:rPr>
                <w:rStyle w:val="fontstyle01"/>
                <w:rFonts w:ascii="Arial" w:hAnsi="Arial" w:cs="Arial"/>
                <w:b/>
                <w:bCs/>
                <w:sz w:val="20"/>
                <w:szCs w:val="20"/>
              </w:rPr>
              <w:t xml:space="preserve"> SMW</w:t>
            </w:r>
          </w:p>
          <w:p>
            <w:pPr>
              <w:spacing w:line="276" w:lineRule="auto"/>
              <w:rPr>
                <w:rFonts w:ascii="Arial" w:hAnsi="Arial" w:cs="Arial"/>
                <w:b/>
                <w:bCs/>
                <w:lang w:eastAsia="en-IN"/>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144527</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141393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42.67</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20.27</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22.42</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23.44</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9.22</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7.24</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18.38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27.59</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32.84</w:t>
            </w:r>
          </w:p>
        </w:tc>
      </w:tr>
      <w:tr>
        <w:trPr>
          <w:gridAfter w:val="1"/>
          <w:wAfter w:w="535" w:type="pct"/>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rPr>
            </w:pPr>
            <w:r>
              <w:rPr>
                <w:rFonts w:ascii="Arial" w:hAnsi="Arial" w:cs="Arial"/>
                <w:b/>
                <w:bCs/>
                <w:lang w:eastAsia="en-IN"/>
              </w:rPr>
              <w:t>D</w:t>
            </w:r>
            <w:r>
              <w:rPr>
                <w:rFonts w:ascii="Arial" w:hAnsi="Arial" w:cs="Arial"/>
                <w:b/>
                <w:bCs/>
                <w:vertAlign w:val="subscript"/>
                <w:lang w:eastAsia="en-IN"/>
              </w:rPr>
              <w:t>3</w:t>
            </w:r>
            <w:r>
              <w:rPr>
                <w:rFonts w:ascii="Arial" w:hAnsi="Arial" w:cs="Arial"/>
                <w:b/>
                <w:bCs/>
                <w:lang w:eastAsia="en-IN"/>
              </w:rPr>
              <w:t xml:space="preserve">: </w:t>
            </w:r>
            <w:r>
              <w:rPr>
                <w:rStyle w:val="fontstyle01"/>
                <w:rFonts w:ascii="Arial" w:hAnsi="Arial" w:cs="Arial"/>
                <w:b/>
                <w:bCs/>
                <w:sz w:val="20"/>
                <w:szCs w:val="20"/>
              </w:rPr>
              <w:t>8</w:t>
            </w:r>
            <w:r>
              <w:rPr>
                <w:rStyle w:val="fontstyle01"/>
                <w:rFonts w:ascii="Arial" w:hAnsi="Arial" w:cs="Arial"/>
                <w:b/>
                <w:bCs/>
                <w:sz w:val="20"/>
                <w:szCs w:val="20"/>
                <w:vertAlign w:val="superscript"/>
              </w:rPr>
              <w:t>th</w:t>
            </w:r>
            <w:r>
              <w:rPr>
                <w:rStyle w:val="fontstyle01"/>
                <w:rFonts w:ascii="Arial" w:hAnsi="Arial" w:cs="Arial"/>
                <w:b/>
                <w:bCs/>
                <w:sz w:val="20"/>
                <w:szCs w:val="20"/>
              </w:rPr>
              <w:t xml:space="preserve"> SMW</w:t>
            </w:r>
          </w:p>
          <w:p>
            <w:pPr>
              <w:spacing w:line="276" w:lineRule="auto"/>
              <w:rPr>
                <w:rFonts w:ascii="Arial" w:hAnsi="Arial" w:cs="Arial"/>
                <w:b/>
                <w:bCs/>
                <w:lang w:eastAsia="en-IN"/>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145432</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142060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41.22</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17.98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20.55</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21.81</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8.11</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7.21</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16.83</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26.38</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30.74</w:t>
            </w:r>
          </w:p>
        </w:tc>
      </w:tr>
      <w:tr>
        <w:trPr>
          <w:gridAfter w:val="1"/>
          <w:wAfter w:w="535" w:type="pct"/>
          <w:trHeight w:val="39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vertAlign w:val="superscript"/>
              </w:rPr>
            </w:pPr>
            <w:r>
              <w:rPr>
                <w:rFonts w:ascii="Arial" w:hAnsi="Arial" w:cs="Arial"/>
                <w:b/>
                <w:bCs/>
                <w:lang w:eastAsia="en-IN"/>
              </w:rPr>
              <w:t>D</w:t>
            </w:r>
            <w:r>
              <w:rPr>
                <w:rFonts w:ascii="Arial" w:hAnsi="Arial" w:cs="Arial"/>
                <w:b/>
                <w:bCs/>
                <w:vertAlign w:val="subscript"/>
                <w:lang w:eastAsia="en-IN"/>
              </w:rPr>
              <w:t>4</w:t>
            </w:r>
            <w:r>
              <w:rPr>
                <w:rFonts w:ascii="Arial" w:hAnsi="Arial" w:cs="Arial"/>
                <w:b/>
                <w:bCs/>
                <w:lang w:eastAsia="en-IN"/>
              </w:rPr>
              <w:t xml:space="preserve">: </w:t>
            </w:r>
            <w:r>
              <w:rPr>
                <w:rStyle w:val="fontstyle01"/>
                <w:rFonts w:ascii="Arial" w:hAnsi="Arial" w:cs="Arial"/>
                <w:b/>
                <w:bCs/>
                <w:sz w:val="20"/>
                <w:szCs w:val="20"/>
              </w:rPr>
              <w:t>10</w:t>
            </w:r>
            <w:r>
              <w:rPr>
                <w:rStyle w:val="fontstyle01"/>
                <w:rFonts w:ascii="Arial" w:hAnsi="Arial" w:cs="Arial"/>
                <w:b/>
                <w:bCs/>
                <w:sz w:val="20"/>
                <w:szCs w:val="20"/>
                <w:vertAlign w:val="superscript"/>
              </w:rPr>
              <w:t xml:space="preserve">th </w:t>
            </w:r>
            <w:r>
              <w:rPr>
                <w:rStyle w:val="fontstyle01"/>
                <w:rFonts w:ascii="Arial" w:hAnsi="Arial" w:cs="Arial"/>
                <w:b/>
                <w:bCs/>
                <w:sz w:val="20"/>
                <w:szCs w:val="20"/>
              </w:rPr>
              <w:t>SMW</w:t>
            </w:r>
          </w:p>
          <w:p>
            <w:pPr>
              <w:spacing w:line="276" w:lineRule="auto"/>
              <w:rPr>
                <w:rFonts w:ascii="Arial" w:hAnsi="Arial" w:cs="Arial"/>
                <w:b/>
                <w:bCs/>
                <w:lang w:eastAsia="en-IN"/>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141033</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137438</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40.67</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17.66</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19.25</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20.71</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7.78</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5.68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14.87</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24.97</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28.41</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1978.07</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2133.67</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1.09</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0.64</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0.60</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0.55</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0.31</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0.19</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0.47</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0.60</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0.55</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2.21</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2.07</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1.91</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1.08</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0.65</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1.64</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2.06</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1.91</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color w:val="000000"/>
                <w:lang w:eastAsia="en-IN"/>
              </w:rPr>
            </w:pPr>
            <w:r>
              <w:rPr>
                <w:rFonts w:ascii="Arial" w:hAnsi="Arial" w:cs="Arial"/>
                <w:color w:val="000000"/>
                <w:lang w:eastAsia="en-IN"/>
              </w:rPr>
              <w:t>C.V.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4.14</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4.57</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7.65</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10.76</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8.96</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7.73</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11.68</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9.08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8.78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7.03</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5.44</w:t>
            </w:r>
          </w:p>
        </w:tc>
      </w:tr>
      <w:tr>
        <w:trPr>
          <w:gridAfter w:val="1"/>
          <w:wAfter w:w="535" w:type="pct"/>
          <w:trHeight w:val="341"/>
        </w:trPr>
        <w:tc>
          <w:tcPr>
            <w:tcW w:w="4465" w:type="pct"/>
            <w:gridSpan w:val="1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pPr>
              <w:spacing w:line="276" w:lineRule="auto"/>
              <w:jc w:val="center"/>
              <w:rPr>
                <w:rFonts w:ascii="Arial" w:hAnsi="Arial" w:cs="Arial"/>
                <w:b/>
                <w:bCs/>
                <w:lang w:eastAsia="en-IN"/>
              </w:rPr>
            </w:pPr>
            <w:r>
              <w:rPr>
                <w:rFonts w:ascii="Arial" w:hAnsi="Arial" w:cs="Arial"/>
                <w:b/>
                <w:bCs/>
                <w:lang w:eastAsia="en-IN"/>
              </w:rPr>
              <w:t>Varieties</w:t>
            </w:r>
          </w:p>
        </w:tc>
      </w:tr>
      <w:tr>
        <w:trPr>
          <w:gridAfter w:val="1"/>
          <w:wAfter w:w="535" w:type="pct"/>
          <w:trHeight w:val="393"/>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lang w:eastAsia="en-IN"/>
              </w:rPr>
            </w:pPr>
            <w:r>
              <w:rPr>
                <w:rFonts w:ascii="Arial" w:hAnsi="Arial" w:cs="Arial"/>
                <w:b/>
                <w:bCs/>
                <w:lang w:eastAsia="en-IN"/>
              </w:rPr>
              <w:t>V</w:t>
            </w:r>
            <w:r>
              <w:rPr>
                <w:rFonts w:ascii="Arial" w:hAnsi="Arial" w:cs="Arial"/>
                <w:b/>
                <w:bCs/>
                <w:vertAlign w:val="subscript"/>
                <w:lang w:eastAsia="en-IN"/>
              </w:rPr>
              <w:t>1</w:t>
            </w:r>
            <w:r>
              <w:rPr>
                <w:rFonts w:ascii="Arial" w:hAnsi="Arial" w:cs="Arial"/>
                <w:b/>
                <w:bCs/>
                <w:lang w:eastAsia="en-IN"/>
              </w:rPr>
              <w:t>: GJG-31</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144074</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140882</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41.75</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19.35</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21.99</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23.42</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8.00</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6.58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17.01</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26.77</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31.82</w:t>
            </w:r>
          </w:p>
        </w:tc>
      </w:tr>
      <w:tr>
        <w:trPr>
          <w:gridAfter w:val="1"/>
          <w:wAfter w:w="535" w:type="pct"/>
          <w:trHeight w:val="393"/>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lang w:eastAsia="en-IN"/>
              </w:rPr>
            </w:pPr>
            <w:r>
              <w:rPr>
                <w:rFonts w:ascii="Arial" w:hAnsi="Arial" w:cs="Arial"/>
                <w:b/>
                <w:bCs/>
                <w:lang w:eastAsia="en-IN"/>
              </w:rPr>
              <w:t>V</w:t>
            </w:r>
            <w:r>
              <w:rPr>
                <w:rFonts w:ascii="Arial" w:hAnsi="Arial" w:cs="Arial"/>
                <w:b/>
                <w:bCs/>
                <w:vertAlign w:val="subscript"/>
                <w:lang w:eastAsia="en-IN"/>
              </w:rPr>
              <w:t>2</w:t>
            </w:r>
            <w:r>
              <w:rPr>
                <w:rFonts w:ascii="Arial" w:hAnsi="Arial" w:cs="Arial"/>
                <w:b/>
                <w:bCs/>
                <w:lang w:eastAsia="en-IN"/>
              </w:rPr>
              <w:t>: GG-34</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142966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139520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44.00</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16.17</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18.86</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20.03</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8.58</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5.69</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15.22</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24.05</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28.69</w:t>
            </w:r>
          </w:p>
        </w:tc>
      </w:tr>
      <w:tr>
        <w:trPr>
          <w:gridAfter w:val="1"/>
          <w:wAfter w:w="535" w:type="pct"/>
          <w:trHeight w:val="393"/>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lang w:eastAsia="en-IN"/>
              </w:rPr>
            </w:pPr>
            <w:r>
              <w:rPr>
                <w:rFonts w:ascii="Arial" w:hAnsi="Arial" w:cs="Arial"/>
                <w:b/>
                <w:bCs/>
                <w:lang w:eastAsia="en-IN"/>
              </w:rPr>
              <w:t>V</w:t>
            </w:r>
            <w:r>
              <w:rPr>
                <w:rFonts w:ascii="Arial" w:hAnsi="Arial" w:cs="Arial"/>
                <w:b/>
                <w:bCs/>
                <w:vertAlign w:val="subscript"/>
                <w:lang w:eastAsia="en-IN"/>
              </w:rPr>
              <w:t>3</w:t>
            </w:r>
            <w:r>
              <w:rPr>
                <w:rFonts w:ascii="Arial" w:hAnsi="Arial" w:cs="Arial"/>
                <w:b/>
                <w:bCs/>
                <w:lang w:eastAsia="en-IN"/>
              </w:rPr>
              <w:t>: GG-37</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143241</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139449</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42.08</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17.86</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19.37</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20.63</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7.50</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6.25</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16.29</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25.56</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30.51</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1673.36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1765.40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0.92</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0.50</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0.51</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0.40</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0.24</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0.16</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0.33</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0.45</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0.47</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1.99</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1.57</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0.62</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1.30</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1.77</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1.86</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C.V.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4.04</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4.37</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7.51</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9.82</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8.73</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6.48</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10.38</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8.92</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7.11</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6.14</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5.40</w:t>
            </w:r>
          </w:p>
        </w:tc>
      </w:tr>
      <w:tr>
        <w:trPr>
          <w:gridAfter w:val="1"/>
          <w:wAfter w:w="535" w:type="pct"/>
          <w:trHeight w:val="341"/>
        </w:trPr>
        <w:tc>
          <w:tcPr>
            <w:tcW w:w="4465"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Interaction (D x V)</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2606.72</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2846.15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1.14</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0.88</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0.81</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0.74</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0.45</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0.32</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0.56</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0.83</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0.87</w:t>
            </w:r>
          </w:p>
        </w:tc>
      </w:tr>
      <w:tr>
        <w:trPr>
          <w:gridAfter w:val="1"/>
          <w:wAfter w:w="535" w:type="pct"/>
          <w:trHeight w:val="313"/>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NS</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0.97</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1.73</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2.55</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8"/>
                <w:lang w:eastAsia="en-IN"/>
              </w:rPr>
              <w:t>2.67</w:t>
            </w:r>
          </w:p>
        </w:tc>
      </w:tr>
      <w:tr>
        <w:trPr>
          <w:gridAfter w:val="1"/>
          <w:wAfter w:w="535" w:type="pct"/>
          <w:trHeight w:val="313"/>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rPr>
                <w:rFonts w:ascii="Arial" w:hAnsi="Arial" w:cs="Arial"/>
                <w:color w:val="000000"/>
                <w:lang w:eastAsia="en-IN"/>
              </w:rPr>
            </w:pPr>
            <w:r>
              <w:rPr>
                <w:rFonts w:ascii="Arial" w:hAnsi="Arial" w:cs="Arial"/>
                <w:color w:val="000000"/>
                <w:lang w:eastAsia="en-IN"/>
              </w:rPr>
              <w:t>C.V.%</w:t>
            </w:r>
          </w:p>
        </w:tc>
        <w:tc>
          <w:tcPr>
            <w:tcW w:w="570"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3.15</w:t>
            </w:r>
          </w:p>
        </w:tc>
        <w:tc>
          <w:tcPr>
            <w:tcW w:w="538"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3.52</w:t>
            </w:r>
          </w:p>
        </w:tc>
        <w:tc>
          <w:tcPr>
            <w:tcW w:w="449"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4.63</w:t>
            </w:r>
          </w:p>
        </w:tc>
        <w:tc>
          <w:tcPr>
            <w:tcW w:w="257"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4"/>
                <w:lang w:eastAsia="en-IN"/>
              </w:rPr>
            </w:pPr>
            <w:r>
              <w:rPr>
                <w:rFonts w:ascii="Arial" w:hAnsi="Arial" w:cs="Arial"/>
                <w:color w:val="000000"/>
                <w:szCs w:val="24"/>
                <w:lang w:eastAsia="en-IN"/>
              </w:rPr>
              <w:t>8.57</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4"/>
                <w:lang w:eastAsia="en-IN"/>
              </w:rPr>
            </w:pPr>
            <w:r>
              <w:rPr>
                <w:rFonts w:ascii="Arial" w:hAnsi="Arial" w:cs="Arial"/>
                <w:color w:val="000000"/>
                <w:szCs w:val="24"/>
                <w:lang w:eastAsia="en-IN"/>
              </w:rPr>
              <w:t>6.98</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4"/>
                <w:lang w:eastAsia="en-IN"/>
              </w:rPr>
            </w:pPr>
            <w:r>
              <w:rPr>
                <w:rFonts w:ascii="Arial" w:hAnsi="Arial" w:cs="Arial"/>
                <w:color w:val="000000"/>
                <w:szCs w:val="24"/>
                <w:lang w:eastAsia="en-IN"/>
              </w:rPr>
              <w:t>5.99</w:t>
            </w:r>
          </w:p>
        </w:tc>
        <w:tc>
          <w:tcPr>
            <w:tcW w:w="536"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4"/>
                <w:lang w:eastAsia="en-IN"/>
              </w:rPr>
            </w:pPr>
            <w:r>
              <w:rPr>
                <w:rFonts w:ascii="Arial" w:hAnsi="Arial" w:cs="Arial"/>
                <w:color w:val="000000"/>
                <w:szCs w:val="24"/>
                <w:lang w:eastAsia="en-IN"/>
              </w:rPr>
              <w:t>9.66</w:t>
            </w:r>
          </w:p>
        </w:tc>
        <w:tc>
          <w:tcPr>
            <w:tcW w:w="22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8"/>
                <w:lang w:eastAsia="en-IN"/>
              </w:rPr>
            </w:pPr>
            <w:r>
              <w:rPr>
                <w:rFonts w:ascii="Arial" w:hAnsi="Arial" w:cs="Arial"/>
                <w:color w:val="000000"/>
                <w:szCs w:val="28"/>
                <w:lang w:eastAsia="en-IN"/>
              </w:rPr>
              <w:t>8.84</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8"/>
                <w:lang w:eastAsia="en-IN"/>
              </w:rPr>
            </w:pPr>
            <w:r>
              <w:rPr>
                <w:rFonts w:ascii="Arial" w:hAnsi="Arial" w:cs="Arial"/>
                <w:color w:val="000000"/>
                <w:szCs w:val="28"/>
                <w:lang w:eastAsia="en-IN"/>
              </w:rPr>
              <w:t>6.03</w:t>
            </w:r>
          </w:p>
        </w:tc>
        <w:tc>
          <w:tcPr>
            <w:tcW w:w="269"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8"/>
                <w:lang w:eastAsia="en-IN"/>
              </w:rPr>
            </w:pPr>
            <w:r>
              <w:rPr>
                <w:rFonts w:ascii="Arial" w:hAnsi="Arial" w:cs="Arial"/>
                <w:color w:val="000000"/>
                <w:szCs w:val="28"/>
                <w:lang w:eastAsia="en-IN"/>
              </w:rPr>
              <w:t>5.64</w:t>
            </w:r>
          </w:p>
        </w:tc>
        <w:tc>
          <w:tcPr>
            <w:tcW w:w="31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8"/>
                <w:lang w:eastAsia="en-IN"/>
              </w:rPr>
            </w:pPr>
            <w:r>
              <w:rPr>
                <w:rFonts w:ascii="Arial" w:hAnsi="Arial" w:cs="Arial"/>
                <w:color w:val="000000"/>
                <w:szCs w:val="28"/>
                <w:lang w:eastAsia="en-IN"/>
              </w:rPr>
              <w:t>4.95</w:t>
            </w:r>
          </w:p>
        </w:tc>
      </w:tr>
      <w:bookmarkEnd w:id="1"/>
    </w:tbl>
    <w:p>
      <w:pPr>
        <w:pStyle w:val="Body"/>
        <w:spacing w:after="0" w:line="276" w:lineRule="auto"/>
        <w:rPr>
          <w:rFonts w:ascii="Arial" w:hAnsi="Arial" w:cs="Arial"/>
          <w:lang w:val="en-IN"/>
        </w:rPr>
        <w:sectPr>
          <w:type w:val="continuous"/>
          <w:pgSz w:w="15840" w:h="12240" w:orient="landscape"/>
          <w:pgMar w:top="2019" w:right="1440" w:bottom="2019" w:left="2019" w:header="720" w:footer="1123" w:gutter="0"/>
          <w:cols w:space="720"/>
          <w:docGrid w:linePitch="272"/>
        </w:sectPr>
      </w:pPr>
    </w:p>
    <w:p>
      <w:pPr>
        <w:pStyle w:val="Body"/>
        <w:spacing w:after="0" w:line="276" w:lineRule="auto"/>
        <w:rPr>
          <w:rFonts w:ascii="Arial" w:hAnsi="Arial" w:cs="Arial"/>
          <w:bCs/>
          <w:lang w:val="en-IN"/>
        </w:rPr>
      </w:pPr>
      <w:r>
        <w:rPr>
          <w:rFonts w:ascii="Arial" w:hAnsi="Arial" w:cs="Arial"/>
          <w:bCs/>
          <w:lang w:val="en-IN"/>
        </w:rPr>
        <w:lastRenderedPageBreak/>
        <w:t>It might be due to 6</w:t>
      </w:r>
      <w:r>
        <w:rPr>
          <w:rFonts w:ascii="Arial" w:hAnsi="Arial" w:cs="Arial"/>
          <w:bCs/>
          <w:vertAlign w:val="superscript"/>
          <w:lang w:val="en-IN"/>
        </w:rPr>
        <w:t>th</w:t>
      </w:r>
      <w:r>
        <w:rPr>
          <w:rFonts w:ascii="Arial" w:hAnsi="Arial" w:cs="Arial"/>
          <w:bCs/>
          <w:lang w:val="en-IN"/>
        </w:rPr>
        <w:t xml:space="preserve"> SMW sowing provided favourable weather condition which promoted canopy development, photosynthetic activity, leaf area development and strong stem growth, resulting in higher accumulation of haulm biomass. In contrast, weather condition during other sowing dates might have negative effect on vegetative growth which lead leads to limited accumulation of haulm biomass. These findings are in agreement with those reported by Kumar </w:t>
      </w:r>
      <w:r>
        <w:rPr>
          <w:rFonts w:ascii="Arial" w:hAnsi="Arial" w:cs="Arial"/>
          <w:bCs/>
          <w:i/>
          <w:iCs/>
          <w:lang w:val="en-IN"/>
        </w:rPr>
        <w:t>et al.</w:t>
      </w:r>
      <w:r>
        <w:rPr>
          <w:rFonts w:ascii="Arial" w:hAnsi="Arial" w:cs="Arial"/>
          <w:bCs/>
          <w:lang w:val="en-IN"/>
        </w:rPr>
        <w:t xml:space="preserve"> (2017), Pal </w:t>
      </w:r>
      <w:r>
        <w:rPr>
          <w:rFonts w:ascii="Arial" w:hAnsi="Arial" w:cs="Arial"/>
          <w:bCs/>
          <w:i/>
          <w:iCs/>
          <w:lang w:val="en-IN"/>
        </w:rPr>
        <w:t>et al.</w:t>
      </w:r>
      <w:r>
        <w:rPr>
          <w:rFonts w:ascii="Arial" w:hAnsi="Arial" w:cs="Arial"/>
          <w:bCs/>
          <w:lang w:val="en-IN"/>
        </w:rPr>
        <w:t xml:space="preserve"> (2018), Vijayakumar and Geethalakshmi (2018), Sireesha and Dawson (2022) and Nayak </w:t>
      </w:r>
      <w:r>
        <w:rPr>
          <w:rFonts w:ascii="Arial" w:hAnsi="Arial" w:cs="Arial"/>
          <w:bCs/>
          <w:i/>
          <w:iCs/>
          <w:lang w:val="en-IN"/>
        </w:rPr>
        <w:t>et al.</w:t>
      </w:r>
      <w:r>
        <w:rPr>
          <w:rFonts w:ascii="Arial" w:hAnsi="Arial" w:cs="Arial"/>
          <w:bCs/>
          <w:lang w:val="en-IN"/>
        </w:rPr>
        <w:t xml:space="preserve"> (2023).</w:t>
      </w:r>
    </w:p>
    <w:p>
      <w:pPr>
        <w:pStyle w:val="Body"/>
        <w:spacing w:after="0" w:line="276" w:lineRule="auto"/>
        <w:rPr>
          <w:rFonts w:ascii="Arial" w:hAnsi="Arial" w:cs="Arial"/>
          <w:bCs/>
          <w:lang w:val="en-IN"/>
        </w:rPr>
      </w:pPr>
    </w:p>
    <w:p>
      <w:pPr>
        <w:pStyle w:val="Body"/>
        <w:spacing w:after="0" w:line="276" w:lineRule="auto"/>
        <w:rPr>
          <w:rFonts w:ascii="Arial" w:hAnsi="Arial" w:cs="Arial"/>
          <w:b/>
          <w:bCs/>
          <w:u w:val="single"/>
          <w:lang w:val="en-IN"/>
        </w:rPr>
      </w:pPr>
      <w:r>
        <w:rPr>
          <w:rFonts w:ascii="Arial" w:hAnsi="Arial" w:cs="Arial"/>
          <w:b/>
          <w:bCs/>
          <w:u w:val="single"/>
          <w:lang w:val="en-IN"/>
        </w:rPr>
        <w:t>3.1.4 Physiological parameters</w:t>
      </w:r>
    </w:p>
    <w:p>
      <w:pPr>
        <w:pStyle w:val="Body"/>
        <w:spacing w:after="0" w:line="276" w:lineRule="auto"/>
        <w:rPr>
          <w:rFonts w:ascii="Arial" w:hAnsi="Arial" w:cs="Arial"/>
          <w:b/>
          <w:bCs/>
          <w:lang w:val="en-IN"/>
        </w:rPr>
      </w:pPr>
    </w:p>
    <w:p>
      <w:pPr>
        <w:pStyle w:val="Body"/>
        <w:spacing w:after="0" w:line="276" w:lineRule="auto"/>
        <w:rPr>
          <w:rFonts w:ascii="Arial" w:hAnsi="Arial" w:cs="Arial"/>
          <w:b/>
          <w:bCs/>
          <w:lang w:val="en-IN"/>
        </w:rPr>
      </w:pPr>
      <w:r>
        <w:rPr>
          <w:rFonts w:ascii="Arial" w:hAnsi="Arial" w:cs="Arial"/>
          <w:b/>
          <w:bCs/>
          <w:i/>
          <w:iCs/>
          <w:lang w:val="en-IN"/>
        </w:rPr>
        <w:t xml:space="preserve">3.1.4.1 </w:t>
      </w:r>
      <w:r>
        <w:rPr>
          <w:rFonts w:ascii="Arial" w:hAnsi="Arial" w:cs="Arial"/>
          <w:b/>
          <w:bCs/>
          <w:lang w:val="en-IN"/>
        </w:rPr>
        <w:t>Crop Growth Rate at 0-30, 30-60, 60-90 and 90 DAS-harvest (g m</w:t>
      </w:r>
      <w:r>
        <w:rPr>
          <w:rFonts w:ascii="Arial" w:hAnsi="Arial" w:cs="Arial"/>
          <w:b/>
          <w:bCs/>
          <w:vertAlign w:val="superscript"/>
          <w:lang w:val="en-IN"/>
        </w:rPr>
        <w:t xml:space="preserve">-2 </w:t>
      </w:r>
      <w:r>
        <w:rPr>
          <w:rFonts w:ascii="Arial" w:hAnsi="Arial" w:cs="Arial"/>
          <w:b/>
          <w:bCs/>
          <w:lang w:val="en-IN"/>
        </w:rPr>
        <w:t>day</w:t>
      </w:r>
      <w:r>
        <w:rPr>
          <w:rFonts w:ascii="Arial" w:hAnsi="Arial" w:cs="Arial"/>
          <w:b/>
          <w:bCs/>
          <w:vertAlign w:val="superscript"/>
          <w:lang w:val="en-IN"/>
        </w:rPr>
        <w:t>-1</w:t>
      </w:r>
      <w:r>
        <w:rPr>
          <w:rFonts w:ascii="Arial" w:hAnsi="Arial" w:cs="Arial"/>
          <w:b/>
          <w:bCs/>
          <w:lang w:val="en-IN"/>
        </w:rPr>
        <w:t>)</w:t>
      </w:r>
    </w:p>
    <w:p>
      <w:pPr>
        <w:pStyle w:val="Body"/>
        <w:spacing w:after="0" w:line="276" w:lineRule="auto"/>
        <w:ind w:firstLine="720"/>
        <w:rPr>
          <w:rFonts w:ascii="Arial" w:hAnsi="Arial" w:cs="Arial"/>
          <w:bCs/>
          <w:lang w:val="en-IN"/>
        </w:rPr>
      </w:pPr>
      <w:r>
        <w:rPr>
          <w:rFonts w:ascii="Arial" w:hAnsi="Arial" w:cs="Arial"/>
          <w:bCs/>
          <w:lang w:val="en-IN"/>
        </w:rPr>
        <w:t>According to the data showed in Table 3 the sowing dates and varieties had significant effect on crop growth rate. The significantly maximum crop growth rate at 0-30 DAS (3.58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30-60 DAS (14.80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(18.51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(19.34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6</w:t>
      </w:r>
      <w:r>
        <w:rPr>
          <w:rFonts w:ascii="Arial" w:hAnsi="Arial" w:cs="Arial"/>
          <w:bCs/>
          <w:vertAlign w:val="superscript"/>
          <w:lang w:val="en-IN"/>
        </w:rPr>
        <w:t>th</w:t>
      </w:r>
      <w:r>
        <w:rPr>
          <w:rFonts w:ascii="Arial" w:hAnsi="Arial" w:cs="Arial"/>
          <w:bCs/>
          <w:lang w:val="en-IN"/>
        </w:rPr>
        <w:t xml:space="preserve"> SMW, which was statistically at par with 8</w:t>
      </w:r>
      <w:r>
        <w:rPr>
          <w:rFonts w:ascii="Arial" w:hAnsi="Arial" w:cs="Arial"/>
          <w:bCs/>
          <w:vertAlign w:val="superscript"/>
          <w:lang w:val="en-IN"/>
        </w:rPr>
        <w:t>th</w:t>
      </w:r>
      <w:r>
        <w:rPr>
          <w:rFonts w:ascii="Arial" w:hAnsi="Arial" w:cs="Arial"/>
          <w:bCs/>
          <w:lang w:val="en-IN"/>
        </w:rPr>
        <w:t xml:space="preserve"> SMW in case of 0-30 DAS (3.56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30-60 DAS(13.27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60-90 DAS (18.07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Among the varieties, the significantly maximum crop growth rate at 0-30 DAS (3.25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30-60 DAS (13.76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(18.23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(18.34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GJG-31, which was statistically at par with GG-37 at 0-30 DAS (3.09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30-60 DAS(13.20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60-90 DAS (17.44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90 DAS-harvest (17.72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This might be the result of enhanced leaf area expansion, canopy development and photosynthetic assimilation which supported increased dry matter production and resulted in higher CGR under 6</w:t>
      </w:r>
      <w:r>
        <w:rPr>
          <w:rFonts w:ascii="Arial" w:hAnsi="Arial" w:cs="Arial"/>
          <w:bCs/>
          <w:vertAlign w:val="superscript"/>
          <w:lang w:val="en-IN"/>
        </w:rPr>
        <w:t>th</w:t>
      </w:r>
      <w:r>
        <w:rPr>
          <w:rFonts w:ascii="Arial" w:hAnsi="Arial" w:cs="Arial"/>
          <w:bCs/>
          <w:lang w:val="en-IN"/>
        </w:rPr>
        <w:t xml:space="preserve"> SMW sowing. In contrast, during early sowing, sub-optimal conditions might have reduced enzyme activity and nutrient uptake and during delayed sowing increased air temperature might have accelerated senescence and reduce the effective duration of photosynthesis. Under both condition there could be decline in biomass accumulation and at end decline in CGR. The results are in close association with findings of Meena and Yadav (2014), </w:t>
      </w:r>
      <w:proofErr w:type="spellStart"/>
      <w:r>
        <w:rPr>
          <w:rFonts w:ascii="Arial" w:hAnsi="Arial" w:cs="Arial"/>
          <w:bCs/>
          <w:lang w:val="en-IN"/>
        </w:rPr>
        <w:t>Chongdar</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(2015), Reager </w:t>
      </w:r>
      <w:r>
        <w:rPr>
          <w:rFonts w:ascii="Arial" w:hAnsi="Arial" w:cs="Arial"/>
          <w:bCs/>
          <w:i/>
          <w:iCs/>
          <w:lang w:val="en-IN"/>
        </w:rPr>
        <w:t>et al.</w:t>
      </w:r>
      <w:r>
        <w:rPr>
          <w:rFonts w:ascii="Arial" w:hAnsi="Arial" w:cs="Arial"/>
          <w:bCs/>
          <w:lang w:val="en-IN"/>
        </w:rPr>
        <w:t xml:space="preserve"> (2020), Sireesha and Dawson (2022) and Nayak </w:t>
      </w:r>
      <w:r>
        <w:rPr>
          <w:rFonts w:ascii="Arial" w:hAnsi="Arial" w:cs="Arial"/>
          <w:bCs/>
          <w:i/>
          <w:iCs/>
          <w:lang w:val="en-IN"/>
        </w:rPr>
        <w:t>et al.</w:t>
      </w:r>
      <w:r>
        <w:rPr>
          <w:rFonts w:ascii="Arial" w:hAnsi="Arial" w:cs="Arial"/>
          <w:bCs/>
          <w:lang w:val="en-IN"/>
        </w:rPr>
        <w:t xml:space="preserve"> (2023).</w:t>
      </w:r>
    </w:p>
    <w:p>
      <w:pPr>
        <w:pStyle w:val="Body"/>
        <w:spacing w:after="0" w:line="276" w:lineRule="auto"/>
        <w:rPr>
          <w:rFonts w:ascii="Arial" w:hAnsi="Arial" w:cs="Arial"/>
          <w:b/>
          <w:bCs/>
          <w:lang w:val="en-IN"/>
        </w:rPr>
      </w:pPr>
      <w:r>
        <w:rPr>
          <w:rFonts w:ascii="Arial" w:hAnsi="Arial" w:cs="Arial"/>
          <w:b/>
          <w:bCs/>
          <w:i/>
          <w:iCs/>
          <w:lang w:val="en-IN"/>
        </w:rPr>
        <w:t xml:space="preserve">3.1.4.2 </w:t>
      </w:r>
      <w:r>
        <w:rPr>
          <w:rFonts w:ascii="Arial" w:hAnsi="Arial" w:cs="Arial"/>
          <w:b/>
          <w:bCs/>
          <w:lang w:val="en-IN"/>
        </w:rPr>
        <w:t>Relative Growth Rate at 30-60, 60-90 and 90 DAS-harvest (g g</w:t>
      </w:r>
      <w:r>
        <w:rPr>
          <w:rFonts w:ascii="Arial" w:hAnsi="Arial" w:cs="Arial"/>
          <w:b/>
          <w:bCs/>
          <w:vertAlign w:val="superscript"/>
          <w:lang w:val="en-IN"/>
        </w:rPr>
        <w:t xml:space="preserve">-1 </w:t>
      </w:r>
      <w:r>
        <w:rPr>
          <w:rFonts w:ascii="Arial" w:hAnsi="Arial" w:cs="Arial"/>
          <w:b/>
          <w:bCs/>
          <w:lang w:val="en-IN"/>
        </w:rPr>
        <w:t>day</w:t>
      </w:r>
      <w:r>
        <w:rPr>
          <w:rFonts w:ascii="Arial" w:hAnsi="Arial" w:cs="Arial"/>
          <w:b/>
          <w:bCs/>
          <w:vertAlign w:val="superscript"/>
          <w:lang w:val="en-IN"/>
        </w:rPr>
        <w:t>-1</w:t>
      </w:r>
      <w:r>
        <w:rPr>
          <w:rFonts w:ascii="Arial" w:hAnsi="Arial" w:cs="Arial"/>
          <w:b/>
          <w:bCs/>
          <w:lang w:val="en-IN"/>
        </w:rPr>
        <w:t>)</w:t>
      </w:r>
    </w:p>
    <w:p>
      <w:pPr>
        <w:pStyle w:val="Body"/>
        <w:spacing w:after="0" w:line="276" w:lineRule="auto"/>
        <w:ind w:firstLine="720"/>
        <w:rPr>
          <w:rFonts w:ascii="Arial" w:hAnsi="Arial" w:cs="Arial"/>
          <w:bCs/>
          <w:lang w:val="en-IN"/>
        </w:rPr>
      </w:pPr>
      <w:r>
        <w:rPr>
          <w:rFonts w:ascii="Arial" w:hAnsi="Arial" w:cs="Arial"/>
          <w:bCs/>
          <w:lang w:val="en-IN"/>
        </w:rPr>
        <w:t>The data furnished in Table 3 showed that the sowing dates and varieties had significant effect on relative growth rate. The significantly maximum relative growth rate at 30-60 DAS (2.84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(3.22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(3.38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6</w:t>
      </w:r>
      <w:r>
        <w:rPr>
          <w:rFonts w:ascii="Arial" w:hAnsi="Arial" w:cs="Arial"/>
          <w:bCs/>
          <w:vertAlign w:val="superscript"/>
          <w:lang w:val="en-IN"/>
        </w:rPr>
        <w:t>th</w:t>
      </w:r>
      <w:r>
        <w:rPr>
          <w:rFonts w:ascii="Arial" w:hAnsi="Arial" w:cs="Arial"/>
          <w:bCs/>
          <w:lang w:val="en-IN"/>
        </w:rPr>
        <w:t xml:space="preserve"> SMW. Among the varieties, the significantly maximum relative growth rate at 30-60 DAS (2.76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at 60-90 DAS (3.18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(3.34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was observed in GJG-31. This could be because of probable more effective leaf area expansion and photosynthetic activity during 6</w:t>
      </w:r>
      <w:r>
        <w:rPr>
          <w:rFonts w:ascii="Arial" w:hAnsi="Arial" w:cs="Arial"/>
          <w:bCs/>
          <w:vertAlign w:val="superscript"/>
          <w:lang w:val="en-IN"/>
        </w:rPr>
        <w:t>th</w:t>
      </w:r>
      <w:r>
        <w:rPr>
          <w:rFonts w:ascii="Arial" w:hAnsi="Arial" w:cs="Arial"/>
          <w:bCs/>
          <w:lang w:val="en-IN"/>
        </w:rPr>
        <w:t xml:space="preserve"> SMW which might have enhance metabolic efficiency, resulting in higher RGR due to improved assimilates production and utilization. The lower RGR in other sowing dates might because of in early sowing time sub-optimal environmental conditions might have reduced metabolic activity and in delayed sowing date, terminal heat and moisture stress might have led to decrease in assimilated production and higher respiratory losses. The findings are in close accordance with Meena and Yadav (2014), Reager </w:t>
      </w:r>
      <w:r>
        <w:rPr>
          <w:rFonts w:ascii="Arial" w:hAnsi="Arial" w:cs="Arial"/>
          <w:bCs/>
          <w:i/>
          <w:iCs/>
          <w:lang w:val="en-IN"/>
        </w:rPr>
        <w:t>et al.</w:t>
      </w:r>
      <w:r>
        <w:rPr>
          <w:rFonts w:ascii="Arial" w:hAnsi="Arial" w:cs="Arial"/>
          <w:bCs/>
          <w:lang w:val="en-IN"/>
        </w:rPr>
        <w:t xml:space="preserve"> (2020), Sireesha and Dawson (2022) and Nayak </w:t>
      </w:r>
      <w:r>
        <w:rPr>
          <w:rFonts w:ascii="Arial" w:hAnsi="Arial" w:cs="Arial"/>
          <w:bCs/>
          <w:i/>
          <w:iCs/>
          <w:lang w:val="en-IN"/>
        </w:rPr>
        <w:t>et al.</w:t>
      </w:r>
      <w:r>
        <w:rPr>
          <w:rFonts w:ascii="Arial" w:hAnsi="Arial" w:cs="Arial"/>
          <w:bCs/>
          <w:lang w:val="en-IN"/>
        </w:rPr>
        <w:t xml:space="preserve"> (2023).</w:t>
      </w:r>
    </w:p>
    <w:p>
      <w:pPr>
        <w:pStyle w:val="Body"/>
        <w:spacing w:after="0" w:line="276" w:lineRule="auto"/>
        <w:rPr>
          <w:rFonts w:ascii="Arial" w:hAnsi="Arial" w:cs="Arial"/>
          <w:b/>
          <w:bCs/>
          <w:u w:val="single"/>
          <w:lang w:val="en-IN"/>
        </w:rPr>
        <w:sectPr>
          <w:type w:val="continuous"/>
          <w:pgSz w:w="12240" w:h="15840"/>
          <w:pgMar w:top="1440" w:right="2019" w:bottom="2019" w:left="2019" w:header="720" w:footer="1123" w:gutter="0"/>
          <w:cols w:space="720"/>
          <w:docGrid w:linePitch="272"/>
        </w:sectPr>
      </w:pPr>
    </w:p>
    <w:p>
      <w:pPr>
        <w:widowControl w:val="0"/>
        <w:autoSpaceDE w:val="0"/>
        <w:autoSpaceDN w:val="0"/>
        <w:adjustRightInd w:val="0"/>
        <w:spacing w:line="276" w:lineRule="auto"/>
        <w:ind w:right="-1049"/>
        <w:jc w:val="both"/>
        <w:rPr>
          <w:rFonts w:ascii="Arial" w:hAnsi="Arial" w:cs="Arial"/>
          <w:b/>
          <w:bCs/>
          <w:szCs w:val="24"/>
        </w:rPr>
      </w:pPr>
      <w:r>
        <w:rPr>
          <w:rFonts w:ascii="Arial" w:hAnsi="Arial" w:cs="Arial"/>
          <w:b/>
          <w:bCs/>
          <w:szCs w:val="24"/>
        </w:rPr>
        <w:lastRenderedPageBreak/>
        <w:t>Table 2 Effect of sowing dates on yield attributes and yield in summer groundnut varieties</w:t>
      </w:r>
    </w:p>
    <w:tbl>
      <w:tblPr>
        <w:tblW w:w="4299" w:type="pct"/>
        <w:tblInd w:w="108" w:type="dxa"/>
        <w:tblLayout w:type="fixed"/>
        <w:tblLook w:val="04A0" w:firstRow="1" w:lastRow="0" w:firstColumn="1" w:lastColumn="0" w:noHBand="0" w:noVBand="1"/>
      </w:tblPr>
      <w:tblGrid>
        <w:gridCol w:w="1634"/>
        <w:gridCol w:w="1783"/>
        <w:gridCol w:w="1926"/>
        <w:gridCol w:w="1042"/>
        <w:gridCol w:w="1484"/>
        <w:gridCol w:w="1482"/>
        <w:gridCol w:w="1480"/>
      </w:tblGrid>
      <w:tr>
        <w:trPr>
          <w:trHeight w:val="352"/>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Treatment</w:t>
            </w:r>
          </w:p>
          <w:p>
            <w:pPr>
              <w:spacing w:line="276" w:lineRule="auto"/>
              <w:jc w:val="center"/>
              <w:rPr>
                <w:rFonts w:ascii="Arial" w:hAnsi="Arial" w:cs="Arial"/>
                <w:b/>
                <w:bCs/>
                <w:lang w:eastAsia="en-IN"/>
              </w:rPr>
            </w:pPr>
          </w:p>
          <w:p>
            <w:pPr>
              <w:spacing w:line="276" w:lineRule="auto"/>
              <w:jc w:val="center"/>
              <w:rPr>
                <w:rFonts w:ascii="Arial" w:hAnsi="Arial" w:cs="Arial"/>
                <w:b/>
                <w:bCs/>
                <w:lang w:eastAsia="en-IN"/>
              </w:rPr>
            </w:pP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 xml:space="preserve">Number of </w:t>
            </w:r>
            <w:proofErr w:type="gramStart"/>
            <w:r>
              <w:rPr>
                <w:rFonts w:ascii="Arial" w:hAnsi="Arial" w:cs="Arial"/>
                <w:b/>
                <w:bCs/>
                <w:lang w:eastAsia="en-IN"/>
              </w:rPr>
              <w:t>pods/plant</w:t>
            </w:r>
            <w:proofErr w:type="gramEnd"/>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 xml:space="preserve">Total number of </w:t>
            </w:r>
            <w:proofErr w:type="gramStart"/>
            <w:r>
              <w:rPr>
                <w:rFonts w:ascii="Arial" w:hAnsi="Arial" w:cs="Arial"/>
                <w:b/>
                <w:bCs/>
                <w:lang w:eastAsia="en-IN"/>
              </w:rPr>
              <w:t>pegs/plant</w:t>
            </w:r>
            <w:proofErr w:type="gramEnd"/>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Shelling</w:t>
            </w:r>
          </w:p>
          <w:p>
            <w:pPr>
              <w:spacing w:line="276" w:lineRule="auto"/>
              <w:jc w:val="center"/>
              <w:rPr>
                <w:rFonts w:ascii="Arial" w:hAnsi="Arial" w:cs="Arial"/>
                <w:b/>
                <w:bCs/>
                <w:lang w:eastAsia="en-IN"/>
              </w:rPr>
            </w:pPr>
            <w:r>
              <w:rPr>
                <w:rFonts w:ascii="Arial" w:hAnsi="Arial" w:cs="Arial"/>
                <w:b/>
                <w:bCs/>
                <w:lang w:eastAsia="en-IN"/>
              </w:rPr>
              <w:t>(%)</w:t>
            </w:r>
          </w:p>
          <w:p>
            <w:pPr>
              <w:spacing w:line="276" w:lineRule="auto"/>
              <w:jc w:val="center"/>
              <w:rPr>
                <w:rFonts w:ascii="Arial" w:hAnsi="Arial" w:cs="Arial"/>
                <w:b/>
                <w:bCs/>
                <w:lang w:eastAsia="en-IN"/>
              </w:rPr>
            </w:pP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Test weight</w:t>
            </w:r>
          </w:p>
          <w:p>
            <w:pPr>
              <w:spacing w:line="276" w:lineRule="auto"/>
              <w:jc w:val="center"/>
              <w:rPr>
                <w:rFonts w:ascii="Arial" w:hAnsi="Arial" w:cs="Arial"/>
                <w:b/>
                <w:bCs/>
                <w:lang w:eastAsia="en-IN"/>
              </w:rPr>
            </w:pPr>
            <w:r>
              <w:rPr>
                <w:rFonts w:ascii="Arial" w:hAnsi="Arial" w:cs="Arial"/>
                <w:b/>
                <w:bCs/>
                <w:lang w:eastAsia="en-IN"/>
              </w:rPr>
              <w:t>(g)</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szCs w:val="24"/>
                <w:lang w:eastAsia="en-IN"/>
              </w:rPr>
              <w:t>Pod yield (kg/ha)</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szCs w:val="24"/>
                <w:lang w:eastAsia="en-IN"/>
              </w:rPr>
              <w:t>Haulm yield (kg/ha)</w:t>
            </w:r>
          </w:p>
        </w:tc>
      </w:tr>
      <w:tr>
        <w:trPr>
          <w:trHeight w:val="35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Sowing date</w:t>
            </w:r>
          </w:p>
        </w:tc>
      </w:tr>
      <w:tr>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r>
              <w:rPr>
                <w:rFonts w:ascii="Arial" w:hAnsi="Arial" w:cs="Arial"/>
                <w:b/>
                <w:bCs/>
                <w:color w:val="000000"/>
                <w:lang w:eastAsia="en-IN"/>
              </w:rPr>
              <w:t>: 4</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12.36</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14.63</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66.10</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36.22</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1849</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2223</w:t>
            </w:r>
          </w:p>
        </w:tc>
      </w:tr>
      <w:tr>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r>
              <w:rPr>
                <w:rFonts w:ascii="Arial" w:hAnsi="Arial" w:cs="Arial"/>
                <w:b/>
                <w:bCs/>
                <w:color w:val="000000"/>
                <w:lang w:eastAsia="en-IN"/>
              </w:rPr>
              <w:t>: 6</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16.40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17.91</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69.50</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37.71</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2563</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2882</w:t>
            </w:r>
          </w:p>
        </w:tc>
      </w:tr>
      <w:tr>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3</w:t>
            </w:r>
            <w:r>
              <w:rPr>
                <w:rFonts w:ascii="Arial" w:hAnsi="Arial" w:cs="Arial"/>
                <w:b/>
                <w:bCs/>
                <w:color w:val="000000"/>
                <w:lang w:eastAsia="en-IN"/>
              </w:rPr>
              <w:t>: 8</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14.95</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16.83</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69.01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36.68</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2298</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2797</w:t>
            </w:r>
          </w:p>
        </w:tc>
      </w:tr>
      <w:tr>
        <w:trPr>
          <w:trHeight w:val="408"/>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4</w:t>
            </w:r>
            <w:r>
              <w:rPr>
                <w:rFonts w:ascii="Arial" w:hAnsi="Arial" w:cs="Arial"/>
                <w:b/>
                <w:bCs/>
                <w:color w:val="000000"/>
                <w:lang w:eastAsia="en-IN"/>
              </w:rPr>
              <w:t>: 10</w:t>
            </w:r>
            <w:r>
              <w:rPr>
                <w:rFonts w:ascii="Arial" w:hAnsi="Arial" w:cs="Arial"/>
                <w:b/>
                <w:bCs/>
                <w:color w:val="000000"/>
                <w:vertAlign w:val="superscript"/>
                <w:lang w:eastAsia="en-IN"/>
              </w:rPr>
              <w:t xml:space="preserve">th </w:t>
            </w:r>
            <w:r>
              <w:rPr>
                <w:rFonts w:ascii="Arial" w:hAnsi="Arial" w:cs="Arial"/>
                <w:b/>
                <w:bCs/>
                <w:color w:val="000000"/>
                <w:lang w:eastAsia="en-IN"/>
              </w:rPr>
              <w:t>SMW</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13.38</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15.77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67.83</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35.86</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2108</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2771</w:t>
            </w:r>
          </w:p>
        </w:tc>
      </w:tr>
      <w:tr>
        <w:trPr>
          <w:trHeight w:val="324"/>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0.39</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0.43</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1.43</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0.86</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57.35</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90.44</w:t>
            </w:r>
          </w:p>
        </w:tc>
      </w:tr>
      <w:tr>
        <w:trPr>
          <w:trHeight w:val="324"/>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1.34</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198.45</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312.98</w:t>
            </w:r>
          </w:p>
        </w:tc>
      </w:tr>
      <w:tr>
        <w:trPr>
          <w:trHeight w:val="324"/>
        </w:trPr>
        <w:tc>
          <w:tcPr>
            <w:tcW w:w="75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color w:val="000000"/>
                <w:lang w:eastAsia="en-IN"/>
              </w:rPr>
            </w:pPr>
            <w:r>
              <w:rPr>
                <w:rFonts w:ascii="Arial" w:hAnsi="Arial" w:cs="Arial"/>
                <w:color w:val="000000"/>
                <w:lang w:eastAsia="en-IN"/>
              </w:rPr>
              <w:t>C.V.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8.14</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7.96</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6.32</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7.04</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7.80</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10.17</w:t>
            </w:r>
          </w:p>
        </w:tc>
      </w:tr>
      <w:tr>
        <w:trPr>
          <w:trHeight w:val="352"/>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jc w:val="center"/>
              <w:rPr>
                <w:rFonts w:ascii="Arial" w:hAnsi="Arial" w:cs="Arial"/>
                <w:b/>
                <w:bCs/>
                <w:lang w:eastAsia="en-IN"/>
              </w:rPr>
            </w:pPr>
            <w:r>
              <w:rPr>
                <w:rFonts w:ascii="Arial" w:hAnsi="Arial" w:cs="Arial"/>
                <w:b/>
                <w:bCs/>
                <w:lang w:eastAsia="en-IN"/>
              </w:rPr>
              <w:t>Varieties</w:t>
            </w:r>
          </w:p>
        </w:tc>
      </w:tr>
      <w:tr>
        <w:trPr>
          <w:trHeight w:val="422"/>
        </w:trPr>
        <w:tc>
          <w:tcPr>
            <w:tcW w:w="7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1</w:t>
            </w:r>
            <w:r>
              <w:rPr>
                <w:rFonts w:ascii="Arial" w:hAnsi="Arial" w:cs="Arial"/>
                <w:b/>
                <w:bCs/>
                <w:color w:val="000000"/>
                <w:lang w:eastAsia="en-IN"/>
              </w:rPr>
              <w:t>: GJG-31</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15.54</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17.07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66.37</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38.90</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2403</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2840</w:t>
            </w:r>
          </w:p>
        </w:tc>
      </w:tr>
      <w:tr>
        <w:trPr>
          <w:trHeight w:val="422"/>
        </w:trPr>
        <w:tc>
          <w:tcPr>
            <w:tcW w:w="7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2</w:t>
            </w:r>
            <w:r>
              <w:rPr>
                <w:rFonts w:ascii="Arial" w:hAnsi="Arial" w:cs="Arial"/>
                <w:b/>
                <w:bCs/>
                <w:color w:val="000000"/>
                <w:lang w:eastAsia="en-IN"/>
              </w:rPr>
              <w:t>: GG-34</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13.01</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15.51</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68.01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34.73</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2001</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2479</w:t>
            </w:r>
          </w:p>
        </w:tc>
      </w:tr>
      <w:tr>
        <w:trPr>
          <w:trHeight w:val="422"/>
        </w:trPr>
        <w:tc>
          <w:tcPr>
            <w:tcW w:w="7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3</w:t>
            </w:r>
            <w:r>
              <w:rPr>
                <w:rFonts w:ascii="Arial" w:hAnsi="Arial" w:cs="Arial"/>
                <w:b/>
                <w:bCs/>
                <w:color w:val="000000"/>
                <w:lang w:eastAsia="en-IN"/>
              </w:rPr>
              <w:t>: GG-37</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14.26</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16.28</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69.95</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36.09</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2209</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2686</w:t>
            </w:r>
          </w:p>
        </w:tc>
      </w:tr>
      <w:tr>
        <w:trPr>
          <w:trHeight w:val="324"/>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0.31</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0.29</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0.69</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45.10</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61.55</w:t>
            </w:r>
          </w:p>
        </w:tc>
      </w:tr>
      <w:tr>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1.23</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1.16</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2.71</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177.10</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241.69</w:t>
            </w:r>
          </w:p>
        </w:tc>
      </w:tr>
      <w:tr>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C.V.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7.63</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6.27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5.65</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6.53</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7.09</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7.99</w:t>
            </w:r>
          </w:p>
        </w:tc>
      </w:tr>
      <w:tr>
        <w:trPr>
          <w:trHeight w:val="35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Interaction (D x V)</w:t>
            </w:r>
          </w:p>
        </w:tc>
      </w:tr>
      <w:tr>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0.62</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0.57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1.78</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1.28</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77.88</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93.51</w:t>
            </w:r>
          </w:p>
        </w:tc>
      </w:tr>
      <w:tr>
        <w:trPr>
          <w:trHeight w:val="324"/>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NS</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239.98</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288.14</w:t>
            </w:r>
          </w:p>
        </w:tc>
      </w:tr>
      <w:tr>
        <w:trPr>
          <w:trHeight w:val="324"/>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rPr>
                <w:rFonts w:ascii="Arial" w:hAnsi="Arial" w:cs="Arial"/>
                <w:color w:val="000000"/>
                <w:lang w:eastAsia="en-IN"/>
              </w:rPr>
            </w:pPr>
            <w:r>
              <w:rPr>
                <w:rFonts w:ascii="Arial" w:hAnsi="Arial" w:cs="Arial"/>
                <w:color w:val="000000"/>
                <w:lang w:eastAsia="en-IN"/>
              </w:rPr>
              <w:t>C.V.%</w:t>
            </w:r>
          </w:p>
        </w:tc>
        <w:tc>
          <w:tcPr>
            <w:tcW w:w="823"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7.53</w:t>
            </w:r>
          </w:p>
        </w:tc>
        <w:tc>
          <w:tcPr>
            <w:tcW w:w="889"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6.03</w:t>
            </w:r>
          </w:p>
        </w:tc>
        <w:tc>
          <w:tcPr>
            <w:tcW w:w="481"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4.53</w:t>
            </w:r>
          </w:p>
        </w:tc>
        <w:tc>
          <w:tcPr>
            <w:tcW w:w="685"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6.08</w:t>
            </w:r>
          </w:p>
        </w:tc>
        <w:tc>
          <w:tcPr>
            <w:tcW w:w="684"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4"/>
                <w:lang w:eastAsia="en-IN"/>
              </w:rPr>
            </w:pPr>
            <w:r>
              <w:rPr>
                <w:rFonts w:ascii="Arial" w:hAnsi="Arial" w:cs="Arial"/>
                <w:color w:val="000000"/>
                <w:szCs w:val="24"/>
                <w:lang w:eastAsia="en-IN"/>
              </w:rPr>
              <w:t>6.12</w:t>
            </w:r>
          </w:p>
        </w:tc>
        <w:tc>
          <w:tcPr>
            <w:tcW w:w="683"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szCs w:val="24"/>
                <w:lang w:eastAsia="en-IN"/>
              </w:rPr>
            </w:pPr>
            <w:r>
              <w:rPr>
                <w:rFonts w:ascii="Arial" w:hAnsi="Arial" w:cs="Arial"/>
                <w:color w:val="000000"/>
                <w:szCs w:val="24"/>
                <w:lang w:eastAsia="en-IN"/>
              </w:rPr>
              <w:t>6.07</w:t>
            </w:r>
          </w:p>
        </w:tc>
      </w:tr>
    </w:tbl>
    <w:p>
      <w:pPr>
        <w:pStyle w:val="Body"/>
        <w:spacing w:after="0" w:line="276" w:lineRule="auto"/>
        <w:rPr>
          <w:rFonts w:ascii="Arial" w:hAnsi="Arial" w:cs="Arial"/>
          <w:b/>
          <w:bCs/>
          <w:u w:val="single"/>
          <w:lang w:val="en-IN"/>
        </w:rPr>
        <w:sectPr>
          <w:type w:val="continuous"/>
          <w:pgSz w:w="15840" w:h="12240" w:orient="landscape"/>
          <w:pgMar w:top="2019" w:right="1440" w:bottom="2019" w:left="2019" w:header="720" w:footer="1123" w:gutter="0"/>
          <w:cols w:space="720"/>
          <w:docGrid w:linePitch="272"/>
        </w:sectPr>
      </w:pPr>
    </w:p>
    <w:p>
      <w:pPr>
        <w:widowControl w:val="0"/>
        <w:autoSpaceDE w:val="0"/>
        <w:autoSpaceDN w:val="0"/>
        <w:adjustRightInd w:val="0"/>
        <w:spacing w:line="276" w:lineRule="auto"/>
        <w:ind w:right="-188"/>
        <w:jc w:val="both"/>
        <w:rPr>
          <w:rFonts w:ascii="Arial" w:hAnsi="Arial" w:cs="Arial"/>
          <w:b/>
          <w:color w:val="000000"/>
          <w:szCs w:val="24"/>
        </w:rPr>
      </w:pPr>
    </w:p>
    <w:p>
      <w:pPr>
        <w:widowControl w:val="0"/>
        <w:autoSpaceDE w:val="0"/>
        <w:autoSpaceDN w:val="0"/>
        <w:adjustRightInd w:val="0"/>
        <w:spacing w:line="276" w:lineRule="auto"/>
        <w:ind w:right="-188"/>
        <w:jc w:val="both"/>
        <w:rPr>
          <w:rFonts w:ascii="Arial" w:hAnsi="Arial" w:cs="Arial"/>
          <w:b/>
          <w:bCs/>
          <w:szCs w:val="28"/>
        </w:rPr>
      </w:pPr>
      <w:r>
        <w:rPr>
          <w:rFonts w:ascii="Arial" w:hAnsi="Arial" w:cs="Arial"/>
          <w:b/>
          <w:color w:val="000000"/>
          <w:szCs w:val="24"/>
        </w:rPr>
        <w:lastRenderedPageBreak/>
        <w:t>Table 3 Effect of sowing dates on physiological parameters</w:t>
      </w:r>
      <w:r>
        <w:rPr>
          <w:rFonts w:ascii="Arial" w:hAnsi="Arial" w:cs="Arial"/>
          <w:b/>
          <w:bCs/>
          <w:szCs w:val="28"/>
        </w:rPr>
        <w:t xml:space="preserve"> in summer groundnut varieties</w:t>
      </w:r>
    </w:p>
    <w:tbl>
      <w:tblPr>
        <w:tblW w:w="4501" w:type="pct"/>
        <w:tblInd w:w="108" w:type="dxa"/>
        <w:tblLook w:val="04A0" w:firstRow="1" w:lastRow="0" w:firstColumn="1" w:lastColumn="0" w:noHBand="0" w:noVBand="1"/>
      </w:tblPr>
      <w:tblGrid>
        <w:gridCol w:w="1513"/>
        <w:gridCol w:w="1163"/>
        <w:gridCol w:w="1315"/>
        <w:gridCol w:w="1277"/>
        <w:gridCol w:w="1808"/>
        <w:gridCol w:w="1288"/>
        <w:gridCol w:w="1275"/>
        <w:gridCol w:w="1701"/>
      </w:tblGrid>
      <w:tr>
        <w:trPr>
          <w:trHeight w:val="346"/>
        </w:trPr>
        <w:tc>
          <w:tcPr>
            <w:tcW w:w="667" w:type="pct"/>
            <w:vMerge w:val="restart"/>
            <w:tcBorders>
              <w:top w:val="single" w:sz="4" w:space="0" w:color="auto"/>
              <w:left w:val="single" w:sz="4" w:space="0" w:color="auto"/>
              <w:right w:val="single" w:sz="4" w:space="0" w:color="auto"/>
            </w:tcBorders>
            <w:shd w:val="clear" w:color="auto" w:fill="auto"/>
            <w:noWrap/>
            <w:vAlign w:val="center"/>
          </w:tcPr>
          <w:p>
            <w:pPr>
              <w:spacing w:line="276" w:lineRule="auto"/>
              <w:jc w:val="center"/>
              <w:rPr>
                <w:rFonts w:ascii="Arial" w:hAnsi="Arial" w:cs="Arial"/>
                <w:b/>
                <w:bCs/>
                <w:lang w:eastAsia="en-IN"/>
              </w:rPr>
            </w:pPr>
            <w:r>
              <w:rPr>
                <w:rFonts w:ascii="Arial" w:hAnsi="Arial" w:cs="Arial"/>
                <w:b/>
                <w:bCs/>
                <w:lang w:eastAsia="en-IN"/>
              </w:rPr>
              <w:t>Treatment</w:t>
            </w:r>
          </w:p>
          <w:p>
            <w:pPr>
              <w:spacing w:line="276" w:lineRule="auto"/>
              <w:jc w:val="center"/>
              <w:rPr>
                <w:rFonts w:ascii="Arial" w:hAnsi="Arial" w:cs="Arial"/>
                <w:b/>
                <w:bCs/>
                <w:lang w:eastAsia="en-IN"/>
              </w:rPr>
            </w:pPr>
          </w:p>
        </w:tc>
        <w:tc>
          <w:tcPr>
            <w:tcW w:w="2453" w:type="pct"/>
            <w:gridSpan w:val="4"/>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b/>
                <w:bCs/>
                <w:lang w:eastAsia="en-IN"/>
              </w:rPr>
            </w:pPr>
            <w:r>
              <w:rPr>
                <w:rFonts w:ascii="Arial" w:hAnsi="Arial" w:cs="Arial"/>
                <w:b/>
                <w:bCs/>
                <w:lang w:eastAsia="en-IN"/>
              </w:rPr>
              <w:t>Crop Growth Rate (CGR) (</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w:t>
            </w:r>
          </w:p>
        </w:tc>
        <w:tc>
          <w:tcPr>
            <w:tcW w:w="1880" w:type="pct"/>
            <w:gridSpan w:val="3"/>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lang w:val="en-IN" w:eastAsia="en-IN"/>
              </w:rPr>
              <w:t>Relative Growth Rate (RGR) (g g</w:t>
            </w:r>
            <w:r>
              <w:rPr>
                <w:rFonts w:ascii="Arial" w:hAnsi="Arial" w:cs="Arial"/>
                <w:b/>
                <w:bCs/>
                <w:vertAlign w:val="superscript"/>
                <w:lang w:val="en-IN" w:eastAsia="en-IN"/>
              </w:rPr>
              <w:t xml:space="preserve">-1 </w:t>
            </w:r>
            <w:r>
              <w:rPr>
                <w:rFonts w:ascii="Arial" w:hAnsi="Arial" w:cs="Arial"/>
                <w:b/>
                <w:bCs/>
                <w:lang w:val="en-IN" w:eastAsia="en-IN"/>
              </w:rPr>
              <w:t>day</w:t>
            </w:r>
            <w:r>
              <w:rPr>
                <w:rFonts w:ascii="Arial" w:hAnsi="Arial" w:cs="Arial"/>
                <w:b/>
                <w:bCs/>
                <w:vertAlign w:val="superscript"/>
                <w:lang w:val="en-IN" w:eastAsia="en-IN"/>
              </w:rPr>
              <w:t>-1</w:t>
            </w:r>
            <w:r>
              <w:rPr>
                <w:rFonts w:ascii="Arial" w:hAnsi="Arial" w:cs="Arial"/>
                <w:b/>
                <w:bCs/>
                <w:lang w:val="en-IN" w:eastAsia="en-IN"/>
              </w:rPr>
              <w:t>)</w:t>
            </w:r>
          </w:p>
        </w:tc>
      </w:tr>
      <w:tr>
        <w:trPr>
          <w:trHeight w:val="346"/>
        </w:trPr>
        <w:tc>
          <w:tcPr>
            <w:tcW w:w="667" w:type="pct"/>
            <w:vMerge/>
            <w:tcBorders>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0-30 DAS</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30-60 DAS</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60-90 DAS</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90 DAS-harvest</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szCs w:val="24"/>
                <w:lang w:eastAsia="en-IN"/>
              </w:rPr>
              <w:t>30-60 DAS</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szCs w:val="24"/>
                <w:lang w:eastAsia="en-IN"/>
              </w:rPr>
              <w:t>60-90 DAS</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b/>
                <w:bCs/>
                <w:lang w:eastAsia="en-IN"/>
              </w:rPr>
            </w:pPr>
            <w:r>
              <w:rPr>
                <w:rFonts w:ascii="Arial" w:hAnsi="Arial" w:cs="Arial"/>
                <w:b/>
                <w:bCs/>
                <w:szCs w:val="24"/>
                <w:lang w:eastAsia="en-IN"/>
              </w:rPr>
              <w:t>90 DAS-harvest</w:t>
            </w:r>
          </w:p>
        </w:tc>
      </w:tr>
      <w:tr>
        <w:trPr>
          <w:trHeight w:val="346"/>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Sowing date</w:t>
            </w:r>
          </w:p>
        </w:tc>
      </w:tr>
      <w:tr>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r>
              <w:rPr>
                <w:rFonts w:ascii="Arial" w:hAnsi="Arial" w:cs="Arial"/>
                <w:b/>
                <w:bCs/>
                <w:color w:val="000000"/>
                <w:lang w:eastAsia="en-IN"/>
              </w:rPr>
              <w:t>: 4</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2.25</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12.37</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14.98</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17.58</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2.63</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3.01</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3.25</w:t>
            </w:r>
          </w:p>
        </w:tc>
      </w:tr>
      <w:tr>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r>
              <w:rPr>
                <w:rFonts w:ascii="Arial" w:hAnsi="Arial" w:cs="Arial"/>
                <w:b/>
                <w:bCs/>
                <w:color w:val="000000"/>
                <w:lang w:eastAsia="en-IN"/>
              </w:rPr>
              <w:t>: 6</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3.58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14.80</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18.51</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19.34</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2.84</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3.22</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3.38</w:t>
            </w:r>
          </w:p>
        </w:tc>
      </w:tr>
      <w:tr>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3</w:t>
            </w:r>
            <w:r>
              <w:rPr>
                <w:rFonts w:ascii="Arial" w:hAnsi="Arial" w:cs="Arial"/>
                <w:b/>
                <w:bCs/>
                <w:color w:val="000000"/>
                <w:lang w:eastAsia="en-IN"/>
              </w:rPr>
              <w:t>: 8</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3.56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13.27</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18.07</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17.45</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2.75</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3.17</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3.31</w:t>
            </w:r>
          </w:p>
        </w:tc>
      </w:tr>
      <w:tr>
        <w:trPr>
          <w:trHeight w:val="400"/>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4</w:t>
            </w:r>
            <w:r>
              <w:rPr>
                <w:rFonts w:ascii="Arial" w:hAnsi="Arial" w:cs="Arial"/>
                <w:b/>
                <w:bCs/>
                <w:color w:val="000000"/>
                <w:lang w:eastAsia="en-IN"/>
              </w:rPr>
              <w:t>: 10</w:t>
            </w:r>
            <w:r>
              <w:rPr>
                <w:rFonts w:ascii="Arial" w:hAnsi="Arial" w:cs="Arial"/>
                <w:b/>
                <w:bCs/>
                <w:color w:val="000000"/>
                <w:vertAlign w:val="superscript"/>
                <w:lang w:eastAsia="en-IN"/>
              </w:rPr>
              <w:t xml:space="preserve">th </w:t>
            </w:r>
            <w:r>
              <w:rPr>
                <w:rFonts w:ascii="Arial" w:hAnsi="Arial" w:cs="Arial"/>
                <w:b/>
                <w:bCs/>
                <w:color w:val="000000"/>
                <w:lang w:eastAsia="en-IN"/>
              </w:rPr>
              <w:t>SMW</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2.80</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12.06</w:t>
            </w:r>
          </w:p>
        </w:tc>
        <w:tc>
          <w:tcPr>
            <w:tcW w:w="563" w:type="pct"/>
            <w:tcBorders>
              <w:top w:val="single" w:sz="4" w:space="0" w:color="auto"/>
              <w:left w:val="nil"/>
              <w:bottom w:val="single" w:sz="4" w:space="0" w:color="auto"/>
              <w:right w:val="single" w:sz="4" w:space="0" w:color="000000"/>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17.96</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16.11</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2.64</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3.14</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3.24</w:t>
            </w: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0.09</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0.46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0.58</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0.39</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0.03</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0.03</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0.02</w:t>
            </w: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0.32</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1.59</w:t>
            </w:r>
          </w:p>
        </w:tc>
        <w:tc>
          <w:tcPr>
            <w:tcW w:w="563" w:type="pct"/>
            <w:tcBorders>
              <w:top w:val="single" w:sz="4" w:space="0" w:color="auto"/>
              <w:left w:val="nil"/>
              <w:bottom w:val="single" w:sz="4" w:space="0" w:color="auto"/>
              <w:right w:val="single" w:sz="4" w:space="0" w:color="000000"/>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1.99</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1.34</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0.10</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0.10</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0.08</w:t>
            </w: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9.08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10.51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9.62</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6.61</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3.21</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2.66</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2.19</w:t>
            </w:r>
          </w:p>
        </w:tc>
      </w:tr>
      <w:tr>
        <w:trPr>
          <w:trHeight w:val="346"/>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line="276" w:lineRule="auto"/>
              <w:jc w:val="center"/>
              <w:rPr>
                <w:rFonts w:ascii="Arial" w:hAnsi="Arial" w:cs="Arial"/>
                <w:b/>
                <w:bCs/>
                <w:lang w:eastAsia="en-IN"/>
              </w:rPr>
            </w:pPr>
            <w:r>
              <w:rPr>
                <w:rFonts w:ascii="Arial" w:hAnsi="Arial" w:cs="Arial"/>
                <w:b/>
                <w:bCs/>
                <w:lang w:eastAsia="en-IN"/>
              </w:rPr>
              <w:t>Varieties</w:t>
            </w:r>
          </w:p>
        </w:tc>
      </w:tr>
      <w:tr>
        <w:trPr>
          <w:trHeight w:val="414"/>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1</w:t>
            </w:r>
            <w:r>
              <w:rPr>
                <w:rFonts w:ascii="Arial" w:hAnsi="Arial" w:cs="Arial"/>
                <w:b/>
                <w:bCs/>
                <w:color w:val="000000"/>
                <w:lang w:eastAsia="en-IN"/>
              </w:rPr>
              <w:t>: GJG-31</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3.25</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13.76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18.23</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18.34</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2.76</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3.18</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3.34</w:t>
            </w:r>
          </w:p>
        </w:tc>
      </w:tr>
      <w:tr>
        <w:trPr>
          <w:trHeight w:val="414"/>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2</w:t>
            </w:r>
            <w:r>
              <w:rPr>
                <w:rFonts w:ascii="Arial" w:hAnsi="Arial" w:cs="Arial"/>
                <w:b/>
                <w:bCs/>
                <w:color w:val="000000"/>
                <w:lang w:eastAsia="en-IN"/>
              </w:rPr>
              <w:t>: GG-34</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2.81</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12.41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16.47</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16.80</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2.66</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3.08</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3.25</w:t>
            </w:r>
          </w:p>
        </w:tc>
      </w:tr>
      <w:tr>
        <w:trPr>
          <w:trHeight w:val="414"/>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3</w:t>
            </w:r>
            <w:r>
              <w:rPr>
                <w:rFonts w:ascii="Arial" w:hAnsi="Arial" w:cs="Arial"/>
                <w:b/>
                <w:bCs/>
                <w:color w:val="000000"/>
                <w:lang w:eastAsia="en-IN"/>
              </w:rPr>
              <w:t>: GG-37</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3.09</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13.20</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17.44</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17.72</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2.72</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3.14</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3.30</w:t>
            </w:r>
          </w:p>
        </w:tc>
      </w:tr>
      <w:tr>
        <w:trPr>
          <w:trHeight w:val="319"/>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0.08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0.26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0.33</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0.23</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0.02</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0.02</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0.01</w:t>
            </w: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0.31</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1.01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1.30</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0.89</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0.07</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0.06</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0.05</w:t>
            </w: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8.92</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6.81</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6.61</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4.48</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2.36</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1.75</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szCs w:val="24"/>
                <w:lang w:eastAsia="en-IN"/>
              </w:rPr>
              <w:t>1.40</w:t>
            </w:r>
          </w:p>
        </w:tc>
      </w:tr>
      <w:tr>
        <w:trPr>
          <w:trHeight w:val="346"/>
        </w:trPr>
        <w:tc>
          <w:tcPr>
            <w:tcW w:w="312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line="276" w:lineRule="auto"/>
              <w:rPr>
                <w:rFonts w:ascii="Arial" w:hAnsi="Arial" w:cs="Arial"/>
                <w:b/>
                <w:bCs/>
                <w:lang w:eastAsia="en-IN"/>
              </w:rPr>
            </w:pPr>
            <w:r>
              <w:rPr>
                <w:rFonts w:ascii="Arial" w:hAnsi="Arial" w:cs="Arial"/>
                <w:b/>
                <w:bCs/>
                <w:lang w:eastAsia="en-IN"/>
              </w:rPr>
              <w:t>Interaction (D x V)</w:t>
            </w:r>
          </w:p>
        </w:tc>
        <w:tc>
          <w:tcPr>
            <w:tcW w:w="568" w:type="pct"/>
            <w:tcBorders>
              <w:top w:val="single" w:sz="4" w:space="0" w:color="auto"/>
              <w:left w:val="single" w:sz="4" w:space="0" w:color="auto"/>
              <w:bottom w:val="single" w:sz="4" w:space="0" w:color="auto"/>
              <w:right w:val="single" w:sz="4" w:space="0" w:color="000000"/>
            </w:tcBorders>
            <w:vAlign w:val="center"/>
          </w:tcPr>
          <w:p>
            <w:pPr>
              <w:spacing w:line="276" w:lineRule="auto"/>
              <w:jc w:val="center"/>
              <w:rPr>
                <w:rFonts w:ascii="Arial" w:hAnsi="Arial" w:cs="Arial"/>
                <w:b/>
                <w:bCs/>
                <w:lang w:eastAsia="en-IN"/>
              </w:rPr>
            </w:pPr>
          </w:p>
        </w:tc>
        <w:tc>
          <w:tcPr>
            <w:tcW w:w="562" w:type="pct"/>
            <w:tcBorders>
              <w:top w:val="single" w:sz="4" w:space="0" w:color="auto"/>
              <w:left w:val="single" w:sz="4" w:space="0" w:color="auto"/>
              <w:bottom w:val="single" w:sz="4" w:space="0" w:color="auto"/>
              <w:right w:val="single" w:sz="4" w:space="0" w:color="000000"/>
            </w:tcBorders>
            <w:vAlign w:val="center"/>
          </w:tcPr>
          <w:p>
            <w:pPr>
              <w:spacing w:line="276" w:lineRule="auto"/>
              <w:jc w:val="center"/>
              <w:rPr>
                <w:rFonts w:ascii="Arial" w:hAnsi="Arial" w:cs="Arial"/>
                <w:b/>
                <w:bCs/>
                <w:lang w:eastAsia="en-IN"/>
              </w:rPr>
            </w:pPr>
          </w:p>
        </w:tc>
        <w:tc>
          <w:tcPr>
            <w:tcW w:w="750" w:type="pct"/>
            <w:tcBorders>
              <w:top w:val="single" w:sz="4" w:space="0" w:color="auto"/>
              <w:left w:val="single" w:sz="4" w:space="0" w:color="auto"/>
              <w:bottom w:val="single" w:sz="4" w:space="0" w:color="auto"/>
              <w:right w:val="single" w:sz="4" w:space="0" w:color="000000"/>
            </w:tcBorders>
            <w:vAlign w:val="center"/>
          </w:tcPr>
          <w:p>
            <w:pPr>
              <w:spacing w:line="276" w:lineRule="auto"/>
              <w:jc w:val="center"/>
              <w:rPr>
                <w:rFonts w:ascii="Arial" w:hAnsi="Arial" w:cs="Arial"/>
                <w:b/>
                <w:bCs/>
                <w:lang w:eastAsia="en-IN"/>
              </w:rPr>
            </w:pP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0.16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0.36</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0.65</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0.43</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0.03</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0.03</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0.03</w:t>
            </w: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C.D. at 5 %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0.48</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1.10</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2.00</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1.33</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NS</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0.10</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0.08</w:t>
            </w:r>
          </w:p>
        </w:tc>
      </w:tr>
      <w:tr>
        <w:trPr>
          <w:trHeight w:val="319"/>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rPr>
                <w:rFonts w:ascii="Arial" w:hAnsi="Arial" w:cs="Arial"/>
                <w:color w:val="000000"/>
                <w:lang w:eastAsia="en-IN"/>
              </w:rPr>
            </w:pPr>
            <w:r>
              <w:rPr>
                <w:rFonts w:ascii="Arial" w:hAnsi="Arial" w:cs="Arial"/>
                <w:color w:val="000000"/>
                <w:lang w:eastAsia="en-IN"/>
              </w:rPr>
              <w:t>C.V.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8.84</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4.72</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6.46</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4.25</w:t>
            </w:r>
          </w:p>
        </w:tc>
        <w:tc>
          <w:tcPr>
            <w:tcW w:w="568"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2.20</w:t>
            </w:r>
          </w:p>
        </w:tc>
        <w:tc>
          <w:tcPr>
            <w:tcW w:w="562"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1.83</w:t>
            </w:r>
          </w:p>
        </w:tc>
        <w:tc>
          <w:tcPr>
            <w:tcW w:w="750" w:type="pct"/>
            <w:tcBorders>
              <w:top w:val="single" w:sz="4" w:space="0" w:color="auto"/>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Times New Roman" w:hAnsi="Times New Roman"/>
                <w:color w:val="000000"/>
                <w:szCs w:val="24"/>
                <w:lang w:eastAsia="en-IN"/>
              </w:rPr>
              <w:t>1.42</w:t>
            </w:r>
          </w:p>
        </w:tc>
      </w:tr>
    </w:tbl>
    <w:p>
      <w:pPr>
        <w:pStyle w:val="Body"/>
        <w:spacing w:after="0" w:line="276" w:lineRule="auto"/>
        <w:rPr>
          <w:rFonts w:ascii="Arial" w:hAnsi="Arial" w:cs="Arial"/>
          <w:b/>
          <w:bCs/>
          <w:u w:val="single"/>
          <w:lang w:val="en-IN"/>
        </w:rPr>
        <w:sectPr>
          <w:type w:val="continuous"/>
          <w:pgSz w:w="15840" w:h="12240" w:orient="landscape"/>
          <w:pgMar w:top="2019" w:right="1440" w:bottom="2019" w:left="2019" w:header="720" w:footer="1123" w:gutter="0"/>
          <w:cols w:space="720"/>
          <w:docGrid w:linePitch="272"/>
        </w:sectPr>
      </w:pPr>
    </w:p>
    <w:p>
      <w:pPr>
        <w:pStyle w:val="Body"/>
        <w:spacing w:after="0" w:line="276" w:lineRule="auto"/>
        <w:rPr>
          <w:rFonts w:ascii="Arial" w:hAnsi="Arial" w:cs="Arial"/>
          <w:b/>
          <w:bCs/>
          <w:lang w:val="en-IN"/>
        </w:rPr>
      </w:pPr>
      <w:r>
        <w:rPr>
          <w:rFonts w:ascii="Arial" w:hAnsi="Arial" w:cs="Arial"/>
          <w:b/>
          <w:bCs/>
          <w:lang w:val="en-IN"/>
        </w:rPr>
        <w:lastRenderedPageBreak/>
        <w:t xml:space="preserve">3.2 Interaction effect </w:t>
      </w:r>
    </w:p>
    <w:p>
      <w:pPr>
        <w:pStyle w:val="Body"/>
        <w:spacing w:after="0" w:line="276" w:lineRule="auto"/>
        <w:rPr>
          <w:rFonts w:ascii="Arial" w:hAnsi="Arial" w:cs="Arial"/>
          <w:b/>
          <w:bCs/>
          <w:lang w:val="en-IN"/>
        </w:rPr>
      </w:pPr>
    </w:p>
    <w:p>
      <w:pPr>
        <w:pStyle w:val="Body"/>
        <w:spacing w:after="0" w:line="276" w:lineRule="auto"/>
        <w:rPr>
          <w:rFonts w:ascii="Arial" w:hAnsi="Arial" w:cs="Arial"/>
          <w:b/>
          <w:bCs/>
          <w:u w:val="single"/>
          <w:lang w:val="en-IN"/>
        </w:rPr>
      </w:pPr>
      <w:r>
        <w:rPr>
          <w:rFonts w:ascii="Arial" w:hAnsi="Arial" w:cs="Arial"/>
          <w:b/>
          <w:bCs/>
          <w:u w:val="single"/>
          <w:lang w:val="en-IN"/>
        </w:rPr>
        <w:t xml:space="preserve">3.2.1 Plant population </w:t>
      </w:r>
    </w:p>
    <w:p>
      <w:pPr>
        <w:pStyle w:val="Body"/>
        <w:spacing w:after="0" w:line="276" w:lineRule="auto"/>
        <w:rPr>
          <w:rFonts w:ascii="Arial" w:hAnsi="Arial" w:cs="Arial"/>
          <w:bCs/>
          <w:lang w:val="en-IN"/>
        </w:rPr>
      </w:pPr>
      <w:r>
        <w:rPr>
          <w:rFonts w:ascii="Arial" w:hAnsi="Arial" w:cs="Arial"/>
          <w:b/>
          <w:bCs/>
          <w:lang w:val="en-IN"/>
        </w:rPr>
        <w:tab/>
      </w:r>
      <w:r>
        <w:rPr>
          <w:rFonts w:ascii="Arial" w:hAnsi="Arial" w:cs="Arial"/>
          <w:bCs/>
          <w:lang w:val="en-IN"/>
        </w:rPr>
        <w:t>The interaction effect between sowing dates and varieties on initial and final plant population was found non-significant.</w:t>
      </w:r>
    </w:p>
    <w:p>
      <w:pPr>
        <w:pStyle w:val="Body"/>
        <w:spacing w:after="0" w:line="276" w:lineRule="auto"/>
        <w:rPr>
          <w:rFonts w:ascii="Arial" w:hAnsi="Arial" w:cs="Arial"/>
          <w:b/>
          <w:bCs/>
          <w:u w:val="single"/>
          <w:lang w:val="en-IN"/>
        </w:rPr>
      </w:pPr>
      <w:r>
        <w:rPr>
          <w:rFonts w:ascii="Arial" w:hAnsi="Arial" w:cs="Arial"/>
          <w:b/>
          <w:bCs/>
          <w:u w:val="single"/>
          <w:lang w:val="en-IN"/>
        </w:rPr>
        <w:t>3.2.2 Growth parameters</w:t>
      </w:r>
    </w:p>
    <w:p>
      <w:pPr>
        <w:pStyle w:val="Body"/>
        <w:spacing w:after="0" w:line="276" w:lineRule="auto"/>
        <w:rPr>
          <w:rFonts w:ascii="Arial" w:hAnsi="Arial" w:cs="Arial"/>
          <w:bCs/>
          <w:lang w:val="en-IN"/>
        </w:rPr>
      </w:pPr>
      <w:r>
        <w:rPr>
          <w:rFonts w:ascii="Arial" w:hAnsi="Arial" w:cs="Arial"/>
          <w:bCs/>
          <w:lang w:val="en-IN"/>
        </w:rPr>
        <w:tab/>
        <w:t>Among all growth parameters, the interaction effect between sowing dates and varieties on only dry matter accumulation was found significant. The data represented in Table 4 to 7 revealed that the treatment combination D</w:t>
      </w:r>
      <w:r>
        <w:rPr>
          <w:rFonts w:ascii="Arial" w:hAnsi="Arial" w:cs="Arial"/>
          <w:bCs/>
          <w:vertAlign w:val="subscript"/>
          <w:lang w:val="en-IN"/>
        </w:rPr>
        <w:t>3</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(8</w:t>
      </w:r>
      <w:r>
        <w:rPr>
          <w:rFonts w:ascii="Arial" w:hAnsi="Arial" w:cs="Arial"/>
          <w:bCs/>
          <w:vertAlign w:val="superscript"/>
          <w:lang w:val="en-IN"/>
        </w:rPr>
        <w:t>th</w:t>
      </w:r>
      <w:r>
        <w:rPr>
          <w:rFonts w:ascii="Arial" w:hAnsi="Arial" w:cs="Arial"/>
          <w:bCs/>
          <w:lang w:val="en-IN"/>
        </w:rPr>
        <w:t xml:space="preserve"> SMW and GJG-31) recorded significantly maximum dry matter accumulation at 30 DAS (8.70 g), while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3</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GG-37) recorded significantly maximum dry matter at 60 DAS (19.29 g) and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recorded significantly maximum dry matter accumulation at 90 DAS (30.30 g) and at harvest (35.87 g). </w:t>
      </w:r>
    </w:p>
    <w:p>
      <w:pPr>
        <w:widowControl w:val="0"/>
        <w:autoSpaceDE w:val="0"/>
        <w:autoSpaceDN w:val="0"/>
        <w:adjustRightInd w:val="0"/>
        <w:spacing w:line="276" w:lineRule="auto"/>
        <w:ind w:right="-46"/>
        <w:jc w:val="both"/>
        <w:rPr>
          <w:rFonts w:ascii="Arial" w:hAnsi="Arial" w:cs="Arial"/>
          <w:b/>
        </w:rPr>
      </w:pPr>
      <w:r>
        <w:rPr>
          <w:rFonts w:ascii="Arial" w:hAnsi="Arial" w:cs="Arial"/>
          <w:b/>
        </w:rPr>
        <w:t xml:space="preserve">Table 4 Interaction effect of sowing dates and groundnut varieties on dry matter    </w:t>
      </w:r>
      <w:proofErr w:type="spellStart"/>
      <w:r>
        <w:rPr>
          <w:rFonts w:ascii="Arial" w:hAnsi="Arial" w:cs="Arial"/>
          <w:b/>
          <w:color w:val="FFFFFF" w:themeColor="background1"/>
        </w:rPr>
        <w:t>boex</w:t>
      </w:r>
      <w:proofErr w:type="spellEnd"/>
      <w:r>
        <w:rPr>
          <w:rFonts w:ascii="Arial" w:hAnsi="Arial" w:cs="Arial"/>
          <w:b/>
        </w:rPr>
        <w:t xml:space="preserve">       accumulation (g/plant) at 30 DAS</w:t>
      </w:r>
    </w:p>
    <w:tbl>
      <w:tblPr>
        <w:tblW w:w="5000" w:type="pct"/>
        <w:tblInd w:w="108" w:type="dxa"/>
        <w:tblLook w:val="04A0" w:firstRow="1" w:lastRow="0" w:firstColumn="1" w:lastColumn="0" w:noHBand="0" w:noVBand="1"/>
      </w:tblPr>
      <w:tblGrid>
        <w:gridCol w:w="1644"/>
        <w:gridCol w:w="1584"/>
        <w:gridCol w:w="1684"/>
        <w:gridCol w:w="1684"/>
        <w:gridCol w:w="1822"/>
      </w:tblGrid>
      <w:tr>
        <w:trPr>
          <w:trHeight w:val="311"/>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 xml:space="preserve"> 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36"/>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4.00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4.33</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5.33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4.55</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7.00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6.80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7.93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7.23</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8.70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6.73</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6.20</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7.21</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6.60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4.90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5.53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5.68</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6.57</w:t>
            </w:r>
          </w:p>
        </w:tc>
        <w:tc>
          <w:tcPr>
            <w:tcW w:w="100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5.69</w:t>
            </w:r>
          </w:p>
        </w:tc>
        <w:tc>
          <w:tcPr>
            <w:tcW w:w="100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6.25</w:t>
            </w:r>
          </w:p>
        </w:tc>
        <w:tc>
          <w:tcPr>
            <w:tcW w:w="1082" w:type="pct"/>
            <w:tcBorders>
              <w:top w:val="nil"/>
              <w:left w:val="nil"/>
              <w:bottom w:val="single" w:sz="4" w:space="0" w:color="auto"/>
              <w:right w:val="single" w:sz="4" w:space="0" w:color="auto"/>
            </w:tcBorders>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0.32</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0.97</w:t>
            </w:r>
          </w:p>
        </w:tc>
      </w:tr>
      <w:tr>
        <w:trPr>
          <w:trHeight w:val="31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8.84</w:t>
            </w:r>
          </w:p>
        </w:tc>
      </w:tr>
    </w:tbl>
    <w:p>
      <w:pPr>
        <w:widowControl w:val="0"/>
        <w:autoSpaceDE w:val="0"/>
        <w:autoSpaceDN w:val="0"/>
        <w:adjustRightInd w:val="0"/>
        <w:spacing w:line="276" w:lineRule="auto"/>
        <w:ind w:right="-482"/>
        <w:jc w:val="both"/>
        <w:rPr>
          <w:rFonts w:ascii="Arial" w:hAnsi="Arial" w:cs="Arial"/>
          <w:b/>
        </w:rPr>
      </w:pPr>
    </w:p>
    <w:p>
      <w:pPr>
        <w:widowControl w:val="0"/>
        <w:autoSpaceDE w:val="0"/>
        <w:autoSpaceDN w:val="0"/>
        <w:adjustRightInd w:val="0"/>
        <w:spacing w:line="276" w:lineRule="auto"/>
        <w:ind w:right="-46"/>
        <w:jc w:val="both"/>
        <w:rPr>
          <w:rFonts w:ascii="Arial" w:hAnsi="Arial" w:cs="Arial"/>
          <w:b/>
        </w:rPr>
      </w:pPr>
      <w:r>
        <w:rPr>
          <w:rFonts w:ascii="Arial" w:hAnsi="Arial" w:cs="Arial"/>
          <w:b/>
        </w:rPr>
        <w:t xml:space="preserve">Table 5 Interaction effect of sowing dates and groundnut varieties on dry matter </w:t>
      </w:r>
      <w:r>
        <w:rPr>
          <w:rFonts w:ascii="Arial" w:hAnsi="Arial" w:cs="Arial"/>
          <w:b/>
          <w:color w:val="FFFFFF" w:themeColor="background1"/>
        </w:rPr>
        <w:t>boxers</w:t>
      </w:r>
      <w:r>
        <w:rPr>
          <w:rFonts w:ascii="Arial" w:hAnsi="Arial" w:cs="Arial"/>
          <w:b/>
        </w:rPr>
        <w:t xml:space="preserve">   accumulation (g/plant) at 60 DAS</w:t>
      </w:r>
    </w:p>
    <w:tbl>
      <w:tblPr>
        <w:tblW w:w="5000" w:type="pct"/>
        <w:tblInd w:w="108" w:type="dxa"/>
        <w:tblLook w:val="04A0" w:firstRow="1" w:lastRow="0" w:firstColumn="1" w:lastColumn="0" w:noHBand="0" w:noVBand="1"/>
      </w:tblPr>
      <w:tblGrid>
        <w:gridCol w:w="1678"/>
        <w:gridCol w:w="1616"/>
        <w:gridCol w:w="1721"/>
        <w:gridCol w:w="1721"/>
        <w:gridCol w:w="1682"/>
      </w:tblGrid>
      <w:tr>
        <w:trPr>
          <w:trHeight w:val="348"/>
        </w:trPr>
        <w:tc>
          <w:tcPr>
            <w:tcW w:w="9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79"/>
        </w:trPr>
        <w:tc>
          <w:tcPr>
            <w:tcW w:w="99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6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998"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6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14.34</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13.93</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15.54</w:t>
            </w:r>
          </w:p>
        </w:tc>
        <w:tc>
          <w:tcPr>
            <w:tcW w:w="998"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14.61</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6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18.68</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17.17</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19.29</w:t>
            </w:r>
          </w:p>
        </w:tc>
        <w:tc>
          <w:tcPr>
            <w:tcW w:w="998"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18.38</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6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19.05</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15.79</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15.67</w:t>
            </w:r>
          </w:p>
        </w:tc>
        <w:tc>
          <w:tcPr>
            <w:tcW w:w="998"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16.84</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6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15.97</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13.97</w:t>
            </w:r>
          </w:p>
        </w:tc>
        <w:tc>
          <w:tcPr>
            <w:tcW w:w="1022"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14.66</w:t>
            </w:r>
          </w:p>
        </w:tc>
        <w:tc>
          <w:tcPr>
            <w:tcW w:w="998"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14.87</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6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17.01</w:t>
            </w:r>
          </w:p>
        </w:tc>
        <w:tc>
          <w:tcPr>
            <w:tcW w:w="1022"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15.22</w:t>
            </w:r>
          </w:p>
        </w:tc>
        <w:tc>
          <w:tcPr>
            <w:tcW w:w="1022"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16.29</w:t>
            </w:r>
          </w:p>
        </w:tc>
        <w:tc>
          <w:tcPr>
            <w:tcW w:w="998"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0.56</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1.73</w:t>
            </w:r>
          </w:p>
        </w:tc>
      </w:tr>
      <w:tr>
        <w:trPr>
          <w:trHeight w:val="348"/>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0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6.03</w:t>
            </w:r>
          </w:p>
        </w:tc>
      </w:tr>
    </w:tbl>
    <w:p>
      <w:pPr>
        <w:widowControl w:val="0"/>
        <w:autoSpaceDE w:val="0"/>
        <w:autoSpaceDN w:val="0"/>
        <w:adjustRightInd w:val="0"/>
        <w:spacing w:line="276" w:lineRule="auto"/>
        <w:ind w:right="-188"/>
        <w:jc w:val="both"/>
        <w:rPr>
          <w:rFonts w:ascii="Arial" w:hAnsi="Arial" w:cs="Arial"/>
          <w:b/>
        </w:rPr>
      </w:pPr>
    </w:p>
    <w:p>
      <w:pPr>
        <w:widowControl w:val="0"/>
        <w:autoSpaceDE w:val="0"/>
        <w:autoSpaceDN w:val="0"/>
        <w:adjustRightInd w:val="0"/>
        <w:spacing w:line="276" w:lineRule="auto"/>
        <w:ind w:right="-46"/>
        <w:jc w:val="both"/>
        <w:rPr>
          <w:rFonts w:ascii="Arial" w:hAnsi="Arial" w:cs="Arial"/>
          <w:b/>
        </w:rPr>
      </w:pPr>
      <w:r>
        <w:rPr>
          <w:rFonts w:ascii="Arial" w:hAnsi="Arial" w:cs="Arial"/>
          <w:b/>
        </w:rPr>
        <w:lastRenderedPageBreak/>
        <w:t xml:space="preserve">Table 6 Interaction effect of sowing dates and groundnut varieties on dry matter         </w:t>
      </w:r>
      <w:proofErr w:type="gramStart"/>
      <w:r>
        <w:rPr>
          <w:rFonts w:ascii="Arial" w:hAnsi="Arial" w:cs="Arial"/>
          <w:b/>
          <w:color w:val="FFFFFF" w:themeColor="background1"/>
        </w:rPr>
        <w:t xml:space="preserve">monkey  </w:t>
      </w:r>
      <w:r>
        <w:rPr>
          <w:rFonts w:ascii="Arial" w:hAnsi="Arial" w:cs="Arial"/>
          <w:b/>
        </w:rPr>
        <w:t>accumulation</w:t>
      </w:r>
      <w:proofErr w:type="gramEnd"/>
      <w:r>
        <w:rPr>
          <w:rFonts w:ascii="Arial" w:hAnsi="Arial" w:cs="Arial"/>
          <w:b/>
        </w:rPr>
        <w:t xml:space="preserve"> (g/plant) at 90 DAS</w:t>
      </w:r>
    </w:p>
    <w:tbl>
      <w:tblPr>
        <w:tblW w:w="4980" w:type="pct"/>
        <w:tblInd w:w="108" w:type="dxa"/>
        <w:tblLook w:val="04A0" w:firstRow="1" w:lastRow="0" w:firstColumn="1" w:lastColumn="0" w:noHBand="0" w:noVBand="1"/>
      </w:tblPr>
      <w:tblGrid>
        <w:gridCol w:w="1639"/>
        <w:gridCol w:w="1578"/>
        <w:gridCol w:w="1678"/>
        <w:gridCol w:w="1675"/>
        <w:gridCol w:w="1814"/>
      </w:tblGrid>
      <w:tr>
        <w:trPr>
          <w:trHeight w:val="295"/>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19"/>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22.15</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21.40</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25.16</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22.90</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30.30</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25.99</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26.47</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27.59</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28.67</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24.93</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25.53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26.38</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25.97</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23.87</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25.07</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24.97</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26.77</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24.05</w:t>
            </w:r>
          </w:p>
        </w:tc>
        <w:tc>
          <w:tcPr>
            <w:tcW w:w="999"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25.56</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0.83</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2.55</w:t>
            </w:r>
          </w:p>
        </w:tc>
      </w:tr>
      <w:tr>
        <w:trPr>
          <w:trHeight w:val="295"/>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5.64</w:t>
            </w:r>
          </w:p>
        </w:tc>
      </w:tr>
    </w:tbl>
    <w:p>
      <w:pPr>
        <w:widowControl w:val="0"/>
        <w:autoSpaceDE w:val="0"/>
        <w:autoSpaceDN w:val="0"/>
        <w:adjustRightInd w:val="0"/>
        <w:spacing w:line="276" w:lineRule="auto"/>
        <w:ind w:right="-46"/>
        <w:jc w:val="both"/>
        <w:rPr>
          <w:rFonts w:ascii="Arial" w:hAnsi="Arial" w:cs="Arial"/>
          <w:b/>
        </w:rPr>
      </w:pPr>
    </w:p>
    <w:p>
      <w:pPr>
        <w:widowControl w:val="0"/>
        <w:autoSpaceDE w:val="0"/>
        <w:autoSpaceDN w:val="0"/>
        <w:adjustRightInd w:val="0"/>
        <w:spacing w:line="276" w:lineRule="auto"/>
        <w:ind w:right="-46"/>
        <w:jc w:val="both"/>
        <w:rPr>
          <w:rFonts w:ascii="Arial" w:hAnsi="Arial" w:cs="Arial"/>
          <w:b/>
        </w:rPr>
      </w:pPr>
      <w:r>
        <w:rPr>
          <w:rFonts w:ascii="Arial" w:hAnsi="Arial" w:cs="Arial"/>
          <w:b/>
        </w:rPr>
        <w:t xml:space="preserve">Table 7 Interaction effect of sowing dates and groundnut varieties on dry matter </w:t>
      </w:r>
      <w:proofErr w:type="gramStart"/>
      <w:r>
        <w:rPr>
          <w:rFonts w:ascii="Arial" w:hAnsi="Arial" w:cs="Arial"/>
          <w:b/>
          <w:color w:val="FFFFFF" w:themeColor="background1"/>
        </w:rPr>
        <w:t>monkey</w:t>
      </w:r>
      <w:r>
        <w:rPr>
          <w:rFonts w:ascii="Arial" w:hAnsi="Arial" w:cs="Arial"/>
          <w:b/>
        </w:rPr>
        <w:t xml:space="preserve">  accumulation</w:t>
      </w:r>
      <w:proofErr w:type="gramEnd"/>
      <w:r>
        <w:rPr>
          <w:rFonts w:ascii="Arial" w:hAnsi="Arial" w:cs="Arial"/>
          <w:b/>
        </w:rPr>
        <w:t xml:space="preserve"> (g/plant) at harvest</w:t>
      </w:r>
    </w:p>
    <w:tbl>
      <w:tblPr>
        <w:tblW w:w="4977" w:type="pct"/>
        <w:tblInd w:w="108" w:type="dxa"/>
        <w:tblLook w:val="04A0" w:firstRow="1" w:lastRow="0" w:firstColumn="1" w:lastColumn="0" w:noHBand="0" w:noVBand="1"/>
      </w:tblPr>
      <w:tblGrid>
        <w:gridCol w:w="1638"/>
        <w:gridCol w:w="1575"/>
        <w:gridCol w:w="1677"/>
        <w:gridCol w:w="1674"/>
        <w:gridCol w:w="1815"/>
      </w:tblGrid>
      <w:tr>
        <w:trPr>
          <w:trHeight w:val="299"/>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24"/>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29.02</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27.47</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31.62</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29.37</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35.87</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30.79</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31.87</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32.84</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33.07</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29.07</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30.10</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30.74</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29.33</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27.43</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28.47</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28.41</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31.82</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28.69</w:t>
            </w:r>
          </w:p>
        </w:tc>
        <w:tc>
          <w:tcPr>
            <w:tcW w:w="999"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30.51</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0.84</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2.60</w:t>
            </w:r>
          </w:p>
        </w:tc>
      </w:tr>
      <w:tr>
        <w:trPr>
          <w:trHeight w:val="299"/>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4.81</w:t>
            </w:r>
          </w:p>
        </w:tc>
      </w:tr>
    </w:tbl>
    <w:p>
      <w:pPr>
        <w:pStyle w:val="Body"/>
        <w:spacing w:after="0" w:line="276" w:lineRule="auto"/>
        <w:rPr>
          <w:rFonts w:ascii="Arial" w:hAnsi="Arial" w:cs="Arial"/>
          <w:b/>
          <w:bCs/>
          <w:u w:val="single"/>
          <w:lang w:val="en-IN"/>
        </w:rPr>
      </w:pPr>
    </w:p>
    <w:p>
      <w:pPr>
        <w:pStyle w:val="Body"/>
        <w:spacing w:after="0" w:line="276" w:lineRule="auto"/>
        <w:rPr>
          <w:rFonts w:ascii="Arial" w:hAnsi="Arial" w:cs="Arial"/>
          <w:b/>
          <w:bCs/>
          <w:u w:val="single"/>
          <w:lang w:val="en-IN"/>
        </w:rPr>
      </w:pPr>
      <w:r>
        <w:rPr>
          <w:rFonts w:ascii="Arial" w:hAnsi="Arial" w:cs="Arial"/>
          <w:b/>
          <w:bCs/>
          <w:u w:val="single"/>
          <w:lang w:val="en-IN"/>
        </w:rPr>
        <w:t xml:space="preserve">3.2.3 Yield attributes and yield </w:t>
      </w:r>
    </w:p>
    <w:p>
      <w:pPr>
        <w:pStyle w:val="Body"/>
        <w:spacing w:after="0" w:line="276" w:lineRule="auto"/>
        <w:rPr>
          <w:rFonts w:ascii="Arial" w:hAnsi="Arial" w:cs="Arial"/>
          <w:bCs/>
          <w:lang w:val="en-IN"/>
        </w:rPr>
      </w:pPr>
      <w:r>
        <w:rPr>
          <w:rFonts w:ascii="Arial" w:hAnsi="Arial" w:cs="Arial"/>
          <w:b/>
          <w:bCs/>
          <w:lang w:val="en-IN"/>
        </w:rPr>
        <w:tab/>
      </w:r>
      <w:r>
        <w:rPr>
          <w:rFonts w:ascii="Arial" w:hAnsi="Arial" w:cs="Arial"/>
          <w:bCs/>
          <w:lang w:val="en-IN"/>
        </w:rPr>
        <w:t>The interaction effect between sowing dates and varieties on pod yield and haulm yield were found to be significant. The data represented in Table 8 showed that the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registered the significantly highest pod yield (2410 kg/ha). The data represented in Table 9 showed that the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registered the significantly highest pod yield (3074 kg/ha). No significant interactions were observed between sowing dates and varieties in all other yield attribute and yield parameters.</w:t>
      </w:r>
    </w:p>
    <w:p>
      <w:pPr>
        <w:widowControl w:val="0"/>
        <w:autoSpaceDE w:val="0"/>
        <w:autoSpaceDN w:val="0"/>
        <w:adjustRightInd w:val="0"/>
        <w:spacing w:line="276" w:lineRule="auto"/>
        <w:ind w:right="-445"/>
        <w:jc w:val="both"/>
        <w:rPr>
          <w:rFonts w:ascii="Arial" w:hAnsi="Arial" w:cs="Arial"/>
          <w:b/>
          <w:color w:val="000000"/>
        </w:rPr>
      </w:pPr>
      <w:bookmarkStart w:id="2" w:name="_Hlk202211108"/>
    </w:p>
    <w:p>
      <w:pPr>
        <w:widowControl w:val="0"/>
        <w:autoSpaceDE w:val="0"/>
        <w:autoSpaceDN w:val="0"/>
        <w:adjustRightInd w:val="0"/>
        <w:spacing w:line="276" w:lineRule="auto"/>
        <w:ind w:right="-445"/>
        <w:jc w:val="both"/>
        <w:rPr>
          <w:rFonts w:ascii="Arial" w:hAnsi="Arial" w:cs="Arial"/>
          <w:b/>
          <w:color w:val="000000"/>
        </w:rPr>
      </w:pPr>
    </w:p>
    <w:p>
      <w:pPr>
        <w:widowControl w:val="0"/>
        <w:autoSpaceDE w:val="0"/>
        <w:autoSpaceDN w:val="0"/>
        <w:adjustRightInd w:val="0"/>
        <w:spacing w:line="276" w:lineRule="auto"/>
        <w:ind w:right="-445"/>
        <w:jc w:val="both"/>
        <w:rPr>
          <w:rFonts w:ascii="Arial" w:hAnsi="Arial" w:cs="Arial"/>
          <w:b/>
          <w:color w:val="000000"/>
        </w:rPr>
      </w:pPr>
    </w:p>
    <w:p>
      <w:pPr>
        <w:widowControl w:val="0"/>
        <w:autoSpaceDE w:val="0"/>
        <w:autoSpaceDN w:val="0"/>
        <w:adjustRightInd w:val="0"/>
        <w:spacing w:line="276" w:lineRule="auto"/>
        <w:ind w:right="-445"/>
        <w:jc w:val="both"/>
        <w:rPr>
          <w:rFonts w:ascii="Arial" w:hAnsi="Arial" w:cs="Arial"/>
          <w:b/>
          <w:color w:val="000000"/>
        </w:rPr>
      </w:pPr>
    </w:p>
    <w:p>
      <w:pPr>
        <w:widowControl w:val="0"/>
        <w:autoSpaceDE w:val="0"/>
        <w:autoSpaceDN w:val="0"/>
        <w:adjustRightInd w:val="0"/>
        <w:spacing w:line="276" w:lineRule="auto"/>
        <w:ind w:right="-445"/>
        <w:jc w:val="both"/>
        <w:rPr>
          <w:rFonts w:ascii="Arial" w:hAnsi="Arial" w:cs="Arial"/>
          <w:b/>
          <w:color w:val="000000"/>
        </w:rPr>
      </w:pPr>
    </w:p>
    <w:p>
      <w:pPr>
        <w:widowControl w:val="0"/>
        <w:autoSpaceDE w:val="0"/>
        <w:autoSpaceDN w:val="0"/>
        <w:adjustRightInd w:val="0"/>
        <w:spacing w:line="276" w:lineRule="auto"/>
        <w:ind w:right="-445"/>
        <w:jc w:val="both"/>
        <w:rPr>
          <w:rFonts w:ascii="Arial" w:hAnsi="Arial" w:cs="Arial"/>
          <w:b/>
          <w:color w:val="000000"/>
        </w:rPr>
      </w:pPr>
    </w:p>
    <w:p>
      <w:pPr>
        <w:widowControl w:val="0"/>
        <w:autoSpaceDE w:val="0"/>
        <w:autoSpaceDN w:val="0"/>
        <w:adjustRightInd w:val="0"/>
        <w:spacing w:after="120" w:line="276" w:lineRule="auto"/>
        <w:ind w:right="-445"/>
        <w:jc w:val="both"/>
        <w:rPr>
          <w:rFonts w:ascii="Arial" w:hAnsi="Arial" w:cs="Arial"/>
          <w:b/>
          <w:color w:val="000000"/>
        </w:rPr>
      </w:pPr>
    </w:p>
    <w:p>
      <w:pPr>
        <w:widowControl w:val="0"/>
        <w:autoSpaceDE w:val="0"/>
        <w:autoSpaceDN w:val="0"/>
        <w:adjustRightInd w:val="0"/>
        <w:spacing w:after="120" w:line="276" w:lineRule="auto"/>
        <w:ind w:right="-445"/>
        <w:jc w:val="both"/>
        <w:rPr>
          <w:rFonts w:ascii="Arial" w:hAnsi="Arial" w:cs="Arial"/>
          <w:b/>
          <w:color w:val="000000"/>
        </w:rPr>
      </w:pPr>
      <w:r>
        <w:rPr>
          <w:rFonts w:ascii="Arial" w:hAnsi="Arial" w:cs="Arial"/>
          <w:b/>
          <w:color w:val="000000"/>
        </w:rPr>
        <w:lastRenderedPageBreak/>
        <w:t>Table 8 Interaction effect of sowing dates and groundnut varieties on pod yield (kg/ha)</w:t>
      </w:r>
    </w:p>
    <w:tbl>
      <w:tblPr>
        <w:tblW w:w="4989" w:type="pct"/>
        <w:tblInd w:w="108" w:type="dxa"/>
        <w:tblLook w:val="04A0" w:firstRow="1" w:lastRow="0" w:firstColumn="1" w:lastColumn="0" w:noHBand="0" w:noVBand="1"/>
      </w:tblPr>
      <w:tblGrid>
        <w:gridCol w:w="1641"/>
        <w:gridCol w:w="1581"/>
        <w:gridCol w:w="1681"/>
        <w:gridCol w:w="1680"/>
        <w:gridCol w:w="1816"/>
      </w:tblGrid>
      <w:tr>
        <w:trPr>
          <w:trHeight w:val="427"/>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463"/>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2159</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1682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1707</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1849.33</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2693</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2430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2565</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2562.67</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2552</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2110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2232</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2298.00</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2206</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1785</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2333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2108.00</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2402.50</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2001.75</w:t>
            </w:r>
          </w:p>
        </w:tc>
        <w:tc>
          <w:tcPr>
            <w:tcW w:w="100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2209.25</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77.88</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239.98</w:t>
            </w:r>
          </w:p>
        </w:tc>
      </w:tr>
      <w:tr>
        <w:trPr>
          <w:trHeight w:val="427"/>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6.12</w:t>
            </w:r>
          </w:p>
        </w:tc>
      </w:tr>
      <w:bookmarkEnd w:id="2"/>
    </w:tbl>
    <w:p>
      <w:pPr>
        <w:pStyle w:val="Body"/>
        <w:spacing w:after="0" w:line="276" w:lineRule="auto"/>
        <w:rPr>
          <w:rFonts w:ascii="Arial" w:hAnsi="Arial" w:cs="Arial"/>
          <w:bCs/>
          <w:lang w:val="en-IN"/>
        </w:rPr>
      </w:pPr>
    </w:p>
    <w:p>
      <w:pPr>
        <w:widowControl w:val="0"/>
        <w:autoSpaceDE w:val="0"/>
        <w:autoSpaceDN w:val="0"/>
        <w:adjustRightInd w:val="0"/>
        <w:spacing w:after="120" w:line="276" w:lineRule="auto"/>
        <w:ind w:right="-729"/>
        <w:jc w:val="both"/>
        <w:rPr>
          <w:rFonts w:ascii="Arial" w:hAnsi="Arial" w:cs="Arial"/>
          <w:b/>
          <w:color w:val="000000"/>
        </w:rPr>
      </w:pPr>
      <w:r>
        <w:rPr>
          <w:rFonts w:ascii="Arial" w:hAnsi="Arial" w:cs="Arial"/>
          <w:b/>
          <w:color w:val="000000"/>
        </w:rPr>
        <w:t>Table 9 Interaction effect of sowing dates and groundnut varieties on haulm yield (kg/ha)</w:t>
      </w:r>
    </w:p>
    <w:tbl>
      <w:tblPr>
        <w:tblW w:w="5000" w:type="pct"/>
        <w:tblInd w:w="108" w:type="dxa"/>
        <w:tblLook w:val="04A0" w:firstRow="1" w:lastRow="0" w:firstColumn="1" w:lastColumn="0" w:noHBand="0" w:noVBand="1"/>
      </w:tblPr>
      <w:tblGrid>
        <w:gridCol w:w="1644"/>
        <w:gridCol w:w="1584"/>
        <w:gridCol w:w="1685"/>
        <w:gridCol w:w="1682"/>
        <w:gridCol w:w="1823"/>
      </w:tblGrid>
      <w:tr>
        <w:trPr>
          <w:trHeight w:val="436"/>
        </w:trPr>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473"/>
        </w:trPr>
        <w:tc>
          <w:tcPr>
            <w:tcW w:w="976"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2553</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1937</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2178</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2222.89</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3074</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2783</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2789</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2882.33</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2938</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2701</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2751</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2797.44</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2795</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2494</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3023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2770.67</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2840.17</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2478.92</w:t>
            </w:r>
          </w:p>
        </w:tc>
        <w:tc>
          <w:tcPr>
            <w:tcW w:w="999"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2685.92</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93.51</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288.14</w:t>
            </w:r>
          </w:p>
        </w:tc>
      </w:tr>
      <w:tr>
        <w:trPr>
          <w:trHeight w:val="436"/>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4"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6.07</w:t>
            </w:r>
          </w:p>
        </w:tc>
      </w:tr>
    </w:tbl>
    <w:p>
      <w:pPr>
        <w:pStyle w:val="Body"/>
        <w:spacing w:after="0" w:line="276" w:lineRule="auto"/>
        <w:rPr>
          <w:rFonts w:ascii="Arial" w:hAnsi="Arial" w:cs="Arial"/>
          <w:bCs/>
          <w:lang w:val="en-IN"/>
        </w:rPr>
      </w:pPr>
    </w:p>
    <w:p>
      <w:pPr>
        <w:pStyle w:val="Body"/>
        <w:spacing w:after="0" w:line="276" w:lineRule="auto"/>
        <w:rPr>
          <w:rFonts w:ascii="Arial" w:hAnsi="Arial" w:cs="Arial"/>
          <w:b/>
          <w:bCs/>
          <w:u w:val="single"/>
          <w:lang w:val="en-IN"/>
        </w:rPr>
      </w:pPr>
      <w:r>
        <w:rPr>
          <w:rFonts w:ascii="Arial" w:hAnsi="Arial" w:cs="Arial"/>
          <w:b/>
          <w:bCs/>
          <w:u w:val="single"/>
          <w:lang w:val="en-IN"/>
        </w:rPr>
        <w:t>3.2.4 Physiological parameters</w:t>
      </w:r>
    </w:p>
    <w:p>
      <w:pPr>
        <w:pStyle w:val="Body"/>
        <w:spacing w:after="0" w:line="276" w:lineRule="auto"/>
        <w:rPr>
          <w:rFonts w:ascii="Arial" w:hAnsi="Arial" w:cs="Arial"/>
          <w:bCs/>
          <w:lang w:val="en-IN"/>
        </w:rPr>
      </w:pPr>
      <w:r>
        <w:rPr>
          <w:rFonts w:ascii="Arial" w:hAnsi="Arial" w:cs="Arial"/>
          <w:bCs/>
          <w:lang w:val="en-IN"/>
        </w:rPr>
        <w:tab/>
        <w:t>The interaction effect between sowing dates and varieties on CGR and RGR were found to be significant. The data given in Table 10 to Table 13 revealed that the treatment combination D</w:t>
      </w:r>
      <w:r>
        <w:rPr>
          <w:rFonts w:ascii="Arial" w:hAnsi="Arial" w:cs="Arial"/>
          <w:bCs/>
          <w:vertAlign w:val="subscript"/>
          <w:lang w:val="en-IN"/>
        </w:rPr>
        <w:t>3</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(8</w:t>
      </w:r>
      <w:r>
        <w:rPr>
          <w:rFonts w:ascii="Arial" w:hAnsi="Arial" w:cs="Arial"/>
          <w:bCs/>
          <w:vertAlign w:val="superscript"/>
          <w:lang w:val="en-IN"/>
        </w:rPr>
        <w:t>th</w:t>
      </w:r>
      <w:r>
        <w:rPr>
          <w:rFonts w:ascii="Arial" w:hAnsi="Arial" w:cs="Arial"/>
          <w:bCs/>
          <w:lang w:val="en-IN"/>
        </w:rPr>
        <w:t xml:space="preserve"> SMW and GJG-31) recorded significantly higher crop growth rate at 0-30 DAS (4.30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while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recorded significantly higher crop growth rate at 30-60 DAS (15.21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xml:space="preserve">), at 60-90 </w:t>
      </w:r>
      <w:r>
        <w:rPr>
          <w:rFonts w:ascii="Arial" w:hAnsi="Arial" w:cs="Arial"/>
          <w:bCs/>
          <w:lang w:val="en-IN"/>
        </w:rPr>
        <w:lastRenderedPageBreak/>
        <w:t>DAS (21.08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(20.94 g m</w:t>
      </w:r>
      <w:r>
        <w:rPr>
          <w:rFonts w:ascii="Arial" w:hAnsi="Arial" w:cs="Arial"/>
          <w:bCs/>
          <w:vertAlign w:val="superscript"/>
          <w:lang w:val="en-IN"/>
        </w:rPr>
        <w:t xml:space="preserve">-2 </w:t>
      </w:r>
      <w:r>
        <w:rPr>
          <w:rFonts w:ascii="Arial" w:hAnsi="Arial" w:cs="Arial"/>
          <w:bCs/>
          <w:lang w:val="en-IN"/>
        </w:rPr>
        <w:t>day</w:t>
      </w:r>
      <w:r>
        <w:rPr>
          <w:rFonts w:ascii="Arial" w:hAnsi="Arial" w:cs="Arial"/>
          <w:bCs/>
          <w:vertAlign w:val="superscript"/>
          <w:lang w:val="en-IN"/>
        </w:rPr>
        <w:t>-1</w:t>
      </w:r>
      <w:r>
        <w:rPr>
          <w:rFonts w:ascii="Arial" w:hAnsi="Arial" w:cs="Arial"/>
          <w:bCs/>
          <w:lang w:val="en-IN"/>
        </w:rPr>
        <w:t>). The data given in Table 14 and Table 15 revealed that the 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(6</w:t>
      </w:r>
      <w:r>
        <w:rPr>
          <w:rFonts w:ascii="Arial" w:hAnsi="Arial" w:cs="Arial"/>
          <w:bCs/>
          <w:vertAlign w:val="superscript"/>
          <w:lang w:val="en-IN"/>
        </w:rPr>
        <w:t>th</w:t>
      </w:r>
      <w:r>
        <w:rPr>
          <w:rFonts w:ascii="Arial" w:hAnsi="Arial" w:cs="Arial"/>
          <w:bCs/>
          <w:lang w:val="en-IN"/>
        </w:rPr>
        <w:t xml:space="preserve"> SMW and GJG-31) recorded significantly higher relative growth rate at 60-90 DAS (3.31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and at 90 DAS-harvest (3.47 g g</w:t>
      </w:r>
      <w:r>
        <w:rPr>
          <w:rFonts w:ascii="Arial" w:hAnsi="Arial" w:cs="Arial"/>
          <w:bCs/>
          <w:vertAlign w:val="superscript"/>
          <w:lang w:val="en-IN"/>
        </w:rPr>
        <w:t xml:space="preserve">-1 </w:t>
      </w:r>
      <w:r>
        <w:rPr>
          <w:rFonts w:ascii="Arial" w:hAnsi="Arial" w:cs="Arial"/>
          <w:bCs/>
          <w:lang w:val="en-IN"/>
        </w:rPr>
        <w:t>day</w:t>
      </w:r>
      <w:r>
        <w:rPr>
          <w:rFonts w:ascii="Arial" w:hAnsi="Arial" w:cs="Arial"/>
          <w:bCs/>
          <w:vertAlign w:val="superscript"/>
          <w:lang w:val="en-IN"/>
        </w:rPr>
        <w:t>-1</w:t>
      </w:r>
      <w:r>
        <w:rPr>
          <w:rFonts w:ascii="Arial" w:hAnsi="Arial" w:cs="Arial"/>
          <w:bCs/>
          <w:lang w:val="en-IN"/>
        </w:rPr>
        <w:t xml:space="preserve">). </w:t>
      </w:r>
    </w:p>
    <w:p>
      <w:pPr>
        <w:widowControl w:val="0"/>
        <w:autoSpaceDE w:val="0"/>
        <w:autoSpaceDN w:val="0"/>
        <w:adjustRightInd w:val="0"/>
        <w:spacing w:after="120" w:line="276" w:lineRule="auto"/>
        <w:ind w:right="-187"/>
        <w:jc w:val="both"/>
        <w:rPr>
          <w:rFonts w:ascii="Arial" w:hAnsi="Arial" w:cs="Arial"/>
          <w:b/>
          <w:color w:val="000000"/>
        </w:rPr>
      </w:pPr>
      <w:r>
        <w:rPr>
          <w:rFonts w:ascii="Arial" w:hAnsi="Arial" w:cs="Arial"/>
          <w:b/>
          <w:color w:val="000000"/>
        </w:rPr>
        <w:t xml:space="preserve">Table 10 Interaction effect of sowing dates and groundnut varieties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0-30 DAS</w:t>
      </w:r>
    </w:p>
    <w:tbl>
      <w:tblPr>
        <w:tblW w:w="4989" w:type="pct"/>
        <w:tblInd w:w="108" w:type="dxa"/>
        <w:tblLook w:val="04A0" w:firstRow="1" w:lastRow="0" w:firstColumn="1" w:lastColumn="0" w:noHBand="0" w:noVBand="1"/>
      </w:tblPr>
      <w:tblGrid>
        <w:gridCol w:w="1641"/>
        <w:gridCol w:w="1581"/>
        <w:gridCol w:w="1681"/>
        <w:gridCol w:w="1680"/>
        <w:gridCol w:w="1816"/>
      </w:tblGrid>
      <w:tr>
        <w:trPr>
          <w:trHeight w:val="296"/>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21"/>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1.98</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2.14</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2.63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2.25</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3.46</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3.36</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3.92</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3.58</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4.30</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3.33</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3.06</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3.56</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3.26</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2.42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2.73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2.80</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3.25</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2.81</w:t>
            </w:r>
          </w:p>
        </w:tc>
        <w:tc>
          <w:tcPr>
            <w:tcW w:w="100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3.09</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0.16</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0.48</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8.84</w:t>
            </w:r>
          </w:p>
        </w:tc>
      </w:tr>
    </w:tbl>
    <w:p>
      <w:pPr>
        <w:widowControl w:val="0"/>
        <w:autoSpaceDE w:val="0"/>
        <w:autoSpaceDN w:val="0"/>
        <w:adjustRightInd w:val="0"/>
        <w:spacing w:line="276" w:lineRule="auto"/>
        <w:ind w:right="-188"/>
        <w:jc w:val="both"/>
        <w:rPr>
          <w:rFonts w:ascii="Arial" w:hAnsi="Arial" w:cs="Arial"/>
          <w:b/>
          <w:color w:val="000000"/>
        </w:rPr>
      </w:pPr>
    </w:p>
    <w:p>
      <w:pPr>
        <w:widowControl w:val="0"/>
        <w:autoSpaceDE w:val="0"/>
        <w:autoSpaceDN w:val="0"/>
        <w:adjustRightInd w:val="0"/>
        <w:spacing w:after="120" w:line="276" w:lineRule="auto"/>
        <w:ind w:right="-187"/>
        <w:jc w:val="both"/>
        <w:rPr>
          <w:rFonts w:ascii="Arial" w:hAnsi="Arial" w:cs="Arial"/>
          <w:b/>
          <w:color w:val="000000"/>
        </w:rPr>
      </w:pPr>
      <w:r>
        <w:rPr>
          <w:rFonts w:ascii="Arial" w:hAnsi="Arial" w:cs="Arial"/>
          <w:b/>
          <w:color w:val="000000"/>
        </w:rPr>
        <w:t xml:space="preserve">Table 11 Interaction effect of sowing dates and groundnut varieties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30-60 DAS</w:t>
      </w:r>
    </w:p>
    <w:tbl>
      <w:tblPr>
        <w:tblW w:w="5005" w:type="pct"/>
        <w:tblInd w:w="108" w:type="dxa"/>
        <w:tblLook w:val="04A0" w:firstRow="1" w:lastRow="0" w:firstColumn="1" w:lastColumn="0" w:noHBand="0" w:noVBand="1"/>
      </w:tblPr>
      <w:tblGrid>
        <w:gridCol w:w="1647"/>
        <w:gridCol w:w="1584"/>
        <w:gridCol w:w="1687"/>
        <w:gridCol w:w="1685"/>
        <w:gridCol w:w="1823"/>
      </w:tblGrid>
      <w:tr>
        <w:trPr>
          <w:trHeight w:val="300"/>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25"/>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12.37</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11.83</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12.91</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12.37</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15.21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13.82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15.37</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14.80</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14.77</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12.44</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12.60</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13.27</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12.71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11.55</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11.93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12.06</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13.76</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12.41</w:t>
            </w:r>
          </w:p>
        </w:tc>
        <w:tc>
          <w:tcPr>
            <w:tcW w:w="100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13.20</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0.36</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1.10</w:t>
            </w:r>
          </w:p>
        </w:tc>
      </w:tr>
      <w:tr>
        <w:trPr>
          <w:trHeight w:val="300"/>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4.72</w:t>
            </w:r>
          </w:p>
        </w:tc>
      </w:tr>
    </w:tbl>
    <w:p>
      <w:pPr>
        <w:widowControl w:val="0"/>
        <w:autoSpaceDE w:val="0"/>
        <w:autoSpaceDN w:val="0"/>
        <w:adjustRightInd w:val="0"/>
        <w:spacing w:line="276" w:lineRule="auto"/>
        <w:ind w:right="-187"/>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p>
    <w:p>
      <w:pPr>
        <w:widowControl w:val="0"/>
        <w:autoSpaceDE w:val="0"/>
        <w:autoSpaceDN w:val="0"/>
        <w:adjustRightInd w:val="0"/>
        <w:spacing w:after="120" w:line="276" w:lineRule="auto"/>
        <w:ind w:right="-330"/>
        <w:jc w:val="both"/>
        <w:rPr>
          <w:rFonts w:ascii="Arial" w:hAnsi="Arial" w:cs="Arial"/>
          <w:b/>
          <w:color w:val="000000"/>
        </w:rPr>
      </w:pPr>
      <w:r>
        <w:rPr>
          <w:rFonts w:ascii="Arial" w:hAnsi="Arial" w:cs="Arial"/>
          <w:b/>
          <w:color w:val="000000"/>
        </w:rPr>
        <w:lastRenderedPageBreak/>
        <w:t xml:space="preserve">Table 12 Interaction effect of sowing dates and groundnut varieties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60-90 DAS</w:t>
      </w:r>
    </w:p>
    <w:tbl>
      <w:tblPr>
        <w:tblW w:w="4973" w:type="pct"/>
        <w:tblInd w:w="108" w:type="dxa"/>
        <w:tblLook w:val="04A0" w:firstRow="1" w:lastRow="0" w:firstColumn="1" w:lastColumn="0" w:noHBand="0" w:noVBand="1"/>
      </w:tblPr>
      <w:tblGrid>
        <w:gridCol w:w="1637"/>
        <w:gridCol w:w="1576"/>
        <w:gridCol w:w="1675"/>
        <w:gridCol w:w="1673"/>
        <w:gridCol w:w="1812"/>
      </w:tblGrid>
      <w:tr>
        <w:trPr>
          <w:trHeight w:val="300"/>
        </w:trPr>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25"/>
        </w:trPr>
        <w:tc>
          <w:tcPr>
            <w:tcW w:w="978"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14.17</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13.90</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16.86</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14.98</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21.08</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17.51</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16.94</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18.51</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19.25</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17.15</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17.80</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18.07</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18.42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17.30</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18.16</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17.96</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18.23</w:t>
            </w:r>
          </w:p>
        </w:tc>
        <w:tc>
          <w:tcPr>
            <w:tcW w:w="100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16.47</w:t>
            </w:r>
          </w:p>
        </w:tc>
        <w:tc>
          <w:tcPr>
            <w:tcW w:w="999"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17.44</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0.65</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2.00</w:t>
            </w:r>
          </w:p>
        </w:tc>
      </w:tr>
      <w:tr>
        <w:trPr>
          <w:trHeight w:val="300"/>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2"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6.46</w:t>
            </w:r>
          </w:p>
        </w:tc>
      </w:tr>
    </w:tbl>
    <w:p>
      <w:pPr>
        <w:widowControl w:val="0"/>
        <w:autoSpaceDE w:val="0"/>
        <w:autoSpaceDN w:val="0"/>
        <w:adjustRightInd w:val="0"/>
        <w:spacing w:line="276" w:lineRule="auto"/>
        <w:ind w:right="-188"/>
        <w:jc w:val="both"/>
        <w:rPr>
          <w:rFonts w:ascii="Arial" w:hAnsi="Arial" w:cs="Arial"/>
          <w:b/>
          <w:color w:val="000000"/>
        </w:rPr>
      </w:pPr>
    </w:p>
    <w:p>
      <w:pPr>
        <w:widowControl w:val="0"/>
        <w:autoSpaceDE w:val="0"/>
        <w:autoSpaceDN w:val="0"/>
        <w:adjustRightInd w:val="0"/>
        <w:spacing w:line="276" w:lineRule="auto"/>
        <w:ind w:right="-330"/>
        <w:jc w:val="both"/>
        <w:rPr>
          <w:rFonts w:ascii="Arial" w:hAnsi="Arial" w:cs="Arial"/>
          <w:b/>
          <w:color w:val="000000"/>
        </w:rPr>
      </w:pPr>
      <w:r>
        <w:rPr>
          <w:rFonts w:ascii="Arial" w:hAnsi="Arial" w:cs="Arial"/>
          <w:b/>
          <w:color w:val="000000"/>
        </w:rPr>
        <w:t xml:space="preserve">Table 13 Interaction effect of sowing dates and groundnut varieties on Crop Growth </w:t>
      </w:r>
      <w:r>
        <w:rPr>
          <w:rFonts w:ascii="Arial" w:hAnsi="Arial" w:cs="Arial"/>
          <w:b/>
          <w:color w:val="FFFFFF" w:themeColor="background1"/>
        </w:rPr>
        <w:t xml:space="preserve">boxes       </w:t>
      </w:r>
      <w:r>
        <w:rPr>
          <w:rFonts w:ascii="Arial" w:hAnsi="Arial" w:cs="Arial"/>
          <w:b/>
          <w:color w:val="000000"/>
        </w:rPr>
        <w:t xml:space="preserve">Rate (CGR) </w:t>
      </w:r>
      <w:r>
        <w:rPr>
          <w:rFonts w:ascii="Arial" w:hAnsi="Arial" w:cs="Arial"/>
          <w:b/>
          <w:bCs/>
          <w:lang w:eastAsia="en-IN"/>
        </w:rPr>
        <w:t>(</w:t>
      </w:r>
      <w:r>
        <w:rPr>
          <w:rFonts w:ascii="Arial" w:hAnsi="Arial" w:cs="Arial"/>
          <w:b/>
          <w:bCs/>
        </w:rPr>
        <w:t>g m</w:t>
      </w:r>
      <w:r>
        <w:rPr>
          <w:rFonts w:ascii="Arial" w:hAnsi="Arial" w:cs="Arial"/>
          <w:b/>
          <w:bCs/>
          <w:vertAlign w:val="superscript"/>
        </w:rPr>
        <w:t xml:space="preserve">-2 </w:t>
      </w:r>
      <w:r>
        <w:rPr>
          <w:rFonts w:ascii="Arial" w:hAnsi="Arial" w:cs="Arial"/>
          <w:b/>
          <w:bCs/>
        </w:rPr>
        <w:t>day</w:t>
      </w:r>
      <w:r>
        <w:rPr>
          <w:rFonts w:ascii="Arial" w:hAnsi="Arial" w:cs="Arial"/>
          <w:b/>
          <w:bCs/>
          <w:vertAlign w:val="superscript"/>
        </w:rPr>
        <w:t>-1</w:t>
      </w:r>
      <w:r>
        <w:rPr>
          <w:rFonts w:ascii="Arial" w:hAnsi="Arial" w:cs="Arial"/>
          <w:b/>
          <w:bCs/>
          <w:lang w:eastAsia="en-IN"/>
        </w:rPr>
        <w:t>) at 90 DAS-harvest</w:t>
      </w:r>
    </w:p>
    <w:tbl>
      <w:tblPr>
        <w:tblW w:w="4957" w:type="pct"/>
        <w:tblInd w:w="108" w:type="dxa"/>
        <w:tblLook w:val="04A0" w:firstRow="1" w:lastRow="0" w:firstColumn="1" w:lastColumn="0" w:noHBand="0" w:noVBand="1"/>
      </w:tblPr>
      <w:tblGrid>
        <w:gridCol w:w="1630"/>
        <w:gridCol w:w="1571"/>
        <w:gridCol w:w="1671"/>
        <w:gridCol w:w="1668"/>
        <w:gridCol w:w="1806"/>
      </w:tblGrid>
      <w:tr>
        <w:trPr>
          <w:trHeight w:val="296"/>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21"/>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17.20</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16.83</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18.72</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17.58</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20.94</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18.09</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19.00</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19.34</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18.61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16.72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17.02</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17.45</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16.61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15.55</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16.16</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16.11</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18.34</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16.80</w:t>
            </w:r>
          </w:p>
        </w:tc>
        <w:tc>
          <w:tcPr>
            <w:tcW w:w="999"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17.72</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0.43</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1.33</w:t>
            </w:r>
          </w:p>
        </w:tc>
      </w:tr>
      <w:tr>
        <w:trPr>
          <w:trHeight w:val="296"/>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4.25</w:t>
            </w:r>
          </w:p>
        </w:tc>
      </w:tr>
    </w:tbl>
    <w:p>
      <w:pPr>
        <w:widowControl w:val="0"/>
        <w:autoSpaceDE w:val="0"/>
        <w:autoSpaceDN w:val="0"/>
        <w:adjustRightInd w:val="0"/>
        <w:spacing w:line="276" w:lineRule="auto"/>
        <w:ind w:right="-188"/>
        <w:jc w:val="both"/>
        <w:rPr>
          <w:rFonts w:ascii="Arial" w:hAnsi="Arial" w:cs="Arial"/>
          <w:bCs/>
          <w:color w:val="000000"/>
        </w:rPr>
      </w:pPr>
    </w:p>
    <w:p>
      <w:pPr>
        <w:widowControl w:val="0"/>
        <w:autoSpaceDE w:val="0"/>
        <w:autoSpaceDN w:val="0"/>
        <w:adjustRightInd w:val="0"/>
        <w:spacing w:after="120" w:line="276" w:lineRule="auto"/>
        <w:ind w:right="-303"/>
        <w:jc w:val="both"/>
        <w:rPr>
          <w:rFonts w:ascii="Arial" w:hAnsi="Arial" w:cs="Arial"/>
          <w:b/>
          <w:color w:val="000000"/>
        </w:rPr>
      </w:pPr>
      <w:r>
        <w:rPr>
          <w:rFonts w:ascii="Arial" w:hAnsi="Arial" w:cs="Arial"/>
          <w:b/>
          <w:color w:val="000000"/>
        </w:rPr>
        <w:t>Table 14 Interaction effect of sowing dates and varieties on Relative Growth Rate (</w:t>
      </w:r>
      <w:proofErr w:type="gramStart"/>
      <w:r>
        <w:rPr>
          <w:rFonts w:ascii="Arial" w:hAnsi="Arial" w:cs="Arial"/>
          <w:b/>
          <w:color w:val="000000"/>
        </w:rPr>
        <w:t xml:space="preserve">RGR)  </w:t>
      </w:r>
      <w:r>
        <w:rPr>
          <w:rFonts w:ascii="Arial" w:hAnsi="Arial" w:cs="Arial"/>
          <w:b/>
          <w:color w:val="FFFFFF" w:themeColor="background1"/>
        </w:rPr>
        <w:t>box</w:t>
      </w:r>
      <w:proofErr w:type="gramEnd"/>
      <w:r>
        <w:rPr>
          <w:rFonts w:ascii="Arial" w:hAnsi="Arial" w:cs="Arial"/>
          <w:b/>
          <w:color w:val="000000"/>
        </w:rPr>
        <w:t xml:space="preserve">          (</w:t>
      </w:r>
      <w:r>
        <w:rPr>
          <w:rFonts w:ascii="Arial" w:hAnsi="Arial" w:cs="Arial"/>
          <w:b/>
          <w:bCs/>
        </w:rPr>
        <w:t>g g</w:t>
      </w:r>
      <w:r>
        <w:rPr>
          <w:rFonts w:ascii="Arial" w:hAnsi="Arial" w:cs="Arial"/>
          <w:b/>
          <w:bCs/>
          <w:vertAlign w:val="superscript"/>
        </w:rPr>
        <w:t xml:space="preserve">-1 </w:t>
      </w:r>
      <w:r>
        <w:rPr>
          <w:rFonts w:ascii="Arial" w:hAnsi="Arial" w:cs="Arial"/>
          <w:b/>
          <w:bCs/>
        </w:rPr>
        <w:t>day</w:t>
      </w:r>
      <w:r>
        <w:rPr>
          <w:rFonts w:ascii="Arial" w:hAnsi="Arial" w:cs="Arial"/>
          <w:b/>
          <w:bCs/>
          <w:vertAlign w:val="superscript"/>
        </w:rPr>
        <w:t>-1</w:t>
      </w:r>
      <w:r>
        <w:rPr>
          <w:rFonts w:ascii="Arial" w:hAnsi="Arial" w:cs="Arial"/>
          <w:b/>
          <w:color w:val="000000"/>
        </w:rPr>
        <w:t>) at 60-90 DAS</w:t>
      </w:r>
    </w:p>
    <w:tbl>
      <w:tblPr>
        <w:tblW w:w="5000" w:type="pct"/>
        <w:tblInd w:w="108" w:type="dxa"/>
        <w:tblLook w:val="04A0" w:firstRow="1" w:lastRow="0" w:firstColumn="1" w:lastColumn="0" w:noHBand="0" w:noVBand="1"/>
      </w:tblPr>
      <w:tblGrid>
        <w:gridCol w:w="1645"/>
        <w:gridCol w:w="1584"/>
        <w:gridCol w:w="1685"/>
        <w:gridCol w:w="1684"/>
        <w:gridCol w:w="1820"/>
      </w:tblGrid>
      <w:tr>
        <w:trPr>
          <w:trHeight w:val="271"/>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293"/>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themeColor="text1"/>
                <w:lang w:eastAsia="en-IN"/>
              </w:rPr>
              <w:t>2.98</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2.95</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3.10</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3.01</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3.31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3.16</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3.18</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3.22</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3.26</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3.12</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3.15</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3.17</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3.18</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3.10</w:t>
            </w:r>
          </w:p>
        </w:tc>
        <w:tc>
          <w:tcPr>
            <w:tcW w:w="1000"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3.14</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3.14</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3.18</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3.08</w:t>
            </w:r>
          </w:p>
        </w:tc>
        <w:tc>
          <w:tcPr>
            <w:tcW w:w="100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color w:val="000000"/>
                <w:lang w:eastAsia="en-IN"/>
              </w:rPr>
              <w:t>3.14</w:t>
            </w:r>
          </w:p>
        </w:tc>
        <w:tc>
          <w:tcPr>
            <w:tcW w:w="1081"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0.03</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0.10</w:t>
            </w:r>
          </w:p>
        </w:tc>
      </w:tr>
      <w:tr>
        <w:trPr>
          <w:trHeight w:val="271"/>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1.83</w:t>
            </w:r>
          </w:p>
        </w:tc>
      </w:tr>
    </w:tbl>
    <w:p>
      <w:pPr>
        <w:widowControl w:val="0"/>
        <w:autoSpaceDE w:val="0"/>
        <w:autoSpaceDN w:val="0"/>
        <w:adjustRightInd w:val="0"/>
        <w:spacing w:line="276" w:lineRule="auto"/>
        <w:ind w:right="-188"/>
        <w:jc w:val="both"/>
        <w:rPr>
          <w:rFonts w:ascii="Arial" w:hAnsi="Arial" w:cs="Arial"/>
          <w:b/>
          <w:color w:val="000000"/>
        </w:rPr>
      </w:pPr>
    </w:p>
    <w:p>
      <w:pPr>
        <w:widowControl w:val="0"/>
        <w:autoSpaceDE w:val="0"/>
        <w:autoSpaceDN w:val="0"/>
        <w:adjustRightInd w:val="0"/>
        <w:spacing w:after="120" w:line="276" w:lineRule="auto"/>
        <w:ind w:right="-187"/>
        <w:jc w:val="both"/>
        <w:rPr>
          <w:rFonts w:ascii="Arial" w:hAnsi="Arial" w:cs="Arial"/>
          <w:b/>
          <w:color w:val="000000"/>
        </w:rPr>
      </w:pPr>
    </w:p>
    <w:p>
      <w:pPr>
        <w:widowControl w:val="0"/>
        <w:autoSpaceDE w:val="0"/>
        <w:autoSpaceDN w:val="0"/>
        <w:adjustRightInd w:val="0"/>
        <w:spacing w:after="120" w:line="276" w:lineRule="auto"/>
        <w:ind w:right="-303"/>
        <w:jc w:val="both"/>
        <w:rPr>
          <w:rFonts w:ascii="Arial" w:hAnsi="Arial" w:cs="Arial"/>
          <w:b/>
          <w:color w:val="000000"/>
        </w:rPr>
      </w:pPr>
      <w:r>
        <w:rPr>
          <w:rFonts w:ascii="Arial" w:hAnsi="Arial" w:cs="Arial"/>
          <w:b/>
          <w:color w:val="000000"/>
        </w:rPr>
        <w:lastRenderedPageBreak/>
        <w:t xml:space="preserve">Table 15 Interaction effect of sowing dates and varieties on Relative Growth Rate (RGR) </w:t>
      </w:r>
      <w:r>
        <w:rPr>
          <w:rFonts w:ascii="Arial" w:hAnsi="Arial" w:cs="Arial"/>
          <w:b/>
          <w:color w:val="FFFFFF" w:themeColor="background1"/>
        </w:rPr>
        <w:t xml:space="preserve">box       </w:t>
      </w:r>
      <w:proofErr w:type="gramStart"/>
      <w:r>
        <w:rPr>
          <w:rFonts w:ascii="Arial" w:hAnsi="Arial" w:cs="Arial"/>
          <w:b/>
          <w:color w:val="FFFFFF" w:themeColor="background1"/>
        </w:rPr>
        <w:t xml:space="preserve">   </w:t>
      </w:r>
      <w:r>
        <w:rPr>
          <w:rFonts w:ascii="Arial" w:hAnsi="Arial" w:cs="Arial"/>
          <w:b/>
          <w:color w:val="000000"/>
        </w:rPr>
        <w:t>(</w:t>
      </w:r>
      <w:proofErr w:type="gramEnd"/>
      <w:r>
        <w:rPr>
          <w:rFonts w:ascii="Arial" w:hAnsi="Arial" w:cs="Arial"/>
          <w:b/>
          <w:bCs/>
        </w:rPr>
        <w:t>g g</w:t>
      </w:r>
      <w:r>
        <w:rPr>
          <w:rFonts w:ascii="Arial" w:hAnsi="Arial" w:cs="Arial"/>
          <w:b/>
          <w:bCs/>
          <w:vertAlign w:val="superscript"/>
        </w:rPr>
        <w:t xml:space="preserve">-1 </w:t>
      </w:r>
      <w:r>
        <w:rPr>
          <w:rFonts w:ascii="Arial" w:hAnsi="Arial" w:cs="Arial"/>
          <w:b/>
          <w:bCs/>
        </w:rPr>
        <w:t>day</w:t>
      </w:r>
      <w:r>
        <w:rPr>
          <w:rFonts w:ascii="Arial" w:hAnsi="Arial" w:cs="Arial"/>
          <w:b/>
          <w:bCs/>
          <w:vertAlign w:val="superscript"/>
        </w:rPr>
        <w:t>-1</w:t>
      </w:r>
      <w:r>
        <w:rPr>
          <w:rFonts w:ascii="Arial" w:hAnsi="Arial" w:cs="Arial"/>
          <w:b/>
          <w:color w:val="000000"/>
        </w:rPr>
        <w:t>) at 90 DAS-harvest</w:t>
      </w:r>
    </w:p>
    <w:tbl>
      <w:tblPr>
        <w:tblW w:w="5000" w:type="pct"/>
        <w:tblInd w:w="108" w:type="dxa"/>
        <w:tblLook w:val="04A0" w:firstRow="1" w:lastRow="0" w:firstColumn="1" w:lastColumn="0" w:noHBand="0" w:noVBand="1"/>
      </w:tblPr>
      <w:tblGrid>
        <w:gridCol w:w="1645"/>
        <w:gridCol w:w="1584"/>
        <w:gridCol w:w="1685"/>
        <w:gridCol w:w="1682"/>
        <w:gridCol w:w="1822"/>
      </w:tblGrid>
      <w:tr>
        <w:trPr>
          <w:trHeight w:val="302"/>
        </w:trPr>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Sowing dates</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Varieties</w:t>
            </w:r>
          </w:p>
        </w:tc>
      </w:tr>
      <w:tr>
        <w:trPr>
          <w:trHeight w:val="327"/>
        </w:trPr>
        <w:tc>
          <w:tcPr>
            <w:tcW w:w="977" w:type="pct"/>
            <w:vMerge/>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Arial" w:hAnsi="Arial" w:cs="Arial"/>
                <w:b/>
                <w:bCs/>
                <w:color w:val="000000"/>
                <w:lang w:eastAsia="en-IN"/>
              </w:rPr>
            </w:pP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1</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V</w:t>
            </w:r>
            <w:r>
              <w:rPr>
                <w:rFonts w:ascii="Arial" w:hAnsi="Arial" w:cs="Arial"/>
                <w:b/>
                <w:bCs/>
                <w:color w:val="000000"/>
                <w:vertAlign w:val="subscript"/>
                <w:lang w:eastAsia="en-IN"/>
              </w:rPr>
              <w:t>3</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3.22</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3.20</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3.32</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rPr>
              <w:t>3.25</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3.47</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3.32</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3.36</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rPr>
              <w:t>3.38</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3</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3.38</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3.26</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3.28</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rPr>
              <w:t>3.31</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b/>
                <w:bCs/>
                <w:color w:val="000000"/>
                <w:vertAlign w:val="subscript"/>
                <w:lang w:eastAsia="en-IN"/>
              </w:rPr>
            </w:pPr>
            <w:r>
              <w:rPr>
                <w:rFonts w:ascii="Arial" w:hAnsi="Arial" w:cs="Arial"/>
                <w:b/>
                <w:bCs/>
                <w:color w:val="000000"/>
                <w:lang w:eastAsia="en-IN"/>
              </w:rPr>
              <w:t>D</w:t>
            </w:r>
            <w:r>
              <w:rPr>
                <w:rFonts w:ascii="Arial" w:hAnsi="Arial" w:cs="Arial"/>
                <w:b/>
                <w:bCs/>
                <w:color w:val="000000"/>
                <w:vertAlign w:val="subscript"/>
                <w:lang w:eastAsia="en-IN"/>
              </w:rPr>
              <w:t>4</w:t>
            </w:r>
          </w:p>
        </w:tc>
        <w:tc>
          <w:tcPr>
            <w:tcW w:w="94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3.28</w:t>
            </w:r>
          </w:p>
        </w:tc>
        <w:tc>
          <w:tcPr>
            <w:tcW w:w="100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3.21</w:t>
            </w:r>
          </w:p>
        </w:tc>
        <w:tc>
          <w:tcPr>
            <w:tcW w:w="999"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rPr>
              <w:t>3.25</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rPr>
              <w:t>3.24</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Arial" w:hAnsi="Arial" w:cs="Arial"/>
                <w:b/>
                <w:bCs/>
                <w:color w:val="000000"/>
                <w:lang w:eastAsia="en-IN"/>
              </w:rPr>
            </w:pPr>
            <w:r>
              <w:rPr>
                <w:rFonts w:ascii="Arial" w:hAnsi="Arial" w:cs="Arial"/>
                <w:b/>
                <w:bCs/>
                <w:color w:val="000000"/>
                <w:lang w:eastAsia="en-IN"/>
              </w:rPr>
              <w:t>Mean</w:t>
            </w:r>
          </w:p>
        </w:tc>
        <w:tc>
          <w:tcPr>
            <w:tcW w:w="94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rPr>
              <w:t>3.34</w:t>
            </w:r>
          </w:p>
        </w:tc>
        <w:tc>
          <w:tcPr>
            <w:tcW w:w="100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rPr>
              <w:t>3.25</w:t>
            </w:r>
          </w:p>
        </w:tc>
        <w:tc>
          <w:tcPr>
            <w:tcW w:w="999"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Arial" w:hAnsi="Arial" w:cs="Arial"/>
                <w:color w:val="000000"/>
                <w:lang w:eastAsia="en-IN"/>
              </w:rPr>
            </w:pPr>
            <w:r>
              <w:rPr>
                <w:rFonts w:ascii="Arial" w:hAnsi="Arial" w:cs="Arial"/>
              </w:rPr>
              <w:t>3.30</w:t>
            </w:r>
          </w:p>
        </w:tc>
        <w:tc>
          <w:tcPr>
            <w:tcW w:w="1082" w:type="pct"/>
            <w:tcBorders>
              <w:top w:val="nil"/>
              <w:left w:val="nil"/>
              <w:bottom w:val="single" w:sz="4" w:space="0" w:color="auto"/>
              <w:right w:val="single" w:sz="4" w:space="0" w:color="auto"/>
            </w:tcBorders>
            <w:vAlign w:val="center"/>
          </w:tcPr>
          <w:p>
            <w:pPr>
              <w:spacing w:line="276" w:lineRule="auto"/>
              <w:jc w:val="center"/>
              <w:rPr>
                <w:rFonts w:ascii="Arial" w:hAnsi="Arial" w:cs="Arial"/>
                <w:color w:val="000000"/>
                <w:lang w:eastAsia="en-IN"/>
              </w:rPr>
            </w:pPr>
            <w:r>
              <w:rPr>
                <w:rFonts w:ascii="Arial" w:hAnsi="Arial" w:cs="Arial"/>
                <w:color w:val="000000"/>
                <w:lang w:eastAsia="en-IN"/>
              </w:rPr>
              <w:t>-</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proofErr w:type="spellStart"/>
            <w:r>
              <w:rPr>
                <w:rFonts w:ascii="Arial" w:hAnsi="Arial" w:cs="Arial"/>
                <w:color w:val="000000"/>
                <w:lang w:eastAsia="en-IN"/>
              </w:rPr>
              <w:t>S.</w:t>
            </w:r>
            <w:proofErr w:type="gramStart"/>
            <w:r>
              <w:rPr>
                <w:rFonts w:ascii="Arial" w:hAnsi="Arial" w:cs="Arial"/>
                <w:color w:val="000000"/>
                <w:lang w:eastAsia="en-IN"/>
              </w:rPr>
              <w:t>Em</w:t>
            </w:r>
            <w:proofErr w:type="spellEnd"/>
            <w:r>
              <w:rPr>
                <w:rFonts w:ascii="Arial" w:hAnsi="Arial" w:cs="Arial"/>
                <w:color w:val="000000"/>
                <w:lang w:eastAsia="en-IN"/>
              </w:rPr>
              <w:t>.±</w:t>
            </w:r>
            <w:proofErr w:type="gramEnd"/>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0.03</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C.D. at 5 %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0.08</w:t>
            </w:r>
          </w:p>
        </w:tc>
      </w:tr>
      <w:tr>
        <w:trPr>
          <w:trHeight w:val="302"/>
        </w:trPr>
        <w:tc>
          <w:tcPr>
            <w:tcW w:w="977"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C.V. %</w:t>
            </w:r>
          </w:p>
        </w:tc>
        <w:tc>
          <w:tcPr>
            <w:tcW w:w="4023" w:type="pct"/>
            <w:gridSpan w:val="4"/>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Arial" w:hAnsi="Arial" w:cs="Arial"/>
                <w:color w:val="000000"/>
                <w:lang w:eastAsia="en-IN"/>
              </w:rPr>
            </w:pPr>
            <w:r>
              <w:rPr>
                <w:rFonts w:ascii="Arial" w:hAnsi="Arial" w:cs="Arial"/>
                <w:color w:val="000000"/>
                <w:lang w:eastAsia="en-IN"/>
              </w:rPr>
              <w:t>1.42</w:t>
            </w:r>
          </w:p>
        </w:tc>
      </w:tr>
    </w:tbl>
    <w:p>
      <w:pPr>
        <w:pStyle w:val="Body"/>
        <w:spacing w:after="0" w:line="276" w:lineRule="auto"/>
        <w:rPr>
          <w:rFonts w:ascii="Arial" w:hAnsi="Arial" w:cs="Arial"/>
        </w:rPr>
      </w:pPr>
    </w:p>
    <w:p>
      <w:pPr>
        <w:pStyle w:val="ConcHead"/>
        <w:spacing w:after="0" w:line="276" w:lineRule="auto"/>
        <w:jc w:val="both"/>
        <w:rPr>
          <w:rFonts w:ascii="Arial" w:hAnsi="Arial" w:cs="Arial"/>
        </w:rPr>
      </w:pPr>
      <w:r>
        <w:rPr>
          <w:rFonts w:ascii="Arial" w:hAnsi="Arial" w:cs="Arial"/>
        </w:rPr>
        <w:t>4. Conclusion</w:t>
      </w:r>
    </w:p>
    <w:p>
      <w:pPr>
        <w:pStyle w:val="Body"/>
        <w:spacing w:after="0" w:line="276" w:lineRule="auto"/>
        <w:ind w:firstLine="720"/>
        <w:rPr>
          <w:rFonts w:ascii="Arial" w:hAnsi="Arial" w:cs="Arial"/>
          <w:bCs/>
          <w:lang w:val="en-IN"/>
        </w:rPr>
      </w:pPr>
      <w:r>
        <w:rPr>
          <w:rFonts w:ascii="Arial" w:hAnsi="Arial" w:cs="Arial"/>
          <w:bCs/>
          <w:lang w:val="en-IN"/>
        </w:rPr>
        <w:t xml:space="preserve">Based on this experiment it can be concluded that </w:t>
      </w:r>
      <w:r>
        <w:rPr>
          <w:rFonts w:ascii="Arial" w:hAnsi="Arial" w:cs="Arial"/>
          <w:lang w:val="en-IN"/>
        </w:rPr>
        <w:t xml:space="preserve">under the south Saurashtra </w:t>
      </w:r>
      <w:proofErr w:type="spellStart"/>
      <w:r>
        <w:rPr>
          <w:rFonts w:ascii="Arial" w:hAnsi="Arial" w:cs="Arial"/>
          <w:lang w:val="en-IN"/>
        </w:rPr>
        <w:t>agro</w:t>
      </w:r>
      <w:proofErr w:type="spellEnd"/>
      <w:r>
        <w:rPr>
          <w:rFonts w:ascii="Arial" w:hAnsi="Arial" w:cs="Arial"/>
          <w:lang w:val="en-IN"/>
        </w:rPr>
        <w:t>-climatic condition of Junagadh (Gujarat), summer groundnut crop sown in 6</w:t>
      </w:r>
      <w:r>
        <w:rPr>
          <w:rFonts w:ascii="Arial" w:hAnsi="Arial" w:cs="Arial"/>
          <w:vertAlign w:val="superscript"/>
          <w:lang w:val="en-IN"/>
        </w:rPr>
        <w:t>th</w:t>
      </w:r>
      <w:r>
        <w:rPr>
          <w:rFonts w:ascii="Arial" w:hAnsi="Arial" w:cs="Arial"/>
          <w:lang w:val="en-IN"/>
        </w:rPr>
        <w:t xml:space="preserve"> SMW recorded higher yield as compared to other sowing dates. Meteorologically, most suitable environment for growing of summer groundnut was reported in 6</w:t>
      </w:r>
      <w:r>
        <w:rPr>
          <w:rFonts w:ascii="Arial" w:hAnsi="Arial" w:cs="Arial"/>
          <w:vertAlign w:val="superscript"/>
          <w:lang w:val="en-IN"/>
        </w:rPr>
        <w:t>th</w:t>
      </w:r>
      <w:r>
        <w:rPr>
          <w:rFonts w:ascii="Arial" w:hAnsi="Arial" w:cs="Arial"/>
          <w:lang w:val="en-IN"/>
        </w:rPr>
        <w:t xml:space="preserve"> SMW. Sowing before and after 6</w:t>
      </w:r>
      <w:r>
        <w:rPr>
          <w:rFonts w:ascii="Arial" w:hAnsi="Arial" w:cs="Arial"/>
          <w:vertAlign w:val="superscript"/>
          <w:lang w:val="en-IN"/>
        </w:rPr>
        <w:t>th</w:t>
      </w:r>
      <w:r>
        <w:rPr>
          <w:rFonts w:ascii="Arial" w:hAnsi="Arial" w:cs="Arial"/>
          <w:lang w:val="en-IN"/>
        </w:rPr>
        <w:t xml:space="preserve"> SMW gradually decrease the seed yield. Gujarat Junagadh Groundnut-31 gave the highest yield as compared to other varieties (GG-34 and GG-37). On the basis of this experiment, it can be also concluded that the </w:t>
      </w:r>
      <w:r>
        <w:rPr>
          <w:rFonts w:ascii="Arial" w:hAnsi="Arial" w:cs="Arial"/>
          <w:bCs/>
          <w:lang w:val="en-IN"/>
        </w:rPr>
        <w:t>treatment combination D</w:t>
      </w:r>
      <w:r>
        <w:rPr>
          <w:rFonts w:ascii="Arial" w:hAnsi="Arial" w:cs="Arial"/>
          <w:bCs/>
          <w:vertAlign w:val="subscript"/>
          <w:lang w:val="en-IN"/>
        </w:rPr>
        <w:t>2</w:t>
      </w:r>
      <w:r>
        <w:rPr>
          <w:rFonts w:ascii="Arial" w:hAnsi="Arial" w:cs="Arial"/>
          <w:bCs/>
          <w:lang w:val="en-IN"/>
        </w:rPr>
        <w:t>V</w:t>
      </w:r>
      <w:r>
        <w:rPr>
          <w:rFonts w:ascii="Arial" w:hAnsi="Arial" w:cs="Arial"/>
          <w:bCs/>
          <w:vertAlign w:val="subscript"/>
          <w:lang w:val="en-IN"/>
        </w:rPr>
        <w:t>1</w:t>
      </w:r>
      <w:r>
        <w:rPr>
          <w:rFonts w:ascii="Arial" w:hAnsi="Arial" w:cs="Arial"/>
          <w:bCs/>
          <w:lang w:val="en-IN"/>
        </w:rPr>
        <w:t xml:space="preserve"> </w:t>
      </w:r>
      <w:r>
        <w:rPr>
          <w:rFonts w:ascii="Arial" w:hAnsi="Arial" w:cs="Arial"/>
          <w:bCs/>
          <w:i/>
          <w:iCs/>
          <w:lang w:val="en-IN"/>
        </w:rPr>
        <w:t>viz.,</w:t>
      </w:r>
      <w:r>
        <w:rPr>
          <w:rFonts w:ascii="Arial" w:hAnsi="Arial" w:cs="Arial"/>
          <w:bCs/>
          <w:lang w:val="en-IN"/>
        </w:rPr>
        <w:t xml:space="preserve"> sowing in 6</w:t>
      </w:r>
      <w:r>
        <w:rPr>
          <w:rFonts w:ascii="Arial" w:hAnsi="Arial" w:cs="Arial"/>
          <w:bCs/>
          <w:vertAlign w:val="superscript"/>
          <w:lang w:val="en-IN"/>
        </w:rPr>
        <w:t>th</w:t>
      </w:r>
      <w:r>
        <w:rPr>
          <w:rFonts w:ascii="Arial" w:hAnsi="Arial" w:cs="Arial"/>
          <w:bCs/>
          <w:lang w:val="en-IN"/>
        </w:rPr>
        <w:t xml:space="preserve"> SMW with GJG-31 is best suitable for sowing in South Saurashtra </w:t>
      </w:r>
      <w:proofErr w:type="spellStart"/>
      <w:r>
        <w:rPr>
          <w:rFonts w:ascii="Arial" w:hAnsi="Arial" w:cs="Arial"/>
          <w:bCs/>
          <w:lang w:val="en-IN"/>
        </w:rPr>
        <w:t>Agro</w:t>
      </w:r>
      <w:proofErr w:type="spellEnd"/>
      <w:r>
        <w:rPr>
          <w:rFonts w:ascii="Arial" w:hAnsi="Arial" w:cs="Arial"/>
          <w:bCs/>
          <w:lang w:val="en-IN"/>
        </w:rPr>
        <w:t>-climatic conditions.</w:t>
      </w:r>
    </w:p>
    <w:p>
      <w:pPr>
        <w:pStyle w:val="Body"/>
        <w:spacing w:after="0" w:line="276" w:lineRule="auto"/>
        <w:jc w:val="left"/>
        <w:rPr>
          <w:rFonts w:ascii="Arial" w:hAnsi="Arial" w:cs="Arial"/>
          <w:bCs/>
          <w:lang w:val="en-IN"/>
        </w:rPr>
      </w:pPr>
    </w:p>
    <w:p>
      <w:pPr>
        <w:pStyle w:val="ReferHead"/>
        <w:spacing w:after="0" w:line="276" w:lineRule="auto"/>
        <w:jc w:val="both"/>
        <w:rPr>
          <w:rFonts w:ascii="Arial" w:hAnsi="Arial" w:cs="Arial"/>
        </w:rPr>
      </w:pPr>
      <w:r>
        <w:rPr>
          <w:rFonts w:ascii="Arial" w:hAnsi="Arial" w:cs="Arial"/>
        </w:rPr>
        <w:t>References</w:t>
      </w:r>
    </w:p>
    <w:p>
      <w:pPr>
        <w:pStyle w:val="ReferHead"/>
        <w:spacing w:after="0" w:line="276" w:lineRule="auto"/>
        <w:jc w:val="both"/>
        <w:rPr>
          <w:rFonts w:ascii="Arial" w:hAnsi="Arial" w:cs="Arial"/>
        </w:rPr>
      </w:pPr>
    </w:p>
    <w:p>
      <w:pPr>
        <w:pStyle w:val="Body"/>
        <w:spacing w:after="0" w:line="276" w:lineRule="auto"/>
        <w:rPr>
          <w:rFonts w:ascii="Arial" w:hAnsi="Arial" w:cs="Arial"/>
          <w:lang w:val="en-IN"/>
        </w:rPr>
      </w:pPr>
      <w:r>
        <w:rPr>
          <w:rFonts w:ascii="Arial" w:hAnsi="Arial" w:cs="Arial"/>
          <w:lang w:val="en-IN"/>
        </w:rPr>
        <w:t>1. Kumar, A., Tripathi M. K. and Pal, V. (2017). Effect of sowing time on growth, phenology and yield attribute of summer groundnut (</w:t>
      </w:r>
      <w:r>
        <w:rPr>
          <w:rFonts w:ascii="Arial" w:hAnsi="Arial" w:cs="Arial"/>
          <w:i/>
          <w:iCs/>
          <w:lang w:val="en-IN"/>
        </w:rPr>
        <w:t xml:space="preserve">Arachis hypogea </w:t>
      </w:r>
      <w:r>
        <w:rPr>
          <w:rFonts w:ascii="Arial" w:hAnsi="Arial" w:cs="Arial"/>
          <w:lang w:val="en-IN"/>
        </w:rPr>
        <w:t xml:space="preserve">L.) in Allahabad, </w:t>
      </w:r>
      <w:r>
        <w:rPr>
          <w:rFonts w:ascii="Arial" w:hAnsi="Arial" w:cs="Arial"/>
          <w:bCs/>
          <w:i/>
          <w:iCs/>
          <w:lang w:val="en-IN"/>
        </w:rPr>
        <w:t xml:space="preserve">International Journal of Current Microbiology and Applied </w:t>
      </w:r>
      <w:proofErr w:type="gramStart"/>
      <w:r>
        <w:rPr>
          <w:rFonts w:ascii="Arial" w:hAnsi="Arial" w:cs="Arial"/>
          <w:bCs/>
          <w:i/>
          <w:iCs/>
          <w:lang w:val="en-IN"/>
        </w:rPr>
        <w:t>Sciences</w:t>
      </w:r>
      <w:r>
        <w:rPr>
          <w:rFonts w:ascii="Arial" w:hAnsi="Arial" w:cs="Arial"/>
          <w:bCs/>
          <w:lang w:val="en-IN"/>
        </w:rPr>
        <w:t xml:space="preserve">, </w:t>
      </w:r>
      <w:r>
        <w:rPr>
          <w:rFonts w:ascii="Arial" w:hAnsi="Arial" w:cs="Arial"/>
          <w:lang w:val="en-IN"/>
        </w:rPr>
        <w:t xml:space="preserve"> </w:t>
      </w:r>
      <w:r>
        <w:rPr>
          <w:rFonts w:ascii="Arial" w:hAnsi="Arial" w:cs="Arial"/>
          <w:b/>
          <w:bCs/>
          <w:lang w:val="en-IN"/>
        </w:rPr>
        <w:t>6</w:t>
      </w:r>
      <w:proofErr w:type="gramEnd"/>
      <w:r>
        <w:rPr>
          <w:rFonts w:ascii="Arial" w:hAnsi="Arial" w:cs="Arial"/>
          <w:b/>
          <w:bCs/>
          <w:lang w:val="en-IN"/>
        </w:rPr>
        <w:t>(4)</w:t>
      </w:r>
      <w:r>
        <w:rPr>
          <w:rFonts w:ascii="Arial" w:hAnsi="Arial" w:cs="Arial"/>
          <w:lang w:val="en-IN"/>
        </w:rPr>
        <w:t xml:space="preserve"> : 2357-2365</w:t>
      </w:r>
    </w:p>
    <w:p>
      <w:pPr>
        <w:pStyle w:val="Body"/>
        <w:spacing w:after="0" w:line="276" w:lineRule="auto"/>
        <w:rPr>
          <w:rFonts w:ascii="Arial" w:hAnsi="Arial" w:cs="Arial"/>
          <w:lang w:val="en-IN"/>
        </w:rPr>
      </w:pPr>
      <w:r>
        <w:rPr>
          <w:rFonts w:ascii="Arial" w:hAnsi="Arial" w:cs="Arial"/>
          <w:lang w:val="en-IN"/>
        </w:rPr>
        <w:t xml:space="preserve">2. Young, C. (1996). Peanut oil. Bailey’s Industrial Oil and Fat Product </w:t>
      </w:r>
      <w:proofErr w:type="gramStart"/>
      <w:r>
        <w:rPr>
          <w:rFonts w:ascii="Arial" w:hAnsi="Arial" w:cs="Arial"/>
          <w:b/>
          <w:bCs/>
          <w:lang w:val="en-IN"/>
        </w:rPr>
        <w:t xml:space="preserve">2 </w:t>
      </w:r>
      <w:r>
        <w:rPr>
          <w:rFonts w:ascii="Arial" w:hAnsi="Arial" w:cs="Arial"/>
          <w:lang w:val="en-IN"/>
        </w:rPr>
        <w:t>:</w:t>
      </w:r>
      <w:proofErr w:type="gramEnd"/>
      <w:r>
        <w:rPr>
          <w:rFonts w:ascii="Arial" w:hAnsi="Arial" w:cs="Arial"/>
          <w:lang w:val="en-IN"/>
        </w:rPr>
        <w:t xml:space="preserve"> 337-392</w:t>
      </w:r>
    </w:p>
    <w:p>
      <w:pPr>
        <w:pStyle w:val="Body"/>
        <w:spacing w:after="0" w:line="276" w:lineRule="auto"/>
        <w:rPr>
          <w:rFonts w:ascii="Arial" w:hAnsi="Arial" w:cs="Arial"/>
          <w:lang w:val="en-IN"/>
        </w:rPr>
      </w:pPr>
      <w:r>
        <w:rPr>
          <w:rFonts w:ascii="Arial" w:hAnsi="Arial" w:cs="Arial"/>
          <w:lang w:val="en-IN"/>
        </w:rPr>
        <w:t xml:space="preserve">3. DA&amp;FW (2024a). All India crop wise area, production and yield. Department of Agriculture and Farmers Welfare. Available at </w:t>
      </w:r>
      <w:hyperlink r:id="rId18" w:history="1">
        <w:r>
          <w:rPr>
            <w:rFonts w:ascii="Arial" w:hAnsi="Arial" w:cs="Arial"/>
            <w:lang w:val="en-IN"/>
          </w:rPr>
          <w:t>https://upag.gov.in/dash-reports/allindiaapy?rtab=Area%2C+Production+%26+Yield&amp;rtype=reports</w:t>
        </w:r>
      </w:hyperlink>
      <w:r>
        <w:rPr>
          <w:rFonts w:ascii="Arial" w:hAnsi="Arial" w:cs="Arial"/>
          <w:lang w:val="en-IN"/>
        </w:rPr>
        <w:t>, accessed on 10</w:t>
      </w:r>
      <w:r>
        <w:rPr>
          <w:rFonts w:ascii="Arial" w:hAnsi="Arial" w:cs="Arial"/>
          <w:vertAlign w:val="superscript"/>
          <w:lang w:val="en-IN"/>
        </w:rPr>
        <w:t>th</w:t>
      </w:r>
      <w:r>
        <w:rPr>
          <w:rFonts w:ascii="Arial" w:hAnsi="Arial" w:cs="Arial"/>
          <w:lang w:val="en-IN"/>
        </w:rPr>
        <w:t xml:space="preserve"> May, 2025.</w:t>
      </w:r>
    </w:p>
    <w:p>
      <w:pPr>
        <w:pStyle w:val="Body"/>
        <w:spacing w:after="0" w:line="276" w:lineRule="auto"/>
        <w:rPr>
          <w:rFonts w:ascii="Arial" w:hAnsi="Arial" w:cs="Arial"/>
          <w:lang w:val="en-IN"/>
        </w:rPr>
      </w:pPr>
      <w:r>
        <w:rPr>
          <w:rFonts w:ascii="Arial" w:hAnsi="Arial" w:cs="Arial"/>
          <w:lang w:val="en-IN"/>
        </w:rPr>
        <w:t xml:space="preserve">4. DA&amp;FW (2024b). State wise area, production and yield contribution. Department of Agriculture and Farmers Welfare. Available at </w:t>
      </w:r>
      <w:hyperlink r:id="rId19" w:history="1">
        <w:r>
          <w:rPr>
            <w:rFonts w:ascii="Arial" w:hAnsi="Arial" w:cs="Arial"/>
            <w:lang w:val="en-IN"/>
          </w:rPr>
          <w:t>https://upag.gov.in/dash-reports/statewiseapyandpercentagetoallindia?rtab=Area%2C+Production+%26+Yield&amp;rtype=reports</w:t>
        </w:r>
      </w:hyperlink>
      <w:r>
        <w:rPr>
          <w:rFonts w:ascii="Arial" w:hAnsi="Arial" w:cs="Arial"/>
          <w:lang w:val="en-IN"/>
        </w:rPr>
        <w:t>, accessed on 10</w:t>
      </w:r>
      <w:r>
        <w:rPr>
          <w:rFonts w:ascii="Arial" w:hAnsi="Arial" w:cs="Arial"/>
          <w:vertAlign w:val="superscript"/>
          <w:lang w:val="en-IN"/>
        </w:rPr>
        <w:t>th</w:t>
      </w:r>
      <w:r>
        <w:rPr>
          <w:rFonts w:ascii="Arial" w:hAnsi="Arial" w:cs="Arial"/>
          <w:lang w:val="en-IN"/>
        </w:rPr>
        <w:t xml:space="preserve"> May, 2025.</w:t>
      </w:r>
    </w:p>
    <w:p>
      <w:pPr>
        <w:pStyle w:val="Body"/>
        <w:spacing w:after="0" w:line="276" w:lineRule="auto"/>
        <w:rPr>
          <w:rFonts w:ascii="Arial" w:hAnsi="Arial" w:cs="Arial"/>
          <w:lang w:val="en-IN"/>
        </w:rPr>
      </w:pPr>
      <w:r>
        <w:rPr>
          <w:rFonts w:ascii="Arial" w:hAnsi="Arial" w:cs="Arial"/>
          <w:lang w:val="en-IN"/>
        </w:rPr>
        <w:t xml:space="preserve">5. Rani, L., Sreenivas, G. and Reddy, D. R. (2012). Thermal time requirement and energy use efficiency for single cross hybrid maize in south Telangana agroclimatic zone of Andhra Pradesh, </w:t>
      </w:r>
      <w:r>
        <w:rPr>
          <w:rFonts w:ascii="Arial" w:hAnsi="Arial" w:cs="Arial"/>
          <w:i/>
          <w:iCs/>
          <w:lang w:val="en-IN"/>
        </w:rPr>
        <w:t>Journal of Agrometeorology,</w:t>
      </w:r>
      <w:r>
        <w:rPr>
          <w:rFonts w:ascii="Arial" w:hAnsi="Arial" w:cs="Arial"/>
          <w:lang w:val="en-IN"/>
        </w:rPr>
        <w:t xml:space="preserve"> </w:t>
      </w:r>
      <w:r>
        <w:rPr>
          <w:rFonts w:ascii="Arial" w:hAnsi="Arial" w:cs="Arial"/>
          <w:b/>
          <w:bCs/>
          <w:lang w:val="en-IN"/>
        </w:rPr>
        <w:t>14(2</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143-146</w:t>
      </w:r>
    </w:p>
    <w:p>
      <w:pPr>
        <w:pStyle w:val="Body"/>
        <w:spacing w:after="0" w:line="276" w:lineRule="auto"/>
        <w:rPr>
          <w:rFonts w:ascii="Arial" w:hAnsi="Arial" w:cs="Arial"/>
          <w:lang w:val="en-IN"/>
        </w:rPr>
      </w:pPr>
      <w:r>
        <w:rPr>
          <w:rFonts w:ascii="Arial" w:hAnsi="Arial" w:cs="Arial"/>
          <w:lang w:val="en-IN"/>
        </w:rPr>
        <w:t xml:space="preserve">6. Vijaykumar, M. and Geethalakshmi, V. (2018). Performance of groundnut crop influence on dates of sowing and nitrogen levels, growth and yield of irrigated condition under </w:t>
      </w:r>
      <w:r>
        <w:rPr>
          <w:rFonts w:ascii="Arial" w:hAnsi="Arial" w:cs="Arial"/>
          <w:lang w:val="en-IN"/>
        </w:rPr>
        <w:lastRenderedPageBreak/>
        <w:t xml:space="preserve">changing climate in southern </w:t>
      </w:r>
      <w:proofErr w:type="spellStart"/>
      <w:r>
        <w:rPr>
          <w:rFonts w:ascii="Arial" w:hAnsi="Arial" w:cs="Arial"/>
          <w:lang w:val="en-IN"/>
        </w:rPr>
        <w:t>agro</w:t>
      </w:r>
      <w:proofErr w:type="spellEnd"/>
      <w:r>
        <w:rPr>
          <w:rFonts w:ascii="Arial" w:hAnsi="Arial" w:cs="Arial"/>
          <w:lang w:val="en-IN"/>
        </w:rPr>
        <w:t xml:space="preserve">-climatic zones of Tamil Nadu, </w:t>
      </w:r>
      <w:r>
        <w:rPr>
          <w:rFonts w:ascii="Arial" w:hAnsi="Arial" w:cs="Arial"/>
          <w:i/>
          <w:iCs/>
          <w:lang w:val="en-IN"/>
        </w:rPr>
        <w:t>International Journal of Chemical Studies,</w:t>
      </w:r>
      <w:r>
        <w:rPr>
          <w:rFonts w:ascii="Arial" w:hAnsi="Arial" w:cs="Arial"/>
          <w:lang w:val="en-IN"/>
        </w:rPr>
        <w:t xml:space="preserve"> </w:t>
      </w:r>
      <w:r>
        <w:rPr>
          <w:rFonts w:ascii="Arial" w:hAnsi="Arial" w:cs="Arial"/>
          <w:b/>
          <w:bCs/>
          <w:lang w:val="en-IN"/>
        </w:rPr>
        <w:t>6(6</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1000-1003</w:t>
      </w:r>
    </w:p>
    <w:p>
      <w:pPr>
        <w:pStyle w:val="Body"/>
        <w:spacing w:after="0" w:line="276" w:lineRule="auto"/>
        <w:rPr>
          <w:rFonts w:ascii="Arial" w:hAnsi="Arial" w:cs="Arial"/>
          <w:lang w:val="en-IN"/>
        </w:rPr>
      </w:pPr>
      <w:r>
        <w:rPr>
          <w:rFonts w:ascii="Arial" w:hAnsi="Arial" w:cs="Arial"/>
          <w:lang w:val="en-IN"/>
        </w:rPr>
        <w:t xml:space="preserve">7. </w:t>
      </w:r>
      <w:proofErr w:type="spellStart"/>
      <w:r>
        <w:rPr>
          <w:rFonts w:ascii="Arial" w:hAnsi="Arial" w:cs="Arial"/>
          <w:lang w:val="en-IN"/>
        </w:rPr>
        <w:t>Birajdar</w:t>
      </w:r>
      <w:proofErr w:type="spellEnd"/>
      <w:r>
        <w:rPr>
          <w:rFonts w:ascii="Arial" w:hAnsi="Arial" w:cs="Arial"/>
          <w:lang w:val="en-IN"/>
        </w:rPr>
        <w:t xml:space="preserve">, S. G., </w:t>
      </w:r>
      <w:proofErr w:type="spellStart"/>
      <w:r>
        <w:rPr>
          <w:rFonts w:ascii="Arial" w:hAnsi="Arial" w:cs="Arial"/>
          <w:lang w:val="en-IN"/>
        </w:rPr>
        <w:t>Dakhore</w:t>
      </w:r>
      <w:proofErr w:type="spellEnd"/>
      <w:r>
        <w:rPr>
          <w:rFonts w:ascii="Arial" w:hAnsi="Arial" w:cs="Arial"/>
          <w:lang w:val="en-IN"/>
        </w:rPr>
        <w:t xml:space="preserve">, K. K., Rathod, A. S. and </w:t>
      </w:r>
      <w:proofErr w:type="spellStart"/>
      <w:r>
        <w:rPr>
          <w:rFonts w:ascii="Arial" w:hAnsi="Arial" w:cs="Arial"/>
          <w:lang w:val="en-IN"/>
        </w:rPr>
        <w:t>Ombase</w:t>
      </w:r>
      <w:proofErr w:type="spellEnd"/>
      <w:r>
        <w:rPr>
          <w:rFonts w:ascii="Arial" w:hAnsi="Arial" w:cs="Arial"/>
          <w:lang w:val="en-IN"/>
        </w:rPr>
        <w:t>, K. C. (2020). Impact of weather parameters on yield of groundnut (</w:t>
      </w:r>
      <w:r>
        <w:rPr>
          <w:rFonts w:ascii="Arial" w:hAnsi="Arial" w:cs="Arial"/>
          <w:i/>
          <w:iCs/>
          <w:lang w:val="en-IN"/>
        </w:rPr>
        <w:t xml:space="preserve">Arachis hypogea </w:t>
      </w:r>
      <w:r>
        <w:rPr>
          <w:rFonts w:ascii="Arial" w:hAnsi="Arial" w:cs="Arial"/>
          <w:lang w:val="en-IN"/>
        </w:rPr>
        <w:t xml:space="preserve">L.) under varied environmental condition in </w:t>
      </w:r>
      <w:proofErr w:type="spellStart"/>
      <w:r>
        <w:rPr>
          <w:rFonts w:ascii="Arial" w:hAnsi="Arial" w:cs="Arial"/>
          <w:lang w:val="en-IN"/>
        </w:rPr>
        <w:t>Parbhani</w:t>
      </w:r>
      <w:proofErr w:type="spellEnd"/>
      <w:r>
        <w:rPr>
          <w:rFonts w:ascii="Arial" w:hAnsi="Arial" w:cs="Arial"/>
          <w:lang w:val="en-IN"/>
        </w:rPr>
        <w:t xml:space="preserve"> district of Maharashtra, </w:t>
      </w:r>
      <w:r>
        <w:rPr>
          <w:rFonts w:ascii="Arial" w:hAnsi="Arial" w:cs="Arial"/>
          <w:i/>
          <w:iCs/>
          <w:lang w:val="en-IN"/>
        </w:rPr>
        <w:t xml:space="preserve">International Journal of Chemical Studies, </w:t>
      </w:r>
      <w:r>
        <w:rPr>
          <w:rFonts w:ascii="Arial" w:hAnsi="Arial" w:cs="Arial"/>
          <w:b/>
          <w:bCs/>
          <w:lang w:val="en-IN"/>
        </w:rPr>
        <w:t>8(5</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426-430</w:t>
      </w:r>
    </w:p>
    <w:p>
      <w:pPr>
        <w:pStyle w:val="Body"/>
        <w:spacing w:after="0" w:line="276" w:lineRule="auto"/>
        <w:rPr>
          <w:rFonts w:ascii="Arial" w:hAnsi="Arial" w:cs="Arial"/>
          <w:lang w:val="en-IN"/>
        </w:rPr>
      </w:pPr>
      <w:r>
        <w:rPr>
          <w:rFonts w:ascii="Arial" w:hAnsi="Arial" w:cs="Arial"/>
          <w:lang w:val="en-IN"/>
        </w:rPr>
        <w:t>8. Sireesha, V. and Dawson, J. (2022).</w:t>
      </w:r>
      <w:r>
        <w:rPr>
          <w:rFonts w:ascii="Arial" w:hAnsi="Arial" w:cs="Arial"/>
          <w:b/>
          <w:bCs/>
          <w:lang w:val="en-IN"/>
        </w:rPr>
        <w:t xml:space="preserve"> </w:t>
      </w:r>
      <w:r>
        <w:rPr>
          <w:rFonts w:ascii="Arial" w:hAnsi="Arial" w:cs="Arial"/>
          <w:lang w:val="en-IN"/>
        </w:rPr>
        <w:t>Effect of date of sowing and INM (Integrated Nitrogen Management) on growth and yield of summer groundnut (</w:t>
      </w:r>
      <w:r>
        <w:rPr>
          <w:rFonts w:ascii="Arial" w:hAnsi="Arial" w:cs="Arial"/>
          <w:i/>
          <w:iCs/>
          <w:lang w:val="en-IN"/>
        </w:rPr>
        <w:t xml:space="preserve">Arachis hypogaea </w:t>
      </w:r>
      <w:r>
        <w:rPr>
          <w:rFonts w:ascii="Arial" w:hAnsi="Arial" w:cs="Arial"/>
          <w:lang w:val="en-IN"/>
        </w:rPr>
        <w:t xml:space="preserve">L.), </w:t>
      </w:r>
      <w:r>
        <w:rPr>
          <w:rFonts w:ascii="Arial" w:hAnsi="Arial" w:cs="Arial"/>
          <w:i/>
          <w:iCs/>
          <w:lang w:val="en-IN"/>
        </w:rPr>
        <w:t>The Pharma Innovation Journal,</w:t>
      </w:r>
      <w:r>
        <w:rPr>
          <w:rFonts w:ascii="Arial" w:hAnsi="Arial" w:cs="Arial"/>
          <w:lang w:val="en-IN"/>
        </w:rPr>
        <w:t xml:space="preserve"> </w:t>
      </w:r>
      <w:r>
        <w:rPr>
          <w:rFonts w:ascii="Arial" w:hAnsi="Arial" w:cs="Arial"/>
          <w:b/>
          <w:bCs/>
          <w:lang w:val="en-IN"/>
        </w:rPr>
        <w:t>11(5</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591-594</w:t>
      </w:r>
    </w:p>
    <w:p>
      <w:pPr>
        <w:pStyle w:val="Body"/>
        <w:spacing w:after="0" w:line="276" w:lineRule="auto"/>
        <w:rPr>
          <w:rFonts w:ascii="Arial" w:hAnsi="Arial" w:cs="Arial"/>
          <w:lang w:val="en-IN"/>
        </w:rPr>
      </w:pPr>
      <w:r>
        <w:rPr>
          <w:rFonts w:ascii="Arial" w:hAnsi="Arial" w:cs="Arial"/>
          <w:lang w:val="en-IN"/>
        </w:rPr>
        <w:t xml:space="preserve">9. </w:t>
      </w:r>
      <w:proofErr w:type="spellStart"/>
      <w:r>
        <w:rPr>
          <w:rFonts w:ascii="Arial" w:hAnsi="Arial" w:cs="Arial"/>
          <w:lang w:val="en-IN"/>
        </w:rPr>
        <w:t>Patoliya</w:t>
      </w:r>
      <w:proofErr w:type="spellEnd"/>
      <w:r>
        <w:rPr>
          <w:rFonts w:ascii="Arial" w:hAnsi="Arial" w:cs="Arial"/>
          <w:lang w:val="en-IN"/>
        </w:rPr>
        <w:t xml:space="preserve">, D. B., Kadam, G. L., Mor, V. B., </w:t>
      </w:r>
      <w:proofErr w:type="spellStart"/>
      <w:r>
        <w:rPr>
          <w:rFonts w:ascii="Arial" w:hAnsi="Arial" w:cs="Arial"/>
          <w:lang w:val="en-IN"/>
        </w:rPr>
        <w:t>Bhanvadia</w:t>
      </w:r>
      <w:proofErr w:type="spellEnd"/>
      <w:r>
        <w:rPr>
          <w:rFonts w:ascii="Arial" w:hAnsi="Arial" w:cs="Arial"/>
          <w:lang w:val="en-IN"/>
        </w:rPr>
        <w:t xml:space="preserve">, A. S. and </w:t>
      </w:r>
      <w:proofErr w:type="spellStart"/>
      <w:r>
        <w:rPr>
          <w:rFonts w:ascii="Arial" w:hAnsi="Arial" w:cs="Arial"/>
          <w:lang w:val="en-IN"/>
        </w:rPr>
        <w:t>Viradiya</w:t>
      </w:r>
      <w:proofErr w:type="spellEnd"/>
      <w:r>
        <w:rPr>
          <w:rFonts w:ascii="Arial" w:hAnsi="Arial" w:cs="Arial"/>
          <w:lang w:val="en-IN"/>
        </w:rPr>
        <w:t xml:space="preserve">, B. S. (2024). Effect of sowing time on varieties of summer groundnut, </w:t>
      </w:r>
      <w:r>
        <w:rPr>
          <w:rFonts w:ascii="Arial" w:hAnsi="Arial" w:cs="Arial"/>
          <w:i/>
          <w:iCs/>
          <w:lang w:val="en-IN"/>
        </w:rPr>
        <w:t xml:space="preserve">International Journal of Research in Agronomy, </w:t>
      </w:r>
      <w:r>
        <w:rPr>
          <w:rFonts w:ascii="Arial" w:hAnsi="Arial" w:cs="Arial"/>
          <w:b/>
          <w:bCs/>
          <w:lang w:val="en-IN"/>
        </w:rPr>
        <w:t>7(5S</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07-12</w:t>
      </w:r>
    </w:p>
    <w:p>
      <w:pPr>
        <w:pStyle w:val="Body"/>
        <w:spacing w:after="0" w:line="276" w:lineRule="auto"/>
        <w:rPr>
          <w:rFonts w:ascii="Arial" w:hAnsi="Arial" w:cs="Arial"/>
          <w:lang w:val="en-IN"/>
        </w:rPr>
      </w:pPr>
      <w:r>
        <w:rPr>
          <w:rFonts w:ascii="Arial" w:hAnsi="Arial" w:cs="Arial"/>
          <w:lang w:val="en-IN"/>
        </w:rPr>
        <w:t>10. Chaudhari, P. G., Chaudhari, P. P. and Chaudhari, M. K. (2018). Response of summer groundnut (</w:t>
      </w:r>
      <w:r>
        <w:rPr>
          <w:rFonts w:ascii="Arial" w:hAnsi="Arial" w:cs="Arial"/>
          <w:i/>
          <w:iCs/>
          <w:lang w:val="en-IN"/>
        </w:rPr>
        <w:t xml:space="preserve">Arachis hypogea </w:t>
      </w:r>
      <w:r>
        <w:rPr>
          <w:rFonts w:ascii="Arial" w:hAnsi="Arial" w:cs="Arial"/>
          <w:lang w:val="en-IN"/>
        </w:rPr>
        <w:t xml:space="preserve">L.) to date of sowing and spacings, </w:t>
      </w:r>
      <w:r>
        <w:rPr>
          <w:rFonts w:ascii="Arial" w:hAnsi="Arial" w:cs="Arial"/>
          <w:i/>
          <w:iCs/>
          <w:lang w:val="en-IN"/>
        </w:rPr>
        <w:t>International Journal of Chemical Studies,</w:t>
      </w:r>
      <w:r>
        <w:rPr>
          <w:rFonts w:ascii="Arial" w:hAnsi="Arial" w:cs="Arial"/>
          <w:lang w:val="en-IN"/>
        </w:rPr>
        <w:t xml:space="preserve"> </w:t>
      </w:r>
      <w:r>
        <w:rPr>
          <w:rFonts w:ascii="Arial" w:hAnsi="Arial" w:cs="Arial"/>
          <w:b/>
          <w:bCs/>
          <w:lang w:val="en-IN"/>
        </w:rPr>
        <w:t>6</w:t>
      </w:r>
      <w:r>
        <w:rPr>
          <w:rFonts w:ascii="Arial" w:hAnsi="Arial" w:cs="Arial"/>
          <w:b/>
          <w:lang w:val="en-IN"/>
        </w:rPr>
        <w:t>(2</w:t>
      </w:r>
      <w:proofErr w:type="gramStart"/>
      <w:r>
        <w:rPr>
          <w:rFonts w:ascii="Arial" w:hAnsi="Arial" w:cs="Arial"/>
          <w:b/>
          <w:lang w:val="en-IN"/>
        </w:rPr>
        <w:t>)</w:t>
      </w:r>
      <w:r>
        <w:rPr>
          <w:rFonts w:ascii="Arial" w:hAnsi="Arial" w:cs="Arial"/>
          <w:lang w:val="en-IN"/>
        </w:rPr>
        <w:t xml:space="preserve"> :</w:t>
      </w:r>
      <w:proofErr w:type="gramEnd"/>
      <w:r>
        <w:rPr>
          <w:rFonts w:ascii="Arial" w:hAnsi="Arial" w:cs="Arial"/>
          <w:lang w:val="en-IN"/>
        </w:rPr>
        <w:t xml:space="preserve"> 1504-1506</w:t>
      </w:r>
    </w:p>
    <w:p>
      <w:pPr>
        <w:pStyle w:val="Body"/>
        <w:spacing w:after="0" w:line="276" w:lineRule="auto"/>
        <w:rPr>
          <w:rFonts w:ascii="Arial" w:hAnsi="Arial" w:cs="Arial"/>
          <w:lang w:val="en-IN"/>
        </w:rPr>
      </w:pPr>
      <w:r>
        <w:rPr>
          <w:rFonts w:ascii="Arial" w:hAnsi="Arial" w:cs="Arial"/>
          <w:bCs/>
          <w:lang w:val="en-IN"/>
        </w:rPr>
        <w:t xml:space="preserve">11. </w:t>
      </w:r>
      <w:proofErr w:type="spellStart"/>
      <w:r>
        <w:rPr>
          <w:rFonts w:ascii="Arial" w:hAnsi="Arial" w:cs="Arial"/>
          <w:bCs/>
          <w:lang w:val="en-IN"/>
        </w:rPr>
        <w:t>Shendage</w:t>
      </w:r>
      <w:proofErr w:type="spellEnd"/>
      <w:r>
        <w:rPr>
          <w:rFonts w:ascii="Arial" w:hAnsi="Arial" w:cs="Arial"/>
          <w:bCs/>
          <w:lang w:val="en-IN"/>
        </w:rPr>
        <w:t xml:space="preserve">, R. C., Mohite, A. B. and Sathe, R. </w:t>
      </w:r>
      <w:proofErr w:type="gramStart"/>
      <w:r>
        <w:rPr>
          <w:rFonts w:ascii="Arial" w:hAnsi="Arial" w:cs="Arial"/>
          <w:bCs/>
          <w:lang w:val="en-IN"/>
        </w:rPr>
        <w:t>K.(</w:t>
      </w:r>
      <w:proofErr w:type="gramEnd"/>
      <w:r>
        <w:rPr>
          <w:rFonts w:ascii="Arial" w:hAnsi="Arial" w:cs="Arial"/>
          <w:bCs/>
          <w:lang w:val="en-IN"/>
        </w:rPr>
        <w:t xml:space="preserve">2018). Effect of sowing times and varieties on growth and yield of summer groundnut </w:t>
      </w:r>
      <w:r>
        <w:rPr>
          <w:rFonts w:ascii="Arial" w:hAnsi="Arial" w:cs="Arial"/>
          <w:lang w:val="en-IN"/>
        </w:rPr>
        <w:t>(</w:t>
      </w:r>
      <w:r>
        <w:rPr>
          <w:rFonts w:ascii="Arial" w:hAnsi="Arial" w:cs="Arial"/>
          <w:i/>
          <w:iCs/>
          <w:lang w:val="en-IN"/>
        </w:rPr>
        <w:t xml:space="preserve">Arachis hypogea </w:t>
      </w:r>
      <w:r>
        <w:rPr>
          <w:rFonts w:ascii="Arial" w:hAnsi="Arial" w:cs="Arial"/>
          <w:lang w:val="en-IN"/>
        </w:rPr>
        <w:t xml:space="preserve">L.), </w:t>
      </w:r>
      <w:r>
        <w:rPr>
          <w:rFonts w:ascii="Arial" w:hAnsi="Arial" w:cs="Arial"/>
          <w:i/>
          <w:iCs/>
          <w:lang w:val="en-IN"/>
        </w:rPr>
        <w:t>Journal of Pharmacognosy and phytochemistry,</w:t>
      </w:r>
      <w:r>
        <w:rPr>
          <w:rFonts w:ascii="Arial" w:hAnsi="Arial" w:cs="Arial"/>
          <w:lang w:val="en-IN"/>
        </w:rPr>
        <w:t xml:space="preserve"> </w:t>
      </w:r>
      <w:r>
        <w:rPr>
          <w:rFonts w:ascii="Arial" w:hAnsi="Arial" w:cs="Arial"/>
          <w:b/>
          <w:bCs/>
          <w:lang w:val="en-IN"/>
        </w:rPr>
        <w:t>7(1</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720-722</w:t>
      </w:r>
    </w:p>
    <w:p>
      <w:pPr>
        <w:pStyle w:val="Body"/>
        <w:spacing w:after="0" w:line="276" w:lineRule="auto"/>
        <w:rPr>
          <w:rFonts w:ascii="Arial" w:hAnsi="Arial" w:cs="Arial"/>
          <w:lang w:val="en-IN"/>
        </w:rPr>
      </w:pPr>
      <w:r>
        <w:rPr>
          <w:rFonts w:ascii="Arial" w:hAnsi="Arial" w:cs="Arial"/>
          <w:lang w:val="en-IN"/>
        </w:rPr>
        <w:t xml:space="preserve">12. Reager, M. L., Chandra, S., Kishor, N., Pant, R., Chung, S., </w:t>
      </w:r>
      <w:proofErr w:type="spellStart"/>
      <w:r>
        <w:rPr>
          <w:rFonts w:ascii="Arial" w:hAnsi="Arial" w:cs="Arial"/>
          <w:lang w:val="en-IN"/>
        </w:rPr>
        <w:t>Alfarraj</w:t>
      </w:r>
      <w:proofErr w:type="spellEnd"/>
      <w:r>
        <w:rPr>
          <w:rFonts w:ascii="Arial" w:hAnsi="Arial" w:cs="Arial"/>
          <w:lang w:val="en-IN"/>
        </w:rPr>
        <w:t xml:space="preserve">, S. and </w:t>
      </w:r>
      <w:r>
        <w:rPr>
          <w:rFonts w:ascii="Arial" w:hAnsi="Arial" w:cs="Arial"/>
          <w:i/>
          <w:iCs/>
          <w:lang w:val="en-IN"/>
        </w:rPr>
        <w:t xml:space="preserve">et al. </w:t>
      </w:r>
      <w:r>
        <w:rPr>
          <w:rFonts w:ascii="Arial" w:hAnsi="Arial" w:cs="Arial"/>
          <w:lang w:val="en-IN"/>
        </w:rPr>
        <w:t>(2024). Optimizing groundnut (</w:t>
      </w:r>
      <w:r>
        <w:rPr>
          <w:rFonts w:ascii="Arial" w:hAnsi="Arial" w:cs="Arial"/>
          <w:i/>
          <w:iCs/>
          <w:lang w:val="en-IN"/>
        </w:rPr>
        <w:t xml:space="preserve">Arachis hypogaea </w:t>
      </w:r>
      <w:r>
        <w:rPr>
          <w:rFonts w:ascii="Arial" w:hAnsi="Arial" w:cs="Arial"/>
          <w:lang w:val="en-IN"/>
        </w:rPr>
        <w:t xml:space="preserve">L.) yields: An effect of sowing dates and planting densities in India hot arid regions under a changing climate, </w:t>
      </w:r>
      <w:r>
        <w:rPr>
          <w:rFonts w:ascii="Arial" w:hAnsi="Arial" w:cs="Arial"/>
          <w:i/>
          <w:iCs/>
          <w:lang w:val="en-IN"/>
        </w:rPr>
        <w:t>International Journal of Environment and Climate Change,</w:t>
      </w:r>
      <w:r>
        <w:rPr>
          <w:rFonts w:ascii="Arial" w:hAnsi="Arial" w:cs="Arial"/>
          <w:lang w:val="en-IN"/>
        </w:rPr>
        <w:t xml:space="preserve"> </w:t>
      </w:r>
      <w:r>
        <w:rPr>
          <w:rFonts w:ascii="Arial" w:hAnsi="Arial" w:cs="Arial"/>
          <w:b/>
          <w:bCs/>
          <w:lang w:val="en-IN"/>
        </w:rPr>
        <w:t>14(6</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252-270</w:t>
      </w:r>
    </w:p>
    <w:p>
      <w:pPr>
        <w:pStyle w:val="Body"/>
        <w:spacing w:after="0" w:line="276" w:lineRule="auto"/>
        <w:rPr>
          <w:rFonts w:ascii="Arial" w:hAnsi="Arial" w:cs="Arial"/>
          <w:lang w:val="en-IN"/>
        </w:rPr>
      </w:pPr>
      <w:r>
        <w:rPr>
          <w:rFonts w:ascii="Arial" w:hAnsi="Arial" w:cs="Arial"/>
          <w:lang w:val="en-IN"/>
        </w:rPr>
        <w:t>13. Nayak, R. D., Singh, R., Pradhan, A. and Thakur, I. (2023). Effect of date of sowing and INM (Integrated Nitrogen Management) on economics of summer groundnut (</w:t>
      </w:r>
      <w:r>
        <w:rPr>
          <w:rFonts w:ascii="Arial" w:hAnsi="Arial" w:cs="Arial"/>
          <w:i/>
          <w:iCs/>
          <w:lang w:val="en-IN"/>
        </w:rPr>
        <w:t xml:space="preserve">Arachis hypogea </w:t>
      </w:r>
      <w:r>
        <w:rPr>
          <w:rFonts w:ascii="Arial" w:hAnsi="Arial" w:cs="Arial"/>
          <w:lang w:val="en-IN"/>
        </w:rPr>
        <w:t xml:space="preserve">L.), </w:t>
      </w:r>
      <w:r>
        <w:rPr>
          <w:rFonts w:ascii="Arial" w:hAnsi="Arial" w:cs="Arial"/>
          <w:i/>
          <w:iCs/>
          <w:lang w:val="en-IN"/>
        </w:rPr>
        <w:t xml:space="preserve">International Journal of Environment and Climate Change, </w:t>
      </w:r>
      <w:r>
        <w:rPr>
          <w:rFonts w:ascii="Arial" w:hAnsi="Arial" w:cs="Arial"/>
          <w:b/>
          <w:bCs/>
          <w:lang w:val="en-IN"/>
        </w:rPr>
        <w:t>13(8</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1262-1269</w:t>
      </w:r>
    </w:p>
    <w:p>
      <w:pPr>
        <w:pStyle w:val="Body"/>
        <w:spacing w:after="0" w:line="276" w:lineRule="auto"/>
        <w:rPr>
          <w:rFonts w:ascii="Arial" w:hAnsi="Arial" w:cs="Arial"/>
          <w:lang w:val="en-IN"/>
        </w:rPr>
      </w:pPr>
      <w:r>
        <w:rPr>
          <w:rFonts w:ascii="Arial" w:hAnsi="Arial" w:cs="Arial"/>
          <w:lang w:val="en-IN"/>
        </w:rPr>
        <w:t xml:space="preserve">14. Meena, R. S., Yadav, R. S., Reager, M. L., De, N., Meena, V. S., Verma, J. P., and </w:t>
      </w:r>
      <w:r>
        <w:rPr>
          <w:rFonts w:ascii="Arial" w:hAnsi="Arial" w:cs="Arial"/>
          <w:i/>
          <w:iCs/>
          <w:lang w:val="en-IN"/>
        </w:rPr>
        <w:t xml:space="preserve">et al. </w:t>
      </w:r>
      <w:r>
        <w:rPr>
          <w:rFonts w:ascii="Arial" w:hAnsi="Arial" w:cs="Arial"/>
          <w:lang w:val="en-IN"/>
        </w:rPr>
        <w:t xml:space="preserve">(2015). Temperature use efficiency and yield of groundnut varieties in response to sowing dates and fertility levels in western dry zone of India. </w:t>
      </w:r>
      <w:r>
        <w:rPr>
          <w:rFonts w:ascii="Arial" w:hAnsi="Arial" w:cs="Arial"/>
          <w:i/>
          <w:iCs/>
          <w:lang w:val="en-IN"/>
        </w:rPr>
        <w:t xml:space="preserve">American Journal of Experimental Agriculture, </w:t>
      </w:r>
      <w:r>
        <w:rPr>
          <w:rFonts w:ascii="Arial" w:hAnsi="Arial" w:cs="Arial"/>
          <w:b/>
          <w:bCs/>
          <w:lang w:val="en-IN"/>
        </w:rPr>
        <w:t>7(3</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170–177</w:t>
      </w:r>
    </w:p>
    <w:p>
      <w:pPr>
        <w:pStyle w:val="Body"/>
        <w:spacing w:after="0" w:line="276" w:lineRule="auto"/>
        <w:rPr>
          <w:rFonts w:ascii="Arial" w:hAnsi="Arial" w:cs="Arial"/>
          <w:lang w:val="en-IN"/>
        </w:rPr>
      </w:pPr>
      <w:r>
        <w:rPr>
          <w:rFonts w:ascii="Arial" w:hAnsi="Arial" w:cs="Arial"/>
          <w:lang w:val="en-IN"/>
        </w:rPr>
        <w:t xml:space="preserve">15. Banik, N. C., Nath, R. and Chakraborty, P. K. (2009). Effect of date of sowing on growth and yield of groundnut crop, </w:t>
      </w:r>
      <w:r>
        <w:rPr>
          <w:rFonts w:ascii="Arial" w:hAnsi="Arial" w:cs="Arial"/>
          <w:i/>
          <w:iCs/>
          <w:lang w:val="en-IN"/>
        </w:rPr>
        <w:t>Journal of Crop and Weed,</w:t>
      </w:r>
      <w:r>
        <w:rPr>
          <w:rFonts w:ascii="Arial" w:hAnsi="Arial" w:cs="Arial"/>
          <w:lang w:val="en-IN"/>
        </w:rPr>
        <w:t xml:space="preserve"> </w:t>
      </w:r>
      <w:r>
        <w:rPr>
          <w:rFonts w:ascii="Arial" w:hAnsi="Arial" w:cs="Arial"/>
          <w:b/>
          <w:bCs/>
          <w:lang w:val="en-IN"/>
        </w:rPr>
        <w:t>5(2</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59-62</w:t>
      </w:r>
    </w:p>
    <w:p>
      <w:pPr>
        <w:pStyle w:val="Body"/>
        <w:spacing w:after="0" w:line="276" w:lineRule="auto"/>
        <w:rPr>
          <w:rFonts w:ascii="Arial" w:hAnsi="Arial" w:cs="Arial"/>
          <w:lang w:val="en-IN"/>
        </w:rPr>
      </w:pPr>
      <w:r>
        <w:rPr>
          <w:rFonts w:ascii="Arial" w:hAnsi="Arial" w:cs="Arial"/>
          <w:lang w:val="en-IN"/>
        </w:rPr>
        <w:t>Kaur, H., Sardana, V. and Sharma, P. (2020). Optimizing sowing time of Spanish bunch groundnut (</w:t>
      </w:r>
      <w:r>
        <w:rPr>
          <w:rFonts w:ascii="Arial" w:hAnsi="Arial" w:cs="Arial"/>
          <w:i/>
          <w:iCs/>
          <w:lang w:val="en-IN"/>
        </w:rPr>
        <w:t>Arachis hypogaea</w:t>
      </w:r>
      <w:r>
        <w:rPr>
          <w:rFonts w:ascii="Arial" w:hAnsi="Arial" w:cs="Arial"/>
          <w:lang w:val="en-IN"/>
        </w:rPr>
        <w:t xml:space="preserve">) cultivars for spring-summer season in north-west India. </w:t>
      </w:r>
      <w:r>
        <w:rPr>
          <w:rFonts w:ascii="Arial" w:hAnsi="Arial" w:cs="Arial"/>
          <w:i/>
          <w:iCs/>
          <w:lang w:val="en-IN"/>
        </w:rPr>
        <w:t>Indian Journal of Agronomy,</w:t>
      </w:r>
      <w:r>
        <w:rPr>
          <w:rFonts w:ascii="Arial" w:hAnsi="Arial" w:cs="Arial"/>
          <w:lang w:val="en-IN"/>
        </w:rPr>
        <w:t xml:space="preserve"> </w:t>
      </w:r>
      <w:r>
        <w:rPr>
          <w:rFonts w:ascii="Arial" w:hAnsi="Arial" w:cs="Arial"/>
          <w:b/>
          <w:bCs/>
          <w:lang w:val="en-IN"/>
        </w:rPr>
        <w:t>65(1</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88-93</w:t>
      </w:r>
    </w:p>
    <w:p>
      <w:pPr>
        <w:pStyle w:val="Body"/>
        <w:spacing w:after="0" w:line="276" w:lineRule="auto"/>
        <w:rPr>
          <w:rFonts w:ascii="Arial" w:hAnsi="Arial" w:cs="Arial"/>
          <w:lang w:val="en-IN"/>
        </w:rPr>
      </w:pPr>
      <w:r>
        <w:rPr>
          <w:rFonts w:ascii="Arial" w:hAnsi="Arial" w:cs="Arial"/>
          <w:lang w:val="en-IN"/>
        </w:rPr>
        <w:t>16. Sai, J., Singh, S. and Kumari, S. (2022). Effect of sowing dates on performance of groundnut (</w:t>
      </w:r>
      <w:r>
        <w:rPr>
          <w:rFonts w:ascii="Arial" w:hAnsi="Arial" w:cs="Arial"/>
          <w:i/>
          <w:iCs/>
          <w:lang w:val="en-IN"/>
        </w:rPr>
        <w:t xml:space="preserve">Arachis hypogea </w:t>
      </w:r>
      <w:r>
        <w:rPr>
          <w:rFonts w:ascii="Arial" w:hAnsi="Arial" w:cs="Arial"/>
          <w:lang w:val="en-IN"/>
        </w:rPr>
        <w:t>L.) cultivars in</w:t>
      </w:r>
      <w:r>
        <w:rPr>
          <w:rFonts w:ascii="Arial" w:hAnsi="Arial" w:cs="Arial"/>
          <w:i/>
          <w:iCs/>
          <w:lang w:val="en-IN"/>
        </w:rPr>
        <w:t xml:space="preserve"> Kharif </w:t>
      </w:r>
      <w:r>
        <w:rPr>
          <w:rFonts w:ascii="Arial" w:hAnsi="Arial" w:cs="Arial"/>
          <w:lang w:val="en-IN"/>
        </w:rPr>
        <w:t xml:space="preserve">season under Prayagraj condition, </w:t>
      </w:r>
      <w:r>
        <w:rPr>
          <w:rFonts w:ascii="Arial" w:hAnsi="Arial" w:cs="Arial"/>
          <w:i/>
          <w:iCs/>
          <w:lang w:val="en-IN"/>
        </w:rPr>
        <w:t>The Pharma Innovation Journal,</w:t>
      </w:r>
      <w:r>
        <w:rPr>
          <w:rFonts w:ascii="Arial" w:hAnsi="Arial" w:cs="Arial"/>
          <w:lang w:val="en-IN"/>
        </w:rPr>
        <w:t xml:space="preserve"> </w:t>
      </w:r>
      <w:r>
        <w:rPr>
          <w:rFonts w:ascii="Arial" w:hAnsi="Arial" w:cs="Arial"/>
          <w:b/>
          <w:bCs/>
          <w:lang w:val="en-IN"/>
        </w:rPr>
        <w:t>11(4</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546-549 </w:t>
      </w:r>
    </w:p>
    <w:p>
      <w:pPr>
        <w:pStyle w:val="Body"/>
        <w:spacing w:after="0" w:line="276" w:lineRule="auto"/>
        <w:rPr>
          <w:rFonts w:ascii="Arial" w:hAnsi="Arial" w:cs="Arial"/>
          <w:lang w:val="en-IN"/>
        </w:rPr>
      </w:pPr>
      <w:r>
        <w:rPr>
          <w:rFonts w:ascii="Arial" w:hAnsi="Arial" w:cs="Arial"/>
          <w:bCs/>
          <w:lang w:val="en-IN"/>
        </w:rPr>
        <w:t xml:space="preserve">17. Pal, V., Patel, J. G. and Kumar A. (2018). Effect of sowing time on growth, phenology and yield attribute of summer groundnut </w:t>
      </w:r>
      <w:r>
        <w:rPr>
          <w:rFonts w:ascii="Arial" w:hAnsi="Arial" w:cs="Arial"/>
          <w:lang w:val="en-IN"/>
        </w:rPr>
        <w:t>(</w:t>
      </w:r>
      <w:r>
        <w:rPr>
          <w:rFonts w:ascii="Arial" w:hAnsi="Arial" w:cs="Arial"/>
          <w:i/>
          <w:iCs/>
          <w:lang w:val="en-IN"/>
        </w:rPr>
        <w:t xml:space="preserve">Arachis hypogea </w:t>
      </w:r>
      <w:r>
        <w:rPr>
          <w:rFonts w:ascii="Arial" w:hAnsi="Arial" w:cs="Arial"/>
          <w:lang w:val="en-IN"/>
        </w:rPr>
        <w:t xml:space="preserve">L.), </w:t>
      </w:r>
      <w:r>
        <w:rPr>
          <w:rFonts w:ascii="Arial" w:hAnsi="Arial" w:cs="Arial"/>
          <w:i/>
          <w:iCs/>
          <w:lang w:val="en-IN"/>
        </w:rPr>
        <w:t xml:space="preserve">International Journal of Current Microbiology and Applied Sciences, </w:t>
      </w:r>
      <w:r>
        <w:rPr>
          <w:rFonts w:ascii="Arial" w:hAnsi="Arial" w:cs="Arial"/>
          <w:b/>
          <w:bCs/>
          <w:lang w:val="en-IN"/>
        </w:rPr>
        <w:t>7(6</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715-721</w:t>
      </w:r>
    </w:p>
    <w:p>
      <w:pPr>
        <w:pStyle w:val="Body"/>
        <w:spacing w:after="0" w:line="276" w:lineRule="auto"/>
        <w:rPr>
          <w:rFonts w:ascii="Arial" w:hAnsi="Arial" w:cs="Arial"/>
          <w:lang w:val="en-IN"/>
        </w:rPr>
      </w:pPr>
      <w:r>
        <w:rPr>
          <w:rFonts w:ascii="Arial" w:hAnsi="Arial" w:cs="Arial"/>
          <w:lang w:val="en-IN"/>
        </w:rPr>
        <w:t xml:space="preserve">18. Meena, R. S. and Yadav, R. S. (2014). Phenological performance of groundnut varieties under sowing environments in hyper arid zone of Rajasthan, India, </w:t>
      </w:r>
      <w:r>
        <w:rPr>
          <w:rFonts w:ascii="Arial" w:hAnsi="Arial" w:cs="Arial"/>
          <w:i/>
          <w:iCs/>
          <w:lang w:val="en-IN"/>
        </w:rPr>
        <w:t>Journal of Applied and Natural Science</w:t>
      </w:r>
      <w:r>
        <w:rPr>
          <w:rFonts w:ascii="Arial" w:hAnsi="Arial" w:cs="Arial"/>
          <w:lang w:val="en-IN"/>
        </w:rPr>
        <w:t xml:space="preserve"> </w:t>
      </w:r>
      <w:r>
        <w:rPr>
          <w:rFonts w:ascii="Arial" w:hAnsi="Arial" w:cs="Arial"/>
          <w:b/>
          <w:bCs/>
          <w:lang w:val="en-IN"/>
        </w:rPr>
        <w:t>6(2</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344-348</w:t>
      </w:r>
    </w:p>
    <w:p>
      <w:pPr>
        <w:pStyle w:val="Body"/>
        <w:spacing w:after="0" w:line="276" w:lineRule="auto"/>
        <w:rPr>
          <w:rFonts w:ascii="Arial" w:hAnsi="Arial" w:cs="Arial"/>
          <w:lang w:val="en-IN"/>
        </w:rPr>
      </w:pPr>
      <w:r>
        <w:rPr>
          <w:rFonts w:ascii="Arial" w:hAnsi="Arial" w:cs="Arial"/>
          <w:lang w:val="en-IN"/>
        </w:rPr>
        <w:lastRenderedPageBreak/>
        <w:t xml:space="preserve">19. </w:t>
      </w:r>
      <w:proofErr w:type="spellStart"/>
      <w:r>
        <w:rPr>
          <w:rFonts w:ascii="Arial" w:hAnsi="Arial" w:cs="Arial"/>
          <w:lang w:val="en-IN"/>
        </w:rPr>
        <w:t>Chongdar</w:t>
      </w:r>
      <w:proofErr w:type="spellEnd"/>
      <w:r>
        <w:rPr>
          <w:rFonts w:ascii="Arial" w:hAnsi="Arial" w:cs="Arial"/>
          <w:lang w:val="en-IN"/>
        </w:rPr>
        <w:t xml:space="preserve">, S., </w:t>
      </w:r>
      <w:proofErr w:type="spellStart"/>
      <w:r>
        <w:rPr>
          <w:rFonts w:ascii="Arial" w:hAnsi="Arial" w:cs="Arial"/>
          <w:lang w:val="en-IN"/>
        </w:rPr>
        <w:t>Singharoy</w:t>
      </w:r>
      <w:proofErr w:type="spellEnd"/>
      <w:r>
        <w:rPr>
          <w:rFonts w:ascii="Arial" w:hAnsi="Arial" w:cs="Arial"/>
          <w:lang w:val="en-IN"/>
        </w:rPr>
        <w:t>, A., Saha, A. and Chhetri, B. (2015). Performance of summer sesame (</w:t>
      </w:r>
      <w:r>
        <w:rPr>
          <w:rFonts w:ascii="Arial" w:hAnsi="Arial" w:cs="Arial"/>
          <w:i/>
          <w:iCs/>
          <w:lang w:val="en-IN"/>
        </w:rPr>
        <w:t>Sesamum indicum</w:t>
      </w:r>
      <w:r>
        <w:rPr>
          <w:rFonts w:ascii="Arial" w:hAnsi="Arial" w:cs="Arial"/>
          <w:lang w:val="en-IN"/>
        </w:rPr>
        <w:t xml:space="preserve"> L.) cultivars under varying dates of </w:t>
      </w:r>
      <w:proofErr w:type="spellStart"/>
      <w:r>
        <w:rPr>
          <w:rFonts w:ascii="Arial" w:hAnsi="Arial" w:cs="Arial"/>
          <w:lang w:val="en-IN"/>
        </w:rPr>
        <w:t>sowingin</w:t>
      </w:r>
      <w:proofErr w:type="spellEnd"/>
      <w:r>
        <w:rPr>
          <w:rFonts w:ascii="Arial" w:hAnsi="Arial" w:cs="Arial"/>
          <w:lang w:val="en-IN"/>
        </w:rPr>
        <w:t xml:space="preserve"> prevailing </w:t>
      </w:r>
      <w:proofErr w:type="spellStart"/>
      <w:r>
        <w:rPr>
          <w:rFonts w:ascii="Arial" w:hAnsi="Arial" w:cs="Arial"/>
          <w:lang w:val="en-IN"/>
        </w:rPr>
        <w:t>agro</w:t>
      </w:r>
      <w:proofErr w:type="spellEnd"/>
      <w:r>
        <w:rPr>
          <w:rFonts w:ascii="Arial" w:hAnsi="Arial" w:cs="Arial"/>
          <w:lang w:val="en-IN"/>
        </w:rPr>
        <w:t xml:space="preserve">-climatic condition of north Bengal, </w:t>
      </w:r>
      <w:r>
        <w:rPr>
          <w:rFonts w:ascii="Arial" w:hAnsi="Arial" w:cs="Arial"/>
          <w:i/>
          <w:iCs/>
          <w:lang w:val="en-IN"/>
        </w:rPr>
        <w:t xml:space="preserve">Scientific Research and Essays, </w:t>
      </w:r>
      <w:r>
        <w:rPr>
          <w:rFonts w:ascii="Arial" w:hAnsi="Arial" w:cs="Arial"/>
          <w:b/>
          <w:bCs/>
          <w:lang w:val="en-IN"/>
        </w:rPr>
        <w:t>10(12</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411-420</w:t>
      </w:r>
    </w:p>
    <w:p>
      <w:pPr>
        <w:pStyle w:val="Body"/>
        <w:spacing w:after="0" w:line="276" w:lineRule="auto"/>
        <w:rPr>
          <w:rFonts w:ascii="Arial" w:hAnsi="Arial" w:cs="Arial"/>
          <w:b/>
        </w:rPr>
      </w:pPr>
      <w:r>
        <w:rPr>
          <w:rFonts w:ascii="Arial" w:hAnsi="Arial" w:cs="Arial"/>
          <w:lang w:val="en-IN"/>
        </w:rPr>
        <w:t xml:space="preserve">20. Reager, M. L., Bairwa, R. C., </w:t>
      </w:r>
      <w:proofErr w:type="spellStart"/>
      <w:r>
        <w:rPr>
          <w:rFonts w:ascii="Arial" w:hAnsi="Arial" w:cs="Arial"/>
          <w:lang w:val="en-IN"/>
        </w:rPr>
        <w:t>Godara</w:t>
      </w:r>
      <w:proofErr w:type="spellEnd"/>
      <w:r>
        <w:rPr>
          <w:rFonts w:ascii="Arial" w:hAnsi="Arial" w:cs="Arial"/>
          <w:lang w:val="en-IN"/>
        </w:rPr>
        <w:t xml:space="preserve">, A. S. and Singh, S. P. (2020). Phenological performance of groundnut under various sowing environment and planting density in hyper arid zone of Rajasthan, India. </w:t>
      </w:r>
      <w:r>
        <w:rPr>
          <w:rFonts w:ascii="Arial" w:hAnsi="Arial" w:cs="Arial"/>
          <w:i/>
          <w:iCs/>
          <w:lang w:val="en-IN"/>
        </w:rPr>
        <w:t>International Journal of Chemical Studies,</w:t>
      </w:r>
      <w:r>
        <w:rPr>
          <w:rFonts w:ascii="Arial" w:hAnsi="Arial" w:cs="Arial"/>
          <w:lang w:val="en-IN"/>
        </w:rPr>
        <w:t xml:space="preserve"> </w:t>
      </w:r>
      <w:r>
        <w:rPr>
          <w:rFonts w:ascii="Arial" w:hAnsi="Arial" w:cs="Arial"/>
          <w:b/>
          <w:bCs/>
          <w:lang w:val="en-IN"/>
        </w:rPr>
        <w:t>8(3</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340-342</w:t>
      </w:r>
    </w:p>
    <w:sectPr>
      <w:headerReference w:type="even" r:id="rId20"/>
      <w:headerReference w:type="default" r:id="rId21"/>
      <w:headerReference w:type="first" r:id="rId22"/>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p>
    <w:pPr>
      <w:pStyle w:val="Footer"/>
      <w:jc w:val="center"/>
      <w:rPr>
        <w:rFonts w:ascii="Arial" w:hAnsi="Arial" w:cs="Arial"/>
        <w:sz w:val="16"/>
      </w:rPr>
    </w:pPr>
    <w:r>
      <w:rPr>
        <w:rFonts w:ascii="Arial" w:hAnsi="Arial" w:cs="Arial"/>
        <w:sz w:val="16"/>
      </w:rPr>
      <w:t>____________________________________________________________________________________________</w:t>
    </w:r>
  </w:p>
  <w:p>
    <w:pPr>
      <w:pStyle w:val="Footer"/>
      <w:rPr>
        <w:rFonts w:ascii="Arial" w:hAnsi="Arial" w:cs="Arial"/>
        <w:sz w:val="16"/>
      </w:rPr>
    </w:pPr>
  </w:p>
  <w:p>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ind w:left="4320"/>
      <w:rPr>
        <w:rFonts w:ascii="Times New Roman" w:eastAsia="Calibri" w:hAnsi="Times New Roman"/>
        <w:i/>
        <w:sz w:val="18"/>
        <w:szCs w:val="22"/>
      </w:rPr>
    </w:pPr>
    <w:r>
      <w:rPr>
        <w:rFonts w:ascii="Times New Roman" w:eastAsia="Calibri" w:hAnsi="Times New Roman"/>
        <w:i/>
        <w:sz w:val="18"/>
        <w:szCs w:val="22"/>
      </w:rPr>
      <w:t xml:space="preserve">.     </w:t>
    </w:r>
  </w:p>
  <w:p>
    <w:pPr>
      <w:jc w:val="center"/>
      <w:rPr>
        <w:rFonts w:ascii="Times New Roman" w:eastAsia="Calibri" w:hAnsi="Times New Roman"/>
        <w:i/>
        <w:sz w:val="18"/>
        <w:szCs w:val="22"/>
      </w:rPr>
    </w:pPr>
    <w:r>
      <w:rPr>
        <w:rFonts w:ascii="Times New Roman" w:eastAsia="Calibri" w:hAnsi="Times New Roman"/>
        <w:i/>
        <w:sz w:val="18"/>
        <w:szCs w:val="22"/>
      </w:rPr>
      <w:t>.</w:t>
    </w:r>
  </w:p>
  <w:p>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jc w:val="center"/>
      <w:rPr>
        <w:rFonts w:ascii="Times New Roman" w:eastAsia="Calibri" w:hAnsi="Times New Roman"/>
        <w:i/>
        <w:sz w:val="18"/>
        <w:szCs w:val="22"/>
      </w:rPr>
    </w:pPr>
    <w:r>
      <w:rPr>
        <w:rFonts w:ascii="Times New Roman" w:eastAsia="Calibri" w:hAnsi="Times New Roman"/>
        <w:i/>
        <w:sz w:val="18"/>
        <w:szCs w:val="22"/>
      </w:rPr>
      <w:t xml:space="preserve">                     </w:t>
    </w:r>
  </w:p>
  <w:p>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41"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rPr>
        <w:rFonts w:ascii="Monotype Corsiva" w:hAnsi="Monotype Corsiva"/>
        <w:sz w:val="24"/>
        <w:szCs w:val="24"/>
        <w:lang w:val="en-I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42" o:spid="_x0000_s2057" type="#_x0000_t136" style="position:absolute;left:0;text-align:left;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pStyle w:val="Header"/>
      <w:jc w:val="right"/>
      <w:rPr>
        <w:rFonts w:ascii="Monotype Corsiva" w:hAnsi="Monotype Corsiva"/>
        <w:sz w:val="24"/>
        <w:szCs w:val="24"/>
        <w:lang w:val="en-IN"/>
      </w:rPr>
    </w:pPr>
  </w:p>
  <w:p>
    <w:pPr>
      <w:pStyle w:val="Header"/>
      <w:jc w:val="right"/>
      <w:rPr>
        <w:rFonts w:ascii="Monotype Corsiva" w:hAnsi="Monotype Corsiva"/>
        <w:sz w:val="24"/>
        <w:szCs w:val="24"/>
        <w:lang w:val="en-IN"/>
      </w:rPr>
    </w:pPr>
  </w:p>
  <w:p>
    <w:pPr>
      <w:pStyle w:val="Header"/>
      <w:jc w:val="right"/>
      <w:rPr>
        <w:rFonts w:ascii="Monotype Corsiva" w:hAnsi="Monotype Corsiva"/>
        <w:sz w:val="24"/>
        <w:szCs w:val="24"/>
        <w:lang w:val="en-I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76740"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link w:val="HeaderChar"/>
    <w:uiPriority w:val="99"/>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666666"/>
    </w:r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HeaderChar">
    <w:name w:val="Header Char"/>
    <w:basedOn w:val="DefaultParagraphFont"/>
    <w:link w:val="Header"/>
    <w:uiPriority w:val="9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pag.gov.in/dash-reports/allindiaapy?rtab=Area%2C+Production+%26+Yield&amp;rtype=reports"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pag.gov.in/dash-reports/statewiseapyandpercentagetoallindia?rtab=Area%2C+Production+%26+Yield&amp;rtype=repor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3C96-6D91-4E51-A3D1-B366E6DE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405</TotalTime>
  <Pages>17</Pages>
  <Words>5200</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34777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24</cp:revision>
  <cp:lastPrinted>1999-07-06T11:00:00Z</cp:lastPrinted>
  <dcterms:created xsi:type="dcterms:W3CDTF">2014-10-25T14:34:00Z</dcterms:created>
  <dcterms:modified xsi:type="dcterms:W3CDTF">2025-07-02T11:05:00Z</dcterms:modified>
</cp:coreProperties>
</file>