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4F2A3" w14:textId="77777777" w:rsidR="002F665E" w:rsidRPr="00345127" w:rsidRDefault="001B34EC" w:rsidP="000520E7">
      <w:pPr>
        <w:pStyle w:val="FirstParagraph"/>
        <w:jc w:val="center"/>
        <w:rPr>
          <w:rFonts w:cs="Times New Roman"/>
          <w:b/>
        </w:rPr>
      </w:pPr>
      <w:r w:rsidRPr="00345127">
        <w:rPr>
          <w:rFonts w:cs="Times New Roman"/>
          <w:b/>
        </w:rPr>
        <w:t xml:space="preserve">Mapping and Monitoring Sand Bars along the </w:t>
      </w:r>
      <w:proofErr w:type="spellStart"/>
      <w:r w:rsidRPr="00345127">
        <w:rPr>
          <w:rFonts w:cs="Times New Roman"/>
          <w:b/>
        </w:rPr>
        <w:t>Forcados</w:t>
      </w:r>
      <w:proofErr w:type="spellEnd"/>
      <w:r w:rsidRPr="00345127">
        <w:rPr>
          <w:rFonts w:cs="Times New Roman"/>
          <w:b/>
        </w:rPr>
        <w:t xml:space="preserve"> River Using Geospatial Tools: A Strategy for Sustainable Marine Blue Economy in Nigeria's Niger Delta</w:t>
      </w:r>
    </w:p>
    <w:p w14:paraId="2D082EA1" w14:textId="7239C82B" w:rsidR="002F665E" w:rsidRPr="00345127" w:rsidRDefault="008D16E7" w:rsidP="00E44DBB">
      <w:pPr>
        <w:jc w:val="both"/>
        <w:rPr>
          <w:rFonts w:ascii="Times New Roman" w:hAnsi="Times New Roman" w:cs="Times New Roman"/>
        </w:rPr>
      </w:pPr>
      <w:r w:rsidRPr="00345127">
        <w:rPr>
          <w:rFonts w:ascii="Times New Roman" w:eastAsia="Arial" w:hAnsi="Times New Roman" w:cs="Times New Roman"/>
          <w:b/>
        </w:rPr>
        <w:t xml:space="preserve">   </w:t>
      </w:r>
    </w:p>
    <w:p w14:paraId="2DF190DC" w14:textId="77777777" w:rsidR="002F665E" w:rsidRPr="00345127" w:rsidRDefault="001B34EC" w:rsidP="006A3A56">
      <w:pPr>
        <w:pStyle w:val="Heading2"/>
        <w:jc w:val="both"/>
        <w:rPr>
          <w:rFonts w:ascii="Times New Roman" w:hAnsi="Times New Roman" w:cs="Times New Roman"/>
          <w:color w:val="auto"/>
          <w:sz w:val="24"/>
          <w:szCs w:val="24"/>
        </w:rPr>
      </w:pPr>
      <w:bookmarkStart w:id="0" w:name="abstract"/>
      <w:r w:rsidRPr="00345127">
        <w:rPr>
          <w:rFonts w:ascii="Times New Roman" w:hAnsi="Times New Roman" w:cs="Times New Roman"/>
          <w:b/>
          <w:bCs/>
          <w:color w:val="auto"/>
          <w:sz w:val="24"/>
          <w:szCs w:val="24"/>
        </w:rPr>
        <w:t>Abstract</w:t>
      </w:r>
    </w:p>
    <w:p w14:paraId="274F0E82" w14:textId="77777777" w:rsidR="002F665E" w:rsidRPr="00345127" w:rsidRDefault="001B34EC" w:rsidP="006A3A56">
      <w:pPr>
        <w:pStyle w:val="FirstParagraph"/>
        <w:jc w:val="both"/>
        <w:rPr>
          <w:rFonts w:cs="Times New Roman"/>
        </w:rPr>
      </w:pPr>
      <w:r w:rsidRPr="00345127">
        <w:rPr>
          <w:rFonts w:cs="Times New Roman"/>
        </w:rPr>
        <w:t xml:space="preserve">Understanding the spatiotemporal dynamics of sandbars along major river systems is vital for shoreline stability, sediment management, inland navigation, and coastal economy sustainability. This study investigates the mapping and monitoring of sandbars along the </w:t>
      </w:r>
      <w:proofErr w:type="spellStart"/>
      <w:r w:rsidRPr="00345127">
        <w:rPr>
          <w:rFonts w:cs="Times New Roman"/>
        </w:rPr>
        <w:t>Forcados</w:t>
      </w:r>
      <w:proofErr w:type="spellEnd"/>
      <w:r w:rsidRPr="00345127">
        <w:rPr>
          <w:rFonts w:cs="Times New Roman"/>
        </w:rPr>
        <w:t xml:space="preserve"> River in the Niger Delta, Nigeria, using geospatial tools and satellite imagery spanning 2003, 2013, and 2023. Utilizing high-resolution Landsat and Google Earth imagery, coupled with geospatial and morphometric analyses, the study identifies six major sandbars (SB1–SB6) and quantifies changes in their geometric, shape-based, and sedimentological parameters over the two-decade period. Results reveal consistent trends of lateral migration, expansion, accretion, and stabilization of sandbars, driven primarily by fluvial hydrodynamics, seasonal sediment flux, and upstream anthropogenic activities such as dredging and dam construction. The statistical relationship between length, width, and area yielded strong R² values (&gt;0.96), indicating coherent geomorphic development across decades. Moran’s I spatial autocorrelation further highlighted a significant positive clustering (Moran's Index = 0.5147, p &lt; 0.01) between sandbar locations and elevation. Grain size analysis based on the Folk and Ward method indicated predom</w:t>
      </w:r>
      <w:bookmarkStart w:id="1" w:name="_GoBack"/>
      <w:bookmarkEnd w:id="1"/>
      <w:r w:rsidRPr="00345127">
        <w:rPr>
          <w:rFonts w:cs="Times New Roman"/>
        </w:rPr>
        <w:t>inantly medium to coarse sands with mesokurtic to leptokurtic distributions, suggesting moderate to high energy depositional environments.</w:t>
      </w:r>
      <w:r w:rsidR="006A3A56" w:rsidRPr="00345127">
        <w:rPr>
          <w:rFonts w:cs="Times New Roman"/>
        </w:rPr>
        <w:t xml:space="preserve"> </w:t>
      </w:r>
      <w:r w:rsidRPr="00345127">
        <w:rPr>
          <w:rFonts w:cs="Times New Roman"/>
        </w:rPr>
        <w:t>The findings provide a foundational geospatial database for policymakers and stakeholders aiming to align environmental monitoring with marine spatial planning and sustainable blue economy strategies. Furthermore, this study demonstrates the integration of remote sensing, spatial statistics, and sedimentological interpretation for the proactive management of riverine and coastal resources. It recommends sustained monitoring frameworks and integration with drone photogrammetry and AI-enhanced sediment tracking systems to strengthen adaptive resilience in Nigeria’s coastal zones.</w:t>
      </w:r>
    </w:p>
    <w:p w14:paraId="1EEC48C0" w14:textId="77777777" w:rsidR="002F665E" w:rsidRPr="00345127" w:rsidRDefault="002F665E" w:rsidP="006A3A56">
      <w:pPr>
        <w:jc w:val="both"/>
        <w:rPr>
          <w:rFonts w:ascii="Times New Roman" w:hAnsi="Times New Roman" w:cs="Times New Roman"/>
        </w:rPr>
      </w:pPr>
    </w:p>
    <w:p w14:paraId="69AFB814" w14:textId="6C042942" w:rsidR="002F665E" w:rsidRPr="00345127" w:rsidRDefault="006A3A56" w:rsidP="006A3A56">
      <w:pPr>
        <w:pStyle w:val="Heading2"/>
        <w:jc w:val="both"/>
        <w:rPr>
          <w:rFonts w:ascii="Times New Roman" w:hAnsi="Times New Roman" w:cs="Times New Roman"/>
          <w:color w:val="auto"/>
          <w:sz w:val="24"/>
          <w:szCs w:val="24"/>
        </w:rPr>
      </w:pPr>
      <w:bookmarkStart w:id="2" w:name="keywords"/>
      <w:bookmarkEnd w:id="0"/>
      <w:r w:rsidRPr="00345127">
        <w:rPr>
          <w:rFonts w:ascii="Times New Roman" w:hAnsi="Times New Roman" w:cs="Times New Roman"/>
          <w:b/>
          <w:bCs/>
          <w:color w:val="auto"/>
          <w:sz w:val="24"/>
          <w:szCs w:val="24"/>
        </w:rPr>
        <w:t xml:space="preserve">Keywords: </w:t>
      </w:r>
      <w:r w:rsidR="001B34EC" w:rsidRPr="00345127">
        <w:rPr>
          <w:rFonts w:ascii="Times New Roman" w:hAnsi="Times New Roman" w:cs="Times New Roman"/>
          <w:color w:val="auto"/>
          <w:sz w:val="24"/>
          <w:szCs w:val="24"/>
        </w:rPr>
        <w:t>Sandbar Evolution</w:t>
      </w:r>
      <w:r w:rsidR="008C1A0F" w:rsidRPr="00345127">
        <w:rPr>
          <w:rFonts w:ascii="Times New Roman" w:hAnsi="Times New Roman" w:cs="Times New Roman"/>
          <w:color w:val="auto"/>
          <w:sz w:val="24"/>
          <w:szCs w:val="24"/>
        </w:rPr>
        <w:t>,</w:t>
      </w:r>
      <w:r w:rsidRPr="00345127">
        <w:rPr>
          <w:rFonts w:ascii="Times New Roman" w:hAnsi="Times New Roman" w:cs="Times New Roman"/>
          <w:color w:val="auto"/>
          <w:sz w:val="24"/>
          <w:szCs w:val="24"/>
        </w:rPr>
        <w:t xml:space="preserve"> </w:t>
      </w:r>
      <w:r w:rsidR="001B34EC" w:rsidRPr="00345127">
        <w:rPr>
          <w:rFonts w:ascii="Times New Roman" w:hAnsi="Times New Roman" w:cs="Times New Roman"/>
          <w:color w:val="auto"/>
          <w:sz w:val="24"/>
          <w:szCs w:val="24"/>
        </w:rPr>
        <w:t>Geospatial Analysis</w:t>
      </w:r>
      <w:r w:rsidR="008C1A0F" w:rsidRPr="00345127">
        <w:rPr>
          <w:rFonts w:ascii="Times New Roman" w:hAnsi="Times New Roman" w:cs="Times New Roman"/>
          <w:color w:val="auto"/>
          <w:sz w:val="24"/>
          <w:szCs w:val="24"/>
        </w:rPr>
        <w:t>,</w:t>
      </w:r>
      <w:r w:rsidRPr="00345127">
        <w:rPr>
          <w:rFonts w:ascii="Times New Roman" w:hAnsi="Times New Roman" w:cs="Times New Roman"/>
          <w:color w:val="auto"/>
          <w:sz w:val="24"/>
          <w:szCs w:val="24"/>
        </w:rPr>
        <w:t xml:space="preserve"> </w:t>
      </w:r>
      <w:proofErr w:type="spellStart"/>
      <w:r w:rsidR="001B34EC" w:rsidRPr="00345127">
        <w:rPr>
          <w:rFonts w:ascii="Times New Roman" w:hAnsi="Times New Roman" w:cs="Times New Roman"/>
          <w:color w:val="auto"/>
          <w:sz w:val="24"/>
          <w:szCs w:val="24"/>
        </w:rPr>
        <w:t>Forcados</w:t>
      </w:r>
      <w:proofErr w:type="spellEnd"/>
      <w:r w:rsidR="001B34EC" w:rsidRPr="00345127">
        <w:rPr>
          <w:rFonts w:ascii="Times New Roman" w:hAnsi="Times New Roman" w:cs="Times New Roman"/>
          <w:color w:val="auto"/>
          <w:sz w:val="24"/>
          <w:szCs w:val="24"/>
        </w:rPr>
        <w:t xml:space="preserve"> River</w:t>
      </w:r>
      <w:r w:rsidR="008C1A0F" w:rsidRPr="00345127">
        <w:rPr>
          <w:rFonts w:ascii="Times New Roman" w:hAnsi="Times New Roman" w:cs="Times New Roman"/>
          <w:color w:val="auto"/>
          <w:sz w:val="24"/>
          <w:szCs w:val="24"/>
        </w:rPr>
        <w:t>,</w:t>
      </w:r>
      <w:r w:rsidRPr="00345127">
        <w:rPr>
          <w:rFonts w:ascii="Times New Roman" w:hAnsi="Times New Roman" w:cs="Times New Roman"/>
          <w:color w:val="auto"/>
          <w:sz w:val="24"/>
          <w:szCs w:val="24"/>
        </w:rPr>
        <w:t xml:space="preserve"> </w:t>
      </w:r>
      <w:r w:rsidR="001B34EC" w:rsidRPr="00345127">
        <w:rPr>
          <w:rFonts w:ascii="Times New Roman" w:hAnsi="Times New Roman" w:cs="Times New Roman"/>
          <w:color w:val="auto"/>
          <w:sz w:val="24"/>
          <w:szCs w:val="24"/>
        </w:rPr>
        <w:t>Marine Blue Economy</w:t>
      </w:r>
      <w:r w:rsidR="008C1A0F" w:rsidRPr="00345127">
        <w:rPr>
          <w:rFonts w:ascii="Times New Roman" w:hAnsi="Times New Roman" w:cs="Times New Roman"/>
          <w:color w:val="auto"/>
          <w:sz w:val="24"/>
          <w:szCs w:val="24"/>
        </w:rPr>
        <w:t>,</w:t>
      </w:r>
      <w:r w:rsidRPr="00345127">
        <w:rPr>
          <w:rFonts w:ascii="Times New Roman" w:hAnsi="Times New Roman" w:cs="Times New Roman"/>
          <w:color w:val="auto"/>
          <w:sz w:val="24"/>
          <w:szCs w:val="24"/>
        </w:rPr>
        <w:t xml:space="preserve"> </w:t>
      </w:r>
      <w:r w:rsidR="001B34EC" w:rsidRPr="00345127">
        <w:rPr>
          <w:rFonts w:ascii="Times New Roman" w:hAnsi="Times New Roman" w:cs="Times New Roman"/>
          <w:color w:val="auto"/>
          <w:sz w:val="24"/>
          <w:szCs w:val="24"/>
        </w:rPr>
        <w:t>Remote Sensing</w:t>
      </w:r>
      <w:r w:rsidR="008C1A0F" w:rsidRPr="00345127">
        <w:rPr>
          <w:rFonts w:ascii="Times New Roman" w:hAnsi="Times New Roman" w:cs="Times New Roman"/>
          <w:color w:val="auto"/>
          <w:sz w:val="24"/>
          <w:szCs w:val="24"/>
        </w:rPr>
        <w:t>,</w:t>
      </w:r>
      <w:r w:rsidRPr="00345127">
        <w:rPr>
          <w:rFonts w:ascii="Times New Roman" w:hAnsi="Times New Roman" w:cs="Times New Roman"/>
          <w:color w:val="auto"/>
          <w:sz w:val="24"/>
          <w:szCs w:val="24"/>
        </w:rPr>
        <w:t xml:space="preserve"> </w:t>
      </w:r>
      <w:r w:rsidR="001B34EC" w:rsidRPr="00345127">
        <w:rPr>
          <w:rFonts w:ascii="Times New Roman" w:hAnsi="Times New Roman" w:cs="Times New Roman"/>
          <w:color w:val="auto"/>
          <w:sz w:val="24"/>
          <w:szCs w:val="24"/>
        </w:rPr>
        <w:t>Sediment Morphometry</w:t>
      </w:r>
      <w:r w:rsidR="008C1A0F" w:rsidRPr="00345127">
        <w:rPr>
          <w:rFonts w:ascii="Times New Roman" w:hAnsi="Times New Roman" w:cs="Times New Roman"/>
          <w:color w:val="auto"/>
          <w:sz w:val="24"/>
          <w:szCs w:val="24"/>
        </w:rPr>
        <w:t>,</w:t>
      </w:r>
      <w:r w:rsidRPr="00345127">
        <w:rPr>
          <w:rFonts w:ascii="Times New Roman" w:hAnsi="Times New Roman" w:cs="Times New Roman"/>
          <w:color w:val="auto"/>
          <w:sz w:val="24"/>
          <w:szCs w:val="24"/>
        </w:rPr>
        <w:t xml:space="preserve"> </w:t>
      </w:r>
      <w:r w:rsidR="001B34EC" w:rsidRPr="00345127">
        <w:rPr>
          <w:rFonts w:ascii="Times New Roman" w:hAnsi="Times New Roman" w:cs="Times New Roman"/>
          <w:color w:val="auto"/>
          <w:sz w:val="24"/>
          <w:szCs w:val="24"/>
        </w:rPr>
        <w:t>Niger Delta</w:t>
      </w:r>
    </w:p>
    <w:p w14:paraId="1535B84D" w14:textId="77777777" w:rsidR="002F665E" w:rsidRPr="00345127" w:rsidRDefault="001B34EC" w:rsidP="006A3A56">
      <w:pPr>
        <w:pStyle w:val="Heading2"/>
        <w:jc w:val="both"/>
        <w:rPr>
          <w:rFonts w:ascii="Times New Roman" w:hAnsi="Times New Roman" w:cs="Times New Roman"/>
          <w:color w:val="auto"/>
          <w:sz w:val="24"/>
          <w:szCs w:val="24"/>
        </w:rPr>
      </w:pPr>
      <w:bookmarkStart w:id="3" w:name="introduction"/>
      <w:bookmarkEnd w:id="2"/>
      <w:r w:rsidRPr="00345127">
        <w:rPr>
          <w:rFonts w:ascii="Times New Roman" w:hAnsi="Times New Roman" w:cs="Times New Roman"/>
          <w:b/>
          <w:bCs/>
          <w:color w:val="auto"/>
          <w:sz w:val="24"/>
          <w:szCs w:val="24"/>
        </w:rPr>
        <w:t>1. Introduction</w:t>
      </w:r>
    </w:p>
    <w:p w14:paraId="48EC1E11" w14:textId="5CE6AED6" w:rsidR="002F665E" w:rsidRPr="00345127" w:rsidRDefault="001B34EC" w:rsidP="006A3A56">
      <w:pPr>
        <w:pStyle w:val="FirstParagraph"/>
        <w:jc w:val="both"/>
        <w:rPr>
          <w:rFonts w:cs="Times New Roman"/>
        </w:rPr>
      </w:pPr>
      <w:r w:rsidRPr="00345127">
        <w:rPr>
          <w:rFonts w:cs="Times New Roman"/>
        </w:rPr>
        <w:t>Rivers are dynamic fluvial systems that transport sediments, reshape landscapes, and sustain biodiversity-rich habitats. In deltaic regions such as Nigeria's Niger Delta, these processes give rise to distinctive geomorphic features like sandbars, which are elongated deposits of sand or gravel formed by the interplay of current velocity, sediment load, river morphology, and flow regim</w:t>
      </w:r>
      <w:r w:rsidR="00D0720B" w:rsidRPr="00345127">
        <w:rPr>
          <w:rFonts w:cs="Times New Roman"/>
        </w:rPr>
        <w:t xml:space="preserve">e </w:t>
      </w:r>
      <w:r w:rsidR="00847D44" w:rsidRPr="00345127">
        <w:rPr>
          <w:rFonts w:cs="Times New Roman"/>
        </w:rPr>
        <w:t>[1]</w:t>
      </w:r>
      <w:r w:rsidRPr="00345127">
        <w:rPr>
          <w:rFonts w:cs="Times New Roman"/>
        </w:rPr>
        <w:t>. Sandbars significantly influence river channel stability, navigation channels, aquatic habitats, and, in coastal deltas, serve as buffers against wave energy and storm surges</w:t>
      </w:r>
      <w:r w:rsidR="00847D44" w:rsidRPr="00345127">
        <w:rPr>
          <w:rFonts w:cs="Times New Roman"/>
        </w:rPr>
        <w:t xml:space="preserve"> [2], [</w:t>
      </w:r>
      <w:proofErr w:type="gramStart"/>
      <w:r w:rsidR="00847D44" w:rsidRPr="00345127">
        <w:rPr>
          <w:rFonts w:cs="Times New Roman"/>
        </w:rPr>
        <w:t>3 ]</w:t>
      </w:r>
      <w:proofErr w:type="gramEnd"/>
      <w:r w:rsidRPr="00345127">
        <w:rPr>
          <w:rFonts w:cs="Times New Roman"/>
        </w:rPr>
        <w:t>. Monitoring their spatial and temporal dynamics is critical for effective river basin management, shoreline protection, and the sustainable growth of marine blue economies.</w:t>
      </w:r>
    </w:p>
    <w:p w14:paraId="254A3F94" w14:textId="18CE257B" w:rsidR="002F665E" w:rsidRPr="00345127" w:rsidRDefault="001B34EC" w:rsidP="006A3A56">
      <w:pPr>
        <w:pStyle w:val="BodyText"/>
        <w:jc w:val="both"/>
        <w:rPr>
          <w:rFonts w:cs="Times New Roman"/>
        </w:rPr>
      </w:pPr>
      <w:r w:rsidRPr="00345127">
        <w:rPr>
          <w:rFonts w:cs="Times New Roman"/>
        </w:rPr>
        <w:t xml:space="preserve">The </w:t>
      </w:r>
      <w:proofErr w:type="spellStart"/>
      <w:r w:rsidRPr="00345127">
        <w:rPr>
          <w:rFonts w:cs="Times New Roman"/>
        </w:rPr>
        <w:t>Forcados</w:t>
      </w:r>
      <w:proofErr w:type="spellEnd"/>
      <w:r w:rsidRPr="00345127">
        <w:rPr>
          <w:rFonts w:cs="Times New Roman"/>
        </w:rPr>
        <w:t xml:space="preserve"> River, a major distributary of the Niger River in southern Nigeria, flows through the ecologically and economically significant Niger Delta. This river experiences seasonal flooding, variable sedimentation, and anthropogenic pressures such as oil exploration, dredging, and dam-induced flow alterations upstream </w:t>
      </w:r>
      <w:r w:rsidR="00847D44" w:rsidRPr="00345127">
        <w:rPr>
          <w:rFonts w:cs="Times New Roman"/>
        </w:rPr>
        <w:t>[4], [5], [6]</w:t>
      </w:r>
      <w:r w:rsidRPr="00345127">
        <w:rPr>
          <w:rFonts w:cs="Times New Roman"/>
        </w:rPr>
        <w:t xml:space="preserve">. These processes contribute to the emergence, growth, and erosion of sandbars along its course. However, a paucity of integrated scientific studies exists on the long-term </w:t>
      </w:r>
      <w:r w:rsidRPr="00345127">
        <w:rPr>
          <w:rFonts w:cs="Times New Roman"/>
        </w:rPr>
        <w:lastRenderedPageBreak/>
        <w:t xml:space="preserve">mapping and analysis of sandbars in the </w:t>
      </w:r>
      <w:proofErr w:type="spellStart"/>
      <w:r w:rsidRPr="00345127">
        <w:rPr>
          <w:rFonts w:cs="Times New Roman"/>
        </w:rPr>
        <w:t>Forcados</w:t>
      </w:r>
      <w:proofErr w:type="spellEnd"/>
      <w:r w:rsidRPr="00345127">
        <w:rPr>
          <w:rFonts w:cs="Times New Roman"/>
        </w:rPr>
        <w:t xml:space="preserve"> River system using modern geospatial and remote sensing tools, especially as they relate to broader sustainability goals like Nigeria’s marine blue economy agenda.</w:t>
      </w:r>
    </w:p>
    <w:p w14:paraId="2C75DC98" w14:textId="41DD67D4" w:rsidR="002F665E" w:rsidRPr="00345127" w:rsidRDefault="001B34EC" w:rsidP="006A3A56">
      <w:pPr>
        <w:pStyle w:val="BodyText"/>
        <w:jc w:val="both"/>
        <w:rPr>
          <w:rFonts w:cs="Times New Roman"/>
        </w:rPr>
      </w:pPr>
      <w:r w:rsidRPr="00345127">
        <w:rPr>
          <w:rFonts w:cs="Times New Roman"/>
        </w:rPr>
        <w:t>Sandbars play a dual role in river systems: while they offer ecological services such as fish breeding grounds and sediment filtration, they can also hinder navigation and infrastructure if not properly monitored</w:t>
      </w:r>
      <w:r w:rsidR="00847D44" w:rsidRPr="00345127">
        <w:rPr>
          <w:rFonts w:cs="Times New Roman"/>
        </w:rPr>
        <w:t xml:space="preserve"> [7], [8]</w:t>
      </w:r>
      <w:r w:rsidRPr="00345127">
        <w:rPr>
          <w:rFonts w:cs="Times New Roman"/>
        </w:rPr>
        <w:t xml:space="preserve">. Their evolution is governed by sediment transport regimes, hydraulic conditions, and anthropogenic activities such as land reclamation and channelization </w:t>
      </w:r>
      <w:r w:rsidR="00FB0609" w:rsidRPr="00345127">
        <w:rPr>
          <w:rFonts w:cs="Times New Roman"/>
        </w:rPr>
        <w:t>[9]</w:t>
      </w:r>
      <w:r w:rsidRPr="00345127">
        <w:rPr>
          <w:rFonts w:cs="Times New Roman"/>
        </w:rPr>
        <w:t xml:space="preserve">. Climate-induced hydrological variability has added new dimensions to sandbar dynamics, with irregular flood </w:t>
      </w:r>
      <w:r w:rsidR="008D5566" w:rsidRPr="00345127">
        <w:rPr>
          <w:rFonts w:cs="Times New Roman"/>
        </w:rPr>
        <w:t>pluses</w:t>
      </w:r>
      <w:r w:rsidRPr="00345127">
        <w:rPr>
          <w:rFonts w:cs="Times New Roman"/>
        </w:rPr>
        <w:t xml:space="preserve"> and altered sediment budgets accelerating morphological transformations across tropical river systems</w:t>
      </w:r>
      <w:r w:rsidR="00D0720B" w:rsidRPr="00345127">
        <w:rPr>
          <w:rFonts w:cs="Times New Roman"/>
        </w:rPr>
        <w:t xml:space="preserve"> </w:t>
      </w:r>
      <w:r w:rsidR="00FB0609" w:rsidRPr="00345127">
        <w:rPr>
          <w:rFonts w:cs="Times New Roman"/>
        </w:rPr>
        <w:t>[10],[11], [12]</w:t>
      </w:r>
      <w:r w:rsidRPr="00345127">
        <w:rPr>
          <w:rFonts w:cs="Times New Roman"/>
        </w:rPr>
        <w:t>. The Niger Delta, as one of the world's largest and most complex deltas, presents a unique setting to study these interactions and develop models for sustainable sediment and ecosystem management.</w:t>
      </w:r>
    </w:p>
    <w:p w14:paraId="409C862A" w14:textId="1EAF489F" w:rsidR="002F665E" w:rsidRPr="00345127" w:rsidRDefault="001B34EC" w:rsidP="006A3A56">
      <w:pPr>
        <w:pStyle w:val="BodyText"/>
        <w:jc w:val="both"/>
        <w:rPr>
          <w:rFonts w:cs="Times New Roman"/>
        </w:rPr>
      </w:pPr>
      <w:r w:rsidRPr="00345127">
        <w:rPr>
          <w:rFonts w:cs="Times New Roman"/>
        </w:rPr>
        <w:t>The growing emphasis on blue economy frameworks</w:t>
      </w:r>
      <w:r w:rsidR="006A3A56" w:rsidRPr="00345127">
        <w:rPr>
          <w:rFonts w:cs="Times New Roman"/>
        </w:rPr>
        <w:t xml:space="preserve"> </w:t>
      </w:r>
      <w:r w:rsidRPr="00345127">
        <w:rPr>
          <w:rFonts w:cs="Times New Roman"/>
        </w:rPr>
        <w:t>centered on sustainable ocean-based economic activities</w:t>
      </w:r>
      <w:r w:rsidR="006A3A56" w:rsidRPr="00345127">
        <w:rPr>
          <w:rFonts w:cs="Times New Roman"/>
        </w:rPr>
        <w:t xml:space="preserve"> </w:t>
      </w:r>
      <w:r w:rsidRPr="00345127">
        <w:rPr>
          <w:rFonts w:cs="Times New Roman"/>
        </w:rPr>
        <w:t xml:space="preserve">has created a pressing need to monitor riverine and coastal morphologies using cutting-edge tools. In Nigeria, sandbars in estuarine and deltaic rivers like </w:t>
      </w:r>
      <w:proofErr w:type="spellStart"/>
      <w:r w:rsidRPr="00345127">
        <w:rPr>
          <w:rFonts w:cs="Times New Roman"/>
        </w:rPr>
        <w:t>Forcados</w:t>
      </w:r>
      <w:proofErr w:type="spellEnd"/>
      <w:r w:rsidRPr="00345127">
        <w:rPr>
          <w:rFonts w:cs="Times New Roman"/>
        </w:rPr>
        <w:t xml:space="preserve"> hold potential for fisheries enhancement, aquaculture siting, eco-tourism development, and even renewable energy projects such as tidal installations </w:t>
      </w:r>
      <w:r w:rsidR="00FB0609" w:rsidRPr="00345127">
        <w:rPr>
          <w:rFonts w:cs="Times New Roman"/>
        </w:rPr>
        <w:t>[13], [14]</w:t>
      </w:r>
      <w:r w:rsidRPr="00345127">
        <w:rPr>
          <w:rFonts w:cs="Times New Roman"/>
        </w:rPr>
        <w:t xml:space="preserve">. Yet, these opportunities can only be realized through an evidence-based understanding of sedimentary processes and spatial dynamics across time. Traditional ground-based surveys of sandbars, while useful, are constrained by cost, accessibility, and temporal limitations. The advent of satellite remote sensing, object-based image analysis (OBIA), and machine learning has revolutionized the ability to detect, map, and monitor sandbars at scale </w:t>
      </w:r>
      <w:r w:rsidR="00F97A61" w:rsidRPr="00345127">
        <w:rPr>
          <w:rFonts w:cs="Times New Roman"/>
        </w:rPr>
        <w:t>[15], [16]</w:t>
      </w:r>
      <w:r w:rsidRPr="00345127">
        <w:rPr>
          <w:rFonts w:cs="Times New Roman"/>
        </w:rPr>
        <w:t>.</w:t>
      </w:r>
    </w:p>
    <w:p w14:paraId="4FD3D605" w14:textId="18BF70F1" w:rsidR="002F665E" w:rsidRPr="00345127" w:rsidRDefault="001B34EC" w:rsidP="006A3A56">
      <w:pPr>
        <w:pStyle w:val="BodyText"/>
        <w:jc w:val="both"/>
        <w:rPr>
          <w:rFonts w:cs="Times New Roman"/>
        </w:rPr>
      </w:pPr>
      <w:r w:rsidRPr="00345127">
        <w:rPr>
          <w:rFonts w:cs="Times New Roman"/>
        </w:rPr>
        <w:t xml:space="preserve">In recent years, researchers have successfully employed Landsat, Sentinel, and high-resolution Google Earth imagery to quantify shoreline change, fluvial </w:t>
      </w:r>
      <w:proofErr w:type="spellStart"/>
      <w:r w:rsidRPr="00345127">
        <w:rPr>
          <w:rFonts w:cs="Times New Roman"/>
        </w:rPr>
        <w:t>morphodynamics</w:t>
      </w:r>
      <w:proofErr w:type="spellEnd"/>
      <w:r w:rsidRPr="00345127">
        <w:rPr>
          <w:rFonts w:cs="Times New Roman"/>
        </w:rPr>
        <w:t xml:space="preserve">, and sandbar evolution in diverse riverine settings </w:t>
      </w:r>
      <w:r w:rsidR="00F97A61" w:rsidRPr="00345127">
        <w:rPr>
          <w:rFonts w:cs="Times New Roman"/>
        </w:rPr>
        <w:t>[17],[18],[19],[20]</w:t>
      </w:r>
      <w:r w:rsidRPr="00345127">
        <w:rPr>
          <w:rFonts w:cs="Times New Roman"/>
        </w:rPr>
        <w:t xml:space="preserve">. For instance, Lee et al. </w:t>
      </w:r>
      <w:r w:rsidR="00F97A61" w:rsidRPr="00345127">
        <w:rPr>
          <w:rFonts w:cs="Times New Roman"/>
        </w:rPr>
        <w:t>[18]</w:t>
      </w:r>
      <w:r w:rsidRPr="00345127">
        <w:rPr>
          <w:rFonts w:cs="Times New Roman"/>
        </w:rPr>
        <w:t xml:space="preserve"> demonstrated the feasibility of using SPOT imagery for delineating sandbar migration patterns in South Korea’s estuaries, while Ferreira et al. </w:t>
      </w:r>
      <w:r w:rsidR="00F97A61" w:rsidRPr="00345127">
        <w:rPr>
          <w:rFonts w:cs="Times New Roman"/>
        </w:rPr>
        <w:t>[21]</w:t>
      </w:r>
      <w:r w:rsidRPr="00345127">
        <w:rPr>
          <w:rFonts w:cs="Times New Roman"/>
        </w:rPr>
        <w:t xml:space="preserve"> used numerical models to simulate cross-shore sediment transport influenced by bar morphology. In the Niger Delta, few studies have applied a comparable multi-temporal, geospatially integrated framework to the analysis of sandbars in the </w:t>
      </w:r>
      <w:proofErr w:type="spellStart"/>
      <w:r w:rsidRPr="00345127">
        <w:rPr>
          <w:rFonts w:cs="Times New Roman"/>
        </w:rPr>
        <w:t>Forcados</w:t>
      </w:r>
      <w:proofErr w:type="spellEnd"/>
      <w:r w:rsidRPr="00345127">
        <w:rPr>
          <w:rFonts w:cs="Times New Roman"/>
        </w:rPr>
        <w:t xml:space="preserve"> River, despite its strategic importance for inland shipping, fisheries, and oil transport.</w:t>
      </w:r>
    </w:p>
    <w:p w14:paraId="0CC652B7" w14:textId="53E9AE6E" w:rsidR="002F665E" w:rsidRPr="00345127" w:rsidRDefault="001B34EC" w:rsidP="006A3A56">
      <w:pPr>
        <w:pStyle w:val="BodyText"/>
        <w:jc w:val="both"/>
        <w:rPr>
          <w:rFonts w:cs="Times New Roman"/>
        </w:rPr>
      </w:pPr>
      <w:r w:rsidRPr="00345127">
        <w:rPr>
          <w:rFonts w:cs="Times New Roman"/>
        </w:rPr>
        <w:t xml:space="preserve">The primary aim of this study is to map and monitor the spatial evolution of sandbars along the </w:t>
      </w:r>
      <w:proofErr w:type="spellStart"/>
      <w:r w:rsidRPr="00345127">
        <w:rPr>
          <w:rFonts w:cs="Times New Roman"/>
        </w:rPr>
        <w:t>Forcados</w:t>
      </w:r>
      <w:proofErr w:type="spellEnd"/>
      <w:r w:rsidRPr="00345127">
        <w:rPr>
          <w:rFonts w:cs="Times New Roman"/>
        </w:rPr>
        <w:t xml:space="preserve"> River from 2003 to 2023 using remote sensing, GIS-based morphometric analysis, and statistical correlation techniques. Specifically, the study: (1) identifies and delineates sandbars using Landsat and Google Earth imagery across three epochs (2003, 2013, and 2023); (2) computes geometric and shape-based parameters (e.g., length, area, circularity, elongation ratio); (3) applies statistical correlation models to understand relationships between morphometric variables; (4) examines spatial autocorrelation using Moran’s I to evaluate clustering relative to elevation; and (5) assesses sediment characteristics using Folk and Ward </w:t>
      </w:r>
      <w:r w:rsidR="00F97A61" w:rsidRPr="00345127">
        <w:rPr>
          <w:rFonts w:cs="Times New Roman"/>
        </w:rPr>
        <w:t>[22]</w:t>
      </w:r>
      <w:r w:rsidRPr="00345127">
        <w:rPr>
          <w:rFonts w:cs="Times New Roman"/>
        </w:rPr>
        <w:t xml:space="preserve"> statistical parameters. These analyses are aimed at revealing the underlying processes shaping sandbar dynamics and their implications for environmental resilience and blue economy planning.</w:t>
      </w:r>
    </w:p>
    <w:p w14:paraId="2F5FE23D" w14:textId="77777777" w:rsidR="002F665E" w:rsidRPr="00345127" w:rsidRDefault="001B34EC" w:rsidP="006A3A56">
      <w:pPr>
        <w:pStyle w:val="BodyText"/>
        <w:jc w:val="both"/>
        <w:rPr>
          <w:rFonts w:cs="Times New Roman"/>
        </w:rPr>
      </w:pPr>
      <w:r w:rsidRPr="00345127">
        <w:rPr>
          <w:rFonts w:cs="Times New Roman"/>
        </w:rPr>
        <w:t>This study contributes methodologically by integrating morphometric parameters, spatial statistics, and grain size distribution into a unified geospatial monitoring approach. Practically, it provides actionable insights for environmental agencies, blue economy planners, and disaster risk managers in Nigeria and similar deltaic regions. By establishing a baseline of sandbar characteristics and evolution patterns, this research supports informed decision-making on dredging operations, inland navigation, habitat conservation, and estuarine development.</w:t>
      </w:r>
    </w:p>
    <w:p w14:paraId="0C771B00" w14:textId="38F3C5B2" w:rsidR="002F665E" w:rsidRPr="00345127" w:rsidRDefault="001B34EC" w:rsidP="006A3A56">
      <w:pPr>
        <w:pStyle w:val="BodyText"/>
        <w:jc w:val="both"/>
        <w:rPr>
          <w:rFonts w:cs="Times New Roman"/>
        </w:rPr>
      </w:pPr>
      <w:r w:rsidRPr="00345127">
        <w:rPr>
          <w:rFonts w:cs="Times New Roman"/>
        </w:rPr>
        <w:lastRenderedPageBreak/>
        <w:t>Moreover, this work aligns with the broader goals of the UN Sustainable Development Goal (SDG) 14</w:t>
      </w:r>
      <w:r w:rsidR="008D5566" w:rsidRPr="00345127">
        <w:rPr>
          <w:rFonts w:cs="Times New Roman"/>
        </w:rPr>
        <w:t xml:space="preserve"> </w:t>
      </w:r>
      <w:r w:rsidRPr="00345127">
        <w:rPr>
          <w:rFonts w:cs="Times New Roman"/>
        </w:rPr>
        <w:t>Life Below Water</w:t>
      </w:r>
      <w:r w:rsidR="008D5566" w:rsidRPr="00345127">
        <w:rPr>
          <w:rFonts w:cs="Times New Roman"/>
        </w:rPr>
        <w:t xml:space="preserve"> </w:t>
      </w:r>
      <w:r w:rsidRPr="00345127">
        <w:rPr>
          <w:rFonts w:cs="Times New Roman"/>
        </w:rPr>
        <w:t>by fostering sustainable use of riverine and estuarine environments. It also provides a replicable framework for longitudinal monitoring of sedimentary features in other tropical deltas globally. In a rapidly changing climate and development context, proactive sandbar monitoring is not just a scientific necessity but a strategic imperative for coastal resilience and economic diversification.</w:t>
      </w:r>
    </w:p>
    <w:p w14:paraId="50538480" w14:textId="77777777" w:rsidR="002F665E" w:rsidRPr="00345127" w:rsidRDefault="001B34EC" w:rsidP="006A3A56">
      <w:pPr>
        <w:pStyle w:val="BodyText"/>
        <w:jc w:val="both"/>
        <w:rPr>
          <w:rFonts w:cs="Times New Roman"/>
        </w:rPr>
      </w:pPr>
      <w:r w:rsidRPr="00345127">
        <w:rPr>
          <w:rFonts w:cs="Times New Roman"/>
        </w:rPr>
        <w:br/>
      </w:r>
    </w:p>
    <w:p w14:paraId="2F0EF080" w14:textId="77777777" w:rsidR="002F665E" w:rsidRPr="00345127" w:rsidRDefault="002F665E" w:rsidP="006A3A56">
      <w:pPr>
        <w:jc w:val="both"/>
        <w:rPr>
          <w:rFonts w:ascii="Times New Roman" w:hAnsi="Times New Roman" w:cs="Times New Roman"/>
        </w:rPr>
      </w:pPr>
    </w:p>
    <w:p w14:paraId="6B2D3BB5" w14:textId="77777777" w:rsidR="002F665E" w:rsidRPr="00345127" w:rsidRDefault="002F665E" w:rsidP="006A3A56">
      <w:pPr>
        <w:jc w:val="both"/>
        <w:rPr>
          <w:rFonts w:ascii="Times New Roman" w:hAnsi="Times New Roman" w:cs="Times New Roman"/>
        </w:rPr>
      </w:pPr>
    </w:p>
    <w:p w14:paraId="41588D75" w14:textId="62BFF229" w:rsidR="002F665E" w:rsidRPr="00345127" w:rsidRDefault="001B34EC" w:rsidP="006A3A56">
      <w:pPr>
        <w:pStyle w:val="Heading2"/>
        <w:jc w:val="both"/>
        <w:rPr>
          <w:rFonts w:ascii="Times New Roman" w:hAnsi="Times New Roman" w:cs="Times New Roman"/>
          <w:b/>
          <w:bCs/>
          <w:color w:val="auto"/>
          <w:sz w:val="24"/>
          <w:szCs w:val="24"/>
        </w:rPr>
      </w:pPr>
      <w:bookmarkStart w:id="4" w:name="study-area-and-background"/>
      <w:bookmarkEnd w:id="3"/>
      <w:r w:rsidRPr="00345127">
        <w:rPr>
          <w:rFonts w:ascii="Times New Roman" w:hAnsi="Times New Roman" w:cs="Times New Roman"/>
          <w:b/>
          <w:bCs/>
          <w:color w:val="auto"/>
          <w:sz w:val="24"/>
          <w:szCs w:val="24"/>
        </w:rPr>
        <w:t xml:space="preserve">2. Study Area </w:t>
      </w:r>
    </w:p>
    <w:p w14:paraId="174AE0A8" w14:textId="709B903C"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t xml:space="preserve">The </w:t>
      </w:r>
      <w:proofErr w:type="spellStart"/>
      <w:r w:rsidRPr="00345127">
        <w:rPr>
          <w:rFonts w:ascii="Times New Roman" w:eastAsia="Times New Roman" w:hAnsi="Times New Roman" w:cs="Times New Roman"/>
        </w:rPr>
        <w:t>Forcados</w:t>
      </w:r>
      <w:proofErr w:type="spellEnd"/>
      <w:r w:rsidRPr="00345127">
        <w:rPr>
          <w:rFonts w:ascii="Times New Roman" w:eastAsia="Times New Roman" w:hAnsi="Times New Roman" w:cs="Times New Roman"/>
        </w:rPr>
        <w:t xml:space="preserve"> River, a major distributary of the Niger River, serves as a key hydrological artery in the western Niger Delta of Nigeria. Emerging from a bifurcation of the Niger River near Onitsha, it courses southwest through the low-lying floodplains of Delta and Bayelsa States before discharging into the Atlantic Ocean. The river forms part of a complex fluvial system characterized by mangrove-lined estuaries, tidal creeks, levees, floodplains, and sandbars. Its strategic geographic position underpins its significance in transportation, oil and gas infrastructure, subsistence fisheries, and the provisioning of ecosystem services to millions of residents in the Niger Delta region</w:t>
      </w:r>
      <w:r w:rsidR="00D0720B" w:rsidRPr="00345127">
        <w:rPr>
          <w:rFonts w:ascii="Times New Roman" w:eastAsia="Times New Roman" w:hAnsi="Times New Roman" w:cs="Times New Roman"/>
        </w:rPr>
        <w:t xml:space="preserve"> </w:t>
      </w:r>
      <w:r w:rsidR="00FF3F84" w:rsidRPr="00345127">
        <w:rPr>
          <w:rFonts w:ascii="Times New Roman" w:eastAsia="Times New Roman" w:hAnsi="Times New Roman" w:cs="Times New Roman"/>
        </w:rPr>
        <w:t>[23],[24], [25]</w:t>
      </w:r>
      <w:r w:rsidRPr="00345127">
        <w:rPr>
          <w:rFonts w:ascii="Times New Roman" w:eastAsia="Times New Roman" w:hAnsi="Times New Roman" w:cs="Times New Roman"/>
        </w:rPr>
        <w:t>.</w:t>
      </w:r>
    </w:p>
    <w:p w14:paraId="2E994800" w14:textId="66386A17"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t xml:space="preserve">This study specifically focuses on the segment of the </w:t>
      </w:r>
      <w:proofErr w:type="spellStart"/>
      <w:r w:rsidRPr="00345127">
        <w:rPr>
          <w:rFonts w:ascii="Times New Roman" w:eastAsia="Times New Roman" w:hAnsi="Times New Roman" w:cs="Times New Roman"/>
        </w:rPr>
        <w:t>Forcados</w:t>
      </w:r>
      <w:proofErr w:type="spellEnd"/>
      <w:r w:rsidRPr="00345127">
        <w:rPr>
          <w:rFonts w:ascii="Times New Roman" w:eastAsia="Times New Roman" w:hAnsi="Times New Roman" w:cs="Times New Roman"/>
        </w:rPr>
        <w:t xml:space="preserve"> River flowing through </w:t>
      </w:r>
      <w:proofErr w:type="spellStart"/>
      <w:r w:rsidRPr="00345127">
        <w:rPr>
          <w:rFonts w:ascii="Times New Roman" w:eastAsia="Times New Roman" w:hAnsi="Times New Roman" w:cs="Times New Roman"/>
        </w:rPr>
        <w:t>Sagbama</w:t>
      </w:r>
      <w:proofErr w:type="spellEnd"/>
      <w:r w:rsidRPr="00345127">
        <w:rPr>
          <w:rFonts w:ascii="Times New Roman" w:eastAsia="Times New Roman" w:hAnsi="Times New Roman" w:cs="Times New Roman"/>
        </w:rPr>
        <w:t xml:space="preserve"> Local Government Area (LGA) in Bayelsa State</w:t>
      </w:r>
      <w:r w:rsidR="00915245" w:rsidRPr="00345127">
        <w:rPr>
          <w:rFonts w:ascii="Times New Roman" w:eastAsia="Times New Roman" w:hAnsi="Times New Roman" w:cs="Times New Roman"/>
        </w:rPr>
        <w:t xml:space="preserve"> (Figure 1)</w:t>
      </w:r>
      <w:r w:rsidRPr="00345127">
        <w:rPr>
          <w:rFonts w:ascii="Times New Roman" w:eastAsia="Times New Roman" w:hAnsi="Times New Roman" w:cs="Times New Roman"/>
        </w:rPr>
        <w:t>. This section exhibits pronounced fluvial-sediment interactions, notably the seasonal formation and transformation of sandbars. Hydrologically, this region is governed by the West African Monsoon, receiving over 2,500 mm of rainfall annually, with peak river discharge typically between July and September. These high-flow months significantly influence sediment transport, deposition, and subsequent reshaping of geomorphic features such as sandbars</w:t>
      </w:r>
      <w:r w:rsidR="00FB0609" w:rsidRPr="00345127">
        <w:rPr>
          <w:rFonts w:ascii="Times New Roman" w:eastAsia="Times New Roman" w:hAnsi="Times New Roman" w:cs="Times New Roman"/>
        </w:rPr>
        <w:t xml:space="preserve"> [10], [6]</w:t>
      </w:r>
      <w:r w:rsidRPr="00345127">
        <w:rPr>
          <w:rFonts w:ascii="Times New Roman" w:eastAsia="Times New Roman" w:hAnsi="Times New Roman" w:cs="Times New Roman"/>
        </w:rPr>
        <w:t>.</w:t>
      </w:r>
    </w:p>
    <w:p w14:paraId="79841B1A" w14:textId="0D6561D6"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hAnsi="Times New Roman" w:cs="Times New Roman"/>
          <w:noProof/>
        </w:rPr>
        <w:lastRenderedPageBreak/>
        <w:drawing>
          <wp:inline distT="0" distB="0" distL="0" distR="0" wp14:anchorId="08A87DAD" wp14:editId="42EA0F18">
            <wp:extent cx="5438899" cy="393216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a:stretch>
                      <a:fillRect/>
                    </a:stretch>
                  </pic:blipFill>
                  <pic:spPr>
                    <a:xfrm>
                      <a:off x="0" y="0"/>
                      <a:ext cx="5447673" cy="3938504"/>
                    </a:xfrm>
                    <a:prstGeom prst="rect">
                      <a:avLst/>
                    </a:prstGeom>
                  </pic:spPr>
                </pic:pic>
              </a:graphicData>
            </a:graphic>
          </wp:inline>
        </w:drawing>
      </w:r>
    </w:p>
    <w:p w14:paraId="056717E0" w14:textId="2AA0D8B5"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t xml:space="preserve">Figure </w:t>
      </w:r>
      <w:r w:rsidR="00915245" w:rsidRPr="00345127">
        <w:rPr>
          <w:rFonts w:ascii="Times New Roman" w:eastAsia="Times New Roman" w:hAnsi="Times New Roman" w:cs="Times New Roman"/>
        </w:rPr>
        <w:t>1</w:t>
      </w:r>
      <w:r w:rsidRPr="00345127">
        <w:rPr>
          <w:rFonts w:ascii="Times New Roman" w:eastAsia="Times New Roman" w:hAnsi="Times New Roman" w:cs="Times New Roman"/>
        </w:rPr>
        <w:t>: Location of study area</w:t>
      </w:r>
    </w:p>
    <w:p w14:paraId="496BFFF7" w14:textId="1D4AED98"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t xml:space="preserve">Geomorphologically, the area is characterized by a flat, low-elevation landscape composed of unconsolidated deltaic deposits primarily sands, silts, and clays laid down over time by the Niger River </w:t>
      </w:r>
      <w:r w:rsidR="00FF3F84" w:rsidRPr="00345127">
        <w:rPr>
          <w:rFonts w:ascii="Times New Roman" w:eastAsia="Times New Roman" w:hAnsi="Times New Roman" w:cs="Times New Roman"/>
        </w:rPr>
        <w:t>[26],[27],[28],[29]</w:t>
      </w:r>
      <w:r w:rsidRPr="00345127">
        <w:rPr>
          <w:rFonts w:ascii="Times New Roman" w:eastAsia="Times New Roman" w:hAnsi="Times New Roman" w:cs="Times New Roman"/>
        </w:rPr>
        <w:t>. Elevations generally do not exceed 10 meters above sea level. This low-relief terrain, in conjunction with an intricate drainage network, encourages lateral channel migration and overbank sedimentation. Consequently, the formation of mid-channel and lateral sandbars is common, especially following peak discharge periods when flow energy declines and suspended sediments settle out.</w:t>
      </w:r>
    </w:p>
    <w:p w14:paraId="4F478A03" w14:textId="5ABD1D1A"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t xml:space="preserve">The </w:t>
      </w:r>
      <w:proofErr w:type="spellStart"/>
      <w:r w:rsidRPr="00345127">
        <w:rPr>
          <w:rFonts w:ascii="Times New Roman" w:eastAsia="Times New Roman" w:hAnsi="Times New Roman" w:cs="Times New Roman"/>
        </w:rPr>
        <w:t>Forcados</w:t>
      </w:r>
      <w:proofErr w:type="spellEnd"/>
      <w:r w:rsidRPr="00345127">
        <w:rPr>
          <w:rFonts w:ascii="Times New Roman" w:eastAsia="Times New Roman" w:hAnsi="Times New Roman" w:cs="Times New Roman"/>
        </w:rPr>
        <w:t xml:space="preserve"> River historically functioned as a critical inland navigation corridor, facilitating the transport of agricultural commodities and petroleum products. However, human interventions such as dam construction upstream, dredging activities, and oil infrastructure installations have significantly altered natural </w:t>
      </w:r>
      <w:proofErr w:type="spellStart"/>
      <w:r w:rsidRPr="00345127">
        <w:rPr>
          <w:rFonts w:ascii="Times New Roman" w:eastAsia="Times New Roman" w:hAnsi="Times New Roman" w:cs="Times New Roman"/>
        </w:rPr>
        <w:t>hydromorphological</w:t>
      </w:r>
      <w:proofErr w:type="spellEnd"/>
      <w:r w:rsidRPr="00345127">
        <w:rPr>
          <w:rFonts w:ascii="Times New Roman" w:eastAsia="Times New Roman" w:hAnsi="Times New Roman" w:cs="Times New Roman"/>
        </w:rPr>
        <w:t xml:space="preserve"> </w:t>
      </w:r>
      <w:r w:rsidR="008D16E7" w:rsidRPr="00345127">
        <w:rPr>
          <w:rFonts w:ascii="Times New Roman" w:eastAsia="Times New Roman" w:hAnsi="Times New Roman" w:cs="Times New Roman"/>
        </w:rPr>
        <w:t xml:space="preserve">regimes </w:t>
      </w:r>
      <w:r w:rsidR="008D16E7" w:rsidRPr="00345127">
        <w:rPr>
          <w:rFonts w:ascii="Times New Roman" w:hAnsi="Times New Roman" w:cs="Times New Roman"/>
        </w:rPr>
        <w:t>[</w:t>
      </w:r>
      <w:r w:rsidR="00FB0609" w:rsidRPr="00345127">
        <w:rPr>
          <w:rFonts w:ascii="Times New Roman" w:hAnsi="Times New Roman" w:cs="Times New Roman"/>
        </w:rPr>
        <w:t>6], [</w:t>
      </w:r>
      <w:r w:rsidR="008B3D13" w:rsidRPr="00345127">
        <w:rPr>
          <w:rFonts w:ascii="Times New Roman" w:hAnsi="Times New Roman" w:cs="Times New Roman"/>
        </w:rPr>
        <w:t>30</w:t>
      </w:r>
      <w:r w:rsidR="00FB0609" w:rsidRPr="00345127">
        <w:rPr>
          <w:rFonts w:ascii="Times New Roman" w:hAnsi="Times New Roman" w:cs="Times New Roman"/>
        </w:rPr>
        <w:t>]</w:t>
      </w:r>
      <w:r w:rsidRPr="00345127">
        <w:rPr>
          <w:rFonts w:ascii="Times New Roman" w:eastAsia="Times New Roman" w:hAnsi="Times New Roman" w:cs="Times New Roman"/>
        </w:rPr>
        <w:t xml:space="preserve">. These interventions disrupt sediment continuity and modify depositional environments, leading to shifts in the locations, sizes, and stability of sandbars </w:t>
      </w:r>
      <w:r w:rsidR="008B3D13" w:rsidRPr="00345127">
        <w:rPr>
          <w:rFonts w:ascii="Times New Roman" w:eastAsia="Times New Roman" w:hAnsi="Times New Roman" w:cs="Times New Roman"/>
        </w:rPr>
        <w:t>[9],[31]</w:t>
      </w:r>
      <w:r w:rsidRPr="00345127">
        <w:rPr>
          <w:rFonts w:ascii="Times New Roman" w:eastAsia="Times New Roman" w:hAnsi="Times New Roman" w:cs="Times New Roman"/>
        </w:rPr>
        <w:t>. These disruptions have cascading impacts on riverine ecosystems, estuarine biodiversity, and the livelihoods of dependent communities, underscoring the need for sustained monitoring and predictive modeling.</w:t>
      </w:r>
    </w:p>
    <w:p w14:paraId="0686626B" w14:textId="157EBF2A"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t xml:space="preserve">Ecologically, the sandbars of the </w:t>
      </w:r>
      <w:proofErr w:type="spellStart"/>
      <w:r w:rsidRPr="00345127">
        <w:rPr>
          <w:rFonts w:ascii="Times New Roman" w:eastAsia="Times New Roman" w:hAnsi="Times New Roman" w:cs="Times New Roman"/>
        </w:rPr>
        <w:t>Forcados</w:t>
      </w:r>
      <w:proofErr w:type="spellEnd"/>
      <w:r w:rsidRPr="00345127">
        <w:rPr>
          <w:rFonts w:ascii="Times New Roman" w:eastAsia="Times New Roman" w:hAnsi="Times New Roman" w:cs="Times New Roman"/>
        </w:rPr>
        <w:t xml:space="preserve"> River are not inert landforms but serve important biological and socio-economic roles. They provide spawning and nesting grounds for fish and avian species, support pioneer vegetation that stabilizes sediment, and host seasonal fishing activities. Badilla et al. </w:t>
      </w:r>
      <w:r w:rsidR="008B3D13" w:rsidRPr="00345127">
        <w:rPr>
          <w:rFonts w:ascii="Times New Roman" w:eastAsia="Times New Roman" w:hAnsi="Times New Roman" w:cs="Times New Roman"/>
        </w:rPr>
        <w:t xml:space="preserve"> [32]</w:t>
      </w:r>
      <w:r w:rsidRPr="00345127">
        <w:rPr>
          <w:rFonts w:ascii="Times New Roman" w:eastAsia="Times New Roman" w:hAnsi="Times New Roman" w:cs="Times New Roman"/>
        </w:rPr>
        <w:t xml:space="preserve"> note that such estuarine sandbars often support distinct biotic communities, which are highly sensitive to hydrological alterations. In some cases, these sandbars evolve into vegetated semi-permanent islands, changing local flow regimes and supporting community-based resource use.</w:t>
      </w:r>
    </w:p>
    <w:p w14:paraId="6C7A67BA" w14:textId="36C600EB"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lastRenderedPageBreak/>
        <w:t xml:space="preserve">Socio-economically, the </w:t>
      </w:r>
      <w:proofErr w:type="spellStart"/>
      <w:r w:rsidRPr="00345127">
        <w:rPr>
          <w:rFonts w:ascii="Times New Roman" w:eastAsia="Times New Roman" w:hAnsi="Times New Roman" w:cs="Times New Roman"/>
        </w:rPr>
        <w:t>Forcados</w:t>
      </w:r>
      <w:proofErr w:type="spellEnd"/>
      <w:r w:rsidRPr="00345127">
        <w:rPr>
          <w:rFonts w:ascii="Times New Roman" w:eastAsia="Times New Roman" w:hAnsi="Times New Roman" w:cs="Times New Roman"/>
        </w:rPr>
        <w:t xml:space="preserve"> River corridor is central to Nigeria’s emerging blue economy</w:t>
      </w:r>
      <w:r w:rsidR="00295BFA" w:rsidRPr="00345127">
        <w:rPr>
          <w:rFonts w:ascii="Times New Roman" w:eastAsia="Times New Roman" w:hAnsi="Times New Roman" w:cs="Times New Roman"/>
        </w:rPr>
        <w:t xml:space="preserve"> </w:t>
      </w:r>
      <w:r w:rsidRPr="00345127">
        <w:rPr>
          <w:rFonts w:ascii="Times New Roman" w:eastAsia="Times New Roman" w:hAnsi="Times New Roman" w:cs="Times New Roman"/>
        </w:rPr>
        <w:t xml:space="preserve">a development framework promoting sustainable use of aquatic resources for economic growth, livelihood enhancement, and ecosystem integrity </w:t>
      </w:r>
      <w:r w:rsidR="00D0720B" w:rsidRPr="00345127">
        <w:rPr>
          <w:rFonts w:ascii="Times New Roman" w:eastAsia="Times New Roman" w:hAnsi="Times New Roman" w:cs="Times New Roman"/>
        </w:rPr>
        <w:t>[</w:t>
      </w:r>
      <w:r w:rsidR="00FB0609" w:rsidRPr="00345127">
        <w:rPr>
          <w:rFonts w:ascii="Times New Roman" w:eastAsia="Times New Roman" w:hAnsi="Times New Roman" w:cs="Times New Roman"/>
        </w:rPr>
        <w:t>13], [14], [</w:t>
      </w:r>
      <w:r w:rsidR="008B3D13" w:rsidRPr="00345127">
        <w:rPr>
          <w:rFonts w:ascii="Times New Roman" w:eastAsia="Times New Roman" w:hAnsi="Times New Roman" w:cs="Times New Roman"/>
        </w:rPr>
        <w:t>33</w:t>
      </w:r>
      <w:r w:rsidR="00FB0609" w:rsidRPr="00345127">
        <w:rPr>
          <w:rFonts w:ascii="Times New Roman" w:eastAsia="Times New Roman" w:hAnsi="Times New Roman" w:cs="Times New Roman"/>
        </w:rPr>
        <w:t>]</w:t>
      </w:r>
      <w:r w:rsidRPr="00345127">
        <w:rPr>
          <w:rFonts w:ascii="Times New Roman" w:eastAsia="Times New Roman" w:hAnsi="Times New Roman" w:cs="Times New Roman"/>
        </w:rPr>
        <w:t>. In this context, understanding sedimentary features like sandbars is critical. Properly mapped and managed, they can inform dredging operations, port development, aquaculture zoning, and biodiversity conservation initiatives</w:t>
      </w:r>
      <w:r w:rsidR="003B7535" w:rsidRPr="00345127">
        <w:rPr>
          <w:rFonts w:ascii="Times New Roman" w:eastAsia="Times New Roman" w:hAnsi="Times New Roman" w:cs="Times New Roman"/>
        </w:rPr>
        <w:t xml:space="preserve"> </w:t>
      </w:r>
      <w:r w:rsidRPr="00345127">
        <w:rPr>
          <w:rFonts w:ascii="Times New Roman" w:eastAsia="Times New Roman" w:hAnsi="Times New Roman" w:cs="Times New Roman"/>
        </w:rPr>
        <w:t>key pillars of a sustainable blue economy.</w:t>
      </w:r>
    </w:p>
    <w:p w14:paraId="78B9EBA7" w14:textId="77777777" w:rsidR="00D14738" w:rsidRPr="00345127" w:rsidRDefault="00D14738" w:rsidP="00D14738">
      <w:pPr>
        <w:pStyle w:val="BodyText"/>
      </w:pPr>
    </w:p>
    <w:p w14:paraId="5597AB06" w14:textId="77777777" w:rsidR="002F665E" w:rsidRPr="00345127" w:rsidRDefault="001B34EC" w:rsidP="006A3A56">
      <w:pPr>
        <w:pStyle w:val="Heading2"/>
        <w:jc w:val="both"/>
        <w:rPr>
          <w:rFonts w:ascii="Times New Roman" w:hAnsi="Times New Roman" w:cs="Times New Roman"/>
          <w:color w:val="auto"/>
          <w:sz w:val="24"/>
          <w:szCs w:val="24"/>
        </w:rPr>
      </w:pPr>
      <w:bookmarkStart w:id="5" w:name="materials-and-methods"/>
      <w:bookmarkEnd w:id="4"/>
      <w:r w:rsidRPr="00345127">
        <w:rPr>
          <w:rFonts w:ascii="Times New Roman" w:hAnsi="Times New Roman" w:cs="Times New Roman"/>
          <w:b/>
          <w:bCs/>
          <w:color w:val="auto"/>
          <w:sz w:val="24"/>
          <w:szCs w:val="24"/>
        </w:rPr>
        <w:t>3. Materials and Methods</w:t>
      </w:r>
    </w:p>
    <w:p w14:paraId="3688E16B" w14:textId="77777777" w:rsidR="002F665E" w:rsidRPr="00345127" w:rsidRDefault="001B34EC" w:rsidP="006A3A56">
      <w:pPr>
        <w:pStyle w:val="Heading3"/>
        <w:jc w:val="both"/>
        <w:rPr>
          <w:rFonts w:cs="Times New Roman"/>
          <w:color w:val="auto"/>
          <w:sz w:val="24"/>
          <w:szCs w:val="24"/>
        </w:rPr>
      </w:pPr>
      <w:bookmarkStart w:id="6" w:name="overview-of-analytical-framework"/>
      <w:r w:rsidRPr="00345127">
        <w:rPr>
          <w:rFonts w:cs="Times New Roman"/>
          <w:color w:val="auto"/>
          <w:sz w:val="24"/>
          <w:szCs w:val="24"/>
        </w:rPr>
        <w:t>3.1 Analytical Framework</w:t>
      </w:r>
    </w:p>
    <w:p w14:paraId="3C3C905A" w14:textId="2B4DF9AB" w:rsidR="002F665E" w:rsidRPr="00345127" w:rsidRDefault="001B34EC" w:rsidP="006A3A56">
      <w:pPr>
        <w:pStyle w:val="FirstParagraph"/>
        <w:jc w:val="both"/>
        <w:rPr>
          <w:rFonts w:cs="Times New Roman"/>
        </w:rPr>
      </w:pPr>
      <w:r w:rsidRPr="00345127">
        <w:rPr>
          <w:rFonts w:cs="Times New Roman"/>
        </w:rPr>
        <w:t xml:space="preserve">The methodological design of this study integrates remote sensing data acquisition, image preprocessing, sandbar delineation, morphometric parameter extraction, spatial autocorrelation analysis, and sedimentological evaluation to achieve a comprehensive understanding of sandbar evolution along the </w:t>
      </w:r>
      <w:proofErr w:type="spellStart"/>
      <w:r w:rsidRPr="00345127">
        <w:rPr>
          <w:rFonts w:cs="Times New Roman"/>
        </w:rPr>
        <w:t>Forcados</w:t>
      </w:r>
      <w:proofErr w:type="spellEnd"/>
      <w:r w:rsidRPr="00345127">
        <w:rPr>
          <w:rFonts w:cs="Times New Roman"/>
        </w:rPr>
        <w:t xml:space="preserve"> River. The workflow</w:t>
      </w:r>
      <w:r w:rsidR="003B7535" w:rsidRPr="00345127">
        <w:rPr>
          <w:rFonts w:cs="Times New Roman"/>
        </w:rPr>
        <w:t xml:space="preserve"> </w:t>
      </w:r>
      <w:r w:rsidRPr="00345127">
        <w:rPr>
          <w:rFonts w:cs="Times New Roman"/>
        </w:rPr>
        <w:t>involved three key phases: (</w:t>
      </w:r>
      <w:proofErr w:type="spellStart"/>
      <w:r w:rsidRPr="00345127">
        <w:rPr>
          <w:rFonts w:cs="Times New Roman"/>
        </w:rPr>
        <w:t>i</w:t>
      </w:r>
      <w:proofErr w:type="spellEnd"/>
      <w:r w:rsidRPr="00345127">
        <w:rPr>
          <w:rFonts w:cs="Times New Roman"/>
        </w:rPr>
        <w:t>) satellite image processing and change detection, (ii) spatial and statistical analysis of sandbar morphometry, and (iii) field-based sediment sampling and granulometric interpretation. The study examined three epochs</w:t>
      </w:r>
      <w:r w:rsidR="00611C9C" w:rsidRPr="00345127">
        <w:rPr>
          <w:rFonts w:cs="Times New Roman"/>
        </w:rPr>
        <w:t xml:space="preserve"> </w:t>
      </w:r>
      <w:r w:rsidRPr="00345127">
        <w:rPr>
          <w:rFonts w:cs="Times New Roman"/>
        </w:rPr>
        <w:t>2003, 2013, and 2023</w:t>
      </w:r>
      <w:r w:rsidR="00611C9C" w:rsidRPr="00345127">
        <w:rPr>
          <w:rFonts w:cs="Times New Roman"/>
        </w:rPr>
        <w:t xml:space="preserve"> </w:t>
      </w:r>
      <w:r w:rsidRPr="00345127">
        <w:rPr>
          <w:rFonts w:cs="Times New Roman"/>
        </w:rPr>
        <w:t>to assess decadal-scale changes.</w:t>
      </w:r>
    </w:p>
    <w:p w14:paraId="7A7A954C" w14:textId="77777777" w:rsidR="002F665E" w:rsidRPr="00345127" w:rsidRDefault="001B34EC" w:rsidP="006A3A56">
      <w:pPr>
        <w:pStyle w:val="Heading3"/>
        <w:jc w:val="both"/>
        <w:rPr>
          <w:rFonts w:cs="Times New Roman"/>
          <w:color w:val="auto"/>
          <w:sz w:val="24"/>
          <w:szCs w:val="24"/>
        </w:rPr>
      </w:pPr>
      <w:bookmarkStart w:id="7" w:name="data-sources"/>
      <w:bookmarkEnd w:id="6"/>
      <w:r w:rsidRPr="00345127">
        <w:rPr>
          <w:rFonts w:cs="Times New Roman"/>
          <w:color w:val="auto"/>
          <w:sz w:val="24"/>
          <w:szCs w:val="24"/>
        </w:rPr>
        <w:t>3.2 Data Sources</w:t>
      </w:r>
    </w:p>
    <w:p w14:paraId="4BBE8530" w14:textId="77777777" w:rsidR="002F665E" w:rsidRPr="00345127" w:rsidRDefault="001B34EC" w:rsidP="006A3A56">
      <w:pPr>
        <w:pStyle w:val="FirstParagraph"/>
        <w:jc w:val="both"/>
        <w:rPr>
          <w:rFonts w:cs="Times New Roman"/>
        </w:rPr>
      </w:pPr>
      <w:r w:rsidRPr="00345127">
        <w:rPr>
          <w:rFonts w:cs="Times New Roman"/>
        </w:rPr>
        <w:t>This research employed a blend of remotely sensed imagery, topographic datasets, and in-situ sediment data:</w:t>
      </w:r>
    </w:p>
    <w:p w14:paraId="67085096" w14:textId="77777777" w:rsidR="002F665E" w:rsidRPr="00345127" w:rsidRDefault="001B34EC" w:rsidP="00B73ADC">
      <w:pPr>
        <w:numPr>
          <w:ilvl w:val="0"/>
          <w:numId w:val="1"/>
        </w:numPr>
        <w:jc w:val="both"/>
        <w:rPr>
          <w:rFonts w:ascii="Times New Roman" w:hAnsi="Times New Roman" w:cs="Times New Roman"/>
        </w:rPr>
      </w:pPr>
      <w:r w:rsidRPr="00345127">
        <w:rPr>
          <w:rFonts w:ascii="Times New Roman" w:hAnsi="Times New Roman" w:cs="Times New Roman"/>
          <w:bCs/>
        </w:rPr>
        <w:t>Landsat 7 ETM+ (2003)</w:t>
      </w:r>
      <w:r w:rsidRPr="00345127">
        <w:rPr>
          <w:rFonts w:ascii="Times New Roman" w:hAnsi="Times New Roman" w:cs="Times New Roman"/>
        </w:rPr>
        <w:t xml:space="preserve"> and </w:t>
      </w:r>
      <w:r w:rsidRPr="00345127">
        <w:rPr>
          <w:rFonts w:ascii="Times New Roman" w:hAnsi="Times New Roman" w:cs="Times New Roman"/>
          <w:bCs/>
        </w:rPr>
        <w:t>Landsat 8 OLI/TIRS (2013, 2023)</w:t>
      </w:r>
      <w:r w:rsidRPr="00345127">
        <w:rPr>
          <w:rFonts w:ascii="Times New Roman" w:hAnsi="Times New Roman" w:cs="Times New Roman"/>
        </w:rPr>
        <w:t xml:space="preserve"> data were downloaded from the United States Geological Survey (USGS) Earth Explorer portal. All images were cloud-free (&lt;10%) and geometrically corrected.</w:t>
      </w:r>
    </w:p>
    <w:p w14:paraId="450875A4" w14:textId="77777777" w:rsidR="002F665E" w:rsidRPr="00345127" w:rsidRDefault="001B34EC" w:rsidP="00B73ADC">
      <w:pPr>
        <w:numPr>
          <w:ilvl w:val="0"/>
          <w:numId w:val="1"/>
        </w:numPr>
        <w:jc w:val="both"/>
        <w:rPr>
          <w:rFonts w:ascii="Times New Roman" w:hAnsi="Times New Roman" w:cs="Times New Roman"/>
        </w:rPr>
      </w:pPr>
      <w:r w:rsidRPr="00345127">
        <w:rPr>
          <w:rFonts w:ascii="Times New Roman" w:hAnsi="Times New Roman" w:cs="Times New Roman"/>
          <w:bCs/>
        </w:rPr>
        <w:t>Google Earth Historical Imagery</w:t>
      </w:r>
      <w:r w:rsidRPr="00345127">
        <w:rPr>
          <w:rFonts w:ascii="Times New Roman" w:hAnsi="Times New Roman" w:cs="Times New Roman"/>
        </w:rPr>
        <w:t xml:space="preserve"> provided high-resolution visual confirmation and sandbar tracking across the 20-year span.</w:t>
      </w:r>
    </w:p>
    <w:p w14:paraId="7095E4AD" w14:textId="77777777" w:rsidR="002F665E" w:rsidRPr="00345127" w:rsidRDefault="001B34EC" w:rsidP="00B73ADC">
      <w:pPr>
        <w:numPr>
          <w:ilvl w:val="0"/>
          <w:numId w:val="1"/>
        </w:numPr>
        <w:jc w:val="both"/>
        <w:rPr>
          <w:rFonts w:ascii="Times New Roman" w:hAnsi="Times New Roman" w:cs="Times New Roman"/>
        </w:rPr>
      </w:pPr>
      <w:r w:rsidRPr="00345127">
        <w:rPr>
          <w:rFonts w:ascii="Times New Roman" w:hAnsi="Times New Roman" w:cs="Times New Roman"/>
          <w:bCs/>
        </w:rPr>
        <w:t>Shuttle Radar Topography Mission (SRTM) 30m DEM</w:t>
      </w:r>
      <w:r w:rsidRPr="00345127">
        <w:rPr>
          <w:rFonts w:ascii="Times New Roman" w:hAnsi="Times New Roman" w:cs="Times New Roman"/>
        </w:rPr>
        <w:t xml:space="preserve"> was used for terrain and elevation analysis.</w:t>
      </w:r>
    </w:p>
    <w:p w14:paraId="4172A15B" w14:textId="23E190F6" w:rsidR="002F665E" w:rsidRPr="00345127" w:rsidRDefault="001B34EC" w:rsidP="00B73ADC">
      <w:pPr>
        <w:numPr>
          <w:ilvl w:val="0"/>
          <w:numId w:val="1"/>
        </w:numPr>
        <w:jc w:val="both"/>
        <w:rPr>
          <w:rFonts w:ascii="Times New Roman" w:hAnsi="Times New Roman" w:cs="Times New Roman"/>
        </w:rPr>
      </w:pPr>
      <w:r w:rsidRPr="00345127">
        <w:rPr>
          <w:rFonts w:ascii="Times New Roman" w:hAnsi="Times New Roman" w:cs="Times New Roman"/>
          <w:bCs/>
        </w:rPr>
        <w:t>Field sediment samples</w:t>
      </w:r>
      <w:r w:rsidRPr="00345127">
        <w:rPr>
          <w:rFonts w:ascii="Times New Roman" w:hAnsi="Times New Roman" w:cs="Times New Roman"/>
        </w:rPr>
        <w:t xml:space="preserve"> were collected in 2023 from six sandbar sites (SB1–SB6) and analyzed in accordance with the Folk and Ward</w:t>
      </w:r>
      <w:r w:rsidR="00F97A61" w:rsidRPr="00345127">
        <w:rPr>
          <w:rFonts w:ascii="Times New Roman" w:hAnsi="Times New Roman" w:cs="Times New Roman"/>
        </w:rPr>
        <w:t xml:space="preserve"> [22]</w:t>
      </w:r>
      <w:r w:rsidRPr="00345127">
        <w:rPr>
          <w:rFonts w:ascii="Times New Roman" w:hAnsi="Times New Roman" w:cs="Times New Roman"/>
        </w:rPr>
        <w:t xml:space="preserve"> method.</w:t>
      </w:r>
    </w:p>
    <w:p w14:paraId="65A4F819" w14:textId="77777777" w:rsidR="002F665E" w:rsidRPr="00345127" w:rsidRDefault="001B34EC" w:rsidP="006A3A56">
      <w:pPr>
        <w:pStyle w:val="FirstParagraph"/>
        <w:jc w:val="both"/>
        <w:rPr>
          <w:rFonts w:cs="Times New Roman"/>
        </w:rPr>
      </w:pPr>
      <w:r w:rsidRPr="00345127">
        <w:rPr>
          <w:rFonts w:cs="Times New Roman"/>
        </w:rPr>
        <w:t>The combination of temporal and spatial data sources enhanced both the robustness and granularity of the analysis.</w:t>
      </w:r>
    </w:p>
    <w:p w14:paraId="04CEC156" w14:textId="77777777" w:rsidR="002F665E" w:rsidRPr="00345127" w:rsidRDefault="001B34EC" w:rsidP="006A3A56">
      <w:pPr>
        <w:pStyle w:val="Heading3"/>
        <w:jc w:val="both"/>
        <w:rPr>
          <w:rFonts w:cs="Times New Roman"/>
          <w:color w:val="auto"/>
          <w:sz w:val="24"/>
          <w:szCs w:val="24"/>
        </w:rPr>
      </w:pPr>
      <w:bookmarkStart w:id="8" w:name="image-preprocessing-and-classification"/>
      <w:bookmarkEnd w:id="7"/>
      <w:r w:rsidRPr="00345127">
        <w:rPr>
          <w:rFonts w:cs="Times New Roman"/>
          <w:color w:val="auto"/>
          <w:sz w:val="24"/>
          <w:szCs w:val="24"/>
        </w:rPr>
        <w:t>3.3 Image Preprocessing and Classification</w:t>
      </w:r>
    </w:p>
    <w:p w14:paraId="0ADBA316" w14:textId="7D2ED6A9" w:rsidR="002F665E" w:rsidRPr="00345127" w:rsidRDefault="001B34EC" w:rsidP="006A3A56">
      <w:pPr>
        <w:pStyle w:val="FirstParagraph"/>
        <w:jc w:val="both"/>
        <w:rPr>
          <w:rFonts w:cs="Times New Roman"/>
        </w:rPr>
      </w:pPr>
      <w:r w:rsidRPr="00345127">
        <w:rPr>
          <w:rFonts w:cs="Times New Roman"/>
        </w:rPr>
        <w:t xml:space="preserve">To extract sandbar features, all Landsat images were atmospherically corrected using the Dark Object Subtraction (DOS1) technique, and the bands were layer-stacked in ArcGIS </w:t>
      </w:r>
      <w:r w:rsidR="003B7535" w:rsidRPr="00345127">
        <w:rPr>
          <w:rFonts w:cs="Times New Roman"/>
        </w:rPr>
        <w:t>10.8</w:t>
      </w:r>
      <w:r w:rsidRPr="00345127">
        <w:rPr>
          <w:rFonts w:cs="Times New Roman"/>
        </w:rPr>
        <w:t xml:space="preserve">. Radiometric corrections were applied to convert digital numbers into top-of-atmosphere reflectance. Water bodies and sandbars were distinguished using the </w:t>
      </w:r>
      <w:r w:rsidRPr="00345127">
        <w:rPr>
          <w:rFonts w:cs="Times New Roman"/>
          <w:bCs/>
        </w:rPr>
        <w:t>Normalized Difference Water Index (NDWI)</w:t>
      </w:r>
      <w:r w:rsidRPr="00345127">
        <w:rPr>
          <w:rFonts w:cs="Times New Roman"/>
        </w:rPr>
        <w:t xml:space="preserve"> </w:t>
      </w:r>
      <w:r w:rsidR="00D0720B" w:rsidRPr="00345127">
        <w:rPr>
          <w:rFonts w:cs="Times New Roman"/>
        </w:rPr>
        <w:t>[</w:t>
      </w:r>
      <w:r w:rsidR="008B3D13" w:rsidRPr="00345127">
        <w:rPr>
          <w:rFonts w:cs="Times New Roman"/>
        </w:rPr>
        <w:t>34]</w:t>
      </w:r>
      <w:r w:rsidR="003B7535" w:rsidRPr="00345127">
        <w:rPr>
          <w:rFonts w:cs="Times New Roman"/>
        </w:rPr>
        <w:t xml:space="preserve">. </w:t>
      </w:r>
      <w:r w:rsidRPr="00345127">
        <w:rPr>
          <w:rFonts w:cs="Times New Roman"/>
        </w:rPr>
        <w:t>formulated as:</w:t>
      </w:r>
    </w:p>
    <w:p w14:paraId="270C483A" w14:textId="77777777" w:rsidR="002F665E" w:rsidRPr="00345127" w:rsidRDefault="001B34EC" w:rsidP="006A3A56">
      <w:pPr>
        <w:pStyle w:val="BodyText"/>
        <w:jc w:val="both"/>
        <w:rPr>
          <w:rFonts w:cs="Times New Roman"/>
        </w:rPr>
      </w:pPr>
      <m:oMathPara>
        <m:oMath>
          <m:r>
            <m:rPr>
              <m:nor/>
            </m:rPr>
            <w:rPr>
              <w:rFonts w:cs="Times New Roman"/>
            </w:rPr>
            <m:t>NDWI</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G</m:t>
              </m:r>
              <m:r>
                <m:rPr>
                  <m:sty m:val="p"/>
                </m:rPr>
                <w:rPr>
                  <w:rFonts w:ascii="Cambria Math" w:hAnsi="Cambria Math" w:cs="Times New Roman"/>
                </w:rPr>
                <m:t>-</m:t>
              </m:r>
              <m:r>
                <w:rPr>
                  <w:rFonts w:ascii="Cambria Math" w:hAnsi="Cambria Math" w:cs="Times New Roman"/>
                </w:rPr>
                <m:t>NIR</m:t>
              </m:r>
              <m:r>
                <m:rPr>
                  <m:sty m:val="p"/>
                </m:rPr>
                <w:rPr>
                  <w:rFonts w:ascii="Cambria Math" w:hAnsi="Cambria Math" w:cs="Times New Roman"/>
                </w:rPr>
                <m:t>)</m:t>
              </m:r>
            </m:num>
            <m:den>
              <m:r>
                <m:rPr>
                  <m:sty m:val="p"/>
                </m:rPr>
                <w:rPr>
                  <w:rFonts w:ascii="Cambria Math" w:hAnsi="Cambria Math" w:cs="Times New Roman"/>
                </w:rPr>
                <m:t>(</m:t>
              </m:r>
              <m:r>
                <w:rPr>
                  <w:rFonts w:ascii="Cambria Math" w:hAnsi="Cambria Math" w:cs="Times New Roman"/>
                </w:rPr>
                <m:t>G</m:t>
              </m:r>
              <m:r>
                <m:rPr>
                  <m:sty m:val="p"/>
                </m:rPr>
                <w:rPr>
                  <w:rFonts w:ascii="Cambria Math" w:hAnsi="Cambria Math" w:cs="Times New Roman"/>
                </w:rPr>
                <m:t>+</m:t>
              </m:r>
              <m:r>
                <w:rPr>
                  <w:rFonts w:ascii="Cambria Math" w:hAnsi="Cambria Math" w:cs="Times New Roman"/>
                </w:rPr>
                <m:t>NIR</m:t>
              </m:r>
              <m:r>
                <m:rPr>
                  <m:sty m:val="p"/>
                </m:rPr>
                <w:rPr>
                  <w:rFonts w:ascii="Cambria Math" w:hAnsi="Cambria Math" w:cs="Times New Roman"/>
                </w:rPr>
                <m:t>)</m:t>
              </m:r>
            </m:den>
          </m:f>
        </m:oMath>
      </m:oMathPara>
    </w:p>
    <w:p w14:paraId="1D3BAC9E" w14:textId="002F8C59" w:rsidR="002F665E" w:rsidRPr="00345127" w:rsidRDefault="001B34EC" w:rsidP="006A3A56">
      <w:pPr>
        <w:pStyle w:val="BodyText"/>
        <w:jc w:val="both"/>
        <w:rPr>
          <w:rFonts w:cs="Times New Roman"/>
        </w:rPr>
      </w:pPr>
      <w:r w:rsidRPr="00345127">
        <w:rPr>
          <w:rFonts w:cs="Times New Roman"/>
        </w:rPr>
        <w:lastRenderedPageBreak/>
        <w:t xml:space="preserve">Where </w:t>
      </w:r>
      <w:r w:rsidRPr="00345127">
        <w:rPr>
          <w:rFonts w:cs="Times New Roman"/>
          <w:b/>
          <w:bCs/>
        </w:rPr>
        <w:t>G</w:t>
      </w:r>
      <w:r w:rsidRPr="00345127">
        <w:rPr>
          <w:rFonts w:cs="Times New Roman"/>
        </w:rPr>
        <w:t xml:space="preserve"> is the green band and </w:t>
      </w:r>
      <w:r w:rsidRPr="00345127">
        <w:rPr>
          <w:rFonts w:cs="Times New Roman"/>
          <w:bCs/>
        </w:rPr>
        <w:t>NIR</w:t>
      </w:r>
      <w:r w:rsidRPr="00345127">
        <w:rPr>
          <w:rFonts w:cs="Times New Roman"/>
        </w:rPr>
        <w:t xml:space="preserve"> is the near-infrared band. NDWI values &gt; 0.1 typically corresponded to open water, while &lt; 0 indicated bare sand and vegetated bars. This spectral contrast facilitated unsupervised classification using the ISODATA algorithm. The resulting thematic layers were manually verified with Google Earth imagery and digitized polygons to delineate sandbars.</w:t>
      </w:r>
    </w:p>
    <w:p w14:paraId="1559F12F" w14:textId="77777777" w:rsidR="002F665E" w:rsidRPr="00345127" w:rsidRDefault="001B34EC" w:rsidP="006A3A56">
      <w:pPr>
        <w:pStyle w:val="Heading3"/>
        <w:jc w:val="both"/>
        <w:rPr>
          <w:rFonts w:cs="Times New Roman"/>
          <w:color w:val="auto"/>
          <w:sz w:val="24"/>
          <w:szCs w:val="24"/>
        </w:rPr>
      </w:pPr>
      <w:bookmarkStart w:id="9" w:name="sandbar-identification-and-delineation"/>
      <w:bookmarkEnd w:id="8"/>
      <w:r w:rsidRPr="00345127">
        <w:rPr>
          <w:rFonts w:cs="Times New Roman"/>
          <w:color w:val="auto"/>
          <w:sz w:val="24"/>
          <w:szCs w:val="24"/>
        </w:rPr>
        <w:t>3.4 Sandbar Identification and Delineation</w:t>
      </w:r>
    </w:p>
    <w:p w14:paraId="36864C00" w14:textId="21E7B641" w:rsidR="002F665E" w:rsidRPr="00345127" w:rsidRDefault="001B34EC" w:rsidP="006A3A56">
      <w:pPr>
        <w:pStyle w:val="FirstParagraph"/>
        <w:jc w:val="both"/>
        <w:rPr>
          <w:rFonts w:cs="Times New Roman"/>
        </w:rPr>
      </w:pPr>
      <w:r w:rsidRPr="00345127">
        <w:rPr>
          <w:rFonts w:cs="Times New Roman"/>
        </w:rPr>
        <w:t xml:space="preserve">Six primary sandbars (SB1–SB6) were consistently detected across the study period, marked by their visibility in all three epochs and their locational persistence within the </w:t>
      </w:r>
      <w:proofErr w:type="spellStart"/>
      <w:r w:rsidRPr="00345127">
        <w:rPr>
          <w:rFonts w:cs="Times New Roman"/>
        </w:rPr>
        <w:t>Forcados</w:t>
      </w:r>
      <w:proofErr w:type="spellEnd"/>
      <w:r w:rsidRPr="00345127">
        <w:rPr>
          <w:rFonts w:cs="Times New Roman"/>
        </w:rPr>
        <w:t xml:space="preserve"> River channel. Each sandbar polygon was extracted and labeled, and its geometry recorded for morphometric analysis. </w:t>
      </w:r>
    </w:p>
    <w:p w14:paraId="591E711E" w14:textId="51BE5637" w:rsidR="002F665E" w:rsidRPr="00345127" w:rsidRDefault="001B34EC" w:rsidP="006A3A56">
      <w:pPr>
        <w:pStyle w:val="BodyText"/>
        <w:jc w:val="both"/>
        <w:rPr>
          <w:rFonts w:cs="Times New Roman"/>
        </w:rPr>
      </w:pPr>
      <w:r w:rsidRPr="00345127">
        <w:rPr>
          <w:rFonts w:cs="Times New Roman"/>
        </w:rPr>
        <w:t xml:space="preserve">Manual digitization ensured higher boundary accuracy than automatic segmentation alone, as recommended by </w:t>
      </w:r>
      <w:proofErr w:type="spellStart"/>
      <w:r w:rsidRPr="00345127">
        <w:rPr>
          <w:rFonts w:cs="Times New Roman"/>
        </w:rPr>
        <w:t>Blaschke</w:t>
      </w:r>
      <w:proofErr w:type="spellEnd"/>
      <w:r w:rsidR="00345127" w:rsidRPr="00345127">
        <w:rPr>
          <w:rFonts w:cs="Times New Roman"/>
        </w:rPr>
        <w:t xml:space="preserve"> [16], and</w:t>
      </w:r>
      <w:r w:rsidRPr="00345127">
        <w:rPr>
          <w:rFonts w:cs="Times New Roman"/>
        </w:rPr>
        <w:t xml:space="preserve"> </w:t>
      </w:r>
      <w:proofErr w:type="spellStart"/>
      <w:r w:rsidRPr="00345127">
        <w:rPr>
          <w:rFonts w:cs="Times New Roman"/>
        </w:rPr>
        <w:t>Baatz</w:t>
      </w:r>
      <w:proofErr w:type="spellEnd"/>
      <w:r w:rsidRPr="00345127">
        <w:rPr>
          <w:rFonts w:cs="Times New Roman"/>
        </w:rPr>
        <w:t xml:space="preserve"> &amp; </w:t>
      </w:r>
      <w:proofErr w:type="spellStart"/>
      <w:r w:rsidRPr="00345127">
        <w:rPr>
          <w:rFonts w:cs="Times New Roman"/>
        </w:rPr>
        <w:t>Schape</w:t>
      </w:r>
      <w:proofErr w:type="spellEnd"/>
      <w:r w:rsidR="00F97A61" w:rsidRPr="00345127">
        <w:rPr>
          <w:rFonts w:cs="Times New Roman"/>
        </w:rPr>
        <w:t xml:space="preserve"> [</w:t>
      </w:r>
      <w:r w:rsidR="008B3D13" w:rsidRPr="00345127">
        <w:rPr>
          <w:rFonts w:cs="Times New Roman"/>
        </w:rPr>
        <w:t>35</w:t>
      </w:r>
      <w:r w:rsidR="00F97A61" w:rsidRPr="00345127">
        <w:rPr>
          <w:rFonts w:cs="Times New Roman"/>
        </w:rPr>
        <w:t>]</w:t>
      </w:r>
      <w:r w:rsidRPr="00345127">
        <w:rPr>
          <w:rFonts w:cs="Times New Roman"/>
        </w:rPr>
        <w:t>. The positional accuracy of extracted sandbars was cross-validated using historical imagery overlays, particularly during low water levels in the dry season when sandbars were exposed.</w:t>
      </w:r>
    </w:p>
    <w:p w14:paraId="7FE672EC" w14:textId="77777777" w:rsidR="002F665E" w:rsidRPr="00345127" w:rsidRDefault="001B34EC" w:rsidP="006A3A56">
      <w:pPr>
        <w:pStyle w:val="Heading3"/>
        <w:jc w:val="both"/>
        <w:rPr>
          <w:rFonts w:cs="Times New Roman"/>
          <w:color w:val="auto"/>
          <w:sz w:val="24"/>
          <w:szCs w:val="24"/>
        </w:rPr>
      </w:pPr>
      <w:bookmarkStart w:id="10" w:name="morphometric-parameters-computation"/>
      <w:bookmarkEnd w:id="9"/>
      <w:r w:rsidRPr="00345127">
        <w:rPr>
          <w:rFonts w:cs="Times New Roman"/>
          <w:color w:val="auto"/>
          <w:sz w:val="24"/>
          <w:szCs w:val="24"/>
        </w:rPr>
        <w:t>3.5 Morphometric Parameters Computation</w:t>
      </w:r>
    </w:p>
    <w:p w14:paraId="46D3BE92" w14:textId="66B2EE18" w:rsidR="002F665E" w:rsidRPr="00345127" w:rsidRDefault="001B34EC" w:rsidP="006A3A56">
      <w:pPr>
        <w:pStyle w:val="FirstParagraph"/>
        <w:jc w:val="both"/>
        <w:rPr>
          <w:rFonts w:cs="Times New Roman"/>
        </w:rPr>
      </w:pPr>
      <w:r w:rsidRPr="00345127">
        <w:rPr>
          <w:rFonts w:cs="Times New Roman"/>
        </w:rPr>
        <w:t>Nine geometric and shape-based indices were calculated for each sandbar across 2003, 2013, and 2023 (Tables 1–3), following methods used in geomorphic studies</w:t>
      </w:r>
      <w:r w:rsidR="00D0720B" w:rsidRPr="00345127">
        <w:rPr>
          <w:rFonts w:cs="Times New Roman"/>
        </w:rPr>
        <w:t xml:space="preserve"> </w:t>
      </w:r>
      <w:r w:rsidR="00F97A61" w:rsidRPr="00345127">
        <w:rPr>
          <w:rFonts w:cs="Times New Roman"/>
        </w:rPr>
        <w:t>[15]</w:t>
      </w:r>
      <w:r w:rsidRPr="00345127">
        <w:rPr>
          <w:rFonts w:cs="Times New Roman"/>
        </w:rPr>
        <w:t>:</w:t>
      </w:r>
    </w:p>
    <w:p w14:paraId="4442C406"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Length (L)</w:t>
      </w:r>
      <w:r w:rsidRPr="00345127">
        <w:rPr>
          <w:rFonts w:ascii="Times New Roman" w:hAnsi="Times New Roman" w:cs="Times New Roman"/>
        </w:rPr>
        <w:t>: Longest axis of the sandbar</w:t>
      </w:r>
    </w:p>
    <w:p w14:paraId="506703FA"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Width (W)</w:t>
      </w:r>
      <w:r w:rsidRPr="00345127">
        <w:rPr>
          <w:rFonts w:ascii="Times New Roman" w:hAnsi="Times New Roman" w:cs="Times New Roman"/>
        </w:rPr>
        <w:t>: Maximum perpendicular distance to length</w:t>
      </w:r>
    </w:p>
    <w:p w14:paraId="1B1079F2"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Area (A)</w:t>
      </w:r>
      <w:r w:rsidRPr="00345127">
        <w:rPr>
          <w:rFonts w:ascii="Times New Roman" w:hAnsi="Times New Roman" w:cs="Times New Roman"/>
        </w:rPr>
        <w:t>: Total surface area</w:t>
      </w:r>
    </w:p>
    <w:p w14:paraId="6222F082"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Perimeter (P)</w:t>
      </w:r>
      <w:r w:rsidRPr="00345127">
        <w:rPr>
          <w:rFonts w:ascii="Times New Roman" w:hAnsi="Times New Roman" w:cs="Times New Roman"/>
        </w:rPr>
        <w:t>: Length of sandbar outline</w:t>
      </w:r>
    </w:p>
    <w:p w14:paraId="7171A2E2"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Aspect Ratio (AR)</w:t>
      </w:r>
      <w:r w:rsidRPr="00345127">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L</m:t>
            </m:r>
          </m:num>
          <m:den>
            <m:r>
              <w:rPr>
                <w:rFonts w:ascii="Cambria Math" w:hAnsi="Cambria Math" w:cs="Times New Roman"/>
              </w:rPr>
              <m:t>W</m:t>
            </m:r>
          </m:den>
        </m:f>
      </m:oMath>
    </w:p>
    <w:p w14:paraId="2F82BB61"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Elongation Ratio (ER)</w:t>
      </w:r>
      <w:r w:rsidRPr="00345127">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2</m:t>
            </m:r>
            <m:rad>
              <m:radPr>
                <m:degHide m:val="1"/>
                <m:ctrlPr>
                  <w:rPr>
                    <w:rFonts w:ascii="Cambria Math" w:hAnsi="Cambria Math" w:cs="Times New Roman"/>
                  </w:rPr>
                </m:ctrlPr>
              </m:radPr>
              <m:deg/>
              <m:e>
                <m:f>
                  <m:fPr>
                    <m:ctrlPr>
                      <w:rPr>
                        <w:rFonts w:ascii="Cambria Math" w:hAnsi="Cambria Math" w:cs="Times New Roman"/>
                      </w:rPr>
                    </m:ctrlPr>
                  </m:fPr>
                  <m:num>
                    <m:r>
                      <w:rPr>
                        <w:rFonts w:ascii="Cambria Math" w:hAnsi="Cambria Math" w:cs="Times New Roman"/>
                      </w:rPr>
                      <m:t>A</m:t>
                    </m:r>
                  </m:num>
                  <m:den>
                    <m:r>
                      <w:rPr>
                        <w:rFonts w:ascii="Cambria Math" w:hAnsi="Cambria Math" w:cs="Times New Roman"/>
                      </w:rPr>
                      <m:t>π</m:t>
                    </m:r>
                  </m:den>
                </m:f>
              </m:e>
            </m:rad>
          </m:num>
          <m:den>
            <m:r>
              <w:rPr>
                <w:rFonts w:ascii="Cambria Math" w:hAnsi="Cambria Math" w:cs="Times New Roman"/>
              </w:rPr>
              <m:t>L</m:t>
            </m:r>
          </m:den>
        </m:f>
      </m:oMath>
    </w:p>
    <w:p w14:paraId="455B34B5"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Circularity (C)</w:t>
      </w:r>
      <w:r w:rsidRPr="00345127">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4πA</m:t>
            </m:r>
          </m:num>
          <m:den>
            <m:sSup>
              <m:sSupPr>
                <m:ctrlPr>
                  <w:rPr>
                    <w:rFonts w:ascii="Cambria Math" w:hAnsi="Cambria Math" w:cs="Times New Roman"/>
                  </w:rPr>
                </m:ctrlPr>
              </m:sSupPr>
              <m:e>
                <m:r>
                  <w:rPr>
                    <w:rFonts w:ascii="Cambria Math" w:hAnsi="Cambria Math" w:cs="Times New Roman"/>
                  </w:rPr>
                  <m:t>P</m:t>
                </m:r>
              </m:e>
              <m:sup>
                <m:r>
                  <w:rPr>
                    <w:rFonts w:ascii="Cambria Math" w:hAnsi="Cambria Math" w:cs="Times New Roman"/>
                  </w:rPr>
                  <m:t>2</m:t>
                </m:r>
              </m:sup>
            </m:sSup>
          </m:den>
        </m:f>
      </m:oMath>
    </w:p>
    <w:p w14:paraId="5701CDA2"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Compactness (Com)</w:t>
      </w:r>
      <w:r w:rsidRPr="00345127">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P</m:t>
            </m:r>
          </m:num>
          <m:den>
            <m:rad>
              <m:radPr>
                <m:degHide m:val="1"/>
                <m:ctrlPr>
                  <w:rPr>
                    <w:rFonts w:ascii="Cambria Math" w:hAnsi="Cambria Math" w:cs="Times New Roman"/>
                  </w:rPr>
                </m:ctrlPr>
              </m:radPr>
              <m:deg/>
              <m:e>
                <m:r>
                  <w:rPr>
                    <w:rFonts w:ascii="Cambria Math" w:hAnsi="Cambria Math" w:cs="Times New Roman"/>
                  </w:rPr>
                  <m:t>A</m:t>
                </m:r>
              </m:e>
            </m:rad>
          </m:den>
        </m:f>
      </m:oMath>
    </w:p>
    <w:p w14:paraId="7B3A9D6F"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Form Factor (FF)</w:t>
      </w:r>
      <w:r w:rsidRPr="00345127">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A</m:t>
            </m:r>
          </m:num>
          <m:den>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2</m:t>
                </m:r>
              </m:sup>
            </m:sSup>
          </m:den>
        </m:f>
      </m:oMath>
    </w:p>
    <w:p w14:paraId="12B6A682" w14:textId="77777777" w:rsidR="002F665E" w:rsidRPr="00345127" w:rsidRDefault="001B34EC" w:rsidP="006A3A56">
      <w:pPr>
        <w:pStyle w:val="FirstParagraph"/>
        <w:jc w:val="both"/>
        <w:rPr>
          <w:rFonts w:cs="Times New Roman"/>
        </w:rPr>
      </w:pPr>
      <w:r w:rsidRPr="00345127">
        <w:rPr>
          <w:rFonts w:cs="Times New Roman"/>
        </w:rPr>
        <w:t>These indices helped characterize the shape evolution, complexity, and elongation behavior of each sandbar. For instance, increasing circularity and compactness often indicated stabilization and deposition, while decreasing elongation signaled lateral shifts.</w:t>
      </w:r>
    </w:p>
    <w:p w14:paraId="041E9462" w14:textId="77777777" w:rsidR="002F665E" w:rsidRPr="00345127" w:rsidRDefault="001B34EC" w:rsidP="006A3A56">
      <w:pPr>
        <w:pStyle w:val="Heading3"/>
        <w:jc w:val="both"/>
        <w:rPr>
          <w:rFonts w:cs="Times New Roman"/>
          <w:color w:val="auto"/>
          <w:sz w:val="24"/>
          <w:szCs w:val="24"/>
        </w:rPr>
      </w:pPr>
      <w:bookmarkStart w:id="11" w:name="statistical-and-correlation-analysis"/>
      <w:bookmarkEnd w:id="10"/>
      <w:r w:rsidRPr="00345127">
        <w:rPr>
          <w:rFonts w:cs="Times New Roman"/>
          <w:color w:val="auto"/>
          <w:sz w:val="24"/>
          <w:szCs w:val="24"/>
        </w:rPr>
        <w:t>3.6 Statistical and Correlation Analysis</w:t>
      </w:r>
    </w:p>
    <w:p w14:paraId="242F2E33" w14:textId="77777777" w:rsidR="002F665E" w:rsidRPr="00345127" w:rsidRDefault="001B34EC" w:rsidP="006A3A56">
      <w:pPr>
        <w:pStyle w:val="FirstParagraph"/>
        <w:jc w:val="both"/>
        <w:rPr>
          <w:rFonts w:cs="Times New Roman"/>
        </w:rPr>
      </w:pPr>
      <w:r w:rsidRPr="00345127">
        <w:rPr>
          <w:rFonts w:cs="Times New Roman"/>
        </w:rPr>
        <w:t>A series of bivariate correlation analyses were performed to evaluate relationships among morphometric variables. Cross-plots were generated between:</w:t>
      </w:r>
    </w:p>
    <w:p w14:paraId="410C0FA7" w14:textId="77777777" w:rsidR="002F665E" w:rsidRPr="00345127" w:rsidRDefault="001B34EC" w:rsidP="00B73ADC">
      <w:pPr>
        <w:numPr>
          <w:ilvl w:val="0"/>
          <w:numId w:val="3"/>
        </w:numPr>
        <w:jc w:val="both"/>
        <w:rPr>
          <w:rFonts w:ascii="Times New Roman" w:hAnsi="Times New Roman" w:cs="Times New Roman"/>
        </w:rPr>
      </w:pPr>
      <w:r w:rsidRPr="00345127">
        <w:rPr>
          <w:rFonts w:ascii="Times New Roman" w:hAnsi="Times New Roman" w:cs="Times New Roman"/>
          <w:b/>
          <w:bCs/>
        </w:rPr>
        <w:t>Length vs. Area</w:t>
      </w:r>
    </w:p>
    <w:p w14:paraId="06C14B32" w14:textId="77777777" w:rsidR="002F665E" w:rsidRPr="00345127" w:rsidRDefault="001B34EC" w:rsidP="00B73ADC">
      <w:pPr>
        <w:numPr>
          <w:ilvl w:val="0"/>
          <w:numId w:val="3"/>
        </w:numPr>
        <w:jc w:val="both"/>
        <w:rPr>
          <w:rFonts w:ascii="Times New Roman" w:hAnsi="Times New Roman" w:cs="Times New Roman"/>
        </w:rPr>
      </w:pPr>
      <w:r w:rsidRPr="00345127">
        <w:rPr>
          <w:rFonts w:ascii="Times New Roman" w:hAnsi="Times New Roman" w:cs="Times New Roman"/>
          <w:b/>
          <w:bCs/>
        </w:rPr>
        <w:lastRenderedPageBreak/>
        <w:t>Width vs. Area</w:t>
      </w:r>
    </w:p>
    <w:p w14:paraId="406E6241" w14:textId="77777777" w:rsidR="002F665E" w:rsidRPr="00345127" w:rsidRDefault="001B34EC" w:rsidP="00B73ADC">
      <w:pPr>
        <w:numPr>
          <w:ilvl w:val="0"/>
          <w:numId w:val="3"/>
        </w:numPr>
        <w:jc w:val="both"/>
        <w:rPr>
          <w:rFonts w:ascii="Times New Roman" w:hAnsi="Times New Roman" w:cs="Times New Roman"/>
        </w:rPr>
      </w:pPr>
      <w:r w:rsidRPr="00345127">
        <w:rPr>
          <w:rFonts w:ascii="Times New Roman" w:hAnsi="Times New Roman" w:cs="Times New Roman"/>
          <w:b/>
          <w:bCs/>
        </w:rPr>
        <w:t>Length vs. Width</w:t>
      </w:r>
    </w:p>
    <w:p w14:paraId="65BC2E14" w14:textId="77777777" w:rsidR="002F665E" w:rsidRPr="00345127" w:rsidRDefault="001B34EC" w:rsidP="006A3A56">
      <w:pPr>
        <w:pStyle w:val="FirstParagraph"/>
        <w:jc w:val="both"/>
        <w:rPr>
          <w:rFonts w:cs="Times New Roman"/>
        </w:rPr>
      </w:pPr>
      <w:r w:rsidRPr="00345127">
        <w:rPr>
          <w:rFonts w:cs="Times New Roman"/>
        </w:rPr>
        <w:t>The coefficient of determination (R²) exceeded 0.96 in all cases, indicating strong linear relationships between these morphometric metrics and suggesting a predictable sandbar growth behavior. These high correlations also validated the integrity of spatial extraction and analytical consistency over time.</w:t>
      </w:r>
    </w:p>
    <w:p w14:paraId="7F40A6A1" w14:textId="77777777" w:rsidR="002F665E" w:rsidRPr="00345127" w:rsidRDefault="001B34EC" w:rsidP="006A3A56">
      <w:pPr>
        <w:pStyle w:val="Heading3"/>
        <w:jc w:val="both"/>
        <w:rPr>
          <w:rFonts w:cs="Times New Roman"/>
          <w:color w:val="auto"/>
          <w:sz w:val="24"/>
          <w:szCs w:val="24"/>
        </w:rPr>
      </w:pPr>
      <w:bookmarkStart w:id="12" w:name="spatial-autocorrelation-morans-i"/>
      <w:bookmarkEnd w:id="11"/>
      <w:r w:rsidRPr="00345127">
        <w:rPr>
          <w:rFonts w:cs="Times New Roman"/>
          <w:color w:val="auto"/>
          <w:sz w:val="24"/>
          <w:szCs w:val="24"/>
        </w:rPr>
        <w:t>3.7 Spatial Autocorrelation (Moran’s I)</w:t>
      </w:r>
    </w:p>
    <w:p w14:paraId="6E4567DF" w14:textId="77777777" w:rsidR="002F665E" w:rsidRPr="00345127" w:rsidRDefault="001B34EC" w:rsidP="006A3A56">
      <w:pPr>
        <w:pStyle w:val="FirstParagraph"/>
        <w:jc w:val="both"/>
        <w:rPr>
          <w:rFonts w:cs="Times New Roman"/>
        </w:rPr>
      </w:pPr>
      <w:r w:rsidRPr="00345127">
        <w:rPr>
          <w:rFonts w:cs="Times New Roman"/>
        </w:rPr>
        <w:t>To assess whether sandbar locations exhibited spatial clustering in relation to elevation, Moran’s I spatial autocorrelation was applied using the Global Moran’s I statistic:</w:t>
      </w:r>
    </w:p>
    <w:p w14:paraId="77AEB9BD" w14:textId="77777777" w:rsidR="002F665E" w:rsidRPr="00345127" w:rsidRDefault="001B34EC" w:rsidP="006A3A56">
      <w:pPr>
        <w:pStyle w:val="BodyText"/>
        <w:jc w:val="both"/>
        <w:rPr>
          <w:rFonts w:cs="Times New Roman"/>
        </w:rPr>
      </w:pPr>
      <m:oMathPara>
        <m:oMath>
          <m:r>
            <w:rPr>
              <w:rFonts w:ascii="Cambria Math" w:hAnsi="Cambria Math" w:cs="Times New Roman"/>
            </w:rPr>
            <m:t>I</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n</m:t>
              </m:r>
            </m:num>
            <m:den>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ij</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ij</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limUpp>
                    <m:limUppPr>
                      <m:ctrlPr>
                        <w:rPr>
                          <w:rFonts w:ascii="Cambria Math" w:hAnsi="Cambria Math" w:cs="Times New Roman"/>
                        </w:rPr>
                      </m:ctrlPr>
                    </m:limUppPr>
                    <m:e>
                      <m:r>
                        <w:rPr>
                          <w:rFonts w:ascii="Cambria Math" w:hAnsi="Cambria Math" w:cs="Times New Roman"/>
                        </w:rPr>
                        <m:t>x</m:t>
                      </m:r>
                    </m:e>
                    <m:lim>
                      <m:r>
                        <w:rPr>
                          <w:rFonts w:ascii="Cambria Math" w:hAnsi="Cambria Math" w:cs="Times New Roman"/>
                        </w:rPr>
                        <m:t>ˉ</m:t>
                      </m:r>
                    </m:lim>
                  </m:limUpp>
                </m:e>
              </m:d>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r>
                    <m:rPr>
                      <m:sty m:val="p"/>
                    </m:rPr>
                    <w:rPr>
                      <w:rFonts w:ascii="Cambria Math" w:hAnsi="Cambria Math" w:cs="Times New Roman"/>
                    </w:rPr>
                    <m:t>-</m:t>
                  </m:r>
                  <m:limUpp>
                    <m:limUppPr>
                      <m:ctrlPr>
                        <w:rPr>
                          <w:rFonts w:ascii="Cambria Math" w:hAnsi="Cambria Math" w:cs="Times New Roman"/>
                        </w:rPr>
                      </m:ctrlPr>
                    </m:limUppPr>
                    <m:e>
                      <m:r>
                        <w:rPr>
                          <w:rFonts w:ascii="Cambria Math" w:hAnsi="Cambria Math" w:cs="Times New Roman"/>
                        </w:rPr>
                        <m:t>x</m:t>
                      </m:r>
                    </m:e>
                    <m:lim>
                      <m:r>
                        <w:rPr>
                          <w:rFonts w:ascii="Cambria Math" w:hAnsi="Cambria Math" w:cs="Times New Roman"/>
                        </w:rPr>
                        <m:t>ˉ</m:t>
                      </m:r>
                    </m:lim>
                  </m:limUpp>
                </m:e>
              </m:d>
            </m:num>
            <m:den>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limUpp>
                        <m:limUppPr>
                          <m:ctrlPr>
                            <w:rPr>
                              <w:rFonts w:ascii="Cambria Math" w:hAnsi="Cambria Math" w:cs="Times New Roman"/>
                            </w:rPr>
                          </m:ctrlPr>
                        </m:limUppPr>
                        <m:e>
                          <m:r>
                            <w:rPr>
                              <w:rFonts w:ascii="Cambria Math" w:hAnsi="Cambria Math" w:cs="Times New Roman"/>
                            </w:rPr>
                            <m:t>x</m:t>
                          </m:r>
                        </m:e>
                        <m:lim>
                          <m:r>
                            <w:rPr>
                              <w:rFonts w:ascii="Cambria Math" w:hAnsi="Cambria Math" w:cs="Times New Roman"/>
                            </w:rPr>
                            <m:t>ˉ</m:t>
                          </m:r>
                        </m:lim>
                      </m:limUpp>
                    </m:e>
                  </m:d>
                </m:e>
                <m:sup>
                  <m:r>
                    <w:rPr>
                      <w:rFonts w:ascii="Cambria Math" w:hAnsi="Cambria Math" w:cs="Times New Roman"/>
                    </w:rPr>
                    <m:t>2</m:t>
                  </m:r>
                </m:sup>
              </m:sSup>
            </m:den>
          </m:f>
        </m:oMath>
      </m:oMathPara>
    </w:p>
    <w:p w14:paraId="05187EE0" w14:textId="77777777" w:rsidR="002F665E" w:rsidRPr="00345127" w:rsidRDefault="001B34EC" w:rsidP="006A3A56">
      <w:pPr>
        <w:pStyle w:val="BodyText"/>
        <w:jc w:val="both"/>
        <w:rPr>
          <w:rFonts w:cs="Times New Roman"/>
        </w:rPr>
      </w:pPr>
      <w:r w:rsidRPr="00345127">
        <w:rPr>
          <w:rFonts w:cs="Times New Roman"/>
        </w:rPr>
        <w:t>Where:</w:t>
      </w:r>
    </w:p>
    <w:p w14:paraId="17C80A8E" w14:textId="77777777" w:rsidR="002F665E" w:rsidRPr="00345127" w:rsidRDefault="00FE758D" w:rsidP="00B73ADC">
      <w:pPr>
        <w:numPr>
          <w:ilvl w:val="0"/>
          <w:numId w:val="4"/>
        </w:numPr>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ij</m:t>
            </m:r>
          </m:sub>
        </m:sSub>
      </m:oMath>
      <w:r w:rsidR="001B34EC" w:rsidRPr="00345127">
        <w:rPr>
          <w:rFonts w:ascii="Times New Roman" w:hAnsi="Times New Roman" w:cs="Times New Roman"/>
        </w:rPr>
        <w:t xml:space="preserve"> is the spatial weight between features </w:t>
      </w:r>
      <w:proofErr w:type="spellStart"/>
      <w:r w:rsidR="001B34EC" w:rsidRPr="00345127">
        <w:rPr>
          <w:rFonts w:ascii="Times New Roman" w:hAnsi="Times New Roman" w:cs="Times New Roman"/>
          <w:i/>
          <w:iCs/>
        </w:rPr>
        <w:t>i</w:t>
      </w:r>
      <w:proofErr w:type="spellEnd"/>
      <w:r w:rsidR="001B34EC" w:rsidRPr="00345127">
        <w:rPr>
          <w:rFonts w:ascii="Times New Roman" w:hAnsi="Times New Roman" w:cs="Times New Roman"/>
        </w:rPr>
        <w:t xml:space="preserve"> and </w:t>
      </w:r>
      <w:r w:rsidR="001B34EC" w:rsidRPr="00345127">
        <w:rPr>
          <w:rFonts w:ascii="Times New Roman" w:hAnsi="Times New Roman" w:cs="Times New Roman"/>
          <w:i/>
          <w:iCs/>
        </w:rPr>
        <w:t>j</w:t>
      </w:r>
      <w:r w:rsidR="001B34EC" w:rsidRPr="00345127">
        <w:rPr>
          <w:rFonts w:ascii="Times New Roman" w:hAnsi="Times New Roman" w:cs="Times New Roman"/>
        </w:rPr>
        <w:t>,</w:t>
      </w:r>
    </w:p>
    <w:p w14:paraId="70499F62" w14:textId="77777777" w:rsidR="002F665E" w:rsidRPr="00345127" w:rsidRDefault="001B34EC" w:rsidP="00B73ADC">
      <w:pPr>
        <w:numPr>
          <w:ilvl w:val="0"/>
          <w:numId w:val="4"/>
        </w:numPr>
        <w:jc w:val="both"/>
        <w:rPr>
          <w:rFonts w:ascii="Times New Roman" w:hAnsi="Times New Roman" w:cs="Times New Roman"/>
        </w:rPr>
      </w:pPr>
      <m:oMath>
        <m:r>
          <w:rPr>
            <w:rFonts w:ascii="Cambria Math" w:hAnsi="Cambria Math" w:cs="Times New Roman"/>
          </w:rPr>
          <m:t>x</m:t>
        </m:r>
      </m:oMath>
      <w:r w:rsidRPr="00345127">
        <w:rPr>
          <w:rFonts w:ascii="Times New Roman" w:hAnsi="Times New Roman" w:cs="Times New Roman"/>
        </w:rPr>
        <w:t xml:space="preserve"> is the attribute (elevation),</w:t>
      </w:r>
    </w:p>
    <w:p w14:paraId="53745C79" w14:textId="77777777" w:rsidR="002F665E" w:rsidRPr="00345127" w:rsidRDefault="00FE758D" w:rsidP="00B73ADC">
      <w:pPr>
        <w:numPr>
          <w:ilvl w:val="0"/>
          <w:numId w:val="4"/>
        </w:numPr>
        <w:jc w:val="both"/>
        <w:rPr>
          <w:rFonts w:ascii="Times New Roman" w:hAnsi="Times New Roman" w:cs="Times New Roman"/>
        </w:rPr>
      </w:pPr>
      <m:oMath>
        <m:limUpp>
          <m:limUppPr>
            <m:ctrlPr>
              <w:rPr>
                <w:rFonts w:ascii="Cambria Math" w:hAnsi="Cambria Math" w:cs="Times New Roman"/>
              </w:rPr>
            </m:ctrlPr>
          </m:limUppPr>
          <m:e>
            <m:r>
              <w:rPr>
                <w:rFonts w:ascii="Cambria Math" w:hAnsi="Cambria Math" w:cs="Times New Roman"/>
              </w:rPr>
              <m:t>x</m:t>
            </m:r>
          </m:e>
          <m:lim>
            <m:r>
              <w:rPr>
                <w:rFonts w:ascii="Cambria Math" w:hAnsi="Cambria Math" w:cs="Times New Roman"/>
              </w:rPr>
              <m:t>ˉ</m:t>
            </m:r>
          </m:lim>
        </m:limUpp>
      </m:oMath>
      <w:r w:rsidR="001B34EC" w:rsidRPr="00345127">
        <w:rPr>
          <w:rFonts w:ascii="Times New Roman" w:hAnsi="Times New Roman" w:cs="Times New Roman"/>
        </w:rPr>
        <w:t xml:space="preserve"> is the mean of attribute </w:t>
      </w:r>
      <w:r w:rsidR="001B34EC" w:rsidRPr="00345127">
        <w:rPr>
          <w:rFonts w:ascii="Times New Roman" w:hAnsi="Times New Roman" w:cs="Times New Roman"/>
          <w:i/>
          <w:iCs/>
        </w:rPr>
        <w:t>x</w:t>
      </w:r>
      <w:r w:rsidR="001B34EC" w:rsidRPr="00345127">
        <w:rPr>
          <w:rFonts w:ascii="Times New Roman" w:hAnsi="Times New Roman" w:cs="Times New Roman"/>
        </w:rPr>
        <w:t>,</w:t>
      </w:r>
    </w:p>
    <w:p w14:paraId="320C811F" w14:textId="77777777" w:rsidR="002F665E" w:rsidRPr="00345127" w:rsidRDefault="001B34EC" w:rsidP="00B73ADC">
      <w:pPr>
        <w:numPr>
          <w:ilvl w:val="0"/>
          <w:numId w:val="4"/>
        </w:numPr>
        <w:jc w:val="both"/>
        <w:rPr>
          <w:rFonts w:ascii="Times New Roman" w:hAnsi="Times New Roman" w:cs="Times New Roman"/>
        </w:rPr>
      </w:pPr>
      <w:r w:rsidRPr="00345127">
        <w:rPr>
          <w:rFonts w:ascii="Times New Roman" w:hAnsi="Times New Roman" w:cs="Times New Roman"/>
        </w:rPr>
        <w:t xml:space="preserve">and </w:t>
      </w:r>
      <w:r w:rsidRPr="00345127">
        <w:rPr>
          <w:rFonts w:ascii="Times New Roman" w:hAnsi="Times New Roman" w:cs="Times New Roman"/>
          <w:i/>
          <w:iCs/>
        </w:rPr>
        <w:t>n</w:t>
      </w:r>
      <w:r w:rsidRPr="00345127">
        <w:rPr>
          <w:rFonts w:ascii="Times New Roman" w:hAnsi="Times New Roman" w:cs="Times New Roman"/>
        </w:rPr>
        <w:t xml:space="preserve"> is the total number of features.</w:t>
      </w:r>
    </w:p>
    <w:p w14:paraId="24C26312" w14:textId="1A4E2BE2" w:rsidR="002F665E" w:rsidRPr="00345127" w:rsidRDefault="001B34EC" w:rsidP="006A3A56">
      <w:pPr>
        <w:pStyle w:val="FirstParagraph"/>
        <w:jc w:val="both"/>
        <w:rPr>
          <w:rFonts w:cs="Times New Roman"/>
        </w:rPr>
      </w:pPr>
      <w:r w:rsidRPr="00345127">
        <w:rPr>
          <w:rFonts w:cs="Times New Roman"/>
        </w:rPr>
        <w:t xml:space="preserve">The results yielded a Moran’s I index of </w:t>
      </w:r>
      <w:r w:rsidRPr="00345127">
        <w:rPr>
          <w:rFonts w:cs="Times New Roman"/>
          <w:bCs/>
        </w:rPr>
        <w:t>0.5147</w:t>
      </w:r>
      <w:r w:rsidRPr="00345127">
        <w:rPr>
          <w:rFonts w:cs="Times New Roman"/>
        </w:rPr>
        <w:t xml:space="preserve">, with a </w:t>
      </w:r>
      <w:r w:rsidRPr="00345127">
        <w:rPr>
          <w:rFonts w:cs="Times New Roman"/>
          <w:bCs/>
        </w:rPr>
        <w:t>z-score of 15.45</w:t>
      </w:r>
      <w:r w:rsidRPr="00345127">
        <w:rPr>
          <w:rFonts w:cs="Times New Roman"/>
        </w:rPr>
        <w:t xml:space="preserve"> and </w:t>
      </w:r>
      <w:r w:rsidRPr="00345127">
        <w:rPr>
          <w:rFonts w:cs="Times New Roman"/>
          <w:bCs/>
        </w:rPr>
        <w:t>p &lt; 0.001</w:t>
      </w:r>
      <w:r w:rsidRPr="00345127">
        <w:rPr>
          <w:rFonts w:cs="Times New Roman"/>
        </w:rPr>
        <w:t xml:space="preserve">, indicating statistically significant spatial clustering. </w:t>
      </w:r>
      <w:r w:rsidR="00E37009">
        <w:rPr>
          <w:rFonts w:cs="Times New Roman"/>
        </w:rPr>
        <w:t>The</w:t>
      </w:r>
      <w:r w:rsidRPr="00345127">
        <w:rPr>
          <w:rFonts w:cs="Times New Roman"/>
        </w:rPr>
        <w:t xml:space="preserve"> clusters, revealing that sandbars tend to form in relatively lower-elevation depressions within the riverbed, enhancing their sediment-trapping capability.</w:t>
      </w:r>
    </w:p>
    <w:p w14:paraId="505F7717" w14:textId="77777777" w:rsidR="002F665E" w:rsidRPr="00345127" w:rsidRDefault="001B34EC" w:rsidP="006A3A56">
      <w:pPr>
        <w:pStyle w:val="Heading3"/>
        <w:jc w:val="both"/>
        <w:rPr>
          <w:rFonts w:cs="Times New Roman"/>
          <w:color w:val="auto"/>
          <w:sz w:val="24"/>
          <w:szCs w:val="24"/>
        </w:rPr>
      </w:pPr>
      <w:bookmarkStart w:id="13" w:name="X857bed01ad86de1fda37877d0e5e9fadb63cfc4"/>
      <w:bookmarkEnd w:id="12"/>
      <w:r w:rsidRPr="00345127">
        <w:rPr>
          <w:rFonts w:cs="Times New Roman"/>
          <w:color w:val="auto"/>
          <w:sz w:val="24"/>
          <w:szCs w:val="24"/>
        </w:rPr>
        <w:t>3.8 Sediment Sampling and Grain Size Analysis</w:t>
      </w:r>
    </w:p>
    <w:p w14:paraId="7968871E" w14:textId="2AFD6E79" w:rsidR="002F665E" w:rsidRPr="00345127" w:rsidRDefault="001B34EC" w:rsidP="006A3A56">
      <w:pPr>
        <w:pStyle w:val="FirstParagraph"/>
        <w:jc w:val="both"/>
        <w:rPr>
          <w:rFonts w:cs="Times New Roman"/>
        </w:rPr>
      </w:pPr>
      <w:r w:rsidRPr="00345127">
        <w:rPr>
          <w:rFonts w:cs="Times New Roman"/>
        </w:rPr>
        <w:t xml:space="preserve">Field-based sediment samples were collected from each of the six sandbars using a hand auger at surface depths (0–10 cm). The samples were oven-dried at 105°C and sieved at half-phi intervals using a mechanical shaker. The cumulative grain size distributions were analyzed using the Folk and Ward </w:t>
      </w:r>
      <w:r w:rsidR="00F97A61" w:rsidRPr="00345127">
        <w:rPr>
          <w:rFonts w:cs="Times New Roman"/>
        </w:rPr>
        <w:t>[22]</w:t>
      </w:r>
      <w:r w:rsidRPr="00345127">
        <w:rPr>
          <w:rFonts w:cs="Times New Roman"/>
        </w:rPr>
        <w:t xml:space="preserve"> statistical method, computing the following parameters:</w:t>
      </w:r>
    </w:p>
    <w:p w14:paraId="3A147AF7" w14:textId="77777777" w:rsidR="002F665E" w:rsidRPr="00345127" w:rsidRDefault="001B34EC" w:rsidP="00B73ADC">
      <w:pPr>
        <w:numPr>
          <w:ilvl w:val="0"/>
          <w:numId w:val="5"/>
        </w:numPr>
        <w:jc w:val="both"/>
        <w:rPr>
          <w:rFonts w:ascii="Times New Roman" w:hAnsi="Times New Roman" w:cs="Times New Roman"/>
        </w:rPr>
      </w:pPr>
      <w:r w:rsidRPr="00345127">
        <w:rPr>
          <w:rFonts w:ascii="Times New Roman" w:hAnsi="Times New Roman" w:cs="Times New Roman"/>
          <w:bCs/>
        </w:rPr>
        <w:t>Mean grain size (</w:t>
      </w:r>
      <w:proofErr w:type="spellStart"/>
      <w:r w:rsidRPr="00345127">
        <w:rPr>
          <w:rFonts w:ascii="Times New Roman" w:hAnsi="Times New Roman" w:cs="Times New Roman"/>
          <w:bCs/>
        </w:rPr>
        <w:t>Mz</w:t>
      </w:r>
      <w:proofErr w:type="spellEnd"/>
      <w:r w:rsidRPr="00345127">
        <w:rPr>
          <w:rFonts w:ascii="Times New Roman" w:hAnsi="Times New Roman" w:cs="Times New Roman"/>
          <w:bCs/>
        </w:rPr>
        <w:t>)</w:t>
      </w:r>
      <w:r w:rsidRPr="00345127">
        <w:rPr>
          <w:rFonts w:ascii="Times New Roman" w:hAnsi="Times New Roman" w:cs="Times New Roman"/>
        </w:rPr>
        <w:t>: Indicates average grain diameter</w:t>
      </w:r>
    </w:p>
    <w:p w14:paraId="3EBE3351" w14:textId="77777777" w:rsidR="002F665E" w:rsidRPr="00345127" w:rsidRDefault="001B34EC" w:rsidP="00B73ADC">
      <w:pPr>
        <w:numPr>
          <w:ilvl w:val="0"/>
          <w:numId w:val="5"/>
        </w:numPr>
        <w:jc w:val="both"/>
        <w:rPr>
          <w:rFonts w:ascii="Times New Roman" w:hAnsi="Times New Roman" w:cs="Times New Roman"/>
        </w:rPr>
      </w:pPr>
      <w:r w:rsidRPr="00345127">
        <w:rPr>
          <w:rFonts w:ascii="Times New Roman" w:hAnsi="Times New Roman" w:cs="Times New Roman"/>
          <w:bCs/>
        </w:rPr>
        <w:t>Sorting (</w:t>
      </w:r>
      <w:proofErr w:type="spellStart"/>
      <w:r w:rsidRPr="00345127">
        <w:rPr>
          <w:rFonts w:ascii="Times New Roman" w:hAnsi="Times New Roman" w:cs="Times New Roman"/>
          <w:bCs/>
        </w:rPr>
        <w:t>σI</w:t>
      </w:r>
      <w:proofErr w:type="spellEnd"/>
      <w:r w:rsidRPr="00345127">
        <w:rPr>
          <w:rFonts w:ascii="Times New Roman" w:hAnsi="Times New Roman" w:cs="Times New Roman"/>
          <w:bCs/>
        </w:rPr>
        <w:t>)</w:t>
      </w:r>
      <w:r w:rsidRPr="00345127">
        <w:rPr>
          <w:rFonts w:ascii="Times New Roman" w:hAnsi="Times New Roman" w:cs="Times New Roman"/>
        </w:rPr>
        <w:t>: Degree of uniformity</w:t>
      </w:r>
    </w:p>
    <w:p w14:paraId="21C37F3F" w14:textId="77777777" w:rsidR="002F665E" w:rsidRPr="00345127" w:rsidRDefault="001B34EC" w:rsidP="00B73ADC">
      <w:pPr>
        <w:numPr>
          <w:ilvl w:val="0"/>
          <w:numId w:val="5"/>
        </w:numPr>
        <w:jc w:val="both"/>
        <w:rPr>
          <w:rFonts w:ascii="Times New Roman" w:hAnsi="Times New Roman" w:cs="Times New Roman"/>
        </w:rPr>
      </w:pPr>
      <w:r w:rsidRPr="00345127">
        <w:rPr>
          <w:rFonts w:ascii="Times New Roman" w:hAnsi="Times New Roman" w:cs="Times New Roman"/>
          <w:bCs/>
        </w:rPr>
        <w:t>Skewness (</w:t>
      </w:r>
      <w:proofErr w:type="spellStart"/>
      <w:r w:rsidRPr="00345127">
        <w:rPr>
          <w:rFonts w:ascii="Times New Roman" w:hAnsi="Times New Roman" w:cs="Times New Roman"/>
          <w:bCs/>
        </w:rPr>
        <w:t>SkI</w:t>
      </w:r>
      <w:proofErr w:type="spellEnd"/>
      <w:r w:rsidRPr="00345127">
        <w:rPr>
          <w:rFonts w:ascii="Times New Roman" w:hAnsi="Times New Roman" w:cs="Times New Roman"/>
          <w:bCs/>
        </w:rPr>
        <w:t>)</w:t>
      </w:r>
      <w:r w:rsidRPr="00345127">
        <w:rPr>
          <w:rFonts w:ascii="Times New Roman" w:hAnsi="Times New Roman" w:cs="Times New Roman"/>
        </w:rPr>
        <w:t>: Asymmetry of grain distribution</w:t>
      </w:r>
    </w:p>
    <w:p w14:paraId="63F55F0A" w14:textId="77777777" w:rsidR="002F665E" w:rsidRPr="00345127" w:rsidRDefault="001B34EC" w:rsidP="00B73ADC">
      <w:pPr>
        <w:numPr>
          <w:ilvl w:val="0"/>
          <w:numId w:val="5"/>
        </w:numPr>
        <w:jc w:val="both"/>
        <w:rPr>
          <w:rFonts w:ascii="Times New Roman" w:hAnsi="Times New Roman" w:cs="Times New Roman"/>
        </w:rPr>
      </w:pPr>
      <w:r w:rsidRPr="00345127">
        <w:rPr>
          <w:rFonts w:ascii="Times New Roman" w:hAnsi="Times New Roman" w:cs="Times New Roman"/>
          <w:bCs/>
        </w:rPr>
        <w:t>Kurtosis (KG)</w:t>
      </w:r>
      <w:r w:rsidRPr="00345127">
        <w:rPr>
          <w:rFonts w:ascii="Times New Roman" w:hAnsi="Times New Roman" w:cs="Times New Roman"/>
        </w:rPr>
        <w:t xml:space="preserve">: </w:t>
      </w:r>
      <w:proofErr w:type="spellStart"/>
      <w:r w:rsidRPr="00345127">
        <w:rPr>
          <w:rFonts w:ascii="Times New Roman" w:hAnsi="Times New Roman" w:cs="Times New Roman"/>
        </w:rPr>
        <w:t>Peakedness</w:t>
      </w:r>
      <w:proofErr w:type="spellEnd"/>
      <w:r w:rsidRPr="00345127">
        <w:rPr>
          <w:rFonts w:ascii="Times New Roman" w:hAnsi="Times New Roman" w:cs="Times New Roman"/>
        </w:rPr>
        <w:t xml:space="preserve"> of grain curve</w:t>
      </w:r>
    </w:p>
    <w:p w14:paraId="574BE397" w14:textId="52B6DE53" w:rsidR="002F665E" w:rsidRPr="00345127" w:rsidRDefault="001B34EC" w:rsidP="006A3A56">
      <w:pPr>
        <w:pStyle w:val="FirstParagraph"/>
        <w:jc w:val="both"/>
        <w:rPr>
          <w:rFonts w:cs="Times New Roman"/>
        </w:rPr>
      </w:pPr>
      <w:r w:rsidRPr="00345127">
        <w:rPr>
          <w:rFonts w:cs="Times New Roman"/>
        </w:rPr>
        <w:t xml:space="preserve">The grain size data show that most bars contained </w:t>
      </w:r>
      <w:r w:rsidRPr="00345127">
        <w:rPr>
          <w:rFonts w:cs="Times New Roman"/>
          <w:bCs/>
        </w:rPr>
        <w:t>medium to coarse sands</w:t>
      </w:r>
      <w:r w:rsidRPr="00345127">
        <w:rPr>
          <w:rFonts w:cs="Times New Roman"/>
        </w:rPr>
        <w:t xml:space="preserve">. For example, SB3 displayed </w:t>
      </w:r>
      <w:r w:rsidRPr="00345127">
        <w:rPr>
          <w:rFonts w:cs="Times New Roman"/>
          <w:bCs/>
        </w:rPr>
        <w:t>fine sands</w:t>
      </w:r>
      <w:r w:rsidRPr="00345127">
        <w:rPr>
          <w:rFonts w:cs="Times New Roman"/>
        </w:rPr>
        <w:t xml:space="preserve">, well-sorted, while SB5 and SB6 exhibited </w:t>
      </w:r>
      <w:r w:rsidRPr="00345127">
        <w:rPr>
          <w:rFonts w:cs="Times New Roman"/>
          <w:bCs/>
        </w:rPr>
        <w:t>coarse sand with very leptokurtic curves</w:t>
      </w:r>
      <w:r w:rsidRPr="00345127">
        <w:rPr>
          <w:rFonts w:cs="Times New Roman"/>
        </w:rPr>
        <w:t>, indicative of unidirectional energy conditions during deposition. These metrics offered insights into energy conditions and depositional environments.</w:t>
      </w:r>
    </w:p>
    <w:p w14:paraId="1566F359" w14:textId="77777777" w:rsidR="002F665E" w:rsidRPr="00345127" w:rsidRDefault="001B34EC" w:rsidP="006A3A56">
      <w:pPr>
        <w:pStyle w:val="Heading3"/>
        <w:jc w:val="both"/>
        <w:rPr>
          <w:rFonts w:cs="Times New Roman"/>
          <w:color w:val="auto"/>
          <w:sz w:val="24"/>
          <w:szCs w:val="24"/>
        </w:rPr>
      </w:pPr>
      <w:bookmarkStart w:id="14" w:name="validation-and-accuracy-assessment"/>
      <w:bookmarkEnd w:id="13"/>
      <w:r w:rsidRPr="00345127">
        <w:rPr>
          <w:rFonts w:cs="Times New Roman"/>
          <w:color w:val="auto"/>
          <w:sz w:val="24"/>
          <w:szCs w:val="24"/>
        </w:rPr>
        <w:lastRenderedPageBreak/>
        <w:t>3.9 Validation and Accuracy Assessment</w:t>
      </w:r>
    </w:p>
    <w:p w14:paraId="2992487E" w14:textId="77777777" w:rsidR="002F665E" w:rsidRPr="00345127" w:rsidRDefault="001B34EC" w:rsidP="006A3A56">
      <w:pPr>
        <w:pStyle w:val="FirstParagraph"/>
        <w:jc w:val="both"/>
        <w:rPr>
          <w:rFonts w:cs="Times New Roman"/>
        </w:rPr>
      </w:pPr>
      <w:r w:rsidRPr="00345127">
        <w:rPr>
          <w:rFonts w:cs="Times New Roman"/>
        </w:rPr>
        <w:t>To ensure the reliability of image-based sandbar detection, a visual validation was conducted by overlaying digitized polygons onto Google Earth historical imagery and field GPS waypoints. The positional accuracy achieved was within ±15 meters, which is acceptable for sandbar-scale geomorphological studies. Additionally, grain size laboratory results were cross-checked with in-situ textural observations and found to be consistent.</w:t>
      </w:r>
    </w:p>
    <w:p w14:paraId="6BF3D539" w14:textId="77777777" w:rsidR="002F665E" w:rsidRPr="00345127" w:rsidRDefault="002F665E" w:rsidP="006A3A56">
      <w:pPr>
        <w:jc w:val="both"/>
        <w:rPr>
          <w:rFonts w:ascii="Times New Roman" w:hAnsi="Times New Roman" w:cs="Times New Roman"/>
        </w:rPr>
      </w:pPr>
    </w:p>
    <w:p w14:paraId="0447E88B" w14:textId="77777777" w:rsidR="002F665E" w:rsidRPr="00345127" w:rsidRDefault="001B34EC" w:rsidP="006A3A56">
      <w:pPr>
        <w:pStyle w:val="Heading2"/>
        <w:jc w:val="both"/>
        <w:rPr>
          <w:rFonts w:ascii="Times New Roman" w:hAnsi="Times New Roman" w:cs="Times New Roman"/>
          <w:color w:val="auto"/>
          <w:sz w:val="24"/>
          <w:szCs w:val="24"/>
        </w:rPr>
      </w:pPr>
      <w:bookmarkStart w:id="15" w:name="results"/>
      <w:bookmarkEnd w:id="5"/>
      <w:bookmarkEnd w:id="14"/>
      <w:r w:rsidRPr="00345127">
        <w:rPr>
          <w:rFonts w:ascii="Times New Roman" w:hAnsi="Times New Roman" w:cs="Times New Roman"/>
          <w:b/>
          <w:bCs/>
          <w:color w:val="auto"/>
          <w:sz w:val="24"/>
          <w:szCs w:val="24"/>
        </w:rPr>
        <w:t>4. Results</w:t>
      </w:r>
    </w:p>
    <w:p w14:paraId="55B0C123" w14:textId="77777777" w:rsidR="002F665E" w:rsidRPr="00345127" w:rsidRDefault="001B34EC" w:rsidP="006A3A56">
      <w:pPr>
        <w:pStyle w:val="Heading3"/>
        <w:jc w:val="both"/>
        <w:rPr>
          <w:rFonts w:cs="Times New Roman"/>
          <w:color w:val="auto"/>
          <w:sz w:val="24"/>
          <w:szCs w:val="24"/>
        </w:rPr>
      </w:pPr>
      <w:bookmarkStart w:id="16" w:name="X5d0522d1a3b2dfe9179a831f6bd0b96f24c7827"/>
      <w:r w:rsidRPr="00345127">
        <w:rPr>
          <w:rFonts w:cs="Times New Roman"/>
          <w:color w:val="auto"/>
          <w:sz w:val="24"/>
          <w:szCs w:val="24"/>
        </w:rPr>
        <w:t>4.1 Spatiotemporal Changes in Sandbar Geometry (2003–2023)</w:t>
      </w:r>
    </w:p>
    <w:p w14:paraId="78EE2EBB" w14:textId="77777777" w:rsidR="002F665E" w:rsidRPr="00345127" w:rsidRDefault="001B34EC" w:rsidP="00D072BF">
      <w:pPr>
        <w:pStyle w:val="FirstParagraph"/>
        <w:jc w:val="both"/>
        <w:rPr>
          <w:rFonts w:cs="Times New Roman"/>
        </w:rPr>
      </w:pPr>
      <w:r w:rsidRPr="00345127">
        <w:rPr>
          <w:rFonts w:cs="Times New Roman"/>
        </w:rPr>
        <w:t xml:space="preserve">Over the 20-year observation period, significant changes were observed in the geometric dimensions and shape-based attributes of sandbars SB1–SB6 in the </w:t>
      </w:r>
      <w:proofErr w:type="spellStart"/>
      <w:r w:rsidRPr="00345127">
        <w:rPr>
          <w:rFonts w:cs="Times New Roman"/>
        </w:rPr>
        <w:t>Forcados</w:t>
      </w:r>
      <w:proofErr w:type="spellEnd"/>
      <w:r w:rsidRPr="00345127">
        <w:rPr>
          <w:rFonts w:cs="Times New Roman"/>
        </w:rPr>
        <w:t xml:space="preserve"> River within </w:t>
      </w:r>
      <w:proofErr w:type="spellStart"/>
      <w:r w:rsidRPr="00345127">
        <w:rPr>
          <w:rFonts w:cs="Times New Roman"/>
        </w:rPr>
        <w:t>Sagbama</w:t>
      </w:r>
      <w:proofErr w:type="spellEnd"/>
      <w:r w:rsidRPr="00345127">
        <w:rPr>
          <w:rFonts w:cs="Times New Roman"/>
        </w:rPr>
        <w:t xml:space="preserve"> LGA, Bayelsa State. Tables 1, 2, and 3 present comprehensive morphometric metrics for the years 2003, 2013, and 2023 respectively. </w:t>
      </w:r>
      <w:r w:rsidR="006A3A56" w:rsidRPr="00345127">
        <w:rPr>
          <w:rFonts w:cs="Times New Roman"/>
        </w:rPr>
        <w:t>These reveals</w:t>
      </w:r>
      <w:r w:rsidRPr="00345127">
        <w:rPr>
          <w:rFonts w:cs="Times New Roman"/>
        </w:rPr>
        <w:t xml:space="preserve"> both persistent and dynamic morphologic responses, likely driven by fluvial hydrodynamics, sediment flux variability, and anthropogenic alterations.</w:t>
      </w:r>
      <w:r w:rsidR="00D072BF" w:rsidRPr="00345127">
        <w:rPr>
          <w:rFonts w:cs="Times New Roman"/>
        </w:rPr>
        <w:t xml:space="preserve"> </w:t>
      </w:r>
      <w:r w:rsidRPr="00345127">
        <w:rPr>
          <w:rFonts w:cs="Times New Roman"/>
        </w:rPr>
        <w:t>In 2003 (Table 1), sandbars displayed an average length of 0.4168 km, with values ranging from 0.1123 km to 4.6751 km. The average area was 0.0154 km², while the width remained relatively narrow (mean of 0.0128 km). The aspect ratio and elongation ratio were high (mean AR = 24.53; ER = 4.87), indicating elongate features, many aligned parallel to the river’s primary flow direction. These sandbars typically formed mid-channel or adjacent to river bends.</w:t>
      </w:r>
    </w:p>
    <w:p w14:paraId="6483C606" w14:textId="77777777" w:rsidR="00D072BF" w:rsidRPr="00345127" w:rsidRDefault="00D072BF" w:rsidP="00D072BF">
      <w:pPr>
        <w:pStyle w:val="BodyText"/>
      </w:pPr>
    </w:p>
    <w:p w14:paraId="2E50CB64" w14:textId="77777777" w:rsidR="00D072BF" w:rsidRPr="00345127" w:rsidRDefault="00D072BF" w:rsidP="00D072BF">
      <w:pPr>
        <w:pStyle w:val="BodyText"/>
      </w:pPr>
    </w:p>
    <w:p w14:paraId="6C9794CA" w14:textId="77777777" w:rsidR="00D072BF" w:rsidRPr="00345127" w:rsidRDefault="00D072BF" w:rsidP="00D072BF">
      <w:pPr>
        <w:pStyle w:val="BodyText"/>
      </w:pPr>
    </w:p>
    <w:p w14:paraId="0E3404F1" w14:textId="77777777" w:rsidR="00D072BF" w:rsidRPr="00345127" w:rsidRDefault="00D072BF" w:rsidP="00D072BF">
      <w:pPr>
        <w:spacing w:before="100" w:beforeAutospacing="1" w:after="100" w:afterAutospacing="1"/>
        <w:ind w:left="-630"/>
        <w:rPr>
          <w:rFonts w:ascii="Times New Roman" w:eastAsia="Times New Roman" w:hAnsi="Times New Roman" w:cs="Times New Roman"/>
        </w:rPr>
      </w:pPr>
      <w:r w:rsidRPr="00345127">
        <w:rPr>
          <w:rFonts w:ascii="Times New Roman" w:eastAsia="Times New Roman" w:hAnsi="Times New Roman" w:cs="Times New Roman"/>
          <w:b/>
          <w:bCs/>
        </w:rPr>
        <w:t>Table 1</w:t>
      </w:r>
      <w:r w:rsidRPr="00345127">
        <w:rPr>
          <w:rFonts w:ascii="Times New Roman" w:eastAsia="Times New Roman" w:hAnsi="Times New Roman" w:cs="Times New Roman"/>
        </w:rPr>
        <w:t>: S</w:t>
      </w:r>
      <w:r w:rsidRPr="00345127">
        <w:rPr>
          <w:rFonts w:ascii="Times New Roman" w:hAnsi="Times New Roman" w:cs="Times New Roman"/>
        </w:rPr>
        <w:t xml:space="preserve">and Bar Geometry and Shape Metrics, </w:t>
      </w:r>
      <w:proofErr w:type="spellStart"/>
      <w:r w:rsidRPr="00345127">
        <w:rPr>
          <w:rFonts w:ascii="Times New Roman" w:hAnsi="Times New Roman" w:cs="Times New Roman"/>
        </w:rPr>
        <w:t>Forcados</w:t>
      </w:r>
      <w:proofErr w:type="spellEnd"/>
      <w:r w:rsidRPr="00345127">
        <w:rPr>
          <w:rFonts w:ascii="Times New Roman" w:hAnsi="Times New Roman" w:cs="Times New Roman"/>
        </w:rPr>
        <w:t xml:space="preserve"> River (2003), Bayelsa State, Nigeria</w:t>
      </w:r>
    </w:p>
    <w:tbl>
      <w:tblPr>
        <w:tblStyle w:val="PlainTable21"/>
        <w:tblW w:w="11286" w:type="dxa"/>
        <w:tblInd w:w="-702" w:type="dxa"/>
        <w:tblLayout w:type="fixed"/>
        <w:tblLook w:val="04A0" w:firstRow="1" w:lastRow="0" w:firstColumn="1" w:lastColumn="0" w:noHBand="0" w:noVBand="1"/>
      </w:tblPr>
      <w:tblGrid>
        <w:gridCol w:w="1140"/>
        <w:gridCol w:w="926"/>
        <w:gridCol w:w="1016"/>
        <w:gridCol w:w="924"/>
        <w:gridCol w:w="1109"/>
        <w:gridCol w:w="1200"/>
        <w:gridCol w:w="1201"/>
        <w:gridCol w:w="1167"/>
        <w:gridCol w:w="1386"/>
        <w:gridCol w:w="1217"/>
      </w:tblGrid>
      <w:tr w:rsidR="00D072BF" w:rsidRPr="00345127" w14:paraId="4A072606" w14:textId="77777777" w:rsidTr="00D072BF">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140" w:type="dxa"/>
            <w:tcBorders>
              <w:top w:val="single" w:sz="4" w:space="0" w:color="7F7F7F" w:themeColor="text1" w:themeTint="80"/>
              <w:bottom w:val="single" w:sz="4" w:space="0" w:color="auto"/>
            </w:tcBorders>
          </w:tcPr>
          <w:p w14:paraId="7CAE5941" w14:textId="77777777" w:rsidR="00D072BF" w:rsidRPr="00345127" w:rsidRDefault="00D072BF" w:rsidP="001B34EC">
            <w:pPr>
              <w:spacing w:line="360" w:lineRule="auto"/>
              <w:jc w:val="both"/>
              <w:rPr>
                <w:rFonts w:eastAsia="Times New Roman"/>
                <w:b w:val="0"/>
                <w:bCs w:val="0"/>
              </w:rPr>
            </w:pPr>
            <w:r w:rsidRPr="00345127">
              <w:rPr>
                <w:rFonts w:eastAsia="Times New Roman"/>
              </w:rPr>
              <w:t>Parameter</w:t>
            </w:r>
          </w:p>
        </w:tc>
        <w:tc>
          <w:tcPr>
            <w:tcW w:w="926" w:type="dxa"/>
            <w:tcBorders>
              <w:top w:val="single" w:sz="4" w:space="0" w:color="7F7F7F" w:themeColor="text1" w:themeTint="80"/>
              <w:bottom w:val="single" w:sz="4" w:space="0" w:color="auto"/>
            </w:tcBorders>
          </w:tcPr>
          <w:p w14:paraId="47A30C4C"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Length (L) km</w:t>
            </w:r>
          </w:p>
        </w:tc>
        <w:tc>
          <w:tcPr>
            <w:tcW w:w="1016" w:type="dxa"/>
            <w:tcBorders>
              <w:top w:val="single" w:sz="4" w:space="0" w:color="7F7F7F" w:themeColor="text1" w:themeTint="80"/>
              <w:bottom w:val="single" w:sz="4" w:space="0" w:color="auto"/>
            </w:tcBorders>
          </w:tcPr>
          <w:p w14:paraId="551B98D9"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Area (A)</w:t>
            </w:r>
          </w:p>
          <w:p w14:paraId="1EC3A37C"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 xml:space="preserve"> km</w:t>
            </w:r>
            <w:r w:rsidRPr="00345127">
              <w:rPr>
                <w:rFonts w:eastAsia="Times New Roman"/>
                <w:vertAlign w:val="superscript"/>
              </w:rPr>
              <w:t>2</w:t>
            </w:r>
          </w:p>
        </w:tc>
        <w:tc>
          <w:tcPr>
            <w:tcW w:w="924" w:type="dxa"/>
            <w:tcBorders>
              <w:top w:val="single" w:sz="4" w:space="0" w:color="7F7F7F" w:themeColor="text1" w:themeTint="80"/>
              <w:bottom w:val="single" w:sz="4" w:space="0" w:color="auto"/>
            </w:tcBorders>
          </w:tcPr>
          <w:p w14:paraId="5263A00A"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Width (W) km</w:t>
            </w:r>
          </w:p>
        </w:tc>
        <w:tc>
          <w:tcPr>
            <w:tcW w:w="1109" w:type="dxa"/>
            <w:tcBorders>
              <w:top w:val="single" w:sz="4" w:space="0" w:color="7F7F7F" w:themeColor="text1" w:themeTint="80"/>
              <w:bottom w:val="single" w:sz="4" w:space="0" w:color="auto"/>
            </w:tcBorders>
          </w:tcPr>
          <w:p w14:paraId="52FF9139"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Perimeter (P) km</w:t>
            </w:r>
          </w:p>
        </w:tc>
        <w:tc>
          <w:tcPr>
            <w:tcW w:w="1200" w:type="dxa"/>
            <w:tcBorders>
              <w:top w:val="single" w:sz="4" w:space="0" w:color="7F7F7F" w:themeColor="text1" w:themeTint="80"/>
              <w:bottom w:val="single" w:sz="4" w:space="0" w:color="auto"/>
            </w:tcBorders>
          </w:tcPr>
          <w:p w14:paraId="31731FA2"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Aspect Ratio (AR)</w:t>
            </w:r>
          </w:p>
        </w:tc>
        <w:tc>
          <w:tcPr>
            <w:tcW w:w="1201" w:type="dxa"/>
            <w:tcBorders>
              <w:top w:val="single" w:sz="4" w:space="0" w:color="7F7F7F" w:themeColor="text1" w:themeTint="80"/>
              <w:bottom w:val="single" w:sz="4" w:space="0" w:color="auto"/>
            </w:tcBorders>
          </w:tcPr>
          <w:p w14:paraId="28916138"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Elongation Ratio (ER)</w:t>
            </w:r>
          </w:p>
        </w:tc>
        <w:tc>
          <w:tcPr>
            <w:tcW w:w="1167" w:type="dxa"/>
            <w:tcBorders>
              <w:top w:val="single" w:sz="4" w:space="0" w:color="7F7F7F" w:themeColor="text1" w:themeTint="80"/>
              <w:bottom w:val="single" w:sz="4" w:space="0" w:color="auto"/>
            </w:tcBorders>
          </w:tcPr>
          <w:p w14:paraId="6C4B733D"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Circularity (C)</w:t>
            </w:r>
          </w:p>
        </w:tc>
        <w:tc>
          <w:tcPr>
            <w:tcW w:w="1386" w:type="dxa"/>
            <w:tcBorders>
              <w:top w:val="single" w:sz="4" w:space="0" w:color="7F7F7F" w:themeColor="text1" w:themeTint="80"/>
              <w:bottom w:val="single" w:sz="4" w:space="0" w:color="auto"/>
            </w:tcBorders>
          </w:tcPr>
          <w:p w14:paraId="2590D975"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Compactness (Com)</w:t>
            </w:r>
          </w:p>
        </w:tc>
        <w:tc>
          <w:tcPr>
            <w:tcW w:w="1217" w:type="dxa"/>
            <w:tcBorders>
              <w:top w:val="single" w:sz="4" w:space="0" w:color="7F7F7F" w:themeColor="text1" w:themeTint="80"/>
              <w:bottom w:val="single" w:sz="4" w:space="0" w:color="auto"/>
            </w:tcBorders>
          </w:tcPr>
          <w:p w14:paraId="40F31F5E"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Form Factor (FF)</w:t>
            </w:r>
          </w:p>
        </w:tc>
      </w:tr>
      <w:tr w:rsidR="00D072BF" w:rsidRPr="00345127" w14:paraId="484FD4E6" w14:textId="77777777" w:rsidTr="00D072BF">
        <w:trPr>
          <w:trHeight w:val="207"/>
        </w:trPr>
        <w:tc>
          <w:tcPr>
            <w:cnfStyle w:val="001000000000" w:firstRow="0" w:lastRow="0" w:firstColumn="1" w:lastColumn="0" w:oddVBand="0" w:evenVBand="0" w:oddHBand="0" w:evenHBand="0" w:firstRowFirstColumn="0" w:firstRowLastColumn="0" w:lastRowFirstColumn="0" w:lastRowLastColumn="0"/>
            <w:tcW w:w="1140" w:type="dxa"/>
            <w:tcBorders>
              <w:top w:val="single" w:sz="4" w:space="0" w:color="auto"/>
              <w:bottom w:val="nil"/>
            </w:tcBorders>
          </w:tcPr>
          <w:p w14:paraId="0F4A9BF5" w14:textId="77777777" w:rsidR="00D072BF" w:rsidRPr="00345127" w:rsidRDefault="00D072BF" w:rsidP="001B34EC">
            <w:pPr>
              <w:spacing w:line="480" w:lineRule="auto"/>
              <w:jc w:val="both"/>
              <w:rPr>
                <w:rFonts w:eastAsia="Times New Roman"/>
                <w:b w:val="0"/>
                <w:bCs w:val="0"/>
              </w:rPr>
            </w:pPr>
            <w:r w:rsidRPr="00345127">
              <w:rPr>
                <w:rFonts w:eastAsia="Times New Roman"/>
              </w:rPr>
              <w:t>Mini</w:t>
            </w:r>
          </w:p>
        </w:tc>
        <w:tc>
          <w:tcPr>
            <w:tcW w:w="926" w:type="dxa"/>
            <w:tcBorders>
              <w:top w:val="single" w:sz="4" w:space="0" w:color="auto"/>
              <w:bottom w:val="nil"/>
            </w:tcBorders>
          </w:tcPr>
          <w:p w14:paraId="3C4DCF6F"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0.0377</w:t>
            </w:r>
          </w:p>
        </w:tc>
        <w:tc>
          <w:tcPr>
            <w:tcW w:w="1016" w:type="dxa"/>
            <w:tcBorders>
              <w:top w:val="single" w:sz="4" w:space="0" w:color="auto"/>
              <w:bottom w:val="nil"/>
            </w:tcBorders>
          </w:tcPr>
          <w:p w14:paraId="101BAF77"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0.0001</w:t>
            </w:r>
          </w:p>
        </w:tc>
        <w:tc>
          <w:tcPr>
            <w:tcW w:w="924" w:type="dxa"/>
            <w:tcBorders>
              <w:top w:val="single" w:sz="4" w:space="0" w:color="auto"/>
              <w:bottom w:val="nil"/>
            </w:tcBorders>
          </w:tcPr>
          <w:p w14:paraId="11272F6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0.0018</w:t>
            </w:r>
          </w:p>
        </w:tc>
        <w:tc>
          <w:tcPr>
            <w:tcW w:w="1109" w:type="dxa"/>
            <w:tcBorders>
              <w:top w:val="single" w:sz="4" w:space="0" w:color="auto"/>
              <w:bottom w:val="nil"/>
            </w:tcBorders>
          </w:tcPr>
          <w:p w14:paraId="2752BE6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0.0791</w:t>
            </w:r>
          </w:p>
        </w:tc>
        <w:tc>
          <w:tcPr>
            <w:tcW w:w="1200" w:type="dxa"/>
            <w:tcBorders>
              <w:top w:val="single" w:sz="4" w:space="0" w:color="auto"/>
              <w:bottom w:val="nil"/>
            </w:tcBorders>
          </w:tcPr>
          <w:p w14:paraId="2C5FB83C"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16.1971</w:t>
            </w:r>
          </w:p>
        </w:tc>
        <w:tc>
          <w:tcPr>
            <w:tcW w:w="1201" w:type="dxa"/>
            <w:tcBorders>
              <w:top w:val="single" w:sz="4" w:space="0" w:color="auto"/>
              <w:bottom w:val="nil"/>
            </w:tcBorders>
          </w:tcPr>
          <w:p w14:paraId="6F2B9376"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4.0246</w:t>
            </w:r>
          </w:p>
        </w:tc>
        <w:tc>
          <w:tcPr>
            <w:tcW w:w="1167" w:type="dxa"/>
            <w:tcBorders>
              <w:top w:val="single" w:sz="4" w:space="0" w:color="auto"/>
              <w:bottom w:val="nil"/>
            </w:tcBorders>
          </w:tcPr>
          <w:p w14:paraId="75C50283"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0.0517</w:t>
            </w:r>
          </w:p>
        </w:tc>
        <w:tc>
          <w:tcPr>
            <w:tcW w:w="1386" w:type="dxa"/>
            <w:tcBorders>
              <w:top w:val="single" w:sz="4" w:space="0" w:color="auto"/>
              <w:bottom w:val="nil"/>
            </w:tcBorders>
          </w:tcPr>
          <w:p w14:paraId="21FE43F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0.0112</w:t>
            </w:r>
          </w:p>
        </w:tc>
        <w:tc>
          <w:tcPr>
            <w:tcW w:w="1217" w:type="dxa"/>
            <w:tcBorders>
              <w:top w:val="single" w:sz="4" w:space="0" w:color="auto"/>
              <w:bottom w:val="nil"/>
            </w:tcBorders>
          </w:tcPr>
          <w:p w14:paraId="3282359F"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0.0170</w:t>
            </w:r>
          </w:p>
        </w:tc>
      </w:tr>
      <w:tr w:rsidR="00D072BF" w:rsidRPr="00345127" w14:paraId="2F2B213E" w14:textId="77777777" w:rsidTr="00D072BF">
        <w:trPr>
          <w:trHeight w:val="207"/>
        </w:trPr>
        <w:tc>
          <w:tcPr>
            <w:cnfStyle w:val="001000000000" w:firstRow="0" w:lastRow="0" w:firstColumn="1" w:lastColumn="0" w:oddVBand="0" w:evenVBand="0" w:oddHBand="0" w:evenHBand="0" w:firstRowFirstColumn="0" w:firstRowLastColumn="0" w:lastRowFirstColumn="0" w:lastRowLastColumn="0"/>
            <w:tcW w:w="1140" w:type="dxa"/>
            <w:tcBorders>
              <w:top w:val="nil"/>
              <w:bottom w:val="nil"/>
            </w:tcBorders>
          </w:tcPr>
          <w:p w14:paraId="39A767FA" w14:textId="77777777" w:rsidR="00D072BF" w:rsidRPr="00345127" w:rsidRDefault="00D072BF" w:rsidP="001B34EC">
            <w:pPr>
              <w:spacing w:line="480" w:lineRule="auto"/>
              <w:jc w:val="both"/>
              <w:rPr>
                <w:rFonts w:eastAsia="Times New Roman"/>
                <w:b w:val="0"/>
                <w:bCs w:val="0"/>
              </w:rPr>
            </w:pPr>
            <w:r w:rsidRPr="00345127">
              <w:rPr>
                <w:rFonts w:eastAsia="Times New Roman"/>
              </w:rPr>
              <w:t>Maxi</w:t>
            </w:r>
          </w:p>
        </w:tc>
        <w:tc>
          <w:tcPr>
            <w:tcW w:w="926" w:type="dxa"/>
            <w:tcBorders>
              <w:top w:val="nil"/>
              <w:bottom w:val="nil"/>
            </w:tcBorders>
          </w:tcPr>
          <w:p w14:paraId="664CB54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3.4683</w:t>
            </w:r>
          </w:p>
        </w:tc>
        <w:tc>
          <w:tcPr>
            <w:tcW w:w="1016" w:type="dxa"/>
            <w:tcBorders>
              <w:top w:val="nil"/>
              <w:bottom w:val="nil"/>
            </w:tcBorders>
          </w:tcPr>
          <w:p w14:paraId="27D3BF10"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0.2284</w:t>
            </w:r>
          </w:p>
        </w:tc>
        <w:tc>
          <w:tcPr>
            <w:tcW w:w="924" w:type="dxa"/>
            <w:tcBorders>
              <w:top w:val="nil"/>
              <w:bottom w:val="nil"/>
            </w:tcBorders>
          </w:tcPr>
          <w:p w14:paraId="015580DD"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0.0717</w:t>
            </w:r>
          </w:p>
        </w:tc>
        <w:tc>
          <w:tcPr>
            <w:tcW w:w="1109" w:type="dxa"/>
            <w:tcBorders>
              <w:top w:val="nil"/>
              <w:bottom w:val="nil"/>
            </w:tcBorders>
          </w:tcPr>
          <w:p w14:paraId="483D4CA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7.0683</w:t>
            </w:r>
          </w:p>
        </w:tc>
        <w:tc>
          <w:tcPr>
            <w:tcW w:w="1200" w:type="dxa"/>
            <w:tcBorders>
              <w:top w:val="nil"/>
              <w:bottom w:val="nil"/>
            </w:tcBorders>
          </w:tcPr>
          <w:p w14:paraId="72B3004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58.8113</w:t>
            </w:r>
          </w:p>
        </w:tc>
        <w:tc>
          <w:tcPr>
            <w:tcW w:w="1201" w:type="dxa"/>
            <w:tcBorders>
              <w:top w:val="nil"/>
              <w:bottom w:val="nil"/>
            </w:tcBorders>
          </w:tcPr>
          <w:p w14:paraId="581FA0E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7.6689</w:t>
            </w:r>
          </w:p>
        </w:tc>
        <w:tc>
          <w:tcPr>
            <w:tcW w:w="1167" w:type="dxa"/>
            <w:tcBorders>
              <w:top w:val="nil"/>
              <w:bottom w:val="nil"/>
            </w:tcBorders>
          </w:tcPr>
          <w:p w14:paraId="506BAAD5"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0.1721</w:t>
            </w:r>
          </w:p>
        </w:tc>
        <w:tc>
          <w:tcPr>
            <w:tcW w:w="1386" w:type="dxa"/>
            <w:tcBorders>
              <w:top w:val="nil"/>
              <w:bottom w:val="nil"/>
            </w:tcBorders>
          </w:tcPr>
          <w:p w14:paraId="4D859814"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0.9968</w:t>
            </w:r>
          </w:p>
        </w:tc>
        <w:tc>
          <w:tcPr>
            <w:tcW w:w="1217" w:type="dxa"/>
            <w:tcBorders>
              <w:top w:val="nil"/>
              <w:bottom w:val="nil"/>
            </w:tcBorders>
          </w:tcPr>
          <w:p w14:paraId="192803EC"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0.0617</w:t>
            </w:r>
          </w:p>
        </w:tc>
      </w:tr>
      <w:tr w:rsidR="00D072BF" w:rsidRPr="00345127" w14:paraId="0F3E7AA7" w14:textId="77777777" w:rsidTr="00D072BF">
        <w:trPr>
          <w:trHeight w:val="207"/>
        </w:trPr>
        <w:tc>
          <w:tcPr>
            <w:cnfStyle w:val="001000000000" w:firstRow="0" w:lastRow="0" w:firstColumn="1" w:lastColumn="0" w:oddVBand="0" w:evenVBand="0" w:oddHBand="0" w:evenHBand="0" w:firstRowFirstColumn="0" w:firstRowLastColumn="0" w:lastRowFirstColumn="0" w:lastRowLastColumn="0"/>
            <w:tcW w:w="1140" w:type="dxa"/>
            <w:tcBorders>
              <w:top w:val="nil"/>
              <w:bottom w:val="nil"/>
            </w:tcBorders>
          </w:tcPr>
          <w:p w14:paraId="24A71D51" w14:textId="77777777" w:rsidR="00D072BF" w:rsidRPr="00345127" w:rsidRDefault="00D072BF" w:rsidP="001B34EC">
            <w:pPr>
              <w:spacing w:line="480" w:lineRule="auto"/>
              <w:jc w:val="both"/>
              <w:rPr>
                <w:rFonts w:eastAsia="Times New Roman"/>
                <w:b w:val="0"/>
                <w:bCs w:val="0"/>
              </w:rPr>
            </w:pPr>
            <w:r w:rsidRPr="00345127">
              <w:rPr>
                <w:rFonts w:eastAsia="Times New Roman"/>
              </w:rPr>
              <w:t>Mean</w:t>
            </w:r>
          </w:p>
        </w:tc>
        <w:tc>
          <w:tcPr>
            <w:tcW w:w="926" w:type="dxa"/>
            <w:tcBorders>
              <w:top w:val="nil"/>
              <w:bottom w:val="nil"/>
            </w:tcBorders>
          </w:tcPr>
          <w:p w14:paraId="3A1C857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0.6961</w:t>
            </w:r>
          </w:p>
        </w:tc>
        <w:tc>
          <w:tcPr>
            <w:tcW w:w="1016" w:type="dxa"/>
            <w:tcBorders>
              <w:top w:val="nil"/>
              <w:bottom w:val="nil"/>
            </w:tcBorders>
          </w:tcPr>
          <w:p w14:paraId="733811CB"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0.0297</w:t>
            </w:r>
          </w:p>
        </w:tc>
        <w:tc>
          <w:tcPr>
            <w:tcW w:w="924" w:type="dxa"/>
            <w:tcBorders>
              <w:top w:val="nil"/>
              <w:bottom w:val="nil"/>
            </w:tcBorders>
          </w:tcPr>
          <w:p w14:paraId="490F9F7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0.0229</w:t>
            </w:r>
          </w:p>
        </w:tc>
        <w:tc>
          <w:tcPr>
            <w:tcW w:w="1109" w:type="dxa"/>
            <w:tcBorders>
              <w:top w:val="nil"/>
              <w:bottom w:val="nil"/>
            </w:tcBorders>
          </w:tcPr>
          <w:p w14:paraId="776588B2"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1.4379</w:t>
            </w:r>
          </w:p>
        </w:tc>
        <w:tc>
          <w:tcPr>
            <w:tcW w:w="1200" w:type="dxa"/>
            <w:tcBorders>
              <w:top w:val="nil"/>
              <w:bottom w:val="nil"/>
            </w:tcBorders>
          </w:tcPr>
          <w:p w14:paraId="0D3A072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27.2020</w:t>
            </w:r>
          </w:p>
        </w:tc>
        <w:tc>
          <w:tcPr>
            <w:tcW w:w="1201" w:type="dxa"/>
            <w:tcBorders>
              <w:top w:val="nil"/>
              <w:bottom w:val="nil"/>
            </w:tcBorders>
          </w:tcPr>
          <w:p w14:paraId="063151F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5.1133</w:t>
            </w:r>
          </w:p>
        </w:tc>
        <w:tc>
          <w:tcPr>
            <w:tcW w:w="1167" w:type="dxa"/>
            <w:tcBorders>
              <w:top w:val="nil"/>
              <w:bottom w:val="nil"/>
            </w:tcBorders>
          </w:tcPr>
          <w:p w14:paraId="2D232330"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0.1212</w:t>
            </w:r>
          </w:p>
        </w:tc>
        <w:tc>
          <w:tcPr>
            <w:tcW w:w="1386" w:type="dxa"/>
            <w:tcBorders>
              <w:top w:val="nil"/>
              <w:bottom w:val="nil"/>
            </w:tcBorders>
          </w:tcPr>
          <w:p w14:paraId="3809BED5"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0.2028</w:t>
            </w:r>
          </w:p>
        </w:tc>
        <w:tc>
          <w:tcPr>
            <w:tcW w:w="1217" w:type="dxa"/>
            <w:tcBorders>
              <w:top w:val="nil"/>
              <w:bottom w:val="nil"/>
            </w:tcBorders>
          </w:tcPr>
          <w:p w14:paraId="68EAB569"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0.0422</w:t>
            </w:r>
          </w:p>
        </w:tc>
      </w:tr>
      <w:tr w:rsidR="00D072BF" w:rsidRPr="00345127" w14:paraId="5E77B57F" w14:textId="77777777" w:rsidTr="00D072BF">
        <w:trPr>
          <w:trHeight w:val="207"/>
        </w:trPr>
        <w:tc>
          <w:tcPr>
            <w:cnfStyle w:val="001000000000" w:firstRow="0" w:lastRow="0" w:firstColumn="1" w:lastColumn="0" w:oddVBand="0" w:evenVBand="0" w:oddHBand="0" w:evenHBand="0" w:firstRowFirstColumn="0" w:firstRowLastColumn="0" w:lastRowFirstColumn="0" w:lastRowLastColumn="0"/>
            <w:tcW w:w="1140" w:type="dxa"/>
            <w:tcBorders>
              <w:top w:val="nil"/>
            </w:tcBorders>
          </w:tcPr>
          <w:p w14:paraId="6AF415A8" w14:textId="77777777" w:rsidR="00D072BF" w:rsidRPr="00345127" w:rsidRDefault="00D072BF" w:rsidP="001B34EC">
            <w:pPr>
              <w:spacing w:line="480" w:lineRule="auto"/>
              <w:jc w:val="both"/>
              <w:rPr>
                <w:rFonts w:eastAsia="Times New Roman"/>
                <w:b w:val="0"/>
                <w:bCs w:val="0"/>
              </w:rPr>
            </w:pPr>
            <w:proofErr w:type="spellStart"/>
            <w:r w:rsidRPr="00345127">
              <w:rPr>
                <w:rFonts w:eastAsia="Times New Roman"/>
              </w:rPr>
              <w:t>StDev</w:t>
            </w:r>
            <w:proofErr w:type="spellEnd"/>
          </w:p>
        </w:tc>
        <w:tc>
          <w:tcPr>
            <w:tcW w:w="926" w:type="dxa"/>
            <w:tcBorders>
              <w:top w:val="nil"/>
            </w:tcBorders>
          </w:tcPr>
          <w:p w14:paraId="30EFC8B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0.8327</w:t>
            </w:r>
          </w:p>
        </w:tc>
        <w:tc>
          <w:tcPr>
            <w:tcW w:w="1016" w:type="dxa"/>
            <w:tcBorders>
              <w:top w:val="nil"/>
            </w:tcBorders>
          </w:tcPr>
          <w:p w14:paraId="79F2EF1C"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0.0515</w:t>
            </w:r>
          </w:p>
        </w:tc>
        <w:tc>
          <w:tcPr>
            <w:tcW w:w="924" w:type="dxa"/>
            <w:tcBorders>
              <w:top w:val="nil"/>
            </w:tcBorders>
          </w:tcPr>
          <w:p w14:paraId="77CC09F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0.0212</w:t>
            </w:r>
          </w:p>
        </w:tc>
        <w:tc>
          <w:tcPr>
            <w:tcW w:w="1109" w:type="dxa"/>
            <w:tcBorders>
              <w:top w:val="nil"/>
            </w:tcBorders>
          </w:tcPr>
          <w:p w14:paraId="69A65DA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1.7002</w:t>
            </w:r>
          </w:p>
        </w:tc>
        <w:tc>
          <w:tcPr>
            <w:tcW w:w="1200" w:type="dxa"/>
            <w:tcBorders>
              <w:top w:val="nil"/>
            </w:tcBorders>
          </w:tcPr>
          <w:p w14:paraId="2E63E0A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11.9413</w:t>
            </w:r>
          </w:p>
        </w:tc>
        <w:tc>
          <w:tcPr>
            <w:tcW w:w="1201" w:type="dxa"/>
            <w:tcBorders>
              <w:top w:val="nil"/>
            </w:tcBorders>
          </w:tcPr>
          <w:p w14:paraId="48AE52B7"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1.0490</w:t>
            </w:r>
          </w:p>
        </w:tc>
        <w:tc>
          <w:tcPr>
            <w:tcW w:w="1167" w:type="dxa"/>
            <w:tcBorders>
              <w:top w:val="nil"/>
            </w:tcBorders>
          </w:tcPr>
          <w:p w14:paraId="62A80D7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0.0366</w:t>
            </w:r>
          </w:p>
        </w:tc>
        <w:tc>
          <w:tcPr>
            <w:tcW w:w="1386" w:type="dxa"/>
            <w:tcBorders>
              <w:top w:val="nil"/>
            </w:tcBorders>
          </w:tcPr>
          <w:p w14:paraId="6419B060"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0.2398</w:t>
            </w:r>
          </w:p>
        </w:tc>
        <w:tc>
          <w:tcPr>
            <w:tcW w:w="1217" w:type="dxa"/>
            <w:tcBorders>
              <w:top w:val="nil"/>
            </w:tcBorders>
          </w:tcPr>
          <w:p w14:paraId="48902F69"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0.0136</w:t>
            </w:r>
          </w:p>
        </w:tc>
      </w:tr>
    </w:tbl>
    <w:p w14:paraId="317AA79F" w14:textId="77777777" w:rsidR="00D072BF" w:rsidRPr="00345127" w:rsidRDefault="00D072BF" w:rsidP="006A3A56">
      <w:pPr>
        <w:pStyle w:val="BodyText"/>
        <w:jc w:val="both"/>
        <w:rPr>
          <w:rFonts w:cs="Times New Roman"/>
        </w:rPr>
      </w:pPr>
    </w:p>
    <w:p w14:paraId="497D5A79" w14:textId="77777777" w:rsidR="002F665E" w:rsidRPr="00345127" w:rsidRDefault="001B34EC" w:rsidP="006A3A56">
      <w:pPr>
        <w:pStyle w:val="BodyText"/>
        <w:jc w:val="both"/>
        <w:rPr>
          <w:rFonts w:cs="Times New Roman"/>
        </w:rPr>
      </w:pPr>
      <w:r w:rsidRPr="00345127">
        <w:rPr>
          <w:rFonts w:cs="Times New Roman"/>
        </w:rPr>
        <w:t>By 2013 (Table 2), notable shifts had occurred. The average length slightly declined to 0.3873 km, and the range narrowed (max = 3.9229 km). However, average area marginally increased to 0.0168 km², and maximum area nearly doubled to 0.4356 km². These metrics suggest sandbar fragmentation and lateral expansion. Morphometric indices such as circularity (mean C = 0.1212) and compactness (mean Com = 0.1129) increased slightly, implying more equant and stabilized bar shapes.</w:t>
      </w:r>
    </w:p>
    <w:p w14:paraId="6904BA62" w14:textId="77777777" w:rsidR="00D072BF" w:rsidRPr="00345127" w:rsidRDefault="00D072BF" w:rsidP="00D072BF">
      <w:pPr>
        <w:spacing w:before="100" w:beforeAutospacing="1" w:after="100" w:afterAutospacing="1"/>
        <w:ind w:left="-630"/>
        <w:rPr>
          <w:rFonts w:ascii="Times New Roman" w:eastAsia="Times New Roman" w:hAnsi="Times New Roman" w:cs="Times New Roman"/>
        </w:rPr>
      </w:pPr>
      <w:r w:rsidRPr="00345127">
        <w:rPr>
          <w:rFonts w:ascii="Times New Roman" w:eastAsia="Times New Roman" w:hAnsi="Times New Roman" w:cs="Times New Roman"/>
          <w:b/>
          <w:bCs/>
        </w:rPr>
        <w:lastRenderedPageBreak/>
        <w:t>Table 2</w:t>
      </w:r>
      <w:r w:rsidRPr="00345127">
        <w:rPr>
          <w:rFonts w:ascii="Times New Roman" w:eastAsia="Times New Roman" w:hAnsi="Times New Roman" w:cs="Times New Roman"/>
        </w:rPr>
        <w:t>: S</w:t>
      </w:r>
      <w:r w:rsidRPr="00345127">
        <w:rPr>
          <w:rFonts w:ascii="Times New Roman" w:hAnsi="Times New Roman" w:cs="Times New Roman"/>
        </w:rPr>
        <w:t xml:space="preserve">and Bar Geometry and Shape Metrics, </w:t>
      </w:r>
      <w:proofErr w:type="spellStart"/>
      <w:r w:rsidRPr="00345127">
        <w:rPr>
          <w:rFonts w:ascii="Times New Roman" w:hAnsi="Times New Roman" w:cs="Times New Roman"/>
        </w:rPr>
        <w:t>Forcados</w:t>
      </w:r>
      <w:proofErr w:type="spellEnd"/>
      <w:r w:rsidRPr="00345127">
        <w:rPr>
          <w:rFonts w:ascii="Times New Roman" w:hAnsi="Times New Roman" w:cs="Times New Roman"/>
        </w:rPr>
        <w:t xml:space="preserve"> River (20</w:t>
      </w:r>
      <w:r w:rsidR="001B34EC" w:rsidRPr="00345127">
        <w:rPr>
          <w:rFonts w:ascii="Times New Roman" w:hAnsi="Times New Roman" w:cs="Times New Roman"/>
        </w:rPr>
        <w:t>1</w:t>
      </w:r>
      <w:r w:rsidRPr="00345127">
        <w:rPr>
          <w:rFonts w:ascii="Times New Roman" w:hAnsi="Times New Roman" w:cs="Times New Roman"/>
        </w:rPr>
        <w:t>3), Bayelsa State, Nigeria</w:t>
      </w:r>
    </w:p>
    <w:tbl>
      <w:tblPr>
        <w:tblStyle w:val="PlainTable21"/>
        <w:tblW w:w="11349" w:type="dxa"/>
        <w:tblInd w:w="-655" w:type="dxa"/>
        <w:tblLayout w:type="fixed"/>
        <w:tblLook w:val="04A0" w:firstRow="1" w:lastRow="0" w:firstColumn="1" w:lastColumn="0" w:noHBand="0" w:noVBand="1"/>
      </w:tblPr>
      <w:tblGrid>
        <w:gridCol w:w="1249"/>
        <w:gridCol w:w="954"/>
        <w:gridCol w:w="990"/>
        <w:gridCol w:w="990"/>
        <w:gridCol w:w="990"/>
        <w:gridCol w:w="1260"/>
        <w:gridCol w:w="1170"/>
        <w:gridCol w:w="990"/>
        <w:gridCol w:w="1350"/>
        <w:gridCol w:w="1406"/>
      </w:tblGrid>
      <w:tr w:rsidR="00D072BF" w:rsidRPr="00345127" w14:paraId="3E70E656" w14:textId="77777777" w:rsidTr="00D072BF">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49" w:type="dxa"/>
            <w:tcBorders>
              <w:bottom w:val="nil"/>
            </w:tcBorders>
          </w:tcPr>
          <w:p w14:paraId="756F270D" w14:textId="77777777" w:rsidR="00D072BF" w:rsidRPr="00345127" w:rsidRDefault="00D072BF" w:rsidP="001B34EC">
            <w:pPr>
              <w:spacing w:line="480" w:lineRule="auto"/>
              <w:jc w:val="both"/>
              <w:rPr>
                <w:rFonts w:eastAsia="Times New Roman"/>
                <w:b w:val="0"/>
                <w:bCs w:val="0"/>
              </w:rPr>
            </w:pPr>
            <w:r w:rsidRPr="00345127">
              <w:rPr>
                <w:rFonts w:eastAsia="Times New Roman"/>
              </w:rPr>
              <w:t>Parameter</w:t>
            </w:r>
          </w:p>
        </w:tc>
        <w:tc>
          <w:tcPr>
            <w:tcW w:w="954" w:type="dxa"/>
            <w:tcBorders>
              <w:bottom w:val="nil"/>
            </w:tcBorders>
          </w:tcPr>
          <w:p w14:paraId="443A1BAD"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Length (L) km</w:t>
            </w:r>
          </w:p>
        </w:tc>
        <w:tc>
          <w:tcPr>
            <w:tcW w:w="990" w:type="dxa"/>
            <w:tcBorders>
              <w:bottom w:val="nil"/>
            </w:tcBorders>
          </w:tcPr>
          <w:p w14:paraId="0444A2BA"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Area (A)</w:t>
            </w:r>
          </w:p>
          <w:p w14:paraId="58237C1B"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 xml:space="preserve"> km</w:t>
            </w:r>
            <w:r w:rsidRPr="00345127">
              <w:rPr>
                <w:rFonts w:eastAsia="Times New Roman"/>
                <w:vertAlign w:val="superscript"/>
              </w:rPr>
              <w:t>2</w:t>
            </w:r>
          </w:p>
        </w:tc>
        <w:tc>
          <w:tcPr>
            <w:tcW w:w="990" w:type="dxa"/>
            <w:tcBorders>
              <w:bottom w:val="nil"/>
            </w:tcBorders>
          </w:tcPr>
          <w:p w14:paraId="645CFD09"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Width (W) km</w:t>
            </w:r>
          </w:p>
        </w:tc>
        <w:tc>
          <w:tcPr>
            <w:tcW w:w="990" w:type="dxa"/>
            <w:tcBorders>
              <w:bottom w:val="nil"/>
            </w:tcBorders>
          </w:tcPr>
          <w:p w14:paraId="5E642B51"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Perimeter (P) km</w:t>
            </w:r>
          </w:p>
        </w:tc>
        <w:tc>
          <w:tcPr>
            <w:tcW w:w="1260" w:type="dxa"/>
            <w:tcBorders>
              <w:bottom w:val="nil"/>
            </w:tcBorders>
          </w:tcPr>
          <w:p w14:paraId="43DEB597"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Aspect Ratio (AR)</w:t>
            </w:r>
          </w:p>
        </w:tc>
        <w:tc>
          <w:tcPr>
            <w:tcW w:w="1170" w:type="dxa"/>
            <w:tcBorders>
              <w:bottom w:val="nil"/>
            </w:tcBorders>
          </w:tcPr>
          <w:p w14:paraId="51E942A9"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Elongation Ratio (ER)</w:t>
            </w:r>
          </w:p>
        </w:tc>
        <w:tc>
          <w:tcPr>
            <w:tcW w:w="990" w:type="dxa"/>
            <w:tcBorders>
              <w:bottom w:val="nil"/>
            </w:tcBorders>
          </w:tcPr>
          <w:p w14:paraId="7CAF414E"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Circularity (C)</w:t>
            </w:r>
          </w:p>
        </w:tc>
        <w:tc>
          <w:tcPr>
            <w:tcW w:w="1350" w:type="dxa"/>
            <w:tcBorders>
              <w:bottom w:val="nil"/>
            </w:tcBorders>
          </w:tcPr>
          <w:p w14:paraId="6A694D76"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Compactness (Com)</w:t>
            </w:r>
          </w:p>
        </w:tc>
        <w:tc>
          <w:tcPr>
            <w:tcW w:w="1406" w:type="dxa"/>
            <w:tcBorders>
              <w:bottom w:val="nil"/>
            </w:tcBorders>
          </w:tcPr>
          <w:p w14:paraId="64CD98EF"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Form Factor (FF)</w:t>
            </w:r>
          </w:p>
        </w:tc>
      </w:tr>
      <w:tr w:rsidR="00D072BF" w:rsidRPr="00345127" w14:paraId="75134456" w14:textId="77777777" w:rsidTr="00D072BF">
        <w:trPr>
          <w:trHeight w:val="238"/>
        </w:trPr>
        <w:tc>
          <w:tcPr>
            <w:cnfStyle w:val="001000000000" w:firstRow="0" w:lastRow="0" w:firstColumn="1" w:lastColumn="0" w:oddVBand="0" w:evenVBand="0" w:oddHBand="0" w:evenHBand="0" w:firstRowFirstColumn="0" w:firstRowLastColumn="0" w:lastRowFirstColumn="0" w:lastRowLastColumn="0"/>
            <w:tcW w:w="1249" w:type="dxa"/>
            <w:tcBorders>
              <w:top w:val="nil"/>
              <w:bottom w:val="nil"/>
            </w:tcBorders>
          </w:tcPr>
          <w:p w14:paraId="0C413F19" w14:textId="77777777" w:rsidR="00D072BF" w:rsidRPr="00345127" w:rsidRDefault="00D072BF" w:rsidP="001B34EC">
            <w:pPr>
              <w:spacing w:line="480" w:lineRule="auto"/>
              <w:jc w:val="both"/>
              <w:rPr>
                <w:rFonts w:eastAsia="Times New Roman"/>
                <w:b w:val="0"/>
                <w:bCs w:val="0"/>
              </w:rPr>
            </w:pPr>
            <w:r w:rsidRPr="00345127">
              <w:rPr>
                <w:rFonts w:eastAsia="Times New Roman"/>
              </w:rPr>
              <w:t>Mini</w:t>
            </w:r>
          </w:p>
        </w:tc>
        <w:tc>
          <w:tcPr>
            <w:tcW w:w="954" w:type="dxa"/>
            <w:tcBorders>
              <w:top w:val="nil"/>
              <w:bottom w:val="nil"/>
            </w:tcBorders>
          </w:tcPr>
          <w:p w14:paraId="3E1E4AF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0.0375</w:t>
            </w:r>
          </w:p>
        </w:tc>
        <w:tc>
          <w:tcPr>
            <w:tcW w:w="990" w:type="dxa"/>
            <w:tcBorders>
              <w:top w:val="nil"/>
              <w:bottom w:val="nil"/>
            </w:tcBorders>
          </w:tcPr>
          <w:p w14:paraId="2B2FD2DC"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0.0001</w:t>
            </w:r>
          </w:p>
        </w:tc>
        <w:tc>
          <w:tcPr>
            <w:tcW w:w="990" w:type="dxa"/>
            <w:tcBorders>
              <w:top w:val="nil"/>
              <w:bottom w:val="nil"/>
            </w:tcBorders>
          </w:tcPr>
          <w:p w14:paraId="64B8FA9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0.0017</w:t>
            </w:r>
          </w:p>
        </w:tc>
        <w:tc>
          <w:tcPr>
            <w:tcW w:w="990" w:type="dxa"/>
            <w:tcBorders>
              <w:top w:val="nil"/>
              <w:bottom w:val="nil"/>
            </w:tcBorders>
          </w:tcPr>
          <w:p w14:paraId="277172C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0.0784</w:t>
            </w:r>
          </w:p>
        </w:tc>
        <w:tc>
          <w:tcPr>
            <w:tcW w:w="1260" w:type="dxa"/>
            <w:tcBorders>
              <w:top w:val="nil"/>
              <w:bottom w:val="nil"/>
            </w:tcBorders>
          </w:tcPr>
          <w:p w14:paraId="464E126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15.5269</w:t>
            </w:r>
          </w:p>
        </w:tc>
        <w:tc>
          <w:tcPr>
            <w:tcW w:w="1170" w:type="dxa"/>
            <w:tcBorders>
              <w:top w:val="nil"/>
              <w:bottom w:val="nil"/>
            </w:tcBorders>
          </w:tcPr>
          <w:p w14:paraId="3C255495"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3.9404</w:t>
            </w:r>
          </w:p>
        </w:tc>
        <w:tc>
          <w:tcPr>
            <w:tcW w:w="990" w:type="dxa"/>
            <w:tcBorders>
              <w:top w:val="nil"/>
              <w:bottom w:val="nil"/>
            </w:tcBorders>
          </w:tcPr>
          <w:p w14:paraId="7F2ABD6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0.0382</w:t>
            </w:r>
          </w:p>
        </w:tc>
        <w:tc>
          <w:tcPr>
            <w:tcW w:w="1350" w:type="dxa"/>
            <w:tcBorders>
              <w:top w:val="nil"/>
              <w:bottom w:val="nil"/>
            </w:tcBorders>
          </w:tcPr>
          <w:p w14:paraId="25B214FB"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0.0111</w:t>
            </w:r>
          </w:p>
        </w:tc>
        <w:tc>
          <w:tcPr>
            <w:tcW w:w="1406" w:type="dxa"/>
            <w:tcBorders>
              <w:top w:val="nil"/>
              <w:bottom w:val="nil"/>
            </w:tcBorders>
          </w:tcPr>
          <w:p w14:paraId="3BDBA9F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0.0125</w:t>
            </w:r>
          </w:p>
        </w:tc>
      </w:tr>
      <w:tr w:rsidR="00D072BF" w:rsidRPr="00345127" w14:paraId="0549D53D" w14:textId="77777777" w:rsidTr="00D072BF">
        <w:trPr>
          <w:trHeight w:val="238"/>
        </w:trPr>
        <w:tc>
          <w:tcPr>
            <w:cnfStyle w:val="001000000000" w:firstRow="0" w:lastRow="0" w:firstColumn="1" w:lastColumn="0" w:oddVBand="0" w:evenVBand="0" w:oddHBand="0" w:evenHBand="0" w:firstRowFirstColumn="0" w:firstRowLastColumn="0" w:lastRowFirstColumn="0" w:lastRowLastColumn="0"/>
            <w:tcW w:w="1249" w:type="dxa"/>
            <w:tcBorders>
              <w:top w:val="nil"/>
              <w:bottom w:val="nil"/>
            </w:tcBorders>
          </w:tcPr>
          <w:p w14:paraId="7F318383" w14:textId="77777777" w:rsidR="00D072BF" w:rsidRPr="00345127" w:rsidRDefault="00D072BF" w:rsidP="001B34EC">
            <w:pPr>
              <w:spacing w:line="480" w:lineRule="auto"/>
              <w:jc w:val="both"/>
              <w:rPr>
                <w:rFonts w:eastAsia="Times New Roman"/>
                <w:b w:val="0"/>
                <w:bCs w:val="0"/>
              </w:rPr>
            </w:pPr>
            <w:r w:rsidRPr="00345127">
              <w:rPr>
                <w:rFonts w:eastAsia="Times New Roman"/>
              </w:rPr>
              <w:t>Maxi</w:t>
            </w:r>
          </w:p>
        </w:tc>
        <w:tc>
          <w:tcPr>
            <w:tcW w:w="954" w:type="dxa"/>
            <w:tcBorders>
              <w:top w:val="nil"/>
              <w:bottom w:val="nil"/>
            </w:tcBorders>
          </w:tcPr>
          <w:p w14:paraId="298F2490"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3.9229</w:t>
            </w:r>
          </w:p>
        </w:tc>
        <w:tc>
          <w:tcPr>
            <w:tcW w:w="990" w:type="dxa"/>
            <w:tcBorders>
              <w:top w:val="nil"/>
              <w:bottom w:val="nil"/>
            </w:tcBorders>
          </w:tcPr>
          <w:p w14:paraId="737A786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0.4356</w:t>
            </w:r>
          </w:p>
        </w:tc>
        <w:tc>
          <w:tcPr>
            <w:tcW w:w="990" w:type="dxa"/>
            <w:tcBorders>
              <w:top w:val="nil"/>
              <w:bottom w:val="nil"/>
            </w:tcBorders>
          </w:tcPr>
          <w:p w14:paraId="3C6A34A7"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0.1110</w:t>
            </w:r>
          </w:p>
        </w:tc>
        <w:tc>
          <w:tcPr>
            <w:tcW w:w="990" w:type="dxa"/>
            <w:tcBorders>
              <w:top w:val="nil"/>
              <w:bottom w:val="nil"/>
            </w:tcBorders>
          </w:tcPr>
          <w:p w14:paraId="5172C2B5"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8.0679</w:t>
            </w:r>
          </w:p>
        </w:tc>
        <w:tc>
          <w:tcPr>
            <w:tcW w:w="1260" w:type="dxa"/>
            <w:tcBorders>
              <w:top w:val="nil"/>
              <w:bottom w:val="nil"/>
            </w:tcBorders>
          </w:tcPr>
          <w:p w14:paraId="3AA4840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80.2343</w:t>
            </w:r>
          </w:p>
        </w:tc>
        <w:tc>
          <w:tcPr>
            <w:tcW w:w="1170" w:type="dxa"/>
            <w:tcBorders>
              <w:top w:val="nil"/>
              <w:bottom w:val="nil"/>
            </w:tcBorders>
          </w:tcPr>
          <w:p w14:paraId="5468E39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8.9574</w:t>
            </w:r>
          </w:p>
        </w:tc>
        <w:tc>
          <w:tcPr>
            <w:tcW w:w="990" w:type="dxa"/>
            <w:tcBorders>
              <w:top w:val="nil"/>
              <w:bottom w:val="nil"/>
            </w:tcBorders>
          </w:tcPr>
          <w:p w14:paraId="56EF1D46"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0.1787</w:t>
            </w:r>
          </w:p>
        </w:tc>
        <w:tc>
          <w:tcPr>
            <w:tcW w:w="1350" w:type="dxa"/>
            <w:tcBorders>
              <w:top w:val="nil"/>
              <w:bottom w:val="nil"/>
            </w:tcBorders>
          </w:tcPr>
          <w:p w14:paraId="2E42D9F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1.1377</w:t>
            </w:r>
          </w:p>
        </w:tc>
        <w:tc>
          <w:tcPr>
            <w:tcW w:w="1406" w:type="dxa"/>
            <w:tcBorders>
              <w:top w:val="nil"/>
              <w:bottom w:val="nil"/>
            </w:tcBorders>
          </w:tcPr>
          <w:p w14:paraId="55B1139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0.0644</w:t>
            </w:r>
          </w:p>
        </w:tc>
      </w:tr>
      <w:tr w:rsidR="00D072BF" w:rsidRPr="00345127" w14:paraId="3CAA4B03" w14:textId="77777777" w:rsidTr="00D072BF">
        <w:trPr>
          <w:trHeight w:val="238"/>
        </w:trPr>
        <w:tc>
          <w:tcPr>
            <w:cnfStyle w:val="001000000000" w:firstRow="0" w:lastRow="0" w:firstColumn="1" w:lastColumn="0" w:oddVBand="0" w:evenVBand="0" w:oddHBand="0" w:evenHBand="0" w:firstRowFirstColumn="0" w:firstRowLastColumn="0" w:lastRowFirstColumn="0" w:lastRowLastColumn="0"/>
            <w:tcW w:w="1249" w:type="dxa"/>
            <w:tcBorders>
              <w:top w:val="nil"/>
              <w:bottom w:val="nil"/>
            </w:tcBorders>
          </w:tcPr>
          <w:p w14:paraId="7C8633E9" w14:textId="77777777" w:rsidR="00D072BF" w:rsidRPr="00345127" w:rsidRDefault="00D072BF" w:rsidP="001B34EC">
            <w:pPr>
              <w:spacing w:line="480" w:lineRule="auto"/>
              <w:jc w:val="both"/>
              <w:rPr>
                <w:rFonts w:eastAsia="Times New Roman"/>
                <w:b w:val="0"/>
                <w:bCs w:val="0"/>
              </w:rPr>
            </w:pPr>
            <w:r w:rsidRPr="00345127">
              <w:rPr>
                <w:rFonts w:eastAsia="Times New Roman"/>
              </w:rPr>
              <w:t>Mean</w:t>
            </w:r>
          </w:p>
        </w:tc>
        <w:tc>
          <w:tcPr>
            <w:tcW w:w="954" w:type="dxa"/>
            <w:tcBorders>
              <w:top w:val="nil"/>
              <w:bottom w:val="nil"/>
            </w:tcBorders>
          </w:tcPr>
          <w:p w14:paraId="43827F09"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0.3873</w:t>
            </w:r>
          </w:p>
        </w:tc>
        <w:tc>
          <w:tcPr>
            <w:tcW w:w="990" w:type="dxa"/>
            <w:tcBorders>
              <w:top w:val="nil"/>
              <w:bottom w:val="nil"/>
            </w:tcBorders>
          </w:tcPr>
          <w:p w14:paraId="00504CD2"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0.0168</w:t>
            </w:r>
          </w:p>
        </w:tc>
        <w:tc>
          <w:tcPr>
            <w:tcW w:w="990" w:type="dxa"/>
            <w:tcBorders>
              <w:top w:val="nil"/>
              <w:bottom w:val="nil"/>
            </w:tcBorders>
          </w:tcPr>
          <w:p w14:paraId="239FD1E2"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0.0129</w:t>
            </w:r>
          </w:p>
        </w:tc>
        <w:tc>
          <w:tcPr>
            <w:tcW w:w="990" w:type="dxa"/>
            <w:tcBorders>
              <w:top w:val="nil"/>
              <w:bottom w:val="nil"/>
            </w:tcBorders>
          </w:tcPr>
          <w:p w14:paraId="45438A6B"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0.8005</w:t>
            </w:r>
          </w:p>
        </w:tc>
        <w:tc>
          <w:tcPr>
            <w:tcW w:w="1260" w:type="dxa"/>
            <w:tcBorders>
              <w:top w:val="nil"/>
              <w:bottom w:val="nil"/>
            </w:tcBorders>
          </w:tcPr>
          <w:p w14:paraId="4B21FF64"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26.2700</w:t>
            </w:r>
          </w:p>
        </w:tc>
        <w:tc>
          <w:tcPr>
            <w:tcW w:w="1170" w:type="dxa"/>
            <w:tcBorders>
              <w:top w:val="nil"/>
              <w:bottom w:val="nil"/>
            </w:tcBorders>
          </w:tcPr>
          <w:p w14:paraId="724F74F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5.0478</w:t>
            </w:r>
          </w:p>
        </w:tc>
        <w:tc>
          <w:tcPr>
            <w:tcW w:w="990" w:type="dxa"/>
            <w:tcBorders>
              <w:top w:val="nil"/>
              <w:bottom w:val="nil"/>
            </w:tcBorders>
          </w:tcPr>
          <w:p w14:paraId="6D473F8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0.1212</w:t>
            </w:r>
          </w:p>
        </w:tc>
        <w:tc>
          <w:tcPr>
            <w:tcW w:w="1350" w:type="dxa"/>
            <w:tcBorders>
              <w:top w:val="nil"/>
              <w:bottom w:val="nil"/>
            </w:tcBorders>
          </w:tcPr>
          <w:p w14:paraId="615D44C2"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0.1129</w:t>
            </w:r>
          </w:p>
        </w:tc>
        <w:tc>
          <w:tcPr>
            <w:tcW w:w="1406" w:type="dxa"/>
            <w:tcBorders>
              <w:top w:val="nil"/>
              <w:bottom w:val="nil"/>
            </w:tcBorders>
          </w:tcPr>
          <w:p w14:paraId="5223A629"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0.0421</w:t>
            </w:r>
          </w:p>
        </w:tc>
      </w:tr>
      <w:tr w:rsidR="00D072BF" w:rsidRPr="00345127" w14:paraId="2DCE103A" w14:textId="77777777" w:rsidTr="00D072BF">
        <w:trPr>
          <w:trHeight w:val="238"/>
        </w:trPr>
        <w:tc>
          <w:tcPr>
            <w:cnfStyle w:val="001000000000" w:firstRow="0" w:lastRow="0" w:firstColumn="1" w:lastColumn="0" w:oddVBand="0" w:evenVBand="0" w:oddHBand="0" w:evenHBand="0" w:firstRowFirstColumn="0" w:firstRowLastColumn="0" w:lastRowFirstColumn="0" w:lastRowLastColumn="0"/>
            <w:tcW w:w="1249" w:type="dxa"/>
            <w:tcBorders>
              <w:top w:val="nil"/>
            </w:tcBorders>
          </w:tcPr>
          <w:p w14:paraId="6C0C7CF1" w14:textId="77777777" w:rsidR="00D072BF" w:rsidRPr="00345127" w:rsidRDefault="00D072BF" w:rsidP="001B34EC">
            <w:pPr>
              <w:spacing w:line="480" w:lineRule="auto"/>
              <w:jc w:val="both"/>
              <w:rPr>
                <w:rFonts w:eastAsia="Times New Roman"/>
                <w:b w:val="0"/>
                <w:bCs w:val="0"/>
              </w:rPr>
            </w:pPr>
            <w:proofErr w:type="spellStart"/>
            <w:r w:rsidRPr="00345127">
              <w:rPr>
                <w:rFonts w:eastAsia="Times New Roman"/>
              </w:rPr>
              <w:t>StDev</w:t>
            </w:r>
            <w:proofErr w:type="spellEnd"/>
          </w:p>
        </w:tc>
        <w:tc>
          <w:tcPr>
            <w:tcW w:w="954" w:type="dxa"/>
            <w:tcBorders>
              <w:top w:val="nil"/>
            </w:tcBorders>
          </w:tcPr>
          <w:p w14:paraId="36221500"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0.6485</w:t>
            </w:r>
          </w:p>
        </w:tc>
        <w:tc>
          <w:tcPr>
            <w:tcW w:w="990" w:type="dxa"/>
            <w:tcBorders>
              <w:top w:val="nil"/>
            </w:tcBorders>
          </w:tcPr>
          <w:p w14:paraId="548C669C"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0.0577</w:t>
            </w:r>
          </w:p>
        </w:tc>
        <w:tc>
          <w:tcPr>
            <w:tcW w:w="990" w:type="dxa"/>
            <w:tcBorders>
              <w:top w:val="nil"/>
            </w:tcBorders>
          </w:tcPr>
          <w:p w14:paraId="29493EB2"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0.0195</w:t>
            </w:r>
          </w:p>
        </w:tc>
        <w:tc>
          <w:tcPr>
            <w:tcW w:w="990" w:type="dxa"/>
            <w:tcBorders>
              <w:top w:val="nil"/>
            </w:tcBorders>
          </w:tcPr>
          <w:p w14:paraId="79F70C33"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1.3338</w:t>
            </w:r>
          </w:p>
        </w:tc>
        <w:tc>
          <w:tcPr>
            <w:tcW w:w="1260" w:type="dxa"/>
            <w:tcBorders>
              <w:top w:val="nil"/>
            </w:tcBorders>
          </w:tcPr>
          <w:p w14:paraId="159C030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10.4465</w:t>
            </w:r>
          </w:p>
        </w:tc>
        <w:tc>
          <w:tcPr>
            <w:tcW w:w="1170" w:type="dxa"/>
            <w:tcBorders>
              <w:top w:val="nil"/>
            </w:tcBorders>
          </w:tcPr>
          <w:p w14:paraId="1D2DF399"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0.8930</w:t>
            </w:r>
          </w:p>
        </w:tc>
        <w:tc>
          <w:tcPr>
            <w:tcW w:w="990" w:type="dxa"/>
            <w:tcBorders>
              <w:top w:val="nil"/>
            </w:tcBorders>
          </w:tcPr>
          <w:p w14:paraId="06E70150"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0.0302</w:t>
            </w:r>
          </w:p>
        </w:tc>
        <w:tc>
          <w:tcPr>
            <w:tcW w:w="1350" w:type="dxa"/>
            <w:tcBorders>
              <w:top w:val="nil"/>
            </w:tcBorders>
          </w:tcPr>
          <w:p w14:paraId="672A0D89"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0.1881</w:t>
            </w:r>
          </w:p>
        </w:tc>
        <w:tc>
          <w:tcPr>
            <w:tcW w:w="1406" w:type="dxa"/>
            <w:tcBorders>
              <w:top w:val="nil"/>
            </w:tcBorders>
          </w:tcPr>
          <w:p w14:paraId="535638C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0.0112</w:t>
            </w:r>
          </w:p>
        </w:tc>
      </w:tr>
    </w:tbl>
    <w:p w14:paraId="55514F4B" w14:textId="77777777" w:rsidR="002F665E" w:rsidRPr="00345127" w:rsidRDefault="001B34EC" w:rsidP="006A3A56">
      <w:pPr>
        <w:pStyle w:val="BodyText"/>
        <w:jc w:val="both"/>
        <w:rPr>
          <w:rFonts w:cs="Times New Roman"/>
        </w:rPr>
      </w:pPr>
      <w:r w:rsidRPr="00345127">
        <w:rPr>
          <w:rFonts w:cs="Times New Roman"/>
        </w:rPr>
        <w:t>In 2023 (Table 3), significant geometric expansion was observed. Average sandbar length rose to 0.6961 km, and maximum length, though lower than in 2003, remained considerable (3.4683 km). More notably, the mean area increased to 0.0297 km² almost double the 2003 value while the maximum reached 0.2284 km². This was accompanied by broader widths (mean = 0.0229 km) and increased perimeter lengths, reflecting bar growth in both longitudinal and lateral dimensions. The increase in compactness (mean Com = 0.2028) and form factor (mean FF = 0.0422) in 2023 denotes morphologic maturity and stabilization of sandbars, particularly those situated on the inner banks of meanders and river junctions. The consistency in circularity and the slightly higher kurtosis in sediment profiles support this evolution.</w:t>
      </w:r>
    </w:p>
    <w:p w14:paraId="2B5BE25D" w14:textId="77777777" w:rsidR="001B34EC" w:rsidRPr="00345127" w:rsidRDefault="001B34EC" w:rsidP="006A3A56">
      <w:pPr>
        <w:pStyle w:val="BodyText"/>
        <w:jc w:val="both"/>
        <w:rPr>
          <w:rFonts w:cs="Times New Roman"/>
        </w:rPr>
      </w:pPr>
    </w:p>
    <w:p w14:paraId="7F07D5C2" w14:textId="77777777" w:rsidR="001B34EC" w:rsidRPr="00345127" w:rsidRDefault="001B34EC" w:rsidP="006A3A56">
      <w:pPr>
        <w:pStyle w:val="BodyText"/>
        <w:jc w:val="both"/>
        <w:rPr>
          <w:rFonts w:cs="Times New Roman"/>
        </w:rPr>
      </w:pPr>
    </w:p>
    <w:p w14:paraId="6AA07AB8" w14:textId="77777777" w:rsidR="001B34EC" w:rsidRPr="00345127" w:rsidRDefault="001B34EC" w:rsidP="006A3A56">
      <w:pPr>
        <w:pStyle w:val="BodyText"/>
        <w:jc w:val="both"/>
        <w:rPr>
          <w:rFonts w:cs="Times New Roman"/>
        </w:rPr>
      </w:pPr>
      <w:r w:rsidRPr="00345127">
        <w:rPr>
          <w:rFonts w:eastAsia="Times New Roman" w:cs="Times New Roman"/>
          <w:b/>
          <w:bCs/>
        </w:rPr>
        <w:t>Table 3</w:t>
      </w:r>
      <w:r w:rsidRPr="00345127">
        <w:rPr>
          <w:rFonts w:eastAsia="Times New Roman" w:cs="Times New Roman"/>
        </w:rPr>
        <w:t>: S</w:t>
      </w:r>
      <w:r w:rsidRPr="00345127">
        <w:rPr>
          <w:rFonts w:cs="Times New Roman"/>
        </w:rPr>
        <w:t xml:space="preserve">and Bar Geometry and Shape Metrics, </w:t>
      </w:r>
      <w:proofErr w:type="spellStart"/>
      <w:r w:rsidRPr="00345127">
        <w:rPr>
          <w:rFonts w:cs="Times New Roman"/>
        </w:rPr>
        <w:t>Forcados</w:t>
      </w:r>
      <w:proofErr w:type="spellEnd"/>
      <w:r w:rsidRPr="00345127">
        <w:rPr>
          <w:rFonts w:cs="Times New Roman"/>
        </w:rPr>
        <w:t xml:space="preserve"> River (2023), Bayelsa State, Nigeria</w:t>
      </w:r>
    </w:p>
    <w:p w14:paraId="2990DFCE" w14:textId="77777777" w:rsidR="001B34EC" w:rsidRPr="00345127" w:rsidRDefault="001B34EC" w:rsidP="006A3A56">
      <w:pPr>
        <w:pStyle w:val="BodyText"/>
        <w:jc w:val="both"/>
        <w:rPr>
          <w:rFonts w:cs="Times New Roman"/>
        </w:rPr>
      </w:pPr>
    </w:p>
    <w:tbl>
      <w:tblPr>
        <w:tblStyle w:val="PlainTable21"/>
        <w:tblW w:w="10890" w:type="dxa"/>
        <w:tblInd w:w="-990" w:type="dxa"/>
        <w:tblLayout w:type="fixed"/>
        <w:tblLook w:val="04A0" w:firstRow="1" w:lastRow="0" w:firstColumn="1" w:lastColumn="0" w:noHBand="0" w:noVBand="1"/>
      </w:tblPr>
      <w:tblGrid>
        <w:gridCol w:w="990"/>
        <w:gridCol w:w="902"/>
        <w:gridCol w:w="990"/>
        <w:gridCol w:w="900"/>
        <w:gridCol w:w="1080"/>
        <w:gridCol w:w="898"/>
        <w:gridCol w:w="1170"/>
        <w:gridCol w:w="1350"/>
        <w:gridCol w:w="1350"/>
        <w:gridCol w:w="1260"/>
      </w:tblGrid>
      <w:tr w:rsidR="001B34EC" w:rsidRPr="00345127" w14:paraId="1B34670A" w14:textId="77777777" w:rsidTr="001B34EC">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90" w:type="dxa"/>
            <w:tcBorders>
              <w:bottom w:val="nil"/>
            </w:tcBorders>
          </w:tcPr>
          <w:p w14:paraId="35E69816" w14:textId="77777777" w:rsidR="001B34EC" w:rsidRPr="00345127" w:rsidRDefault="001B34EC" w:rsidP="001B34EC">
            <w:pPr>
              <w:spacing w:line="360" w:lineRule="auto"/>
              <w:jc w:val="both"/>
              <w:rPr>
                <w:rFonts w:eastAsia="Times New Roman"/>
                <w:b w:val="0"/>
                <w:bCs w:val="0"/>
              </w:rPr>
            </w:pPr>
            <w:r w:rsidRPr="00345127">
              <w:rPr>
                <w:rFonts w:eastAsia="Times New Roman"/>
              </w:rPr>
              <w:t>Parameter</w:t>
            </w:r>
          </w:p>
        </w:tc>
        <w:tc>
          <w:tcPr>
            <w:tcW w:w="902" w:type="dxa"/>
            <w:tcBorders>
              <w:bottom w:val="nil"/>
            </w:tcBorders>
          </w:tcPr>
          <w:p w14:paraId="6A654AF2"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Length (L) km</w:t>
            </w:r>
          </w:p>
        </w:tc>
        <w:tc>
          <w:tcPr>
            <w:tcW w:w="990" w:type="dxa"/>
            <w:tcBorders>
              <w:bottom w:val="nil"/>
            </w:tcBorders>
          </w:tcPr>
          <w:p w14:paraId="4AF926A4"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Area (A)</w:t>
            </w:r>
          </w:p>
          <w:p w14:paraId="534C3DAA"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 xml:space="preserve"> km</w:t>
            </w:r>
            <w:r w:rsidRPr="00345127">
              <w:rPr>
                <w:rFonts w:eastAsia="Times New Roman"/>
                <w:vertAlign w:val="superscript"/>
              </w:rPr>
              <w:t>2</w:t>
            </w:r>
          </w:p>
        </w:tc>
        <w:tc>
          <w:tcPr>
            <w:tcW w:w="900" w:type="dxa"/>
            <w:tcBorders>
              <w:bottom w:val="nil"/>
            </w:tcBorders>
          </w:tcPr>
          <w:p w14:paraId="2EE685AA"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Width (W) km</w:t>
            </w:r>
          </w:p>
        </w:tc>
        <w:tc>
          <w:tcPr>
            <w:tcW w:w="1080" w:type="dxa"/>
            <w:tcBorders>
              <w:bottom w:val="nil"/>
            </w:tcBorders>
          </w:tcPr>
          <w:p w14:paraId="5CA29B9B"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Perimeter (P) km</w:t>
            </w:r>
          </w:p>
        </w:tc>
        <w:tc>
          <w:tcPr>
            <w:tcW w:w="898" w:type="dxa"/>
            <w:tcBorders>
              <w:bottom w:val="nil"/>
            </w:tcBorders>
          </w:tcPr>
          <w:p w14:paraId="653862C5"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Aspect Ratio (AR)</w:t>
            </w:r>
          </w:p>
        </w:tc>
        <w:tc>
          <w:tcPr>
            <w:tcW w:w="1170" w:type="dxa"/>
            <w:tcBorders>
              <w:bottom w:val="nil"/>
            </w:tcBorders>
          </w:tcPr>
          <w:p w14:paraId="3F321B20"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Elongation Ratio (ER)</w:t>
            </w:r>
          </w:p>
        </w:tc>
        <w:tc>
          <w:tcPr>
            <w:tcW w:w="1350" w:type="dxa"/>
            <w:tcBorders>
              <w:bottom w:val="nil"/>
            </w:tcBorders>
          </w:tcPr>
          <w:p w14:paraId="00476243"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Circularity (C)</w:t>
            </w:r>
          </w:p>
        </w:tc>
        <w:tc>
          <w:tcPr>
            <w:tcW w:w="1350" w:type="dxa"/>
            <w:tcBorders>
              <w:bottom w:val="nil"/>
            </w:tcBorders>
          </w:tcPr>
          <w:p w14:paraId="4D914A54"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Compactness (Com)</w:t>
            </w:r>
          </w:p>
        </w:tc>
        <w:tc>
          <w:tcPr>
            <w:tcW w:w="1260" w:type="dxa"/>
            <w:tcBorders>
              <w:bottom w:val="nil"/>
            </w:tcBorders>
          </w:tcPr>
          <w:p w14:paraId="59DD55E0"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Form Factor (FF)</w:t>
            </w:r>
          </w:p>
        </w:tc>
      </w:tr>
      <w:tr w:rsidR="001B34EC" w:rsidRPr="00345127" w14:paraId="57A68B40" w14:textId="77777777" w:rsidTr="001B34EC">
        <w:trPr>
          <w:trHeight w:val="238"/>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tcPr>
          <w:p w14:paraId="4461BD5B" w14:textId="77777777" w:rsidR="001B34EC" w:rsidRPr="00345127" w:rsidRDefault="001B34EC" w:rsidP="001B34EC">
            <w:pPr>
              <w:spacing w:line="480" w:lineRule="auto"/>
              <w:jc w:val="both"/>
              <w:rPr>
                <w:rFonts w:eastAsia="Times New Roman"/>
                <w:b w:val="0"/>
                <w:bCs w:val="0"/>
              </w:rPr>
            </w:pPr>
            <w:r w:rsidRPr="00345127">
              <w:rPr>
                <w:rFonts w:eastAsia="Times New Roman"/>
              </w:rPr>
              <w:t>Mini</w:t>
            </w:r>
          </w:p>
        </w:tc>
        <w:tc>
          <w:tcPr>
            <w:tcW w:w="902" w:type="dxa"/>
            <w:tcBorders>
              <w:top w:val="nil"/>
              <w:bottom w:val="nil"/>
            </w:tcBorders>
          </w:tcPr>
          <w:p w14:paraId="74AA13E9"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0.0377</w:t>
            </w:r>
          </w:p>
        </w:tc>
        <w:tc>
          <w:tcPr>
            <w:tcW w:w="990" w:type="dxa"/>
            <w:tcBorders>
              <w:top w:val="nil"/>
              <w:bottom w:val="nil"/>
            </w:tcBorders>
          </w:tcPr>
          <w:p w14:paraId="3BCAD944"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0.0001</w:t>
            </w:r>
          </w:p>
        </w:tc>
        <w:tc>
          <w:tcPr>
            <w:tcW w:w="900" w:type="dxa"/>
            <w:tcBorders>
              <w:top w:val="nil"/>
              <w:bottom w:val="nil"/>
            </w:tcBorders>
          </w:tcPr>
          <w:p w14:paraId="6FFDD6B3"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0.0018</w:t>
            </w:r>
          </w:p>
        </w:tc>
        <w:tc>
          <w:tcPr>
            <w:tcW w:w="1080" w:type="dxa"/>
            <w:tcBorders>
              <w:top w:val="nil"/>
              <w:bottom w:val="nil"/>
            </w:tcBorders>
          </w:tcPr>
          <w:p w14:paraId="7822786D"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0.0791</w:t>
            </w:r>
          </w:p>
        </w:tc>
        <w:tc>
          <w:tcPr>
            <w:tcW w:w="898" w:type="dxa"/>
            <w:tcBorders>
              <w:top w:val="nil"/>
              <w:bottom w:val="nil"/>
            </w:tcBorders>
          </w:tcPr>
          <w:p w14:paraId="5D72E0E9"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16.1971</w:t>
            </w:r>
          </w:p>
        </w:tc>
        <w:tc>
          <w:tcPr>
            <w:tcW w:w="1170" w:type="dxa"/>
            <w:tcBorders>
              <w:top w:val="nil"/>
              <w:bottom w:val="nil"/>
            </w:tcBorders>
          </w:tcPr>
          <w:p w14:paraId="1B2B3977"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4.0246</w:t>
            </w:r>
          </w:p>
        </w:tc>
        <w:tc>
          <w:tcPr>
            <w:tcW w:w="1350" w:type="dxa"/>
            <w:tcBorders>
              <w:top w:val="nil"/>
              <w:bottom w:val="nil"/>
            </w:tcBorders>
          </w:tcPr>
          <w:p w14:paraId="64485681"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0.0517</w:t>
            </w:r>
          </w:p>
        </w:tc>
        <w:tc>
          <w:tcPr>
            <w:tcW w:w="1350" w:type="dxa"/>
            <w:tcBorders>
              <w:top w:val="nil"/>
              <w:bottom w:val="nil"/>
            </w:tcBorders>
          </w:tcPr>
          <w:p w14:paraId="462B8F9E"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0.0112</w:t>
            </w:r>
          </w:p>
        </w:tc>
        <w:tc>
          <w:tcPr>
            <w:tcW w:w="1260" w:type="dxa"/>
            <w:tcBorders>
              <w:top w:val="nil"/>
              <w:bottom w:val="nil"/>
            </w:tcBorders>
          </w:tcPr>
          <w:p w14:paraId="10318ACD"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0.0170</w:t>
            </w:r>
          </w:p>
        </w:tc>
      </w:tr>
      <w:tr w:rsidR="001B34EC" w:rsidRPr="00345127" w14:paraId="1404C121" w14:textId="77777777" w:rsidTr="001B34EC">
        <w:trPr>
          <w:trHeight w:val="238"/>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tcPr>
          <w:p w14:paraId="2B38F99B" w14:textId="77777777" w:rsidR="001B34EC" w:rsidRPr="00345127" w:rsidRDefault="001B34EC" w:rsidP="001B34EC">
            <w:pPr>
              <w:spacing w:line="480" w:lineRule="auto"/>
              <w:jc w:val="both"/>
              <w:rPr>
                <w:rFonts w:eastAsia="Times New Roman"/>
                <w:b w:val="0"/>
                <w:bCs w:val="0"/>
              </w:rPr>
            </w:pPr>
            <w:r w:rsidRPr="00345127">
              <w:rPr>
                <w:rFonts w:eastAsia="Times New Roman"/>
              </w:rPr>
              <w:t>Maxi</w:t>
            </w:r>
          </w:p>
        </w:tc>
        <w:tc>
          <w:tcPr>
            <w:tcW w:w="902" w:type="dxa"/>
            <w:tcBorders>
              <w:top w:val="nil"/>
              <w:bottom w:val="nil"/>
            </w:tcBorders>
          </w:tcPr>
          <w:p w14:paraId="43CC839A"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3.4683</w:t>
            </w:r>
          </w:p>
        </w:tc>
        <w:tc>
          <w:tcPr>
            <w:tcW w:w="990" w:type="dxa"/>
            <w:tcBorders>
              <w:top w:val="nil"/>
              <w:bottom w:val="nil"/>
            </w:tcBorders>
          </w:tcPr>
          <w:p w14:paraId="17E1920D"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0.2284</w:t>
            </w:r>
          </w:p>
        </w:tc>
        <w:tc>
          <w:tcPr>
            <w:tcW w:w="900" w:type="dxa"/>
            <w:tcBorders>
              <w:top w:val="nil"/>
              <w:bottom w:val="nil"/>
            </w:tcBorders>
          </w:tcPr>
          <w:p w14:paraId="43ACADCD"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0.0717</w:t>
            </w:r>
          </w:p>
        </w:tc>
        <w:tc>
          <w:tcPr>
            <w:tcW w:w="1080" w:type="dxa"/>
            <w:tcBorders>
              <w:top w:val="nil"/>
              <w:bottom w:val="nil"/>
            </w:tcBorders>
          </w:tcPr>
          <w:p w14:paraId="52946A56"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7.0683</w:t>
            </w:r>
          </w:p>
        </w:tc>
        <w:tc>
          <w:tcPr>
            <w:tcW w:w="898" w:type="dxa"/>
            <w:tcBorders>
              <w:top w:val="nil"/>
              <w:bottom w:val="nil"/>
            </w:tcBorders>
          </w:tcPr>
          <w:p w14:paraId="22C04F6B"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58.8113</w:t>
            </w:r>
          </w:p>
        </w:tc>
        <w:tc>
          <w:tcPr>
            <w:tcW w:w="1170" w:type="dxa"/>
            <w:tcBorders>
              <w:top w:val="nil"/>
              <w:bottom w:val="nil"/>
            </w:tcBorders>
          </w:tcPr>
          <w:p w14:paraId="46B37E1C"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7.6689</w:t>
            </w:r>
          </w:p>
        </w:tc>
        <w:tc>
          <w:tcPr>
            <w:tcW w:w="1350" w:type="dxa"/>
            <w:tcBorders>
              <w:top w:val="nil"/>
              <w:bottom w:val="nil"/>
            </w:tcBorders>
          </w:tcPr>
          <w:p w14:paraId="6EF9C186"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0.1721</w:t>
            </w:r>
          </w:p>
        </w:tc>
        <w:tc>
          <w:tcPr>
            <w:tcW w:w="1350" w:type="dxa"/>
            <w:tcBorders>
              <w:top w:val="nil"/>
              <w:bottom w:val="nil"/>
            </w:tcBorders>
          </w:tcPr>
          <w:p w14:paraId="7E822B36"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0.9968</w:t>
            </w:r>
          </w:p>
        </w:tc>
        <w:tc>
          <w:tcPr>
            <w:tcW w:w="1260" w:type="dxa"/>
            <w:tcBorders>
              <w:top w:val="nil"/>
              <w:bottom w:val="nil"/>
            </w:tcBorders>
          </w:tcPr>
          <w:p w14:paraId="62C0A848"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0.0617</w:t>
            </w:r>
          </w:p>
        </w:tc>
      </w:tr>
      <w:tr w:rsidR="001B34EC" w:rsidRPr="00345127" w14:paraId="5DD50970" w14:textId="77777777" w:rsidTr="001B34EC">
        <w:trPr>
          <w:trHeight w:val="238"/>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tcPr>
          <w:p w14:paraId="1571C2D7" w14:textId="77777777" w:rsidR="001B34EC" w:rsidRPr="00345127" w:rsidRDefault="001B34EC" w:rsidP="001B34EC">
            <w:pPr>
              <w:spacing w:line="480" w:lineRule="auto"/>
              <w:jc w:val="both"/>
              <w:rPr>
                <w:rFonts w:eastAsia="Times New Roman"/>
                <w:b w:val="0"/>
                <w:bCs w:val="0"/>
              </w:rPr>
            </w:pPr>
            <w:r w:rsidRPr="00345127">
              <w:rPr>
                <w:rFonts w:eastAsia="Times New Roman"/>
              </w:rPr>
              <w:t>Mean</w:t>
            </w:r>
          </w:p>
        </w:tc>
        <w:tc>
          <w:tcPr>
            <w:tcW w:w="902" w:type="dxa"/>
            <w:tcBorders>
              <w:top w:val="nil"/>
              <w:bottom w:val="nil"/>
            </w:tcBorders>
          </w:tcPr>
          <w:p w14:paraId="484C8041"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0.6961</w:t>
            </w:r>
          </w:p>
        </w:tc>
        <w:tc>
          <w:tcPr>
            <w:tcW w:w="990" w:type="dxa"/>
            <w:tcBorders>
              <w:top w:val="nil"/>
              <w:bottom w:val="nil"/>
            </w:tcBorders>
          </w:tcPr>
          <w:p w14:paraId="39E128C3"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0.0297</w:t>
            </w:r>
          </w:p>
        </w:tc>
        <w:tc>
          <w:tcPr>
            <w:tcW w:w="900" w:type="dxa"/>
            <w:tcBorders>
              <w:top w:val="nil"/>
              <w:bottom w:val="nil"/>
            </w:tcBorders>
          </w:tcPr>
          <w:p w14:paraId="0DE590F1"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0.0229</w:t>
            </w:r>
          </w:p>
        </w:tc>
        <w:tc>
          <w:tcPr>
            <w:tcW w:w="1080" w:type="dxa"/>
            <w:tcBorders>
              <w:top w:val="nil"/>
              <w:bottom w:val="nil"/>
            </w:tcBorders>
          </w:tcPr>
          <w:p w14:paraId="3AF627B2"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1.4379</w:t>
            </w:r>
          </w:p>
        </w:tc>
        <w:tc>
          <w:tcPr>
            <w:tcW w:w="898" w:type="dxa"/>
            <w:tcBorders>
              <w:top w:val="nil"/>
              <w:bottom w:val="nil"/>
            </w:tcBorders>
          </w:tcPr>
          <w:p w14:paraId="105DAFB5"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27.2020</w:t>
            </w:r>
          </w:p>
        </w:tc>
        <w:tc>
          <w:tcPr>
            <w:tcW w:w="1170" w:type="dxa"/>
            <w:tcBorders>
              <w:top w:val="nil"/>
              <w:bottom w:val="nil"/>
            </w:tcBorders>
          </w:tcPr>
          <w:p w14:paraId="752A76A3"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5.1133</w:t>
            </w:r>
          </w:p>
        </w:tc>
        <w:tc>
          <w:tcPr>
            <w:tcW w:w="1350" w:type="dxa"/>
            <w:tcBorders>
              <w:top w:val="nil"/>
              <w:bottom w:val="nil"/>
            </w:tcBorders>
          </w:tcPr>
          <w:p w14:paraId="79163AC8"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0.1212</w:t>
            </w:r>
          </w:p>
        </w:tc>
        <w:tc>
          <w:tcPr>
            <w:tcW w:w="1350" w:type="dxa"/>
            <w:tcBorders>
              <w:top w:val="nil"/>
              <w:bottom w:val="nil"/>
            </w:tcBorders>
          </w:tcPr>
          <w:p w14:paraId="64D9F654"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0.2028</w:t>
            </w:r>
          </w:p>
        </w:tc>
        <w:tc>
          <w:tcPr>
            <w:tcW w:w="1260" w:type="dxa"/>
            <w:tcBorders>
              <w:top w:val="nil"/>
              <w:bottom w:val="nil"/>
            </w:tcBorders>
          </w:tcPr>
          <w:p w14:paraId="18CBCF1B"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0.0422</w:t>
            </w:r>
          </w:p>
        </w:tc>
      </w:tr>
      <w:tr w:rsidR="001B34EC" w:rsidRPr="00345127" w14:paraId="35976A24" w14:textId="77777777" w:rsidTr="001B34EC">
        <w:trPr>
          <w:trHeight w:val="238"/>
        </w:trPr>
        <w:tc>
          <w:tcPr>
            <w:cnfStyle w:val="001000000000" w:firstRow="0" w:lastRow="0" w:firstColumn="1" w:lastColumn="0" w:oddVBand="0" w:evenVBand="0" w:oddHBand="0" w:evenHBand="0" w:firstRowFirstColumn="0" w:firstRowLastColumn="0" w:lastRowFirstColumn="0" w:lastRowLastColumn="0"/>
            <w:tcW w:w="990" w:type="dxa"/>
            <w:tcBorders>
              <w:top w:val="nil"/>
            </w:tcBorders>
          </w:tcPr>
          <w:p w14:paraId="50D7E43B" w14:textId="77777777" w:rsidR="001B34EC" w:rsidRPr="00345127" w:rsidRDefault="001B34EC" w:rsidP="001B34EC">
            <w:pPr>
              <w:spacing w:line="480" w:lineRule="auto"/>
              <w:jc w:val="both"/>
              <w:rPr>
                <w:rFonts w:eastAsia="Times New Roman"/>
                <w:b w:val="0"/>
                <w:bCs w:val="0"/>
              </w:rPr>
            </w:pPr>
            <w:proofErr w:type="spellStart"/>
            <w:r w:rsidRPr="00345127">
              <w:rPr>
                <w:rFonts w:eastAsia="Times New Roman"/>
              </w:rPr>
              <w:t>StDev</w:t>
            </w:r>
            <w:proofErr w:type="spellEnd"/>
          </w:p>
        </w:tc>
        <w:tc>
          <w:tcPr>
            <w:tcW w:w="902" w:type="dxa"/>
            <w:tcBorders>
              <w:top w:val="nil"/>
            </w:tcBorders>
          </w:tcPr>
          <w:p w14:paraId="055B7D69"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0.8327</w:t>
            </w:r>
          </w:p>
        </w:tc>
        <w:tc>
          <w:tcPr>
            <w:tcW w:w="990" w:type="dxa"/>
            <w:tcBorders>
              <w:top w:val="nil"/>
            </w:tcBorders>
          </w:tcPr>
          <w:p w14:paraId="21E6CDAF"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0.0515</w:t>
            </w:r>
          </w:p>
        </w:tc>
        <w:tc>
          <w:tcPr>
            <w:tcW w:w="900" w:type="dxa"/>
            <w:tcBorders>
              <w:top w:val="nil"/>
            </w:tcBorders>
          </w:tcPr>
          <w:p w14:paraId="2E6D7051"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0.0212</w:t>
            </w:r>
          </w:p>
        </w:tc>
        <w:tc>
          <w:tcPr>
            <w:tcW w:w="1080" w:type="dxa"/>
            <w:tcBorders>
              <w:top w:val="nil"/>
            </w:tcBorders>
          </w:tcPr>
          <w:p w14:paraId="377AA0AD"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1.7002</w:t>
            </w:r>
          </w:p>
        </w:tc>
        <w:tc>
          <w:tcPr>
            <w:tcW w:w="898" w:type="dxa"/>
            <w:tcBorders>
              <w:top w:val="nil"/>
            </w:tcBorders>
          </w:tcPr>
          <w:p w14:paraId="7672F119"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11.9413</w:t>
            </w:r>
          </w:p>
        </w:tc>
        <w:tc>
          <w:tcPr>
            <w:tcW w:w="1170" w:type="dxa"/>
            <w:tcBorders>
              <w:top w:val="nil"/>
            </w:tcBorders>
          </w:tcPr>
          <w:p w14:paraId="32984DA2"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1.0490</w:t>
            </w:r>
          </w:p>
        </w:tc>
        <w:tc>
          <w:tcPr>
            <w:tcW w:w="1350" w:type="dxa"/>
            <w:tcBorders>
              <w:top w:val="nil"/>
            </w:tcBorders>
          </w:tcPr>
          <w:p w14:paraId="17E71BF1"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0.0366</w:t>
            </w:r>
          </w:p>
        </w:tc>
        <w:tc>
          <w:tcPr>
            <w:tcW w:w="1350" w:type="dxa"/>
            <w:tcBorders>
              <w:top w:val="nil"/>
            </w:tcBorders>
          </w:tcPr>
          <w:p w14:paraId="1827A918"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0.2398</w:t>
            </w:r>
          </w:p>
        </w:tc>
        <w:tc>
          <w:tcPr>
            <w:tcW w:w="1260" w:type="dxa"/>
            <w:tcBorders>
              <w:top w:val="nil"/>
            </w:tcBorders>
          </w:tcPr>
          <w:p w14:paraId="448ECE91"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0.0136</w:t>
            </w:r>
          </w:p>
        </w:tc>
      </w:tr>
    </w:tbl>
    <w:p w14:paraId="0CCFBC46" w14:textId="77777777" w:rsidR="001B34EC" w:rsidRPr="00345127" w:rsidRDefault="001B34EC" w:rsidP="006A3A56">
      <w:pPr>
        <w:pStyle w:val="BodyText"/>
        <w:jc w:val="both"/>
        <w:rPr>
          <w:rFonts w:cs="Times New Roman"/>
        </w:rPr>
      </w:pPr>
    </w:p>
    <w:p w14:paraId="18769110" w14:textId="77777777" w:rsidR="002F665E" w:rsidRPr="00345127" w:rsidRDefault="001B34EC" w:rsidP="006A3A56">
      <w:pPr>
        <w:pStyle w:val="Heading3"/>
        <w:jc w:val="both"/>
        <w:rPr>
          <w:rFonts w:cs="Times New Roman"/>
          <w:b/>
          <w:color w:val="auto"/>
          <w:sz w:val="24"/>
          <w:szCs w:val="24"/>
        </w:rPr>
      </w:pPr>
      <w:bookmarkStart w:id="17" w:name="Xadd60c070b559fbcc5c1f794b4fe4325d9275ef"/>
      <w:bookmarkEnd w:id="16"/>
      <w:r w:rsidRPr="00345127">
        <w:rPr>
          <w:rFonts w:cs="Times New Roman"/>
          <w:b/>
          <w:color w:val="auto"/>
          <w:sz w:val="24"/>
          <w:szCs w:val="24"/>
        </w:rPr>
        <w:t>4.2 Visual Tracking of Sandbar Migration and Accretion</w:t>
      </w:r>
    </w:p>
    <w:p w14:paraId="17A7DF2B" w14:textId="77777777" w:rsidR="002F665E" w:rsidRPr="00345127" w:rsidRDefault="001B34EC" w:rsidP="006A3A56">
      <w:pPr>
        <w:pStyle w:val="FirstParagraph"/>
        <w:jc w:val="both"/>
        <w:rPr>
          <w:rFonts w:cs="Times New Roman"/>
        </w:rPr>
      </w:pPr>
      <w:r w:rsidRPr="00345127">
        <w:rPr>
          <w:rFonts w:cs="Times New Roman"/>
        </w:rPr>
        <w:t xml:space="preserve">Figures 2 and 3 map the evolution of the six sandbars from 2003 to 2023. Sandbar SB1, initially barely visible in 2003, became clearly emergent in 2013 and prominent by 2023. Similarly, SB2 exhibited a regrowth pattern declining in 2013 and expanding significantly by 2023, suggesting erosion followed by </w:t>
      </w:r>
      <w:r w:rsidRPr="00345127">
        <w:rPr>
          <w:rFonts w:cs="Times New Roman"/>
        </w:rPr>
        <w:lastRenderedPageBreak/>
        <w:t>accretion. SB3 remained prominent throughout but shifted laterally downstream, indicating migratory behavior typical of mid-channel bars under variable discharge regimes.</w:t>
      </w:r>
    </w:p>
    <w:p w14:paraId="1E292B9F" w14:textId="77777777" w:rsidR="001B34EC" w:rsidRPr="00345127" w:rsidRDefault="001B34EC" w:rsidP="001B34EC">
      <w:pPr>
        <w:pStyle w:val="BodyText"/>
      </w:pPr>
      <w:r w:rsidRPr="00345127">
        <w:rPr>
          <w:rFonts w:cs="Times New Roman"/>
          <w:noProof/>
        </w:rPr>
        <w:drawing>
          <wp:inline distT="0" distB="0" distL="0" distR="0" wp14:anchorId="64D9E31B" wp14:editId="05F1DFD5">
            <wp:extent cx="5417820" cy="3157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26824" cy="3163507"/>
                    </a:xfrm>
                    <a:prstGeom prst="rect">
                      <a:avLst/>
                    </a:prstGeom>
                    <a:noFill/>
                    <a:ln>
                      <a:noFill/>
                    </a:ln>
                  </pic:spPr>
                </pic:pic>
              </a:graphicData>
            </a:graphic>
          </wp:inline>
        </w:drawing>
      </w:r>
    </w:p>
    <w:p w14:paraId="2C7B32AD" w14:textId="77777777" w:rsidR="001B34EC" w:rsidRPr="00345127" w:rsidRDefault="001B34EC" w:rsidP="001B34EC">
      <w:pPr>
        <w:pStyle w:val="BodyText"/>
      </w:pPr>
      <w:r w:rsidRPr="00345127">
        <w:t xml:space="preserve">Figure 2: Sand Bars along River </w:t>
      </w:r>
      <w:proofErr w:type="spellStart"/>
      <w:r w:rsidRPr="00345127">
        <w:t>Forcados</w:t>
      </w:r>
      <w:proofErr w:type="spellEnd"/>
      <w:r w:rsidRPr="00345127">
        <w:t xml:space="preserve">, </w:t>
      </w:r>
      <w:proofErr w:type="spellStart"/>
      <w:r w:rsidRPr="00345127">
        <w:t>Sagbama</w:t>
      </w:r>
      <w:proofErr w:type="spellEnd"/>
      <w:r w:rsidRPr="00345127">
        <w:t xml:space="preserve"> LGA (2003–2023) Bayelsa State, Nigeria </w:t>
      </w:r>
    </w:p>
    <w:p w14:paraId="0D53EE5E" w14:textId="77777777" w:rsidR="001B34EC" w:rsidRPr="00345127" w:rsidRDefault="001B34EC" w:rsidP="001B34EC">
      <w:pPr>
        <w:pStyle w:val="BodyText"/>
      </w:pPr>
      <w:r w:rsidRPr="00345127">
        <w:rPr>
          <w:rFonts w:cs="Times New Roman"/>
          <w:noProof/>
        </w:rPr>
        <w:drawing>
          <wp:inline distT="0" distB="0" distL="0" distR="0" wp14:anchorId="5B80D782" wp14:editId="78D887BD">
            <wp:extent cx="5490210" cy="343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9"/>
                    <a:stretch>
                      <a:fillRect/>
                    </a:stretch>
                  </pic:blipFill>
                  <pic:spPr>
                    <a:xfrm>
                      <a:off x="0" y="0"/>
                      <a:ext cx="5503994" cy="3444035"/>
                    </a:xfrm>
                    <a:prstGeom prst="rect">
                      <a:avLst/>
                    </a:prstGeom>
                  </pic:spPr>
                </pic:pic>
              </a:graphicData>
            </a:graphic>
          </wp:inline>
        </w:drawing>
      </w:r>
    </w:p>
    <w:p w14:paraId="67EC459E" w14:textId="77777777" w:rsidR="001B34EC" w:rsidRPr="00345127" w:rsidRDefault="001B34EC" w:rsidP="001B34EC">
      <w:pPr>
        <w:pStyle w:val="BodyText"/>
      </w:pPr>
      <w:r w:rsidRPr="00345127">
        <w:t xml:space="preserve">Figure 3: Spatial Distribution of Sand Bars, River </w:t>
      </w:r>
      <w:proofErr w:type="spellStart"/>
      <w:r w:rsidRPr="00345127">
        <w:t>Forcados</w:t>
      </w:r>
      <w:proofErr w:type="spellEnd"/>
      <w:r w:rsidRPr="00345127">
        <w:t xml:space="preserve"> (2003–2023) Bayelsa State, Nigeria</w:t>
      </w:r>
    </w:p>
    <w:p w14:paraId="6E37A473" w14:textId="4856E498" w:rsidR="002F665E" w:rsidRPr="00345127" w:rsidRDefault="001B34EC" w:rsidP="006A3A56">
      <w:pPr>
        <w:pStyle w:val="BodyText"/>
        <w:jc w:val="both"/>
        <w:rPr>
          <w:rFonts w:cs="Times New Roman"/>
        </w:rPr>
      </w:pPr>
      <w:r w:rsidRPr="00345127">
        <w:rPr>
          <w:rFonts w:cs="Times New Roman"/>
        </w:rPr>
        <w:t xml:space="preserve">SB4 displayed a gradual increase in area and compactness, reflecting accretion. SB5, initially island-like, maintained its shape and became vegetated, while SB6 showed consistent linear expansion across all </w:t>
      </w:r>
      <w:r w:rsidRPr="00345127">
        <w:rPr>
          <w:rFonts w:cs="Times New Roman"/>
        </w:rPr>
        <w:lastRenderedPageBreak/>
        <w:t xml:space="preserve">epochs. These trends are further summarized in Table </w:t>
      </w:r>
      <w:r w:rsidR="00B04581">
        <w:rPr>
          <w:rFonts w:cs="Times New Roman"/>
        </w:rPr>
        <w:t>3</w:t>
      </w:r>
      <w:r w:rsidRPr="00345127">
        <w:rPr>
          <w:rFonts w:cs="Times New Roman"/>
        </w:rPr>
        <w:t>, which classifies the evolutionary status of each sandbar based on temporal visibility and morphological shifts.</w:t>
      </w:r>
    </w:p>
    <w:p w14:paraId="67ACB8C0" w14:textId="77777777" w:rsidR="002F665E" w:rsidRPr="00345127" w:rsidRDefault="001B34EC" w:rsidP="006A3A56">
      <w:pPr>
        <w:pStyle w:val="BodyText"/>
        <w:jc w:val="both"/>
        <w:rPr>
          <w:rFonts w:cs="Times New Roman"/>
        </w:rPr>
      </w:pPr>
      <w:r w:rsidRPr="00345127">
        <w:rPr>
          <w:rFonts w:cs="Times New Roman"/>
        </w:rPr>
        <w:t>Google Earth imagery snapshots (Figure 4) provided temporal validation of these changes, with dry season exposures revealing the footprint expansion of SB1 and SB5 in particular. These visual cues correlated strongly with classification outputs from NDWI and polygon extraction layers.</w:t>
      </w:r>
    </w:p>
    <w:p w14:paraId="68388A05" w14:textId="77777777" w:rsidR="001B34EC" w:rsidRPr="00345127" w:rsidRDefault="001B34EC" w:rsidP="006A3A56">
      <w:pPr>
        <w:pStyle w:val="BodyText"/>
        <w:jc w:val="both"/>
        <w:rPr>
          <w:rFonts w:cs="Times New Roman"/>
        </w:rPr>
      </w:pPr>
      <w:r w:rsidRPr="00345127">
        <w:rPr>
          <w:rFonts w:cs="Times New Roman"/>
          <w:noProof/>
        </w:rPr>
        <w:drawing>
          <wp:inline distT="0" distB="0" distL="0" distR="0" wp14:anchorId="25DC64FC" wp14:editId="131ACCAD">
            <wp:extent cx="5152058" cy="7067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154574" cy="7071002"/>
                    </a:xfrm>
                    <a:prstGeom prst="rect">
                      <a:avLst/>
                    </a:prstGeom>
                    <a:noFill/>
                    <a:ln>
                      <a:noFill/>
                    </a:ln>
                  </pic:spPr>
                </pic:pic>
              </a:graphicData>
            </a:graphic>
          </wp:inline>
        </w:drawing>
      </w:r>
    </w:p>
    <w:p w14:paraId="5C13CDB6" w14:textId="77777777" w:rsidR="001B34EC" w:rsidRPr="00345127" w:rsidRDefault="001B34EC" w:rsidP="001B34EC">
      <w:pPr>
        <w:pStyle w:val="BodyText"/>
        <w:jc w:val="both"/>
        <w:rPr>
          <w:rFonts w:cs="Times New Roman"/>
        </w:rPr>
      </w:pPr>
      <w:r w:rsidRPr="00345127">
        <w:rPr>
          <w:rFonts w:cs="Times New Roman"/>
        </w:rPr>
        <w:lastRenderedPageBreak/>
        <w:t xml:space="preserve">Figure 4: Google Earth Snapshot of Sand Bars, River </w:t>
      </w:r>
      <w:proofErr w:type="spellStart"/>
      <w:r w:rsidRPr="00345127">
        <w:rPr>
          <w:rFonts w:cs="Times New Roman"/>
        </w:rPr>
        <w:t>Forcados</w:t>
      </w:r>
      <w:proofErr w:type="spellEnd"/>
      <w:r w:rsidRPr="00345127">
        <w:rPr>
          <w:rFonts w:cs="Times New Roman"/>
        </w:rPr>
        <w:t xml:space="preserve"> (2003–2023)</w:t>
      </w:r>
      <w:r w:rsidRPr="00345127">
        <w:t xml:space="preserve"> Bayelsa State, Nigeria</w:t>
      </w:r>
    </w:p>
    <w:p w14:paraId="7EC7AE88" w14:textId="77777777" w:rsidR="002F665E" w:rsidRPr="00345127" w:rsidRDefault="001B34EC" w:rsidP="006A3A56">
      <w:pPr>
        <w:pStyle w:val="Heading3"/>
        <w:jc w:val="both"/>
        <w:rPr>
          <w:rFonts w:cs="Times New Roman"/>
          <w:color w:val="auto"/>
          <w:sz w:val="24"/>
          <w:szCs w:val="24"/>
        </w:rPr>
      </w:pPr>
      <w:bookmarkStart w:id="18" w:name="morphometric-relationship-analysis"/>
      <w:bookmarkEnd w:id="17"/>
      <w:r w:rsidRPr="00345127">
        <w:rPr>
          <w:rFonts w:cs="Times New Roman"/>
          <w:color w:val="auto"/>
          <w:sz w:val="24"/>
          <w:szCs w:val="24"/>
        </w:rPr>
        <w:t>4.3 Morphometric Relationship Analysis</w:t>
      </w:r>
    </w:p>
    <w:p w14:paraId="4D7F9B6E" w14:textId="77777777" w:rsidR="002F665E" w:rsidRPr="00345127" w:rsidRDefault="001B34EC" w:rsidP="006A3A56">
      <w:pPr>
        <w:pStyle w:val="FirstParagraph"/>
        <w:jc w:val="both"/>
        <w:rPr>
          <w:rFonts w:cs="Times New Roman"/>
        </w:rPr>
      </w:pPr>
      <w:r w:rsidRPr="00345127">
        <w:rPr>
          <w:rFonts w:cs="Times New Roman"/>
        </w:rPr>
        <w:t xml:space="preserve">The geometric relationships between sandbar attributes were statistically significant. Figure 5 presents a cross-plot of sandbar </w:t>
      </w:r>
      <w:r w:rsidRPr="00345127">
        <w:rPr>
          <w:rFonts w:cs="Times New Roman"/>
          <w:bCs/>
        </w:rPr>
        <w:t>length versus area</w:t>
      </w:r>
      <w:r w:rsidRPr="00345127">
        <w:rPr>
          <w:rFonts w:cs="Times New Roman"/>
        </w:rPr>
        <w:t xml:space="preserve">, revealing a strong positive correlation with </w:t>
      </w:r>
      <w:r w:rsidRPr="00345127">
        <w:rPr>
          <w:rFonts w:cs="Times New Roman"/>
          <w:bCs/>
        </w:rPr>
        <w:t>R² = 0.9695</w:t>
      </w:r>
      <w:r w:rsidRPr="00345127">
        <w:rPr>
          <w:rFonts w:cs="Times New Roman"/>
        </w:rPr>
        <w:t>. This indicates that longer sandbars also tend to possess larger surface areas, a reflection of depositional continuity along flow axes.</w:t>
      </w:r>
    </w:p>
    <w:p w14:paraId="337AA6C0" w14:textId="2C9DAD5A" w:rsidR="002F665E" w:rsidRPr="00345127" w:rsidRDefault="001B34EC" w:rsidP="006A3A56">
      <w:pPr>
        <w:pStyle w:val="BodyText"/>
        <w:jc w:val="both"/>
        <w:rPr>
          <w:rFonts w:cs="Times New Roman"/>
        </w:rPr>
      </w:pPr>
      <w:r w:rsidRPr="00345127">
        <w:rPr>
          <w:rFonts w:cs="Times New Roman"/>
        </w:rPr>
        <w:t xml:space="preserve">Figure </w:t>
      </w:r>
      <w:r w:rsidR="00E37009">
        <w:rPr>
          <w:rFonts w:cs="Times New Roman"/>
        </w:rPr>
        <w:t>5</w:t>
      </w:r>
      <w:r w:rsidRPr="00345127">
        <w:rPr>
          <w:rFonts w:cs="Times New Roman"/>
        </w:rPr>
        <w:t xml:space="preserve"> plots </w:t>
      </w:r>
      <w:r w:rsidRPr="00345127">
        <w:rPr>
          <w:rFonts w:cs="Times New Roman"/>
          <w:bCs/>
        </w:rPr>
        <w:t>width versus area</w:t>
      </w:r>
      <w:r w:rsidRPr="00345127">
        <w:rPr>
          <w:rFonts w:cs="Times New Roman"/>
        </w:rPr>
        <w:t>, again showing a high correlation (</w:t>
      </w:r>
      <w:r w:rsidRPr="00345127">
        <w:rPr>
          <w:rFonts w:cs="Times New Roman"/>
          <w:bCs/>
        </w:rPr>
        <w:t>R² = 0.9936</w:t>
      </w:r>
      <w:r w:rsidRPr="00345127">
        <w:rPr>
          <w:rFonts w:cs="Times New Roman"/>
        </w:rPr>
        <w:t xml:space="preserve">), reinforcing the observation that both lateral and longitudinal expansions are synchronized in the development of these bars. Figure </w:t>
      </w:r>
      <w:r w:rsidR="00E37009">
        <w:rPr>
          <w:rFonts w:cs="Times New Roman"/>
        </w:rPr>
        <w:t>5</w:t>
      </w:r>
      <w:r w:rsidRPr="00345127">
        <w:rPr>
          <w:rFonts w:cs="Times New Roman"/>
        </w:rPr>
        <w:t xml:space="preserve">s </w:t>
      </w:r>
      <w:r w:rsidRPr="00345127">
        <w:rPr>
          <w:rFonts w:cs="Times New Roman"/>
          <w:bCs/>
        </w:rPr>
        <w:t>length versus width</w:t>
      </w:r>
      <w:r w:rsidRPr="00345127">
        <w:rPr>
          <w:rFonts w:cs="Times New Roman"/>
        </w:rPr>
        <w:t xml:space="preserve"> cross-plot yields </w:t>
      </w:r>
      <w:r w:rsidRPr="00345127">
        <w:rPr>
          <w:rFonts w:cs="Times New Roman"/>
          <w:bCs/>
        </w:rPr>
        <w:t>R² = 0.9909</w:t>
      </w:r>
      <w:r w:rsidRPr="00345127">
        <w:rPr>
          <w:rFonts w:cs="Times New Roman"/>
        </w:rPr>
        <w:t>, confirming that sandbar geometry is governed by consistent depositional and flow-driven dynamics.</w:t>
      </w:r>
    </w:p>
    <w:p w14:paraId="035BDAC9" w14:textId="77777777" w:rsidR="002F665E" w:rsidRPr="00345127" w:rsidRDefault="001B34EC" w:rsidP="006A3A56">
      <w:pPr>
        <w:pStyle w:val="BodyText"/>
        <w:jc w:val="both"/>
        <w:rPr>
          <w:rFonts w:cs="Times New Roman"/>
        </w:rPr>
      </w:pPr>
      <w:r w:rsidRPr="00345127">
        <w:rPr>
          <w:rFonts w:cs="Times New Roman"/>
        </w:rPr>
        <w:t>These high correlation values across all pairwise comparisons validate the classification methodology and reflect the physical behavior of fluvial sediment deposition under constant flow variability.</w:t>
      </w:r>
    </w:p>
    <w:p w14:paraId="75E50BFC" w14:textId="77777777" w:rsidR="001B34EC" w:rsidRPr="00345127" w:rsidRDefault="001B34EC" w:rsidP="001B34EC">
      <w:pPr>
        <w:spacing w:line="480" w:lineRule="auto"/>
        <w:jc w:val="both"/>
        <w:rPr>
          <w:rFonts w:ascii="Times New Roman" w:hAnsi="Times New Roman" w:cs="Times New Roman"/>
        </w:rPr>
      </w:pPr>
    </w:p>
    <w:p w14:paraId="6F09C0E0" w14:textId="77777777" w:rsidR="001B34EC" w:rsidRPr="00345127" w:rsidRDefault="001B34EC" w:rsidP="001B34EC">
      <w:pPr>
        <w:spacing w:after="0" w:line="480" w:lineRule="auto"/>
        <w:jc w:val="both"/>
        <w:rPr>
          <w:rFonts w:ascii="Times New Roman" w:hAnsi="Times New Roman" w:cs="Times New Roman"/>
        </w:rPr>
      </w:pPr>
      <w:r w:rsidRPr="00345127">
        <w:rPr>
          <w:rFonts w:ascii="Times New Roman" w:hAnsi="Times New Roman" w:cs="Times New Roman"/>
          <w:noProof/>
        </w:rPr>
        <w:drawing>
          <wp:inline distT="0" distB="0" distL="0" distR="0" wp14:anchorId="062AB403" wp14:editId="2F487C2E">
            <wp:extent cx="5431790" cy="3277590"/>
            <wp:effectExtent l="0" t="0" r="1651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3934A7" w14:textId="77777777" w:rsidR="001B34EC" w:rsidRPr="00345127" w:rsidRDefault="001B34EC" w:rsidP="001B34EC">
      <w:pPr>
        <w:spacing w:line="480" w:lineRule="auto"/>
        <w:jc w:val="both"/>
        <w:rPr>
          <w:rFonts w:ascii="Times New Roman" w:hAnsi="Times New Roman" w:cs="Times New Roman"/>
        </w:rPr>
      </w:pPr>
      <w:r w:rsidRPr="00345127">
        <w:rPr>
          <w:rFonts w:ascii="Times New Roman" w:hAnsi="Times New Roman" w:cs="Times New Roman"/>
        </w:rPr>
        <w:t>Figure 5: Cross plot between the length and area of all identified sand bars (R</w:t>
      </w:r>
      <w:r w:rsidRPr="00345127">
        <w:rPr>
          <w:rFonts w:ascii="Times New Roman" w:hAnsi="Times New Roman" w:cs="Times New Roman"/>
          <w:vertAlign w:val="superscript"/>
        </w:rPr>
        <w:t>2</w:t>
      </w:r>
      <w:r w:rsidRPr="00345127">
        <w:rPr>
          <w:rFonts w:ascii="Times New Roman" w:hAnsi="Times New Roman" w:cs="Times New Roman"/>
        </w:rPr>
        <w:t>=0.9695)</w:t>
      </w:r>
    </w:p>
    <w:p w14:paraId="01A5DE70" w14:textId="77777777" w:rsidR="001B34EC" w:rsidRPr="00345127" w:rsidRDefault="001B34EC" w:rsidP="001B34EC">
      <w:pPr>
        <w:spacing w:line="480" w:lineRule="auto"/>
        <w:jc w:val="both"/>
        <w:rPr>
          <w:rFonts w:ascii="Times New Roman" w:hAnsi="Times New Roman" w:cs="Times New Roman"/>
        </w:rPr>
      </w:pPr>
    </w:p>
    <w:p w14:paraId="53531427" w14:textId="77777777" w:rsidR="001B34EC" w:rsidRPr="00345127" w:rsidRDefault="001B34EC" w:rsidP="001B34EC">
      <w:pPr>
        <w:spacing w:line="480" w:lineRule="auto"/>
        <w:jc w:val="both"/>
        <w:rPr>
          <w:rFonts w:ascii="Times New Roman" w:hAnsi="Times New Roman" w:cs="Times New Roman"/>
        </w:rPr>
      </w:pPr>
      <w:r w:rsidRPr="00345127">
        <w:rPr>
          <w:rFonts w:ascii="Times New Roman" w:hAnsi="Times New Roman" w:cs="Times New Roman"/>
          <w:noProof/>
        </w:rPr>
        <w:lastRenderedPageBreak/>
        <w:drawing>
          <wp:inline distT="0" distB="0" distL="0" distR="0" wp14:anchorId="0AD0C72F" wp14:editId="0675FAB8">
            <wp:extent cx="5445125" cy="3384468"/>
            <wp:effectExtent l="0" t="0" r="3175" b="69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38EF1E" w14:textId="77777777" w:rsidR="001B34EC" w:rsidRPr="00345127" w:rsidRDefault="001B34EC" w:rsidP="001B34EC">
      <w:pPr>
        <w:spacing w:line="480" w:lineRule="auto"/>
        <w:jc w:val="both"/>
        <w:rPr>
          <w:rFonts w:ascii="Times New Roman" w:hAnsi="Times New Roman" w:cs="Times New Roman"/>
        </w:rPr>
      </w:pPr>
      <w:r w:rsidRPr="00345127">
        <w:rPr>
          <w:rFonts w:ascii="Times New Roman" w:hAnsi="Times New Roman" w:cs="Times New Roman"/>
        </w:rPr>
        <w:t>Figure 6: Cross plot between the width and area of all identified sand bars (R</w:t>
      </w:r>
      <w:r w:rsidRPr="00345127">
        <w:rPr>
          <w:rFonts w:ascii="Times New Roman" w:hAnsi="Times New Roman" w:cs="Times New Roman"/>
          <w:vertAlign w:val="superscript"/>
        </w:rPr>
        <w:t>2</w:t>
      </w:r>
      <w:r w:rsidRPr="00345127">
        <w:rPr>
          <w:rFonts w:ascii="Times New Roman" w:hAnsi="Times New Roman" w:cs="Times New Roman"/>
        </w:rPr>
        <w:t>=0.9936)</w:t>
      </w:r>
    </w:p>
    <w:p w14:paraId="643A13C2" w14:textId="77777777" w:rsidR="001B34EC" w:rsidRPr="00345127" w:rsidRDefault="001B34EC" w:rsidP="001B34EC">
      <w:pPr>
        <w:spacing w:after="0" w:line="480" w:lineRule="auto"/>
        <w:ind w:firstLine="720"/>
        <w:jc w:val="both"/>
        <w:rPr>
          <w:rFonts w:ascii="Times New Roman" w:hAnsi="Times New Roman" w:cs="Times New Roman"/>
        </w:rPr>
      </w:pPr>
    </w:p>
    <w:p w14:paraId="2314ECB8" w14:textId="77777777" w:rsidR="001B34EC" w:rsidRPr="00345127" w:rsidRDefault="001B34EC" w:rsidP="001B34EC">
      <w:pPr>
        <w:spacing w:after="0" w:line="480" w:lineRule="auto"/>
        <w:jc w:val="both"/>
        <w:rPr>
          <w:rFonts w:ascii="Times New Roman" w:hAnsi="Times New Roman" w:cs="Times New Roman"/>
        </w:rPr>
      </w:pPr>
    </w:p>
    <w:p w14:paraId="74CA1041" w14:textId="77777777" w:rsidR="001B34EC" w:rsidRPr="00345127" w:rsidRDefault="001B34EC" w:rsidP="001B34EC">
      <w:pPr>
        <w:spacing w:after="0" w:line="480" w:lineRule="auto"/>
        <w:ind w:firstLine="90"/>
        <w:jc w:val="both"/>
        <w:rPr>
          <w:rFonts w:ascii="Times New Roman" w:hAnsi="Times New Roman" w:cs="Times New Roman"/>
        </w:rPr>
      </w:pPr>
      <w:r w:rsidRPr="00345127">
        <w:rPr>
          <w:rFonts w:ascii="Times New Roman" w:hAnsi="Times New Roman" w:cs="Times New Roman"/>
          <w:noProof/>
        </w:rPr>
        <w:drawing>
          <wp:inline distT="0" distB="0" distL="0" distR="0" wp14:anchorId="7720117F" wp14:editId="244C3F3B">
            <wp:extent cx="5404485" cy="2945081"/>
            <wp:effectExtent l="0" t="0" r="571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DE7D69" w14:textId="77777777" w:rsidR="001B34EC" w:rsidRPr="00345127" w:rsidRDefault="001B34EC" w:rsidP="001B34EC">
      <w:pPr>
        <w:spacing w:line="480" w:lineRule="auto"/>
        <w:jc w:val="both"/>
        <w:rPr>
          <w:rFonts w:ascii="Times New Roman" w:hAnsi="Times New Roman" w:cs="Times New Roman"/>
        </w:rPr>
      </w:pPr>
      <w:r w:rsidRPr="00345127">
        <w:rPr>
          <w:rFonts w:ascii="Times New Roman" w:hAnsi="Times New Roman" w:cs="Times New Roman"/>
        </w:rPr>
        <w:t>Figure 7: Cross plot between the length and width of all identified sand bars (R</w:t>
      </w:r>
      <w:r w:rsidRPr="00345127">
        <w:rPr>
          <w:rFonts w:ascii="Times New Roman" w:hAnsi="Times New Roman" w:cs="Times New Roman"/>
          <w:vertAlign w:val="superscript"/>
        </w:rPr>
        <w:t>2</w:t>
      </w:r>
      <w:r w:rsidRPr="00345127">
        <w:rPr>
          <w:rFonts w:ascii="Times New Roman" w:hAnsi="Times New Roman" w:cs="Times New Roman"/>
        </w:rPr>
        <w:t>=0.9909)</w:t>
      </w:r>
    </w:p>
    <w:p w14:paraId="207DD8EC" w14:textId="77777777" w:rsidR="001B34EC" w:rsidRPr="00345127" w:rsidRDefault="001B34EC" w:rsidP="006A3A56">
      <w:pPr>
        <w:pStyle w:val="BodyText"/>
        <w:jc w:val="both"/>
        <w:rPr>
          <w:rFonts w:cs="Times New Roman"/>
        </w:rPr>
      </w:pPr>
    </w:p>
    <w:p w14:paraId="16F79CEB" w14:textId="77777777" w:rsidR="002F665E" w:rsidRPr="00345127" w:rsidRDefault="001B34EC" w:rsidP="006A3A56">
      <w:pPr>
        <w:pStyle w:val="Heading3"/>
        <w:jc w:val="both"/>
        <w:rPr>
          <w:rFonts w:cs="Times New Roman"/>
          <w:color w:val="auto"/>
          <w:sz w:val="24"/>
          <w:szCs w:val="24"/>
        </w:rPr>
      </w:pPr>
      <w:bookmarkStart w:id="19" w:name="spatial-autocorrelation-with-elevation"/>
      <w:bookmarkEnd w:id="18"/>
      <w:r w:rsidRPr="00345127">
        <w:rPr>
          <w:rFonts w:cs="Times New Roman"/>
          <w:color w:val="auto"/>
          <w:sz w:val="24"/>
          <w:szCs w:val="24"/>
        </w:rPr>
        <w:t>4.4 Spatial Autocorrelation with Elevation</w:t>
      </w:r>
    </w:p>
    <w:p w14:paraId="344BAC47" w14:textId="4F5F7307" w:rsidR="002F665E" w:rsidRPr="00345127" w:rsidRDefault="001B34EC" w:rsidP="006A3A56">
      <w:pPr>
        <w:pStyle w:val="FirstParagraph"/>
        <w:jc w:val="both"/>
        <w:rPr>
          <w:rFonts w:cs="Times New Roman"/>
        </w:rPr>
      </w:pPr>
      <w:r w:rsidRPr="00345127">
        <w:rPr>
          <w:rFonts w:cs="Times New Roman"/>
        </w:rPr>
        <w:t xml:space="preserve">Spatial clustering analysis using </w:t>
      </w:r>
      <w:r w:rsidRPr="00345127">
        <w:rPr>
          <w:rFonts w:cs="Times New Roman"/>
          <w:bCs/>
        </w:rPr>
        <w:t>Moran’s I</w:t>
      </w:r>
      <w:r w:rsidRPr="00345127">
        <w:rPr>
          <w:rFonts w:cs="Times New Roman"/>
        </w:rPr>
        <w:t xml:space="preserve"> statistic further reveals the spatial distribution tendencies of sandbars. Table </w:t>
      </w:r>
      <w:r w:rsidR="00B04581">
        <w:rPr>
          <w:rFonts w:cs="Times New Roman"/>
        </w:rPr>
        <w:t>4</w:t>
      </w:r>
      <w:r w:rsidRPr="00345127">
        <w:rPr>
          <w:rFonts w:cs="Times New Roman"/>
        </w:rPr>
        <w:t xml:space="preserve"> shows the computed </w:t>
      </w:r>
      <w:r w:rsidRPr="00345127">
        <w:rPr>
          <w:rFonts w:cs="Times New Roman"/>
          <w:bCs/>
        </w:rPr>
        <w:t>Global Moran’s Index = 0.5147</w:t>
      </w:r>
      <w:r w:rsidRPr="00345127">
        <w:rPr>
          <w:rFonts w:cs="Times New Roman"/>
        </w:rPr>
        <w:t xml:space="preserve">, with a </w:t>
      </w:r>
      <w:r w:rsidRPr="00345127">
        <w:rPr>
          <w:rFonts w:cs="Times New Roman"/>
          <w:bCs/>
        </w:rPr>
        <w:t>Z-score = 15.45</w:t>
      </w:r>
      <w:r w:rsidRPr="00345127">
        <w:rPr>
          <w:rFonts w:cs="Times New Roman"/>
        </w:rPr>
        <w:t xml:space="preserve"> and </w:t>
      </w:r>
      <w:r w:rsidRPr="00345127">
        <w:rPr>
          <w:rFonts w:cs="Times New Roman"/>
          <w:bCs/>
        </w:rPr>
        <w:t>p &lt; 0.0001</w:t>
      </w:r>
      <w:r w:rsidRPr="00345127">
        <w:rPr>
          <w:rFonts w:cs="Times New Roman"/>
        </w:rPr>
        <w:t>, indicating statistically significant clustering of sandbars relative to elevation.</w:t>
      </w:r>
    </w:p>
    <w:p w14:paraId="561CEF84" w14:textId="14A60B7A" w:rsidR="00752BFA" w:rsidRPr="00345127" w:rsidRDefault="00752BFA" w:rsidP="00EB6E7A">
      <w:pPr>
        <w:spacing w:before="100" w:beforeAutospacing="1" w:after="100" w:afterAutospacing="1" w:line="276" w:lineRule="auto"/>
        <w:jc w:val="both"/>
        <w:rPr>
          <w:rFonts w:ascii="Times New Roman" w:eastAsia="Times New Roman" w:hAnsi="Times New Roman" w:cs="Times New Roman"/>
        </w:rPr>
      </w:pPr>
      <w:r w:rsidRPr="00345127">
        <w:rPr>
          <w:rFonts w:ascii="Times New Roman" w:hAnsi="Times New Roman" w:cs="Times New Roman"/>
        </w:rPr>
        <w:t xml:space="preserve">Table </w:t>
      </w:r>
      <w:r w:rsidR="00B04581">
        <w:rPr>
          <w:rFonts w:ascii="Times New Roman" w:hAnsi="Times New Roman" w:cs="Times New Roman"/>
        </w:rPr>
        <w:t>4</w:t>
      </w:r>
      <w:r w:rsidRPr="00345127">
        <w:rPr>
          <w:rFonts w:ascii="Times New Roman" w:hAnsi="Times New Roman" w:cs="Times New Roman"/>
        </w:rPr>
        <w:t xml:space="preserve">: Spatial autocorrelation result between Sand bar and elevation in </w:t>
      </w:r>
      <w:proofErr w:type="spellStart"/>
      <w:r w:rsidR="00EB6E7A" w:rsidRPr="00345127">
        <w:rPr>
          <w:rFonts w:ascii="Times New Roman" w:hAnsi="Times New Roman" w:cs="Times New Roman"/>
        </w:rPr>
        <w:t>Forcados</w:t>
      </w:r>
      <w:proofErr w:type="spellEnd"/>
      <w:r w:rsidR="00EB6E7A" w:rsidRPr="00345127">
        <w:rPr>
          <w:rFonts w:ascii="Times New Roman" w:hAnsi="Times New Roman" w:cs="Times New Roman"/>
        </w:rPr>
        <w:t xml:space="preserve"> River</w:t>
      </w:r>
      <w:r w:rsidRPr="00345127">
        <w:rPr>
          <w:rFonts w:ascii="Times New Roman" w:hAnsi="Times New Roman" w:cs="Times New Roman"/>
        </w:rPr>
        <w:t>, in Niger Delta</w:t>
      </w:r>
    </w:p>
    <w:tbl>
      <w:tblPr>
        <w:tblW w:w="7926" w:type="dxa"/>
        <w:tblInd w:w="-5" w:type="dxa"/>
        <w:tblLayout w:type="fixed"/>
        <w:tblLook w:val="04A0" w:firstRow="1" w:lastRow="0" w:firstColumn="1" w:lastColumn="0" w:noHBand="0" w:noVBand="1"/>
      </w:tblPr>
      <w:tblGrid>
        <w:gridCol w:w="4259"/>
        <w:gridCol w:w="3667"/>
      </w:tblGrid>
      <w:tr w:rsidR="00752BFA" w:rsidRPr="00345127" w14:paraId="430C6064" w14:textId="77777777" w:rsidTr="00D14738">
        <w:trPr>
          <w:trHeight w:val="420"/>
        </w:trPr>
        <w:tc>
          <w:tcPr>
            <w:tcW w:w="4259" w:type="dxa"/>
            <w:tcBorders>
              <w:top w:val="single" w:sz="4" w:space="0" w:color="auto"/>
              <w:bottom w:val="single" w:sz="4" w:space="0" w:color="auto"/>
            </w:tcBorders>
            <w:vAlign w:val="bottom"/>
          </w:tcPr>
          <w:p w14:paraId="2F1D7EFC" w14:textId="77777777" w:rsidR="00752BFA" w:rsidRPr="00345127" w:rsidRDefault="00752BFA" w:rsidP="00EB6E7A">
            <w:pPr>
              <w:spacing w:after="0" w:line="276" w:lineRule="auto"/>
              <w:jc w:val="both"/>
              <w:rPr>
                <w:rFonts w:ascii="Times New Roman" w:eastAsia="Times New Roman" w:hAnsi="Times New Roman" w:cs="Times New Roman"/>
                <w:b/>
              </w:rPr>
            </w:pPr>
            <w:r w:rsidRPr="00345127">
              <w:rPr>
                <w:rFonts w:ascii="Times New Roman" w:eastAsia="Times New Roman" w:hAnsi="Times New Roman" w:cs="Times New Roman"/>
                <w:b/>
              </w:rPr>
              <w:t>Global Moran’s</w:t>
            </w:r>
          </w:p>
        </w:tc>
        <w:tc>
          <w:tcPr>
            <w:tcW w:w="3667" w:type="dxa"/>
            <w:tcBorders>
              <w:top w:val="single" w:sz="4" w:space="0" w:color="auto"/>
              <w:bottom w:val="single" w:sz="4" w:space="0" w:color="auto"/>
            </w:tcBorders>
            <w:vAlign w:val="bottom"/>
          </w:tcPr>
          <w:p w14:paraId="199D4FD5" w14:textId="77777777" w:rsidR="00752BFA" w:rsidRPr="00345127" w:rsidRDefault="00752BFA" w:rsidP="00EB6E7A">
            <w:pPr>
              <w:spacing w:after="0" w:line="276" w:lineRule="auto"/>
              <w:jc w:val="both"/>
              <w:rPr>
                <w:rFonts w:ascii="Times New Roman" w:eastAsia="Times New Roman" w:hAnsi="Times New Roman" w:cs="Times New Roman"/>
                <w:b/>
              </w:rPr>
            </w:pPr>
            <w:r w:rsidRPr="00345127">
              <w:rPr>
                <w:rFonts w:ascii="Times New Roman" w:eastAsia="Times New Roman" w:hAnsi="Times New Roman" w:cs="Times New Roman"/>
                <w:b/>
              </w:rPr>
              <w:t>Summary</w:t>
            </w:r>
          </w:p>
        </w:tc>
      </w:tr>
      <w:tr w:rsidR="00752BFA" w:rsidRPr="00345127" w14:paraId="00B3B438" w14:textId="77777777" w:rsidTr="00D14738">
        <w:trPr>
          <w:trHeight w:val="580"/>
        </w:trPr>
        <w:tc>
          <w:tcPr>
            <w:tcW w:w="4259" w:type="dxa"/>
            <w:tcBorders>
              <w:top w:val="single" w:sz="4" w:space="0" w:color="auto"/>
            </w:tcBorders>
            <w:vAlign w:val="bottom"/>
          </w:tcPr>
          <w:p w14:paraId="4CDAB724"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Moran's Index</w:t>
            </w:r>
          </w:p>
        </w:tc>
        <w:tc>
          <w:tcPr>
            <w:tcW w:w="3667" w:type="dxa"/>
            <w:tcBorders>
              <w:top w:val="single" w:sz="4" w:space="0" w:color="auto"/>
            </w:tcBorders>
            <w:vAlign w:val="bottom"/>
          </w:tcPr>
          <w:p w14:paraId="7DB0BF9C"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0.514699</w:t>
            </w:r>
          </w:p>
        </w:tc>
      </w:tr>
      <w:tr w:rsidR="00752BFA" w:rsidRPr="00345127" w14:paraId="0B09A01A" w14:textId="77777777" w:rsidTr="00D14738">
        <w:trPr>
          <w:trHeight w:val="420"/>
        </w:trPr>
        <w:tc>
          <w:tcPr>
            <w:tcW w:w="4259" w:type="dxa"/>
            <w:vAlign w:val="bottom"/>
          </w:tcPr>
          <w:p w14:paraId="09157514"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Expected Index</w:t>
            </w:r>
          </w:p>
        </w:tc>
        <w:tc>
          <w:tcPr>
            <w:tcW w:w="3667" w:type="dxa"/>
            <w:vAlign w:val="bottom"/>
          </w:tcPr>
          <w:p w14:paraId="1739449B"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-0.000994</w:t>
            </w:r>
          </w:p>
        </w:tc>
      </w:tr>
      <w:tr w:rsidR="00752BFA" w:rsidRPr="00345127" w14:paraId="4E385FF7" w14:textId="77777777" w:rsidTr="00D14738">
        <w:trPr>
          <w:trHeight w:val="815"/>
        </w:trPr>
        <w:tc>
          <w:tcPr>
            <w:tcW w:w="4259" w:type="dxa"/>
            <w:vAlign w:val="bottom"/>
          </w:tcPr>
          <w:p w14:paraId="0B4FC09B"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Variance</w:t>
            </w:r>
          </w:p>
        </w:tc>
        <w:tc>
          <w:tcPr>
            <w:tcW w:w="3667" w:type="dxa"/>
            <w:vAlign w:val="bottom"/>
          </w:tcPr>
          <w:p w14:paraId="0D9CAA27"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0.00114</w:t>
            </w:r>
          </w:p>
        </w:tc>
      </w:tr>
      <w:tr w:rsidR="00752BFA" w:rsidRPr="00345127" w14:paraId="7B52B155" w14:textId="77777777" w:rsidTr="00D14738">
        <w:trPr>
          <w:trHeight w:val="407"/>
        </w:trPr>
        <w:tc>
          <w:tcPr>
            <w:tcW w:w="4259" w:type="dxa"/>
            <w:vAlign w:val="bottom"/>
          </w:tcPr>
          <w:p w14:paraId="63C654FE"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Z-Score</w:t>
            </w:r>
          </w:p>
        </w:tc>
        <w:tc>
          <w:tcPr>
            <w:tcW w:w="3667" w:type="dxa"/>
            <w:vAlign w:val="bottom"/>
          </w:tcPr>
          <w:p w14:paraId="4AB776BB"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15.449795</w:t>
            </w:r>
          </w:p>
        </w:tc>
      </w:tr>
      <w:tr w:rsidR="00752BFA" w:rsidRPr="00345127" w14:paraId="71C39ECE" w14:textId="77777777" w:rsidTr="00D14738">
        <w:trPr>
          <w:trHeight w:val="407"/>
        </w:trPr>
        <w:tc>
          <w:tcPr>
            <w:tcW w:w="4259" w:type="dxa"/>
            <w:tcBorders>
              <w:bottom w:val="single" w:sz="4" w:space="0" w:color="auto"/>
            </w:tcBorders>
            <w:vAlign w:val="bottom"/>
          </w:tcPr>
          <w:p w14:paraId="2E69FC12"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p-value</w:t>
            </w:r>
          </w:p>
        </w:tc>
        <w:tc>
          <w:tcPr>
            <w:tcW w:w="3667" w:type="dxa"/>
            <w:tcBorders>
              <w:bottom w:val="single" w:sz="4" w:space="0" w:color="auto"/>
            </w:tcBorders>
            <w:vAlign w:val="bottom"/>
          </w:tcPr>
          <w:p w14:paraId="32F8117C"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0</w:t>
            </w:r>
          </w:p>
        </w:tc>
      </w:tr>
    </w:tbl>
    <w:p w14:paraId="78B04017" w14:textId="77777777" w:rsidR="00752BFA" w:rsidRPr="00345127" w:rsidRDefault="00752BFA" w:rsidP="00752BFA">
      <w:pPr>
        <w:pStyle w:val="BodyText"/>
      </w:pPr>
    </w:p>
    <w:p w14:paraId="1C97AAEB" w14:textId="607AE6C0" w:rsidR="002F665E" w:rsidRPr="00345127" w:rsidRDefault="001B34EC" w:rsidP="006A3A56">
      <w:pPr>
        <w:pStyle w:val="BodyText"/>
        <w:jc w:val="both"/>
        <w:rPr>
          <w:rFonts w:cs="Times New Roman"/>
        </w:rPr>
      </w:pPr>
      <w:r w:rsidRPr="00345127">
        <w:rPr>
          <w:rFonts w:cs="Times New Roman"/>
        </w:rPr>
        <w:t xml:space="preserve">The </w:t>
      </w:r>
      <w:r w:rsidRPr="00345127">
        <w:rPr>
          <w:rFonts w:cs="Times New Roman"/>
          <w:bCs/>
        </w:rPr>
        <w:t>expected index of -0.000994</w:t>
      </w:r>
      <w:r w:rsidRPr="00345127">
        <w:rPr>
          <w:rFonts w:cs="Times New Roman"/>
        </w:rPr>
        <w:t xml:space="preserve"> and the narrow variance (0.00114) affirm the non-random distribution of sandbar locations. Figure </w:t>
      </w:r>
      <w:r w:rsidR="00E37009">
        <w:rPr>
          <w:rFonts w:cs="Times New Roman"/>
        </w:rPr>
        <w:t>7</w:t>
      </w:r>
      <w:r w:rsidRPr="00345127">
        <w:rPr>
          <w:rFonts w:cs="Times New Roman"/>
        </w:rPr>
        <w:t xml:space="preserve"> visually displays these clusters, which were concentrated in low-lying inner meander bends and braided sections of the river. This finding underscores the importance of microtopography in sandbar initiation and stabilization, where low elevation promotes sediment entrapment during high-discharge events.</w:t>
      </w:r>
    </w:p>
    <w:p w14:paraId="0184B6E4" w14:textId="77777777" w:rsidR="002F665E" w:rsidRPr="00345127" w:rsidRDefault="001B34EC" w:rsidP="006A3A56">
      <w:pPr>
        <w:pStyle w:val="Heading3"/>
        <w:jc w:val="both"/>
        <w:rPr>
          <w:rFonts w:cs="Times New Roman"/>
          <w:color w:val="auto"/>
          <w:sz w:val="24"/>
          <w:szCs w:val="24"/>
        </w:rPr>
      </w:pPr>
      <w:bookmarkStart w:id="20" w:name="Xb696af89defba96e650a25da2cef71499efed2c"/>
      <w:bookmarkEnd w:id="19"/>
      <w:r w:rsidRPr="00345127">
        <w:rPr>
          <w:rFonts w:cs="Times New Roman"/>
          <w:color w:val="auto"/>
          <w:sz w:val="24"/>
          <w:szCs w:val="24"/>
        </w:rPr>
        <w:t>4.5 Sedimentological Characteristics of Sandbars</w:t>
      </w:r>
    </w:p>
    <w:p w14:paraId="5B69012C" w14:textId="11C1838D" w:rsidR="002F665E" w:rsidRPr="00345127" w:rsidRDefault="001B34EC" w:rsidP="006A3A56">
      <w:pPr>
        <w:pStyle w:val="FirstParagraph"/>
        <w:jc w:val="both"/>
        <w:rPr>
          <w:rFonts w:cs="Times New Roman"/>
        </w:rPr>
      </w:pPr>
      <w:r w:rsidRPr="00345127">
        <w:rPr>
          <w:rFonts w:cs="Times New Roman"/>
        </w:rPr>
        <w:t xml:space="preserve">Table </w:t>
      </w:r>
      <w:r w:rsidR="00B04581">
        <w:rPr>
          <w:rFonts w:cs="Times New Roman"/>
        </w:rPr>
        <w:t>5</w:t>
      </w:r>
      <w:r w:rsidRPr="00345127">
        <w:rPr>
          <w:rFonts w:cs="Times New Roman"/>
        </w:rPr>
        <w:t xml:space="preserve"> presents the granulometric statistics of surface sediments from the six sandbars, based on the Folk and Ward </w:t>
      </w:r>
      <w:r w:rsidR="00F97A61" w:rsidRPr="00345127">
        <w:rPr>
          <w:rFonts w:cs="Times New Roman"/>
        </w:rPr>
        <w:t>[22]</w:t>
      </w:r>
      <w:r w:rsidRPr="00345127">
        <w:rPr>
          <w:rFonts w:cs="Times New Roman"/>
        </w:rPr>
        <w:t xml:space="preserve"> method. The </w:t>
      </w:r>
      <w:r w:rsidRPr="00345127">
        <w:rPr>
          <w:rFonts w:cs="Times New Roman"/>
          <w:bCs/>
        </w:rPr>
        <w:t>mean grain size</w:t>
      </w:r>
      <w:r w:rsidRPr="00345127">
        <w:rPr>
          <w:rFonts w:cs="Times New Roman"/>
        </w:rPr>
        <w:t xml:space="preserve"> across samples ranged from </w:t>
      </w:r>
      <w:r w:rsidRPr="00345127">
        <w:rPr>
          <w:rFonts w:cs="Times New Roman"/>
          <w:bCs/>
        </w:rPr>
        <w:t>0.4 mm to 2.37 mm</w:t>
      </w:r>
      <w:r w:rsidRPr="00345127">
        <w:rPr>
          <w:rFonts w:cs="Times New Roman"/>
        </w:rPr>
        <w:t xml:space="preserve">, corresponding to </w:t>
      </w:r>
      <w:r w:rsidRPr="00345127">
        <w:rPr>
          <w:rFonts w:cs="Times New Roman"/>
          <w:bCs/>
        </w:rPr>
        <w:t>coarse to fine sand</w:t>
      </w:r>
      <w:r w:rsidRPr="00345127">
        <w:rPr>
          <w:rFonts w:cs="Times New Roman"/>
        </w:rPr>
        <w:t xml:space="preserve"> classes. Most bars (SB1, SB2, SB5, SB6) were composed of </w:t>
      </w:r>
      <w:r w:rsidRPr="00345127">
        <w:rPr>
          <w:rFonts w:cs="Times New Roman"/>
          <w:bCs/>
        </w:rPr>
        <w:t>coarse sand</w:t>
      </w:r>
      <w:r w:rsidRPr="00345127">
        <w:rPr>
          <w:rFonts w:cs="Times New Roman"/>
        </w:rPr>
        <w:t xml:space="preserve">, while SB3 stood out with </w:t>
      </w:r>
      <w:r w:rsidRPr="00345127">
        <w:rPr>
          <w:rFonts w:cs="Times New Roman"/>
          <w:bCs/>
        </w:rPr>
        <w:t>fine sand</w:t>
      </w:r>
      <w:r w:rsidR="006A3A56" w:rsidRPr="00345127">
        <w:rPr>
          <w:rFonts w:cs="Times New Roman"/>
        </w:rPr>
        <w:t xml:space="preserve"> </w:t>
      </w:r>
      <w:r w:rsidRPr="00345127">
        <w:rPr>
          <w:rFonts w:cs="Times New Roman"/>
        </w:rPr>
        <w:t>indicative of calmer depositional environments.</w:t>
      </w:r>
    </w:p>
    <w:p w14:paraId="665EE59A" w14:textId="77777777" w:rsidR="002F665E" w:rsidRPr="00345127" w:rsidRDefault="001B34EC" w:rsidP="006A3A56">
      <w:pPr>
        <w:pStyle w:val="BodyText"/>
        <w:jc w:val="both"/>
        <w:rPr>
          <w:rFonts w:cs="Times New Roman"/>
        </w:rPr>
      </w:pPr>
      <w:r w:rsidRPr="00345127">
        <w:rPr>
          <w:rFonts w:cs="Times New Roman"/>
        </w:rPr>
        <w:t>Sorting values (</w:t>
      </w:r>
      <w:proofErr w:type="spellStart"/>
      <w:r w:rsidRPr="00345127">
        <w:rPr>
          <w:rFonts w:cs="Times New Roman"/>
        </w:rPr>
        <w:t>σI</w:t>
      </w:r>
      <w:proofErr w:type="spellEnd"/>
      <w:r w:rsidRPr="00345127">
        <w:rPr>
          <w:rFonts w:cs="Times New Roman"/>
        </w:rPr>
        <w:t xml:space="preserve">) ranged from </w:t>
      </w:r>
      <w:r w:rsidRPr="00345127">
        <w:rPr>
          <w:rFonts w:cs="Times New Roman"/>
          <w:bCs/>
        </w:rPr>
        <w:t>0.51 (well sorted)</w:t>
      </w:r>
      <w:r w:rsidRPr="00345127">
        <w:rPr>
          <w:rFonts w:cs="Times New Roman"/>
        </w:rPr>
        <w:t xml:space="preserve"> in SB3 to </w:t>
      </w:r>
      <w:r w:rsidRPr="00345127">
        <w:rPr>
          <w:rFonts w:cs="Times New Roman"/>
          <w:bCs/>
        </w:rPr>
        <w:t>0.94 (moderately sorted)</w:t>
      </w:r>
      <w:r w:rsidRPr="00345127">
        <w:rPr>
          <w:rFonts w:cs="Times New Roman"/>
        </w:rPr>
        <w:t xml:space="preserve"> in SB4. This variation reflects differences in depositional energy: well-sorted sands form under steady flow regimes, while moderate sorting suggests variable currents and sediment input.</w:t>
      </w:r>
    </w:p>
    <w:p w14:paraId="619B2A79" w14:textId="77777777" w:rsidR="002F665E" w:rsidRPr="00345127" w:rsidRDefault="001B34EC" w:rsidP="006A3A56">
      <w:pPr>
        <w:pStyle w:val="BodyText"/>
        <w:jc w:val="both"/>
        <w:rPr>
          <w:rFonts w:cs="Times New Roman"/>
        </w:rPr>
      </w:pPr>
      <w:r w:rsidRPr="00345127">
        <w:rPr>
          <w:rFonts w:cs="Times New Roman"/>
          <w:bCs/>
        </w:rPr>
        <w:t>Skewness</w:t>
      </w:r>
      <w:r w:rsidRPr="00345127">
        <w:rPr>
          <w:rFonts w:cs="Times New Roman"/>
        </w:rPr>
        <w:t xml:space="preserve"> ranged from </w:t>
      </w:r>
      <w:r w:rsidRPr="00345127">
        <w:rPr>
          <w:rFonts w:cs="Times New Roman"/>
          <w:bCs/>
        </w:rPr>
        <w:t>-0.62 (strongly coarse-skewed)</w:t>
      </w:r>
      <w:r w:rsidRPr="00345127">
        <w:rPr>
          <w:rFonts w:cs="Times New Roman"/>
        </w:rPr>
        <w:t xml:space="preserve"> to </w:t>
      </w:r>
      <w:r w:rsidRPr="00345127">
        <w:rPr>
          <w:rFonts w:cs="Times New Roman"/>
          <w:bCs/>
        </w:rPr>
        <w:t>+0.25 (fine-skewed)</w:t>
      </w:r>
      <w:r w:rsidRPr="00345127">
        <w:rPr>
          <w:rFonts w:cs="Times New Roman"/>
        </w:rPr>
        <w:t>, pointing to asymmetry in particle distributions. Coarse skewness in SB4 to SB6 suggests dominant deposition of larger particles, likely due to upstream sediment pulses. In contrast, the fine-skewed nature of SB1 and SB2 implies sorting under lower energy conditions.</w:t>
      </w:r>
    </w:p>
    <w:p w14:paraId="18B94285" w14:textId="77777777" w:rsidR="002F665E" w:rsidRPr="00345127" w:rsidRDefault="001B34EC" w:rsidP="006A3A56">
      <w:pPr>
        <w:pStyle w:val="BodyText"/>
        <w:jc w:val="both"/>
        <w:rPr>
          <w:rFonts w:cs="Times New Roman"/>
        </w:rPr>
      </w:pPr>
      <w:r w:rsidRPr="00345127">
        <w:rPr>
          <w:rFonts w:cs="Times New Roman"/>
        </w:rPr>
        <w:t xml:space="preserve">Kurtosis values ranged from </w:t>
      </w:r>
      <w:r w:rsidRPr="00345127">
        <w:rPr>
          <w:rFonts w:cs="Times New Roman"/>
          <w:bCs/>
        </w:rPr>
        <w:t>1.03 to 1.57</w:t>
      </w:r>
      <w:r w:rsidRPr="00345127">
        <w:rPr>
          <w:rFonts w:cs="Times New Roman"/>
        </w:rPr>
        <w:t xml:space="preserve">, with SB4–SB6 showing </w:t>
      </w:r>
      <w:r w:rsidRPr="00345127">
        <w:rPr>
          <w:rFonts w:cs="Times New Roman"/>
          <w:bCs/>
        </w:rPr>
        <w:t>leptokurtic</w:t>
      </w:r>
      <w:r w:rsidRPr="00345127">
        <w:rPr>
          <w:rFonts w:cs="Times New Roman"/>
        </w:rPr>
        <w:t xml:space="preserve"> and </w:t>
      </w:r>
      <w:r w:rsidRPr="00345127">
        <w:rPr>
          <w:rFonts w:cs="Times New Roman"/>
          <w:bCs/>
        </w:rPr>
        <w:t>very leptokurtic</w:t>
      </w:r>
      <w:r w:rsidRPr="00345127">
        <w:rPr>
          <w:rFonts w:cs="Times New Roman"/>
        </w:rPr>
        <w:t xml:space="preserve"> patterns. This peaked distribution supports the observation of bar crest formation under energetic flow regimes that favor uniform sediment layering.</w:t>
      </w:r>
    </w:p>
    <w:p w14:paraId="1639A4A3" w14:textId="77777777" w:rsidR="002F665E" w:rsidRPr="00345127" w:rsidRDefault="001B34EC" w:rsidP="006A3A56">
      <w:pPr>
        <w:pStyle w:val="BodyText"/>
        <w:jc w:val="both"/>
        <w:rPr>
          <w:rFonts w:cs="Times New Roman"/>
        </w:rPr>
      </w:pPr>
      <w:r w:rsidRPr="00345127">
        <w:rPr>
          <w:rFonts w:cs="Times New Roman"/>
        </w:rPr>
        <w:lastRenderedPageBreak/>
        <w:t>These sedimentological results not only support the morphometric findings but also provide insights into sediment transport pathways and depositional environments. For example, the relatively homogeneous coarse sands in SB5 and SB6 may explain their structural resilience and persistence over time.</w:t>
      </w:r>
    </w:p>
    <w:p w14:paraId="3C6DBD28" w14:textId="06A7AE2E" w:rsidR="00EB6E7A" w:rsidRPr="00345127" w:rsidRDefault="00EB6E7A" w:rsidP="00EB6E7A">
      <w:pPr>
        <w:spacing w:line="480" w:lineRule="auto"/>
        <w:jc w:val="both"/>
        <w:rPr>
          <w:rFonts w:ascii="Times New Roman" w:hAnsi="Times New Roman" w:cs="Times New Roman"/>
        </w:rPr>
      </w:pPr>
      <w:r w:rsidRPr="00345127">
        <w:rPr>
          <w:rFonts w:ascii="Times New Roman" w:hAnsi="Times New Roman" w:cs="Times New Roman"/>
        </w:rPr>
        <w:t xml:space="preserve">Table </w:t>
      </w:r>
      <w:r w:rsidR="00B04581">
        <w:rPr>
          <w:rFonts w:ascii="Times New Roman" w:hAnsi="Times New Roman" w:cs="Times New Roman"/>
        </w:rPr>
        <w:t>5</w:t>
      </w:r>
      <w:r w:rsidRPr="00345127">
        <w:rPr>
          <w:rFonts w:ascii="Times New Roman" w:hAnsi="Times New Roman" w:cs="Times New Roman"/>
        </w:rPr>
        <w:t xml:space="preserve">: Statistical parameter analysis of Grain size of sediment in sand bar location in River </w:t>
      </w:r>
      <w:proofErr w:type="spellStart"/>
      <w:r w:rsidRPr="00345127">
        <w:rPr>
          <w:rFonts w:ascii="Times New Roman" w:hAnsi="Times New Roman" w:cs="Times New Roman"/>
        </w:rPr>
        <w:t>Forcados</w:t>
      </w:r>
      <w:proofErr w:type="spellEnd"/>
      <w:r w:rsidRPr="00345127">
        <w:rPr>
          <w:rFonts w:ascii="Times New Roman" w:hAnsi="Times New Roman" w:cs="Times New Roman"/>
        </w:rPr>
        <w:t xml:space="preserve"> using Folk &amp; </w:t>
      </w:r>
      <w:proofErr w:type="gramStart"/>
      <w:r w:rsidRPr="00345127">
        <w:rPr>
          <w:rFonts w:ascii="Times New Roman" w:hAnsi="Times New Roman" w:cs="Times New Roman"/>
        </w:rPr>
        <w:t>Ward</w:t>
      </w:r>
      <w:r w:rsidR="00F97A61" w:rsidRPr="00345127">
        <w:rPr>
          <w:rFonts w:ascii="Times New Roman" w:hAnsi="Times New Roman" w:cs="Times New Roman"/>
        </w:rPr>
        <w:t>[</w:t>
      </w:r>
      <w:proofErr w:type="gramEnd"/>
      <w:r w:rsidR="00F97A61" w:rsidRPr="00345127">
        <w:rPr>
          <w:rFonts w:ascii="Times New Roman" w:hAnsi="Times New Roman" w:cs="Times New Roman"/>
        </w:rPr>
        <w:t>22]</w:t>
      </w:r>
      <w:r w:rsidRPr="00345127">
        <w:rPr>
          <w:rFonts w:ascii="Times New Roman" w:hAnsi="Times New Roman" w:cs="Times New Roman"/>
        </w:rPr>
        <w:t xml:space="preserve"> </w:t>
      </w:r>
    </w:p>
    <w:tbl>
      <w:tblPr>
        <w:tblW w:w="10710" w:type="dxa"/>
        <w:tblInd w:w="-900" w:type="dxa"/>
        <w:tblLayout w:type="fixed"/>
        <w:tblLook w:val="04A0" w:firstRow="1" w:lastRow="0" w:firstColumn="1" w:lastColumn="0" w:noHBand="0" w:noVBand="1"/>
      </w:tblPr>
      <w:tblGrid>
        <w:gridCol w:w="720"/>
        <w:gridCol w:w="810"/>
        <w:gridCol w:w="1350"/>
        <w:gridCol w:w="1170"/>
        <w:gridCol w:w="1350"/>
        <w:gridCol w:w="1350"/>
        <w:gridCol w:w="1350"/>
        <w:gridCol w:w="1220"/>
        <w:gridCol w:w="1390"/>
      </w:tblGrid>
      <w:tr w:rsidR="00EB6E7A" w:rsidRPr="00345127" w14:paraId="5431FDE4" w14:textId="77777777" w:rsidTr="00D14738">
        <w:trPr>
          <w:trHeight w:val="276"/>
        </w:trPr>
        <w:tc>
          <w:tcPr>
            <w:tcW w:w="720" w:type="dxa"/>
            <w:tcBorders>
              <w:top w:val="single" w:sz="4" w:space="0" w:color="auto"/>
              <w:bottom w:val="single" w:sz="4" w:space="0" w:color="auto"/>
            </w:tcBorders>
            <w:vAlign w:val="bottom"/>
          </w:tcPr>
          <w:p w14:paraId="58FE8D5C"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Code</w:t>
            </w:r>
          </w:p>
        </w:tc>
        <w:tc>
          <w:tcPr>
            <w:tcW w:w="810" w:type="dxa"/>
            <w:tcBorders>
              <w:top w:val="single" w:sz="4" w:space="0" w:color="auto"/>
              <w:bottom w:val="single" w:sz="4" w:space="0" w:color="auto"/>
            </w:tcBorders>
            <w:vAlign w:val="bottom"/>
          </w:tcPr>
          <w:p w14:paraId="3881D67E"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MEAN</w:t>
            </w:r>
          </w:p>
        </w:tc>
        <w:tc>
          <w:tcPr>
            <w:tcW w:w="1350" w:type="dxa"/>
            <w:tcBorders>
              <w:top w:val="single" w:sz="4" w:space="0" w:color="auto"/>
              <w:bottom w:val="single" w:sz="4" w:space="0" w:color="auto"/>
            </w:tcBorders>
            <w:vAlign w:val="bottom"/>
          </w:tcPr>
          <w:p w14:paraId="680E71F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Interpretation</w:t>
            </w:r>
          </w:p>
        </w:tc>
        <w:tc>
          <w:tcPr>
            <w:tcW w:w="1170" w:type="dxa"/>
            <w:tcBorders>
              <w:top w:val="single" w:sz="4" w:space="0" w:color="auto"/>
              <w:bottom w:val="single" w:sz="4" w:space="0" w:color="auto"/>
            </w:tcBorders>
            <w:vAlign w:val="bottom"/>
          </w:tcPr>
          <w:p w14:paraId="0D371AE7"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SORTING</w:t>
            </w:r>
          </w:p>
        </w:tc>
        <w:tc>
          <w:tcPr>
            <w:tcW w:w="1350" w:type="dxa"/>
            <w:tcBorders>
              <w:top w:val="single" w:sz="4" w:space="0" w:color="auto"/>
              <w:bottom w:val="single" w:sz="4" w:space="0" w:color="auto"/>
            </w:tcBorders>
            <w:vAlign w:val="bottom"/>
          </w:tcPr>
          <w:p w14:paraId="160FC14C"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Interpretation</w:t>
            </w:r>
          </w:p>
        </w:tc>
        <w:tc>
          <w:tcPr>
            <w:tcW w:w="1350" w:type="dxa"/>
            <w:tcBorders>
              <w:top w:val="single" w:sz="4" w:space="0" w:color="auto"/>
              <w:bottom w:val="single" w:sz="4" w:space="0" w:color="auto"/>
            </w:tcBorders>
            <w:vAlign w:val="bottom"/>
          </w:tcPr>
          <w:p w14:paraId="75774EFB"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SKEWNESS</w:t>
            </w:r>
          </w:p>
        </w:tc>
        <w:tc>
          <w:tcPr>
            <w:tcW w:w="1350" w:type="dxa"/>
            <w:tcBorders>
              <w:top w:val="single" w:sz="4" w:space="0" w:color="auto"/>
              <w:bottom w:val="single" w:sz="4" w:space="0" w:color="auto"/>
            </w:tcBorders>
            <w:vAlign w:val="bottom"/>
          </w:tcPr>
          <w:p w14:paraId="7D1DF33C"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Interpretation</w:t>
            </w:r>
          </w:p>
        </w:tc>
        <w:tc>
          <w:tcPr>
            <w:tcW w:w="1220" w:type="dxa"/>
            <w:tcBorders>
              <w:top w:val="single" w:sz="4" w:space="0" w:color="auto"/>
              <w:bottom w:val="single" w:sz="4" w:space="0" w:color="auto"/>
            </w:tcBorders>
            <w:vAlign w:val="bottom"/>
          </w:tcPr>
          <w:p w14:paraId="01092EF9"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KURTOSIS</w:t>
            </w:r>
          </w:p>
        </w:tc>
        <w:tc>
          <w:tcPr>
            <w:tcW w:w="1390" w:type="dxa"/>
            <w:tcBorders>
              <w:top w:val="single" w:sz="4" w:space="0" w:color="auto"/>
              <w:bottom w:val="single" w:sz="4" w:space="0" w:color="auto"/>
            </w:tcBorders>
            <w:vAlign w:val="bottom"/>
          </w:tcPr>
          <w:p w14:paraId="585BC8C4"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 xml:space="preserve">Interpretation </w:t>
            </w:r>
          </w:p>
        </w:tc>
      </w:tr>
      <w:tr w:rsidR="00EB6E7A" w:rsidRPr="00345127" w14:paraId="1BD41974" w14:textId="77777777" w:rsidTr="00D14738">
        <w:trPr>
          <w:trHeight w:val="276"/>
        </w:trPr>
        <w:tc>
          <w:tcPr>
            <w:tcW w:w="720" w:type="dxa"/>
            <w:tcBorders>
              <w:top w:val="single" w:sz="4" w:space="0" w:color="auto"/>
            </w:tcBorders>
            <w:vAlign w:val="bottom"/>
          </w:tcPr>
          <w:p w14:paraId="1CE5EE5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 xml:space="preserve"> SB1</w:t>
            </w:r>
          </w:p>
        </w:tc>
        <w:tc>
          <w:tcPr>
            <w:tcW w:w="810" w:type="dxa"/>
            <w:tcBorders>
              <w:top w:val="single" w:sz="4" w:space="0" w:color="auto"/>
            </w:tcBorders>
            <w:vAlign w:val="bottom"/>
          </w:tcPr>
          <w:p w14:paraId="3BF569A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1.22</w:t>
            </w:r>
          </w:p>
        </w:tc>
        <w:tc>
          <w:tcPr>
            <w:tcW w:w="1350" w:type="dxa"/>
            <w:tcBorders>
              <w:top w:val="single" w:sz="4" w:space="0" w:color="auto"/>
            </w:tcBorders>
            <w:vAlign w:val="bottom"/>
          </w:tcPr>
          <w:p w14:paraId="50E22027"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Medium Sand</w:t>
            </w:r>
          </w:p>
        </w:tc>
        <w:tc>
          <w:tcPr>
            <w:tcW w:w="1170" w:type="dxa"/>
            <w:tcBorders>
              <w:top w:val="single" w:sz="4" w:space="0" w:color="auto"/>
            </w:tcBorders>
            <w:vAlign w:val="bottom"/>
          </w:tcPr>
          <w:p w14:paraId="0DF849C5"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0.87</w:t>
            </w:r>
          </w:p>
        </w:tc>
        <w:tc>
          <w:tcPr>
            <w:tcW w:w="1350" w:type="dxa"/>
            <w:tcBorders>
              <w:top w:val="single" w:sz="4" w:space="0" w:color="auto"/>
            </w:tcBorders>
            <w:vAlign w:val="bottom"/>
          </w:tcPr>
          <w:p w14:paraId="0932B6A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Moderately Sorted</w:t>
            </w:r>
          </w:p>
        </w:tc>
        <w:tc>
          <w:tcPr>
            <w:tcW w:w="1350" w:type="dxa"/>
            <w:tcBorders>
              <w:top w:val="single" w:sz="4" w:space="0" w:color="auto"/>
            </w:tcBorders>
            <w:vAlign w:val="bottom"/>
          </w:tcPr>
          <w:p w14:paraId="7994EA7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0.25</w:t>
            </w:r>
          </w:p>
        </w:tc>
        <w:tc>
          <w:tcPr>
            <w:tcW w:w="1350" w:type="dxa"/>
            <w:tcBorders>
              <w:top w:val="single" w:sz="4" w:space="0" w:color="auto"/>
            </w:tcBorders>
            <w:vAlign w:val="bottom"/>
          </w:tcPr>
          <w:p w14:paraId="60F3EF55"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Fine Skewed</w:t>
            </w:r>
          </w:p>
        </w:tc>
        <w:tc>
          <w:tcPr>
            <w:tcW w:w="1220" w:type="dxa"/>
            <w:tcBorders>
              <w:top w:val="single" w:sz="4" w:space="0" w:color="auto"/>
            </w:tcBorders>
            <w:vAlign w:val="bottom"/>
          </w:tcPr>
          <w:p w14:paraId="093185BF"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1.07</w:t>
            </w:r>
          </w:p>
        </w:tc>
        <w:tc>
          <w:tcPr>
            <w:tcW w:w="1390" w:type="dxa"/>
            <w:tcBorders>
              <w:top w:val="single" w:sz="4" w:space="0" w:color="auto"/>
            </w:tcBorders>
            <w:vAlign w:val="bottom"/>
          </w:tcPr>
          <w:p w14:paraId="4BE49926"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Mesokurtic</w:t>
            </w:r>
          </w:p>
        </w:tc>
      </w:tr>
      <w:tr w:rsidR="00EB6E7A" w:rsidRPr="00345127" w14:paraId="363A3335" w14:textId="77777777" w:rsidTr="00D14738">
        <w:trPr>
          <w:trHeight w:val="276"/>
        </w:trPr>
        <w:tc>
          <w:tcPr>
            <w:tcW w:w="720" w:type="dxa"/>
            <w:vAlign w:val="bottom"/>
          </w:tcPr>
          <w:p w14:paraId="32E1380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SB2</w:t>
            </w:r>
          </w:p>
        </w:tc>
        <w:tc>
          <w:tcPr>
            <w:tcW w:w="810" w:type="dxa"/>
            <w:vAlign w:val="bottom"/>
          </w:tcPr>
          <w:p w14:paraId="052F49ED"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1.16</w:t>
            </w:r>
          </w:p>
        </w:tc>
        <w:tc>
          <w:tcPr>
            <w:tcW w:w="1350" w:type="dxa"/>
            <w:vAlign w:val="bottom"/>
          </w:tcPr>
          <w:p w14:paraId="0233B35C"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Medium Sand</w:t>
            </w:r>
          </w:p>
        </w:tc>
        <w:tc>
          <w:tcPr>
            <w:tcW w:w="1170" w:type="dxa"/>
            <w:vAlign w:val="bottom"/>
          </w:tcPr>
          <w:p w14:paraId="147494FC"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0.85</w:t>
            </w:r>
          </w:p>
        </w:tc>
        <w:tc>
          <w:tcPr>
            <w:tcW w:w="1350" w:type="dxa"/>
            <w:vAlign w:val="bottom"/>
          </w:tcPr>
          <w:p w14:paraId="578442BE"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Moderately Sorted</w:t>
            </w:r>
          </w:p>
        </w:tc>
        <w:tc>
          <w:tcPr>
            <w:tcW w:w="1350" w:type="dxa"/>
            <w:vAlign w:val="bottom"/>
          </w:tcPr>
          <w:p w14:paraId="0801508A"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0.22</w:t>
            </w:r>
          </w:p>
        </w:tc>
        <w:tc>
          <w:tcPr>
            <w:tcW w:w="1350" w:type="dxa"/>
            <w:vAlign w:val="bottom"/>
          </w:tcPr>
          <w:p w14:paraId="357B659F"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Fine Skewed</w:t>
            </w:r>
          </w:p>
        </w:tc>
        <w:tc>
          <w:tcPr>
            <w:tcW w:w="1220" w:type="dxa"/>
            <w:vAlign w:val="bottom"/>
          </w:tcPr>
          <w:p w14:paraId="59F65409"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1.05</w:t>
            </w:r>
          </w:p>
        </w:tc>
        <w:tc>
          <w:tcPr>
            <w:tcW w:w="1390" w:type="dxa"/>
            <w:vAlign w:val="bottom"/>
          </w:tcPr>
          <w:p w14:paraId="5A02BDDA"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Mesokurtic</w:t>
            </w:r>
          </w:p>
        </w:tc>
      </w:tr>
      <w:tr w:rsidR="00EB6E7A" w:rsidRPr="00345127" w14:paraId="2B899C1F" w14:textId="77777777" w:rsidTr="00D14738">
        <w:trPr>
          <w:trHeight w:val="276"/>
        </w:trPr>
        <w:tc>
          <w:tcPr>
            <w:tcW w:w="720" w:type="dxa"/>
            <w:vAlign w:val="bottom"/>
          </w:tcPr>
          <w:p w14:paraId="71CB3804"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SB3</w:t>
            </w:r>
          </w:p>
        </w:tc>
        <w:tc>
          <w:tcPr>
            <w:tcW w:w="810" w:type="dxa"/>
            <w:vAlign w:val="bottom"/>
          </w:tcPr>
          <w:p w14:paraId="1C30E166"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2.37</w:t>
            </w:r>
          </w:p>
        </w:tc>
        <w:tc>
          <w:tcPr>
            <w:tcW w:w="1350" w:type="dxa"/>
            <w:vAlign w:val="bottom"/>
          </w:tcPr>
          <w:p w14:paraId="1A43C7C5"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Fine Sand</w:t>
            </w:r>
          </w:p>
        </w:tc>
        <w:tc>
          <w:tcPr>
            <w:tcW w:w="1170" w:type="dxa"/>
            <w:vAlign w:val="bottom"/>
          </w:tcPr>
          <w:p w14:paraId="35538F82"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0.51</w:t>
            </w:r>
          </w:p>
        </w:tc>
        <w:tc>
          <w:tcPr>
            <w:tcW w:w="1350" w:type="dxa"/>
            <w:vAlign w:val="bottom"/>
          </w:tcPr>
          <w:p w14:paraId="61B537E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Well Sorted</w:t>
            </w:r>
          </w:p>
        </w:tc>
        <w:tc>
          <w:tcPr>
            <w:tcW w:w="1350" w:type="dxa"/>
            <w:vAlign w:val="bottom"/>
          </w:tcPr>
          <w:p w14:paraId="002DA1C9"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-0.21</w:t>
            </w:r>
          </w:p>
        </w:tc>
        <w:tc>
          <w:tcPr>
            <w:tcW w:w="1350" w:type="dxa"/>
            <w:vAlign w:val="bottom"/>
          </w:tcPr>
          <w:p w14:paraId="71A456D6"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Skewed</w:t>
            </w:r>
          </w:p>
        </w:tc>
        <w:tc>
          <w:tcPr>
            <w:tcW w:w="1220" w:type="dxa"/>
            <w:vAlign w:val="bottom"/>
          </w:tcPr>
          <w:p w14:paraId="48A44023"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1.03</w:t>
            </w:r>
          </w:p>
        </w:tc>
        <w:tc>
          <w:tcPr>
            <w:tcW w:w="1390" w:type="dxa"/>
            <w:vAlign w:val="bottom"/>
          </w:tcPr>
          <w:p w14:paraId="603D5242"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Mesokurtic</w:t>
            </w:r>
          </w:p>
        </w:tc>
      </w:tr>
      <w:tr w:rsidR="00EB6E7A" w:rsidRPr="00345127" w14:paraId="47A6C228" w14:textId="77777777" w:rsidTr="00D14738">
        <w:trPr>
          <w:trHeight w:val="276"/>
        </w:trPr>
        <w:tc>
          <w:tcPr>
            <w:tcW w:w="720" w:type="dxa"/>
            <w:vAlign w:val="bottom"/>
          </w:tcPr>
          <w:p w14:paraId="59372B8D"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SB4</w:t>
            </w:r>
          </w:p>
        </w:tc>
        <w:tc>
          <w:tcPr>
            <w:tcW w:w="810" w:type="dxa"/>
            <w:vAlign w:val="bottom"/>
          </w:tcPr>
          <w:p w14:paraId="348E955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0.4</w:t>
            </w:r>
          </w:p>
        </w:tc>
        <w:tc>
          <w:tcPr>
            <w:tcW w:w="1350" w:type="dxa"/>
            <w:vAlign w:val="bottom"/>
          </w:tcPr>
          <w:p w14:paraId="5D0411A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sand</w:t>
            </w:r>
          </w:p>
        </w:tc>
        <w:tc>
          <w:tcPr>
            <w:tcW w:w="1170" w:type="dxa"/>
            <w:vAlign w:val="bottom"/>
          </w:tcPr>
          <w:p w14:paraId="00254454"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0.94</w:t>
            </w:r>
          </w:p>
        </w:tc>
        <w:tc>
          <w:tcPr>
            <w:tcW w:w="1350" w:type="dxa"/>
            <w:vAlign w:val="bottom"/>
          </w:tcPr>
          <w:p w14:paraId="30BB0124"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Moderately Sorted</w:t>
            </w:r>
          </w:p>
        </w:tc>
        <w:tc>
          <w:tcPr>
            <w:tcW w:w="1350" w:type="dxa"/>
            <w:vAlign w:val="bottom"/>
          </w:tcPr>
          <w:p w14:paraId="11278585"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-0.52</w:t>
            </w:r>
          </w:p>
        </w:tc>
        <w:tc>
          <w:tcPr>
            <w:tcW w:w="1350" w:type="dxa"/>
            <w:vAlign w:val="bottom"/>
          </w:tcPr>
          <w:p w14:paraId="3439ED19"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Skewed</w:t>
            </w:r>
          </w:p>
        </w:tc>
        <w:tc>
          <w:tcPr>
            <w:tcW w:w="1220" w:type="dxa"/>
            <w:vAlign w:val="bottom"/>
          </w:tcPr>
          <w:p w14:paraId="2D49B140"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1.42</w:t>
            </w:r>
          </w:p>
        </w:tc>
        <w:tc>
          <w:tcPr>
            <w:tcW w:w="1390" w:type="dxa"/>
            <w:vAlign w:val="bottom"/>
          </w:tcPr>
          <w:p w14:paraId="7F219D9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Leptokurtic</w:t>
            </w:r>
          </w:p>
        </w:tc>
      </w:tr>
      <w:tr w:rsidR="00EB6E7A" w:rsidRPr="00345127" w14:paraId="2AF335FB" w14:textId="77777777" w:rsidTr="00D14738">
        <w:trPr>
          <w:trHeight w:val="276"/>
        </w:trPr>
        <w:tc>
          <w:tcPr>
            <w:tcW w:w="720" w:type="dxa"/>
            <w:vAlign w:val="bottom"/>
          </w:tcPr>
          <w:p w14:paraId="63734362"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SB5</w:t>
            </w:r>
          </w:p>
        </w:tc>
        <w:tc>
          <w:tcPr>
            <w:tcW w:w="810" w:type="dxa"/>
            <w:vAlign w:val="bottom"/>
          </w:tcPr>
          <w:p w14:paraId="57ECF20C"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0.71</w:t>
            </w:r>
          </w:p>
        </w:tc>
        <w:tc>
          <w:tcPr>
            <w:tcW w:w="1350" w:type="dxa"/>
            <w:vAlign w:val="bottom"/>
          </w:tcPr>
          <w:p w14:paraId="380EA255"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sand</w:t>
            </w:r>
          </w:p>
        </w:tc>
        <w:tc>
          <w:tcPr>
            <w:tcW w:w="1170" w:type="dxa"/>
            <w:vAlign w:val="bottom"/>
          </w:tcPr>
          <w:p w14:paraId="247666E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0.87</w:t>
            </w:r>
          </w:p>
        </w:tc>
        <w:tc>
          <w:tcPr>
            <w:tcW w:w="1350" w:type="dxa"/>
            <w:vAlign w:val="bottom"/>
          </w:tcPr>
          <w:p w14:paraId="6D568574"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Moderately Sorted</w:t>
            </w:r>
          </w:p>
        </w:tc>
        <w:tc>
          <w:tcPr>
            <w:tcW w:w="1350" w:type="dxa"/>
            <w:vAlign w:val="bottom"/>
          </w:tcPr>
          <w:p w14:paraId="2B4AB5AB"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-0.60</w:t>
            </w:r>
          </w:p>
        </w:tc>
        <w:tc>
          <w:tcPr>
            <w:tcW w:w="1350" w:type="dxa"/>
            <w:vAlign w:val="bottom"/>
          </w:tcPr>
          <w:p w14:paraId="6C2824A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Skewed</w:t>
            </w:r>
          </w:p>
        </w:tc>
        <w:tc>
          <w:tcPr>
            <w:tcW w:w="1220" w:type="dxa"/>
            <w:vAlign w:val="bottom"/>
          </w:tcPr>
          <w:p w14:paraId="5B122794"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1.54</w:t>
            </w:r>
          </w:p>
        </w:tc>
        <w:tc>
          <w:tcPr>
            <w:tcW w:w="1390" w:type="dxa"/>
            <w:vAlign w:val="bottom"/>
          </w:tcPr>
          <w:p w14:paraId="6285329A"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Very Leptokurtic</w:t>
            </w:r>
          </w:p>
        </w:tc>
      </w:tr>
      <w:tr w:rsidR="00EB6E7A" w:rsidRPr="00345127" w14:paraId="3E18F4C1" w14:textId="77777777" w:rsidTr="00D14738">
        <w:trPr>
          <w:trHeight w:val="276"/>
        </w:trPr>
        <w:tc>
          <w:tcPr>
            <w:tcW w:w="720" w:type="dxa"/>
            <w:tcBorders>
              <w:bottom w:val="single" w:sz="4" w:space="0" w:color="auto"/>
            </w:tcBorders>
            <w:vAlign w:val="bottom"/>
          </w:tcPr>
          <w:p w14:paraId="4F6AB793"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SB6</w:t>
            </w:r>
          </w:p>
        </w:tc>
        <w:tc>
          <w:tcPr>
            <w:tcW w:w="810" w:type="dxa"/>
            <w:tcBorders>
              <w:bottom w:val="single" w:sz="4" w:space="0" w:color="auto"/>
            </w:tcBorders>
            <w:vAlign w:val="bottom"/>
          </w:tcPr>
          <w:p w14:paraId="4C1150A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0.60</w:t>
            </w:r>
          </w:p>
        </w:tc>
        <w:tc>
          <w:tcPr>
            <w:tcW w:w="1350" w:type="dxa"/>
            <w:tcBorders>
              <w:bottom w:val="single" w:sz="4" w:space="0" w:color="auto"/>
            </w:tcBorders>
            <w:vAlign w:val="bottom"/>
          </w:tcPr>
          <w:p w14:paraId="4F4EFC3D"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sand</w:t>
            </w:r>
          </w:p>
        </w:tc>
        <w:tc>
          <w:tcPr>
            <w:tcW w:w="1170" w:type="dxa"/>
            <w:tcBorders>
              <w:bottom w:val="single" w:sz="4" w:space="0" w:color="auto"/>
            </w:tcBorders>
            <w:vAlign w:val="bottom"/>
          </w:tcPr>
          <w:p w14:paraId="242FA28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0.89</w:t>
            </w:r>
          </w:p>
        </w:tc>
        <w:tc>
          <w:tcPr>
            <w:tcW w:w="1350" w:type="dxa"/>
            <w:tcBorders>
              <w:bottom w:val="single" w:sz="4" w:space="0" w:color="auto"/>
            </w:tcBorders>
            <w:vAlign w:val="bottom"/>
          </w:tcPr>
          <w:p w14:paraId="5279E962"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Moderately Sorted</w:t>
            </w:r>
          </w:p>
        </w:tc>
        <w:tc>
          <w:tcPr>
            <w:tcW w:w="1350" w:type="dxa"/>
            <w:tcBorders>
              <w:bottom w:val="single" w:sz="4" w:space="0" w:color="auto"/>
            </w:tcBorders>
            <w:vAlign w:val="bottom"/>
          </w:tcPr>
          <w:p w14:paraId="29FB291F"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-0.62</w:t>
            </w:r>
          </w:p>
        </w:tc>
        <w:tc>
          <w:tcPr>
            <w:tcW w:w="1350" w:type="dxa"/>
            <w:tcBorders>
              <w:bottom w:val="single" w:sz="4" w:space="0" w:color="auto"/>
            </w:tcBorders>
            <w:vAlign w:val="bottom"/>
          </w:tcPr>
          <w:p w14:paraId="23655FE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Skewed</w:t>
            </w:r>
          </w:p>
        </w:tc>
        <w:tc>
          <w:tcPr>
            <w:tcW w:w="1220" w:type="dxa"/>
            <w:tcBorders>
              <w:bottom w:val="single" w:sz="4" w:space="0" w:color="auto"/>
            </w:tcBorders>
            <w:vAlign w:val="bottom"/>
          </w:tcPr>
          <w:p w14:paraId="031D125D"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1.57</w:t>
            </w:r>
          </w:p>
        </w:tc>
        <w:tc>
          <w:tcPr>
            <w:tcW w:w="1390" w:type="dxa"/>
            <w:tcBorders>
              <w:bottom w:val="single" w:sz="4" w:space="0" w:color="auto"/>
            </w:tcBorders>
            <w:vAlign w:val="bottom"/>
          </w:tcPr>
          <w:p w14:paraId="0D562D6A"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Very Leptokurtic</w:t>
            </w:r>
          </w:p>
        </w:tc>
      </w:tr>
    </w:tbl>
    <w:p w14:paraId="5E727841" w14:textId="77777777" w:rsidR="00EB6E7A" w:rsidRPr="00345127" w:rsidRDefault="00EB6E7A" w:rsidP="006A3A56">
      <w:pPr>
        <w:pStyle w:val="BodyText"/>
        <w:jc w:val="both"/>
        <w:rPr>
          <w:rFonts w:cs="Times New Roman"/>
        </w:rPr>
      </w:pPr>
    </w:p>
    <w:p w14:paraId="687C3299" w14:textId="77777777" w:rsidR="002F665E" w:rsidRPr="00345127" w:rsidRDefault="001B34EC" w:rsidP="006A3A56">
      <w:pPr>
        <w:pStyle w:val="Heading3"/>
        <w:jc w:val="both"/>
        <w:rPr>
          <w:rFonts w:cs="Times New Roman"/>
          <w:color w:val="auto"/>
          <w:sz w:val="24"/>
          <w:szCs w:val="24"/>
        </w:rPr>
      </w:pPr>
      <w:bookmarkStart w:id="21" w:name="X84210b46bcc33ddf0fc9f68c2b8b26d57b0b7f9"/>
      <w:bookmarkEnd w:id="20"/>
      <w:r w:rsidRPr="00345127">
        <w:rPr>
          <w:rFonts w:cs="Times New Roman"/>
          <w:color w:val="auto"/>
          <w:sz w:val="24"/>
          <w:szCs w:val="24"/>
        </w:rPr>
        <w:t>4.6 Sandbar Evolution and Blue Economy Implications</w:t>
      </w:r>
    </w:p>
    <w:p w14:paraId="7FAE0161" w14:textId="0FFAEED9" w:rsidR="002F665E" w:rsidRPr="00345127" w:rsidRDefault="001B34EC" w:rsidP="006A3A56">
      <w:pPr>
        <w:pStyle w:val="FirstParagraph"/>
        <w:jc w:val="both"/>
        <w:rPr>
          <w:rFonts w:cs="Times New Roman"/>
        </w:rPr>
      </w:pPr>
      <w:r w:rsidRPr="00345127">
        <w:rPr>
          <w:rFonts w:cs="Times New Roman"/>
        </w:rPr>
        <w:t xml:space="preserve">The classification of sandbar evolution in Table </w:t>
      </w:r>
      <w:r w:rsidR="00E37009">
        <w:rPr>
          <w:rFonts w:cs="Times New Roman"/>
        </w:rPr>
        <w:t>5</w:t>
      </w:r>
      <w:r w:rsidRPr="00345127">
        <w:rPr>
          <w:rFonts w:cs="Times New Roman"/>
        </w:rPr>
        <w:t xml:space="preserve"> reveals varied developmental pathways. While SB1 and SB2 exhibit </w:t>
      </w:r>
      <w:r w:rsidRPr="00345127">
        <w:rPr>
          <w:rFonts w:cs="Times New Roman"/>
          <w:bCs/>
        </w:rPr>
        <w:t>formation and regrowth</w:t>
      </w:r>
      <w:r w:rsidRPr="00345127">
        <w:rPr>
          <w:rFonts w:cs="Times New Roman"/>
        </w:rPr>
        <w:t xml:space="preserve">, SB3 and SB4 show </w:t>
      </w:r>
      <w:r w:rsidRPr="00345127">
        <w:rPr>
          <w:rFonts w:cs="Times New Roman"/>
          <w:bCs/>
        </w:rPr>
        <w:t>migration and accretion</w:t>
      </w:r>
      <w:r w:rsidRPr="00345127">
        <w:rPr>
          <w:rFonts w:cs="Times New Roman"/>
        </w:rPr>
        <w:t xml:space="preserve">, and SB5 and SB6 represent </w:t>
      </w:r>
      <w:r w:rsidRPr="00345127">
        <w:rPr>
          <w:rFonts w:cs="Times New Roman"/>
          <w:bCs/>
        </w:rPr>
        <w:t>stabilized sand-island structures</w:t>
      </w:r>
      <w:r w:rsidRPr="00345127">
        <w:rPr>
          <w:rFonts w:cs="Times New Roman"/>
        </w:rPr>
        <w:t>. These divergent pathways illustrate the complex interplay between hydrology, sediment dynamics, and local geomorphology.</w:t>
      </w:r>
    </w:p>
    <w:p w14:paraId="5177D25C" w14:textId="161082ED" w:rsidR="002F665E" w:rsidRPr="00345127" w:rsidRDefault="001B34EC" w:rsidP="006A3A56">
      <w:pPr>
        <w:pStyle w:val="BodyText"/>
        <w:jc w:val="both"/>
        <w:rPr>
          <w:rFonts w:cs="Times New Roman"/>
        </w:rPr>
      </w:pPr>
      <w:r w:rsidRPr="00345127">
        <w:rPr>
          <w:rFonts w:cs="Times New Roman"/>
        </w:rPr>
        <w:t xml:space="preserve">Such morphological behavior has implications for navigation, estuarine habitat health, and aquaculture zoning. For instance, the stabilization of SB5 </w:t>
      </w:r>
      <w:r w:rsidR="00611C9C" w:rsidRPr="00345127">
        <w:rPr>
          <w:rFonts w:cs="Times New Roman"/>
        </w:rPr>
        <w:t>opens</w:t>
      </w:r>
      <w:r w:rsidRPr="00345127">
        <w:rPr>
          <w:rFonts w:cs="Times New Roman"/>
        </w:rPr>
        <w:t xml:space="preserve"> possibilities for low-impact tourism or ecological restoration activities. Conversely, the lateral migration of SB3 signals potential hazards for riverine transport infrastructure.</w:t>
      </w:r>
    </w:p>
    <w:p w14:paraId="7CCDF174" w14:textId="77777777" w:rsidR="002F665E" w:rsidRPr="00345127" w:rsidRDefault="001B34EC" w:rsidP="006A3A56">
      <w:pPr>
        <w:pStyle w:val="BodyText"/>
        <w:jc w:val="both"/>
        <w:rPr>
          <w:rFonts w:cs="Times New Roman"/>
        </w:rPr>
      </w:pPr>
      <w:r w:rsidRPr="00345127">
        <w:rPr>
          <w:rFonts w:cs="Times New Roman"/>
        </w:rPr>
        <w:t xml:space="preserve">Moreover, the morphological maturity observed in 2023, supported by increases in compactness, perimeter, and area, signals that these features are becoming semi-permanent fixtures in the riverine landscape. As </w:t>
      </w:r>
      <w:r w:rsidRPr="00345127">
        <w:rPr>
          <w:rFonts w:cs="Times New Roman"/>
        </w:rPr>
        <w:lastRenderedPageBreak/>
        <w:t>such, they warrant inclusion in marine spatial planning frameworks, especially under Nigeria’s expanding blue economy agenda.</w:t>
      </w:r>
    </w:p>
    <w:p w14:paraId="03B4EDC6" w14:textId="77777777" w:rsidR="002F665E" w:rsidRPr="00345127" w:rsidRDefault="001B34EC" w:rsidP="006A3A56">
      <w:pPr>
        <w:pStyle w:val="Heading2"/>
        <w:jc w:val="both"/>
        <w:rPr>
          <w:rFonts w:ascii="Times New Roman" w:hAnsi="Times New Roman" w:cs="Times New Roman"/>
          <w:color w:val="auto"/>
          <w:sz w:val="24"/>
          <w:szCs w:val="24"/>
        </w:rPr>
      </w:pPr>
      <w:bookmarkStart w:id="22" w:name="discussion"/>
      <w:bookmarkEnd w:id="15"/>
      <w:bookmarkEnd w:id="21"/>
      <w:r w:rsidRPr="00345127">
        <w:rPr>
          <w:rFonts w:ascii="Times New Roman" w:hAnsi="Times New Roman" w:cs="Times New Roman"/>
          <w:b/>
          <w:bCs/>
          <w:color w:val="auto"/>
          <w:sz w:val="24"/>
          <w:szCs w:val="24"/>
        </w:rPr>
        <w:t>5. Discussion</w:t>
      </w:r>
    </w:p>
    <w:p w14:paraId="4F12775B" w14:textId="77777777" w:rsidR="002F665E" w:rsidRPr="00345127" w:rsidRDefault="001B34EC" w:rsidP="006A3A56">
      <w:pPr>
        <w:pStyle w:val="Heading3"/>
        <w:jc w:val="both"/>
        <w:rPr>
          <w:rFonts w:cs="Times New Roman"/>
          <w:color w:val="auto"/>
          <w:sz w:val="24"/>
          <w:szCs w:val="24"/>
        </w:rPr>
      </w:pPr>
      <w:bookmarkStart w:id="23" w:name="X608648bc84373fa81e6977e6b7795038952d8d8"/>
      <w:r w:rsidRPr="00345127">
        <w:rPr>
          <w:rFonts w:cs="Times New Roman"/>
          <w:color w:val="auto"/>
          <w:sz w:val="24"/>
          <w:szCs w:val="24"/>
        </w:rPr>
        <w:t>5.1 Interpreting Morphometric Trends in Sandbar Evolution</w:t>
      </w:r>
    </w:p>
    <w:p w14:paraId="1279C144" w14:textId="3ED1B2EE" w:rsidR="002F665E" w:rsidRPr="00345127" w:rsidRDefault="001B34EC" w:rsidP="006A3A56">
      <w:pPr>
        <w:pStyle w:val="FirstParagraph"/>
        <w:jc w:val="both"/>
        <w:rPr>
          <w:rFonts w:cs="Times New Roman"/>
        </w:rPr>
      </w:pPr>
      <w:r w:rsidRPr="00345127">
        <w:rPr>
          <w:rFonts w:cs="Times New Roman"/>
        </w:rPr>
        <w:t xml:space="preserve">The morphometric analysis presented in this study confirms that sandbars along the </w:t>
      </w:r>
      <w:proofErr w:type="spellStart"/>
      <w:r w:rsidRPr="00345127">
        <w:rPr>
          <w:rFonts w:cs="Times New Roman"/>
        </w:rPr>
        <w:t>Forcados</w:t>
      </w:r>
      <w:proofErr w:type="spellEnd"/>
      <w:r w:rsidRPr="00345127">
        <w:rPr>
          <w:rFonts w:cs="Times New Roman"/>
        </w:rPr>
        <w:t xml:space="preserve"> River exhibit discernible patterns of growth, migration, and stabilization over the 20-year observation period. The steady increase in average sandbar area from 0.0154 km² in 2003 to 0.0297 km² in 2023 (Tables 1–3) reflects a broader trend of sediment accretion and lateral expansion, likely influenced by sediment flux regulation, climate-driven hydrological variability, and morphological feedback mechanisms. Similar trends have been documented by </w:t>
      </w:r>
      <w:proofErr w:type="spellStart"/>
      <w:r w:rsidRPr="00345127">
        <w:rPr>
          <w:rFonts w:cs="Times New Roman"/>
        </w:rPr>
        <w:t>Gijsman</w:t>
      </w:r>
      <w:proofErr w:type="spellEnd"/>
      <w:r w:rsidRPr="00345127">
        <w:rPr>
          <w:rFonts w:cs="Times New Roman"/>
        </w:rPr>
        <w:t xml:space="preserve"> et al. </w:t>
      </w:r>
      <w:r w:rsidR="00F97A61" w:rsidRPr="00345127">
        <w:rPr>
          <w:rFonts w:cs="Times New Roman"/>
        </w:rPr>
        <w:t>[19]</w:t>
      </w:r>
      <w:r w:rsidRPr="00345127">
        <w:rPr>
          <w:rFonts w:cs="Times New Roman"/>
        </w:rPr>
        <w:t xml:space="preserve"> along curved estuarine shorelines and by Lee et al. </w:t>
      </w:r>
      <w:r w:rsidR="00F97A61" w:rsidRPr="00345127">
        <w:rPr>
          <w:rFonts w:cs="Times New Roman"/>
        </w:rPr>
        <w:t>[18]</w:t>
      </w:r>
      <w:r w:rsidRPr="00345127">
        <w:rPr>
          <w:rFonts w:cs="Times New Roman"/>
        </w:rPr>
        <w:t xml:space="preserve"> in the Nakdong River Estuary, where bar expansion was linked to altered hydrodynamics and sediment capture efficiency.</w:t>
      </w:r>
    </w:p>
    <w:p w14:paraId="63F8140F" w14:textId="4382311F" w:rsidR="002F665E" w:rsidRPr="00345127" w:rsidRDefault="001B34EC" w:rsidP="006A3A56">
      <w:pPr>
        <w:pStyle w:val="BodyText"/>
        <w:jc w:val="both"/>
        <w:rPr>
          <w:rFonts w:cs="Times New Roman"/>
        </w:rPr>
      </w:pPr>
      <w:r w:rsidRPr="00345127">
        <w:rPr>
          <w:rFonts w:cs="Times New Roman"/>
        </w:rPr>
        <w:t xml:space="preserve">The </w:t>
      </w:r>
      <w:proofErr w:type="spellStart"/>
      <w:r w:rsidRPr="00345127">
        <w:rPr>
          <w:rFonts w:cs="Times New Roman"/>
        </w:rPr>
        <w:t>Forcados</w:t>
      </w:r>
      <w:proofErr w:type="spellEnd"/>
      <w:r w:rsidRPr="00345127">
        <w:rPr>
          <w:rFonts w:cs="Times New Roman"/>
        </w:rPr>
        <w:t xml:space="preserve"> River system, characterized by its relatively low gradient and high sediment load, provides a favorable setting for the formation of mid-channel and lateral bars. The rise in compactness and circularity indices (Table 3) by 2023 suggests a transition from transient to more stable bar formations. This finding echoes earlier research by Leuven et al. </w:t>
      </w:r>
      <w:r w:rsidR="000D7EB9" w:rsidRPr="00345127">
        <w:rPr>
          <w:rFonts w:cs="Times New Roman"/>
        </w:rPr>
        <w:t>[36]</w:t>
      </w:r>
      <w:r w:rsidRPr="00345127">
        <w:rPr>
          <w:rFonts w:cs="Times New Roman"/>
        </w:rPr>
        <w:t xml:space="preserve">, who observed that topographic forcing in irregular estuaries governs bar geometry and longevity. The increasing values of the aspect ratio and elongation ratio are also consistent with the elongation and maturity of bars in high-discharge systems </w:t>
      </w:r>
      <w:r w:rsidR="00847D44" w:rsidRPr="00345127">
        <w:rPr>
          <w:rFonts w:cs="Times New Roman"/>
        </w:rPr>
        <w:t>[1], [</w:t>
      </w:r>
      <w:r w:rsidR="009F473F" w:rsidRPr="00345127">
        <w:rPr>
          <w:rFonts w:cs="Times New Roman"/>
        </w:rPr>
        <w:t>3</w:t>
      </w:r>
      <w:r w:rsidR="000D7EB9" w:rsidRPr="00345127">
        <w:rPr>
          <w:rFonts w:cs="Times New Roman"/>
        </w:rPr>
        <w:t>7</w:t>
      </w:r>
      <w:r w:rsidR="00847D44" w:rsidRPr="00345127">
        <w:rPr>
          <w:rFonts w:cs="Times New Roman"/>
        </w:rPr>
        <w:t>]</w:t>
      </w:r>
      <w:r w:rsidRPr="00345127">
        <w:rPr>
          <w:rFonts w:cs="Times New Roman"/>
        </w:rPr>
        <w:t>.</w:t>
      </w:r>
    </w:p>
    <w:p w14:paraId="3F2672CB" w14:textId="10CC1220" w:rsidR="002F665E" w:rsidRPr="00345127" w:rsidRDefault="001B34EC" w:rsidP="006A3A56">
      <w:pPr>
        <w:pStyle w:val="BodyText"/>
        <w:jc w:val="both"/>
        <w:rPr>
          <w:rFonts w:cs="Times New Roman"/>
        </w:rPr>
      </w:pPr>
      <w:r w:rsidRPr="00345127">
        <w:rPr>
          <w:rFonts w:cs="Times New Roman"/>
        </w:rPr>
        <w:t xml:space="preserve">Notably, the cross-plots (Figures 5–7) revealed near-perfect linear correlations (R² &gt; 0.96) among sandbar length, width, and area, reinforcing the coherence and predictability of bar morphometry in this dynamic fluvial environment. These strong correlations mirror the outcomes of similar studies in tropical river deltas, such as those by Gu et al. </w:t>
      </w:r>
      <w:r w:rsidR="009F473F" w:rsidRPr="00345127">
        <w:rPr>
          <w:rFonts w:cs="Times New Roman"/>
        </w:rPr>
        <w:t>[3</w:t>
      </w:r>
      <w:r w:rsidR="000D7EB9" w:rsidRPr="00345127">
        <w:rPr>
          <w:rFonts w:cs="Times New Roman"/>
        </w:rPr>
        <w:t>8</w:t>
      </w:r>
      <w:r w:rsidR="009F473F" w:rsidRPr="00345127">
        <w:rPr>
          <w:rFonts w:cs="Times New Roman"/>
        </w:rPr>
        <w:t>]</w:t>
      </w:r>
      <w:r w:rsidRPr="00345127">
        <w:rPr>
          <w:rFonts w:cs="Times New Roman"/>
        </w:rPr>
        <w:t xml:space="preserve"> along the Mekong River, who attributed bar morphology to sediment supply, channel depth, and </w:t>
      </w:r>
      <w:proofErr w:type="spellStart"/>
      <w:r w:rsidRPr="00345127">
        <w:rPr>
          <w:rFonts w:cs="Times New Roman"/>
        </w:rPr>
        <w:t>bankfull</w:t>
      </w:r>
      <w:proofErr w:type="spellEnd"/>
      <w:r w:rsidRPr="00345127">
        <w:rPr>
          <w:rFonts w:cs="Times New Roman"/>
        </w:rPr>
        <w:t xml:space="preserve"> discharge frequency.</w:t>
      </w:r>
    </w:p>
    <w:p w14:paraId="410EAC70" w14:textId="77777777" w:rsidR="002F665E" w:rsidRPr="00345127" w:rsidRDefault="001B34EC" w:rsidP="006A3A56">
      <w:pPr>
        <w:pStyle w:val="Heading3"/>
        <w:jc w:val="both"/>
        <w:rPr>
          <w:rFonts w:cs="Times New Roman"/>
          <w:color w:val="auto"/>
          <w:sz w:val="24"/>
          <w:szCs w:val="24"/>
        </w:rPr>
      </w:pPr>
      <w:bookmarkStart w:id="24" w:name="X9efa7ce7daac87e5674785fa28ddb34d6a915cd"/>
      <w:bookmarkEnd w:id="23"/>
      <w:r w:rsidRPr="00345127">
        <w:rPr>
          <w:rFonts w:cs="Times New Roman"/>
          <w:color w:val="auto"/>
          <w:sz w:val="24"/>
          <w:szCs w:val="24"/>
        </w:rPr>
        <w:t>5.2 Spatial Clustering and Elevation Dependencies</w:t>
      </w:r>
    </w:p>
    <w:p w14:paraId="6AFA2498" w14:textId="59A0ADAF" w:rsidR="002F665E" w:rsidRPr="00345127" w:rsidRDefault="001B34EC" w:rsidP="006A3A56">
      <w:pPr>
        <w:pStyle w:val="FirstParagraph"/>
        <w:jc w:val="both"/>
        <w:rPr>
          <w:rFonts w:cs="Times New Roman"/>
        </w:rPr>
      </w:pPr>
      <w:r w:rsidRPr="00345127">
        <w:rPr>
          <w:rFonts w:cs="Times New Roman"/>
        </w:rPr>
        <w:t xml:space="preserve">The spatial clustering of sandbars, as revealed by the high and statistically significant Global Moran’s Index (0.5147; p &lt; 0.001), underscores the role of elevation and localized channel topography in bar formation. Clustering patterns shown in Figure </w:t>
      </w:r>
      <w:r w:rsidR="00E37009">
        <w:rPr>
          <w:rFonts w:cs="Times New Roman"/>
        </w:rPr>
        <w:t>7</w:t>
      </w:r>
      <w:r w:rsidRPr="00345127">
        <w:rPr>
          <w:rFonts w:cs="Times New Roman"/>
        </w:rPr>
        <w:t xml:space="preserve"> correspond to zones with lower elevation and greater cross-sectional width, which enhance sediment deposition during the falling stage of seasonal floods. These findings support previous work by Petts and Hickin </w:t>
      </w:r>
      <w:r w:rsidR="00693F38" w:rsidRPr="00345127">
        <w:rPr>
          <w:rFonts w:cs="Times New Roman"/>
        </w:rPr>
        <w:t>&amp;</w:t>
      </w:r>
      <w:r w:rsidRPr="00345127">
        <w:rPr>
          <w:rFonts w:cs="Times New Roman"/>
        </w:rPr>
        <w:t xml:space="preserve"> Nanson</w:t>
      </w:r>
      <w:r w:rsidR="00847D44" w:rsidRPr="00345127">
        <w:rPr>
          <w:rFonts w:cs="Times New Roman"/>
        </w:rPr>
        <w:t xml:space="preserve"> [7], [8]</w:t>
      </w:r>
      <w:r w:rsidRPr="00345127">
        <w:rPr>
          <w:rFonts w:cs="Times New Roman"/>
        </w:rPr>
        <w:t>, who highlighted the importance of eddy zones and inner bank deposition in bar genesis.</w:t>
      </w:r>
    </w:p>
    <w:p w14:paraId="195AC83E" w14:textId="0EBC5374" w:rsidR="002F665E" w:rsidRPr="00345127" w:rsidRDefault="001B34EC" w:rsidP="006A3A56">
      <w:pPr>
        <w:pStyle w:val="BodyText"/>
        <w:jc w:val="both"/>
        <w:rPr>
          <w:rFonts w:cs="Times New Roman"/>
        </w:rPr>
      </w:pPr>
      <w:r w:rsidRPr="00345127">
        <w:rPr>
          <w:rFonts w:cs="Times New Roman"/>
        </w:rPr>
        <w:t xml:space="preserve">The elevation-sandbar relationship is further strengthened by the positive skewness of sediment distributions in SB1 and SB2 (Table </w:t>
      </w:r>
      <w:r w:rsidR="00E37009">
        <w:rPr>
          <w:rFonts w:cs="Times New Roman"/>
        </w:rPr>
        <w:t>5</w:t>
      </w:r>
      <w:r w:rsidRPr="00345127">
        <w:rPr>
          <w:rFonts w:cs="Times New Roman"/>
        </w:rPr>
        <w:t>), suggesting finer sediments settle in areas with gentle slope gradients and low-energy backwaters. In contrast, SB4 to SB6</w:t>
      </w:r>
      <w:r w:rsidR="00693F38" w:rsidRPr="00345127">
        <w:rPr>
          <w:rFonts w:cs="Times New Roman"/>
        </w:rPr>
        <w:t xml:space="preserve"> </w:t>
      </w:r>
      <w:r w:rsidRPr="00345127">
        <w:rPr>
          <w:rFonts w:cs="Times New Roman"/>
        </w:rPr>
        <w:t>located in high-energy segments of the channel</w:t>
      </w:r>
      <w:r w:rsidR="00693F38" w:rsidRPr="00345127">
        <w:rPr>
          <w:rFonts w:cs="Times New Roman"/>
        </w:rPr>
        <w:t xml:space="preserve"> </w:t>
      </w:r>
      <w:r w:rsidRPr="00345127">
        <w:rPr>
          <w:rFonts w:cs="Times New Roman"/>
        </w:rPr>
        <w:t xml:space="preserve">exhibited coarse skewness and very leptokurtic grain size curves, suggesting uniform grain sizes deposited under vigorous flows, typical of depositional lobes forming on channel margins </w:t>
      </w:r>
      <w:r w:rsidR="009F473F" w:rsidRPr="00345127">
        <w:rPr>
          <w:rFonts w:cs="Times New Roman"/>
        </w:rPr>
        <w:t>[3</w:t>
      </w:r>
      <w:r w:rsidR="000D7EB9" w:rsidRPr="00345127">
        <w:rPr>
          <w:rFonts w:cs="Times New Roman"/>
        </w:rPr>
        <w:t>9</w:t>
      </w:r>
      <w:r w:rsidR="009F473F" w:rsidRPr="00345127">
        <w:rPr>
          <w:rFonts w:cs="Times New Roman"/>
        </w:rPr>
        <w:t>]</w:t>
      </w:r>
      <w:r w:rsidRPr="00345127">
        <w:rPr>
          <w:rFonts w:cs="Times New Roman"/>
        </w:rPr>
        <w:t>.</w:t>
      </w:r>
    </w:p>
    <w:p w14:paraId="4AC0B117" w14:textId="2B7AA420" w:rsidR="002F665E" w:rsidRPr="00345127" w:rsidRDefault="001B34EC" w:rsidP="006A3A56">
      <w:pPr>
        <w:pStyle w:val="BodyText"/>
        <w:jc w:val="both"/>
        <w:rPr>
          <w:rFonts w:cs="Times New Roman"/>
        </w:rPr>
      </w:pPr>
      <w:r w:rsidRPr="00345127">
        <w:rPr>
          <w:rFonts w:cs="Times New Roman"/>
        </w:rPr>
        <w:t xml:space="preserve">This spatial distribution is relevant to riverine hazard mapping and sediment dredging strategies. Concentrated sandbar formation in low-lying clusters may indicate vulnerability zones where sediment congestion could hinder navigation or alter floodplain connectivity. A similar conclusion was reached by </w:t>
      </w:r>
      <w:proofErr w:type="spellStart"/>
      <w:r w:rsidRPr="00345127">
        <w:rPr>
          <w:rFonts w:cs="Times New Roman"/>
        </w:rPr>
        <w:t>Miselis</w:t>
      </w:r>
      <w:proofErr w:type="spellEnd"/>
      <w:r w:rsidRPr="00345127">
        <w:rPr>
          <w:rFonts w:cs="Times New Roman"/>
        </w:rPr>
        <w:t xml:space="preserve"> </w:t>
      </w:r>
      <w:proofErr w:type="gramStart"/>
      <w:r w:rsidRPr="00345127">
        <w:rPr>
          <w:rFonts w:cs="Times New Roman"/>
        </w:rPr>
        <w:t>et al.</w:t>
      </w:r>
      <w:r w:rsidR="009F473F" w:rsidRPr="00345127">
        <w:rPr>
          <w:rFonts w:cs="Times New Roman"/>
        </w:rPr>
        <w:t>[</w:t>
      </w:r>
      <w:proofErr w:type="gramEnd"/>
      <w:r w:rsidR="000D7EB9" w:rsidRPr="00345127">
        <w:rPr>
          <w:rFonts w:cs="Times New Roman"/>
        </w:rPr>
        <w:t>40</w:t>
      </w:r>
      <w:r w:rsidR="009F473F" w:rsidRPr="00345127">
        <w:rPr>
          <w:rFonts w:cs="Times New Roman"/>
        </w:rPr>
        <w:t>]</w:t>
      </w:r>
      <w:r w:rsidRPr="00345127">
        <w:rPr>
          <w:rFonts w:cs="Times New Roman"/>
        </w:rPr>
        <w:t>, who linked bar clustering to sediment supply dynamics and foreshore slope on the U.S. Gulf Coast.</w:t>
      </w:r>
    </w:p>
    <w:p w14:paraId="5D568C88" w14:textId="77777777" w:rsidR="002F665E" w:rsidRPr="00345127" w:rsidRDefault="001B34EC" w:rsidP="006A3A56">
      <w:pPr>
        <w:pStyle w:val="Heading3"/>
        <w:jc w:val="both"/>
        <w:rPr>
          <w:rFonts w:cs="Times New Roman"/>
          <w:color w:val="auto"/>
          <w:sz w:val="24"/>
          <w:szCs w:val="24"/>
        </w:rPr>
      </w:pPr>
      <w:bookmarkStart w:id="25" w:name="X8ebb0f39699d8f70d169309b148d2165f1490fb"/>
      <w:bookmarkEnd w:id="24"/>
      <w:r w:rsidRPr="00345127">
        <w:rPr>
          <w:rFonts w:cs="Times New Roman"/>
          <w:color w:val="auto"/>
          <w:sz w:val="24"/>
          <w:szCs w:val="24"/>
        </w:rPr>
        <w:lastRenderedPageBreak/>
        <w:t>5.3 Sediment Characteristics and Depositional Environment</w:t>
      </w:r>
    </w:p>
    <w:p w14:paraId="5C5A1AB1" w14:textId="2CF566F8" w:rsidR="002F665E" w:rsidRPr="00345127" w:rsidRDefault="001B34EC" w:rsidP="006A3A56">
      <w:pPr>
        <w:pStyle w:val="FirstParagraph"/>
        <w:jc w:val="both"/>
        <w:rPr>
          <w:rFonts w:cs="Times New Roman"/>
        </w:rPr>
      </w:pPr>
      <w:r w:rsidRPr="00345127">
        <w:rPr>
          <w:rFonts w:cs="Times New Roman"/>
        </w:rPr>
        <w:t xml:space="preserve">The sedimentological analysis revealed medium to coarse sand as the dominant grain size, with sorting values indicating moderately sorted to well-sorted sediments. These textural properties align with previous studies in deltaic rivers where high sediment load and variable discharge create dynamic depositional environments </w:t>
      </w:r>
      <w:r w:rsidR="00D0720B" w:rsidRPr="00345127">
        <w:rPr>
          <w:rFonts w:cs="Times New Roman"/>
        </w:rPr>
        <w:t>[</w:t>
      </w:r>
      <w:r w:rsidR="00FF3F84" w:rsidRPr="00345127">
        <w:rPr>
          <w:rFonts w:cs="Times New Roman"/>
        </w:rPr>
        <w:t>22]</w:t>
      </w:r>
      <w:r w:rsidR="009F473F" w:rsidRPr="00345127">
        <w:rPr>
          <w:rFonts w:cs="Times New Roman"/>
        </w:rPr>
        <w:t>,[4</w:t>
      </w:r>
      <w:r w:rsidR="000D7EB9" w:rsidRPr="00345127">
        <w:rPr>
          <w:rFonts w:cs="Times New Roman"/>
        </w:rPr>
        <w:t>1</w:t>
      </w:r>
      <w:r w:rsidR="009F473F" w:rsidRPr="00345127">
        <w:rPr>
          <w:rFonts w:cs="Times New Roman"/>
        </w:rPr>
        <w:t>]</w:t>
      </w:r>
      <w:r w:rsidRPr="00345127">
        <w:rPr>
          <w:rFonts w:cs="Times New Roman"/>
        </w:rPr>
        <w:t xml:space="preserve">. In particular, SB3 exhibited finer grains and better sorting, suggesting deposition in a more stable, low-energy eddy zone, while SB4 to SB6 presented coarser grains with leptokurtic curves, typical of bar apex or mid-bar zones subject to recurrent inundation and peak flow energy </w:t>
      </w:r>
      <w:r w:rsidR="008B3D13" w:rsidRPr="00345127">
        <w:rPr>
          <w:rFonts w:cs="Times New Roman"/>
        </w:rPr>
        <w:t>[32]</w:t>
      </w:r>
      <w:r w:rsidRPr="00345127">
        <w:rPr>
          <w:rFonts w:cs="Times New Roman"/>
        </w:rPr>
        <w:t>.</w:t>
      </w:r>
    </w:p>
    <w:p w14:paraId="07BED79D" w14:textId="65FEC46A" w:rsidR="002F665E" w:rsidRPr="00345127" w:rsidRDefault="001B34EC" w:rsidP="006A3A56">
      <w:pPr>
        <w:pStyle w:val="BodyText"/>
        <w:jc w:val="both"/>
        <w:rPr>
          <w:rFonts w:cs="Times New Roman"/>
        </w:rPr>
      </w:pPr>
      <w:r w:rsidRPr="00345127">
        <w:rPr>
          <w:rFonts w:cs="Times New Roman"/>
        </w:rPr>
        <w:t xml:space="preserve">These results align with sedimentological models of bar accretion described by Goldstein et al. </w:t>
      </w:r>
      <w:r w:rsidR="00F97A61" w:rsidRPr="00345127">
        <w:rPr>
          <w:rFonts w:cs="Times New Roman"/>
        </w:rPr>
        <w:t>[17]</w:t>
      </w:r>
      <w:r w:rsidRPr="00345127">
        <w:rPr>
          <w:rFonts w:cs="Times New Roman"/>
        </w:rPr>
        <w:t xml:space="preserve">, which emphasize the balance between sediment supply, bedform migration, and hydrodynamic energy. The persistent coarse-grained texture of SB5 and SB6 likely contributes to their morphologic resilience and ability to support vegetation colonization, consistent with findings by </w:t>
      </w:r>
      <w:proofErr w:type="spellStart"/>
      <w:r w:rsidRPr="00345127">
        <w:rPr>
          <w:rFonts w:cs="Times New Roman"/>
        </w:rPr>
        <w:t>Taveneau</w:t>
      </w:r>
      <w:proofErr w:type="spellEnd"/>
      <w:r w:rsidRPr="00345127">
        <w:rPr>
          <w:rFonts w:cs="Times New Roman"/>
        </w:rPr>
        <w:t xml:space="preserve"> et al.  and Paul &amp; Harris </w:t>
      </w:r>
      <w:r w:rsidR="00B5263D" w:rsidRPr="00345127">
        <w:rPr>
          <w:rFonts w:cs="Times New Roman"/>
        </w:rPr>
        <w:t>[4</w:t>
      </w:r>
      <w:r w:rsidR="000D7EB9" w:rsidRPr="00345127">
        <w:rPr>
          <w:rFonts w:cs="Times New Roman"/>
        </w:rPr>
        <w:t>2</w:t>
      </w:r>
      <w:r w:rsidR="00B5263D" w:rsidRPr="00345127">
        <w:rPr>
          <w:rFonts w:cs="Times New Roman"/>
        </w:rPr>
        <w:t>], [4</w:t>
      </w:r>
      <w:r w:rsidR="000D7EB9" w:rsidRPr="00345127">
        <w:rPr>
          <w:rFonts w:cs="Times New Roman"/>
        </w:rPr>
        <w:t>3</w:t>
      </w:r>
      <w:r w:rsidR="00B5263D" w:rsidRPr="00345127">
        <w:rPr>
          <w:rFonts w:cs="Times New Roman"/>
        </w:rPr>
        <w:t>]</w:t>
      </w:r>
      <w:r w:rsidRPr="00345127">
        <w:rPr>
          <w:rFonts w:cs="Times New Roman"/>
        </w:rPr>
        <w:t xml:space="preserve"> on vegetated sand-islands in tidal estuaries.</w:t>
      </w:r>
    </w:p>
    <w:p w14:paraId="3F62574F" w14:textId="77777777" w:rsidR="002F665E" w:rsidRPr="00345127" w:rsidRDefault="001B34EC" w:rsidP="006A3A56">
      <w:pPr>
        <w:pStyle w:val="BodyText"/>
        <w:jc w:val="both"/>
        <w:rPr>
          <w:rFonts w:cs="Times New Roman"/>
        </w:rPr>
      </w:pPr>
      <w:r w:rsidRPr="00345127">
        <w:rPr>
          <w:rFonts w:cs="Times New Roman"/>
        </w:rPr>
        <w:t>From a geotechnical standpoint, the uniformity in sediment texture suggests that these bars could support low-impact uses such as controlled aquaculture ponds or community-scale navigation aids. However, caution must be exercised as bar composition can vary seasonally and may not always offer mechanical stability for structural anchoring.</w:t>
      </w:r>
    </w:p>
    <w:p w14:paraId="3ABC5129" w14:textId="77777777" w:rsidR="002F665E" w:rsidRPr="00345127" w:rsidRDefault="001B34EC" w:rsidP="006A3A56">
      <w:pPr>
        <w:pStyle w:val="Heading3"/>
        <w:jc w:val="both"/>
        <w:rPr>
          <w:rFonts w:cs="Times New Roman"/>
          <w:color w:val="auto"/>
          <w:sz w:val="24"/>
          <w:szCs w:val="24"/>
        </w:rPr>
      </w:pPr>
      <w:bookmarkStart w:id="26" w:name="Xeca8c08544c8045ea0d0a24dd701f069cfd520d"/>
      <w:bookmarkEnd w:id="25"/>
      <w:r w:rsidRPr="00345127">
        <w:rPr>
          <w:rFonts w:cs="Times New Roman"/>
          <w:color w:val="auto"/>
          <w:sz w:val="24"/>
          <w:szCs w:val="24"/>
        </w:rPr>
        <w:t>5.4 Sandbar Dynamics, Climate Drivers, and Anthropogenic Impacts</w:t>
      </w:r>
    </w:p>
    <w:p w14:paraId="6582551A" w14:textId="7BB452C0" w:rsidR="002F665E" w:rsidRPr="00345127" w:rsidRDefault="001B34EC" w:rsidP="006A3A56">
      <w:pPr>
        <w:pStyle w:val="FirstParagraph"/>
        <w:jc w:val="both"/>
        <w:rPr>
          <w:rFonts w:cs="Times New Roman"/>
        </w:rPr>
      </w:pPr>
      <w:r w:rsidRPr="00345127">
        <w:rPr>
          <w:rFonts w:cs="Times New Roman"/>
        </w:rPr>
        <w:t xml:space="preserve">Hydrological variability, driven by seasonal rainfall and upstream dam regulation, exerts a profound influence on sandbar formation and transformation in the </w:t>
      </w:r>
      <w:proofErr w:type="spellStart"/>
      <w:r w:rsidRPr="00345127">
        <w:rPr>
          <w:rFonts w:cs="Times New Roman"/>
        </w:rPr>
        <w:t>Forcados</w:t>
      </w:r>
      <w:proofErr w:type="spellEnd"/>
      <w:r w:rsidRPr="00345127">
        <w:rPr>
          <w:rFonts w:cs="Times New Roman"/>
        </w:rPr>
        <w:t xml:space="preserve"> River. The increase in river area from 31.16 km² in 2003 to 46.71 km² in 2023 (Table 4) suggests increased floodplain inundation and lateral channel migration</w:t>
      </w:r>
      <w:r w:rsidR="00693F38" w:rsidRPr="00345127">
        <w:rPr>
          <w:rFonts w:cs="Times New Roman"/>
        </w:rPr>
        <w:t xml:space="preserve"> </w:t>
      </w:r>
      <w:r w:rsidRPr="00345127">
        <w:rPr>
          <w:rFonts w:cs="Times New Roman"/>
        </w:rPr>
        <w:t xml:space="preserve">both of which create favorable conditions for sandbar nucleation. This aligns with the documented effects of dam operation and sediment retention upstream </w:t>
      </w:r>
      <w:r w:rsidR="008B3D13" w:rsidRPr="00345127">
        <w:rPr>
          <w:rFonts w:cs="Times New Roman"/>
        </w:rPr>
        <w:t>[31]</w:t>
      </w:r>
      <w:r w:rsidRPr="00345127">
        <w:rPr>
          <w:rFonts w:cs="Times New Roman"/>
        </w:rPr>
        <w:t>.</w:t>
      </w:r>
    </w:p>
    <w:p w14:paraId="5407C406" w14:textId="4FD782EA" w:rsidR="002F665E" w:rsidRPr="00345127" w:rsidRDefault="001B34EC" w:rsidP="006A3A56">
      <w:pPr>
        <w:pStyle w:val="BodyText"/>
        <w:jc w:val="both"/>
        <w:rPr>
          <w:rFonts w:cs="Times New Roman"/>
        </w:rPr>
      </w:pPr>
      <w:r w:rsidRPr="00345127">
        <w:rPr>
          <w:rFonts w:cs="Times New Roman"/>
        </w:rPr>
        <w:t xml:space="preserve">Climate-induced alterations in rainfall patterns and flood frequency in the Niger Delta may also be exacerbating bar formation. </w:t>
      </w:r>
      <w:proofErr w:type="spellStart"/>
      <w:r w:rsidRPr="00345127">
        <w:rPr>
          <w:rFonts w:cs="Times New Roman"/>
        </w:rPr>
        <w:t>Eteh</w:t>
      </w:r>
      <w:proofErr w:type="spellEnd"/>
      <w:r w:rsidRPr="00345127">
        <w:rPr>
          <w:rFonts w:cs="Times New Roman"/>
        </w:rPr>
        <w:t xml:space="preserve"> et al.</w:t>
      </w:r>
      <w:r w:rsidR="00FB0609" w:rsidRPr="00345127">
        <w:rPr>
          <w:rFonts w:cs="Times New Roman"/>
        </w:rPr>
        <w:t xml:space="preserve"> [6]</w:t>
      </w:r>
      <w:r w:rsidRPr="00345127">
        <w:rPr>
          <w:rFonts w:cs="Times New Roman"/>
        </w:rPr>
        <w:t xml:space="preserve"> linked recent flood intensification in the Niger Delta to changing monsoonal dynamics and rising sea levels, which increase backwater effects and trap sediment in mid-channel bars. These hydroclimatic drivers, coupled with localized human pressures such as sand mining, dredging, and oil exploration, complicate sediment transport pathways and bar morphology </w:t>
      </w:r>
      <w:r w:rsidR="00FB0609" w:rsidRPr="00345127">
        <w:rPr>
          <w:rFonts w:cs="Times New Roman"/>
        </w:rPr>
        <w:t>[</w:t>
      </w:r>
      <w:r w:rsidR="00B5263D" w:rsidRPr="00345127">
        <w:rPr>
          <w:rFonts w:cs="Times New Roman"/>
        </w:rPr>
        <w:t>4</w:t>
      </w:r>
      <w:r w:rsidR="000D7EB9" w:rsidRPr="00345127">
        <w:rPr>
          <w:rFonts w:cs="Times New Roman"/>
        </w:rPr>
        <w:t>4</w:t>
      </w:r>
      <w:r w:rsidR="00FB0609" w:rsidRPr="00345127">
        <w:rPr>
          <w:rFonts w:cs="Times New Roman"/>
        </w:rPr>
        <w:t>], [14]</w:t>
      </w:r>
      <w:r w:rsidRPr="00345127">
        <w:rPr>
          <w:rFonts w:cs="Times New Roman"/>
        </w:rPr>
        <w:t>.</w:t>
      </w:r>
    </w:p>
    <w:p w14:paraId="48F80481" w14:textId="76E5FF1A" w:rsidR="002F665E" w:rsidRPr="00345127" w:rsidRDefault="001B34EC" w:rsidP="006A3A56">
      <w:pPr>
        <w:pStyle w:val="BodyText"/>
        <w:jc w:val="both"/>
        <w:rPr>
          <w:rFonts w:cs="Times New Roman"/>
        </w:rPr>
      </w:pPr>
      <w:r w:rsidRPr="00345127">
        <w:rPr>
          <w:rFonts w:cs="Times New Roman"/>
        </w:rPr>
        <w:t xml:space="preserve">The anthropogenic alteration of the </w:t>
      </w:r>
      <w:proofErr w:type="spellStart"/>
      <w:r w:rsidRPr="00345127">
        <w:rPr>
          <w:rFonts w:cs="Times New Roman"/>
        </w:rPr>
        <w:t>Forcados</w:t>
      </w:r>
      <w:proofErr w:type="spellEnd"/>
      <w:r w:rsidRPr="00345127">
        <w:rPr>
          <w:rFonts w:cs="Times New Roman"/>
        </w:rPr>
        <w:t xml:space="preserve"> River is particularly evident in SB3 and SB4, which exhibit lateral migration and shape asymmetry across epochs. These may be responses to dredging operations or riverbank channelization near infrastructural nodes. Similar patterns were observed by Wang et al. </w:t>
      </w:r>
      <w:r w:rsidR="00FB0609" w:rsidRPr="00345127">
        <w:rPr>
          <w:rFonts w:cs="Times New Roman"/>
        </w:rPr>
        <w:t>[2]</w:t>
      </w:r>
      <w:r w:rsidRPr="00345127">
        <w:rPr>
          <w:rFonts w:cs="Times New Roman"/>
        </w:rPr>
        <w:t xml:space="preserve"> in the Lancang River, where extensive human interventions altered fluvial morphology and bar migration trajectories.</w:t>
      </w:r>
    </w:p>
    <w:p w14:paraId="6DD19909" w14:textId="77777777" w:rsidR="002F665E" w:rsidRPr="00345127" w:rsidRDefault="001B34EC" w:rsidP="006A3A56">
      <w:pPr>
        <w:pStyle w:val="Heading3"/>
        <w:jc w:val="both"/>
        <w:rPr>
          <w:rFonts w:cs="Times New Roman"/>
          <w:color w:val="auto"/>
          <w:sz w:val="24"/>
          <w:szCs w:val="24"/>
        </w:rPr>
      </w:pPr>
      <w:bookmarkStart w:id="27" w:name="Xaa0c209980fd9f2e49bef1a425e32afde591ff7"/>
      <w:bookmarkEnd w:id="26"/>
      <w:r w:rsidRPr="00345127">
        <w:rPr>
          <w:rFonts w:cs="Times New Roman"/>
          <w:color w:val="auto"/>
          <w:sz w:val="24"/>
          <w:szCs w:val="24"/>
        </w:rPr>
        <w:t>5.5 Contribution to Blue Economy and River Basin Management</w:t>
      </w:r>
    </w:p>
    <w:p w14:paraId="1CE8D5BF" w14:textId="70787FF4" w:rsidR="002F665E" w:rsidRPr="00345127" w:rsidRDefault="001B34EC" w:rsidP="006A3A56">
      <w:pPr>
        <w:pStyle w:val="FirstParagraph"/>
        <w:jc w:val="both"/>
        <w:rPr>
          <w:rFonts w:cs="Times New Roman"/>
        </w:rPr>
      </w:pPr>
      <w:r w:rsidRPr="00345127">
        <w:rPr>
          <w:rFonts w:cs="Times New Roman"/>
        </w:rPr>
        <w:t xml:space="preserve">The insights gained from this study have significant implications for Nigeria’s marine blue economy ambitions. The stable expansion and persistence of sandbars, particularly SB5 and SB6, provide opportunities for habitat restoration, mangrove expansion, and sustainable aquaculture zones. As observed in the Philippines and Senegal </w:t>
      </w:r>
      <w:r w:rsidR="008B3D13" w:rsidRPr="00345127">
        <w:rPr>
          <w:rFonts w:cs="Times New Roman"/>
        </w:rPr>
        <w:t>[32]</w:t>
      </w:r>
      <w:r w:rsidR="00B5263D" w:rsidRPr="00345127">
        <w:rPr>
          <w:rFonts w:cs="Times New Roman"/>
        </w:rPr>
        <w:t>,[4</w:t>
      </w:r>
      <w:r w:rsidR="000D7EB9" w:rsidRPr="00345127">
        <w:rPr>
          <w:rFonts w:cs="Times New Roman"/>
        </w:rPr>
        <w:t>2</w:t>
      </w:r>
      <w:r w:rsidR="00B5263D" w:rsidRPr="00345127">
        <w:rPr>
          <w:rFonts w:cs="Times New Roman"/>
        </w:rPr>
        <w:t>]</w:t>
      </w:r>
      <w:r w:rsidRPr="00345127">
        <w:rPr>
          <w:rFonts w:cs="Times New Roman"/>
        </w:rPr>
        <w:t>, such sandbars can serve as ecological hotspots and microhabitats for estuarine biodiversity.</w:t>
      </w:r>
    </w:p>
    <w:p w14:paraId="2B5CD462" w14:textId="77777777" w:rsidR="002F665E" w:rsidRPr="00345127" w:rsidRDefault="001B34EC" w:rsidP="006A3A56">
      <w:pPr>
        <w:pStyle w:val="BodyText"/>
        <w:jc w:val="both"/>
        <w:rPr>
          <w:rFonts w:cs="Times New Roman"/>
        </w:rPr>
      </w:pPr>
      <w:r w:rsidRPr="00345127">
        <w:rPr>
          <w:rFonts w:cs="Times New Roman"/>
        </w:rPr>
        <w:t xml:space="preserve">The potential use of sandbars for low-impact ecotourism, artisanal fishing bases, and inland docking stations must be approached with a rigorous understanding of their temporal variability and structural </w:t>
      </w:r>
      <w:r w:rsidRPr="00345127">
        <w:rPr>
          <w:rFonts w:cs="Times New Roman"/>
        </w:rPr>
        <w:lastRenderedPageBreak/>
        <w:t>stability. The mapped sandbars can serve as natural buffers, reducing wave energy and enhancing bank stability, which are essential services for deltaic resilience under climate stress.</w:t>
      </w:r>
    </w:p>
    <w:p w14:paraId="234C7ED5" w14:textId="5B4F49D6" w:rsidR="002F665E" w:rsidRPr="00345127" w:rsidRDefault="001B34EC" w:rsidP="006A3A56">
      <w:pPr>
        <w:pStyle w:val="BodyText"/>
        <w:jc w:val="both"/>
        <w:rPr>
          <w:rFonts w:cs="Times New Roman"/>
        </w:rPr>
      </w:pPr>
      <w:r w:rsidRPr="00345127">
        <w:rPr>
          <w:rFonts w:cs="Times New Roman"/>
        </w:rPr>
        <w:t>Moreover, by integrating remote sensing and spatial analytics, this research provides a replicable and scalable framework for long-term sandbar monitoring across Nigeria’s river systems. Such frameworks are critical for spatial zoning, flood risk modeling, inland shipping route optimization, and environmental impact assessments aligned with the Integrated Coastal Zone Management (ICZM) strategy</w:t>
      </w:r>
      <w:r w:rsidR="00B5263D" w:rsidRPr="00345127">
        <w:rPr>
          <w:rFonts w:cs="Times New Roman"/>
        </w:rPr>
        <w:t xml:space="preserve"> [4</w:t>
      </w:r>
      <w:r w:rsidR="000D7EB9" w:rsidRPr="00345127">
        <w:rPr>
          <w:rFonts w:cs="Times New Roman"/>
        </w:rPr>
        <w:t>5</w:t>
      </w:r>
      <w:r w:rsidR="00B5263D" w:rsidRPr="00345127">
        <w:rPr>
          <w:rFonts w:cs="Times New Roman"/>
        </w:rPr>
        <w:t>], [4</w:t>
      </w:r>
      <w:r w:rsidR="000D7EB9" w:rsidRPr="00345127">
        <w:rPr>
          <w:rFonts w:cs="Times New Roman"/>
        </w:rPr>
        <w:t>6</w:t>
      </w:r>
      <w:r w:rsidR="00B5263D" w:rsidRPr="00345127">
        <w:rPr>
          <w:rFonts w:cs="Times New Roman"/>
        </w:rPr>
        <w:t>]</w:t>
      </w:r>
      <w:r w:rsidRPr="00345127">
        <w:rPr>
          <w:rFonts w:cs="Times New Roman"/>
        </w:rPr>
        <w:t>.</w:t>
      </w:r>
    </w:p>
    <w:p w14:paraId="48AA72F1" w14:textId="77777777" w:rsidR="002F665E" w:rsidRPr="00345127" w:rsidRDefault="001B34EC" w:rsidP="006A3A56">
      <w:pPr>
        <w:pStyle w:val="Heading3"/>
        <w:jc w:val="both"/>
        <w:rPr>
          <w:rFonts w:cs="Times New Roman"/>
          <w:color w:val="auto"/>
          <w:sz w:val="24"/>
          <w:szCs w:val="24"/>
        </w:rPr>
      </w:pPr>
      <w:bookmarkStart w:id="28" w:name="comparison-with-global-case-studies"/>
      <w:bookmarkEnd w:id="27"/>
      <w:r w:rsidRPr="00345127">
        <w:rPr>
          <w:rFonts w:cs="Times New Roman"/>
          <w:color w:val="auto"/>
          <w:sz w:val="24"/>
          <w:szCs w:val="24"/>
        </w:rPr>
        <w:t>5.6 Comparison with Global Case Studies</w:t>
      </w:r>
    </w:p>
    <w:p w14:paraId="4E085EEB" w14:textId="667D48D0" w:rsidR="002F665E" w:rsidRPr="00345127" w:rsidRDefault="001B34EC" w:rsidP="006A3A56">
      <w:pPr>
        <w:pStyle w:val="FirstParagraph"/>
        <w:jc w:val="both"/>
        <w:rPr>
          <w:rFonts w:cs="Times New Roman"/>
        </w:rPr>
      </w:pPr>
      <w:r w:rsidRPr="00345127">
        <w:rPr>
          <w:rFonts w:cs="Times New Roman"/>
        </w:rPr>
        <w:t xml:space="preserve">Globally, sandbar mapping using satellite imagery has proven essential for understanding coastal and fluvial </w:t>
      </w:r>
      <w:proofErr w:type="spellStart"/>
      <w:r w:rsidRPr="00345127">
        <w:rPr>
          <w:rFonts w:cs="Times New Roman"/>
        </w:rPr>
        <w:t>morphodynamics</w:t>
      </w:r>
      <w:proofErr w:type="spellEnd"/>
      <w:r w:rsidRPr="00345127">
        <w:rPr>
          <w:rFonts w:cs="Times New Roman"/>
        </w:rPr>
        <w:t xml:space="preserve">. Studies in the U.S. Missouri River </w:t>
      </w:r>
      <w:r w:rsidR="00B5263D" w:rsidRPr="00345127">
        <w:rPr>
          <w:rFonts w:cs="Times New Roman"/>
        </w:rPr>
        <w:t>[4</w:t>
      </w:r>
      <w:r w:rsidR="00E516AE" w:rsidRPr="00345127">
        <w:rPr>
          <w:rFonts w:cs="Times New Roman"/>
        </w:rPr>
        <w:t>7</w:t>
      </w:r>
      <w:r w:rsidR="00B5263D" w:rsidRPr="00345127">
        <w:rPr>
          <w:rFonts w:cs="Times New Roman"/>
        </w:rPr>
        <w:t>]</w:t>
      </w:r>
      <w:r w:rsidRPr="00345127">
        <w:rPr>
          <w:rFonts w:cs="Times New Roman"/>
        </w:rPr>
        <w:t xml:space="preserve">, Curonian Spit in Lithuania </w:t>
      </w:r>
      <w:r w:rsidR="00E516AE" w:rsidRPr="00345127">
        <w:rPr>
          <w:rFonts w:cs="Times New Roman"/>
        </w:rPr>
        <w:t>[48]</w:t>
      </w:r>
      <w:r w:rsidRPr="00345127">
        <w:rPr>
          <w:rFonts w:cs="Times New Roman"/>
        </w:rPr>
        <w:t xml:space="preserve">, and the Rhine-Meuse Delta </w:t>
      </w:r>
      <w:r w:rsidR="00D0720B" w:rsidRPr="00345127">
        <w:rPr>
          <w:rFonts w:cs="Times New Roman"/>
        </w:rPr>
        <w:t>[</w:t>
      </w:r>
      <w:r w:rsidR="00B5263D" w:rsidRPr="00345127">
        <w:rPr>
          <w:rFonts w:cs="Times New Roman"/>
        </w:rPr>
        <w:t>4</w:t>
      </w:r>
      <w:r w:rsidR="00E516AE" w:rsidRPr="00345127">
        <w:rPr>
          <w:rFonts w:cs="Times New Roman"/>
        </w:rPr>
        <w:t>9</w:t>
      </w:r>
      <w:r w:rsidR="00B5263D" w:rsidRPr="00345127">
        <w:rPr>
          <w:rFonts w:cs="Times New Roman"/>
        </w:rPr>
        <w:t>]</w:t>
      </w:r>
      <w:r w:rsidRPr="00345127">
        <w:rPr>
          <w:rFonts w:cs="Times New Roman"/>
        </w:rPr>
        <w:t xml:space="preserve"> have all demonstrated the critical role of sandbars in sediment redistribution, habitat connectivity, and shoreline stability. This study adds to the global evidence base by providing a longitudinal, </w:t>
      </w:r>
      <w:proofErr w:type="spellStart"/>
      <w:r w:rsidRPr="00345127">
        <w:rPr>
          <w:rFonts w:cs="Times New Roman"/>
        </w:rPr>
        <w:t>sedimentologically</w:t>
      </w:r>
      <w:proofErr w:type="spellEnd"/>
      <w:r w:rsidRPr="00345127">
        <w:rPr>
          <w:rFonts w:cs="Times New Roman"/>
        </w:rPr>
        <w:t xml:space="preserve"> informed mapping of sandbars in a tropical delta under significant hydrological and anthropogenic pressures.</w:t>
      </w:r>
    </w:p>
    <w:p w14:paraId="322E2F45" w14:textId="6F5F4500" w:rsidR="002F665E" w:rsidRPr="00345127" w:rsidRDefault="001B34EC" w:rsidP="006A3A56">
      <w:pPr>
        <w:pStyle w:val="BodyText"/>
        <w:jc w:val="both"/>
        <w:rPr>
          <w:rFonts w:cs="Times New Roman"/>
        </w:rPr>
      </w:pPr>
      <w:r w:rsidRPr="00345127">
        <w:rPr>
          <w:rFonts w:cs="Times New Roman"/>
        </w:rPr>
        <w:t xml:space="preserve">The methodological combination of Landsat-derived indices, object-based segmentation, and morphometric profiling as demonstrated here can be replicated in other data-sparse regions. It also supports calls for the democratization of geospatial data for local environmental governance </w:t>
      </w:r>
      <w:r w:rsidR="00F97A61" w:rsidRPr="00345127">
        <w:rPr>
          <w:rFonts w:cs="Times New Roman"/>
        </w:rPr>
        <w:t>[16], [</w:t>
      </w:r>
      <w:r w:rsidR="008B3D13" w:rsidRPr="00345127">
        <w:rPr>
          <w:rFonts w:cs="Times New Roman"/>
        </w:rPr>
        <w:t>34</w:t>
      </w:r>
      <w:r w:rsidR="00F97A61" w:rsidRPr="00345127">
        <w:rPr>
          <w:rFonts w:cs="Times New Roman"/>
        </w:rPr>
        <w:t>]</w:t>
      </w:r>
      <w:r w:rsidRPr="00345127">
        <w:rPr>
          <w:rFonts w:cs="Times New Roman"/>
        </w:rPr>
        <w:t xml:space="preserve">. Notably, the integration of satellite imagery with field-based sediment analysis allows for more robust interpretations than remote sensing </w:t>
      </w:r>
      <w:r w:rsidR="008C1A0F" w:rsidRPr="00345127">
        <w:rPr>
          <w:rFonts w:cs="Times New Roman"/>
        </w:rPr>
        <w:t>alone</w:t>
      </w:r>
      <w:r w:rsidRPr="00345127">
        <w:rPr>
          <w:rFonts w:cs="Times New Roman"/>
        </w:rPr>
        <w:t xml:space="preserve"> strength of this study.</w:t>
      </w:r>
    </w:p>
    <w:p w14:paraId="30D83200" w14:textId="77777777" w:rsidR="002F665E" w:rsidRPr="00345127" w:rsidRDefault="001B34EC" w:rsidP="006A3A56">
      <w:pPr>
        <w:pStyle w:val="Heading3"/>
        <w:jc w:val="both"/>
        <w:rPr>
          <w:rFonts w:cs="Times New Roman"/>
          <w:color w:val="auto"/>
          <w:sz w:val="24"/>
          <w:szCs w:val="24"/>
        </w:rPr>
      </w:pPr>
      <w:bookmarkStart w:id="29" w:name="Xb6a4cf1c074a5e036cf216e0dffb81a3dd2363d"/>
      <w:bookmarkEnd w:id="28"/>
      <w:r w:rsidRPr="00345127">
        <w:rPr>
          <w:rFonts w:cs="Times New Roman"/>
          <w:color w:val="auto"/>
          <w:sz w:val="24"/>
          <w:szCs w:val="24"/>
        </w:rPr>
        <w:t>5.7 Limitations and Methodological Considerations</w:t>
      </w:r>
    </w:p>
    <w:p w14:paraId="7102EBDC" w14:textId="77777777" w:rsidR="002F665E" w:rsidRPr="00345127" w:rsidRDefault="001B34EC" w:rsidP="006A3A56">
      <w:pPr>
        <w:pStyle w:val="FirstParagraph"/>
        <w:jc w:val="both"/>
        <w:rPr>
          <w:rFonts w:cs="Times New Roman"/>
        </w:rPr>
      </w:pPr>
      <w:r w:rsidRPr="00345127">
        <w:rPr>
          <w:rFonts w:cs="Times New Roman"/>
        </w:rPr>
        <w:t xml:space="preserve">Despite its comprehensive approach, the study is not without limitations. First, the spatial resolution of Landsat imagery (30 m) may limit the detection of narrow or low-relief sandbars, potentially underestimating small-scale morphological variability. High-resolution drone imagery or commercial satellite data (e.g., SPOT, </w:t>
      </w:r>
      <w:proofErr w:type="spellStart"/>
      <w:r w:rsidRPr="00345127">
        <w:rPr>
          <w:rFonts w:cs="Times New Roman"/>
        </w:rPr>
        <w:t>WorldView</w:t>
      </w:r>
      <w:proofErr w:type="spellEnd"/>
      <w:r w:rsidRPr="00345127">
        <w:rPr>
          <w:rFonts w:cs="Times New Roman"/>
        </w:rPr>
        <w:t>) could offer improved granularity for future studies. Secondly, hydrodynamic data (e.g., discharge, velocity) were not integrated due to unavailability; their inclusion would enhance modeling of bar migration processes.</w:t>
      </w:r>
    </w:p>
    <w:p w14:paraId="181F4A2A" w14:textId="77777777" w:rsidR="002F665E" w:rsidRPr="00345127" w:rsidRDefault="001B34EC" w:rsidP="006A3A56">
      <w:pPr>
        <w:pStyle w:val="BodyText"/>
        <w:jc w:val="both"/>
        <w:rPr>
          <w:rFonts w:cs="Times New Roman"/>
        </w:rPr>
      </w:pPr>
      <w:r w:rsidRPr="00345127">
        <w:rPr>
          <w:rFonts w:cs="Times New Roman"/>
        </w:rPr>
        <w:t>The sediment analysis, though informative, was based on surface samples only. Subsurface coring could reveal depositional history and stratigraphy. Moreover, the study used three decadal time-points; seasonal analysis or higher temporal frequency would provide a more nuanced understanding of ephemeral and semi-permanent bar dynamics.</w:t>
      </w:r>
    </w:p>
    <w:p w14:paraId="036CEEAD" w14:textId="77777777" w:rsidR="002F665E" w:rsidRPr="00345127" w:rsidRDefault="001B34EC" w:rsidP="006A3A56">
      <w:pPr>
        <w:pStyle w:val="BodyText"/>
        <w:jc w:val="both"/>
        <w:rPr>
          <w:rFonts w:cs="Times New Roman"/>
        </w:rPr>
      </w:pPr>
      <w:r w:rsidRPr="00345127">
        <w:rPr>
          <w:rFonts w:cs="Times New Roman"/>
        </w:rPr>
        <w:t>Nonetheless, the integration of satellite-derived morphometrics with field validation and spatial statistics presents a methodologically rigorous contribution to the literature on sandbar dynamics and blue economy planning in tropical riverine systems.</w:t>
      </w:r>
    </w:p>
    <w:p w14:paraId="050D05EB" w14:textId="77777777" w:rsidR="002F665E" w:rsidRPr="00345127" w:rsidRDefault="002F665E" w:rsidP="006A3A56">
      <w:pPr>
        <w:jc w:val="both"/>
        <w:rPr>
          <w:rFonts w:ascii="Times New Roman" w:hAnsi="Times New Roman" w:cs="Times New Roman"/>
        </w:rPr>
      </w:pPr>
    </w:p>
    <w:p w14:paraId="5FA8BC25" w14:textId="77777777" w:rsidR="002F665E" w:rsidRPr="00345127" w:rsidRDefault="001B34EC" w:rsidP="006A3A56">
      <w:pPr>
        <w:pStyle w:val="Heading2"/>
        <w:jc w:val="both"/>
        <w:rPr>
          <w:rFonts w:ascii="Times New Roman" w:hAnsi="Times New Roman" w:cs="Times New Roman"/>
          <w:color w:val="auto"/>
          <w:sz w:val="24"/>
          <w:szCs w:val="24"/>
        </w:rPr>
      </w:pPr>
      <w:bookmarkStart w:id="30" w:name="implications-for-the-marine-blue-economy"/>
      <w:bookmarkEnd w:id="22"/>
      <w:bookmarkEnd w:id="29"/>
      <w:r w:rsidRPr="00345127">
        <w:rPr>
          <w:rFonts w:ascii="Times New Roman" w:hAnsi="Times New Roman" w:cs="Times New Roman"/>
          <w:b/>
          <w:bCs/>
          <w:color w:val="auto"/>
          <w:sz w:val="24"/>
          <w:szCs w:val="24"/>
        </w:rPr>
        <w:t>6. Implications for the Marine Blue Economy</w:t>
      </w:r>
    </w:p>
    <w:p w14:paraId="6746C4FC" w14:textId="335BA0D4" w:rsidR="002F665E" w:rsidRPr="00345127" w:rsidRDefault="001B34EC" w:rsidP="006A3A56">
      <w:pPr>
        <w:pStyle w:val="FirstParagraph"/>
        <w:jc w:val="both"/>
        <w:rPr>
          <w:rFonts w:cs="Times New Roman"/>
        </w:rPr>
      </w:pPr>
      <w:r w:rsidRPr="00345127">
        <w:rPr>
          <w:rFonts w:cs="Times New Roman"/>
        </w:rPr>
        <w:t xml:space="preserve">The evolving spatial dynamics and geomorphic characteristics of sandbars along the </w:t>
      </w:r>
      <w:proofErr w:type="spellStart"/>
      <w:r w:rsidRPr="00345127">
        <w:rPr>
          <w:rFonts w:cs="Times New Roman"/>
        </w:rPr>
        <w:t>Forcados</w:t>
      </w:r>
      <w:proofErr w:type="spellEnd"/>
      <w:r w:rsidRPr="00345127">
        <w:rPr>
          <w:rFonts w:cs="Times New Roman"/>
        </w:rPr>
        <w:t xml:space="preserve"> River underscore their significance not just as fluvial features, but as foundational elements in the development of a sustainable marine blue economy in Nigeria’s Niger Delta. As evidenced by this study’s multi-decadal analysis, sandbars are increasingly transforming into semi-permanent geomorphological units</w:t>
      </w:r>
      <w:r w:rsidR="00A34805" w:rsidRPr="00345127">
        <w:rPr>
          <w:rFonts w:cs="Times New Roman"/>
        </w:rPr>
        <w:t xml:space="preserve"> </w:t>
      </w:r>
      <w:r w:rsidRPr="00345127">
        <w:rPr>
          <w:rFonts w:cs="Times New Roman"/>
        </w:rPr>
        <w:t xml:space="preserve">expanding in area, stabilizing in form, and in some cases, supporting early-stage vegetation. These transitions signal </w:t>
      </w:r>
      <w:r w:rsidRPr="00345127">
        <w:rPr>
          <w:rFonts w:cs="Times New Roman"/>
        </w:rPr>
        <w:lastRenderedPageBreak/>
        <w:t>opportunities for integrating sandbar landscapes into blue economy planning frameworks, particularly in the areas of environmental sustainability, fisheries development, ecotourism, and inland maritime logistics.</w:t>
      </w:r>
    </w:p>
    <w:p w14:paraId="20FFE6D1" w14:textId="66F91A19" w:rsidR="002F665E" w:rsidRPr="00345127" w:rsidRDefault="001B34EC" w:rsidP="006A3A56">
      <w:pPr>
        <w:pStyle w:val="BodyText"/>
        <w:jc w:val="both"/>
        <w:rPr>
          <w:rFonts w:cs="Times New Roman"/>
        </w:rPr>
      </w:pPr>
      <w:r w:rsidRPr="00345127">
        <w:rPr>
          <w:rFonts w:cs="Times New Roman"/>
        </w:rPr>
        <w:t xml:space="preserve">The blue economy, defined by the World Bank as the “sustainable use of ocean resources for economic growth, improved livelihoods, and jobs while preserving the health of ocean ecosystems,” requires localized frameworks that include not only offshore marine zones but also riverine and estuarine environments. The </w:t>
      </w:r>
      <w:proofErr w:type="spellStart"/>
      <w:r w:rsidRPr="00345127">
        <w:rPr>
          <w:rFonts w:cs="Times New Roman"/>
        </w:rPr>
        <w:t>Forcados</w:t>
      </w:r>
      <w:proofErr w:type="spellEnd"/>
      <w:r w:rsidRPr="00345127">
        <w:rPr>
          <w:rFonts w:cs="Times New Roman"/>
        </w:rPr>
        <w:t xml:space="preserve"> River, a key conduit linking inland Nigeria to the Atlantic, plays a strategic role in this context. The consistent formation and persistence of sandbars</w:t>
      </w:r>
      <w:r w:rsidR="00A34805" w:rsidRPr="00345127">
        <w:rPr>
          <w:rFonts w:cs="Times New Roman"/>
        </w:rPr>
        <w:t xml:space="preserve"> </w:t>
      </w:r>
      <w:r w:rsidRPr="00345127">
        <w:rPr>
          <w:rFonts w:cs="Times New Roman"/>
        </w:rPr>
        <w:t>such as SB5 and SB6</w:t>
      </w:r>
      <w:r w:rsidR="00A34805" w:rsidRPr="00345127">
        <w:rPr>
          <w:rFonts w:cs="Times New Roman"/>
        </w:rPr>
        <w:t xml:space="preserve"> </w:t>
      </w:r>
      <w:r w:rsidRPr="00345127">
        <w:rPr>
          <w:rFonts w:cs="Times New Roman"/>
        </w:rPr>
        <w:t>present natural platforms that can be harnessed for low-impact, sustainable activities, especially if managed with ecological sensitivity.</w:t>
      </w:r>
    </w:p>
    <w:p w14:paraId="1446AFA7" w14:textId="56888286" w:rsidR="002F665E" w:rsidRPr="00345127" w:rsidRDefault="001B34EC" w:rsidP="006A3A56">
      <w:pPr>
        <w:pStyle w:val="BodyText"/>
        <w:jc w:val="both"/>
        <w:rPr>
          <w:rFonts w:cs="Times New Roman"/>
        </w:rPr>
      </w:pPr>
      <w:r w:rsidRPr="00345127">
        <w:rPr>
          <w:rFonts w:cs="Times New Roman"/>
        </w:rPr>
        <w:t xml:space="preserve">One of the primary opportunities lies in leveraging stabilized sandbars as ecological habitats and biodiversity hotspots. The granulometric data from this study (Table </w:t>
      </w:r>
      <w:r w:rsidR="00E37009">
        <w:rPr>
          <w:rFonts w:cs="Times New Roman"/>
        </w:rPr>
        <w:t>5</w:t>
      </w:r>
      <w:r w:rsidRPr="00345127">
        <w:rPr>
          <w:rFonts w:cs="Times New Roman"/>
        </w:rPr>
        <w:t xml:space="preserve">) confirm the dominance of well-graded, coarse sediments, which are conducive to the establishment of pioneer vegetation species such as </w:t>
      </w:r>
      <w:r w:rsidRPr="00345127">
        <w:rPr>
          <w:rFonts w:cs="Times New Roman"/>
          <w:i/>
          <w:iCs/>
        </w:rPr>
        <w:t>Cyperus</w:t>
      </w:r>
      <w:r w:rsidRPr="00345127">
        <w:rPr>
          <w:rFonts w:cs="Times New Roman"/>
        </w:rPr>
        <w:t xml:space="preserve"> and </w:t>
      </w:r>
      <w:r w:rsidRPr="00345127">
        <w:rPr>
          <w:rFonts w:cs="Times New Roman"/>
          <w:i/>
          <w:iCs/>
        </w:rPr>
        <w:t>Ipomoea</w:t>
      </w:r>
      <w:r w:rsidRPr="00345127">
        <w:rPr>
          <w:rFonts w:cs="Times New Roman"/>
        </w:rPr>
        <w:t xml:space="preserve"> that often precede mangrove colonization. These vegetated sandbars can enhance carbon sequestration, promote sediment stabilization, and serve as nursery grounds for juvenile fish and crustaceans, echoing similar ecosystem services observed in estuarine sandbars in Asia and West Africa </w:t>
      </w:r>
      <w:r w:rsidR="00D0720B" w:rsidRPr="00345127">
        <w:rPr>
          <w:rFonts w:cs="Times New Roman"/>
        </w:rPr>
        <w:t>[</w:t>
      </w:r>
      <w:r w:rsidR="008B3D13" w:rsidRPr="00345127">
        <w:rPr>
          <w:rFonts w:cs="Times New Roman"/>
        </w:rPr>
        <w:t>32</w:t>
      </w:r>
      <w:r w:rsidR="00FB0609" w:rsidRPr="00345127">
        <w:rPr>
          <w:rFonts w:cs="Times New Roman"/>
        </w:rPr>
        <w:t>], [13]</w:t>
      </w:r>
      <w:r w:rsidRPr="00345127">
        <w:rPr>
          <w:rFonts w:cs="Times New Roman"/>
        </w:rPr>
        <w:t>.</w:t>
      </w:r>
    </w:p>
    <w:p w14:paraId="76CD5755" w14:textId="77777777" w:rsidR="002F665E" w:rsidRPr="00345127" w:rsidRDefault="001B34EC" w:rsidP="006A3A56">
      <w:pPr>
        <w:pStyle w:val="BodyText"/>
        <w:jc w:val="both"/>
        <w:rPr>
          <w:rFonts w:cs="Times New Roman"/>
        </w:rPr>
      </w:pPr>
      <w:r w:rsidRPr="00345127">
        <w:rPr>
          <w:rFonts w:cs="Times New Roman"/>
        </w:rPr>
        <w:t>Furthermore, sandbars can be zoned for sustainable aquaculture development. Their proximity to navigable channels, relative isolation from urban pollution sources, and seasonal exposure during low flow periods make them suitable for cage farming of catfish, tilapia, and shellfish species that dominate local fisheries. However, such activities must be guided by environmental impact assessments and seasonal monitoring of bar stability to prevent unintended sediment disturbances.</w:t>
      </w:r>
    </w:p>
    <w:p w14:paraId="3E9C4486" w14:textId="697FAFBD" w:rsidR="002F665E" w:rsidRPr="00345127" w:rsidRDefault="001B34EC" w:rsidP="006A3A56">
      <w:pPr>
        <w:pStyle w:val="BodyText"/>
        <w:jc w:val="both"/>
        <w:rPr>
          <w:rFonts w:cs="Times New Roman"/>
        </w:rPr>
      </w:pPr>
      <w:r w:rsidRPr="00345127">
        <w:rPr>
          <w:rFonts w:cs="Times New Roman"/>
        </w:rPr>
        <w:t xml:space="preserve">The potential for inland navigation enhancement is another area where sandbars intersect with the blue economy. In the </w:t>
      </w:r>
      <w:proofErr w:type="spellStart"/>
      <w:r w:rsidRPr="00345127">
        <w:rPr>
          <w:rFonts w:cs="Times New Roman"/>
        </w:rPr>
        <w:t>Forcados</w:t>
      </w:r>
      <w:proofErr w:type="spellEnd"/>
      <w:r w:rsidRPr="00345127">
        <w:rPr>
          <w:rFonts w:cs="Times New Roman"/>
        </w:rPr>
        <w:t xml:space="preserve"> corridor, certain sandbars</w:t>
      </w:r>
      <w:r w:rsidR="00A34805" w:rsidRPr="00345127">
        <w:rPr>
          <w:rFonts w:cs="Times New Roman"/>
        </w:rPr>
        <w:t xml:space="preserve"> </w:t>
      </w:r>
      <w:r w:rsidRPr="00345127">
        <w:rPr>
          <w:rFonts w:cs="Times New Roman"/>
        </w:rPr>
        <w:t>particularly SB3 and SB4</w:t>
      </w:r>
      <w:r w:rsidR="00A34805" w:rsidRPr="00345127">
        <w:rPr>
          <w:rFonts w:cs="Times New Roman"/>
        </w:rPr>
        <w:t xml:space="preserve"> </w:t>
      </w:r>
      <w:r w:rsidRPr="00345127">
        <w:rPr>
          <w:rFonts w:cs="Times New Roman"/>
        </w:rPr>
        <w:t>were observed to migrate laterally (Table 5), at times encroaching into mid-channel zones. If left unmonitored, such features can impede river navigation and increase dredging costs for inland shipping routes. A predictive monitoring system, informed by the methodology used in this study, could help forecast bar formation zones, enabling better planning for dredging schedules and navigational risk assessments. This aligns with national objectives to revitalize inland waterways for cargo transport, as championed by the Nigerian Inland Waterways Authority (NIWA).</w:t>
      </w:r>
    </w:p>
    <w:p w14:paraId="0BFDB10F" w14:textId="76DC3BE9" w:rsidR="002F665E" w:rsidRPr="00345127" w:rsidRDefault="001B34EC" w:rsidP="006A3A56">
      <w:pPr>
        <w:pStyle w:val="BodyText"/>
        <w:jc w:val="both"/>
        <w:rPr>
          <w:rFonts w:cs="Times New Roman"/>
        </w:rPr>
      </w:pPr>
      <w:r w:rsidRPr="00345127">
        <w:rPr>
          <w:rFonts w:cs="Times New Roman"/>
        </w:rPr>
        <w:t xml:space="preserve">Additionally, the presence of persistent sandbars </w:t>
      </w:r>
      <w:r w:rsidR="008C1A0F" w:rsidRPr="00345127">
        <w:rPr>
          <w:rFonts w:cs="Times New Roman"/>
        </w:rPr>
        <w:t>opens</w:t>
      </w:r>
      <w:r w:rsidRPr="00345127">
        <w:rPr>
          <w:rFonts w:cs="Times New Roman"/>
        </w:rPr>
        <w:t xml:space="preserve"> avenues for community-based ecotourism and cultural tourism. Local communities, such as those in Toru-</w:t>
      </w:r>
      <w:proofErr w:type="spellStart"/>
      <w:r w:rsidRPr="00345127">
        <w:rPr>
          <w:rFonts w:cs="Times New Roman"/>
        </w:rPr>
        <w:t>Orua</w:t>
      </w:r>
      <w:proofErr w:type="spellEnd"/>
      <w:r w:rsidRPr="00345127">
        <w:rPr>
          <w:rFonts w:cs="Times New Roman"/>
        </w:rPr>
        <w:t xml:space="preserve"> and </w:t>
      </w:r>
      <w:proofErr w:type="spellStart"/>
      <w:r w:rsidRPr="00345127">
        <w:rPr>
          <w:rFonts w:cs="Times New Roman"/>
        </w:rPr>
        <w:t>Aleibiri</w:t>
      </w:r>
      <w:proofErr w:type="spellEnd"/>
      <w:r w:rsidRPr="00345127">
        <w:rPr>
          <w:rFonts w:cs="Times New Roman"/>
        </w:rPr>
        <w:t xml:space="preserve"> in </w:t>
      </w:r>
      <w:proofErr w:type="spellStart"/>
      <w:r w:rsidRPr="00345127">
        <w:rPr>
          <w:rFonts w:cs="Times New Roman"/>
        </w:rPr>
        <w:t>Sagbama</w:t>
      </w:r>
      <w:proofErr w:type="spellEnd"/>
      <w:r w:rsidRPr="00345127">
        <w:rPr>
          <w:rFonts w:cs="Times New Roman"/>
        </w:rPr>
        <w:t xml:space="preserve"> LGA, could develop canoe tours, birdwatching activities, and seasonal festivals centered around riverine ecology, with sandbars serving as natural platforms or stopover points. This type of engagement has been successfully piloted in deltaic communities in Senegal and Bangladesh </w:t>
      </w:r>
      <w:r w:rsidR="00D0720B" w:rsidRPr="00345127">
        <w:rPr>
          <w:rFonts w:cs="Times New Roman"/>
        </w:rPr>
        <w:t>[</w:t>
      </w:r>
      <w:r w:rsidR="00B5263D" w:rsidRPr="00345127">
        <w:rPr>
          <w:rFonts w:cs="Times New Roman"/>
        </w:rPr>
        <w:t>4</w:t>
      </w:r>
      <w:r w:rsidR="00E516AE" w:rsidRPr="00345127">
        <w:rPr>
          <w:rFonts w:cs="Times New Roman"/>
        </w:rPr>
        <w:t>2</w:t>
      </w:r>
      <w:r w:rsidR="00B5263D" w:rsidRPr="00345127">
        <w:rPr>
          <w:rFonts w:cs="Times New Roman"/>
        </w:rPr>
        <w:t>], [</w:t>
      </w:r>
      <w:r w:rsidR="000D7EB9" w:rsidRPr="00345127">
        <w:rPr>
          <w:rFonts w:cs="Times New Roman"/>
        </w:rPr>
        <w:t>9</w:t>
      </w:r>
      <w:r w:rsidR="00B5263D" w:rsidRPr="00345127">
        <w:rPr>
          <w:rFonts w:cs="Times New Roman"/>
        </w:rPr>
        <w:t>]</w:t>
      </w:r>
      <w:r w:rsidRPr="00345127">
        <w:rPr>
          <w:rFonts w:cs="Times New Roman"/>
        </w:rPr>
        <w:t>. However, such interventions require investment in community capacity-building, environmental education, and the provision of safety and navigational infrastructure.</w:t>
      </w:r>
    </w:p>
    <w:p w14:paraId="1E7E40E7" w14:textId="02F0DF39" w:rsidR="002F665E" w:rsidRPr="00345127" w:rsidRDefault="001B34EC" w:rsidP="006A3A56">
      <w:pPr>
        <w:pStyle w:val="BodyText"/>
        <w:jc w:val="both"/>
        <w:rPr>
          <w:rFonts w:cs="Times New Roman"/>
        </w:rPr>
      </w:pPr>
      <w:r w:rsidRPr="00345127">
        <w:rPr>
          <w:rFonts w:cs="Times New Roman"/>
        </w:rPr>
        <w:t xml:space="preserve">From a coastal resilience perspective, sandbars can also serve as natural buffers against erosion and storm surge, particularly in the lower reaches of the </w:t>
      </w:r>
      <w:proofErr w:type="spellStart"/>
      <w:r w:rsidRPr="00345127">
        <w:rPr>
          <w:rFonts w:cs="Times New Roman"/>
        </w:rPr>
        <w:t>Forcados</w:t>
      </w:r>
      <w:proofErr w:type="spellEnd"/>
      <w:r w:rsidRPr="00345127">
        <w:rPr>
          <w:rFonts w:cs="Times New Roman"/>
        </w:rPr>
        <w:t xml:space="preserve"> River closer to the Atlantic coastline. As sea-level rise and upstream hydrological changes continue to reshape deltaic environments, these features can absorb wave energy and reduce the erosive force on adjacent riverbanks. Strategic preservation of these bars</w:t>
      </w:r>
      <w:r w:rsidR="00A34805" w:rsidRPr="00345127">
        <w:rPr>
          <w:rFonts w:cs="Times New Roman"/>
        </w:rPr>
        <w:t xml:space="preserve"> </w:t>
      </w:r>
      <w:r w:rsidRPr="00345127">
        <w:rPr>
          <w:rFonts w:cs="Times New Roman"/>
        </w:rPr>
        <w:t>through exclusion from sand mining zones and integration into riparian buffer planning</w:t>
      </w:r>
      <w:r w:rsidR="00A34805" w:rsidRPr="00345127">
        <w:rPr>
          <w:rFonts w:cs="Times New Roman"/>
        </w:rPr>
        <w:t xml:space="preserve"> </w:t>
      </w:r>
      <w:r w:rsidRPr="00345127">
        <w:rPr>
          <w:rFonts w:cs="Times New Roman"/>
        </w:rPr>
        <w:t>could support shoreline protection goals under the Nigerian National Adaptation Strategy and Plan of Action for Climate Change (NASPA-CCN).</w:t>
      </w:r>
    </w:p>
    <w:p w14:paraId="6C8C9716" w14:textId="77777777" w:rsidR="002F665E" w:rsidRPr="00345127" w:rsidRDefault="001B34EC" w:rsidP="006A3A56">
      <w:pPr>
        <w:pStyle w:val="BodyText"/>
        <w:jc w:val="both"/>
        <w:rPr>
          <w:rFonts w:cs="Times New Roman"/>
        </w:rPr>
      </w:pPr>
      <w:r w:rsidRPr="00345127">
        <w:rPr>
          <w:rFonts w:cs="Times New Roman"/>
        </w:rPr>
        <w:lastRenderedPageBreak/>
        <w:t>Moreover, the insights from this study directly support marine spatial planning (MSP), which is gaining momentum across Nigeria’s coastal states. Accurate mapping of sandbar locations and their evolutionary trends can inform zoning decisions, especially in identifying conservation areas, navigational corridors, and aquaculture clusters. This is particularly relevant to Bayelsa State’s Integrated Coastal Zone Management (ICZM) plan, where sediment management and delta stability are recognized as priority action areas.</w:t>
      </w:r>
    </w:p>
    <w:p w14:paraId="688D1788" w14:textId="1E40C8F8" w:rsidR="002F665E" w:rsidRPr="00345127" w:rsidRDefault="001B34EC" w:rsidP="006A3A56">
      <w:pPr>
        <w:pStyle w:val="BodyText"/>
        <w:jc w:val="both"/>
        <w:rPr>
          <w:rFonts w:cs="Times New Roman"/>
        </w:rPr>
      </w:pPr>
      <w:r w:rsidRPr="00345127">
        <w:rPr>
          <w:rFonts w:cs="Times New Roman"/>
        </w:rPr>
        <w:t>At a policy level, the application of geospatial tools</w:t>
      </w:r>
      <w:r w:rsidR="000520E7" w:rsidRPr="00345127">
        <w:rPr>
          <w:rFonts w:cs="Times New Roman"/>
        </w:rPr>
        <w:t xml:space="preserve"> </w:t>
      </w:r>
      <w:r w:rsidRPr="00345127">
        <w:rPr>
          <w:rFonts w:cs="Times New Roman"/>
        </w:rPr>
        <w:t>as demonstrated in this research</w:t>
      </w:r>
      <w:r w:rsidR="00A34805" w:rsidRPr="00345127">
        <w:rPr>
          <w:rFonts w:cs="Times New Roman"/>
        </w:rPr>
        <w:t xml:space="preserve"> </w:t>
      </w:r>
      <w:r w:rsidRPr="00345127">
        <w:rPr>
          <w:rFonts w:cs="Times New Roman"/>
        </w:rPr>
        <w:t>offers a cost-effective and scalable method for long-term monitoring of sedimentary features critical to blue economy infrastructure. The integration of object-based image analysis (OBIA), statistical modeling (Moran’s I), and morphometric indices provides a replicable framework that can be adopted by government agencies such as the Nigerian Maritime Administration and Safety Agency (NIMASA), the Nigerian Hydrological Services Agency (NIHSA), and the Federal Ministry of Water Resources. These agencies can build geospatial dashboards that track sandbar evolution and issue alerts for potential navigation blockages, sediment congestion, or ecological shifts.</w:t>
      </w:r>
    </w:p>
    <w:p w14:paraId="5369C9FB" w14:textId="77777777" w:rsidR="002F665E" w:rsidRPr="00345127" w:rsidRDefault="001B34EC" w:rsidP="006A3A56">
      <w:pPr>
        <w:pStyle w:val="BodyText"/>
        <w:jc w:val="both"/>
        <w:rPr>
          <w:rFonts w:cs="Times New Roman"/>
        </w:rPr>
      </w:pPr>
      <w:r w:rsidRPr="00345127">
        <w:rPr>
          <w:rFonts w:cs="Times New Roman"/>
        </w:rPr>
        <w:br/>
      </w:r>
    </w:p>
    <w:p w14:paraId="1C769533" w14:textId="77777777" w:rsidR="002F665E" w:rsidRPr="00345127" w:rsidRDefault="001B34EC" w:rsidP="006A3A56">
      <w:pPr>
        <w:pStyle w:val="Heading2"/>
        <w:jc w:val="both"/>
        <w:rPr>
          <w:rFonts w:ascii="Times New Roman" w:hAnsi="Times New Roman" w:cs="Times New Roman"/>
          <w:color w:val="auto"/>
          <w:sz w:val="24"/>
          <w:szCs w:val="24"/>
        </w:rPr>
      </w:pPr>
      <w:bookmarkStart w:id="31" w:name="conclusion-and-recommendations"/>
      <w:bookmarkEnd w:id="30"/>
      <w:r w:rsidRPr="00345127">
        <w:rPr>
          <w:rFonts w:ascii="Times New Roman" w:hAnsi="Times New Roman" w:cs="Times New Roman"/>
          <w:b/>
          <w:bCs/>
          <w:color w:val="auto"/>
          <w:sz w:val="24"/>
          <w:szCs w:val="24"/>
        </w:rPr>
        <w:t>7. Conclusion and Recommendations</w:t>
      </w:r>
    </w:p>
    <w:p w14:paraId="0C469867" w14:textId="77777777" w:rsidR="002F665E" w:rsidRPr="00345127" w:rsidRDefault="001B34EC" w:rsidP="006A3A56">
      <w:pPr>
        <w:pStyle w:val="FirstParagraph"/>
        <w:jc w:val="both"/>
        <w:rPr>
          <w:rFonts w:cs="Times New Roman"/>
        </w:rPr>
      </w:pPr>
      <w:r w:rsidRPr="00345127">
        <w:rPr>
          <w:rFonts w:cs="Times New Roman"/>
        </w:rPr>
        <w:t xml:space="preserve">The spatiotemporal analysis of sandbar evolution along the </w:t>
      </w:r>
      <w:proofErr w:type="spellStart"/>
      <w:r w:rsidRPr="00345127">
        <w:rPr>
          <w:rFonts w:cs="Times New Roman"/>
        </w:rPr>
        <w:t>Forcados</w:t>
      </w:r>
      <w:proofErr w:type="spellEnd"/>
      <w:r w:rsidRPr="00345127">
        <w:rPr>
          <w:rFonts w:cs="Times New Roman"/>
        </w:rPr>
        <w:t xml:space="preserve"> River over a 20-year period has revealed critical insights into the geomorphic dynamics of this vital fluvial corridor in Nigeria’s Niger Delta. Through the integration of satellite remote sensing, morphometric analysis, statistical modeling, and sedimentological evaluation, the study identified six persistent sandbars (SB1–SB6) and traced their transformation from nascent features in 2003 to increasingly stable and expansive formations in 2023. The progressive increase in sandbar area, shape compactness, and width-to-length ratios underscores a trajectory of geomorphic maturity driven by a combination of natural sediment deposition processes and anthropogenic modifications to river flow regimes.</w:t>
      </w:r>
    </w:p>
    <w:p w14:paraId="0B5156DA" w14:textId="745314DC" w:rsidR="002F665E" w:rsidRPr="00345127" w:rsidRDefault="001B34EC" w:rsidP="006A3A56">
      <w:pPr>
        <w:pStyle w:val="BodyText"/>
        <w:jc w:val="both"/>
        <w:rPr>
          <w:rFonts w:cs="Times New Roman"/>
        </w:rPr>
      </w:pPr>
      <w:r w:rsidRPr="00345127">
        <w:rPr>
          <w:rFonts w:cs="Times New Roman"/>
        </w:rPr>
        <w:t xml:space="preserve">The application of Landsat imagery, supported by Google Earth historical snapshots, allowed for accurate temporal tracking of sandbar geometry and migration. The computed morphometric </w:t>
      </w:r>
      <w:r w:rsidR="008C1A0F" w:rsidRPr="00345127">
        <w:rPr>
          <w:rFonts w:cs="Times New Roman"/>
        </w:rPr>
        <w:t xml:space="preserve">indices, </w:t>
      </w:r>
      <w:r w:rsidRPr="00345127">
        <w:rPr>
          <w:rFonts w:cs="Times New Roman"/>
        </w:rPr>
        <w:t>including aspect ratio, elongation ratio, circularity, and form factor</w:t>
      </w:r>
      <w:r w:rsidR="006A3A56" w:rsidRPr="00345127">
        <w:rPr>
          <w:rFonts w:cs="Times New Roman"/>
        </w:rPr>
        <w:t xml:space="preserve"> </w:t>
      </w:r>
      <w:r w:rsidRPr="00345127">
        <w:rPr>
          <w:rFonts w:cs="Times New Roman"/>
        </w:rPr>
        <w:t>quantitatively demonstrated the shifting nature of sandbars from elongated, ephemeral features to more equant and compact formations, particularly in SB5 and SB6. These morphological transitions were further validated through high correlations (R² &gt; 0.96) among sandbar dimensions, suggesting predictable growth and spatial coherence.</w:t>
      </w:r>
    </w:p>
    <w:p w14:paraId="4A7D9BD9" w14:textId="77777777" w:rsidR="002F665E" w:rsidRPr="00345127" w:rsidRDefault="001B34EC" w:rsidP="006A3A56">
      <w:pPr>
        <w:pStyle w:val="BodyText"/>
        <w:jc w:val="both"/>
        <w:rPr>
          <w:rFonts w:cs="Times New Roman"/>
        </w:rPr>
      </w:pPr>
      <w:r w:rsidRPr="00345127">
        <w:rPr>
          <w:rFonts w:cs="Times New Roman"/>
        </w:rPr>
        <w:t>The spatial autocorrelation analysis using Global Moran’s I provided a statistically robust indication of clustering between sandbar locations and low-elevation zones, affirming the influence of microtopography and localized hydraulic energy on bar formation. Moreover, the sedimentological results revealed medium to coarse sand compositions, with well to moderately sorted textures and kurtosis values pointing to consistent deposition under varying energy regimes. These findings not only confirm the physical resilience of the sandbars but also highlight their potential to support ecological colonization and multifunctional use.</w:t>
      </w:r>
    </w:p>
    <w:p w14:paraId="4FD0A594" w14:textId="77777777" w:rsidR="002F665E" w:rsidRPr="00345127" w:rsidRDefault="001B34EC" w:rsidP="006A3A56">
      <w:pPr>
        <w:pStyle w:val="BodyText"/>
        <w:jc w:val="both"/>
        <w:rPr>
          <w:rFonts w:cs="Times New Roman"/>
        </w:rPr>
      </w:pPr>
      <w:r w:rsidRPr="00345127">
        <w:rPr>
          <w:rFonts w:cs="Times New Roman"/>
        </w:rPr>
        <w:t xml:space="preserve">From a practical standpoint, the implications of these results are wide-ranging. The stabilized sandbars, particularly those with vegetated components, present opportunities for low-impact blue economy activities such as artisanal fisheries, aquaculture siting, and ecotourism. In contrast, the lateral migration of bars like SB3 and SB4 poses navigational risks that require continuous monitoring and adaptive dredging strategies. Importantly, the identification of geomorphologically stable sandbars can inform marine spatial planning </w:t>
      </w:r>
      <w:r w:rsidRPr="00345127">
        <w:rPr>
          <w:rFonts w:cs="Times New Roman"/>
        </w:rPr>
        <w:lastRenderedPageBreak/>
        <w:t>(MSP) and integrated coastal zone management (ICZM) frameworks being developed in Bayelsa State and across the Niger Delta.</w:t>
      </w:r>
    </w:p>
    <w:p w14:paraId="126CFF20" w14:textId="13464586" w:rsidR="002F665E" w:rsidRPr="00345127" w:rsidRDefault="001B34EC" w:rsidP="006A3A56">
      <w:pPr>
        <w:pStyle w:val="BodyText"/>
        <w:jc w:val="both"/>
        <w:rPr>
          <w:rFonts w:cs="Times New Roman"/>
        </w:rPr>
      </w:pPr>
      <w:r w:rsidRPr="00345127">
        <w:rPr>
          <w:rFonts w:cs="Times New Roman"/>
        </w:rPr>
        <w:t xml:space="preserve">This study contributes to the growing body of knowledge on riverine sedimentary processes in tropical deltas and reinforces the utility of geospatial tools in long-term environmental monitoring. It builds upon earlier studies such as those by </w:t>
      </w:r>
      <w:proofErr w:type="spellStart"/>
      <w:r w:rsidRPr="00345127">
        <w:rPr>
          <w:rFonts w:cs="Times New Roman"/>
        </w:rPr>
        <w:t>Eteh</w:t>
      </w:r>
      <w:proofErr w:type="spellEnd"/>
      <w:r w:rsidRPr="00345127">
        <w:rPr>
          <w:rFonts w:cs="Times New Roman"/>
        </w:rPr>
        <w:t xml:space="preserve"> </w:t>
      </w:r>
      <w:proofErr w:type="gramStart"/>
      <w:r w:rsidRPr="00345127">
        <w:rPr>
          <w:rFonts w:cs="Times New Roman"/>
        </w:rPr>
        <w:t>et al.</w:t>
      </w:r>
      <w:r w:rsidR="00345127" w:rsidRPr="00345127">
        <w:rPr>
          <w:rFonts w:cs="Times New Roman"/>
        </w:rPr>
        <w:t xml:space="preserve"> ,</w:t>
      </w:r>
      <w:proofErr w:type="gramEnd"/>
      <w:r w:rsidR="00345127" w:rsidRPr="00345127">
        <w:rPr>
          <w:rFonts w:cs="Times New Roman"/>
        </w:rPr>
        <w:t>[6]</w:t>
      </w:r>
      <w:r w:rsidRPr="00345127">
        <w:rPr>
          <w:rFonts w:cs="Times New Roman"/>
        </w:rPr>
        <w:t xml:space="preserve"> , Okpara </w:t>
      </w:r>
      <w:r w:rsidR="00A34805" w:rsidRPr="00345127">
        <w:rPr>
          <w:rFonts w:cs="Times New Roman"/>
        </w:rPr>
        <w:t xml:space="preserve">&amp; </w:t>
      </w:r>
      <w:proofErr w:type="spellStart"/>
      <w:r w:rsidRPr="00345127">
        <w:rPr>
          <w:rFonts w:cs="Times New Roman"/>
        </w:rPr>
        <w:t>Offiong</w:t>
      </w:r>
      <w:proofErr w:type="spellEnd"/>
      <w:r w:rsidRPr="00345127">
        <w:rPr>
          <w:rFonts w:cs="Times New Roman"/>
        </w:rPr>
        <w:t xml:space="preserve"> </w:t>
      </w:r>
      <w:r w:rsidR="00345127" w:rsidRPr="00345127">
        <w:rPr>
          <w:rFonts w:cs="Times New Roman"/>
        </w:rPr>
        <w:t>4]</w:t>
      </w:r>
      <w:r w:rsidRPr="00345127">
        <w:rPr>
          <w:rFonts w:cs="Times New Roman"/>
        </w:rPr>
        <w:t xml:space="preserve">, and </w:t>
      </w:r>
      <w:proofErr w:type="spellStart"/>
      <w:r w:rsidRPr="00345127">
        <w:rPr>
          <w:rFonts w:cs="Times New Roman"/>
        </w:rPr>
        <w:t>Gijsman</w:t>
      </w:r>
      <w:proofErr w:type="spellEnd"/>
      <w:r w:rsidRPr="00345127">
        <w:rPr>
          <w:rFonts w:cs="Times New Roman"/>
        </w:rPr>
        <w:t xml:space="preserve"> et al. </w:t>
      </w:r>
      <w:r w:rsidR="00FB0609" w:rsidRPr="00345127">
        <w:rPr>
          <w:rFonts w:cs="Times New Roman"/>
        </w:rPr>
        <w:t>[</w:t>
      </w:r>
      <w:r w:rsidR="00F97A61" w:rsidRPr="00345127">
        <w:rPr>
          <w:rFonts w:cs="Times New Roman"/>
        </w:rPr>
        <w:t>19</w:t>
      </w:r>
      <w:r w:rsidR="00FB0609" w:rsidRPr="00345127">
        <w:rPr>
          <w:rFonts w:cs="Times New Roman"/>
        </w:rPr>
        <w:t>]</w:t>
      </w:r>
      <w:r w:rsidRPr="00345127">
        <w:rPr>
          <w:rFonts w:cs="Times New Roman"/>
        </w:rPr>
        <w:t xml:space="preserve"> while offering a novel methodological integration of remote sensing, OBIA, spatial statistics, and granulometric evaluation. The outputs</w:t>
      </w:r>
      <w:r w:rsidR="006A3A56" w:rsidRPr="00345127">
        <w:rPr>
          <w:rFonts w:cs="Times New Roman"/>
        </w:rPr>
        <w:t xml:space="preserve"> </w:t>
      </w:r>
      <w:r w:rsidRPr="00345127">
        <w:rPr>
          <w:rFonts w:cs="Times New Roman"/>
        </w:rPr>
        <w:t>including maps, correlation plots, and cluster diagrams serve as replicable templates for deltaic river systems experiencing similar sedimentary dynamics.</w:t>
      </w:r>
    </w:p>
    <w:p w14:paraId="7A8438BA" w14:textId="77777777" w:rsidR="002F665E" w:rsidRPr="00345127" w:rsidRDefault="001B34EC" w:rsidP="006A3A56">
      <w:pPr>
        <w:pStyle w:val="BodyText"/>
        <w:jc w:val="both"/>
        <w:rPr>
          <w:rFonts w:cs="Times New Roman"/>
        </w:rPr>
      </w:pPr>
      <w:r w:rsidRPr="00345127">
        <w:rPr>
          <w:rFonts w:cs="Times New Roman"/>
        </w:rPr>
        <w:t>Based on the insights derived from this study, several key recommendations are proposed to guide future research, policy, and sustainable development practices in the Niger Delta and other fluvial systems:</w:t>
      </w:r>
    </w:p>
    <w:p w14:paraId="3D812A10"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Institutionalize Geospatial Sandbar Monitoring:</w:t>
      </w:r>
      <w:r w:rsidRPr="00345127">
        <w:rPr>
          <w:rFonts w:ascii="Times New Roman" w:hAnsi="Times New Roman" w:cs="Times New Roman"/>
        </w:rPr>
        <w:t xml:space="preserve"> Government agencies such as NIHSA, NIMASA, and the Nigerian Ministry of Environment should adopt the geospatial methodologies demonstrated in this study to develop sandbar monitoring dashboards. These platforms should integrate Landsat/Sentinel data with near-real-time visualization of bar formation, migration, and erosion hotspots.</w:t>
      </w:r>
    </w:p>
    <w:p w14:paraId="1F377045"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Incorporate Sandbar Dynamics into Blue Economy Zoning:</w:t>
      </w:r>
      <w:r w:rsidRPr="00345127">
        <w:rPr>
          <w:rFonts w:ascii="Times New Roman" w:hAnsi="Times New Roman" w:cs="Times New Roman"/>
        </w:rPr>
        <w:t xml:space="preserve"> The persistence and expansion of sandbars should inform the delineation of sustainable aquaculture zones, navigational corridors, and ecological buffer areas in coastal and riverine spatial plans. Stabilized sandbars can be zoned for low-impact livelihood activities, with seasonal monitoring to ensure ecological integrity.</w:t>
      </w:r>
    </w:p>
    <w:p w14:paraId="2CDAD358"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Deploy Drones and High-Resolution Imagery for Fine-Scale Mapping:</w:t>
      </w:r>
      <w:r w:rsidRPr="00345127">
        <w:rPr>
          <w:rFonts w:ascii="Times New Roman" w:hAnsi="Times New Roman" w:cs="Times New Roman"/>
        </w:rPr>
        <w:t xml:space="preserve"> While Landsat proved effective for long-term trend analysis, drone-based photogrammetry and commercial satellite imagery (e.g., </w:t>
      </w:r>
      <w:proofErr w:type="spellStart"/>
      <w:r w:rsidRPr="00345127">
        <w:rPr>
          <w:rFonts w:ascii="Times New Roman" w:hAnsi="Times New Roman" w:cs="Times New Roman"/>
        </w:rPr>
        <w:t>PlanetScope</w:t>
      </w:r>
      <w:proofErr w:type="spellEnd"/>
      <w:r w:rsidRPr="00345127">
        <w:rPr>
          <w:rFonts w:ascii="Times New Roman" w:hAnsi="Times New Roman" w:cs="Times New Roman"/>
        </w:rPr>
        <w:t xml:space="preserve">, </w:t>
      </w:r>
      <w:proofErr w:type="spellStart"/>
      <w:r w:rsidRPr="00345127">
        <w:rPr>
          <w:rFonts w:ascii="Times New Roman" w:hAnsi="Times New Roman" w:cs="Times New Roman"/>
        </w:rPr>
        <w:t>WorldView</w:t>
      </w:r>
      <w:proofErr w:type="spellEnd"/>
      <w:r w:rsidRPr="00345127">
        <w:rPr>
          <w:rFonts w:ascii="Times New Roman" w:hAnsi="Times New Roman" w:cs="Times New Roman"/>
        </w:rPr>
        <w:t>) should be used to capture high-resolution snapshots of small or ephemeral bars, particularly in narrow river sections.</w:t>
      </w:r>
    </w:p>
    <w:p w14:paraId="61EAAD5C"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Integrate Hydrodynamic Modeling and Sediment Transport Analysis:</w:t>
      </w:r>
      <w:r w:rsidRPr="00345127">
        <w:rPr>
          <w:rFonts w:ascii="Times New Roman" w:hAnsi="Times New Roman" w:cs="Times New Roman"/>
        </w:rPr>
        <w:t xml:space="preserve"> Future research should incorporate flow velocity, discharge data, and sediment load measurements to simulate sandbar development under various hydrological scenarios. This will support predictive modeling under climate change and dam regulation conditions.</w:t>
      </w:r>
    </w:p>
    <w:p w14:paraId="03098CD3"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Promote Community-Based Management of Sandbars:</w:t>
      </w:r>
      <w:r w:rsidRPr="00345127">
        <w:rPr>
          <w:rFonts w:ascii="Times New Roman" w:hAnsi="Times New Roman" w:cs="Times New Roman"/>
        </w:rPr>
        <w:t xml:space="preserve"> Local communities should be engaged in participatory mapping, monitoring, and sustainable use of sandbar features. Training programs and livelihood support mechanisms can align environmental stewardship with income generation through controlled fishing, ecotourism, and small-scale aquaculture.</w:t>
      </w:r>
    </w:p>
    <w:p w14:paraId="206C2B6F"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Establish Sediment Management Guidelines:</w:t>
      </w:r>
      <w:r w:rsidRPr="00345127">
        <w:rPr>
          <w:rFonts w:ascii="Times New Roman" w:hAnsi="Times New Roman" w:cs="Times New Roman"/>
        </w:rPr>
        <w:t xml:space="preserve"> The Nigerian government should develop a national sediment management policy that includes guidelines for dredging near sandbar zones, restrictions on sand mining in ecologically sensitive areas, and protocols for monitoring post-dredging bar regeneration.</w:t>
      </w:r>
    </w:p>
    <w:p w14:paraId="70CAFE51"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Develop Early-Warning Systems for Navigational Hazards:</w:t>
      </w:r>
      <w:r w:rsidRPr="00345127">
        <w:rPr>
          <w:rFonts w:ascii="Times New Roman" w:hAnsi="Times New Roman" w:cs="Times New Roman"/>
        </w:rPr>
        <w:t xml:space="preserve"> Given the migratory nature of certain sandbars, real-time warning systems using GPS and remote sensing data should be established to alert inland navigation operators of emerging hazards, particularly during peak sediment transport seasons.</w:t>
      </w:r>
    </w:p>
    <w:p w14:paraId="368B54B9" w14:textId="77777777" w:rsidR="002F665E" w:rsidRPr="00345127" w:rsidRDefault="001B34EC" w:rsidP="006A3A56">
      <w:pPr>
        <w:pStyle w:val="FirstParagraph"/>
        <w:jc w:val="both"/>
        <w:rPr>
          <w:rFonts w:cs="Times New Roman"/>
        </w:rPr>
      </w:pPr>
      <w:r w:rsidRPr="00345127">
        <w:rPr>
          <w:rFonts w:cs="Times New Roman"/>
        </w:rPr>
        <w:lastRenderedPageBreak/>
        <w:t>In summary, this study reinforces the view that sandbars are not merely passive deposits but active agents in shaping river morphology, ecology, and economic potential. In a region as ecologically sensitive and economically strategic as the Niger Delta, their monitoring and sustainable utilization are imperative. By harnessing the power of geospatial technology, sediment science, and participatory governance, Nigeria can position sandbar systems as pillars of a resilient and inclusive blue economy.</w:t>
      </w:r>
    </w:p>
    <w:p w14:paraId="1A3E1B3F" w14:textId="42BA04DF" w:rsidR="002F665E" w:rsidRPr="00345127" w:rsidRDefault="001B34EC" w:rsidP="00345127">
      <w:pPr>
        <w:pStyle w:val="Heading2"/>
        <w:numPr>
          <w:ilvl w:val="0"/>
          <w:numId w:val="6"/>
        </w:numPr>
        <w:jc w:val="both"/>
        <w:rPr>
          <w:rFonts w:ascii="Times New Roman" w:hAnsi="Times New Roman" w:cs="Times New Roman"/>
          <w:b/>
          <w:bCs/>
          <w:color w:val="auto"/>
          <w:sz w:val="24"/>
          <w:szCs w:val="24"/>
        </w:rPr>
      </w:pPr>
      <w:bookmarkStart w:id="32" w:name="limitations-and-future-work"/>
      <w:bookmarkEnd w:id="31"/>
      <w:r w:rsidRPr="00345127">
        <w:rPr>
          <w:rFonts w:ascii="Times New Roman" w:hAnsi="Times New Roman" w:cs="Times New Roman"/>
          <w:b/>
          <w:bCs/>
          <w:color w:val="auto"/>
          <w:sz w:val="24"/>
          <w:szCs w:val="24"/>
        </w:rPr>
        <w:t>Limitations and Future Work</w:t>
      </w:r>
    </w:p>
    <w:p w14:paraId="663CBA0A" w14:textId="78AA4CF1" w:rsidR="00345127" w:rsidRPr="00345127" w:rsidRDefault="00345127" w:rsidP="00345127">
      <w:pPr>
        <w:pStyle w:val="BodyText"/>
        <w:ind w:left="720"/>
        <w:jc w:val="both"/>
      </w:pPr>
      <w:r w:rsidRPr="00345127">
        <w:t xml:space="preserve">This study’s accuracy was limited by Landsat’s 30 m resolution, decade-spaced imagery, lack of hydrological data, and reliance on surface sediment samples. These constraints reduced detection of small/seasonal sandbars, missed short-term changes, and prevented process-based and stratigraphic insights. The method was also untested beyond the </w:t>
      </w:r>
      <w:proofErr w:type="spellStart"/>
      <w:r w:rsidRPr="00345127">
        <w:t>Forcados</w:t>
      </w:r>
      <w:proofErr w:type="spellEnd"/>
      <w:r w:rsidRPr="00345127">
        <w:t xml:space="preserve"> River. Future work should apply higher-resolution, frequent multi-sensor data, integrate hydrodynamic modeling, include core sediment analyses, and test scalability across other Niger Delta rivers.</w:t>
      </w:r>
    </w:p>
    <w:p w14:paraId="5ADAC95A" w14:textId="25BB6C08" w:rsidR="002F665E" w:rsidRPr="00345127" w:rsidRDefault="001B34EC" w:rsidP="008C1A0F">
      <w:pPr>
        <w:pStyle w:val="Heading2"/>
        <w:numPr>
          <w:ilvl w:val="0"/>
          <w:numId w:val="6"/>
        </w:numPr>
        <w:jc w:val="both"/>
        <w:rPr>
          <w:rFonts w:ascii="Times New Roman" w:hAnsi="Times New Roman" w:cs="Times New Roman"/>
          <w:b/>
          <w:bCs/>
          <w:color w:val="auto"/>
          <w:sz w:val="24"/>
          <w:szCs w:val="24"/>
        </w:rPr>
      </w:pPr>
      <w:bookmarkStart w:id="33" w:name="references"/>
      <w:bookmarkEnd w:id="32"/>
      <w:r w:rsidRPr="00345127">
        <w:rPr>
          <w:rFonts w:ascii="Times New Roman" w:hAnsi="Times New Roman" w:cs="Times New Roman"/>
          <w:b/>
          <w:bCs/>
          <w:color w:val="auto"/>
          <w:sz w:val="24"/>
          <w:szCs w:val="24"/>
        </w:rPr>
        <w:t>References</w:t>
      </w:r>
    </w:p>
    <w:p w14:paraId="202946D6" w14:textId="77777777" w:rsidR="00A34805" w:rsidRPr="00345127" w:rsidRDefault="00A34805" w:rsidP="00A34805">
      <w:pPr>
        <w:pStyle w:val="BodyText"/>
        <w:ind w:left="720"/>
        <w:jc w:val="both"/>
        <w:rPr>
          <w:rFonts w:cs="Times New Roman"/>
          <w:lang w:val="it-IT"/>
        </w:rPr>
      </w:pPr>
    </w:p>
    <w:p w14:paraId="6A8F54DC" w14:textId="77777777" w:rsidR="00A34805" w:rsidRPr="00345127" w:rsidRDefault="00A34805" w:rsidP="00A34805">
      <w:pPr>
        <w:pStyle w:val="BodyText"/>
        <w:numPr>
          <w:ilvl w:val="0"/>
          <w:numId w:val="7"/>
        </w:numPr>
        <w:jc w:val="both"/>
        <w:rPr>
          <w:rFonts w:cs="Times New Roman"/>
        </w:rPr>
      </w:pPr>
      <w:r w:rsidRPr="00345127">
        <w:rPr>
          <w:rFonts w:cs="Times New Roman"/>
        </w:rPr>
        <w:t xml:space="preserve">Komar, P. D. (1996). </w:t>
      </w:r>
      <w:r w:rsidRPr="00345127">
        <w:rPr>
          <w:rFonts w:cs="Times New Roman"/>
          <w:i/>
          <w:iCs/>
        </w:rPr>
        <w:t>Mechanics of coarse sediment transport</w:t>
      </w:r>
      <w:r w:rsidRPr="00345127">
        <w:rPr>
          <w:rFonts w:cs="Times New Roman"/>
        </w:rPr>
        <w:t>. CRC Press.</w:t>
      </w:r>
    </w:p>
    <w:p w14:paraId="77C36B1C" w14:textId="6310DD62" w:rsidR="00A34805" w:rsidRPr="00345127" w:rsidRDefault="00A34805" w:rsidP="00A34805">
      <w:pPr>
        <w:pStyle w:val="BodyText"/>
        <w:numPr>
          <w:ilvl w:val="0"/>
          <w:numId w:val="7"/>
        </w:numPr>
        <w:jc w:val="both"/>
        <w:rPr>
          <w:rStyle w:val="Hyperlink"/>
          <w:rFonts w:cs="Times New Roman"/>
          <w:color w:val="auto"/>
          <w:lang w:val="it-IT"/>
        </w:rPr>
      </w:pPr>
      <w:r w:rsidRPr="00345127">
        <w:rPr>
          <w:rFonts w:cs="Times New Roman"/>
        </w:rPr>
        <w:t xml:space="preserve">Wang, P., Fu, K., Huang, J., Duan, X., &amp; Yang, Z. (2020). Morphological changes in the lower Lancang River due to extensive human activities. </w:t>
      </w:r>
      <w:r w:rsidRPr="00345127">
        <w:rPr>
          <w:rFonts w:cs="Times New Roman"/>
          <w:i/>
          <w:iCs/>
          <w:lang w:val="it-IT"/>
        </w:rPr>
        <w:t>PeerJ, 8</w:t>
      </w:r>
      <w:r w:rsidRPr="00345127">
        <w:rPr>
          <w:rFonts w:cs="Times New Roman"/>
          <w:lang w:val="it-IT"/>
        </w:rPr>
        <w:t xml:space="preserve">, e9471. </w:t>
      </w:r>
      <w:hyperlink r:id="rId14">
        <w:r w:rsidRPr="00345127">
          <w:rPr>
            <w:rStyle w:val="Hyperlink"/>
            <w:rFonts w:cs="Times New Roman"/>
            <w:color w:val="auto"/>
            <w:lang w:val="it-IT"/>
          </w:rPr>
          <w:t>https://doi.org/10.7717/peerj.9471</w:t>
        </w:r>
      </w:hyperlink>
    </w:p>
    <w:p w14:paraId="1909E912" w14:textId="4DAD4E74" w:rsidR="00A34805" w:rsidRPr="00345127" w:rsidRDefault="00A34805" w:rsidP="00A34805">
      <w:pPr>
        <w:pStyle w:val="BodyText"/>
        <w:numPr>
          <w:ilvl w:val="0"/>
          <w:numId w:val="7"/>
        </w:numPr>
        <w:jc w:val="both"/>
        <w:rPr>
          <w:rFonts w:cs="Times New Roman"/>
        </w:rPr>
      </w:pPr>
      <w:r w:rsidRPr="00345127">
        <w:rPr>
          <w:rFonts w:cs="Times New Roman"/>
        </w:rPr>
        <w:t xml:space="preserve">Kuang, C., Han, X., Zhang, J., Zou, Q., &amp; Dong, B. (2021). </w:t>
      </w:r>
      <w:proofErr w:type="spellStart"/>
      <w:r w:rsidRPr="00345127">
        <w:rPr>
          <w:rFonts w:cs="Times New Roman"/>
        </w:rPr>
        <w:t>Morphodynamic</w:t>
      </w:r>
      <w:proofErr w:type="spellEnd"/>
      <w:r w:rsidRPr="00345127">
        <w:rPr>
          <w:rFonts w:cs="Times New Roman"/>
        </w:rPr>
        <w:t xml:space="preserve"> evolution of a nourished beach with artificial sandbars: Field observations and numerical modeling. </w:t>
      </w:r>
      <w:r w:rsidRPr="00345127">
        <w:rPr>
          <w:rFonts w:cs="Times New Roman"/>
          <w:i/>
          <w:iCs/>
        </w:rPr>
        <w:t>Journal of Marine Science and Engineering, 9</w:t>
      </w:r>
      <w:r w:rsidRPr="00345127">
        <w:rPr>
          <w:rFonts w:cs="Times New Roman"/>
        </w:rPr>
        <w:t xml:space="preserve">(3), 245. </w:t>
      </w:r>
      <w:hyperlink r:id="rId15">
        <w:r w:rsidRPr="00345127">
          <w:rPr>
            <w:rStyle w:val="Hyperlink"/>
            <w:rFonts w:cs="Times New Roman"/>
            <w:color w:val="auto"/>
          </w:rPr>
          <w:t>https://doi.org/10.3390/jmse9030245</w:t>
        </w:r>
      </w:hyperlink>
    </w:p>
    <w:p w14:paraId="5012B94A" w14:textId="6C43954C" w:rsidR="008C1A0F" w:rsidRPr="00345127" w:rsidRDefault="008C1A0F" w:rsidP="008C1A0F">
      <w:pPr>
        <w:pStyle w:val="BodyText"/>
        <w:numPr>
          <w:ilvl w:val="0"/>
          <w:numId w:val="7"/>
        </w:numPr>
        <w:jc w:val="both"/>
        <w:rPr>
          <w:rStyle w:val="Hyperlink"/>
          <w:rFonts w:cs="Times New Roman"/>
          <w:color w:val="auto"/>
        </w:rPr>
      </w:pPr>
      <w:r w:rsidRPr="00345127">
        <w:rPr>
          <w:rFonts w:cs="Times New Roman"/>
        </w:rPr>
        <w:t xml:space="preserve">Okpara, D., &amp; Offiong, M. B. (2020). </w:t>
      </w:r>
      <w:proofErr w:type="spellStart"/>
      <w:r w:rsidRPr="00345127">
        <w:rPr>
          <w:rFonts w:cs="Times New Roman"/>
        </w:rPr>
        <w:t>Morphodynamics</w:t>
      </w:r>
      <w:proofErr w:type="spellEnd"/>
      <w:r w:rsidRPr="00345127">
        <w:rPr>
          <w:rFonts w:cs="Times New Roman"/>
        </w:rPr>
        <w:t xml:space="preserve"> of river and coastal transport of sediments in mega delta basin, Niger Delta Nigeria. </w:t>
      </w:r>
      <w:r w:rsidRPr="00345127">
        <w:rPr>
          <w:rFonts w:cs="Times New Roman"/>
          <w:i/>
          <w:iCs/>
        </w:rPr>
        <w:t>IOP Conference Series: Earth and Environmental Science, 424</w:t>
      </w:r>
      <w:r w:rsidRPr="00345127">
        <w:rPr>
          <w:rFonts w:cs="Times New Roman"/>
        </w:rPr>
        <w:t xml:space="preserve">, 012010. </w:t>
      </w:r>
      <w:hyperlink r:id="rId16">
        <w:r w:rsidRPr="00345127">
          <w:rPr>
            <w:rStyle w:val="Hyperlink"/>
            <w:rFonts w:cs="Times New Roman"/>
            <w:color w:val="auto"/>
          </w:rPr>
          <w:t>https://doi.org/10.1088/1755-1315/424/1/012010</w:t>
        </w:r>
      </w:hyperlink>
    </w:p>
    <w:p w14:paraId="5BC099C4" w14:textId="09F2F498" w:rsidR="008C1A0F" w:rsidRPr="00345127" w:rsidRDefault="008C1A0F" w:rsidP="008C1A0F">
      <w:pPr>
        <w:pStyle w:val="BodyText"/>
        <w:numPr>
          <w:ilvl w:val="0"/>
          <w:numId w:val="7"/>
        </w:numPr>
        <w:jc w:val="both"/>
        <w:rPr>
          <w:rFonts w:cs="Times New Roman"/>
        </w:rPr>
      </w:pPr>
      <w:proofErr w:type="spellStart"/>
      <w:r w:rsidRPr="00345127">
        <w:rPr>
          <w:rFonts w:cs="Times New Roman"/>
        </w:rPr>
        <w:t>Eteh</w:t>
      </w:r>
      <w:proofErr w:type="spellEnd"/>
      <w:r w:rsidRPr="00345127">
        <w:rPr>
          <w:rFonts w:cs="Times New Roman"/>
        </w:rPr>
        <w:t xml:space="preserve">, D. R., Paaru, M., &amp; </w:t>
      </w:r>
      <w:proofErr w:type="spellStart"/>
      <w:r w:rsidRPr="00345127">
        <w:rPr>
          <w:rFonts w:cs="Times New Roman"/>
        </w:rPr>
        <w:t>Egobueze</w:t>
      </w:r>
      <w:proofErr w:type="spellEnd"/>
      <w:r w:rsidRPr="00345127">
        <w:rPr>
          <w:rFonts w:cs="Times New Roman"/>
        </w:rPr>
        <w:t xml:space="preserve">, F. E. (2024). Utilizing machine learning and DSAS to analyze historical trends and forecast future shoreline changes along the River Niger, Niger Delta. </w:t>
      </w:r>
      <w:r w:rsidRPr="00345127">
        <w:rPr>
          <w:rFonts w:cs="Times New Roman"/>
          <w:i/>
          <w:iCs/>
        </w:rPr>
        <w:t>Water Conservation Science and Engineering, 9</w:t>
      </w:r>
      <w:r w:rsidRPr="00345127">
        <w:rPr>
          <w:rFonts w:cs="Times New Roman"/>
        </w:rPr>
        <w:t xml:space="preserve">, 91. </w:t>
      </w:r>
      <w:hyperlink r:id="rId17">
        <w:r w:rsidRPr="00345127">
          <w:rPr>
            <w:rStyle w:val="Hyperlink"/>
            <w:rFonts w:cs="Times New Roman"/>
            <w:color w:val="auto"/>
          </w:rPr>
          <w:t>https://doi.org/10.1007/s41101-024-00324-1</w:t>
        </w:r>
      </w:hyperlink>
    </w:p>
    <w:p w14:paraId="3D484866" w14:textId="190E4D38" w:rsidR="008C1A0F" w:rsidRPr="00345127" w:rsidRDefault="008C1A0F" w:rsidP="008C1A0F">
      <w:pPr>
        <w:pStyle w:val="BodyText"/>
        <w:numPr>
          <w:ilvl w:val="0"/>
          <w:numId w:val="7"/>
        </w:numPr>
        <w:jc w:val="both"/>
        <w:rPr>
          <w:rFonts w:cs="Times New Roman"/>
        </w:rPr>
      </w:pPr>
      <w:proofErr w:type="spellStart"/>
      <w:r w:rsidRPr="00345127">
        <w:rPr>
          <w:rFonts w:cs="Times New Roman"/>
        </w:rPr>
        <w:t>Eteh</w:t>
      </w:r>
      <w:proofErr w:type="spellEnd"/>
      <w:r w:rsidRPr="00345127">
        <w:rPr>
          <w:rFonts w:cs="Times New Roman"/>
        </w:rPr>
        <w:t xml:space="preserve">, D. R., Japheth, B. R., </w:t>
      </w:r>
      <w:proofErr w:type="spellStart"/>
      <w:r w:rsidRPr="00345127">
        <w:rPr>
          <w:rFonts w:cs="Times New Roman"/>
        </w:rPr>
        <w:t>Akajiaku</w:t>
      </w:r>
      <w:proofErr w:type="spellEnd"/>
      <w:r w:rsidRPr="00345127">
        <w:rPr>
          <w:rFonts w:cs="Times New Roman"/>
        </w:rPr>
        <w:t xml:space="preserve">, C. U., et al. (2025). Assessing the impact of climate change on flood patterns in downstream Nigeria using machine learning and geospatial techniques (2018–2024). </w:t>
      </w:r>
      <w:r w:rsidRPr="00345127">
        <w:rPr>
          <w:rFonts w:cs="Times New Roman"/>
          <w:i/>
          <w:iCs/>
        </w:rPr>
        <w:t>Discover Geoscience, 3</w:t>
      </w:r>
      <w:r w:rsidRPr="00345127">
        <w:rPr>
          <w:rFonts w:cs="Times New Roman"/>
        </w:rPr>
        <w:t xml:space="preserve">, 76. </w:t>
      </w:r>
      <w:hyperlink r:id="rId18">
        <w:r w:rsidRPr="00345127">
          <w:rPr>
            <w:rStyle w:val="Hyperlink"/>
            <w:rFonts w:cs="Times New Roman"/>
            <w:color w:val="auto"/>
          </w:rPr>
          <w:t>https://doi.org/10.1007/s44288-025-00178-7</w:t>
        </w:r>
      </w:hyperlink>
      <w:r w:rsidRPr="00345127">
        <w:t xml:space="preserve"> </w:t>
      </w:r>
    </w:p>
    <w:p w14:paraId="42394691" w14:textId="77777777" w:rsidR="00401CC4" w:rsidRPr="00345127" w:rsidRDefault="00401CC4" w:rsidP="00401CC4">
      <w:pPr>
        <w:pStyle w:val="BodyText"/>
        <w:numPr>
          <w:ilvl w:val="0"/>
          <w:numId w:val="7"/>
        </w:numPr>
        <w:jc w:val="both"/>
        <w:rPr>
          <w:rFonts w:cs="Times New Roman"/>
        </w:rPr>
      </w:pPr>
      <w:r w:rsidRPr="00345127">
        <w:rPr>
          <w:rFonts w:cs="Times New Roman"/>
        </w:rPr>
        <w:t xml:space="preserve">Petts, G. E. (1984). </w:t>
      </w:r>
      <w:r w:rsidRPr="00345127">
        <w:rPr>
          <w:rFonts w:cs="Times New Roman"/>
          <w:i/>
          <w:iCs/>
        </w:rPr>
        <w:t>Sedimentation within a regulated river</w:t>
      </w:r>
      <w:r w:rsidRPr="00345127">
        <w:rPr>
          <w:rFonts w:cs="Times New Roman"/>
        </w:rPr>
        <w:t>. Earth Surface Processes and Landforms, 9(2), 125–134.</w:t>
      </w:r>
    </w:p>
    <w:p w14:paraId="1AE3CCE7" w14:textId="77777777" w:rsidR="00401CC4" w:rsidRPr="00345127" w:rsidRDefault="00401CC4" w:rsidP="00401CC4">
      <w:pPr>
        <w:pStyle w:val="BodyText"/>
        <w:numPr>
          <w:ilvl w:val="0"/>
          <w:numId w:val="7"/>
        </w:numPr>
        <w:jc w:val="both"/>
        <w:rPr>
          <w:rFonts w:cs="Times New Roman"/>
        </w:rPr>
      </w:pPr>
      <w:r w:rsidRPr="00345127">
        <w:rPr>
          <w:rFonts w:cs="Times New Roman"/>
        </w:rPr>
        <w:t xml:space="preserve">Hickin, E. J., &amp; Nanson, G. C. (1984). Lateral migration rates of river bends. </w:t>
      </w:r>
      <w:r w:rsidRPr="00345127">
        <w:rPr>
          <w:rFonts w:cs="Times New Roman"/>
          <w:i/>
          <w:iCs/>
        </w:rPr>
        <w:t>Journal of Hydraulic Engineering, 110</w:t>
      </w:r>
      <w:r w:rsidRPr="00345127">
        <w:rPr>
          <w:rFonts w:cs="Times New Roman"/>
        </w:rPr>
        <w:t>(11), 1557–1567.</w:t>
      </w:r>
    </w:p>
    <w:p w14:paraId="0219B2BA" w14:textId="77777777" w:rsidR="00401CC4" w:rsidRPr="00345127" w:rsidRDefault="00401CC4" w:rsidP="00401CC4">
      <w:pPr>
        <w:pStyle w:val="BodyText"/>
        <w:numPr>
          <w:ilvl w:val="0"/>
          <w:numId w:val="7"/>
        </w:numPr>
        <w:jc w:val="both"/>
        <w:rPr>
          <w:rFonts w:cs="Times New Roman"/>
        </w:rPr>
      </w:pPr>
      <w:proofErr w:type="spellStart"/>
      <w:r w:rsidRPr="00345127">
        <w:rPr>
          <w:rFonts w:cs="Times New Roman"/>
        </w:rPr>
        <w:t>Syvitski</w:t>
      </w:r>
      <w:proofErr w:type="spellEnd"/>
      <w:r w:rsidRPr="00345127">
        <w:rPr>
          <w:rFonts w:cs="Times New Roman"/>
        </w:rPr>
        <w:t xml:space="preserve">, J. P. M., Vörösmarty, C. J., Kettner, A. J., &amp; Green, P. (2005). Impact of humans on the flux of terrestrial sediment to the global coastal ocean. </w:t>
      </w:r>
      <w:r w:rsidRPr="00345127">
        <w:rPr>
          <w:rFonts w:cs="Times New Roman"/>
          <w:i/>
          <w:iCs/>
        </w:rPr>
        <w:t>Science, 308</w:t>
      </w:r>
      <w:r w:rsidRPr="00345127">
        <w:rPr>
          <w:rFonts w:cs="Times New Roman"/>
        </w:rPr>
        <w:t xml:space="preserve">(5720), 376–380. </w:t>
      </w:r>
      <w:hyperlink r:id="rId19">
        <w:r w:rsidRPr="00345127">
          <w:rPr>
            <w:rStyle w:val="Hyperlink"/>
            <w:rFonts w:cs="Times New Roman"/>
            <w:color w:val="auto"/>
          </w:rPr>
          <w:t>https://doi.org/10.1126/science.1109454</w:t>
        </w:r>
      </w:hyperlink>
    </w:p>
    <w:p w14:paraId="620EA5A4" w14:textId="77777777" w:rsidR="00401CC4" w:rsidRPr="00345127" w:rsidRDefault="00401CC4" w:rsidP="00401CC4">
      <w:pPr>
        <w:pStyle w:val="BodyText"/>
        <w:numPr>
          <w:ilvl w:val="0"/>
          <w:numId w:val="7"/>
        </w:numPr>
        <w:jc w:val="both"/>
        <w:rPr>
          <w:rFonts w:cs="Times New Roman"/>
        </w:rPr>
      </w:pPr>
      <w:r w:rsidRPr="00345127">
        <w:rPr>
          <w:rFonts w:cs="Times New Roman"/>
          <w:lang w:val="it-IT"/>
        </w:rPr>
        <w:lastRenderedPageBreak/>
        <w:t xml:space="preserve">Massazza, G., Bacci, M., Descroix, L., Ibrahim, M. H., Fiorillo, E., Katiellou, G. L., ... </w:t>
      </w:r>
      <w:r w:rsidRPr="00345127">
        <w:rPr>
          <w:rFonts w:cs="Times New Roman"/>
        </w:rPr>
        <w:t xml:space="preserve">&amp; </w:t>
      </w:r>
      <w:proofErr w:type="spellStart"/>
      <w:r w:rsidRPr="00345127">
        <w:rPr>
          <w:rFonts w:cs="Times New Roman"/>
        </w:rPr>
        <w:t>Sauzedde</w:t>
      </w:r>
      <w:proofErr w:type="spellEnd"/>
      <w:r w:rsidRPr="00345127">
        <w:rPr>
          <w:rFonts w:cs="Times New Roman"/>
        </w:rPr>
        <w:t xml:space="preserve">, E. (2021). Recent changes in hydroclimatic patterns over medium Niger River basins at the origin of the 2020 flood in Niamey (Niger). </w:t>
      </w:r>
      <w:r w:rsidRPr="00345127">
        <w:rPr>
          <w:rFonts w:cs="Times New Roman"/>
          <w:i/>
          <w:iCs/>
        </w:rPr>
        <w:t>Water, 13</w:t>
      </w:r>
      <w:r w:rsidRPr="00345127">
        <w:rPr>
          <w:rFonts w:cs="Times New Roman"/>
        </w:rPr>
        <w:t xml:space="preserve">(12), 1659. </w:t>
      </w:r>
      <w:hyperlink r:id="rId20">
        <w:r w:rsidRPr="00345127">
          <w:rPr>
            <w:rStyle w:val="Hyperlink"/>
            <w:rFonts w:cs="Times New Roman"/>
            <w:color w:val="auto"/>
          </w:rPr>
          <w:t>https://doi.org/10.3390/w13121659</w:t>
        </w:r>
      </w:hyperlink>
    </w:p>
    <w:p w14:paraId="1A6E04B4" w14:textId="5C636E34" w:rsidR="00401CC4" w:rsidRPr="00345127" w:rsidRDefault="008D5566" w:rsidP="008C1A0F">
      <w:pPr>
        <w:pStyle w:val="BodyText"/>
        <w:numPr>
          <w:ilvl w:val="0"/>
          <w:numId w:val="7"/>
        </w:numPr>
        <w:jc w:val="both"/>
        <w:rPr>
          <w:rFonts w:cs="Times New Roman"/>
        </w:rPr>
      </w:pPr>
      <w:proofErr w:type="spellStart"/>
      <w:r w:rsidRPr="00345127">
        <w:rPr>
          <w:rFonts w:cs="Times New Roman"/>
        </w:rPr>
        <w:t>Okpobiri</w:t>
      </w:r>
      <w:proofErr w:type="spellEnd"/>
      <w:r w:rsidRPr="00345127">
        <w:rPr>
          <w:rFonts w:cs="Times New Roman"/>
        </w:rPr>
        <w:t xml:space="preserve">, O., </w:t>
      </w:r>
      <w:proofErr w:type="spellStart"/>
      <w:r w:rsidRPr="00345127">
        <w:rPr>
          <w:rFonts w:cs="Times New Roman"/>
        </w:rPr>
        <w:t>Akajiaku</w:t>
      </w:r>
      <w:proofErr w:type="spellEnd"/>
      <w:r w:rsidRPr="00345127">
        <w:rPr>
          <w:rFonts w:cs="Times New Roman"/>
        </w:rPr>
        <w:t xml:space="preserve">, C. U., </w:t>
      </w:r>
      <w:proofErr w:type="spellStart"/>
      <w:r w:rsidRPr="00345127">
        <w:rPr>
          <w:rFonts w:cs="Times New Roman"/>
        </w:rPr>
        <w:t>Eteh</w:t>
      </w:r>
      <w:proofErr w:type="spellEnd"/>
      <w:r w:rsidRPr="00345127">
        <w:rPr>
          <w:rFonts w:cs="Times New Roman"/>
        </w:rPr>
        <w:t xml:space="preserve">, D. R., &amp; Moses, P. (2025). Using machine learning and GIS to monitor sandbars along the River Niger in the Niger Delta, Nigeria. </w:t>
      </w:r>
      <w:r w:rsidRPr="00345127">
        <w:rPr>
          <w:rFonts w:cs="Times New Roman"/>
          <w:i/>
          <w:iCs/>
        </w:rPr>
        <w:t>International Journal of Environment and Climate Change, 15</w:t>
      </w:r>
      <w:r w:rsidRPr="00345127">
        <w:rPr>
          <w:rFonts w:cs="Times New Roman"/>
        </w:rPr>
        <w:t xml:space="preserve">(2), 182–203. </w:t>
      </w:r>
      <w:hyperlink r:id="rId21" w:tgtFrame="_new" w:history="1">
        <w:r w:rsidRPr="00345127">
          <w:rPr>
            <w:rStyle w:val="Hyperlink"/>
            <w:rFonts w:cs="Times New Roman"/>
            <w:color w:val="auto"/>
          </w:rPr>
          <w:t>https://doi.org/10.9734/ijecc/2025/v15i24721</w:t>
        </w:r>
      </w:hyperlink>
    </w:p>
    <w:p w14:paraId="0D88842F" w14:textId="77777777" w:rsidR="008D5566" w:rsidRPr="00345127" w:rsidRDefault="008D5566" w:rsidP="008D5566">
      <w:pPr>
        <w:pStyle w:val="BodyText"/>
        <w:numPr>
          <w:ilvl w:val="0"/>
          <w:numId w:val="7"/>
        </w:numPr>
      </w:pPr>
      <w:proofErr w:type="spellStart"/>
      <w:r w:rsidRPr="00345127">
        <w:t>Eteh</w:t>
      </w:r>
      <w:proofErr w:type="spellEnd"/>
      <w:r w:rsidRPr="00345127">
        <w:t xml:space="preserve">, D.R., </w:t>
      </w:r>
      <w:proofErr w:type="spellStart"/>
      <w:r w:rsidRPr="00345127">
        <w:t>Egobueze</w:t>
      </w:r>
      <w:proofErr w:type="spellEnd"/>
      <w:r w:rsidRPr="00345127">
        <w:t>, F.E., Paaru, M. </w:t>
      </w:r>
      <w:r w:rsidRPr="00345127">
        <w:rPr>
          <w:i/>
          <w:iCs/>
        </w:rPr>
        <w:t>et al.</w:t>
      </w:r>
      <w:r w:rsidRPr="00345127">
        <w:t> The impact of dam management and rainfall patterns on flooding in the Niger Delta: using Sentinel-1 SAR data. </w:t>
      </w:r>
      <w:proofErr w:type="spellStart"/>
      <w:r w:rsidRPr="00345127">
        <w:rPr>
          <w:i/>
          <w:iCs/>
        </w:rPr>
        <w:t>Discov</w:t>
      </w:r>
      <w:proofErr w:type="spellEnd"/>
      <w:r w:rsidRPr="00345127">
        <w:rPr>
          <w:i/>
          <w:iCs/>
        </w:rPr>
        <w:t xml:space="preserve"> Water</w:t>
      </w:r>
      <w:r w:rsidRPr="00345127">
        <w:t> </w:t>
      </w:r>
      <w:r w:rsidRPr="00345127">
        <w:rPr>
          <w:b/>
          <w:bCs/>
        </w:rPr>
        <w:t>4</w:t>
      </w:r>
      <w:r w:rsidRPr="00345127">
        <w:t>, 123 (2024). https://doi.org/10.1007/s43832-024-00185-8</w:t>
      </w:r>
    </w:p>
    <w:p w14:paraId="34E31D18" w14:textId="77777777" w:rsidR="008D5566" w:rsidRPr="00345127" w:rsidRDefault="008D5566" w:rsidP="008D5566">
      <w:pPr>
        <w:pStyle w:val="BodyText"/>
        <w:numPr>
          <w:ilvl w:val="0"/>
          <w:numId w:val="7"/>
        </w:numPr>
        <w:jc w:val="both"/>
        <w:rPr>
          <w:rFonts w:cs="Times New Roman"/>
        </w:rPr>
      </w:pPr>
      <w:r w:rsidRPr="00345127">
        <w:rPr>
          <w:rFonts w:cs="Times New Roman"/>
          <w:lang w:val="it-IT"/>
        </w:rPr>
        <w:t xml:space="preserve">Lawson, S. K., Udo, K., Tanaka, H., &amp; Bamunawala, J. (2023). </w:t>
      </w:r>
      <w:r w:rsidRPr="00345127">
        <w:rPr>
          <w:rFonts w:cs="Times New Roman"/>
        </w:rPr>
        <w:t xml:space="preserve">Littoral drift impoundment at a sandbar breakwater: Two case studies along the Bight of Benin Coast (Gulf of Guinea, West Africa). </w:t>
      </w:r>
      <w:r w:rsidRPr="00345127">
        <w:rPr>
          <w:rFonts w:cs="Times New Roman"/>
          <w:i/>
          <w:iCs/>
        </w:rPr>
        <w:t>Journal of Marine Science and Engineering, 11</w:t>
      </w:r>
      <w:r w:rsidRPr="00345127">
        <w:rPr>
          <w:rFonts w:cs="Times New Roman"/>
        </w:rPr>
        <w:t xml:space="preserve">(9), 1651. </w:t>
      </w:r>
      <w:hyperlink r:id="rId22">
        <w:r w:rsidRPr="00345127">
          <w:rPr>
            <w:rStyle w:val="Hyperlink"/>
            <w:rFonts w:cs="Times New Roman"/>
            <w:color w:val="auto"/>
          </w:rPr>
          <w:t>https://doi.org/10.3390/jmse11091651</w:t>
        </w:r>
      </w:hyperlink>
    </w:p>
    <w:p w14:paraId="330AF96E" w14:textId="77777777" w:rsidR="008D5566" w:rsidRPr="00345127" w:rsidRDefault="008D5566" w:rsidP="008D5566">
      <w:pPr>
        <w:pStyle w:val="BodyText"/>
        <w:numPr>
          <w:ilvl w:val="0"/>
          <w:numId w:val="7"/>
        </w:numPr>
        <w:jc w:val="both"/>
        <w:rPr>
          <w:rFonts w:cs="Times New Roman"/>
        </w:rPr>
      </w:pPr>
      <w:r w:rsidRPr="00345127">
        <w:rPr>
          <w:rFonts w:cs="Times New Roman"/>
        </w:rPr>
        <w:t xml:space="preserve">Malhi, Y., Franklin, J., Seddon, N., Solan, M., Turner, M. G., Field, C. B., &amp; Knowlton, N. (2020). Climate change and ecosystems: Threats, opportunities and solutions. </w:t>
      </w:r>
      <w:r w:rsidRPr="00345127">
        <w:rPr>
          <w:rFonts w:cs="Times New Roman"/>
          <w:i/>
          <w:iCs/>
        </w:rPr>
        <w:t>Philosophical Transactions of the Royal Society B, 375</w:t>
      </w:r>
      <w:r w:rsidRPr="00345127">
        <w:rPr>
          <w:rFonts w:cs="Times New Roman"/>
        </w:rPr>
        <w:t xml:space="preserve">(1794), 20190104. </w:t>
      </w:r>
      <w:hyperlink r:id="rId23">
        <w:r w:rsidRPr="00345127">
          <w:rPr>
            <w:rStyle w:val="Hyperlink"/>
            <w:rFonts w:cs="Times New Roman"/>
            <w:color w:val="auto"/>
          </w:rPr>
          <w:t>https://doi.org/10.1098/rstb.2019.0104</w:t>
        </w:r>
      </w:hyperlink>
    </w:p>
    <w:p w14:paraId="41462A47" w14:textId="77777777" w:rsidR="008D5566" w:rsidRPr="00345127" w:rsidRDefault="008D5566" w:rsidP="008D5566">
      <w:pPr>
        <w:pStyle w:val="BodyText"/>
        <w:numPr>
          <w:ilvl w:val="0"/>
          <w:numId w:val="7"/>
        </w:numPr>
        <w:jc w:val="both"/>
        <w:rPr>
          <w:rFonts w:cs="Times New Roman"/>
        </w:rPr>
      </w:pPr>
      <w:proofErr w:type="spellStart"/>
      <w:r w:rsidRPr="00345127">
        <w:rPr>
          <w:rFonts w:cs="Times New Roman"/>
        </w:rPr>
        <w:t>Janušaitė</w:t>
      </w:r>
      <w:proofErr w:type="spellEnd"/>
      <w:r w:rsidRPr="00345127">
        <w:rPr>
          <w:rFonts w:cs="Times New Roman"/>
        </w:rPr>
        <w:t xml:space="preserve">, R., Jukna, L., </w:t>
      </w:r>
      <w:proofErr w:type="spellStart"/>
      <w:r w:rsidRPr="00345127">
        <w:rPr>
          <w:rFonts w:cs="Times New Roman"/>
        </w:rPr>
        <w:t>Jarmalavičius</w:t>
      </w:r>
      <w:proofErr w:type="spellEnd"/>
      <w:r w:rsidRPr="00345127">
        <w:rPr>
          <w:rFonts w:cs="Times New Roman"/>
        </w:rPr>
        <w:t xml:space="preserve">, D., </w:t>
      </w:r>
      <w:proofErr w:type="spellStart"/>
      <w:r w:rsidRPr="00345127">
        <w:rPr>
          <w:rFonts w:cs="Times New Roman"/>
        </w:rPr>
        <w:t>Pupienis</w:t>
      </w:r>
      <w:proofErr w:type="spellEnd"/>
      <w:r w:rsidRPr="00345127">
        <w:rPr>
          <w:rFonts w:cs="Times New Roman"/>
        </w:rPr>
        <w:t xml:space="preserve">, D., &amp; Žilinskas, G. (2021). A novel GIS-based approach for automated detection of nearshore sandbar morphological characteristics in optical satellite imagery. </w:t>
      </w:r>
      <w:r w:rsidRPr="00345127">
        <w:rPr>
          <w:rFonts w:cs="Times New Roman"/>
          <w:i/>
          <w:iCs/>
        </w:rPr>
        <w:t>Remote Sensing, 13</w:t>
      </w:r>
      <w:r w:rsidRPr="00345127">
        <w:rPr>
          <w:rFonts w:cs="Times New Roman"/>
        </w:rPr>
        <w:t xml:space="preserve">(11), 2233. </w:t>
      </w:r>
      <w:hyperlink r:id="rId24">
        <w:r w:rsidRPr="00345127">
          <w:rPr>
            <w:rStyle w:val="Hyperlink"/>
            <w:rFonts w:cs="Times New Roman"/>
            <w:color w:val="auto"/>
          </w:rPr>
          <w:t>https://doi.org/10.3390/rs13112233</w:t>
        </w:r>
      </w:hyperlink>
    </w:p>
    <w:p w14:paraId="526E5A5C" w14:textId="77777777" w:rsidR="008D5566" w:rsidRPr="00345127" w:rsidRDefault="008D5566" w:rsidP="008D5566">
      <w:pPr>
        <w:pStyle w:val="BodyText"/>
        <w:numPr>
          <w:ilvl w:val="0"/>
          <w:numId w:val="7"/>
        </w:numPr>
        <w:jc w:val="both"/>
        <w:rPr>
          <w:rFonts w:cs="Times New Roman"/>
        </w:rPr>
      </w:pPr>
      <w:r w:rsidRPr="00345127">
        <w:rPr>
          <w:rFonts w:cs="Times New Roman"/>
        </w:rPr>
        <w:t xml:space="preserve">Blaschke, T. (2010). Object-based image analysis for remote sensing. </w:t>
      </w:r>
      <w:r w:rsidRPr="00345127">
        <w:rPr>
          <w:rFonts w:cs="Times New Roman"/>
          <w:i/>
          <w:iCs/>
        </w:rPr>
        <w:t>ISPRS Journal of Photogrammetry and Remote Sensing, 65</w:t>
      </w:r>
      <w:r w:rsidRPr="00345127">
        <w:rPr>
          <w:rFonts w:cs="Times New Roman"/>
        </w:rPr>
        <w:t xml:space="preserve">(1), 2–16. </w:t>
      </w:r>
      <w:hyperlink r:id="rId25">
        <w:r w:rsidRPr="00345127">
          <w:rPr>
            <w:rStyle w:val="Hyperlink"/>
            <w:rFonts w:cs="Times New Roman"/>
            <w:color w:val="auto"/>
          </w:rPr>
          <w:t>https://doi.org/10.1016/j.isprsjprs.2009.06.004</w:t>
        </w:r>
      </w:hyperlink>
    </w:p>
    <w:p w14:paraId="3F2C5B97" w14:textId="77777777" w:rsidR="008D5566" w:rsidRPr="00345127" w:rsidRDefault="008D5566" w:rsidP="008D5566">
      <w:pPr>
        <w:pStyle w:val="BodyText"/>
        <w:numPr>
          <w:ilvl w:val="0"/>
          <w:numId w:val="7"/>
        </w:numPr>
        <w:jc w:val="both"/>
        <w:rPr>
          <w:rFonts w:cs="Times New Roman"/>
        </w:rPr>
      </w:pPr>
      <w:r w:rsidRPr="00345127">
        <w:rPr>
          <w:rFonts w:cs="Times New Roman"/>
        </w:rPr>
        <w:t xml:space="preserve">Goldstein, E. B., Coco, G., &amp; Plant, N. G. (2019). A review of machine learning applications to coastal sediment transport and </w:t>
      </w:r>
      <w:proofErr w:type="spellStart"/>
      <w:r w:rsidRPr="00345127">
        <w:rPr>
          <w:rFonts w:cs="Times New Roman"/>
        </w:rPr>
        <w:t>morphodynamics</w:t>
      </w:r>
      <w:proofErr w:type="spellEnd"/>
      <w:r w:rsidRPr="00345127">
        <w:rPr>
          <w:rFonts w:cs="Times New Roman"/>
        </w:rPr>
        <w:t xml:space="preserve">. </w:t>
      </w:r>
      <w:r w:rsidRPr="00345127">
        <w:rPr>
          <w:rFonts w:cs="Times New Roman"/>
          <w:i/>
          <w:iCs/>
        </w:rPr>
        <w:t>Earth-Science Reviews, 194</w:t>
      </w:r>
      <w:r w:rsidRPr="00345127">
        <w:rPr>
          <w:rFonts w:cs="Times New Roman"/>
        </w:rPr>
        <w:t xml:space="preserve">, 97–108. </w:t>
      </w:r>
      <w:hyperlink r:id="rId26">
        <w:r w:rsidRPr="00345127">
          <w:rPr>
            <w:rStyle w:val="Hyperlink"/>
            <w:rFonts w:cs="Times New Roman"/>
            <w:color w:val="auto"/>
          </w:rPr>
          <w:t>https://doi.org/10.1016/j.earscirev.2019.03.003</w:t>
        </w:r>
      </w:hyperlink>
    </w:p>
    <w:p w14:paraId="780F9002" w14:textId="77777777" w:rsidR="008D5566" w:rsidRPr="00345127" w:rsidRDefault="008D5566" w:rsidP="008D5566">
      <w:pPr>
        <w:pStyle w:val="BodyText"/>
        <w:numPr>
          <w:ilvl w:val="0"/>
          <w:numId w:val="7"/>
        </w:numPr>
        <w:jc w:val="both"/>
        <w:rPr>
          <w:rFonts w:cs="Times New Roman"/>
        </w:rPr>
      </w:pPr>
      <w:r w:rsidRPr="00345127">
        <w:rPr>
          <w:rFonts w:cs="Times New Roman"/>
        </w:rPr>
        <w:t xml:space="preserve">Lee, S. H., Hyun, C. U., &amp; Kim, S. B. (2024). Assessing sandbar morphology in the Nakdong River Estuary using SPOT series satellite imagery. </w:t>
      </w:r>
      <w:r w:rsidRPr="00345127">
        <w:rPr>
          <w:rFonts w:cs="Times New Roman"/>
          <w:i/>
          <w:iCs/>
        </w:rPr>
        <w:t xml:space="preserve">Marine </w:t>
      </w:r>
      <w:proofErr w:type="spellStart"/>
      <w:r w:rsidRPr="00345127">
        <w:rPr>
          <w:rFonts w:cs="Times New Roman"/>
          <w:i/>
          <w:iCs/>
        </w:rPr>
        <w:t>Georesources</w:t>
      </w:r>
      <w:proofErr w:type="spellEnd"/>
      <w:r w:rsidRPr="00345127">
        <w:rPr>
          <w:rFonts w:cs="Times New Roman"/>
          <w:i/>
          <w:iCs/>
        </w:rPr>
        <w:t xml:space="preserve"> &amp; </w:t>
      </w:r>
      <w:proofErr w:type="spellStart"/>
      <w:r w:rsidRPr="00345127">
        <w:rPr>
          <w:rFonts w:cs="Times New Roman"/>
          <w:i/>
          <w:iCs/>
        </w:rPr>
        <w:t>Geotechnology</w:t>
      </w:r>
      <w:proofErr w:type="spellEnd"/>
      <w:r w:rsidRPr="00345127">
        <w:rPr>
          <w:rFonts w:cs="Times New Roman"/>
        </w:rPr>
        <w:t xml:space="preserve">, 1–11. </w:t>
      </w:r>
      <w:hyperlink r:id="rId27">
        <w:r w:rsidRPr="00345127">
          <w:rPr>
            <w:rStyle w:val="Hyperlink"/>
            <w:rFonts w:cs="Times New Roman"/>
            <w:color w:val="auto"/>
          </w:rPr>
          <w:t>https://doi.org/10.1080/1064119X.2024.2378074</w:t>
        </w:r>
      </w:hyperlink>
    </w:p>
    <w:p w14:paraId="170C4849" w14:textId="560F42A4" w:rsidR="008D5566" w:rsidRPr="00345127" w:rsidRDefault="008D5566" w:rsidP="008D5566">
      <w:pPr>
        <w:pStyle w:val="BodyText"/>
        <w:numPr>
          <w:ilvl w:val="0"/>
          <w:numId w:val="7"/>
        </w:numPr>
        <w:jc w:val="both"/>
        <w:rPr>
          <w:rStyle w:val="Hyperlink"/>
          <w:rFonts w:cs="Times New Roman"/>
          <w:color w:val="auto"/>
        </w:rPr>
      </w:pPr>
      <w:proofErr w:type="spellStart"/>
      <w:r w:rsidRPr="00345127">
        <w:rPr>
          <w:rFonts w:cs="Times New Roman"/>
        </w:rPr>
        <w:t>Gijsman</w:t>
      </w:r>
      <w:proofErr w:type="spellEnd"/>
      <w:r w:rsidRPr="00345127">
        <w:rPr>
          <w:rFonts w:cs="Times New Roman"/>
        </w:rPr>
        <w:t xml:space="preserve">, R., </w:t>
      </w:r>
      <w:proofErr w:type="spellStart"/>
      <w:r w:rsidRPr="00345127">
        <w:rPr>
          <w:rFonts w:cs="Times New Roman"/>
        </w:rPr>
        <w:t>Ruessink</w:t>
      </w:r>
      <w:proofErr w:type="spellEnd"/>
      <w:r w:rsidRPr="00345127">
        <w:rPr>
          <w:rFonts w:cs="Times New Roman"/>
        </w:rPr>
        <w:t xml:space="preserve">, G., Visscher, J., &amp; </w:t>
      </w:r>
      <w:proofErr w:type="spellStart"/>
      <w:r w:rsidRPr="00345127">
        <w:rPr>
          <w:rFonts w:cs="Times New Roman"/>
        </w:rPr>
        <w:t>Schlurmann</w:t>
      </w:r>
      <w:proofErr w:type="spellEnd"/>
      <w:r w:rsidRPr="00345127">
        <w:rPr>
          <w:rFonts w:cs="Times New Roman"/>
        </w:rPr>
        <w:t xml:space="preserve">, T. (2020). Observations on decadal sandbar </w:t>
      </w:r>
      <w:proofErr w:type="spellStart"/>
      <w:r w:rsidRPr="00345127">
        <w:rPr>
          <w:rFonts w:cs="Times New Roman"/>
        </w:rPr>
        <w:t>behaviour</w:t>
      </w:r>
      <w:proofErr w:type="spellEnd"/>
      <w:r w:rsidRPr="00345127">
        <w:rPr>
          <w:rFonts w:cs="Times New Roman"/>
        </w:rPr>
        <w:t xml:space="preserve"> along a large-scale curved shoreline. </w:t>
      </w:r>
      <w:r w:rsidRPr="00345127">
        <w:rPr>
          <w:rFonts w:cs="Times New Roman"/>
          <w:i/>
          <w:iCs/>
        </w:rPr>
        <w:t>Earth Surface Processes and Landforms, 45</w:t>
      </w:r>
      <w:r w:rsidRPr="00345127">
        <w:rPr>
          <w:rFonts w:cs="Times New Roman"/>
        </w:rPr>
        <w:t xml:space="preserve">, 145–162. </w:t>
      </w:r>
      <w:hyperlink r:id="rId28">
        <w:r w:rsidRPr="00345127">
          <w:rPr>
            <w:rStyle w:val="Hyperlink"/>
            <w:rFonts w:cs="Times New Roman"/>
            <w:color w:val="auto"/>
          </w:rPr>
          <w:t>https://doi.org/10.1002/esp.5041</w:t>
        </w:r>
      </w:hyperlink>
    </w:p>
    <w:p w14:paraId="227C62EC" w14:textId="5FFEEE6C" w:rsidR="00295BFA" w:rsidRPr="00345127" w:rsidRDefault="00295BFA" w:rsidP="00295BFA">
      <w:pPr>
        <w:pStyle w:val="ListParagraph"/>
        <w:numPr>
          <w:ilvl w:val="0"/>
          <w:numId w:val="7"/>
        </w:numPr>
        <w:spacing w:line="360" w:lineRule="auto"/>
        <w:jc w:val="both"/>
        <w:rPr>
          <w:rFonts w:ascii="Times New Roman" w:hAnsi="Times New Roman" w:cs="Times New Roman"/>
        </w:rPr>
      </w:pPr>
      <w:r w:rsidRPr="00345127">
        <w:rPr>
          <w:rFonts w:ascii="Times New Roman" w:hAnsi="Times New Roman" w:cs="Times New Roman"/>
        </w:rPr>
        <w:t xml:space="preserve">Jonathan, L. E., &amp; Charles, A. U. (2025). Shoreline Erosion and Accretion Analysis of the </w:t>
      </w:r>
      <w:proofErr w:type="spellStart"/>
      <w:r w:rsidRPr="00345127">
        <w:rPr>
          <w:rFonts w:ascii="Times New Roman" w:hAnsi="Times New Roman" w:cs="Times New Roman"/>
        </w:rPr>
        <w:t>Orashi</w:t>
      </w:r>
      <w:proofErr w:type="spellEnd"/>
      <w:r w:rsidRPr="00345127">
        <w:rPr>
          <w:rFonts w:ascii="Times New Roman" w:hAnsi="Times New Roman" w:cs="Times New Roman"/>
        </w:rPr>
        <w:t xml:space="preserve"> River, Rivers State, Nigeria: A Geospatial and Machine Learning Approach. </w:t>
      </w:r>
      <w:r w:rsidRPr="00345127">
        <w:rPr>
          <w:rFonts w:ascii="Times New Roman" w:hAnsi="Times New Roman" w:cs="Times New Roman"/>
          <w:iCs/>
        </w:rPr>
        <w:t>Asian Journal of Geographical Research</w:t>
      </w:r>
      <w:r w:rsidRPr="00345127">
        <w:rPr>
          <w:rFonts w:ascii="Times New Roman" w:hAnsi="Times New Roman" w:cs="Times New Roman"/>
        </w:rPr>
        <w:t xml:space="preserve">, </w:t>
      </w:r>
      <w:r w:rsidRPr="00345127">
        <w:rPr>
          <w:rFonts w:ascii="Times New Roman" w:hAnsi="Times New Roman" w:cs="Times New Roman"/>
          <w:iCs/>
        </w:rPr>
        <w:t>8</w:t>
      </w:r>
      <w:r w:rsidRPr="00345127">
        <w:rPr>
          <w:rFonts w:ascii="Times New Roman" w:hAnsi="Times New Roman" w:cs="Times New Roman"/>
        </w:rPr>
        <w:t xml:space="preserve">(2), 27–44. </w:t>
      </w:r>
      <w:hyperlink r:id="rId29" w:history="1">
        <w:r w:rsidRPr="00345127">
          <w:rPr>
            <w:rStyle w:val="Hyperlink"/>
            <w:rFonts w:ascii="Times New Roman" w:hAnsi="Times New Roman" w:cs="Times New Roman"/>
            <w:color w:val="auto"/>
          </w:rPr>
          <w:t>https://doi.org/10.9734/ajgr/2025/v8i2260</w:t>
        </w:r>
      </w:hyperlink>
    </w:p>
    <w:p w14:paraId="55B0F3DA" w14:textId="06ADADBD" w:rsidR="008D5566" w:rsidRPr="00345127" w:rsidRDefault="008D5566" w:rsidP="008D5566">
      <w:pPr>
        <w:pStyle w:val="BodyText"/>
        <w:numPr>
          <w:ilvl w:val="0"/>
          <w:numId w:val="7"/>
        </w:numPr>
        <w:jc w:val="both"/>
        <w:rPr>
          <w:rStyle w:val="Hyperlink"/>
          <w:rFonts w:cs="Times New Roman"/>
          <w:color w:val="auto"/>
        </w:rPr>
      </w:pPr>
      <w:r w:rsidRPr="00345127">
        <w:rPr>
          <w:rFonts w:cs="Times New Roman"/>
          <w:lang w:val="it-IT"/>
        </w:rPr>
        <w:t xml:space="preserve">Ferreira, A. M., Coelho, C., &amp; Silva, P. A. (2024). </w:t>
      </w:r>
      <w:r w:rsidRPr="00345127">
        <w:rPr>
          <w:rFonts w:cs="Times New Roman"/>
        </w:rPr>
        <w:t xml:space="preserve">Numerical evaluation of the impact of sandbars on cross-shore sediment transport and shoreline evolution. </w:t>
      </w:r>
      <w:r w:rsidRPr="00345127">
        <w:rPr>
          <w:rFonts w:cs="Times New Roman"/>
          <w:i/>
          <w:iCs/>
        </w:rPr>
        <w:t>Journal of Environmental Management, 370</w:t>
      </w:r>
      <w:r w:rsidRPr="00345127">
        <w:rPr>
          <w:rFonts w:cs="Times New Roman"/>
        </w:rPr>
        <w:t xml:space="preserve">, 122835. </w:t>
      </w:r>
      <w:hyperlink r:id="rId30">
        <w:r w:rsidRPr="00345127">
          <w:rPr>
            <w:rStyle w:val="Hyperlink"/>
            <w:rFonts w:cs="Times New Roman"/>
            <w:color w:val="auto"/>
          </w:rPr>
          <w:t>https://doi.org/10.1016/j.jenvman.2024.122835</w:t>
        </w:r>
      </w:hyperlink>
    </w:p>
    <w:p w14:paraId="4FEEE461" w14:textId="4073FAC9" w:rsidR="003B7535" w:rsidRPr="00345127" w:rsidRDefault="003B7535" w:rsidP="003B7535">
      <w:pPr>
        <w:pStyle w:val="BodyText"/>
        <w:numPr>
          <w:ilvl w:val="0"/>
          <w:numId w:val="7"/>
        </w:numPr>
        <w:jc w:val="both"/>
        <w:rPr>
          <w:rFonts w:cs="Times New Roman"/>
        </w:rPr>
      </w:pPr>
      <w:r w:rsidRPr="00345127">
        <w:rPr>
          <w:rFonts w:cs="Times New Roman"/>
        </w:rPr>
        <w:lastRenderedPageBreak/>
        <w:t xml:space="preserve">Folk, R. L., &amp; Ward, W. C. (1957). Brazos River bar: A study in the significance of grain size parameters. </w:t>
      </w:r>
      <w:r w:rsidRPr="00345127">
        <w:rPr>
          <w:rFonts w:cs="Times New Roman"/>
          <w:i/>
          <w:iCs/>
        </w:rPr>
        <w:t>Journal of Sedimentary Research, 27</w:t>
      </w:r>
      <w:r w:rsidRPr="00345127">
        <w:rPr>
          <w:rFonts w:cs="Times New Roman"/>
        </w:rPr>
        <w:t>(1), 3–26.</w:t>
      </w:r>
    </w:p>
    <w:p w14:paraId="3B2C089D" w14:textId="77777777" w:rsidR="00611C9C" w:rsidRPr="00345127" w:rsidRDefault="00611C9C" w:rsidP="00611C9C">
      <w:pPr>
        <w:pStyle w:val="BodyText"/>
        <w:numPr>
          <w:ilvl w:val="0"/>
          <w:numId w:val="7"/>
        </w:numPr>
        <w:jc w:val="both"/>
        <w:rPr>
          <w:rFonts w:cs="Times New Roman"/>
        </w:rPr>
      </w:pPr>
      <w:proofErr w:type="spellStart"/>
      <w:r w:rsidRPr="00345127">
        <w:rPr>
          <w:rFonts w:cs="Times New Roman"/>
        </w:rPr>
        <w:t>Etu-Efeotor</w:t>
      </w:r>
      <w:proofErr w:type="spellEnd"/>
      <w:r w:rsidRPr="00345127">
        <w:rPr>
          <w:rFonts w:cs="Times New Roman"/>
        </w:rPr>
        <w:t xml:space="preserve">, J. O., &amp; </w:t>
      </w:r>
      <w:proofErr w:type="spellStart"/>
      <w:r w:rsidRPr="00345127">
        <w:rPr>
          <w:rFonts w:cs="Times New Roman"/>
        </w:rPr>
        <w:t>Odigi</w:t>
      </w:r>
      <w:proofErr w:type="spellEnd"/>
      <w:r w:rsidRPr="00345127">
        <w:rPr>
          <w:rFonts w:cs="Times New Roman"/>
        </w:rPr>
        <w:t xml:space="preserve">, M. I. (1983). Water supply problems in the Eastern Niger Delta. </w:t>
      </w:r>
      <w:r w:rsidRPr="00345127">
        <w:rPr>
          <w:rFonts w:cs="Times New Roman"/>
          <w:i/>
          <w:iCs/>
        </w:rPr>
        <w:t>Journal of Mining and Geology, 20</w:t>
      </w:r>
      <w:r w:rsidRPr="00345127">
        <w:rPr>
          <w:rFonts w:cs="Times New Roman"/>
        </w:rPr>
        <w:t>(1–2), 183–193.</w:t>
      </w:r>
    </w:p>
    <w:p w14:paraId="14ED6015" w14:textId="36F1B9E2" w:rsidR="00611C9C" w:rsidRPr="00345127" w:rsidRDefault="00611C9C" w:rsidP="00611C9C">
      <w:pPr>
        <w:pStyle w:val="BodyText"/>
        <w:numPr>
          <w:ilvl w:val="0"/>
          <w:numId w:val="7"/>
        </w:numPr>
        <w:jc w:val="both"/>
        <w:rPr>
          <w:rFonts w:cs="Times New Roman"/>
        </w:rPr>
      </w:pPr>
      <w:r w:rsidRPr="00345127">
        <w:rPr>
          <w:rFonts w:cs="Times New Roman"/>
        </w:rPr>
        <w:t xml:space="preserve">Short, K. C., &amp; Stauble, A. J. (1967). Outline geology of the Niger Delta. </w:t>
      </w:r>
      <w:r w:rsidRPr="00345127">
        <w:rPr>
          <w:rFonts w:cs="Times New Roman"/>
          <w:i/>
          <w:iCs/>
        </w:rPr>
        <w:t>AAPG Bulletin, 51</w:t>
      </w:r>
      <w:r w:rsidRPr="00345127">
        <w:rPr>
          <w:rFonts w:cs="Times New Roman"/>
        </w:rPr>
        <w:t>(5), 761–779.</w:t>
      </w:r>
    </w:p>
    <w:p w14:paraId="7274E55F" w14:textId="38F9BDC6" w:rsidR="003F29C2" w:rsidRPr="00345127" w:rsidRDefault="003F29C2" w:rsidP="00611C9C">
      <w:pPr>
        <w:pStyle w:val="BodyText"/>
        <w:numPr>
          <w:ilvl w:val="0"/>
          <w:numId w:val="7"/>
        </w:numPr>
        <w:jc w:val="both"/>
        <w:rPr>
          <w:rFonts w:cs="Times New Roman"/>
        </w:rPr>
      </w:pPr>
      <w:r w:rsidRPr="00345127">
        <w:rPr>
          <w:lang w:val="it-IT"/>
        </w:rPr>
        <w:t>Bamiekumo, B. P., Akpobome, E. O., Kemebaradikumo, A. N., Mene</w:t>
      </w:r>
      <w:r w:rsidRPr="00345127">
        <w:rPr>
          <w:lang w:val="it-IT"/>
        </w:rPr>
        <w:noBreakHyphen/>
        <w:t xml:space="preserve">Ejegi, O. O., &amp; Eteh, D. R. (2025). </w:t>
      </w:r>
      <w:r w:rsidRPr="00345127">
        <w:t>Machine learning-based flood extent mapping and damage assessment in Yenagoa, Bayelsa State, using Sentinel</w:t>
      </w:r>
      <w:r w:rsidRPr="00345127">
        <w:noBreakHyphen/>
        <w:t xml:space="preserve">1 and </w:t>
      </w:r>
      <w:r w:rsidRPr="00345127">
        <w:noBreakHyphen/>
        <w:t xml:space="preserve">2 imagery (2018–2022). </w:t>
      </w:r>
      <w:r w:rsidRPr="00345127">
        <w:rPr>
          <w:rStyle w:val="Emphasis"/>
        </w:rPr>
        <w:t>Discovery Nature, 2</w:t>
      </w:r>
      <w:r w:rsidRPr="00345127">
        <w:t xml:space="preserve">(3), e2dn1041. </w:t>
      </w:r>
      <w:hyperlink r:id="rId31" w:tgtFrame="_new" w:history="1">
        <w:r w:rsidRPr="00345127">
          <w:rPr>
            <w:rStyle w:val="Hyperlink"/>
            <w:color w:val="auto"/>
          </w:rPr>
          <w:t>https://doi.org/10.54905/disssi.v2i3.e2dn1041</w:t>
        </w:r>
      </w:hyperlink>
    </w:p>
    <w:p w14:paraId="50F7EA95" w14:textId="77777777" w:rsidR="0072128A" w:rsidRPr="00345127" w:rsidRDefault="0072128A" w:rsidP="0072128A">
      <w:pPr>
        <w:pStyle w:val="BodyText"/>
        <w:numPr>
          <w:ilvl w:val="0"/>
          <w:numId w:val="7"/>
        </w:numPr>
        <w:jc w:val="both"/>
        <w:rPr>
          <w:rFonts w:cs="Times New Roman"/>
        </w:rPr>
      </w:pPr>
      <w:r w:rsidRPr="00345127">
        <w:rPr>
          <w:rFonts w:cs="Times New Roman"/>
        </w:rPr>
        <w:t xml:space="preserve">Weber, K. J., &amp; </w:t>
      </w:r>
      <w:proofErr w:type="spellStart"/>
      <w:r w:rsidRPr="00345127">
        <w:rPr>
          <w:rFonts w:cs="Times New Roman"/>
        </w:rPr>
        <w:t>Daukoru</w:t>
      </w:r>
      <w:proofErr w:type="spellEnd"/>
      <w:r w:rsidRPr="00345127">
        <w:rPr>
          <w:rFonts w:cs="Times New Roman"/>
        </w:rPr>
        <w:t xml:space="preserve">, E. M. (1975). Petroleum geology of the Niger Delta. In </w:t>
      </w:r>
      <w:r w:rsidRPr="00345127">
        <w:rPr>
          <w:rFonts w:cs="Times New Roman"/>
          <w:i/>
          <w:iCs/>
        </w:rPr>
        <w:t>Proceedings of the 9th World Petroleum Congress</w:t>
      </w:r>
      <w:r w:rsidRPr="00345127">
        <w:rPr>
          <w:rFonts w:cs="Times New Roman"/>
        </w:rPr>
        <w:t xml:space="preserve"> (Vol. 2, pp. 210–221). Applied Science Publishers.</w:t>
      </w:r>
    </w:p>
    <w:p w14:paraId="62323631" w14:textId="5B647967" w:rsidR="0072128A" w:rsidRPr="00345127" w:rsidRDefault="0072128A" w:rsidP="0072128A">
      <w:pPr>
        <w:pStyle w:val="BodyText"/>
        <w:numPr>
          <w:ilvl w:val="0"/>
          <w:numId w:val="7"/>
        </w:numPr>
        <w:jc w:val="both"/>
        <w:rPr>
          <w:rFonts w:cs="Times New Roman"/>
        </w:rPr>
      </w:pPr>
      <w:proofErr w:type="spellStart"/>
      <w:r w:rsidRPr="00345127">
        <w:rPr>
          <w:rFonts w:cs="Times New Roman"/>
        </w:rPr>
        <w:t>Etu-Efeotor</w:t>
      </w:r>
      <w:proofErr w:type="spellEnd"/>
      <w:r w:rsidRPr="00345127">
        <w:rPr>
          <w:rFonts w:cs="Times New Roman"/>
        </w:rPr>
        <w:t xml:space="preserve">, J. O., &amp; Akpokodje, E. G. (1990). Aquifer systems of the Niger Delta. </w:t>
      </w:r>
      <w:r w:rsidRPr="00345127">
        <w:rPr>
          <w:rFonts w:cs="Times New Roman"/>
          <w:i/>
          <w:iCs/>
        </w:rPr>
        <w:t>Journal of Mining and Geology, 26</w:t>
      </w:r>
      <w:r w:rsidRPr="00345127">
        <w:rPr>
          <w:rFonts w:cs="Times New Roman"/>
        </w:rPr>
        <w:t>(2), 279–285</w:t>
      </w:r>
    </w:p>
    <w:p w14:paraId="3892515D" w14:textId="60483AAB" w:rsidR="00FF3F84" w:rsidRPr="00345127" w:rsidRDefault="00FF3F84" w:rsidP="0072128A">
      <w:pPr>
        <w:pStyle w:val="BodyText"/>
        <w:numPr>
          <w:ilvl w:val="0"/>
          <w:numId w:val="7"/>
        </w:numPr>
        <w:jc w:val="both"/>
        <w:rPr>
          <w:rFonts w:cs="Times New Roman"/>
        </w:rPr>
      </w:pPr>
      <w:r w:rsidRPr="00345127">
        <w:rPr>
          <w:rFonts w:cs="Times New Roman"/>
        </w:rPr>
        <w:t xml:space="preserve">Abaye, E. O., </w:t>
      </w:r>
      <w:proofErr w:type="spellStart"/>
      <w:r w:rsidRPr="00345127">
        <w:rPr>
          <w:rFonts w:cs="Times New Roman"/>
        </w:rPr>
        <w:t>Ayowei</w:t>
      </w:r>
      <w:proofErr w:type="spellEnd"/>
      <w:r w:rsidRPr="00345127">
        <w:rPr>
          <w:rFonts w:cs="Times New Roman"/>
        </w:rPr>
        <w:t xml:space="preserve">, A. H., </w:t>
      </w:r>
      <w:proofErr w:type="spellStart"/>
      <w:r w:rsidRPr="00345127">
        <w:rPr>
          <w:rFonts w:cs="Times New Roman"/>
        </w:rPr>
        <w:t>Akajiaku</w:t>
      </w:r>
      <w:proofErr w:type="spellEnd"/>
      <w:r w:rsidRPr="00345127">
        <w:rPr>
          <w:rFonts w:cs="Times New Roman"/>
        </w:rPr>
        <w:t xml:space="preserve">, U. C., &amp; </w:t>
      </w:r>
      <w:proofErr w:type="spellStart"/>
      <w:r w:rsidRPr="00345127">
        <w:rPr>
          <w:rFonts w:cs="Times New Roman"/>
        </w:rPr>
        <w:t>Eteh</w:t>
      </w:r>
      <w:proofErr w:type="spellEnd"/>
      <w:r w:rsidRPr="00345127">
        <w:rPr>
          <w:rFonts w:cs="Times New Roman"/>
        </w:rPr>
        <w:t xml:space="preserve">, D. R. (2022). Implication of landscape changes using Google Earth historical imagery in Yenagoa, Bayelsa State, Nigeria. </w:t>
      </w:r>
      <w:proofErr w:type="spellStart"/>
      <w:r w:rsidRPr="00345127">
        <w:rPr>
          <w:rFonts w:cs="Times New Roman"/>
          <w:i/>
          <w:iCs/>
        </w:rPr>
        <w:t>Sumerianz</w:t>
      </w:r>
      <w:proofErr w:type="spellEnd"/>
      <w:r w:rsidRPr="00345127">
        <w:rPr>
          <w:rFonts w:cs="Times New Roman"/>
          <w:i/>
          <w:iCs/>
        </w:rPr>
        <w:t xml:space="preserve"> Journal of Scientific Research, 5</w:t>
      </w:r>
      <w:r w:rsidRPr="00345127">
        <w:rPr>
          <w:rFonts w:cs="Times New Roman"/>
        </w:rPr>
        <w:t>(1), 20–31</w:t>
      </w:r>
    </w:p>
    <w:p w14:paraId="20C51051" w14:textId="6AC49821" w:rsidR="00DE7615" w:rsidRPr="00345127" w:rsidRDefault="00DE7615" w:rsidP="00DE7615">
      <w:pPr>
        <w:pStyle w:val="BodyText"/>
        <w:numPr>
          <w:ilvl w:val="0"/>
          <w:numId w:val="7"/>
        </w:numPr>
        <w:jc w:val="both"/>
        <w:rPr>
          <w:rFonts w:cs="Times New Roman"/>
        </w:rPr>
      </w:pPr>
      <w:r w:rsidRPr="00345127">
        <w:rPr>
          <w:rFonts w:cs="Times New Roman"/>
        </w:rPr>
        <w:t xml:space="preserve"> </w:t>
      </w:r>
      <w:proofErr w:type="spellStart"/>
      <w:r w:rsidRPr="00345127">
        <w:rPr>
          <w:rFonts w:cs="Times New Roman"/>
        </w:rPr>
        <w:t>Okes</w:t>
      </w:r>
      <w:proofErr w:type="spellEnd"/>
      <w:r w:rsidRPr="00345127">
        <w:rPr>
          <w:rFonts w:cs="Times New Roman"/>
        </w:rPr>
        <w:t xml:space="preserve">, and </w:t>
      </w:r>
      <w:proofErr w:type="spellStart"/>
      <w:r w:rsidRPr="00345127">
        <w:rPr>
          <w:rFonts w:cs="Times New Roman"/>
        </w:rPr>
        <w:t>Erebi</w:t>
      </w:r>
      <w:proofErr w:type="spellEnd"/>
      <w:r w:rsidRPr="00345127">
        <w:rPr>
          <w:rFonts w:cs="Times New Roman"/>
        </w:rPr>
        <w:t xml:space="preserve"> Lisa Jonathan. (2025). “Data-Driven Assessment of Soil Heavy Metal Contamination in </w:t>
      </w:r>
      <w:proofErr w:type="spellStart"/>
      <w:r w:rsidRPr="00345127">
        <w:rPr>
          <w:rFonts w:cs="Times New Roman"/>
        </w:rPr>
        <w:t>Joinkrama</w:t>
      </w:r>
      <w:proofErr w:type="spellEnd"/>
      <w:r w:rsidRPr="00345127">
        <w:rPr>
          <w:rFonts w:cs="Times New Roman"/>
        </w:rPr>
        <w:t>, Rivers State, Nigeria Using Pollution Indices and Multivariate Analytics”. </w:t>
      </w:r>
      <w:r w:rsidRPr="00345127">
        <w:rPr>
          <w:rFonts w:cs="Times New Roman"/>
          <w:i/>
          <w:iCs/>
        </w:rPr>
        <w:t>Journal of Materials Science Research and Reviews</w:t>
      </w:r>
      <w:r w:rsidRPr="00345127">
        <w:rPr>
          <w:rFonts w:cs="Times New Roman"/>
        </w:rPr>
        <w:t> 8 (3):628-43. https://doi.org/10.9734/jmsrr/2025/v8i3429.</w:t>
      </w:r>
    </w:p>
    <w:p w14:paraId="6FA7B5D5" w14:textId="77777777" w:rsidR="00295BFA" w:rsidRPr="00345127" w:rsidRDefault="00295BFA" w:rsidP="00295BFA">
      <w:pPr>
        <w:pStyle w:val="ListParagraph"/>
        <w:numPr>
          <w:ilvl w:val="0"/>
          <w:numId w:val="7"/>
        </w:numPr>
        <w:spacing w:line="360" w:lineRule="auto"/>
        <w:jc w:val="both"/>
        <w:rPr>
          <w:rStyle w:val="Hyperlink"/>
          <w:rFonts w:ascii="Times New Roman" w:hAnsi="Times New Roman" w:cs="Times New Roman"/>
          <w:color w:val="auto"/>
        </w:rPr>
      </w:pPr>
      <w:r w:rsidRPr="00345127">
        <w:rPr>
          <w:rFonts w:ascii="Times New Roman" w:hAnsi="Times New Roman" w:cs="Times New Roman"/>
        </w:rPr>
        <w:t xml:space="preserve">Jonathan, L. E., Winston, A. G., &amp; Chukwuemeka, P. (2025). Machine learning and morphometric analysis for runoff dynamics: Enhancing flood management and catchment prioritization in Bayelsa, Nigeria. </w:t>
      </w:r>
      <w:r w:rsidRPr="00345127">
        <w:rPr>
          <w:rStyle w:val="Emphasis"/>
          <w:rFonts w:ascii="Times New Roman" w:hAnsi="Times New Roman" w:cs="Times New Roman"/>
        </w:rPr>
        <w:t>Journal of Computational Systems and Applications, 2</w:t>
      </w:r>
      <w:r w:rsidRPr="00345127">
        <w:rPr>
          <w:rFonts w:ascii="Times New Roman" w:hAnsi="Times New Roman" w:cs="Times New Roman"/>
        </w:rPr>
        <w:t xml:space="preserve">(2), 1–16. </w:t>
      </w:r>
      <w:hyperlink r:id="rId32" w:tgtFrame="_new" w:history="1">
        <w:r w:rsidRPr="00345127">
          <w:rPr>
            <w:rStyle w:val="Hyperlink"/>
            <w:rFonts w:ascii="Times New Roman" w:hAnsi="Times New Roman" w:cs="Times New Roman"/>
            <w:color w:val="auto"/>
          </w:rPr>
          <w:t>https://doi.org/10.63623/kkx1m906</w:t>
        </w:r>
      </w:hyperlink>
    </w:p>
    <w:p w14:paraId="1D9252EB" w14:textId="77777777" w:rsidR="00295BFA" w:rsidRPr="00345127" w:rsidRDefault="00295BFA" w:rsidP="00295BFA">
      <w:pPr>
        <w:pStyle w:val="BodyText"/>
        <w:numPr>
          <w:ilvl w:val="0"/>
          <w:numId w:val="7"/>
        </w:numPr>
        <w:jc w:val="both"/>
        <w:rPr>
          <w:rFonts w:cs="Times New Roman"/>
        </w:rPr>
      </w:pPr>
      <w:r w:rsidRPr="00345127">
        <w:rPr>
          <w:rFonts w:cs="Times New Roman"/>
          <w:lang w:val="it-IT"/>
        </w:rPr>
        <w:t xml:space="preserve">Gupta, H., Kao, S. J., &amp; Dai, M. (2012). </w:t>
      </w:r>
      <w:r w:rsidRPr="00345127">
        <w:rPr>
          <w:rFonts w:cs="Times New Roman"/>
        </w:rPr>
        <w:t xml:space="preserve">The role of mega dams in reducing sediment fluxes: A case study of large Asian rivers. </w:t>
      </w:r>
      <w:r w:rsidRPr="00345127">
        <w:rPr>
          <w:rFonts w:cs="Times New Roman"/>
          <w:i/>
          <w:iCs/>
        </w:rPr>
        <w:t>Journal of Hydrology, 464</w:t>
      </w:r>
      <w:r w:rsidRPr="00345127">
        <w:rPr>
          <w:rFonts w:cs="Times New Roman"/>
        </w:rPr>
        <w:t>, 447–458.</w:t>
      </w:r>
    </w:p>
    <w:p w14:paraId="590209AE" w14:textId="77777777" w:rsidR="00295BFA" w:rsidRPr="00345127" w:rsidRDefault="00295BFA" w:rsidP="00295BFA">
      <w:pPr>
        <w:pStyle w:val="BodyText"/>
        <w:numPr>
          <w:ilvl w:val="0"/>
          <w:numId w:val="7"/>
        </w:numPr>
        <w:jc w:val="both"/>
        <w:rPr>
          <w:rFonts w:cs="Times New Roman"/>
        </w:rPr>
      </w:pPr>
      <w:r w:rsidRPr="00345127">
        <w:rPr>
          <w:rFonts w:cs="Times New Roman"/>
          <w:lang w:val="it-IT"/>
        </w:rPr>
        <w:t xml:space="preserve">Badilla, M. J. G., Pabatang, S. J. T., Norberte, D. R., Mercado, R. L., Bulay, M. L., &amp; Berame, J. S. (2023). </w:t>
      </w:r>
      <w:r w:rsidRPr="00345127">
        <w:rPr>
          <w:rFonts w:cs="Times New Roman"/>
        </w:rPr>
        <w:t xml:space="preserve">Diversity index of species in sandbar present in estuarine ecosystem of Agusan River, Philippines: Its threat, management and conservation. </w:t>
      </w:r>
      <w:r w:rsidRPr="00345127">
        <w:rPr>
          <w:rFonts w:cs="Times New Roman"/>
          <w:i/>
          <w:iCs/>
        </w:rPr>
        <w:t>International Journal of Biology, 23</w:t>
      </w:r>
      <w:r w:rsidRPr="00345127">
        <w:rPr>
          <w:rFonts w:cs="Times New Roman"/>
        </w:rPr>
        <w:t>(2), 47–59.</w:t>
      </w:r>
    </w:p>
    <w:p w14:paraId="1E0AD450" w14:textId="41BFADEC" w:rsidR="00295BFA" w:rsidRPr="00345127" w:rsidRDefault="00295BFA" w:rsidP="00295BFA">
      <w:pPr>
        <w:pStyle w:val="ListParagraph"/>
        <w:numPr>
          <w:ilvl w:val="0"/>
          <w:numId w:val="7"/>
        </w:numPr>
        <w:spacing w:line="360" w:lineRule="auto"/>
        <w:jc w:val="both"/>
        <w:rPr>
          <w:rFonts w:ascii="Times New Roman" w:hAnsi="Times New Roman" w:cs="Times New Roman"/>
        </w:rPr>
      </w:pPr>
      <w:r w:rsidRPr="00345127">
        <w:rPr>
          <w:rFonts w:ascii="Times New Roman" w:hAnsi="Times New Roman" w:cs="Times New Roman"/>
        </w:rPr>
        <w:t xml:space="preserve">Jonathan EL, </w:t>
      </w:r>
      <w:proofErr w:type="spellStart"/>
      <w:r w:rsidRPr="00345127">
        <w:rPr>
          <w:rFonts w:ascii="Times New Roman" w:hAnsi="Times New Roman" w:cs="Times New Roman"/>
        </w:rPr>
        <w:t>Imoni</w:t>
      </w:r>
      <w:proofErr w:type="spellEnd"/>
      <w:r w:rsidRPr="00345127">
        <w:rPr>
          <w:rFonts w:ascii="Times New Roman" w:hAnsi="Times New Roman" w:cs="Times New Roman"/>
        </w:rPr>
        <w:t xml:space="preserve"> O, Chukwuemeka P, </w:t>
      </w:r>
      <w:proofErr w:type="spellStart"/>
      <w:r w:rsidRPr="00345127">
        <w:rPr>
          <w:rFonts w:ascii="Times New Roman" w:hAnsi="Times New Roman" w:cs="Times New Roman"/>
        </w:rPr>
        <w:t>Eteh</w:t>
      </w:r>
      <w:proofErr w:type="spellEnd"/>
      <w:r w:rsidRPr="00345127">
        <w:rPr>
          <w:rFonts w:ascii="Times New Roman" w:hAnsi="Times New Roman" w:cs="Times New Roman"/>
        </w:rPr>
        <w:t xml:space="preserve"> </w:t>
      </w:r>
      <w:r w:rsidR="003B7535" w:rsidRPr="00345127">
        <w:rPr>
          <w:rFonts w:ascii="Times New Roman" w:hAnsi="Times New Roman" w:cs="Times New Roman"/>
        </w:rPr>
        <w:t>DR. (</w:t>
      </w:r>
      <w:r w:rsidRPr="00345127">
        <w:rPr>
          <w:rFonts w:ascii="Times New Roman" w:hAnsi="Times New Roman" w:cs="Times New Roman"/>
        </w:rPr>
        <w:t xml:space="preserve">2025) Impact of oil spills on mangrove ecosystem degradation in the Niger Delta using remote sensing and machine learning. Journal of Geography and Cartography. 2025; 8(2): 11707. </w:t>
      </w:r>
      <w:hyperlink r:id="rId33" w:history="1">
        <w:r w:rsidRPr="00345127">
          <w:rPr>
            <w:rStyle w:val="Hyperlink"/>
            <w:rFonts w:ascii="Times New Roman" w:hAnsi="Times New Roman" w:cs="Times New Roman"/>
            <w:color w:val="auto"/>
          </w:rPr>
          <w:t>https://doi.org/10.24294/jgc11707</w:t>
        </w:r>
      </w:hyperlink>
    </w:p>
    <w:p w14:paraId="2D7B25D3" w14:textId="1C915103" w:rsidR="0072128A" w:rsidRPr="00345127" w:rsidRDefault="003B7535" w:rsidP="0072128A">
      <w:pPr>
        <w:pStyle w:val="BodyText"/>
        <w:numPr>
          <w:ilvl w:val="0"/>
          <w:numId w:val="7"/>
        </w:numPr>
        <w:jc w:val="both"/>
        <w:rPr>
          <w:rFonts w:cs="Times New Roman"/>
        </w:rPr>
      </w:pPr>
      <w:r w:rsidRPr="00345127">
        <w:rPr>
          <w:rFonts w:cs="Times New Roman"/>
        </w:rPr>
        <w:lastRenderedPageBreak/>
        <w:t>McFeeters, S. K. (1996). The use of the Normalized Difference Water Index (NDWI) in the delineation of open water features. International Journal of Remote Sensing, 17(7), 1425–1432. https://doi.org/10.1080/01431169608948714</w:t>
      </w:r>
    </w:p>
    <w:p w14:paraId="7B233D76" w14:textId="6D4FCE69" w:rsidR="003B7535" w:rsidRPr="00345127" w:rsidRDefault="003B7535" w:rsidP="003B7535">
      <w:pPr>
        <w:pStyle w:val="BodyText"/>
        <w:numPr>
          <w:ilvl w:val="0"/>
          <w:numId w:val="7"/>
        </w:numPr>
        <w:jc w:val="both"/>
        <w:rPr>
          <w:rFonts w:cs="Times New Roman"/>
        </w:rPr>
      </w:pPr>
      <w:r w:rsidRPr="00345127">
        <w:rPr>
          <w:rFonts w:cs="Times New Roman"/>
        </w:rPr>
        <w:t xml:space="preserve">Baatz, M., &amp; </w:t>
      </w:r>
      <w:proofErr w:type="spellStart"/>
      <w:r w:rsidRPr="00345127">
        <w:rPr>
          <w:rFonts w:cs="Times New Roman"/>
        </w:rPr>
        <w:t>Schape</w:t>
      </w:r>
      <w:proofErr w:type="spellEnd"/>
      <w:r w:rsidRPr="00345127">
        <w:rPr>
          <w:rFonts w:cs="Times New Roman"/>
        </w:rPr>
        <w:t xml:space="preserve">, A. (2000). Multiresolution segmentation: An optimization approach for high quality multi-scale image segmentation. In J. Strobl, T. Blaschke, &amp; G. </w:t>
      </w:r>
      <w:proofErr w:type="spellStart"/>
      <w:r w:rsidRPr="00345127">
        <w:rPr>
          <w:rFonts w:cs="Times New Roman"/>
        </w:rPr>
        <w:t>Griesbner</w:t>
      </w:r>
      <w:proofErr w:type="spellEnd"/>
      <w:r w:rsidRPr="00345127">
        <w:rPr>
          <w:rFonts w:cs="Times New Roman"/>
        </w:rPr>
        <w:t xml:space="preserve"> (Eds.), </w:t>
      </w:r>
      <w:proofErr w:type="spellStart"/>
      <w:r w:rsidRPr="00345127">
        <w:rPr>
          <w:rFonts w:cs="Times New Roman"/>
          <w:i/>
          <w:iCs/>
        </w:rPr>
        <w:t>Angewandte</w:t>
      </w:r>
      <w:proofErr w:type="spellEnd"/>
      <w:r w:rsidRPr="00345127">
        <w:rPr>
          <w:rFonts w:cs="Times New Roman"/>
          <w:i/>
          <w:iCs/>
        </w:rPr>
        <w:t xml:space="preserve"> </w:t>
      </w:r>
      <w:proofErr w:type="spellStart"/>
      <w:r w:rsidRPr="00345127">
        <w:rPr>
          <w:rFonts w:cs="Times New Roman"/>
          <w:i/>
          <w:iCs/>
        </w:rPr>
        <w:t>Geographische</w:t>
      </w:r>
      <w:proofErr w:type="spellEnd"/>
      <w:r w:rsidRPr="00345127">
        <w:rPr>
          <w:rFonts w:cs="Times New Roman"/>
          <w:i/>
          <w:iCs/>
        </w:rPr>
        <w:t xml:space="preserve"> </w:t>
      </w:r>
      <w:proofErr w:type="spellStart"/>
      <w:r w:rsidRPr="00345127">
        <w:rPr>
          <w:rFonts w:cs="Times New Roman"/>
          <w:i/>
          <w:iCs/>
        </w:rPr>
        <w:t>Informations-Verarbeitung</w:t>
      </w:r>
      <w:proofErr w:type="spellEnd"/>
      <w:r w:rsidRPr="00345127">
        <w:rPr>
          <w:rFonts w:cs="Times New Roman"/>
          <w:i/>
          <w:iCs/>
        </w:rPr>
        <w:t xml:space="preserve"> XII</w:t>
      </w:r>
      <w:r w:rsidRPr="00345127">
        <w:rPr>
          <w:rFonts w:cs="Times New Roman"/>
        </w:rPr>
        <w:t xml:space="preserve"> (pp. 12–23). Wichmann Verlag.</w:t>
      </w:r>
    </w:p>
    <w:p w14:paraId="28429CBD" w14:textId="77777777" w:rsidR="000D7EB9" w:rsidRPr="00345127" w:rsidRDefault="000D7EB9" w:rsidP="000D7EB9">
      <w:pPr>
        <w:pStyle w:val="BodyText"/>
        <w:numPr>
          <w:ilvl w:val="0"/>
          <w:numId w:val="7"/>
        </w:numPr>
        <w:jc w:val="both"/>
        <w:rPr>
          <w:rFonts w:cs="Times New Roman"/>
        </w:rPr>
      </w:pPr>
      <w:r w:rsidRPr="00345127">
        <w:rPr>
          <w:rFonts w:cs="Times New Roman"/>
        </w:rPr>
        <w:t xml:space="preserve">Leuven, J., Haas, T., Braat, L., &amp; Kleinhans, M. G. (2018). Topographic forcing of tidal sandbar patterns for irregular estuary planforms. </w:t>
      </w:r>
      <w:r w:rsidRPr="00345127">
        <w:rPr>
          <w:rFonts w:cs="Times New Roman"/>
          <w:i/>
          <w:iCs/>
        </w:rPr>
        <w:t>Earth Surface Processes and Landforms, 43</w:t>
      </w:r>
      <w:r w:rsidRPr="00345127">
        <w:rPr>
          <w:rFonts w:cs="Times New Roman"/>
        </w:rPr>
        <w:t xml:space="preserve">, 172–186. </w:t>
      </w:r>
      <w:hyperlink r:id="rId34">
        <w:r w:rsidRPr="00345127">
          <w:rPr>
            <w:rStyle w:val="Hyperlink"/>
            <w:rFonts w:cs="Times New Roman"/>
            <w:color w:val="auto"/>
          </w:rPr>
          <w:t>https://doi.org/10.1002/esp.4184</w:t>
        </w:r>
      </w:hyperlink>
    </w:p>
    <w:p w14:paraId="29AE8C21" w14:textId="77777777" w:rsidR="000D7EB9" w:rsidRPr="00345127" w:rsidRDefault="000D7EB9" w:rsidP="000D7EB9">
      <w:pPr>
        <w:pStyle w:val="BodyText"/>
        <w:ind w:left="720"/>
        <w:jc w:val="both"/>
        <w:rPr>
          <w:rFonts w:cs="Times New Roman"/>
        </w:rPr>
      </w:pPr>
    </w:p>
    <w:p w14:paraId="4383AAAF" w14:textId="2D37D8DD" w:rsidR="009F473F" w:rsidRPr="00345127" w:rsidRDefault="009F473F" w:rsidP="003B7535">
      <w:pPr>
        <w:pStyle w:val="BodyText"/>
        <w:numPr>
          <w:ilvl w:val="0"/>
          <w:numId w:val="7"/>
        </w:numPr>
        <w:jc w:val="both"/>
        <w:rPr>
          <w:rFonts w:cs="Times New Roman"/>
        </w:rPr>
      </w:pPr>
      <w:r w:rsidRPr="00345127">
        <w:rPr>
          <w:rFonts w:cs="Times New Roman"/>
        </w:rPr>
        <w:t xml:space="preserve">Knighton, D. (1998). </w:t>
      </w:r>
      <w:r w:rsidRPr="00345127">
        <w:rPr>
          <w:rFonts w:cs="Times New Roman"/>
          <w:i/>
          <w:iCs/>
        </w:rPr>
        <w:t>Fluvial forms and processes: A new perspective</w:t>
      </w:r>
      <w:r w:rsidRPr="00345127">
        <w:rPr>
          <w:rFonts w:cs="Times New Roman"/>
        </w:rPr>
        <w:t>. Routledge</w:t>
      </w:r>
    </w:p>
    <w:p w14:paraId="1D2BB407" w14:textId="764413B8" w:rsidR="00693F38" w:rsidRPr="00345127" w:rsidRDefault="00693F38" w:rsidP="00693F38">
      <w:pPr>
        <w:pStyle w:val="BodyText"/>
        <w:numPr>
          <w:ilvl w:val="0"/>
          <w:numId w:val="7"/>
        </w:numPr>
        <w:jc w:val="both"/>
        <w:rPr>
          <w:rStyle w:val="Hyperlink"/>
          <w:rFonts w:cs="Times New Roman"/>
          <w:color w:val="auto"/>
        </w:rPr>
      </w:pPr>
      <w:proofErr w:type="spellStart"/>
      <w:r w:rsidRPr="00345127">
        <w:rPr>
          <w:rFonts w:cs="Times New Roman"/>
        </w:rPr>
        <w:t>Miselis</w:t>
      </w:r>
      <w:proofErr w:type="spellEnd"/>
      <w:r w:rsidRPr="00345127">
        <w:rPr>
          <w:rFonts w:cs="Times New Roman"/>
        </w:rPr>
        <w:t xml:space="preserve">, J. L., Flocks, J. G., Zeigler, S., Passeri, D., Smith, D. R., Bourque, J., ... &amp; </w:t>
      </w:r>
      <w:proofErr w:type="spellStart"/>
      <w:r w:rsidRPr="00345127">
        <w:rPr>
          <w:rFonts w:cs="Times New Roman"/>
        </w:rPr>
        <w:t>Yanchis</w:t>
      </w:r>
      <w:proofErr w:type="spellEnd"/>
      <w:r w:rsidRPr="00345127">
        <w:rPr>
          <w:rFonts w:cs="Times New Roman"/>
        </w:rPr>
        <w:t xml:space="preserve">, K. (2021). Impacts of sediment removal from and placement in coastal barrier island systems. </w:t>
      </w:r>
      <w:r w:rsidRPr="00345127">
        <w:rPr>
          <w:rFonts w:cs="Times New Roman"/>
          <w:i/>
          <w:iCs/>
        </w:rPr>
        <w:t>U.S. Geological Survey Open-File Report 2021–1062</w:t>
      </w:r>
      <w:r w:rsidRPr="00345127">
        <w:rPr>
          <w:rFonts w:cs="Times New Roman"/>
        </w:rPr>
        <w:t xml:space="preserve">, 94 pp. </w:t>
      </w:r>
      <w:hyperlink r:id="rId35">
        <w:r w:rsidRPr="00345127">
          <w:rPr>
            <w:rStyle w:val="Hyperlink"/>
            <w:rFonts w:cs="Times New Roman"/>
            <w:color w:val="auto"/>
          </w:rPr>
          <w:t>https://doi.org/10.3133/ofr20211062</w:t>
        </w:r>
      </w:hyperlink>
    </w:p>
    <w:p w14:paraId="45BF56A5" w14:textId="77777777" w:rsidR="009F473F" w:rsidRPr="00345127" w:rsidRDefault="009F473F" w:rsidP="009F473F">
      <w:pPr>
        <w:pStyle w:val="BodyText"/>
        <w:numPr>
          <w:ilvl w:val="0"/>
          <w:numId w:val="7"/>
        </w:numPr>
        <w:jc w:val="both"/>
        <w:rPr>
          <w:rFonts w:cs="Times New Roman"/>
        </w:rPr>
      </w:pPr>
      <w:r w:rsidRPr="00345127">
        <w:rPr>
          <w:rFonts w:cs="Times New Roman"/>
          <w:lang w:val="it-IT"/>
        </w:rPr>
        <w:t xml:space="preserve">Sun, X., Liu, Y., &amp; Liu, Z. (2017). </w:t>
      </w:r>
      <w:r w:rsidRPr="00345127">
        <w:rPr>
          <w:rFonts w:cs="Times New Roman"/>
        </w:rPr>
        <w:t xml:space="preserve">Influences of grain size distribution on the erosion and stability of riverbeds. </w:t>
      </w:r>
      <w:r w:rsidRPr="00345127">
        <w:rPr>
          <w:rFonts w:cs="Times New Roman"/>
          <w:i/>
          <w:iCs/>
        </w:rPr>
        <w:t>Journal of Mountain Science, 14</w:t>
      </w:r>
      <w:r w:rsidRPr="00345127">
        <w:rPr>
          <w:rFonts w:cs="Times New Roman"/>
        </w:rPr>
        <w:t xml:space="preserve">(3), 446–459. </w:t>
      </w:r>
      <w:hyperlink r:id="rId36">
        <w:r w:rsidRPr="00345127">
          <w:rPr>
            <w:rStyle w:val="Hyperlink"/>
            <w:rFonts w:cs="Times New Roman"/>
            <w:color w:val="auto"/>
          </w:rPr>
          <w:t>https://doi.org/10.1007/s11629-016-4041-4</w:t>
        </w:r>
      </w:hyperlink>
    </w:p>
    <w:p w14:paraId="2B6A37BF" w14:textId="77777777" w:rsidR="009F473F" w:rsidRPr="00345127" w:rsidRDefault="009F473F" w:rsidP="009F473F">
      <w:pPr>
        <w:pStyle w:val="BodyText"/>
        <w:numPr>
          <w:ilvl w:val="0"/>
          <w:numId w:val="7"/>
        </w:numPr>
        <w:jc w:val="both"/>
        <w:rPr>
          <w:rStyle w:val="Hyperlink"/>
          <w:rFonts w:cs="Times New Roman"/>
          <w:color w:val="auto"/>
        </w:rPr>
      </w:pPr>
      <w:proofErr w:type="spellStart"/>
      <w:r w:rsidRPr="00345127">
        <w:rPr>
          <w:rFonts w:cs="Times New Roman"/>
        </w:rPr>
        <w:t>Miselis</w:t>
      </w:r>
      <w:proofErr w:type="spellEnd"/>
      <w:r w:rsidRPr="00345127">
        <w:rPr>
          <w:rFonts w:cs="Times New Roman"/>
        </w:rPr>
        <w:t xml:space="preserve">, J. L., Flocks, J. G., Zeigler, S., Passeri, D., Smith, D. R., Bourque, J., ... &amp; </w:t>
      </w:r>
      <w:proofErr w:type="spellStart"/>
      <w:r w:rsidRPr="00345127">
        <w:rPr>
          <w:rFonts w:cs="Times New Roman"/>
        </w:rPr>
        <w:t>Yanchis</w:t>
      </w:r>
      <w:proofErr w:type="spellEnd"/>
      <w:r w:rsidRPr="00345127">
        <w:rPr>
          <w:rFonts w:cs="Times New Roman"/>
        </w:rPr>
        <w:t xml:space="preserve">, K. (2021). Impacts of sediment removal from and placement in coastal barrier island systems. </w:t>
      </w:r>
      <w:r w:rsidRPr="00345127">
        <w:rPr>
          <w:rFonts w:cs="Times New Roman"/>
          <w:i/>
          <w:iCs/>
        </w:rPr>
        <w:t>U.S. Geological Survey Open-File Report 2021–1062</w:t>
      </w:r>
      <w:r w:rsidRPr="00345127">
        <w:rPr>
          <w:rFonts w:cs="Times New Roman"/>
        </w:rPr>
        <w:t xml:space="preserve">, 94 pp. </w:t>
      </w:r>
      <w:hyperlink r:id="rId37">
        <w:r w:rsidRPr="00345127">
          <w:rPr>
            <w:rStyle w:val="Hyperlink"/>
            <w:rFonts w:cs="Times New Roman"/>
            <w:color w:val="auto"/>
          </w:rPr>
          <w:t>https://doi.org/10.3133/ofr20211062</w:t>
        </w:r>
      </w:hyperlink>
    </w:p>
    <w:p w14:paraId="6A2A40F8" w14:textId="77777777" w:rsidR="009F473F" w:rsidRPr="00345127" w:rsidRDefault="009F473F" w:rsidP="009F473F">
      <w:pPr>
        <w:pStyle w:val="BodyText"/>
        <w:numPr>
          <w:ilvl w:val="0"/>
          <w:numId w:val="7"/>
        </w:numPr>
        <w:jc w:val="both"/>
        <w:rPr>
          <w:rFonts w:cs="Times New Roman"/>
        </w:rPr>
      </w:pPr>
      <w:r w:rsidRPr="00345127">
        <w:rPr>
          <w:rFonts w:cs="Times New Roman"/>
        </w:rPr>
        <w:t xml:space="preserve">Islam, M., Yamaguchi, Y., &amp; Ogawa, K. (2001). Suspended sediment in the Ganges and Brahmaputra Rivers in Bangladesh: Observation from TM and AVHRR data. </w:t>
      </w:r>
      <w:r w:rsidRPr="00345127">
        <w:rPr>
          <w:rFonts w:cs="Times New Roman"/>
          <w:i/>
          <w:iCs/>
        </w:rPr>
        <w:t>Hydrological Processes, 15</w:t>
      </w:r>
      <w:r w:rsidRPr="00345127">
        <w:rPr>
          <w:rFonts w:cs="Times New Roman"/>
        </w:rPr>
        <w:t xml:space="preserve">, 493–509. </w:t>
      </w:r>
      <w:hyperlink r:id="rId38">
        <w:r w:rsidRPr="00345127">
          <w:rPr>
            <w:rStyle w:val="Hyperlink"/>
            <w:rFonts w:cs="Times New Roman"/>
            <w:color w:val="auto"/>
          </w:rPr>
          <w:t>https://doi.org/10.1002/hyp.165</w:t>
        </w:r>
      </w:hyperlink>
    </w:p>
    <w:p w14:paraId="2CB563B8" w14:textId="77777777" w:rsidR="009F473F" w:rsidRPr="00345127" w:rsidRDefault="009F473F" w:rsidP="00B5263D">
      <w:pPr>
        <w:pStyle w:val="BodyText"/>
        <w:ind w:left="720"/>
        <w:jc w:val="both"/>
        <w:rPr>
          <w:rFonts w:cs="Times New Roman"/>
        </w:rPr>
      </w:pPr>
    </w:p>
    <w:p w14:paraId="06105F35" w14:textId="77777777" w:rsidR="00693F38" w:rsidRPr="00345127" w:rsidRDefault="00693F38" w:rsidP="00693F38">
      <w:pPr>
        <w:pStyle w:val="BodyText"/>
        <w:numPr>
          <w:ilvl w:val="0"/>
          <w:numId w:val="7"/>
        </w:numPr>
        <w:jc w:val="both"/>
        <w:rPr>
          <w:rFonts w:cs="Times New Roman"/>
        </w:rPr>
      </w:pPr>
      <w:proofErr w:type="spellStart"/>
      <w:r w:rsidRPr="00345127">
        <w:rPr>
          <w:rFonts w:cs="Times New Roman"/>
        </w:rPr>
        <w:t>Taveneau</w:t>
      </w:r>
      <w:proofErr w:type="spellEnd"/>
      <w:r w:rsidRPr="00345127">
        <w:rPr>
          <w:rFonts w:cs="Times New Roman"/>
        </w:rPr>
        <w:t xml:space="preserve">, A., Almar, R., Bergsma, E. W. J., Cissé, C. O. T., Sy, B. A., &amp; Ndour, A. (2024). Monitoring temporal sandbar and shoreline changes at Saint Louis, Senegal using Sentinel-2 imagery (2015–2022). </w:t>
      </w:r>
      <w:r w:rsidRPr="00345127">
        <w:rPr>
          <w:rFonts w:cs="Times New Roman"/>
          <w:i/>
          <w:iCs/>
        </w:rPr>
        <w:t>Remote Sensing, 16</w:t>
      </w:r>
      <w:r w:rsidRPr="00345127">
        <w:rPr>
          <w:rFonts w:cs="Times New Roman"/>
        </w:rPr>
        <w:t xml:space="preserve">(19), 3551. </w:t>
      </w:r>
      <w:hyperlink r:id="rId39">
        <w:r w:rsidRPr="00345127">
          <w:rPr>
            <w:rStyle w:val="Hyperlink"/>
            <w:rFonts w:cs="Times New Roman"/>
            <w:color w:val="auto"/>
          </w:rPr>
          <w:t>https://doi.org/10.3390/rs16193551</w:t>
        </w:r>
      </w:hyperlink>
    </w:p>
    <w:p w14:paraId="3B9F26E0" w14:textId="77777777" w:rsidR="00693F38" w:rsidRPr="00345127" w:rsidRDefault="00693F38" w:rsidP="00693F38">
      <w:pPr>
        <w:pStyle w:val="BodyText"/>
        <w:numPr>
          <w:ilvl w:val="0"/>
          <w:numId w:val="7"/>
        </w:numPr>
        <w:jc w:val="both"/>
        <w:rPr>
          <w:rFonts w:cs="Times New Roman"/>
        </w:rPr>
      </w:pPr>
      <w:r w:rsidRPr="00345127">
        <w:rPr>
          <w:rFonts w:cs="Times New Roman"/>
          <w:lang w:val="it-IT"/>
        </w:rPr>
        <w:t xml:space="preserve">Paul, M. H., Purkis, S. J., &amp; Ellis, J. (2011). </w:t>
      </w:r>
      <w:r w:rsidRPr="00345127">
        <w:rPr>
          <w:rFonts w:cs="Times New Roman"/>
        </w:rPr>
        <w:t xml:space="preserve">Analyzing spatial patterns in modern carbonate sand bodies from Great Bahama Bank. </w:t>
      </w:r>
      <w:r w:rsidRPr="00345127">
        <w:rPr>
          <w:rFonts w:cs="Times New Roman"/>
          <w:i/>
          <w:iCs/>
        </w:rPr>
        <w:t>Journal of Sedimentary Research, 81</w:t>
      </w:r>
      <w:r w:rsidRPr="00345127">
        <w:rPr>
          <w:rFonts w:cs="Times New Roman"/>
        </w:rPr>
        <w:t xml:space="preserve">(3), 185–206. </w:t>
      </w:r>
      <w:hyperlink r:id="rId40">
        <w:r w:rsidRPr="00345127">
          <w:rPr>
            <w:rStyle w:val="Hyperlink"/>
            <w:rFonts w:cs="Times New Roman"/>
            <w:color w:val="auto"/>
          </w:rPr>
          <w:t>https://doi.org/10.2110/jsr.2011.21</w:t>
        </w:r>
      </w:hyperlink>
    </w:p>
    <w:p w14:paraId="5ED21469" w14:textId="77777777" w:rsidR="00693F38" w:rsidRPr="00345127" w:rsidRDefault="00693F38" w:rsidP="00693F38">
      <w:pPr>
        <w:pStyle w:val="BodyText"/>
        <w:numPr>
          <w:ilvl w:val="0"/>
          <w:numId w:val="7"/>
        </w:numPr>
        <w:jc w:val="both"/>
        <w:rPr>
          <w:rFonts w:cs="Times New Roman"/>
        </w:rPr>
      </w:pPr>
      <w:proofErr w:type="spellStart"/>
      <w:r w:rsidRPr="00345127">
        <w:rPr>
          <w:rFonts w:cs="Times New Roman"/>
        </w:rPr>
        <w:t>Kondolf</w:t>
      </w:r>
      <w:proofErr w:type="spellEnd"/>
      <w:r w:rsidRPr="00345127">
        <w:rPr>
          <w:rFonts w:cs="Times New Roman"/>
        </w:rPr>
        <w:t xml:space="preserve">, G. M. (1997). Hungry water: Effects of dams and gravel mining on river channels. </w:t>
      </w:r>
      <w:r w:rsidRPr="00345127">
        <w:rPr>
          <w:rFonts w:cs="Times New Roman"/>
          <w:i/>
          <w:iCs/>
        </w:rPr>
        <w:t>Environmental Management, 21</w:t>
      </w:r>
      <w:r w:rsidRPr="00345127">
        <w:rPr>
          <w:rFonts w:cs="Times New Roman"/>
        </w:rPr>
        <w:t xml:space="preserve">(4), 533–551. </w:t>
      </w:r>
      <w:hyperlink r:id="rId41">
        <w:r w:rsidRPr="00345127">
          <w:rPr>
            <w:rStyle w:val="Hyperlink"/>
            <w:rFonts w:cs="Times New Roman"/>
            <w:color w:val="auto"/>
          </w:rPr>
          <w:t>https://doi.org/10.1007/s002679900048</w:t>
        </w:r>
      </w:hyperlink>
    </w:p>
    <w:p w14:paraId="2A73E9B4" w14:textId="77777777" w:rsidR="00693F38" w:rsidRPr="00345127" w:rsidRDefault="00693F38" w:rsidP="00693F38">
      <w:pPr>
        <w:pStyle w:val="BodyText"/>
        <w:numPr>
          <w:ilvl w:val="0"/>
          <w:numId w:val="7"/>
        </w:numPr>
        <w:jc w:val="both"/>
        <w:rPr>
          <w:rFonts w:cs="Times New Roman"/>
        </w:rPr>
      </w:pPr>
      <w:r w:rsidRPr="00345127">
        <w:rPr>
          <w:rFonts w:cs="Times New Roman"/>
        </w:rPr>
        <w:t xml:space="preserve">Afolabi, M., &amp; Darby, S. (2022). Spatial and temporal variations in shoreline changes of the Niger Delta during 1986–2019. </w:t>
      </w:r>
      <w:r w:rsidRPr="00345127">
        <w:rPr>
          <w:rFonts w:cs="Times New Roman"/>
          <w:i/>
          <w:iCs/>
        </w:rPr>
        <w:t>Coasts, 2</w:t>
      </w:r>
      <w:r w:rsidRPr="00345127">
        <w:rPr>
          <w:rFonts w:cs="Times New Roman"/>
        </w:rPr>
        <w:t>(3), 203–220.</w:t>
      </w:r>
    </w:p>
    <w:p w14:paraId="1E5C9E56" w14:textId="77777777" w:rsidR="00693F38" w:rsidRPr="00345127" w:rsidRDefault="00693F38" w:rsidP="00693F38">
      <w:pPr>
        <w:pStyle w:val="ListParagraph"/>
        <w:numPr>
          <w:ilvl w:val="0"/>
          <w:numId w:val="7"/>
        </w:numPr>
        <w:jc w:val="both"/>
        <w:rPr>
          <w:rFonts w:ascii="Times New Roman" w:hAnsi="Times New Roman" w:cs="Times New Roman"/>
        </w:rPr>
      </w:pPr>
      <w:r w:rsidRPr="00345127">
        <w:rPr>
          <w:rFonts w:ascii="Times New Roman" w:hAnsi="Times New Roman" w:cs="Times New Roman"/>
        </w:rPr>
        <w:t xml:space="preserve">Rowland, E. D., Lolade, A. A., Nicholas, D. O., </w:t>
      </w:r>
      <w:proofErr w:type="spellStart"/>
      <w:r w:rsidRPr="00345127">
        <w:rPr>
          <w:rFonts w:ascii="Times New Roman" w:hAnsi="Times New Roman" w:cs="Times New Roman"/>
        </w:rPr>
        <w:t>Opukumo</w:t>
      </w:r>
      <w:proofErr w:type="spellEnd"/>
      <w:r w:rsidRPr="00345127">
        <w:rPr>
          <w:rFonts w:ascii="Times New Roman" w:hAnsi="Times New Roman" w:cs="Times New Roman"/>
        </w:rPr>
        <w:t xml:space="preserve">, A. W., &amp; </w:t>
      </w:r>
      <w:proofErr w:type="spellStart"/>
      <w:r w:rsidRPr="00345127">
        <w:rPr>
          <w:rFonts w:ascii="Times New Roman" w:hAnsi="Times New Roman" w:cs="Times New Roman"/>
        </w:rPr>
        <w:t>Omonefe</w:t>
      </w:r>
      <w:proofErr w:type="spellEnd"/>
      <w:r w:rsidRPr="00345127">
        <w:rPr>
          <w:rFonts w:ascii="Times New Roman" w:hAnsi="Times New Roman" w:cs="Times New Roman"/>
        </w:rPr>
        <w:t xml:space="preserve">, F. (2022). The Environmental Impact of Shoreline Changes and Land Use/Land Cover Change Detection in the Niger Delta Region using Geospatial Technology. </w:t>
      </w:r>
      <w:r w:rsidRPr="00345127">
        <w:rPr>
          <w:rFonts w:ascii="Times New Roman" w:hAnsi="Times New Roman" w:cs="Times New Roman"/>
          <w:iCs/>
        </w:rPr>
        <w:t>Journal of Asian Scientific Research</w:t>
      </w:r>
      <w:r w:rsidRPr="00345127">
        <w:rPr>
          <w:rFonts w:ascii="Times New Roman" w:hAnsi="Times New Roman" w:cs="Times New Roman"/>
        </w:rPr>
        <w:t xml:space="preserve">, </w:t>
      </w:r>
      <w:r w:rsidRPr="00345127">
        <w:rPr>
          <w:rFonts w:ascii="Times New Roman" w:hAnsi="Times New Roman" w:cs="Times New Roman"/>
          <w:iCs/>
        </w:rPr>
        <w:t>12</w:t>
      </w:r>
      <w:r w:rsidRPr="00345127">
        <w:rPr>
          <w:rFonts w:ascii="Times New Roman" w:hAnsi="Times New Roman" w:cs="Times New Roman"/>
        </w:rPr>
        <w:t>(4), 237.</w:t>
      </w:r>
    </w:p>
    <w:p w14:paraId="51BD9B2D" w14:textId="32D002FF" w:rsidR="00693F38" w:rsidRPr="00345127" w:rsidRDefault="00693F38" w:rsidP="00693F38">
      <w:pPr>
        <w:pStyle w:val="BodyText"/>
        <w:numPr>
          <w:ilvl w:val="0"/>
          <w:numId w:val="7"/>
        </w:numPr>
        <w:jc w:val="both"/>
        <w:rPr>
          <w:rStyle w:val="Hyperlink"/>
          <w:rFonts w:cs="Times New Roman"/>
          <w:color w:val="auto"/>
        </w:rPr>
      </w:pPr>
      <w:r w:rsidRPr="00345127">
        <w:rPr>
          <w:rFonts w:cs="Times New Roman"/>
        </w:rPr>
        <w:lastRenderedPageBreak/>
        <w:t xml:space="preserve">Sweeney, M., Fischer, B., Wermers, K., &amp; Cowman, T. (2018). Eolian and fluvial modification of Missouri River sandbars deposited by the 2011 flood, USA. </w:t>
      </w:r>
      <w:r w:rsidRPr="00345127">
        <w:rPr>
          <w:rFonts w:cs="Times New Roman"/>
          <w:i/>
          <w:iCs/>
        </w:rPr>
        <w:t>Geomorphology, 327</w:t>
      </w:r>
      <w:r w:rsidRPr="00345127">
        <w:rPr>
          <w:rFonts w:cs="Times New Roman"/>
        </w:rPr>
        <w:t xml:space="preserve">, 22–34. </w:t>
      </w:r>
      <w:hyperlink r:id="rId42">
        <w:r w:rsidRPr="00345127">
          <w:rPr>
            <w:rStyle w:val="Hyperlink"/>
            <w:rFonts w:cs="Times New Roman"/>
            <w:color w:val="auto"/>
          </w:rPr>
          <w:t>https://doi.org/10.1016/j.geomorph.2018.10.018</w:t>
        </w:r>
      </w:hyperlink>
    </w:p>
    <w:p w14:paraId="710FBF63" w14:textId="42B18E3E" w:rsidR="00E516AE" w:rsidRPr="00345127" w:rsidRDefault="00E516AE" w:rsidP="00E516AE">
      <w:pPr>
        <w:pStyle w:val="ListParagraph"/>
        <w:numPr>
          <w:ilvl w:val="0"/>
          <w:numId w:val="7"/>
        </w:numPr>
        <w:spacing w:after="0"/>
        <w:rPr>
          <w:rFonts w:ascii="Times New Roman" w:eastAsia="Times New Roman" w:hAnsi="Times New Roman" w:cs="Times New Roman"/>
        </w:rPr>
      </w:pPr>
      <w:proofErr w:type="spellStart"/>
      <w:r w:rsidRPr="00345127">
        <w:rPr>
          <w:rFonts w:ascii="Times New Roman" w:eastAsia="Times New Roman" w:hAnsi="Times New Roman" w:cs="Times New Roman"/>
        </w:rPr>
        <w:t>Janušaitė</w:t>
      </w:r>
      <w:proofErr w:type="spellEnd"/>
      <w:r w:rsidRPr="00345127">
        <w:rPr>
          <w:rFonts w:ascii="Times New Roman" w:eastAsia="Times New Roman" w:hAnsi="Times New Roman" w:cs="Times New Roman"/>
        </w:rPr>
        <w:t xml:space="preserve">, R., </w:t>
      </w:r>
      <w:proofErr w:type="spellStart"/>
      <w:r w:rsidRPr="00345127">
        <w:rPr>
          <w:rFonts w:ascii="Times New Roman" w:eastAsia="Times New Roman" w:hAnsi="Times New Roman" w:cs="Times New Roman"/>
        </w:rPr>
        <w:t>Karaliūnas</w:t>
      </w:r>
      <w:proofErr w:type="spellEnd"/>
      <w:r w:rsidRPr="00345127">
        <w:rPr>
          <w:rFonts w:ascii="Times New Roman" w:eastAsia="Times New Roman" w:hAnsi="Times New Roman" w:cs="Times New Roman"/>
        </w:rPr>
        <w:t xml:space="preserve">, V., &amp; </w:t>
      </w:r>
      <w:proofErr w:type="spellStart"/>
      <w:r w:rsidRPr="00345127">
        <w:rPr>
          <w:rFonts w:ascii="Times New Roman" w:eastAsia="Times New Roman" w:hAnsi="Times New Roman" w:cs="Times New Roman"/>
        </w:rPr>
        <w:t>Bevainis</w:t>
      </w:r>
      <w:proofErr w:type="spellEnd"/>
      <w:r w:rsidRPr="00345127">
        <w:rPr>
          <w:rFonts w:ascii="Times New Roman" w:eastAsia="Times New Roman" w:hAnsi="Times New Roman" w:cs="Times New Roman"/>
        </w:rPr>
        <w:t xml:space="preserve">, L. (2019). Application of remote sensing methods in research of nearshore sandbars, Curonian Spit, Lithuania. </w:t>
      </w:r>
      <w:r w:rsidRPr="00345127">
        <w:rPr>
          <w:rFonts w:ascii="Times New Roman" w:eastAsia="Times New Roman" w:hAnsi="Times New Roman" w:cs="Times New Roman"/>
          <w:i/>
          <w:iCs/>
        </w:rPr>
        <w:t>Baltic Journal of Modern Computing</w:t>
      </w:r>
      <w:r w:rsidRPr="00345127">
        <w:rPr>
          <w:rFonts w:ascii="Times New Roman" w:eastAsia="Times New Roman" w:hAnsi="Times New Roman" w:cs="Times New Roman"/>
        </w:rPr>
        <w:t xml:space="preserve">, </w:t>
      </w:r>
      <w:r w:rsidRPr="00345127">
        <w:rPr>
          <w:rFonts w:ascii="Times New Roman" w:eastAsia="Times New Roman" w:hAnsi="Times New Roman" w:cs="Times New Roman"/>
          <w:i/>
          <w:iCs/>
        </w:rPr>
        <w:t>7</w:t>
      </w:r>
      <w:r w:rsidRPr="00345127">
        <w:rPr>
          <w:rFonts w:ascii="Times New Roman" w:eastAsia="Times New Roman" w:hAnsi="Times New Roman" w:cs="Times New Roman"/>
        </w:rPr>
        <w:t>(4). https://doi.org/10.22364/bjmc.2019.7.4.08</w:t>
      </w:r>
    </w:p>
    <w:p w14:paraId="71F6E323" w14:textId="77777777" w:rsidR="00693F38" w:rsidRPr="00345127" w:rsidRDefault="00693F38" w:rsidP="00693F38">
      <w:pPr>
        <w:pStyle w:val="BodyText"/>
        <w:numPr>
          <w:ilvl w:val="0"/>
          <w:numId w:val="7"/>
        </w:numPr>
        <w:jc w:val="both"/>
        <w:rPr>
          <w:rFonts w:cs="Times New Roman"/>
        </w:rPr>
      </w:pPr>
      <w:r w:rsidRPr="00345127">
        <w:rPr>
          <w:rFonts w:cs="Times New Roman"/>
        </w:rPr>
        <w:t xml:space="preserve">Cox, J. R., </w:t>
      </w:r>
      <w:proofErr w:type="spellStart"/>
      <w:r w:rsidRPr="00345127">
        <w:rPr>
          <w:rFonts w:cs="Times New Roman"/>
        </w:rPr>
        <w:t>Huismans</w:t>
      </w:r>
      <w:proofErr w:type="spellEnd"/>
      <w:r w:rsidRPr="00345127">
        <w:rPr>
          <w:rFonts w:cs="Times New Roman"/>
        </w:rPr>
        <w:t xml:space="preserve">, Y., Leuven, J., et al. (2021). Anthropogenic effects on the contemporary sediment budget of the lower Rhine-Meuse Delta channel network. </w:t>
      </w:r>
      <w:r w:rsidRPr="00345127">
        <w:rPr>
          <w:rFonts w:cs="Times New Roman"/>
          <w:i/>
          <w:iCs/>
        </w:rPr>
        <w:t>ESS Open Archive</w:t>
      </w:r>
      <w:r w:rsidRPr="00345127">
        <w:rPr>
          <w:rFonts w:cs="Times New Roman"/>
        </w:rPr>
        <w:t xml:space="preserve">. </w:t>
      </w:r>
      <w:hyperlink r:id="rId43">
        <w:r w:rsidRPr="00345127">
          <w:rPr>
            <w:rStyle w:val="Hyperlink"/>
            <w:rFonts w:cs="Times New Roman"/>
            <w:color w:val="auto"/>
          </w:rPr>
          <w:t>https://doi.org/10.31223/X5D69N</w:t>
        </w:r>
      </w:hyperlink>
    </w:p>
    <w:p w14:paraId="2A294D55" w14:textId="77777777" w:rsidR="008D5566" w:rsidRPr="000520E7" w:rsidRDefault="008D5566" w:rsidP="003F29C2">
      <w:pPr>
        <w:pStyle w:val="BodyText"/>
        <w:ind w:left="720"/>
        <w:jc w:val="both"/>
        <w:rPr>
          <w:rFonts w:cs="Times New Roman"/>
        </w:rPr>
      </w:pPr>
    </w:p>
    <w:p w14:paraId="7EFF1409" w14:textId="77777777" w:rsidR="00CB5206" w:rsidRPr="000520E7" w:rsidRDefault="00CB5206" w:rsidP="00CB5206">
      <w:pPr>
        <w:jc w:val="both"/>
        <w:rPr>
          <w:rFonts w:ascii="Times New Roman" w:hAnsi="Times New Roman" w:cs="Times New Roman"/>
        </w:rPr>
      </w:pPr>
    </w:p>
    <w:p w14:paraId="6F5EBE3E" w14:textId="77777777" w:rsidR="00CB5206" w:rsidRPr="000520E7" w:rsidRDefault="00CB5206" w:rsidP="00CB5206">
      <w:pPr>
        <w:jc w:val="both"/>
        <w:rPr>
          <w:rFonts w:ascii="Times New Roman" w:hAnsi="Times New Roman" w:cs="Times New Roman"/>
        </w:rPr>
      </w:pPr>
    </w:p>
    <w:p w14:paraId="20B555AC" w14:textId="77777777" w:rsidR="00CB5206" w:rsidRPr="000520E7" w:rsidRDefault="00CB5206" w:rsidP="00CB5206"/>
    <w:p w14:paraId="67A478C8" w14:textId="77777777" w:rsidR="002F665E" w:rsidRPr="000520E7" w:rsidRDefault="002F665E" w:rsidP="006A3A56">
      <w:pPr>
        <w:jc w:val="both"/>
        <w:rPr>
          <w:rFonts w:ascii="Times New Roman" w:hAnsi="Times New Roman" w:cs="Times New Roman"/>
        </w:rPr>
      </w:pPr>
    </w:p>
    <w:p w14:paraId="2BBA6D92" w14:textId="77777777" w:rsidR="002F665E" w:rsidRPr="000520E7" w:rsidRDefault="001B34EC" w:rsidP="006A3A56">
      <w:pPr>
        <w:pStyle w:val="FirstParagraph"/>
        <w:jc w:val="both"/>
        <w:rPr>
          <w:rFonts w:cs="Times New Roman"/>
        </w:rPr>
      </w:pPr>
      <w:r w:rsidRPr="000520E7">
        <w:rPr>
          <w:rFonts w:cs="Times New Roman"/>
        </w:rPr>
        <w:br/>
      </w:r>
    </w:p>
    <w:bookmarkEnd w:id="33"/>
    <w:p w14:paraId="2A0A3682" w14:textId="77777777" w:rsidR="002F665E" w:rsidRPr="000520E7" w:rsidRDefault="002F665E" w:rsidP="006A3A56">
      <w:pPr>
        <w:jc w:val="both"/>
        <w:rPr>
          <w:rFonts w:ascii="Times New Roman" w:hAnsi="Times New Roman" w:cs="Times New Roman"/>
        </w:rPr>
      </w:pPr>
    </w:p>
    <w:sectPr w:rsidR="002F665E" w:rsidRPr="000520E7" w:rsidSect="001B34EC">
      <w:headerReference w:type="even" r:id="rId44"/>
      <w:headerReference w:type="default" r:id="rId45"/>
      <w:footerReference w:type="even" r:id="rId46"/>
      <w:footerReference w:type="default" r:id="rId47"/>
      <w:headerReference w:type="first" r:id="rId48"/>
      <w:footerReference w:type="first" r:id="rId49"/>
      <w:pgSz w:w="12240" w:h="15840"/>
      <w:pgMar w:top="1440" w:right="63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151B3" w14:textId="77777777" w:rsidR="00FE758D" w:rsidRDefault="00FE758D" w:rsidP="001F11BA">
      <w:pPr>
        <w:spacing w:after="0"/>
      </w:pPr>
      <w:r>
        <w:separator/>
      </w:r>
    </w:p>
  </w:endnote>
  <w:endnote w:type="continuationSeparator" w:id="0">
    <w:p w14:paraId="2A0CBD5F" w14:textId="77777777" w:rsidR="00FE758D" w:rsidRDefault="00FE758D" w:rsidP="001F11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F993C" w14:textId="77777777" w:rsidR="001F11BA" w:rsidRDefault="001F1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A445" w14:textId="77777777" w:rsidR="001F11BA" w:rsidRDefault="001F1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03BC" w14:textId="77777777" w:rsidR="001F11BA" w:rsidRDefault="001F1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05308" w14:textId="77777777" w:rsidR="00FE758D" w:rsidRDefault="00FE758D" w:rsidP="001F11BA">
      <w:pPr>
        <w:spacing w:after="0"/>
      </w:pPr>
      <w:r>
        <w:separator/>
      </w:r>
    </w:p>
  </w:footnote>
  <w:footnote w:type="continuationSeparator" w:id="0">
    <w:p w14:paraId="3B415894" w14:textId="77777777" w:rsidR="00FE758D" w:rsidRDefault="00FE758D" w:rsidP="001F11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439FF" w14:textId="3AEFEF7C" w:rsidR="001F11BA" w:rsidRDefault="001F11BA">
    <w:pPr>
      <w:pStyle w:val="Header"/>
    </w:pPr>
    <w:r>
      <w:rPr>
        <w:noProof/>
      </w:rPr>
      <w:pict w14:anchorId="32211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68297" o:spid="_x0000_s2050" type="#_x0000_t136" style="position:absolute;margin-left:0;margin-top:0;width:645.15pt;height:71.6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5F5A" w14:textId="25D134F8" w:rsidR="001F11BA" w:rsidRDefault="001F11BA">
    <w:pPr>
      <w:pStyle w:val="Header"/>
    </w:pPr>
    <w:r>
      <w:rPr>
        <w:noProof/>
      </w:rPr>
      <w:pict w14:anchorId="4033F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68298" o:spid="_x0000_s2051" type="#_x0000_t136" style="position:absolute;margin-left:0;margin-top:0;width:645.15pt;height:71.6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171F9" w14:textId="47B8F1BA" w:rsidR="001F11BA" w:rsidRDefault="001F11BA">
    <w:pPr>
      <w:pStyle w:val="Header"/>
    </w:pPr>
    <w:r>
      <w:rPr>
        <w:noProof/>
      </w:rPr>
      <w:pict w14:anchorId="303DA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68296" o:spid="_x0000_s2049" type="#_x0000_t136" style="position:absolute;margin-left:0;margin-top:0;width:645.15pt;height:71.6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7852569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D43A4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1870022"/>
    <w:multiLevelType w:val="hybridMultilevel"/>
    <w:tmpl w:val="AD7CE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MTKyMDc3NjA2sLRU0lEKTi0uzszPAykwrAUAUHZ9fCwAAAA="/>
  </w:docVars>
  <w:rsids>
    <w:rsidRoot w:val="00C41EE7"/>
    <w:rsid w:val="000436E4"/>
    <w:rsid w:val="000520E7"/>
    <w:rsid w:val="00057651"/>
    <w:rsid w:val="000A6B7E"/>
    <w:rsid w:val="000D7EB9"/>
    <w:rsid w:val="00107A82"/>
    <w:rsid w:val="001A4763"/>
    <w:rsid w:val="001B34EC"/>
    <w:rsid w:val="001F11BA"/>
    <w:rsid w:val="002069BA"/>
    <w:rsid w:val="00245F39"/>
    <w:rsid w:val="002811B4"/>
    <w:rsid w:val="00295BFA"/>
    <w:rsid w:val="002F665E"/>
    <w:rsid w:val="00345127"/>
    <w:rsid w:val="00384D96"/>
    <w:rsid w:val="003B7535"/>
    <w:rsid w:val="003F29C2"/>
    <w:rsid w:val="00401CC4"/>
    <w:rsid w:val="004505D5"/>
    <w:rsid w:val="005926EF"/>
    <w:rsid w:val="005A056E"/>
    <w:rsid w:val="005B20BC"/>
    <w:rsid w:val="006009D6"/>
    <w:rsid w:val="0061129A"/>
    <w:rsid w:val="00611C9C"/>
    <w:rsid w:val="00654138"/>
    <w:rsid w:val="00693F38"/>
    <w:rsid w:val="006A3A56"/>
    <w:rsid w:val="0072128A"/>
    <w:rsid w:val="007469FB"/>
    <w:rsid w:val="00752BFA"/>
    <w:rsid w:val="007803D7"/>
    <w:rsid w:val="007E49F3"/>
    <w:rsid w:val="008105E1"/>
    <w:rsid w:val="008245C2"/>
    <w:rsid w:val="00847D44"/>
    <w:rsid w:val="008B3D13"/>
    <w:rsid w:val="008C1A0F"/>
    <w:rsid w:val="008D16E7"/>
    <w:rsid w:val="008D5566"/>
    <w:rsid w:val="008E4D7E"/>
    <w:rsid w:val="00915245"/>
    <w:rsid w:val="009257D8"/>
    <w:rsid w:val="009322C7"/>
    <w:rsid w:val="009E0377"/>
    <w:rsid w:val="009F473F"/>
    <w:rsid w:val="00A34805"/>
    <w:rsid w:val="00A67A10"/>
    <w:rsid w:val="00B04581"/>
    <w:rsid w:val="00B07195"/>
    <w:rsid w:val="00B5263D"/>
    <w:rsid w:val="00B73ADC"/>
    <w:rsid w:val="00BB22C1"/>
    <w:rsid w:val="00BD4EC2"/>
    <w:rsid w:val="00BF5158"/>
    <w:rsid w:val="00C41EE7"/>
    <w:rsid w:val="00C46DD1"/>
    <w:rsid w:val="00C666BF"/>
    <w:rsid w:val="00CB5206"/>
    <w:rsid w:val="00D0720B"/>
    <w:rsid w:val="00D072BF"/>
    <w:rsid w:val="00D14738"/>
    <w:rsid w:val="00D75562"/>
    <w:rsid w:val="00D80582"/>
    <w:rsid w:val="00DE7615"/>
    <w:rsid w:val="00E054EE"/>
    <w:rsid w:val="00E05716"/>
    <w:rsid w:val="00E37009"/>
    <w:rsid w:val="00E44DBB"/>
    <w:rsid w:val="00E516AE"/>
    <w:rsid w:val="00EB5976"/>
    <w:rsid w:val="00EB6E7A"/>
    <w:rsid w:val="00F97A61"/>
    <w:rsid w:val="00FB0609"/>
    <w:rsid w:val="00FD48D2"/>
    <w:rsid w:val="00FE758D"/>
    <w:rsid w:val="00FF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26C52"/>
  <w15:docId w15:val="{2E583E05-8BCD-4BEE-B346-FC1AE91B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Strong" w:uiPriority="22" w:qFormat="1"/>
    <w:lsdException w:name="Emphasis" w:uiPriority="20" w:qFormat="1"/>
    <w:lsdException w:name="Normal (Web)" w:uiPriority="99"/>
    <w:lsdException w:name="HTML Cite"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table" w:customStyle="1" w:styleId="PlainTable21">
    <w:name w:val="Plain Table 21"/>
    <w:basedOn w:val="TableNormal"/>
    <w:uiPriority w:val="42"/>
    <w:rsid w:val="00D072BF"/>
    <w:pPr>
      <w:spacing w:after="0"/>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D072B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072BF"/>
    <w:rPr>
      <w:b/>
      <w:bCs/>
    </w:rPr>
  </w:style>
  <w:style w:type="paragraph" w:styleId="NoSpacing">
    <w:name w:val="No Spacing"/>
    <w:uiPriority w:val="1"/>
    <w:qFormat/>
    <w:rsid w:val="00EB6E7A"/>
    <w:pPr>
      <w:spacing w:after="0"/>
    </w:pPr>
    <w:rPr>
      <w:sz w:val="22"/>
      <w:szCs w:val="22"/>
    </w:rPr>
  </w:style>
  <w:style w:type="character" w:styleId="Emphasis">
    <w:name w:val="Emphasis"/>
    <w:basedOn w:val="DefaultParagraphFont"/>
    <w:uiPriority w:val="20"/>
    <w:qFormat/>
    <w:rsid w:val="00CB5206"/>
    <w:rPr>
      <w:i/>
      <w:iCs/>
    </w:rPr>
  </w:style>
  <w:style w:type="character" w:styleId="HTMLCite">
    <w:name w:val="HTML Cite"/>
    <w:basedOn w:val="DefaultParagraphFont"/>
    <w:uiPriority w:val="99"/>
    <w:unhideWhenUsed/>
    <w:rsid w:val="00CB5206"/>
    <w:rPr>
      <w:i/>
      <w:iCs/>
    </w:rPr>
  </w:style>
  <w:style w:type="character" w:customStyle="1" w:styleId="UnresolvedMention1">
    <w:name w:val="Unresolved Mention1"/>
    <w:basedOn w:val="DefaultParagraphFont"/>
    <w:uiPriority w:val="99"/>
    <w:semiHidden/>
    <w:unhideWhenUsed/>
    <w:rsid w:val="008D5566"/>
    <w:rPr>
      <w:color w:val="605E5C"/>
      <w:shd w:val="clear" w:color="auto" w:fill="E1DFDD"/>
    </w:rPr>
  </w:style>
  <w:style w:type="paragraph" w:styleId="ListParagraph">
    <w:name w:val="List Paragraph"/>
    <w:basedOn w:val="Normal"/>
    <w:rsid w:val="00295BFA"/>
    <w:pPr>
      <w:ind w:left="720"/>
      <w:contextualSpacing/>
    </w:pPr>
  </w:style>
  <w:style w:type="character" w:customStyle="1" w:styleId="url">
    <w:name w:val="url"/>
    <w:basedOn w:val="DefaultParagraphFont"/>
    <w:rsid w:val="00E516AE"/>
  </w:style>
  <w:style w:type="paragraph" w:styleId="Header">
    <w:name w:val="header"/>
    <w:basedOn w:val="Normal"/>
    <w:link w:val="HeaderChar"/>
    <w:rsid w:val="001F11BA"/>
    <w:pPr>
      <w:tabs>
        <w:tab w:val="center" w:pos="4680"/>
        <w:tab w:val="right" w:pos="9360"/>
      </w:tabs>
      <w:spacing w:after="0"/>
    </w:pPr>
  </w:style>
  <w:style w:type="character" w:customStyle="1" w:styleId="HeaderChar">
    <w:name w:val="Header Char"/>
    <w:basedOn w:val="DefaultParagraphFont"/>
    <w:link w:val="Header"/>
    <w:rsid w:val="001F11BA"/>
  </w:style>
  <w:style w:type="paragraph" w:styleId="Footer">
    <w:name w:val="footer"/>
    <w:basedOn w:val="Normal"/>
    <w:link w:val="FooterChar"/>
    <w:rsid w:val="001F11BA"/>
    <w:pPr>
      <w:tabs>
        <w:tab w:val="center" w:pos="4680"/>
        <w:tab w:val="right" w:pos="9360"/>
      </w:tabs>
      <w:spacing w:after="0"/>
    </w:pPr>
  </w:style>
  <w:style w:type="character" w:customStyle="1" w:styleId="FooterChar">
    <w:name w:val="Footer Char"/>
    <w:basedOn w:val="DefaultParagraphFont"/>
    <w:link w:val="Footer"/>
    <w:rsid w:val="001F1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1819">
      <w:bodyDiv w:val="1"/>
      <w:marLeft w:val="0"/>
      <w:marRight w:val="0"/>
      <w:marTop w:val="0"/>
      <w:marBottom w:val="0"/>
      <w:divBdr>
        <w:top w:val="none" w:sz="0" w:space="0" w:color="auto"/>
        <w:left w:val="none" w:sz="0" w:space="0" w:color="auto"/>
        <w:bottom w:val="none" w:sz="0" w:space="0" w:color="auto"/>
        <w:right w:val="none" w:sz="0" w:space="0" w:color="auto"/>
      </w:divBdr>
    </w:div>
    <w:div w:id="322437895">
      <w:bodyDiv w:val="1"/>
      <w:marLeft w:val="0"/>
      <w:marRight w:val="0"/>
      <w:marTop w:val="0"/>
      <w:marBottom w:val="0"/>
      <w:divBdr>
        <w:top w:val="none" w:sz="0" w:space="0" w:color="auto"/>
        <w:left w:val="none" w:sz="0" w:space="0" w:color="auto"/>
        <w:bottom w:val="none" w:sz="0" w:space="0" w:color="auto"/>
        <w:right w:val="none" w:sz="0" w:space="0" w:color="auto"/>
      </w:divBdr>
    </w:div>
    <w:div w:id="796417483">
      <w:bodyDiv w:val="1"/>
      <w:marLeft w:val="0"/>
      <w:marRight w:val="0"/>
      <w:marTop w:val="0"/>
      <w:marBottom w:val="0"/>
      <w:divBdr>
        <w:top w:val="none" w:sz="0" w:space="0" w:color="auto"/>
        <w:left w:val="none" w:sz="0" w:space="0" w:color="auto"/>
        <w:bottom w:val="none" w:sz="0" w:space="0" w:color="auto"/>
        <w:right w:val="none" w:sz="0" w:space="0" w:color="auto"/>
      </w:divBdr>
    </w:div>
    <w:div w:id="954487500">
      <w:bodyDiv w:val="1"/>
      <w:marLeft w:val="0"/>
      <w:marRight w:val="0"/>
      <w:marTop w:val="0"/>
      <w:marBottom w:val="0"/>
      <w:divBdr>
        <w:top w:val="none" w:sz="0" w:space="0" w:color="auto"/>
        <w:left w:val="none" w:sz="0" w:space="0" w:color="auto"/>
        <w:bottom w:val="none" w:sz="0" w:space="0" w:color="auto"/>
        <w:right w:val="none" w:sz="0" w:space="0" w:color="auto"/>
      </w:divBdr>
      <w:divsChild>
        <w:div w:id="1633098385">
          <w:marLeft w:val="-720"/>
          <w:marRight w:val="0"/>
          <w:marTop w:val="0"/>
          <w:marBottom w:val="0"/>
          <w:divBdr>
            <w:top w:val="none" w:sz="0" w:space="0" w:color="auto"/>
            <w:left w:val="none" w:sz="0" w:space="0" w:color="auto"/>
            <w:bottom w:val="none" w:sz="0" w:space="0" w:color="auto"/>
            <w:right w:val="none" w:sz="0" w:space="0" w:color="auto"/>
          </w:divBdr>
        </w:div>
      </w:divsChild>
    </w:div>
    <w:div w:id="963464994">
      <w:bodyDiv w:val="1"/>
      <w:marLeft w:val="0"/>
      <w:marRight w:val="0"/>
      <w:marTop w:val="0"/>
      <w:marBottom w:val="0"/>
      <w:divBdr>
        <w:top w:val="none" w:sz="0" w:space="0" w:color="auto"/>
        <w:left w:val="none" w:sz="0" w:space="0" w:color="auto"/>
        <w:bottom w:val="none" w:sz="0" w:space="0" w:color="auto"/>
        <w:right w:val="none" w:sz="0" w:space="0" w:color="auto"/>
      </w:divBdr>
    </w:div>
    <w:div w:id="2034261476">
      <w:bodyDiv w:val="1"/>
      <w:marLeft w:val="0"/>
      <w:marRight w:val="0"/>
      <w:marTop w:val="0"/>
      <w:marBottom w:val="0"/>
      <w:divBdr>
        <w:top w:val="none" w:sz="0" w:space="0" w:color="auto"/>
        <w:left w:val="none" w:sz="0" w:space="0" w:color="auto"/>
        <w:bottom w:val="none" w:sz="0" w:space="0" w:color="auto"/>
        <w:right w:val="none" w:sz="0" w:space="0" w:color="auto"/>
      </w:divBdr>
    </w:div>
    <w:div w:id="2042170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007/s44288-025-00178-7" TargetMode="External"/><Relationship Id="rId26" Type="http://schemas.openxmlformats.org/officeDocument/2006/relationships/hyperlink" Target="https://doi.org/10.1016/j.earscirev.2019.03.003" TargetMode="External"/><Relationship Id="rId39" Type="http://schemas.openxmlformats.org/officeDocument/2006/relationships/hyperlink" Target="https://doi.org/10.3390/rs16193551" TargetMode="External"/><Relationship Id="rId21" Type="http://schemas.openxmlformats.org/officeDocument/2006/relationships/hyperlink" Target="https://doi.org/10.9734/ijecc/2025/v15i24721" TargetMode="External"/><Relationship Id="rId34" Type="http://schemas.openxmlformats.org/officeDocument/2006/relationships/hyperlink" Target="https://doi.org/10.1002/esp.4184" TargetMode="External"/><Relationship Id="rId42" Type="http://schemas.openxmlformats.org/officeDocument/2006/relationships/hyperlink" Target="https://doi.org/10.1016/j.geomorph.2018.10.018"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88/1755-1315/424/1/012010" TargetMode="External"/><Relationship Id="rId29" Type="http://schemas.openxmlformats.org/officeDocument/2006/relationships/hyperlink" Target="https://doi.org/10.9734/ajgr/2025/v8i2260" TargetMode="External"/><Relationship Id="rId11" Type="http://schemas.openxmlformats.org/officeDocument/2006/relationships/chart" Target="charts/chart1.xml"/><Relationship Id="rId24" Type="http://schemas.openxmlformats.org/officeDocument/2006/relationships/hyperlink" Target="https://doi.org/10.3390/rs13112233" TargetMode="External"/><Relationship Id="rId32" Type="http://schemas.openxmlformats.org/officeDocument/2006/relationships/hyperlink" Target="https://doi.org/10.63623/kkx1m906" TargetMode="External"/><Relationship Id="rId37" Type="http://schemas.openxmlformats.org/officeDocument/2006/relationships/hyperlink" Target="https://doi.org/10.3133/ofr20211062" TargetMode="External"/><Relationship Id="rId40" Type="http://schemas.openxmlformats.org/officeDocument/2006/relationships/hyperlink" Target="https://doi.org/10.2110/jsr.2011.21"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jmse9030245" TargetMode="External"/><Relationship Id="rId23" Type="http://schemas.openxmlformats.org/officeDocument/2006/relationships/hyperlink" Target="https://doi.org/10.1098/rstb.2019.0104" TargetMode="External"/><Relationship Id="rId28" Type="http://schemas.openxmlformats.org/officeDocument/2006/relationships/hyperlink" Target="https://doi.org/10.1002/esp.5041" TargetMode="External"/><Relationship Id="rId36" Type="http://schemas.openxmlformats.org/officeDocument/2006/relationships/hyperlink" Target="https://doi.org/10.1007/s11629-016-4041-4" TargetMode="External"/><Relationship Id="rId49"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yperlink" Target="https://doi.org/10.1126/science.1109454" TargetMode="External"/><Relationship Id="rId31" Type="http://schemas.openxmlformats.org/officeDocument/2006/relationships/hyperlink" Target="https://doi.org/10.54905/disssi.v2i3.e2dn1041"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7717/peerj.9471" TargetMode="External"/><Relationship Id="rId22" Type="http://schemas.openxmlformats.org/officeDocument/2006/relationships/hyperlink" Target="https://doi.org/10.3390/jmse11091651" TargetMode="External"/><Relationship Id="rId27" Type="http://schemas.openxmlformats.org/officeDocument/2006/relationships/hyperlink" Target="https://doi.org/10.1080/1064119X.2024.2378074" TargetMode="External"/><Relationship Id="rId30" Type="http://schemas.openxmlformats.org/officeDocument/2006/relationships/hyperlink" Target="https://doi.org/10.1016/j.jenvman.2024.122835" TargetMode="External"/><Relationship Id="rId35" Type="http://schemas.openxmlformats.org/officeDocument/2006/relationships/hyperlink" Target="https://doi.org/10.3133/ofr20211062" TargetMode="External"/><Relationship Id="rId43" Type="http://schemas.openxmlformats.org/officeDocument/2006/relationships/hyperlink" Target="https://doi.org/10.31223/X5D69N" TargetMode="External"/><Relationship Id="rId48"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doi.org/10.1007/s41101-024-00324-1" TargetMode="External"/><Relationship Id="rId25" Type="http://schemas.openxmlformats.org/officeDocument/2006/relationships/hyperlink" Target="https://doi.org/10.1016/j.isprsjprs.2009.06.004" TargetMode="External"/><Relationship Id="rId33" Type="http://schemas.openxmlformats.org/officeDocument/2006/relationships/hyperlink" Target="https://doi.org/10.24294/jgc11707" TargetMode="External"/><Relationship Id="rId38" Type="http://schemas.openxmlformats.org/officeDocument/2006/relationships/hyperlink" Target="https://doi.org/10.1002/hyp.165" TargetMode="External"/><Relationship Id="rId46" Type="http://schemas.openxmlformats.org/officeDocument/2006/relationships/footer" Target="footer1.xml"/><Relationship Id="rId20" Type="http://schemas.openxmlformats.org/officeDocument/2006/relationships/hyperlink" Target="https://doi.org/10.3390/w13121659" TargetMode="External"/><Relationship Id="rId41" Type="http://schemas.openxmlformats.org/officeDocument/2006/relationships/hyperlink" Target="https://doi.org/10.1007/s002679900048"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Sheet1!$X$3</c:f>
              <c:strCache>
                <c:ptCount val="1"/>
                <c:pt idx="0">
                  <c:v>Area (A) km2</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Sheet1!$W$4:$W$6</c:f>
              <c:numCache>
                <c:formatCode>General</c:formatCode>
                <c:ptCount val="3"/>
                <c:pt idx="0">
                  <c:v>0.4168</c:v>
                </c:pt>
                <c:pt idx="1">
                  <c:v>0.38729999999999998</c:v>
                </c:pt>
                <c:pt idx="2">
                  <c:v>0.69610000000000005</c:v>
                </c:pt>
              </c:numCache>
            </c:numRef>
          </c:xVal>
          <c:yVal>
            <c:numRef>
              <c:f>Sheet1!$X$4:$X$6</c:f>
              <c:numCache>
                <c:formatCode>General</c:formatCode>
                <c:ptCount val="3"/>
                <c:pt idx="0">
                  <c:v>1.54E-2</c:v>
                </c:pt>
                <c:pt idx="1">
                  <c:v>1.6799999999999999E-2</c:v>
                </c:pt>
                <c:pt idx="2">
                  <c:v>2.9700000000000001E-2</c:v>
                </c:pt>
              </c:numCache>
            </c:numRef>
          </c:yVal>
          <c:smooth val="0"/>
          <c:extLst>
            <c:ext xmlns:c16="http://schemas.microsoft.com/office/drawing/2014/chart" uri="{C3380CC4-5D6E-409C-BE32-E72D297353CC}">
              <c16:uniqueId val="{00000001-EC3B-4F52-B4A9-EE5C20056A04}"/>
            </c:ext>
          </c:extLst>
        </c:ser>
        <c:dLbls>
          <c:showLegendKey val="0"/>
          <c:showVal val="0"/>
          <c:showCatName val="0"/>
          <c:showSerName val="0"/>
          <c:showPercent val="0"/>
          <c:showBubbleSize val="0"/>
        </c:dLbls>
        <c:axId val="137171295"/>
        <c:axId val="137172127"/>
      </c:scatterChart>
      <c:valAx>
        <c:axId val="137171295"/>
        <c:scaling>
          <c:orientation val="minMax"/>
        </c:scaling>
        <c:delete val="0"/>
        <c:axPos val="b"/>
        <c:title>
          <c:tx>
            <c:rich>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Length (km)</a:t>
                </a:r>
              </a:p>
            </c:rich>
          </c:tx>
          <c:overlay val="0"/>
          <c:spPr>
            <a:noFill/>
            <a:ln>
              <a:noFill/>
            </a:ln>
            <a:effectLst/>
          </c:spPr>
          <c:txPr>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1" i="0" u="none" strike="noStrike" kern="1200" baseline="0">
                <a:solidFill>
                  <a:schemeClr val="tx1">
                    <a:lumMod val="65000"/>
                    <a:lumOff val="35000"/>
                  </a:schemeClr>
                </a:solidFill>
                <a:latin typeface="+mn-lt"/>
                <a:ea typeface="+mn-ea"/>
                <a:cs typeface="+mn-cs"/>
              </a:defRPr>
            </a:pPr>
            <a:endParaRPr lang="en-US"/>
          </a:p>
        </c:txPr>
        <c:crossAx val="137172127"/>
        <c:crosses val="autoZero"/>
        <c:crossBetween val="midCat"/>
      </c:valAx>
      <c:valAx>
        <c:axId val="137172127"/>
        <c:scaling>
          <c:orientation val="minMax"/>
        </c:scaling>
        <c:delete val="0"/>
        <c:axPos val="l"/>
        <c:title>
          <c:tx>
            <c:rich>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Area (km2)</a:t>
                </a:r>
              </a:p>
            </c:rich>
          </c:tx>
          <c:overlay val="0"/>
          <c:spPr>
            <a:noFill/>
            <a:ln>
              <a:noFill/>
            </a:ln>
            <a:effectLst/>
          </c:spPr>
          <c:txPr>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1" i="0" u="none" strike="noStrike" kern="1200" baseline="0">
                <a:solidFill>
                  <a:schemeClr val="tx1">
                    <a:lumMod val="65000"/>
                    <a:lumOff val="35000"/>
                  </a:schemeClr>
                </a:solidFill>
                <a:latin typeface="+mn-lt"/>
                <a:ea typeface="+mn-ea"/>
                <a:cs typeface="+mn-cs"/>
              </a:defRPr>
            </a:pPr>
            <a:endParaRPr lang="en-US"/>
          </a:p>
        </c:txPr>
        <c:crossAx val="13717129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Sheet1!$Y$3</c:f>
              <c:strCache>
                <c:ptCount val="1"/>
                <c:pt idx="0">
                  <c:v>Width(W) km</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Sheet1!$X$4:$X$6</c:f>
              <c:numCache>
                <c:formatCode>General</c:formatCode>
                <c:ptCount val="3"/>
                <c:pt idx="0">
                  <c:v>1.54E-2</c:v>
                </c:pt>
                <c:pt idx="1">
                  <c:v>1.6799999999999999E-2</c:v>
                </c:pt>
                <c:pt idx="2">
                  <c:v>2.9700000000000001E-2</c:v>
                </c:pt>
              </c:numCache>
            </c:numRef>
          </c:xVal>
          <c:yVal>
            <c:numRef>
              <c:f>Sheet1!$Y$4:$Y$6</c:f>
              <c:numCache>
                <c:formatCode>General</c:formatCode>
                <c:ptCount val="3"/>
                <c:pt idx="0">
                  <c:v>1.2800000000000001E-2</c:v>
                </c:pt>
                <c:pt idx="1">
                  <c:v>1.29E-2</c:v>
                </c:pt>
                <c:pt idx="2">
                  <c:v>2.29E-2</c:v>
                </c:pt>
              </c:numCache>
            </c:numRef>
          </c:yVal>
          <c:smooth val="0"/>
          <c:extLst>
            <c:ext xmlns:c16="http://schemas.microsoft.com/office/drawing/2014/chart" uri="{C3380CC4-5D6E-409C-BE32-E72D297353CC}">
              <c16:uniqueId val="{00000001-9D0C-4898-BC61-4076340F7E20}"/>
            </c:ext>
          </c:extLst>
        </c:ser>
        <c:dLbls>
          <c:showLegendKey val="0"/>
          <c:showVal val="0"/>
          <c:showCatName val="0"/>
          <c:showSerName val="0"/>
          <c:showPercent val="0"/>
          <c:showBubbleSize val="0"/>
        </c:dLbls>
        <c:axId val="554866543"/>
        <c:axId val="554867375"/>
      </c:scatterChart>
      <c:valAx>
        <c:axId val="554866543"/>
        <c:scaling>
          <c:orientation val="minMax"/>
        </c:scaling>
        <c:delete val="0"/>
        <c:axPos val="b"/>
        <c:title>
          <c:tx>
            <c:rich>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Area(km2)</a:t>
                </a:r>
              </a:p>
            </c:rich>
          </c:tx>
          <c:overlay val="0"/>
          <c:spPr>
            <a:noFill/>
            <a:ln>
              <a:noFill/>
            </a:ln>
            <a:effectLst/>
          </c:spPr>
          <c:txPr>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1" i="0" u="none" strike="noStrike" kern="1200" baseline="0">
                <a:solidFill>
                  <a:schemeClr val="tx1">
                    <a:lumMod val="65000"/>
                    <a:lumOff val="35000"/>
                  </a:schemeClr>
                </a:solidFill>
                <a:latin typeface="+mn-lt"/>
                <a:ea typeface="+mn-ea"/>
                <a:cs typeface="+mn-cs"/>
              </a:defRPr>
            </a:pPr>
            <a:endParaRPr lang="en-US"/>
          </a:p>
        </c:txPr>
        <c:crossAx val="554867375"/>
        <c:crosses val="autoZero"/>
        <c:crossBetween val="midCat"/>
      </c:valAx>
      <c:valAx>
        <c:axId val="554867375"/>
        <c:scaling>
          <c:orientation val="minMax"/>
        </c:scaling>
        <c:delete val="0"/>
        <c:axPos val="l"/>
        <c:title>
          <c:tx>
            <c:rich>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Wiidth (km)</a:t>
                </a:r>
              </a:p>
            </c:rich>
          </c:tx>
          <c:overlay val="0"/>
          <c:spPr>
            <a:noFill/>
            <a:ln>
              <a:noFill/>
            </a:ln>
            <a:effectLst/>
          </c:spPr>
          <c:txPr>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1" i="0" u="none" strike="noStrike" kern="1200" baseline="0">
                <a:solidFill>
                  <a:schemeClr val="tx1">
                    <a:lumMod val="65000"/>
                    <a:lumOff val="35000"/>
                  </a:schemeClr>
                </a:solidFill>
                <a:latin typeface="+mn-lt"/>
                <a:ea typeface="+mn-ea"/>
                <a:cs typeface="+mn-cs"/>
              </a:defRPr>
            </a:pPr>
            <a:endParaRPr lang="en-US"/>
          </a:p>
        </c:txPr>
        <c:crossAx val="55486654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Sheet1!$Y$3</c:f>
              <c:strCache>
                <c:ptCount val="1"/>
                <c:pt idx="0">
                  <c:v>Width(W) km</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sysDot"/>
              </a:ln>
              <a:effectLst/>
            </c:spPr>
            <c:trendlineType val="linear"/>
            <c:dispRSqr val="1"/>
            <c:dispEq val="1"/>
            <c:trendlineLbl>
              <c:layout>
                <c:manualLayout>
                  <c:x val="-0.18043748248940999"/>
                  <c:y val="0.12082550398771499"/>
                </c:manualLayout>
              </c:layout>
              <c:numFmt formatCode="General" sourceLinked="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Sheet1!$W$4:$W$6</c:f>
              <c:numCache>
                <c:formatCode>General</c:formatCode>
                <c:ptCount val="3"/>
                <c:pt idx="0">
                  <c:v>0.4168</c:v>
                </c:pt>
                <c:pt idx="1">
                  <c:v>0.38729999999999998</c:v>
                </c:pt>
                <c:pt idx="2">
                  <c:v>0.69610000000000005</c:v>
                </c:pt>
              </c:numCache>
            </c:numRef>
          </c:xVal>
          <c:yVal>
            <c:numRef>
              <c:f>Sheet1!$Y$4:$Y$6</c:f>
              <c:numCache>
                <c:formatCode>General</c:formatCode>
                <c:ptCount val="3"/>
                <c:pt idx="0">
                  <c:v>1.2800000000000001E-2</c:v>
                </c:pt>
                <c:pt idx="1">
                  <c:v>1.29E-2</c:v>
                </c:pt>
                <c:pt idx="2">
                  <c:v>2.29E-2</c:v>
                </c:pt>
              </c:numCache>
            </c:numRef>
          </c:yVal>
          <c:smooth val="0"/>
          <c:extLst>
            <c:ext xmlns:c16="http://schemas.microsoft.com/office/drawing/2014/chart" uri="{C3380CC4-5D6E-409C-BE32-E72D297353CC}">
              <c16:uniqueId val="{00000001-9F9F-42AC-9F6A-78A83F80A328}"/>
            </c:ext>
          </c:extLst>
        </c:ser>
        <c:dLbls>
          <c:showLegendKey val="0"/>
          <c:showVal val="0"/>
          <c:showCatName val="0"/>
          <c:showSerName val="0"/>
          <c:showPercent val="0"/>
          <c:showBubbleSize val="0"/>
        </c:dLbls>
        <c:axId val="397722463"/>
        <c:axId val="397734527"/>
      </c:scatterChart>
      <c:valAx>
        <c:axId val="397722463"/>
        <c:scaling>
          <c:orientation val="minMax"/>
        </c:scaling>
        <c:delete val="0"/>
        <c:axPos val="b"/>
        <c:title>
          <c:tx>
            <c:rich>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Length</a:t>
                </a:r>
                <a:r>
                  <a:rPr lang="en-US" baseline="0"/>
                  <a:t> (km)</a:t>
                </a:r>
                <a:endParaRPr lang="en-US"/>
              </a:p>
            </c:rich>
          </c:tx>
          <c:overlay val="0"/>
          <c:spPr>
            <a:noFill/>
            <a:ln>
              <a:noFill/>
            </a:ln>
            <a:effectLst/>
          </c:spPr>
          <c:txPr>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1" i="0" u="none" strike="noStrike" kern="1200" baseline="0">
                <a:solidFill>
                  <a:schemeClr val="tx1">
                    <a:lumMod val="65000"/>
                    <a:lumOff val="35000"/>
                  </a:schemeClr>
                </a:solidFill>
                <a:latin typeface="+mn-lt"/>
                <a:ea typeface="+mn-ea"/>
                <a:cs typeface="+mn-cs"/>
              </a:defRPr>
            </a:pPr>
            <a:endParaRPr lang="en-US"/>
          </a:p>
        </c:txPr>
        <c:crossAx val="397734527"/>
        <c:crosses val="autoZero"/>
        <c:crossBetween val="midCat"/>
      </c:valAx>
      <c:valAx>
        <c:axId val="397734527"/>
        <c:scaling>
          <c:orientation val="minMax"/>
        </c:scaling>
        <c:delete val="0"/>
        <c:axPos val="l"/>
        <c:title>
          <c:tx>
            <c:rich>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Width</a:t>
                </a:r>
                <a:r>
                  <a:rPr lang="en-US" baseline="0"/>
                  <a:t> (km)</a:t>
                </a:r>
                <a:endParaRPr lang="en-US"/>
              </a:p>
            </c:rich>
          </c:tx>
          <c:overlay val="0"/>
          <c:spPr>
            <a:noFill/>
            <a:ln>
              <a:noFill/>
            </a:ln>
            <a:effectLst/>
          </c:spPr>
          <c:txPr>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1" i="0" u="none" strike="noStrike" kern="1200" baseline="0">
                <a:solidFill>
                  <a:schemeClr val="tx1">
                    <a:lumMod val="65000"/>
                    <a:lumOff val="35000"/>
                  </a:schemeClr>
                </a:solidFill>
                <a:latin typeface="+mn-lt"/>
                <a:ea typeface="+mn-ea"/>
                <a:cs typeface="+mn-cs"/>
              </a:defRPr>
            </a:pPr>
            <a:endParaRPr lang="en-US"/>
          </a:p>
        </c:txPr>
        <c:crossAx val="39772246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26</Pages>
  <Words>9731</Words>
  <Characters>55468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keywords/>
  <cp:lastModifiedBy>SDI 1180</cp:lastModifiedBy>
  <cp:revision>9</cp:revision>
  <dcterms:created xsi:type="dcterms:W3CDTF">2025-08-13T05:17:00Z</dcterms:created>
  <dcterms:modified xsi:type="dcterms:W3CDTF">2025-08-14T13:00:00Z</dcterms:modified>
</cp:coreProperties>
</file>