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2852" w14:textId="127A4266" w:rsidR="0014298D" w:rsidRPr="0014298D" w:rsidRDefault="0014298D" w:rsidP="0014298D">
      <w:pPr>
        <w:spacing w:line="240" w:lineRule="auto"/>
        <w:rPr>
          <w:rFonts w:ascii="Arial" w:hAnsi="Arial" w:cs="Arial"/>
          <w:b/>
          <w:bCs/>
          <w:sz w:val="36"/>
          <w:szCs w:val="36"/>
          <w:u w:val="single"/>
        </w:rPr>
      </w:pPr>
      <w:r w:rsidRPr="0014298D">
        <w:rPr>
          <w:rFonts w:ascii="Arial" w:hAnsi="Arial" w:cs="Arial"/>
          <w:b/>
          <w:bCs/>
          <w:sz w:val="36"/>
          <w:szCs w:val="36"/>
          <w:u w:val="single"/>
        </w:rPr>
        <w:t>Original Research Article</w:t>
      </w:r>
    </w:p>
    <w:p w14:paraId="177B5BE0" w14:textId="0A2D1B0B" w:rsidR="00F82170" w:rsidRPr="001F745A" w:rsidRDefault="001F745A" w:rsidP="00EF48CD">
      <w:pPr>
        <w:spacing w:line="240" w:lineRule="auto"/>
        <w:jc w:val="center"/>
        <w:rPr>
          <w:rFonts w:ascii="Arial" w:hAnsi="Arial" w:cs="Arial"/>
          <w:b/>
          <w:bCs/>
          <w:sz w:val="36"/>
          <w:szCs w:val="36"/>
        </w:rPr>
      </w:pPr>
      <w:r w:rsidRPr="001F745A">
        <w:rPr>
          <w:rFonts w:ascii="Arial" w:hAnsi="Arial" w:cs="Arial"/>
          <w:b/>
          <w:bCs/>
          <w:sz w:val="36"/>
          <w:szCs w:val="36"/>
        </w:rPr>
        <w:t>GEOTECHNICAL CHARACTERISATION OF SPT-N VALUES AND ENGINEERING PROPERTIES OF FIVE REGIONAL NIGER DELTA SANDY SOILS</w:t>
      </w:r>
    </w:p>
    <w:p w14:paraId="0A2F2D28" w14:textId="64E8AD71" w:rsidR="002570DA" w:rsidRPr="00463BEC" w:rsidRDefault="002570DA" w:rsidP="00463BEC">
      <w:pPr>
        <w:spacing w:line="240" w:lineRule="auto"/>
        <w:jc w:val="center"/>
        <w:rPr>
          <w:rFonts w:ascii="Arial" w:hAnsi="Arial" w:cs="Arial"/>
          <w:i/>
          <w:iCs/>
          <w:sz w:val="20"/>
          <w:szCs w:val="20"/>
        </w:rPr>
      </w:pPr>
    </w:p>
    <w:p w14:paraId="3A6148EF" w14:textId="12597527" w:rsidR="001F745A" w:rsidRPr="001F745A" w:rsidRDefault="00DF3055" w:rsidP="00EF48CD">
      <w:pPr>
        <w:spacing w:line="240" w:lineRule="auto"/>
        <w:rPr>
          <w:rFonts w:ascii="Arial" w:hAnsi="Arial" w:cs="Arial"/>
          <w:sz w:val="20"/>
          <w:szCs w:val="20"/>
        </w:rPr>
      </w:pPr>
      <w:r w:rsidRPr="00DF3055">
        <w:rPr>
          <w:rFonts w:ascii="Arial" w:hAnsi="Arial" w:cs="Arial"/>
          <w:b/>
          <w:bCs/>
          <w:sz w:val="22"/>
          <w:szCs w:val="22"/>
        </w:rPr>
        <w:t>ABSTRACT:</w:t>
      </w:r>
      <w:r>
        <w:rPr>
          <w:rFonts w:ascii="Arial" w:hAnsi="Arial" w:cs="Arial"/>
          <w:b/>
          <w:bCs/>
          <w:sz w:val="20"/>
          <w:szCs w:val="20"/>
        </w:rPr>
        <w:t xml:space="preserve"> </w:t>
      </w:r>
      <w:r w:rsidR="001F745A" w:rsidRPr="001F745A">
        <w:rPr>
          <w:rFonts w:ascii="Arial" w:hAnsi="Arial" w:cs="Arial"/>
          <w:sz w:val="20"/>
          <w:szCs w:val="20"/>
        </w:rPr>
        <w:t>This research provides a thorough geotechnical evaluation of sandy soils from five key sites in Nigeria's Niger Delta. Grain size characteristics, effective overburden pressure, angle of internal friction, and Standard Penetration Test (SPT) N-values were examined in 71 samples taken from the GRA sites, Okansu Bridge, Otuogori Bridge, Rumuibekwe Bridge, and Kana Ataba.</w:t>
      </w:r>
      <w:bookmarkStart w:id="0" w:name="_GoBack"/>
      <w:bookmarkEnd w:id="0"/>
      <w:r w:rsidR="001F745A" w:rsidRPr="001F745A">
        <w:rPr>
          <w:rFonts w:ascii="Arial" w:hAnsi="Arial" w:cs="Arial"/>
          <w:sz w:val="20"/>
          <w:szCs w:val="20"/>
        </w:rPr>
        <w:t xml:space="preserve"> Friction angles varied between 26° and 38°, SPT-N values between 4 and 51, and effective overburden pressures between 26.10 and 304.77 kPa. While there were no significant changes in friction angles or effective overburden pressures, statistical analysis demonstrated considerable geographic variability in SPT-N values between sites (p &lt; 0.05).</w:t>
      </w:r>
      <w:r w:rsidR="001F745A">
        <w:rPr>
          <w:rFonts w:ascii="Arial" w:hAnsi="Arial" w:cs="Arial"/>
          <w:sz w:val="20"/>
          <w:szCs w:val="20"/>
        </w:rPr>
        <w:t xml:space="preserve"> </w:t>
      </w:r>
      <w:r w:rsidR="001F745A" w:rsidRPr="001F745A">
        <w:rPr>
          <w:rFonts w:ascii="Arial" w:hAnsi="Arial" w:cs="Arial"/>
          <w:sz w:val="20"/>
          <w:szCs w:val="20"/>
        </w:rPr>
        <w:t>Grain size studies showed that the soils were mostly sandy, with D50 values between 0.002 and 2.008 mm. In this economically significant area, the study establishes baseline geotechnical parameters necessary for foundation design and infrastructure development by offering the first complete regional database for sandy soils in the Niger Delta.</w:t>
      </w:r>
    </w:p>
    <w:p w14:paraId="089B74AF" w14:textId="77777777" w:rsidR="00606ED0" w:rsidRPr="00F031EC" w:rsidRDefault="00606ED0" w:rsidP="00EF48CD">
      <w:pPr>
        <w:spacing w:line="240" w:lineRule="auto"/>
        <w:jc w:val="both"/>
        <w:rPr>
          <w:rFonts w:ascii="Arial" w:hAnsi="Arial" w:cs="Arial"/>
          <w:i/>
          <w:iCs/>
          <w:sz w:val="20"/>
          <w:szCs w:val="20"/>
        </w:rPr>
      </w:pPr>
      <w:r w:rsidRPr="00F031EC">
        <w:rPr>
          <w:rFonts w:ascii="Arial" w:hAnsi="Arial" w:cs="Arial"/>
          <w:b/>
          <w:bCs/>
          <w:i/>
          <w:iCs/>
          <w:sz w:val="20"/>
          <w:szCs w:val="20"/>
        </w:rPr>
        <w:t>Keywords:</w:t>
      </w:r>
      <w:r w:rsidRPr="00F031EC">
        <w:rPr>
          <w:rFonts w:ascii="Arial" w:hAnsi="Arial" w:cs="Arial"/>
          <w:i/>
          <w:iCs/>
          <w:sz w:val="20"/>
          <w:szCs w:val="20"/>
        </w:rPr>
        <w:t xml:space="preserve"> Niger Delta, sandy soils, Standard Penetration Test, spatial variability, geotechnical characterization</w:t>
      </w:r>
    </w:p>
    <w:p w14:paraId="0F403267" w14:textId="77777777" w:rsidR="006C29BF" w:rsidRPr="001F745A" w:rsidRDefault="006C29BF" w:rsidP="00EF48CD">
      <w:pPr>
        <w:spacing w:line="240" w:lineRule="auto"/>
        <w:jc w:val="both"/>
        <w:rPr>
          <w:rFonts w:ascii="Arial" w:hAnsi="Arial" w:cs="Arial"/>
          <w:sz w:val="20"/>
          <w:szCs w:val="20"/>
        </w:rPr>
      </w:pPr>
    </w:p>
    <w:p w14:paraId="4ED81AF1" w14:textId="2B75DD2B" w:rsidR="00606ED0" w:rsidRPr="00F031EC" w:rsidRDefault="001F745A" w:rsidP="00F031EC">
      <w:pPr>
        <w:pStyle w:val="Heading1"/>
      </w:pPr>
      <w:r w:rsidRPr="00F031EC">
        <w:t>INTRODUCTION</w:t>
      </w:r>
    </w:p>
    <w:p w14:paraId="4C6DF3C3" w14:textId="77777777" w:rsidR="00073EBB" w:rsidRPr="00073EBB" w:rsidRDefault="00073EBB" w:rsidP="00EF48CD">
      <w:pPr>
        <w:spacing w:line="240" w:lineRule="auto"/>
        <w:jc w:val="both"/>
        <w:rPr>
          <w:rFonts w:ascii="Arial" w:hAnsi="Arial" w:cs="Arial"/>
          <w:sz w:val="20"/>
          <w:szCs w:val="20"/>
        </w:rPr>
      </w:pPr>
      <w:r w:rsidRPr="00073EBB">
        <w:rPr>
          <w:rFonts w:ascii="Arial" w:hAnsi="Arial" w:cs="Arial"/>
          <w:sz w:val="20"/>
          <w:szCs w:val="20"/>
        </w:rPr>
        <w:t>Nigeria's Niger Delta is one of the most important petroleum-producing regions in the world, with a vast infrastructure development that includes pipelines, refineries, oil platforms, and related facilities. Due to the region's complicated geological past, which is marked by fast sedimentation and deltaic processes, many soil types have been produced, posing particular difficulties for the practice of geotechnical engineering. Although this region is economically significant, there is still a lack of thorough geotechnical characterization of its sandy soils, which leads to knowledge gaps in engineering that affect the design of safe and cost-effective infrastructure. N-values from the Standard Penetration Test (SPT) are essential metrics in geotechnical engineering that give vital details on the density, consistency, and strength properties of soil.</w:t>
      </w:r>
      <w:r>
        <w:rPr>
          <w:rFonts w:ascii="Arial" w:hAnsi="Arial" w:cs="Arial"/>
          <w:sz w:val="20"/>
          <w:szCs w:val="20"/>
        </w:rPr>
        <w:t xml:space="preserve"> </w:t>
      </w:r>
      <w:r w:rsidRPr="00073EBB">
        <w:rPr>
          <w:rFonts w:ascii="Arial" w:hAnsi="Arial" w:cs="Arial"/>
          <w:sz w:val="20"/>
          <w:szCs w:val="20"/>
        </w:rPr>
        <w:t>Numerous studies have examined the connection between SPT resistance and engineering qualities in a variety of geological contexts around the globe (Cubrinovski &amp; Ishihara, 1999; Hatanaka &amp; Uchida, 1996; Mujtaba et al., 2018). However, there are still few studies that specifically address the circumstances in the Niger Delta. According to earlier studies, SPT-soil property correlations are greatly influenced by regional geological circumstances, which calls for location-specific characterisation investigations (Phoon &amp; Kulhawy, 1999; Anbazhagan &amp; Sitharam, 2010). For SPT-based geotechnical parameter estimation, a number of empirical correlations have been established worldwide. One of the first associations between SPT N-values and bearing capacity for sandy soils was made by Meyerhof (1957), while Cubrinovski and Ishihara (1999) created thorough connections between SPT resistance and relative density. The impact of several elements, such as particle size, uniformity coefficient, and effective overburden stress, on penetration resistance values was highlighted in more recent research by Ghali et al. (2018), which suggested frameworks to enhance SPT-N correlations with geotechnical parameters in sand.</w:t>
      </w:r>
    </w:p>
    <w:p w14:paraId="395D7A66" w14:textId="4F721DB9" w:rsidR="009405C2" w:rsidRPr="009405C2" w:rsidRDefault="00073EBB" w:rsidP="00EF48CD">
      <w:pPr>
        <w:spacing w:line="240" w:lineRule="auto"/>
        <w:jc w:val="both"/>
        <w:rPr>
          <w:rFonts w:ascii="Arial" w:hAnsi="Arial" w:cs="Arial"/>
          <w:sz w:val="20"/>
          <w:szCs w:val="20"/>
        </w:rPr>
      </w:pPr>
      <w:r w:rsidRPr="00073EBB">
        <w:rPr>
          <w:rFonts w:ascii="Arial" w:hAnsi="Arial" w:cs="Arial"/>
          <w:sz w:val="20"/>
          <w:szCs w:val="20"/>
        </w:rPr>
        <w:t>One of the first associations between SPT N-values and bearing capacity for sandy soils was made by Meyerhof (1957), while Cubrinovski and Ishihara (1999) created thorough connections between SPT resistance and relative density. The impact of several elements, such as particle size, uniformity coefficient, and effective overburden stress, on penetration resistance values was highlighted in more recent research by Ghali et al. (2018), which suggested frameworks to enhance SPT-N correlations with geotechnical parameters in sand.</w:t>
      </w:r>
      <w:r w:rsidR="009405C2">
        <w:rPr>
          <w:rFonts w:ascii="Arial" w:hAnsi="Arial" w:cs="Arial"/>
          <w:sz w:val="20"/>
          <w:szCs w:val="20"/>
        </w:rPr>
        <w:t xml:space="preserve"> </w:t>
      </w:r>
      <w:r w:rsidR="009405C2" w:rsidRPr="009405C2">
        <w:rPr>
          <w:rFonts w:ascii="Arial" w:hAnsi="Arial" w:cs="Arial"/>
          <w:sz w:val="20"/>
          <w:szCs w:val="20"/>
        </w:rPr>
        <w:t>Local geological circumstances are crucial for the establishment of SPT correlations, as regional studies have repeatedly shown. SPT-CPT correlations for sandy soils in Brazil were studied by Dos Santos and Bicalho (2017), whereas Khan et al. (2022) created correlations for reclaimed land close to Dubai. Similar associations were created for Tanzanian sandy soils by Lingwanda et al. (2015) and for alluvial deposits in Dhaka city by Arifuzzaman and Anisuzzaman (2022). All of these studies highlight how geographical features, geological history, and soil depositional environment have a big impact on SPT-based correlations.</w:t>
      </w:r>
      <w:r w:rsidR="009405C2">
        <w:rPr>
          <w:rFonts w:ascii="Arial" w:hAnsi="Arial" w:cs="Arial"/>
          <w:sz w:val="20"/>
          <w:szCs w:val="20"/>
        </w:rPr>
        <w:t xml:space="preserve"> </w:t>
      </w:r>
      <w:r w:rsidR="009405C2" w:rsidRPr="009405C2">
        <w:rPr>
          <w:rFonts w:ascii="Arial" w:hAnsi="Arial" w:cs="Arial"/>
          <w:sz w:val="20"/>
          <w:szCs w:val="20"/>
        </w:rPr>
        <w:t xml:space="preserve">Advanced statistical and machine learning techniques have been used in recent studies to increase correlation accuracy. In order to estimate friction angles for silty sands, Sabab et al. (2022) used machine learning techniques to analyze SPT data. Ullah et al. (2025) created machine learning methods for predicting internal friction angles using SPT </w:t>
      </w:r>
      <w:r w:rsidR="009405C2" w:rsidRPr="009405C2">
        <w:rPr>
          <w:rFonts w:ascii="Arial" w:hAnsi="Arial" w:cs="Arial"/>
          <w:sz w:val="20"/>
          <w:szCs w:val="20"/>
        </w:rPr>
        <w:lastRenderedPageBreak/>
        <w:t>records. Tree-based machine learning methods were studied by Demir and Sahin (2022, 2023) for the prediction of geotechnical parameters, and they performed better than conventional regression techniques. The unique depositional environment of the Niger Delta, which is marked by complicated stratigraphic sequences and fast rates of sedimentation, produces soil conditions that could behave differently than in other deltaic settings.</w:t>
      </w:r>
    </w:p>
    <w:p w14:paraId="4EF525C4" w14:textId="43DF96A8"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In order to facilitate trustworthy foundation design and geotechnical analysis, the area's sandy deposits—which were created by fluvial, marine, and estuarine processes—display different grain size distributions, density states, and engineering characteristics that call for methodical research (Kalantary et al., 2009; Kim et al., 2022). When it comes to geotechnical characterisation, spatial variability is crucial, especially in intricate depositional systems like the Niger Delta. More precise site-specific design techniques and enhanced risk assessment for infrastructure projects are made possible by an understanding of the distribution and fluctuation of soil qualities across various places (Kumar et al., 2016; Hettiarachchi &amp; Brown, 2009).</w:t>
      </w:r>
      <w:r>
        <w:rPr>
          <w:rFonts w:ascii="Arial" w:hAnsi="Arial" w:cs="Arial"/>
          <w:sz w:val="20"/>
          <w:szCs w:val="20"/>
        </w:rPr>
        <w:t xml:space="preserve"> </w:t>
      </w:r>
      <w:r w:rsidRPr="009405C2">
        <w:rPr>
          <w:rFonts w:ascii="Arial" w:hAnsi="Arial" w:cs="Arial"/>
          <w:sz w:val="20"/>
          <w:szCs w:val="20"/>
        </w:rPr>
        <w:t>The capacity to assess spatial variability and detect notable variations in soil qualities across geographic regions has improved due to recent developments in statistical analytic tools. Providing a thorough geotechnical evaluation of sandy soils from five key locations in the Niger Delta area with an emphasis on SPT-N values, engineering characteristics, and spatial variability assessment is the aim of this work. The first regional database of geotechnical characteristics tailored to sandy soils in the Niger Delta is created by this study, offering crucial baseline data for geotechnical engineering practice in this economically vital area.</w:t>
      </w:r>
    </w:p>
    <w:p w14:paraId="5F62CEC7" w14:textId="18BE2A78" w:rsidR="00606ED0" w:rsidRPr="00F031EC" w:rsidRDefault="00F031EC" w:rsidP="00F031EC">
      <w:pPr>
        <w:pStyle w:val="Heading1"/>
      </w:pPr>
      <w:r w:rsidRPr="00F031EC">
        <w:t>MATERIALS AND METHOD</w:t>
      </w:r>
    </w:p>
    <w:p w14:paraId="6CA384FA" w14:textId="77777777" w:rsidR="00606ED0" w:rsidRPr="00F031EC" w:rsidRDefault="00606ED0" w:rsidP="00F031EC">
      <w:pPr>
        <w:pStyle w:val="Heading2"/>
      </w:pPr>
      <w:r w:rsidRPr="00F031EC">
        <w:t>2.1 Study Area</w:t>
      </w:r>
    </w:p>
    <w:p w14:paraId="3BEDBAF2"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In Nigeria's Niger Delta, the research was carried out in five key locations, including parts of the states of Rivers and Bayelsa. Approximately 70,000 km² in size, the Niger Delta makes up 7.5% of Nigeria's landmass and is distinguished by its many natural zones, which include freshwater forests and coastal mangroves, as well as intricate hydrological systems. Kana Ataba (4°46'13.74"N, 7°28'6.42"E) in Andoni Local Government Area, which represents the coastal lowland zone at 5–10 meters above mean sea level; Okansu (5.33°N, 6.69°E) in Ogba/Egbema/Ndoni Local Government Area, which represents the transitional upland zone at 26 meters; and Otuogari (4°39'00"N, 6°16'00"E) in Ogbia Local Government Area, Bayelsa State, which represents the core Niger Delta wetland zone at 2–8 meters above mean sea level</w:t>
      </w:r>
      <w:r w:rsidR="00606ED0" w:rsidRPr="001F745A">
        <w:rPr>
          <w:rFonts w:ascii="Arial" w:hAnsi="Arial" w:cs="Arial"/>
          <w:sz w:val="20"/>
          <w:szCs w:val="20"/>
        </w:rPr>
        <w:t xml:space="preserve">; </w:t>
      </w:r>
      <w:r w:rsidRPr="009405C2">
        <w:rPr>
          <w:rFonts w:ascii="Arial" w:hAnsi="Arial" w:cs="Arial"/>
          <w:sz w:val="20"/>
          <w:szCs w:val="20"/>
        </w:rPr>
        <w:t>Rumuibekwe in Obio/Akpor Local Government Area, which represents the peri-urban zone at altitudes below 15.24 meters; and GRA in Port Harcourt, which represents the urban zone at elevations between 8 and 15 meters (4°49'16"N, 7°0'4"E). A tropical monsoon climate prevails in the area, with mean annual temperatures of 28.64°C and 2,000–2,900 millimeters of precipitation. The study area's varied soil profiles are a result of marine and estuarine sedimentary impacts, whereas the geological backdrop is composed of Quaternary to Recent alluvial deposits covering coastal plain sands.</w:t>
      </w:r>
    </w:p>
    <w:p w14:paraId="741BA117" w14:textId="2A29A737" w:rsidR="00630DBF" w:rsidRPr="001F745A" w:rsidRDefault="00630DBF" w:rsidP="00EF48CD">
      <w:pPr>
        <w:spacing w:line="240" w:lineRule="auto"/>
        <w:jc w:val="both"/>
        <w:rPr>
          <w:rFonts w:ascii="Arial" w:hAnsi="Arial" w:cs="Arial"/>
          <w:sz w:val="20"/>
          <w:szCs w:val="20"/>
        </w:rPr>
      </w:pPr>
      <w:r w:rsidRPr="001F745A">
        <w:rPr>
          <w:rFonts w:ascii="Arial" w:hAnsi="Arial" w:cs="Arial"/>
          <w:noProof/>
          <w:sz w:val="20"/>
          <w:szCs w:val="20"/>
        </w:rPr>
        <w:drawing>
          <wp:inline distT="0" distB="0" distL="0" distR="0" wp14:anchorId="0BB93F30" wp14:editId="52224369">
            <wp:extent cx="5731186" cy="2990850"/>
            <wp:effectExtent l="19050" t="19050" r="22225" b="19050"/>
            <wp:docPr id="90714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754" cy="2991668"/>
                    </a:xfrm>
                    <a:prstGeom prst="rect">
                      <a:avLst/>
                    </a:prstGeom>
                    <a:noFill/>
                    <a:ln>
                      <a:solidFill>
                        <a:schemeClr val="bg1">
                          <a:lumMod val="85000"/>
                        </a:schemeClr>
                      </a:solidFill>
                    </a:ln>
                  </pic:spPr>
                </pic:pic>
              </a:graphicData>
            </a:graphic>
          </wp:inline>
        </w:drawing>
      </w:r>
    </w:p>
    <w:p w14:paraId="372D33E3" w14:textId="4E8E6178" w:rsidR="00630DBF" w:rsidRPr="001F745A" w:rsidRDefault="00630DBF" w:rsidP="00EF48CD">
      <w:pPr>
        <w:spacing w:line="240" w:lineRule="auto"/>
        <w:jc w:val="both"/>
        <w:rPr>
          <w:rFonts w:ascii="Arial" w:hAnsi="Arial" w:cs="Arial"/>
          <w:sz w:val="20"/>
          <w:szCs w:val="20"/>
        </w:rPr>
      </w:pPr>
      <w:r w:rsidRPr="001F745A">
        <w:rPr>
          <w:rFonts w:ascii="Arial" w:hAnsi="Arial" w:cs="Arial"/>
          <w:b/>
          <w:bCs/>
          <w:sz w:val="20"/>
          <w:szCs w:val="20"/>
        </w:rPr>
        <w:t>Figure 1</w:t>
      </w:r>
      <w:r w:rsidRPr="001F745A">
        <w:rPr>
          <w:rFonts w:ascii="Arial" w:hAnsi="Arial" w:cs="Arial"/>
          <w:sz w:val="20"/>
          <w:szCs w:val="20"/>
        </w:rPr>
        <w:t xml:space="preserve">: Map of </w:t>
      </w:r>
      <w:r w:rsidR="0004670E" w:rsidRPr="001F745A">
        <w:rPr>
          <w:rFonts w:ascii="Arial" w:hAnsi="Arial" w:cs="Arial"/>
          <w:sz w:val="20"/>
          <w:szCs w:val="20"/>
        </w:rPr>
        <w:t xml:space="preserve">the </w:t>
      </w:r>
      <w:r w:rsidRPr="001F745A">
        <w:rPr>
          <w:rFonts w:ascii="Arial" w:hAnsi="Arial" w:cs="Arial"/>
          <w:sz w:val="20"/>
          <w:szCs w:val="20"/>
        </w:rPr>
        <w:t>study Area</w:t>
      </w:r>
    </w:p>
    <w:p w14:paraId="1C4D32A1" w14:textId="77777777" w:rsidR="00606ED0" w:rsidRPr="001F745A" w:rsidRDefault="00606ED0" w:rsidP="00F031EC">
      <w:pPr>
        <w:pStyle w:val="Heading2"/>
      </w:pPr>
      <w:r w:rsidRPr="001F745A">
        <w:lastRenderedPageBreak/>
        <w:t>2.2 Data Collection</w:t>
      </w:r>
    </w:p>
    <w:p w14:paraId="48DC17C1"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Systematic sampling techniques were used to gather 71 soil samples from the five key sites. To guarantee constant energy delivery and accurate blow count readings, Standard Penetration Testing was carried out in accordance with ASTM D1586 criteria utilizing calibrated drilling equipment with automated trip hammers. Continuous soil logging and description were conducted during the drilling operation, and SPT testing was carried out at regular depth intervals, usually every 1.5 meters.</w:t>
      </w:r>
    </w:p>
    <w:p w14:paraId="43240C34"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The laboratory testing programs comprised unit weight measurements utilizing calibrated processes, thorough grain size analysis by sieve analysis, moisture content determination using oven-drying methods, and consolidated drained triaxial compression tests for determining friction angle. All laboratory testing was carried out at approved geotechnical labs in accordance with quality control guidelines and standard operating procedures.</w:t>
      </w:r>
    </w:p>
    <w:p w14:paraId="592FCAA6" w14:textId="77777777" w:rsidR="009405C2" w:rsidRPr="009405C2" w:rsidRDefault="009405C2" w:rsidP="00EF48CD">
      <w:pPr>
        <w:spacing w:line="240" w:lineRule="auto"/>
        <w:jc w:val="both"/>
        <w:rPr>
          <w:rFonts w:ascii="Arial" w:hAnsi="Arial" w:cs="Arial"/>
          <w:sz w:val="20"/>
          <w:szCs w:val="20"/>
        </w:rPr>
      </w:pPr>
      <w:r w:rsidRPr="009405C2">
        <w:rPr>
          <w:rFonts w:ascii="Arial" w:hAnsi="Arial" w:cs="Arial"/>
          <w:sz w:val="20"/>
          <w:szCs w:val="20"/>
        </w:rPr>
        <w:t>With depths ranging from 3 to 34.5 meters below the surface, the sampling distribution comprised 14 samples from Kana Ataba, 12 from Okansu Bridge, 26 from Otuogori Bridge, 16 from Rumuibekwe Bridge, and 3 from GRA. This distribution preserved enough data density for statistical analysis while guaranteeing proper representation of the various physiographic zones within the Niger Delta.</w:t>
      </w:r>
    </w:p>
    <w:p w14:paraId="3D8A16DD" w14:textId="77777777" w:rsidR="00606ED0" w:rsidRPr="001F745A" w:rsidRDefault="00606ED0" w:rsidP="00F031EC">
      <w:pPr>
        <w:pStyle w:val="Heading2"/>
      </w:pPr>
      <w:r w:rsidRPr="001F745A">
        <w:t>2.3 Data Analysis</w:t>
      </w:r>
    </w:p>
    <w:p w14:paraId="14201F56"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In order to identify suitable statistical methods for further analysis, normality testing was carried out using the Shapiro-Wilk and Anderson-Darling tests. In order to account for different data distribution features, statistical analysis used both parametric and non-parametric approaches. Measures of dispersion (standard deviation, coefficient of variation), central tendency (mean, median), and distribution shape (skewness) were all included in descriptive statistics.</w:t>
      </w:r>
    </w:p>
    <w:p w14:paraId="424BD7D8"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In order to analyze significant variations in geotechnical parameters across sample locations, the Kruskal-Wallis test was used. Dunn's post-hoc multiple comparison test was then used to pinpoint location pairings that showed significant differences. The non-parametric method was used to account for any non-normal data distributions and disparities in sample sizes among sites. The significance levels for all statistical analyses were set at α = 0.05, and the appropriate software was used.</w:t>
      </w:r>
    </w:p>
    <w:p w14:paraId="242BC751" w14:textId="677259B7" w:rsidR="00606ED0" w:rsidRPr="001F745A" w:rsidRDefault="00606ED0" w:rsidP="00F031EC">
      <w:pPr>
        <w:pStyle w:val="Heading1"/>
      </w:pPr>
      <w:r w:rsidRPr="001F745A">
        <w:t xml:space="preserve"> Results</w:t>
      </w:r>
    </w:p>
    <w:p w14:paraId="3E8A2B45" w14:textId="77777777" w:rsidR="00606ED0" w:rsidRPr="001F745A" w:rsidRDefault="00606ED0" w:rsidP="00F031EC">
      <w:pPr>
        <w:pStyle w:val="Heading2"/>
      </w:pPr>
      <w:r w:rsidRPr="001F745A">
        <w:t>3.1 Statistical Description of Geotechnical Parameters</w:t>
      </w:r>
    </w:p>
    <w:p w14:paraId="33361E7A"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thorough examination of SPT-N values at each of the five sampling sites showed significant differences in the properties of soil penetration resistance. The study's summary data for each of the geotechnical parameters examined are shown in Table 1. A coefficient of variation of 39.69% indicated significant variability in SPT-N values, suggesting that soil conditions varied throughout the research region. The distribution with a longer tail toward lower SPT-N values is suggested by the negative skewness (-0.46), which is in line with the deltaic depositional environment where loose to medium packed circumstances are more common.</w:t>
      </w:r>
      <w:r>
        <w:rPr>
          <w:rFonts w:ascii="Arial" w:hAnsi="Arial" w:cs="Arial"/>
          <w:sz w:val="20"/>
          <w:szCs w:val="20"/>
        </w:rPr>
        <w:t xml:space="preserve"> </w:t>
      </w:r>
      <w:r w:rsidRPr="00EF48CD">
        <w:rPr>
          <w:rFonts w:ascii="Arial" w:hAnsi="Arial" w:cs="Arial"/>
          <w:sz w:val="20"/>
          <w:szCs w:val="20"/>
        </w:rPr>
        <w:t>Friction angles exhibited a minor tendency toward higher values, with positive skewness (0.27) and rather moderate variability (CV = 8.55%). Given that the soils under investigation were primarily sandy, the small range (26° to 38°) indicates a uniform mineralogical composition throughout the area. In generally homogenous soil profiles, effective overburden pressure showed a linear relationship between stress and depth, with a nearly symmetrical distribution (skewness = 0.14) and moderate variability (CV = 48.42%).</w:t>
      </w:r>
    </w:p>
    <w:p w14:paraId="31BC33FC" w14:textId="77777777" w:rsidR="0004670E" w:rsidRPr="001F745A" w:rsidRDefault="0004670E" w:rsidP="00EF48CD">
      <w:pPr>
        <w:spacing w:line="240" w:lineRule="auto"/>
        <w:jc w:val="both"/>
        <w:rPr>
          <w:rFonts w:ascii="Arial" w:hAnsi="Arial" w:cs="Arial"/>
          <w:sz w:val="20"/>
          <w:szCs w:val="20"/>
        </w:rPr>
      </w:pPr>
    </w:p>
    <w:p w14:paraId="77301B4E" w14:textId="77777777" w:rsidR="00693BD1" w:rsidRDefault="00693BD1">
      <w:pPr>
        <w:rPr>
          <w:rFonts w:ascii="Arial" w:hAnsi="Arial" w:cs="Arial"/>
          <w:b/>
          <w:bCs/>
          <w:sz w:val="20"/>
          <w:szCs w:val="20"/>
        </w:rPr>
      </w:pPr>
      <w:r>
        <w:rPr>
          <w:rFonts w:ascii="Arial" w:hAnsi="Arial" w:cs="Arial"/>
          <w:b/>
          <w:bCs/>
          <w:sz w:val="20"/>
          <w:szCs w:val="20"/>
        </w:rPr>
        <w:br w:type="page"/>
      </w:r>
    </w:p>
    <w:p w14:paraId="120B6A95" w14:textId="0780E725"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lastRenderedPageBreak/>
        <w:t xml:space="preserve">Table 1: </w:t>
      </w:r>
      <w:r w:rsidRPr="001F745A">
        <w:rPr>
          <w:rFonts w:ascii="Arial" w:hAnsi="Arial" w:cs="Arial"/>
          <w:sz w:val="20"/>
          <w:szCs w:val="20"/>
        </w:rPr>
        <w:t>Statistical Summary of Geotechnical Parameters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87"/>
        <w:gridCol w:w="788"/>
        <w:gridCol w:w="835"/>
        <w:gridCol w:w="931"/>
        <w:gridCol w:w="1001"/>
        <w:gridCol w:w="695"/>
        <w:gridCol w:w="835"/>
        <w:gridCol w:w="876"/>
        <w:gridCol w:w="1298"/>
      </w:tblGrid>
      <w:tr w:rsidR="00C30636" w:rsidRPr="001F745A" w14:paraId="7E296B48" w14:textId="77777777" w:rsidTr="00693BD1">
        <w:trPr>
          <w:trHeight w:val="509"/>
          <w:tblHeader/>
          <w:tblCellSpacing w:w="15" w:type="dxa"/>
        </w:trPr>
        <w:tc>
          <w:tcPr>
            <w:tcW w:w="1253" w:type="pct"/>
            <w:tcBorders>
              <w:top w:val="single" w:sz="4" w:space="0" w:color="auto"/>
              <w:bottom w:val="single" w:sz="4" w:space="0" w:color="auto"/>
            </w:tcBorders>
            <w:vAlign w:val="center"/>
            <w:hideMark/>
          </w:tcPr>
          <w:p w14:paraId="5B048675"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Parameter</w:t>
            </w:r>
          </w:p>
        </w:tc>
        <w:tc>
          <w:tcPr>
            <w:tcW w:w="389" w:type="pct"/>
            <w:tcBorders>
              <w:top w:val="single" w:sz="4" w:space="0" w:color="auto"/>
              <w:bottom w:val="single" w:sz="4" w:space="0" w:color="auto"/>
            </w:tcBorders>
            <w:vAlign w:val="center"/>
            <w:hideMark/>
          </w:tcPr>
          <w:p w14:paraId="57A71669"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413" w:type="pct"/>
            <w:tcBorders>
              <w:top w:val="single" w:sz="4" w:space="0" w:color="auto"/>
              <w:bottom w:val="single" w:sz="4" w:space="0" w:color="auto"/>
            </w:tcBorders>
            <w:vAlign w:val="center"/>
            <w:hideMark/>
          </w:tcPr>
          <w:p w14:paraId="4013A72A"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w:t>
            </w:r>
          </w:p>
        </w:tc>
        <w:tc>
          <w:tcPr>
            <w:tcW w:w="462" w:type="pct"/>
            <w:tcBorders>
              <w:top w:val="single" w:sz="4" w:space="0" w:color="auto"/>
              <w:bottom w:val="single" w:sz="4" w:space="0" w:color="auto"/>
            </w:tcBorders>
            <w:vAlign w:val="center"/>
            <w:hideMark/>
          </w:tcPr>
          <w:p w14:paraId="4D00DB1C"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w:t>
            </w:r>
          </w:p>
        </w:tc>
        <w:tc>
          <w:tcPr>
            <w:tcW w:w="498" w:type="pct"/>
            <w:tcBorders>
              <w:top w:val="single" w:sz="4" w:space="0" w:color="auto"/>
              <w:bottom w:val="single" w:sz="4" w:space="0" w:color="auto"/>
            </w:tcBorders>
            <w:vAlign w:val="center"/>
            <w:hideMark/>
          </w:tcPr>
          <w:p w14:paraId="34E2ADB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341" w:type="pct"/>
            <w:tcBorders>
              <w:top w:val="single" w:sz="4" w:space="0" w:color="auto"/>
              <w:bottom w:val="single" w:sz="4" w:space="0" w:color="auto"/>
            </w:tcBorders>
            <w:vAlign w:val="center"/>
            <w:hideMark/>
          </w:tcPr>
          <w:p w14:paraId="7730336D"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w:t>
            </w:r>
          </w:p>
        </w:tc>
        <w:tc>
          <w:tcPr>
            <w:tcW w:w="413" w:type="pct"/>
            <w:tcBorders>
              <w:top w:val="single" w:sz="4" w:space="0" w:color="auto"/>
              <w:bottom w:val="single" w:sz="4" w:space="0" w:color="auto"/>
            </w:tcBorders>
            <w:vAlign w:val="center"/>
            <w:hideMark/>
          </w:tcPr>
          <w:p w14:paraId="0F31E1E6"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w:t>
            </w:r>
          </w:p>
        </w:tc>
        <w:tc>
          <w:tcPr>
            <w:tcW w:w="434" w:type="pct"/>
            <w:tcBorders>
              <w:top w:val="single" w:sz="4" w:space="0" w:color="auto"/>
              <w:bottom w:val="single" w:sz="4" w:space="0" w:color="auto"/>
            </w:tcBorders>
            <w:vAlign w:val="center"/>
            <w:hideMark/>
          </w:tcPr>
          <w:p w14:paraId="07B3ED6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CV (%)</w:t>
            </w:r>
          </w:p>
        </w:tc>
        <w:tc>
          <w:tcPr>
            <w:tcW w:w="642" w:type="pct"/>
            <w:tcBorders>
              <w:top w:val="single" w:sz="4" w:space="0" w:color="auto"/>
              <w:bottom w:val="single" w:sz="4" w:space="0" w:color="auto"/>
            </w:tcBorders>
            <w:vAlign w:val="center"/>
            <w:hideMark/>
          </w:tcPr>
          <w:p w14:paraId="1CA84345"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Skewness</w:t>
            </w:r>
          </w:p>
        </w:tc>
      </w:tr>
      <w:tr w:rsidR="00C30636" w:rsidRPr="001F745A" w14:paraId="08F7F0F6" w14:textId="77777777" w:rsidTr="00693BD1">
        <w:trPr>
          <w:trHeight w:val="484"/>
          <w:tblCellSpacing w:w="15" w:type="dxa"/>
        </w:trPr>
        <w:tc>
          <w:tcPr>
            <w:tcW w:w="1253" w:type="pct"/>
            <w:vAlign w:val="center"/>
            <w:hideMark/>
          </w:tcPr>
          <w:p w14:paraId="1605925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SPT-N</w:t>
            </w:r>
          </w:p>
        </w:tc>
        <w:tc>
          <w:tcPr>
            <w:tcW w:w="389" w:type="pct"/>
            <w:vAlign w:val="center"/>
            <w:hideMark/>
          </w:tcPr>
          <w:p w14:paraId="6ECC87C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vAlign w:val="center"/>
            <w:hideMark/>
          </w:tcPr>
          <w:p w14:paraId="378275A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28.32</w:t>
            </w:r>
          </w:p>
        </w:tc>
        <w:tc>
          <w:tcPr>
            <w:tcW w:w="462" w:type="pct"/>
            <w:vAlign w:val="center"/>
            <w:hideMark/>
          </w:tcPr>
          <w:p w14:paraId="22E93C4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498" w:type="pct"/>
            <w:vAlign w:val="center"/>
            <w:hideMark/>
          </w:tcPr>
          <w:p w14:paraId="68BB104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11.24</w:t>
            </w:r>
          </w:p>
        </w:tc>
        <w:tc>
          <w:tcPr>
            <w:tcW w:w="341" w:type="pct"/>
            <w:vAlign w:val="center"/>
            <w:hideMark/>
          </w:tcPr>
          <w:p w14:paraId="6B6BE6A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4.00</w:t>
            </w:r>
          </w:p>
        </w:tc>
        <w:tc>
          <w:tcPr>
            <w:tcW w:w="413" w:type="pct"/>
            <w:vAlign w:val="center"/>
            <w:hideMark/>
          </w:tcPr>
          <w:p w14:paraId="257D833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51.00</w:t>
            </w:r>
          </w:p>
        </w:tc>
        <w:tc>
          <w:tcPr>
            <w:tcW w:w="434" w:type="pct"/>
            <w:vAlign w:val="center"/>
            <w:hideMark/>
          </w:tcPr>
          <w:p w14:paraId="5B1FC54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39.69</w:t>
            </w:r>
          </w:p>
        </w:tc>
        <w:tc>
          <w:tcPr>
            <w:tcW w:w="642" w:type="pct"/>
            <w:vAlign w:val="center"/>
            <w:hideMark/>
          </w:tcPr>
          <w:p w14:paraId="6CE0D92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-0.46</w:t>
            </w:r>
          </w:p>
        </w:tc>
      </w:tr>
      <w:tr w:rsidR="00C30636" w:rsidRPr="001F745A" w14:paraId="3B0EBC1F" w14:textId="77777777" w:rsidTr="00693BD1">
        <w:trPr>
          <w:trHeight w:val="509"/>
          <w:tblCellSpacing w:w="15" w:type="dxa"/>
        </w:trPr>
        <w:tc>
          <w:tcPr>
            <w:tcW w:w="1253" w:type="pct"/>
            <w:tcBorders>
              <w:bottom w:val="single" w:sz="4" w:space="0" w:color="auto"/>
            </w:tcBorders>
            <w:vAlign w:val="center"/>
            <w:hideMark/>
          </w:tcPr>
          <w:p w14:paraId="2AE3B29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Friction Angle (°)</w:t>
            </w:r>
          </w:p>
        </w:tc>
        <w:tc>
          <w:tcPr>
            <w:tcW w:w="389" w:type="pct"/>
            <w:tcBorders>
              <w:bottom w:val="single" w:sz="4" w:space="0" w:color="auto"/>
            </w:tcBorders>
            <w:vAlign w:val="center"/>
            <w:hideMark/>
          </w:tcPr>
          <w:p w14:paraId="7C47C8B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tcBorders>
              <w:bottom w:val="single" w:sz="4" w:space="0" w:color="auto"/>
            </w:tcBorders>
            <w:vAlign w:val="center"/>
            <w:hideMark/>
          </w:tcPr>
          <w:p w14:paraId="68EBD73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31.55</w:t>
            </w:r>
          </w:p>
        </w:tc>
        <w:tc>
          <w:tcPr>
            <w:tcW w:w="462" w:type="pct"/>
            <w:tcBorders>
              <w:bottom w:val="single" w:sz="4" w:space="0" w:color="auto"/>
            </w:tcBorders>
            <w:vAlign w:val="center"/>
            <w:hideMark/>
          </w:tcPr>
          <w:p w14:paraId="3AAD395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32.00</w:t>
            </w:r>
          </w:p>
        </w:tc>
        <w:tc>
          <w:tcPr>
            <w:tcW w:w="498" w:type="pct"/>
            <w:tcBorders>
              <w:bottom w:val="single" w:sz="4" w:space="0" w:color="auto"/>
            </w:tcBorders>
            <w:vAlign w:val="center"/>
            <w:hideMark/>
          </w:tcPr>
          <w:p w14:paraId="227EAEC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2.70</w:t>
            </w:r>
          </w:p>
        </w:tc>
        <w:tc>
          <w:tcPr>
            <w:tcW w:w="341" w:type="pct"/>
            <w:tcBorders>
              <w:bottom w:val="single" w:sz="4" w:space="0" w:color="auto"/>
            </w:tcBorders>
            <w:vAlign w:val="center"/>
            <w:hideMark/>
          </w:tcPr>
          <w:p w14:paraId="7104DEA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26.00</w:t>
            </w:r>
          </w:p>
        </w:tc>
        <w:tc>
          <w:tcPr>
            <w:tcW w:w="413" w:type="pct"/>
            <w:tcBorders>
              <w:bottom w:val="single" w:sz="4" w:space="0" w:color="auto"/>
            </w:tcBorders>
            <w:vAlign w:val="center"/>
            <w:hideMark/>
          </w:tcPr>
          <w:p w14:paraId="62DE103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38.00</w:t>
            </w:r>
          </w:p>
        </w:tc>
        <w:tc>
          <w:tcPr>
            <w:tcW w:w="434" w:type="pct"/>
            <w:tcBorders>
              <w:bottom w:val="single" w:sz="4" w:space="0" w:color="auto"/>
            </w:tcBorders>
            <w:vAlign w:val="center"/>
            <w:hideMark/>
          </w:tcPr>
          <w:p w14:paraId="7C20271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8.55</w:t>
            </w:r>
          </w:p>
        </w:tc>
        <w:tc>
          <w:tcPr>
            <w:tcW w:w="642" w:type="pct"/>
            <w:tcBorders>
              <w:bottom w:val="single" w:sz="4" w:space="0" w:color="auto"/>
            </w:tcBorders>
            <w:vAlign w:val="center"/>
            <w:hideMark/>
          </w:tcPr>
          <w:p w14:paraId="7889019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0.27</w:t>
            </w:r>
          </w:p>
        </w:tc>
      </w:tr>
      <w:tr w:rsidR="00C30636" w:rsidRPr="001F745A" w14:paraId="4633930F" w14:textId="77777777" w:rsidTr="00693BD1">
        <w:trPr>
          <w:trHeight w:val="484"/>
          <w:tblCellSpacing w:w="15" w:type="dxa"/>
        </w:trPr>
        <w:tc>
          <w:tcPr>
            <w:tcW w:w="1253" w:type="pct"/>
            <w:tcBorders>
              <w:bottom w:val="single" w:sz="4" w:space="0" w:color="auto"/>
            </w:tcBorders>
            <w:vAlign w:val="center"/>
            <w:hideMark/>
          </w:tcPr>
          <w:p w14:paraId="3F53C90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Effective Stress (kPa)</w:t>
            </w:r>
          </w:p>
        </w:tc>
        <w:tc>
          <w:tcPr>
            <w:tcW w:w="389" w:type="pct"/>
            <w:tcBorders>
              <w:bottom w:val="single" w:sz="4" w:space="0" w:color="auto"/>
            </w:tcBorders>
            <w:vAlign w:val="center"/>
            <w:hideMark/>
          </w:tcPr>
          <w:p w14:paraId="0C52F9B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71</w:t>
            </w:r>
          </w:p>
        </w:tc>
        <w:tc>
          <w:tcPr>
            <w:tcW w:w="413" w:type="pct"/>
            <w:tcBorders>
              <w:bottom w:val="single" w:sz="4" w:space="0" w:color="auto"/>
            </w:tcBorders>
            <w:vAlign w:val="center"/>
            <w:hideMark/>
          </w:tcPr>
          <w:p w14:paraId="6643A15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157.78</w:t>
            </w:r>
          </w:p>
        </w:tc>
        <w:tc>
          <w:tcPr>
            <w:tcW w:w="462" w:type="pct"/>
            <w:tcBorders>
              <w:bottom w:val="single" w:sz="4" w:space="0" w:color="auto"/>
            </w:tcBorders>
            <w:vAlign w:val="center"/>
            <w:hideMark/>
          </w:tcPr>
          <w:p w14:paraId="4B91BD6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150.75</w:t>
            </w:r>
          </w:p>
        </w:tc>
        <w:tc>
          <w:tcPr>
            <w:tcW w:w="498" w:type="pct"/>
            <w:tcBorders>
              <w:bottom w:val="single" w:sz="4" w:space="0" w:color="auto"/>
            </w:tcBorders>
            <w:vAlign w:val="center"/>
            <w:hideMark/>
          </w:tcPr>
          <w:p w14:paraId="311D069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76.40</w:t>
            </w:r>
          </w:p>
        </w:tc>
        <w:tc>
          <w:tcPr>
            <w:tcW w:w="341" w:type="pct"/>
            <w:tcBorders>
              <w:bottom w:val="single" w:sz="4" w:space="0" w:color="auto"/>
            </w:tcBorders>
            <w:vAlign w:val="center"/>
            <w:hideMark/>
          </w:tcPr>
          <w:p w14:paraId="4192C2B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26.10</w:t>
            </w:r>
          </w:p>
        </w:tc>
        <w:tc>
          <w:tcPr>
            <w:tcW w:w="413" w:type="pct"/>
            <w:tcBorders>
              <w:bottom w:val="single" w:sz="4" w:space="0" w:color="auto"/>
            </w:tcBorders>
            <w:vAlign w:val="center"/>
            <w:hideMark/>
          </w:tcPr>
          <w:p w14:paraId="3643F97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304.77</w:t>
            </w:r>
          </w:p>
        </w:tc>
        <w:tc>
          <w:tcPr>
            <w:tcW w:w="434" w:type="pct"/>
            <w:tcBorders>
              <w:bottom w:val="single" w:sz="4" w:space="0" w:color="auto"/>
            </w:tcBorders>
            <w:vAlign w:val="center"/>
            <w:hideMark/>
          </w:tcPr>
          <w:p w14:paraId="68C5F2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48.42</w:t>
            </w:r>
          </w:p>
        </w:tc>
        <w:tc>
          <w:tcPr>
            <w:tcW w:w="642" w:type="pct"/>
            <w:tcBorders>
              <w:bottom w:val="single" w:sz="4" w:space="0" w:color="auto"/>
            </w:tcBorders>
            <w:vAlign w:val="center"/>
            <w:hideMark/>
          </w:tcPr>
          <w:p w14:paraId="0CFC4D7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0.14</w:t>
            </w:r>
          </w:p>
        </w:tc>
      </w:tr>
    </w:tbl>
    <w:p w14:paraId="7678DF87" w14:textId="77777777" w:rsidR="006C29BF" w:rsidRPr="001F745A" w:rsidRDefault="006C29BF" w:rsidP="00EF48CD">
      <w:pPr>
        <w:spacing w:line="240" w:lineRule="auto"/>
        <w:jc w:val="both"/>
        <w:rPr>
          <w:rFonts w:ascii="Arial" w:hAnsi="Arial" w:cs="Arial"/>
          <w:sz w:val="20"/>
          <w:szCs w:val="20"/>
        </w:rPr>
      </w:pPr>
    </w:p>
    <w:p w14:paraId="236A8838" w14:textId="77777777" w:rsidR="00606ED0" w:rsidRPr="001F745A" w:rsidRDefault="00606ED0" w:rsidP="00C30636">
      <w:pPr>
        <w:pStyle w:val="Heading2"/>
      </w:pPr>
      <w:r w:rsidRPr="001F745A">
        <w:t>3.2 Location-Specific Analysis</w:t>
      </w:r>
    </w:p>
    <w:p w14:paraId="0A4CAD58"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Significant regional diversity throughout the Niger Delta region is revealed by the statistical summary of SPT-N values by sample location, which is shown in Table 2. The greatest mean SPT-N value was recorded by Okansu Bridge (34.42), closely followed by Kana Ataba (33.79), while the lowest was recorded by GRA (7.00). Different places had different levels of consistency in soil density, as shown by the coefficient of variation, which varied from 12.86% at Otuogori Bridge to 62.27% at GRA.</w:t>
      </w:r>
    </w:p>
    <w:p w14:paraId="7B3FD7A7" w14:textId="5B411AE7" w:rsidR="00956DE8" w:rsidRPr="001F745A" w:rsidRDefault="00956DE8" w:rsidP="00EF48CD">
      <w:pPr>
        <w:spacing w:line="240" w:lineRule="auto"/>
        <w:jc w:val="center"/>
        <w:rPr>
          <w:rFonts w:ascii="Arial" w:hAnsi="Arial" w:cs="Arial"/>
          <w:sz w:val="20"/>
          <w:szCs w:val="20"/>
        </w:rPr>
      </w:pPr>
      <w:r w:rsidRPr="001F745A">
        <w:rPr>
          <w:rFonts w:ascii="Arial" w:hAnsi="Arial" w:cs="Arial"/>
          <w:noProof/>
          <w:sz w:val="20"/>
          <w:szCs w:val="20"/>
        </w:rPr>
        <w:drawing>
          <wp:inline distT="0" distB="0" distL="0" distR="0" wp14:anchorId="6BB1E5DC" wp14:editId="3571B8F6">
            <wp:extent cx="4773930" cy="3359150"/>
            <wp:effectExtent l="19050" t="19050" r="26670" b="12700"/>
            <wp:docPr id="321090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5788" cy="3360457"/>
                    </a:xfrm>
                    <a:prstGeom prst="rect">
                      <a:avLst/>
                    </a:prstGeom>
                    <a:noFill/>
                    <a:ln>
                      <a:solidFill>
                        <a:schemeClr val="bg1">
                          <a:lumMod val="85000"/>
                        </a:schemeClr>
                      </a:solidFill>
                    </a:ln>
                  </pic:spPr>
                </pic:pic>
              </a:graphicData>
            </a:graphic>
          </wp:inline>
        </w:drawing>
      </w:r>
    </w:p>
    <w:p w14:paraId="0691D362" w14:textId="0592C838" w:rsidR="00572F6D" w:rsidRPr="001F745A" w:rsidRDefault="00572F6D" w:rsidP="00EF48CD">
      <w:pPr>
        <w:spacing w:line="240" w:lineRule="auto"/>
        <w:rPr>
          <w:rFonts w:ascii="Arial" w:hAnsi="Arial" w:cs="Arial"/>
          <w:sz w:val="20"/>
          <w:szCs w:val="20"/>
        </w:rPr>
      </w:pPr>
      <w:r w:rsidRPr="001F745A">
        <w:rPr>
          <w:rFonts w:ascii="Arial" w:hAnsi="Arial" w:cs="Arial"/>
          <w:b/>
          <w:bCs/>
          <w:sz w:val="20"/>
          <w:szCs w:val="20"/>
        </w:rPr>
        <w:t>Figure 2</w:t>
      </w:r>
      <w:r w:rsidRPr="001F745A">
        <w:rPr>
          <w:rFonts w:ascii="Arial" w:hAnsi="Arial" w:cs="Arial"/>
          <w:sz w:val="20"/>
          <w:szCs w:val="20"/>
        </w:rPr>
        <w:t>: Mean SPT-N values at the five sampling locations</w:t>
      </w:r>
    </w:p>
    <w:p w14:paraId="2A44256B" w14:textId="3EEA21C7" w:rsidR="00EF48CD" w:rsidRDefault="00EF48CD" w:rsidP="00EF48CD">
      <w:pPr>
        <w:spacing w:line="240" w:lineRule="auto"/>
        <w:rPr>
          <w:rFonts w:ascii="Arial" w:hAnsi="Arial" w:cs="Arial"/>
          <w:b/>
          <w:bCs/>
          <w:sz w:val="20"/>
          <w:szCs w:val="20"/>
        </w:rPr>
      </w:pPr>
    </w:p>
    <w:p w14:paraId="574A4CC8" w14:textId="77777777" w:rsidR="00693BD1" w:rsidRDefault="00693BD1">
      <w:pPr>
        <w:rPr>
          <w:rFonts w:ascii="Arial" w:hAnsi="Arial" w:cs="Arial"/>
          <w:b/>
          <w:bCs/>
          <w:sz w:val="20"/>
          <w:szCs w:val="20"/>
        </w:rPr>
      </w:pPr>
      <w:r>
        <w:rPr>
          <w:rFonts w:ascii="Arial" w:hAnsi="Arial" w:cs="Arial"/>
          <w:b/>
          <w:bCs/>
          <w:sz w:val="20"/>
          <w:szCs w:val="20"/>
        </w:rPr>
        <w:br w:type="page"/>
      </w:r>
    </w:p>
    <w:p w14:paraId="023516FB" w14:textId="0B946744"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lastRenderedPageBreak/>
        <w:t xml:space="preserve">Table 2: </w:t>
      </w:r>
      <w:r w:rsidRPr="001F745A">
        <w:rPr>
          <w:rFonts w:ascii="Arial" w:hAnsi="Arial" w:cs="Arial"/>
          <w:sz w:val="20"/>
          <w:szCs w:val="20"/>
        </w:rPr>
        <w:t>SPT-N Values by Sampling Location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25"/>
        <w:gridCol w:w="860"/>
        <w:gridCol w:w="770"/>
        <w:gridCol w:w="1010"/>
        <w:gridCol w:w="1084"/>
        <w:gridCol w:w="540"/>
        <w:gridCol w:w="602"/>
        <w:gridCol w:w="950"/>
        <w:gridCol w:w="1405"/>
      </w:tblGrid>
      <w:tr w:rsidR="00693BD1" w:rsidRPr="001F745A" w14:paraId="3323F23C" w14:textId="77777777" w:rsidTr="00693BD1">
        <w:trPr>
          <w:trHeight w:val="400"/>
          <w:tblHeader/>
          <w:tblCellSpacing w:w="15" w:type="dxa"/>
        </w:trPr>
        <w:tc>
          <w:tcPr>
            <w:tcW w:w="1274" w:type="pct"/>
            <w:tcBorders>
              <w:top w:val="single" w:sz="4" w:space="0" w:color="auto"/>
            </w:tcBorders>
            <w:vAlign w:val="center"/>
            <w:hideMark/>
          </w:tcPr>
          <w:p w14:paraId="49BF442B"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Location</w:t>
            </w:r>
          </w:p>
        </w:tc>
        <w:tc>
          <w:tcPr>
            <w:tcW w:w="426" w:type="pct"/>
            <w:tcBorders>
              <w:top w:val="single" w:sz="4" w:space="0" w:color="auto"/>
            </w:tcBorders>
            <w:vAlign w:val="center"/>
            <w:hideMark/>
          </w:tcPr>
          <w:p w14:paraId="49A70D2D"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380" w:type="pct"/>
            <w:tcBorders>
              <w:top w:val="single" w:sz="4" w:space="0" w:color="auto"/>
            </w:tcBorders>
            <w:vAlign w:val="center"/>
            <w:hideMark/>
          </w:tcPr>
          <w:p w14:paraId="28B142E1"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w:t>
            </w:r>
          </w:p>
        </w:tc>
        <w:tc>
          <w:tcPr>
            <w:tcW w:w="504" w:type="pct"/>
            <w:tcBorders>
              <w:top w:val="single" w:sz="4" w:space="0" w:color="auto"/>
            </w:tcBorders>
            <w:vAlign w:val="center"/>
            <w:hideMark/>
          </w:tcPr>
          <w:p w14:paraId="335F68D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w:t>
            </w:r>
          </w:p>
        </w:tc>
        <w:tc>
          <w:tcPr>
            <w:tcW w:w="542" w:type="pct"/>
            <w:tcBorders>
              <w:top w:val="single" w:sz="4" w:space="0" w:color="auto"/>
            </w:tcBorders>
            <w:vAlign w:val="center"/>
            <w:hideMark/>
          </w:tcPr>
          <w:p w14:paraId="6E44BA71"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262" w:type="pct"/>
            <w:tcBorders>
              <w:top w:val="single" w:sz="4" w:space="0" w:color="auto"/>
            </w:tcBorders>
            <w:vAlign w:val="center"/>
            <w:hideMark/>
          </w:tcPr>
          <w:p w14:paraId="5DB17ACF"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w:t>
            </w:r>
          </w:p>
        </w:tc>
        <w:tc>
          <w:tcPr>
            <w:tcW w:w="294" w:type="pct"/>
            <w:tcBorders>
              <w:top w:val="single" w:sz="4" w:space="0" w:color="auto"/>
            </w:tcBorders>
            <w:vAlign w:val="center"/>
            <w:hideMark/>
          </w:tcPr>
          <w:p w14:paraId="7CC1377B"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w:t>
            </w:r>
          </w:p>
        </w:tc>
        <w:tc>
          <w:tcPr>
            <w:tcW w:w="473" w:type="pct"/>
            <w:tcBorders>
              <w:top w:val="single" w:sz="4" w:space="0" w:color="auto"/>
            </w:tcBorders>
            <w:vAlign w:val="center"/>
            <w:hideMark/>
          </w:tcPr>
          <w:p w14:paraId="1B7A532F"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CV (%)</w:t>
            </w:r>
          </w:p>
        </w:tc>
        <w:tc>
          <w:tcPr>
            <w:tcW w:w="699" w:type="pct"/>
            <w:tcBorders>
              <w:top w:val="single" w:sz="4" w:space="0" w:color="auto"/>
            </w:tcBorders>
            <w:vAlign w:val="center"/>
            <w:hideMark/>
          </w:tcPr>
          <w:p w14:paraId="3ED60253"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Skewness</w:t>
            </w:r>
          </w:p>
        </w:tc>
      </w:tr>
      <w:tr w:rsidR="00693BD1" w:rsidRPr="001F745A" w14:paraId="278E61B8" w14:textId="77777777" w:rsidTr="00693BD1">
        <w:trPr>
          <w:trHeight w:val="422"/>
          <w:tblCellSpacing w:w="15" w:type="dxa"/>
        </w:trPr>
        <w:tc>
          <w:tcPr>
            <w:tcW w:w="1274" w:type="pct"/>
            <w:tcBorders>
              <w:top w:val="single" w:sz="4" w:space="0" w:color="auto"/>
            </w:tcBorders>
            <w:vAlign w:val="center"/>
            <w:hideMark/>
          </w:tcPr>
          <w:p w14:paraId="0510B79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 xml:space="preserve">Kana </w:t>
            </w:r>
            <w:proofErr w:type="spellStart"/>
            <w:r w:rsidRPr="001F745A">
              <w:rPr>
                <w:rFonts w:ascii="Arial" w:hAnsi="Arial" w:cs="Arial"/>
                <w:sz w:val="20"/>
                <w:szCs w:val="20"/>
              </w:rPr>
              <w:t>Ataba</w:t>
            </w:r>
            <w:proofErr w:type="spellEnd"/>
          </w:p>
        </w:tc>
        <w:tc>
          <w:tcPr>
            <w:tcW w:w="426" w:type="pct"/>
            <w:tcBorders>
              <w:top w:val="single" w:sz="4" w:space="0" w:color="auto"/>
            </w:tcBorders>
            <w:vAlign w:val="center"/>
            <w:hideMark/>
          </w:tcPr>
          <w:p w14:paraId="6D602D3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w:t>
            </w:r>
          </w:p>
        </w:tc>
        <w:tc>
          <w:tcPr>
            <w:tcW w:w="380" w:type="pct"/>
            <w:tcBorders>
              <w:top w:val="single" w:sz="4" w:space="0" w:color="auto"/>
            </w:tcBorders>
            <w:vAlign w:val="center"/>
            <w:hideMark/>
          </w:tcPr>
          <w:p w14:paraId="1DB37F8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33.79</w:t>
            </w:r>
          </w:p>
        </w:tc>
        <w:tc>
          <w:tcPr>
            <w:tcW w:w="504" w:type="pct"/>
            <w:tcBorders>
              <w:top w:val="single" w:sz="4" w:space="0" w:color="auto"/>
            </w:tcBorders>
            <w:vAlign w:val="center"/>
            <w:hideMark/>
          </w:tcPr>
          <w:p w14:paraId="0A2F60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35.50</w:t>
            </w:r>
          </w:p>
        </w:tc>
        <w:tc>
          <w:tcPr>
            <w:tcW w:w="542" w:type="pct"/>
            <w:tcBorders>
              <w:top w:val="single" w:sz="4" w:space="0" w:color="auto"/>
            </w:tcBorders>
            <w:vAlign w:val="center"/>
            <w:hideMark/>
          </w:tcPr>
          <w:p w14:paraId="569D1E3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14.89</w:t>
            </w:r>
          </w:p>
        </w:tc>
        <w:tc>
          <w:tcPr>
            <w:tcW w:w="262" w:type="pct"/>
            <w:tcBorders>
              <w:top w:val="single" w:sz="4" w:space="0" w:color="auto"/>
            </w:tcBorders>
            <w:vAlign w:val="center"/>
            <w:hideMark/>
          </w:tcPr>
          <w:p w14:paraId="649C515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w:t>
            </w:r>
          </w:p>
        </w:tc>
        <w:tc>
          <w:tcPr>
            <w:tcW w:w="294" w:type="pct"/>
            <w:tcBorders>
              <w:top w:val="single" w:sz="4" w:space="0" w:color="auto"/>
            </w:tcBorders>
            <w:vAlign w:val="center"/>
            <w:hideMark/>
          </w:tcPr>
          <w:p w14:paraId="5BE91CA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51</w:t>
            </w:r>
          </w:p>
        </w:tc>
        <w:tc>
          <w:tcPr>
            <w:tcW w:w="473" w:type="pct"/>
            <w:tcBorders>
              <w:top w:val="single" w:sz="4" w:space="0" w:color="auto"/>
            </w:tcBorders>
            <w:vAlign w:val="center"/>
            <w:hideMark/>
          </w:tcPr>
          <w:p w14:paraId="18FDB07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44.06</w:t>
            </w:r>
          </w:p>
        </w:tc>
        <w:tc>
          <w:tcPr>
            <w:tcW w:w="699" w:type="pct"/>
            <w:tcBorders>
              <w:top w:val="single" w:sz="4" w:space="0" w:color="auto"/>
            </w:tcBorders>
            <w:vAlign w:val="center"/>
            <w:hideMark/>
          </w:tcPr>
          <w:p w14:paraId="57670DE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-0.34</w:t>
            </w:r>
          </w:p>
        </w:tc>
      </w:tr>
      <w:tr w:rsidR="00693BD1" w:rsidRPr="001F745A" w14:paraId="6C89DF95" w14:textId="77777777" w:rsidTr="00693BD1">
        <w:trPr>
          <w:trHeight w:val="400"/>
          <w:tblCellSpacing w:w="15" w:type="dxa"/>
        </w:trPr>
        <w:tc>
          <w:tcPr>
            <w:tcW w:w="1274" w:type="pct"/>
            <w:vAlign w:val="center"/>
            <w:hideMark/>
          </w:tcPr>
          <w:p w14:paraId="1C4785CB"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Okansu</w:t>
            </w:r>
            <w:proofErr w:type="spellEnd"/>
            <w:r w:rsidRPr="001F745A">
              <w:rPr>
                <w:rFonts w:ascii="Arial" w:hAnsi="Arial" w:cs="Arial"/>
                <w:sz w:val="20"/>
                <w:szCs w:val="20"/>
              </w:rPr>
              <w:t xml:space="preserve"> Bridge</w:t>
            </w:r>
          </w:p>
        </w:tc>
        <w:tc>
          <w:tcPr>
            <w:tcW w:w="426" w:type="pct"/>
            <w:vAlign w:val="center"/>
            <w:hideMark/>
          </w:tcPr>
          <w:p w14:paraId="7EE48E3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380" w:type="pct"/>
            <w:vAlign w:val="center"/>
            <w:hideMark/>
          </w:tcPr>
          <w:p w14:paraId="212FD8A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34.42</w:t>
            </w:r>
          </w:p>
        </w:tc>
        <w:tc>
          <w:tcPr>
            <w:tcW w:w="504" w:type="pct"/>
            <w:vAlign w:val="center"/>
            <w:hideMark/>
          </w:tcPr>
          <w:p w14:paraId="4397330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33.50</w:t>
            </w:r>
          </w:p>
        </w:tc>
        <w:tc>
          <w:tcPr>
            <w:tcW w:w="542" w:type="pct"/>
            <w:vAlign w:val="center"/>
            <w:hideMark/>
          </w:tcPr>
          <w:p w14:paraId="1A8E059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4.80</w:t>
            </w:r>
          </w:p>
        </w:tc>
        <w:tc>
          <w:tcPr>
            <w:tcW w:w="262" w:type="pct"/>
            <w:vAlign w:val="center"/>
            <w:hideMark/>
          </w:tcPr>
          <w:p w14:paraId="5578339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28</w:t>
            </w:r>
          </w:p>
        </w:tc>
        <w:tc>
          <w:tcPr>
            <w:tcW w:w="294" w:type="pct"/>
            <w:vAlign w:val="center"/>
            <w:hideMark/>
          </w:tcPr>
          <w:p w14:paraId="7F60E0C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43</w:t>
            </w:r>
          </w:p>
        </w:tc>
        <w:tc>
          <w:tcPr>
            <w:tcW w:w="473" w:type="pct"/>
            <w:vAlign w:val="center"/>
            <w:hideMark/>
          </w:tcPr>
          <w:p w14:paraId="429B3A5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13.93</w:t>
            </w:r>
          </w:p>
        </w:tc>
        <w:tc>
          <w:tcPr>
            <w:tcW w:w="699" w:type="pct"/>
            <w:vAlign w:val="center"/>
            <w:hideMark/>
          </w:tcPr>
          <w:p w14:paraId="5819B03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0.36</w:t>
            </w:r>
          </w:p>
        </w:tc>
      </w:tr>
      <w:tr w:rsidR="00693BD1" w:rsidRPr="001F745A" w14:paraId="71FDCF15" w14:textId="77777777" w:rsidTr="00693BD1">
        <w:trPr>
          <w:trHeight w:val="422"/>
          <w:tblCellSpacing w:w="15" w:type="dxa"/>
        </w:trPr>
        <w:tc>
          <w:tcPr>
            <w:tcW w:w="1274" w:type="pct"/>
            <w:vAlign w:val="center"/>
            <w:hideMark/>
          </w:tcPr>
          <w:p w14:paraId="00533A6A"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w:t>
            </w:r>
          </w:p>
        </w:tc>
        <w:tc>
          <w:tcPr>
            <w:tcW w:w="426" w:type="pct"/>
            <w:vAlign w:val="center"/>
            <w:hideMark/>
          </w:tcPr>
          <w:p w14:paraId="13F49B8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w:t>
            </w:r>
          </w:p>
        </w:tc>
        <w:tc>
          <w:tcPr>
            <w:tcW w:w="380" w:type="pct"/>
            <w:vAlign w:val="center"/>
            <w:hideMark/>
          </w:tcPr>
          <w:p w14:paraId="2A0015B1"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504" w:type="pct"/>
            <w:vAlign w:val="center"/>
            <w:hideMark/>
          </w:tcPr>
          <w:p w14:paraId="604CE24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30.00</w:t>
            </w:r>
          </w:p>
        </w:tc>
        <w:tc>
          <w:tcPr>
            <w:tcW w:w="542" w:type="pct"/>
            <w:vAlign w:val="center"/>
            <w:hideMark/>
          </w:tcPr>
          <w:p w14:paraId="0090911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3.86</w:t>
            </w:r>
          </w:p>
        </w:tc>
        <w:tc>
          <w:tcPr>
            <w:tcW w:w="262" w:type="pct"/>
            <w:vAlign w:val="center"/>
            <w:hideMark/>
          </w:tcPr>
          <w:p w14:paraId="451AB8A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24</w:t>
            </w:r>
          </w:p>
        </w:tc>
        <w:tc>
          <w:tcPr>
            <w:tcW w:w="294" w:type="pct"/>
            <w:vAlign w:val="center"/>
            <w:hideMark/>
          </w:tcPr>
          <w:p w14:paraId="2D2BD43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38</w:t>
            </w:r>
          </w:p>
        </w:tc>
        <w:tc>
          <w:tcPr>
            <w:tcW w:w="473" w:type="pct"/>
            <w:vAlign w:val="center"/>
            <w:hideMark/>
          </w:tcPr>
          <w:p w14:paraId="057806B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12.86</w:t>
            </w:r>
          </w:p>
        </w:tc>
        <w:tc>
          <w:tcPr>
            <w:tcW w:w="699" w:type="pct"/>
            <w:vAlign w:val="center"/>
            <w:hideMark/>
          </w:tcPr>
          <w:p w14:paraId="68A7373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0.44</w:t>
            </w:r>
          </w:p>
        </w:tc>
      </w:tr>
      <w:tr w:rsidR="00693BD1" w:rsidRPr="001F745A" w14:paraId="5B1A2737" w14:textId="77777777" w:rsidTr="00693BD1">
        <w:trPr>
          <w:trHeight w:val="400"/>
          <w:tblCellSpacing w:w="15" w:type="dxa"/>
        </w:trPr>
        <w:tc>
          <w:tcPr>
            <w:tcW w:w="1274" w:type="pct"/>
            <w:vAlign w:val="center"/>
            <w:hideMark/>
          </w:tcPr>
          <w:p w14:paraId="30FE48DF"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Rumuibekwe</w:t>
            </w:r>
            <w:proofErr w:type="spellEnd"/>
            <w:r w:rsidRPr="001F745A">
              <w:rPr>
                <w:rFonts w:ascii="Arial" w:hAnsi="Arial" w:cs="Arial"/>
                <w:sz w:val="20"/>
                <w:szCs w:val="20"/>
              </w:rPr>
              <w:t xml:space="preserve"> Bridge</w:t>
            </w:r>
          </w:p>
        </w:tc>
        <w:tc>
          <w:tcPr>
            <w:tcW w:w="426" w:type="pct"/>
            <w:vAlign w:val="center"/>
            <w:hideMark/>
          </w:tcPr>
          <w:p w14:paraId="263E70C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16</w:t>
            </w:r>
          </w:p>
        </w:tc>
        <w:tc>
          <w:tcPr>
            <w:tcW w:w="380" w:type="pct"/>
            <w:vAlign w:val="center"/>
            <w:hideMark/>
          </w:tcPr>
          <w:p w14:paraId="4478322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20.25</w:t>
            </w:r>
          </w:p>
        </w:tc>
        <w:tc>
          <w:tcPr>
            <w:tcW w:w="504" w:type="pct"/>
            <w:vAlign w:val="center"/>
            <w:hideMark/>
          </w:tcPr>
          <w:p w14:paraId="5228785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23.50</w:t>
            </w:r>
          </w:p>
        </w:tc>
        <w:tc>
          <w:tcPr>
            <w:tcW w:w="542" w:type="pct"/>
            <w:vAlign w:val="center"/>
            <w:hideMark/>
          </w:tcPr>
          <w:p w14:paraId="759DF66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11.43</w:t>
            </w:r>
          </w:p>
        </w:tc>
        <w:tc>
          <w:tcPr>
            <w:tcW w:w="262" w:type="pct"/>
            <w:vAlign w:val="center"/>
            <w:hideMark/>
          </w:tcPr>
          <w:p w14:paraId="4802A1D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w:t>
            </w:r>
          </w:p>
        </w:tc>
        <w:tc>
          <w:tcPr>
            <w:tcW w:w="294" w:type="pct"/>
            <w:vAlign w:val="center"/>
            <w:hideMark/>
          </w:tcPr>
          <w:p w14:paraId="28086A0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36</w:t>
            </w:r>
          </w:p>
        </w:tc>
        <w:tc>
          <w:tcPr>
            <w:tcW w:w="473" w:type="pct"/>
            <w:vAlign w:val="center"/>
            <w:hideMark/>
          </w:tcPr>
          <w:p w14:paraId="65D8B16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56.46</w:t>
            </w:r>
          </w:p>
        </w:tc>
        <w:tc>
          <w:tcPr>
            <w:tcW w:w="699" w:type="pct"/>
            <w:vAlign w:val="center"/>
            <w:hideMark/>
          </w:tcPr>
          <w:p w14:paraId="451BEB2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-0.24</w:t>
            </w:r>
          </w:p>
        </w:tc>
      </w:tr>
      <w:tr w:rsidR="00693BD1" w:rsidRPr="001F745A" w14:paraId="1BFE1A77" w14:textId="77777777" w:rsidTr="00693BD1">
        <w:trPr>
          <w:trHeight w:val="400"/>
          <w:tblCellSpacing w:w="15" w:type="dxa"/>
        </w:trPr>
        <w:tc>
          <w:tcPr>
            <w:tcW w:w="1274" w:type="pct"/>
            <w:tcBorders>
              <w:bottom w:val="single" w:sz="4" w:space="0" w:color="auto"/>
            </w:tcBorders>
            <w:vAlign w:val="center"/>
            <w:hideMark/>
          </w:tcPr>
          <w:p w14:paraId="155F4B3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GRA</w:t>
            </w:r>
          </w:p>
        </w:tc>
        <w:tc>
          <w:tcPr>
            <w:tcW w:w="426" w:type="pct"/>
            <w:tcBorders>
              <w:bottom w:val="single" w:sz="4" w:space="0" w:color="auto"/>
            </w:tcBorders>
            <w:vAlign w:val="center"/>
            <w:hideMark/>
          </w:tcPr>
          <w:p w14:paraId="03D5357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w:t>
            </w:r>
          </w:p>
        </w:tc>
        <w:tc>
          <w:tcPr>
            <w:tcW w:w="380" w:type="pct"/>
            <w:tcBorders>
              <w:bottom w:val="single" w:sz="4" w:space="0" w:color="auto"/>
            </w:tcBorders>
            <w:vAlign w:val="center"/>
            <w:hideMark/>
          </w:tcPr>
          <w:p w14:paraId="2571618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7.00</w:t>
            </w:r>
          </w:p>
        </w:tc>
        <w:tc>
          <w:tcPr>
            <w:tcW w:w="504" w:type="pct"/>
            <w:tcBorders>
              <w:bottom w:val="single" w:sz="4" w:space="0" w:color="auto"/>
            </w:tcBorders>
            <w:vAlign w:val="center"/>
            <w:hideMark/>
          </w:tcPr>
          <w:p w14:paraId="09B6B06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5.00</w:t>
            </w:r>
          </w:p>
        </w:tc>
        <w:tc>
          <w:tcPr>
            <w:tcW w:w="542" w:type="pct"/>
            <w:tcBorders>
              <w:bottom w:val="single" w:sz="4" w:space="0" w:color="auto"/>
            </w:tcBorders>
            <w:vAlign w:val="center"/>
            <w:hideMark/>
          </w:tcPr>
          <w:p w14:paraId="409A937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4.36</w:t>
            </w:r>
          </w:p>
        </w:tc>
        <w:tc>
          <w:tcPr>
            <w:tcW w:w="262" w:type="pct"/>
            <w:tcBorders>
              <w:bottom w:val="single" w:sz="4" w:space="0" w:color="auto"/>
            </w:tcBorders>
            <w:vAlign w:val="center"/>
            <w:hideMark/>
          </w:tcPr>
          <w:p w14:paraId="05184EF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4</w:t>
            </w:r>
          </w:p>
        </w:tc>
        <w:tc>
          <w:tcPr>
            <w:tcW w:w="294" w:type="pct"/>
            <w:tcBorders>
              <w:bottom w:val="single" w:sz="4" w:space="0" w:color="auto"/>
            </w:tcBorders>
            <w:vAlign w:val="center"/>
            <w:hideMark/>
          </w:tcPr>
          <w:p w14:paraId="1099400E"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473" w:type="pct"/>
            <w:tcBorders>
              <w:bottom w:val="single" w:sz="4" w:space="0" w:color="auto"/>
            </w:tcBorders>
            <w:vAlign w:val="center"/>
            <w:hideMark/>
          </w:tcPr>
          <w:p w14:paraId="623B1E0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62.27</w:t>
            </w:r>
          </w:p>
        </w:tc>
        <w:tc>
          <w:tcPr>
            <w:tcW w:w="699" w:type="pct"/>
            <w:tcBorders>
              <w:bottom w:val="single" w:sz="4" w:space="0" w:color="auto"/>
            </w:tcBorders>
            <w:vAlign w:val="center"/>
            <w:hideMark/>
          </w:tcPr>
          <w:p w14:paraId="10FB83D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1.63</w:t>
            </w:r>
          </w:p>
        </w:tc>
      </w:tr>
    </w:tbl>
    <w:p w14:paraId="6B518F93" w14:textId="77777777" w:rsidR="00606ED0" w:rsidRPr="001F745A" w:rsidRDefault="00606ED0" w:rsidP="00EF48CD">
      <w:pPr>
        <w:spacing w:line="240" w:lineRule="auto"/>
        <w:jc w:val="both"/>
        <w:rPr>
          <w:rFonts w:ascii="Arial" w:hAnsi="Arial" w:cs="Arial"/>
          <w:sz w:val="20"/>
          <w:szCs w:val="20"/>
        </w:rPr>
      </w:pPr>
    </w:p>
    <w:p w14:paraId="76FB853C" w14:textId="77777777" w:rsidR="00606ED0" w:rsidRPr="001F745A" w:rsidRDefault="00606ED0" w:rsidP="00C30636">
      <w:pPr>
        <w:pStyle w:val="Heading2"/>
      </w:pPr>
      <w:r w:rsidRPr="001F745A">
        <w:t>3.3 Spatial Variability Assessment</w:t>
      </w:r>
    </w:p>
    <w:p w14:paraId="7892DCD7"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SPT-N values varied significantly between sample locations, according to the findings of the Kruskal-Wallis test (H = 14.65, df = 4, p = 0.005). Rumuibekwe Bridge displayed much lower values than Okansu Bridge, whereas GRA had significantly lower SPT-N values than the majority of other sites, according to post-hoc multiple comparison analysis. Friction angles, on the other hand, did not significantly change between sites (H = 5.711, df = 4, p = 0.222), suggesting that the shear strength characteristics were constant across the research region. The regional variance of effective overburden pressures was also not significant (H = 3.589, df = 4, p = 0.464).</w:t>
      </w:r>
    </w:p>
    <w:p w14:paraId="52029EE3" w14:textId="786ABEEC" w:rsidR="00C30636" w:rsidRDefault="00C30636">
      <w:pPr>
        <w:rPr>
          <w:rFonts w:ascii="Arial" w:hAnsi="Arial" w:cs="Arial"/>
          <w:b/>
          <w:bCs/>
          <w:sz w:val="20"/>
          <w:szCs w:val="20"/>
        </w:rPr>
      </w:pPr>
    </w:p>
    <w:p w14:paraId="41AAB2EB" w14:textId="5A64399A" w:rsidR="00ED19FC" w:rsidRPr="001F745A" w:rsidRDefault="00ED19FC" w:rsidP="00EF48CD">
      <w:pPr>
        <w:spacing w:line="240" w:lineRule="auto"/>
        <w:jc w:val="both"/>
        <w:rPr>
          <w:rFonts w:ascii="Arial" w:hAnsi="Arial" w:cs="Arial"/>
          <w:sz w:val="20"/>
          <w:szCs w:val="20"/>
        </w:rPr>
      </w:pPr>
      <w:r w:rsidRPr="001F745A">
        <w:rPr>
          <w:rFonts w:ascii="Arial" w:hAnsi="Arial" w:cs="Arial"/>
          <w:b/>
          <w:bCs/>
          <w:sz w:val="20"/>
          <w:szCs w:val="20"/>
        </w:rPr>
        <w:t>Table 3</w:t>
      </w:r>
      <w:r w:rsidRPr="001F745A">
        <w:rPr>
          <w:rFonts w:ascii="Arial" w:hAnsi="Arial" w:cs="Arial"/>
          <w:sz w:val="20"/>
          <w:szCs w:val="20"/>
        </w:rPr>
        <w:t>: Kruskal-Wallis Test Results for SPT-N Values by Location</w:t>
      </w:r>
    </w:p>
    <w:tbl>
      <w:tblPr>
        <w:tblW w:w="5000" w:type="pct"/>
        <w:tblLook w:val="04A0" w:firstRow="1" w:lastRow="0" w:firstColumn="1" w:lastColumn="0" w:noHBand="0" w:noVBand="1"/>
      </w:tblPr>
      <w:tblGrid>
        <w:gridCol w:w="6243"/>
        <w:gridCol w:w="3503"/>
      </w:tblGrid>
      <w:tr w:rsidR="00ED19FC" w:rsidRPr="001F745A" w14:paraId="7A2671A3" w14:textId="77777777" w:rsidTr="00693BD1">
        <w:trPr>
          <w:trHeight w:val="545"/>
        </w:trPr>
        <w:tc>
          <w:tcPr>
            <w:tcW w:w="3203" w:type="pct"/>
            <w:tcBorders>
              <w:top w:val="single" w:sz="8" w:space="0" w:color="auto"/>
              <w:left w:val="nil"/>
              <w:bottom w:val="nil"/>
              <w:right w:val="nil"/>
            </w:tcBorders>
            <w:noWrap/>
            <w:vAlign w:val="bottom"/>
            <w:hideMark/>
          </w:tcPr>
          <w:p w14:paraId="4C9EA9D4"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K (Observed value)</w:t>
            </w:r>
          </w:p>
        </w:tc>
        <w:tc>
          <w:tcPr>
            <w:tcW w:w="1797" w:type="pct"/>
            <w:tcBorders>
              <w:top w:val="single" w:sz="8" w:space="0" w:color="auto"/>
              <w:left w:val="nil"/>
              <w:bottom w:val="nil"/>
              <w:right w:val="nil"/>
            </w:tcBorders>
            <w:noWrap/>
            <w:vAlign w:val="bottom"/>
            <w:hideMark/>
          </w:tcPr>
          <w:p w14:paraId="7DE5F64A"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14.650</w:t>
            </w:r>
          </w:p>
        </w:tc>
      </w:tr>
      <w:tr w:rsidR="00ED19FC" w:rsidRPr="001F745A" w14:paraId="241B9577" w14:textId="77777777" w:rsidTr="00693BD1">
        <w:trPr>
          <w:trHeight w:val="545"/>
        </w:trPr>
        <w:tc>
          <w:tcPr>
            <w:tcW w:w="3203" w:type="pct"/>
            <w:tcBorders>
              <w:top w:val="nil"/>
              <w:left w:val="nil"/>
              <w:bottom w:val="nil"/>
              <w:right w:val="nil"/>
            </w:tcBorders>
            <w:noWrap/>
            <w:vAlign w:val="bottom"/>
            <w:hideMark/>
          </w:tcPr>
          <w:p w14:paraId="2FE264B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K (Critical value)</w:t>
            </w:r>
          </w:p>
        </w:tc>
        <w:tc>
          <w:tcPr>
            <w:tcW w:w="1797" w:type="pct"/>
            <w:tcBorders>
              <w:top w:val="nil"/>
              <w:left w:val="nil"/>
              <w:bottom w:val="nil"/>
              <w:right w:val="nil"/>
            </w:tcBorders>
            <w:noWrap/>
            <w:vAlign w:val="bottom"/>
            <w:hideMark/>
          </w:tcPr>
          <w:p w14:paraId="1B3D9220"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9.488</w:t>
            </w:r>
          </w:p>
        </w:tc>
      </w:tr>
      <w:tr w:rsidR="00ED19FC" w:rsidRPr="001F745A" w14:paraId="6670EA90" w14:textId="77777777" w:rsidTr="00693BD1">
        <w:trPr>
          <w:trHeight w:val="545"/>
        </w:trPr>
        <w:tc>
          <w:tcPr>
            <w:tcW w:w="3203" w:type="pct"/>
            <w:tcBorders>
              <w:top w:val="nil"/>
              <w:left w:val="nil"/>
              <w:bottom w:val="nil"/>
              <w:right w:val="nil"/>
            </w:tcBorders>
            <w:noWrap/>
            <w:vAlign w:val="bottom"/>
            <w:hideMark/>
          </w:tcPr>
          <w:p w14:paraId="5141C6C7"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DF</w:t>
            </w:r>
          </w:p>
        </w:tc>
        <w:tc>
          <w:tcPr>
            <w:tcW w:w="1797" w:type="pct"/>
            <w:tcBorders>
              <w:top w:val="nil"/>
              <w:left w:val="nil"/>
              <w:bottom w:val="nil"/>
              <w:right w:val="nil"/>
            </w:tcBorders>
            <w:noWrap/>
            <w:vAlign w:val="bottom"/>
            <w:hideMark/>
          </w:tcPr>
          <w:p w14:paraId="6373A43F"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4</w:t>
            </w:r>
          </w:p>
        </w:tc>
      </w:tr>
      <w:tr w:rsidR="00ED19FC" w:rsidRPr="001F745A" w14:paraId="58CA6545" w14:textId="77777777" w:rsidTr="00693BD1">
        <w:trPr>
          <w:trHeight w:val="545"/>
        </w:trPr>
        <w:tc>
          <w:tcPr>
            <w:tcW w:w="3203" w:type="pct"/>
            <w:tcBorders>
              <w:top w:val="nil"/>
              <w:left w:val="nil"/>
              <w:bottom w:val="nil"/>
              <w:right w:val="nil"/>
            </w:tcBorders>
            <w:noWrap/>
            <w:vAlign w:val="bottom"/>
            <w:hideMark/>
          </w:tcPr>
          <w:p w14:paraId="14E382D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p-value (Two-tailed)</w:t>
            </w:r>
          </w:p>
        </w:tc>
        <w:tc>
          <w:tcPr>
            <w:tcW w:w="1797" w:type="pct"/>
            <w:tcBorders>
              <w:top w:val="nil"/>
              <w:left w:val="nil"/>
              <w:bottom w:val="nil"/>
              <w:right w:val="nil"/>
            </w:tcBorders>
            <w:noWrap/>
            <w:vAlign w:val="bottom"/>
            <w:hideMark/>
          </w:tcPr>
          <w:p w14:paraId="771E19A2"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0.005</w:t>
            </w:r>
          </w:p>
        </w:tc>
      </w:tr>
      <w:tr w:rsidR="00ED19FC" w:rsidRPr="001F745A" w14:paraId="23CD5499" w14:textId="77777777" w:rsidTr="00693BD1">
        <w:trPr>
          <w:trHeight w:val="573"/>
        </w:trPr>
        <w:tc>
          <w:tcPr>
            <w:tcW w:w="3203" w:type="pct"/>
            <w:tcBorders>
              <w:top w:val="nil"/>
              <w:left w:val="nil"/>
              <w:bottom w:val="single" w:sz="8" w:space="0" w:color="auto"/>
              <w:right w:val="nil"/>
            </w:tcBorders>
            <w:noWrap/>
            <w:vAlign w:val="bottom"/>
            <w:hideMark/>
          </w:tcPr>
          <w:p w14:paraId="679BE700"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alpha</w:t>
            </w:r>
          </w:p>
        </w:tc>
        <w:tc>
          <w:tcPr>
            <w:tcW w:w="1797" w:type="pct"/>
            <w:tcBorders>
              <w:top w:val="nil"/>
              <w:left w:val="nil"/>
              <w:bottom w:val="single" w:sz="8" w:space="0" w:color="auto"/>
              <w:right w:val="nil"/>
            </w:tcBorders>
            <w:noWrap/>
            <w:vAlign w:val="bottom"/>
            <w:hideMark/>
          </w:tcPr>
          <w:p w14:paraId="62F9CA28" w14:textId="77777777" w:rsidR="00ED19FC" w:rsidRPr="001F745A" w:rsidRDefault="00ED19FC" w:rsidP="00EF48CD">
            <w:pPr>
              <w:spacing w:after="0" w:line="240" w:lineRule="auto"/>
              <w:jc w:val="right"/>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0.05</w:t>
            </w:r>
          </w:p>
        </w:tc>
      </w:tr>
    </w:tbl>
    <w:p w14:paraId="08B7D036" w14:textId="77777777" w:rsidR="00ED19FC" w:rsidRPr="001F745A" w:rsidRDefault="00ED19FC" w:rsidP="00EF48CD">
      <w:pPr>
        <w:spacing w:line="240" w:lineRule="auto"/>
        <w:jc w:val="both"/>
        <w:rPr>
          <w:rFonts w:ascii="Arial" w:hAnsi="Arial" w:cs="Arial"/>
          <w:b/>
          <w:bCs/>
          <w:sz w:val="20"/>
          <w:szCs w:val="20"/>
        </w:rPr>
      </w:pPr>
    </w:p>
    <w:p w14:paraId="22354A33" w14:textId="0697CD9E" w:rsidR="00ED19FC" w:rsidRPr="001F745A" w:rsidRDefault="00ED19FC" w:rsidP="00EF48CD">
      <w:pPr>
        <w:spacing w:line="240" w:lineRule="auto"/>
        <w:jc w:val="both"/>
        <w:rPr>
          <w:rFonts w:ascii="Arial" w:hAnsi="Arial" w:cs="Arial"/>
          <w:sz w:val="20"/>
          <w:szCs w:val="20"/>
        </w:rPr>
      </w:pPr>
      <w:r w:rsidRPr="001F745A">
        <w:rPr>
          <w:rFonts w:ascii="Arial" w:hAnsi="Arial" w:cs="Arial"/>
          <w:b/>
          <w:bCs/>
          <w:sz w:val="20"/>
          <w:szCs w:val="20"/>
        </w:rPr>
        <w:t>Table 4</w:t>
      </w:r>
      <w:r w:rsidRPr="001F745A">
        <w:rPr>
          <w:rFonts w:ascii="Arial" w:hAnsi="Arial" w:cs="Arial"/>
          <w:sz w:val="20"/>
          <w:szCs w:val="20"/>
        </w:rPr>
        <w:t>: Post-Hoc Multiple Comparison Test Results for SPT-N Values</w:t>
      </w:r>
    </w:p>
    <w:tbl>
      <w:tblPr>
        <w:tblW w:w="5000" w:type="pct"/>
        <w:tblLook w:val="04A0" w:firstRow="1" w:lastRow="0" w:firstColumn="1" w:lastColumn="0" w:noHBand="0" w:noVBand="1"/>
      </w:tblPr>
      <w:tblGrid>
        <w:gridCol w:w="2787"/>
        <w:gridCol w:w="1253"/>
        <w:gridCol w:w="1507"/>
        <w:gridCol w:w="1602"/>
        <w:gridCol w:w="807"/>
        <w:gridCol w:w="815"/>
        <w:gridCol w:w="975"/>
      </w:tblGrid>
      <w:tr w:rsidR="00ED19FC" w:rsidRPr="001F745A" w14:paraId="39B22B14" w14:textId="77777777" w:rsidTr="00693BD1">
        <w:trPr>
          <w:trHeight w:val="401"/>
        </w:trPr>
        <w:tc>
          <w:tcPr>
            <w:tcW w:w="1430" w:type="pct"/>
            <w:tcBorders>
              <w:top w:val="single" w:sz="8" w:space="0" w:color="auto"/>
              <w:left w:val="nil"/>
              <w:bottom w:val="nil"/>
              <w:right w:val="nil"/>
            </w:tcBorders>
            <w:noWrap/>
            <w:vAlign w:val="bottom"/>
            <w:hideMark/>
          </w:tcPr>
          <w:p w14:paraId="716C3E6C"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Sample</w:t>
            </w:r>
          </w:p>
        </w:tc>
        <w:tc>
          <w:tcPr>
            <w:tcW w:w="643" w:type="pct"/>
            <w:tcBorders>
              <w:top w:val="single" w:sz="8" w:space="0" w:color="auto"/>
              <w:left w:val="nil"/>
              <w:bottom w:val="nil"/>
              <w:right w:val="nil"/>
            </w:tcBorders>
            <w:noWrap/>
            <w:vAlign w:val="bottom"/>
            <w:hideMark/>
          </w:tcPr>
          <w:p w14:paraId="60A3A267"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Frequency</w:t>
            </w:r>
          </w:p>
        </w:tc>
        <w:tc>
          <w:tcPr>
            <w:tcW w:w="773" w:type="pct"/>
            <w:tcBorders>
              <w:top w:val="single" w:sz="8" w:space="0" w:color="auto"/>
              <w:left w:val="nil"/>
              <w:bottom w:val="nil"/>
              <w:right w:val="nil"/>
            </w:tcBorders>
            <w:noWrap/>
            <w:vAlign w:val="bottom"/>
            <w:hideMark/>
          </w:tcPr>
          <w:p w14:paraId="009A3C4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Sum of ranks</w:t>
            </w:r>
          </w:p>
        </w:tc>
        <w:tc>
          <w:tcPr>
            <w:tcW w:w="822" w:type="pct"/>
            <w:tcBorders>
              <w:top w:val="single" w:sz="8" w:space="0" w:color="auto"/>
              <w:left w:val="nil"/>
              <w:bottom w:val="nil"/>
              <w:right w:val="nil"/>
            </w:tcBorders>
            <w:noWrap/>
            <w:vAlign w:val="bottom"/>
            <w:hideMark/>
          </w:tcPr>
          <w:p w14:paraId="3807817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Mean of ranks</w:t>
            </w:r>
          </w:p>
        </w:tc>
        <w:tc>
          <w:tcPr>
            <w:tcW w:w="1332" w:type="pct"/>
            <w:gridSpan w:val="3"/>
            <w:tcBorders>
              <w:top w:val="single" w:sz="8" w:space="0" w:color="auto"/>
              <w:left w:val="single" w:sz="4" w:space="0" w:color="auto"/>
              <w:bottom w:val="single" w:sz="4" w:space="0" w:color="auto"/>
              <w:right w:val="nil"/>
            </w:tcBorders>
            <w:noWrap/>
            <w:vAlign w:val="bottom"/>
            <w:hideMark/>
          </w:tcPr>
          <w:p w14:paraId="12FE1D2E"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Groups</w:t>
            </w:r>
          </w:p>
        </w:tc>
      </w:tr>
      <w:tr w:rsidR="00ED19FC" w:rsidRPr="001F745A" w14:paraId="6623879C" w14:textId="77777777" w:rsidTr="00693BD1">
        <w:trPr>
          <w:trHeight w:val="401"/>
        </w:trPr>
        <w:tc>
          <w:tcPr>
            <w:tcW w:w="1430" w:type="pct"/>
            <w:tcBorders>
              <w:top w:val="single" w:sz="4" w:space="0" w:color="auto"/>
              <w:left w:val="nil"/>
              <w:bottom w:val="nil"/>
              <w:right w:val="nil"/>
            </w:tcBorders>
            <w:noWrap/>
            <w:vAlign w:val="bottom"/>
            <w:hideMark/>
          </w:tcPr>
          <w:p w14:paraId="032B6F0B"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GRA</w:t>
            </w:r>
          </w:p>
        </w:tc>
        <w:tc>
          <w:tcPr>
            <w:tcW w:w="643" w:type="pct"/>
            <w:tcBorders>
              <w:top w:val="single" w:sz="4" w:space="0" w:color="auto"/>
              <w:left w:val="nil"/>
              <w:bottom w:val="nil"/>
              <w:right w:val="nil"/>
            </w:tcBorders>
            <w:noWrap/>
            <w:vAlign w:val="bottom"/>
            <w:hideMark/>
          </w:tcPr>
          <w:p w14:paraId="344FA521"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w:t>
            </w:r>
          </w:p>
        </w:tc>
        <w:tc>
          <w:tcPr>
            <w:tcW w:w="773" w:type="pct"/>
            <w:tcBorders>
              <w:top w:val="single" w:sz="4" w:space="0" w:color="auto"/>
              <w:left w:val="nil"/>
              <w:bottom w:val="nil"/>
              <w:right w:val="nil"/>
            </w:tcBorders>
            <w:noWrap/>
            <w:vAlign w:val="bottom"/>
            <w:hideMark/>
          </w:tcPr>
          <w:p w14:paraId="6E7EBC4D"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13.000</w:t>
            </w:r>
          </w:p>
        </w:tc>
        <w:tc>
          <w:tcPr>
            <w:tcW w:w="822" w:type="pct"/>
            <w:tcBorders>
              <w:top w:val="single" w:sz="4" w:space="0" w:color="auto"/>
              <w:left w:val="nil"/>
              <w:bottom w:val="nil"/>
              <w:right w:val="nil"/>
            </w:tcBorders>
            <w:noWrap/>
            <w:vAlign w:val="bottom"/>
            <w:hideMark/>
          </w:tcPr>
          <w:p w14:paraId="0F0ADA99"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4.333</w:t>
            </w:r>
          </w:p>
        </w:tc>
        <w:tc>
          <w:tcPr>
            <w:tcW w:w="414" w:type="pct"/>
            <w:tcBorders>
              <w:top w:val="nil"/>
              <w:left w:val="single" w:sz="4" w:space="0" w:color="auto"/>
              <w:bottom w:val="nil"/>
              <w:right w:val="nil"/>
            </w:tcBorders>
            <w:noWrap/>
            <w:vAlign w:val="bottom"/>
            <w:hideMark/>
          </w:tcPr>
          <w:p w14:paraId="2E70E68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w:t>
            </w:r>
          </w:p>
        </w:tc>
        <w:tc>
          <w:tcPr>
            <w:tcW w:w="418" w:type="pct"/>
            <w:tcBorders>
              <w:top w:val="nil"/>
              <w:left w:val="nil"/>
              <w:bottom w:val="nil"/>
              <w:right w:val="nil"/>
            </w:tcBorders>
            <w:noWrap/>
            <w:vAlign w:val="bottom"/>
            <w:hideMark/>
          </w:tcPr>
          <w:p w14:paraId="3C49167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500" w:type="pct"/>
            <w:tcBorders>
              <w:top w:val="nil"/>
              <w:left w:val="nil"/>
              <w:bottom w:val="nil"/>
              <w:right w:val="nil"/>
            </w:tcBorders>
            <w:noWrap/>
            <w:vAlign w:val="bottom"/>
            <w:hideMark/>
          </w:tcPr>
          <w:p w14:paraId="5AF0E239"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r>
      <w:tr w:rsidR="00ED19FC" w:rsidRPr="001F745A" w14:paraId="1C551C47" w14:textId="77777777" w:rsidTr="00693BD1">
        <w:trPr>
          <w:trHeight w:val="401"/>
        </w:trPr>
        <w:tc>
          <w:tcPr>
            <w:tcW w:w="1430" w:type="pct"/>
            <w:tcBorders>
              <w:top w:val="nil"/>
              <w:left w:val="nil"/>
              <w:bottom w:val="nil"/>
              <w:right w:val="nil"/>
            </w:tcBorders>
            <w:noWrap/>
            <w:vAlign w:val="bottom"/>
            <w:hideMark/>
          </w:tcPr>
          <w:p w14:paraId="7C1662E1"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Rumuibekwe</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nil"/>
              <w:right w:val="nil"/>
            </w:tcBorders>
            <w:noWrap/>
            <w:vAlign w:val="bottom"/>
            <w:hideMark/>
          </w:tcPr>
          <w:p w14:paraId="01DC5192"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13</w:t>
            </w:r>
          </w:p>
        </w:tc>
        <w:tc>
          <w:tcPr>
            <w:tcW w:w="773" w:type="pct"/>
            <w:tcBorders>
              <w:top w:val="nil"/>
              <w:left w:val="nil"/>
              <w:bottom w:val="nil"/>
              <w:right w:val="nil"/>
            </w:tcBorders>
            <w:noWrap/>
            <w:vAlign w:val="bottom"/>
            <w:hideMark/>
          </w:tcPr>
          <w:p w14:paraId="7C31FD0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264.000</w:t>
            </w:r>
          </w:p>
        </w:tc>
        <w:tc>
          <w:tcPr>
            <w:tcW w:w="822" w:type="pct"/>
            <w:tcBorders>
              <w:top w:val="nil"/>
              <w:left w:val="nil"/>
              <w:bottom w:val="nil"/>
              <w:right w:val="nil"/>
            </w:tcBorders>
            <w:noWrap/>
            <w:vAlign w:val="bottom"/>
            <w:hideMark/>
          </w:tcPr>
          <w:p w14:paraId="24C47E6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20.308</w:t>
            </w:r>
          </w:p>
        </w:tc>
        <w:tc>
          <w:tcPr>
            <w:tcW w:w="414" w:type="pct"/>
            <w:tcBorders>
              <w:top w:val="nil"/>
              <w:left w:val="single" w:sz="4" w:space="0" w:color="auto"/>
              <w:bottom w:val="nil"/>
              <w:right w:val="nil"/>
            </w:tcBorders>
            <w:noWrap/>
            <w:vAlign w:val="bottom"/>
            <w:hideMark/>
          </w:tcPr>
          <w:p w14:paraId="2131772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A</w:t>
            </w:r>
          </w:p>
        </w:tc>
        <w:tc>
          <w:tcPr>
            <w:tcW w:w="418" w:type="pct"/>
            <w:tcBorders>
              <w:top w:val="nil"/>
              <w:left w:val="nil"/>
              <w:bottom w:val="nil"/>
              <w:right w:val="nil"/>
            </w:tcBorders>
            <w:noWrap/>
            <w:vAlign w:val="bottom"/>
            <w:hideMark/>
          </w:tcPr>
          <w:p w14:paraId="01B4EF2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154893A7"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p>
        </w:tc>
      </w:tr>
      <w:tr w:rsidR="00ED19FC" w:rsidRPr="001F745A" w14:paraId="689EDB3A" w14:textId="77777777" w:rsidTr="00693BD1">
        <w:trPr>
          <w:trHeight w:val="401"/>
        </w:trPr>
        <w:tc>
          <w:tcPr>
            <w:tcW w:w="1430" w:type="pct"/>
            <w:tcBorders>
              <w:top w:val="nil"/>
              <w:left w:val="nil"/>
              <w:bottom w:val="nil"/>
              <w:right w:val="nil"/>
            </w:tcBorders>
            <w:noWrap/>
            <w:vAlign w:val="bottom"/>
            <w:hideMark/>
          </w:tcPr>
          <w:p w14:paraId="082A9987"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Otuogori</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nil"/>
              <w:right w:val="nil"/>
            </w:tcBorders>
            <w:noWrap/>
            <w:vAlign w:val="bottom"/>
            <w:hideMark/>
          </w:tcPr>
          <w:p w14:paraId="65507954"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22</w:t>
            </w:r>
          </w:p>
        </w:tc>
        <w:tc>
          <w:tcPr>
            <w:tcW w:w="773" w:type="pct"/>
            <w:tcBorders>
              <w:top w:val="nil"/>
              <w:left w:val="nil"/>
              <w:bottom w:val="nil"/>
              <w:right w:val="nil"/>
            </w:tcBorders>
            <w:noWrap/>
            <w:vAlign w:val="bottom"/>
            <w:hideMark/>
          </w:tcPr>
          <w:p w14:paraId="5B4B6893"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670.500</w:t>
            </w:r>
          </w:p>
        </w:tc>
        <w:tc>
          <w:tcPr>
            <w:tcW w:w="822" w:type="pct"/>
            <w:tcBorders>
              <w:top w:val="nil"/>
              <w:left w:val="nil"/>
              <w:bottom w:val="nil"/>
              <w:right w:val="nil"/>
            </w:tcBorders>
            <w:noWrap/>
            <w:vAlign w:val="bottom"/>
            <w:hideMark/>
          </w:tcPr>
          <w:p w14:paraId="76F7C02B"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30.477</w:t>
            </w:r>
          </w:p>
        </w:tc>
        <w:tc>
          <w:tcPr>
            <w:tcW w:w="414" w:type="pct"/>
            <w:tcBorders>
              <w:top w:val="nil"/>
              <w:left w:val="single" w:sz="4" w:space="0" w:color="auto"/>
              <w:bottom w:val="nil"/>
              <w:right w:val="nil"/>
            </w:tcBorders>
            <w:noWrap/>
            <w:vAlign w:val="bottom"/>
            <w:hideMark/>
          </w:tcPr>
          <w:p w14:paraId="199419A0"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nil"/>
              <w:right w:val="nil"/>
            </w:tcBorders>
            <w:noWrap/>
            <w:vAlign w:val="bottom"/>
            <w:hideMark/>
          </w:tcPr>
          <w:p w14:paraId="61A7C71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7C8DD7DB"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r w:rsidR="00ED19FC" w:rsidRPr="001F745A" w14:paraId="4B53AAA9" w14:textId="77777777" w:rsidTr="00693BD1">
        <w:trPr>
          <w:trHeight w:val="401"/>
        </w:trPr>
        <w:tc>
          <w:tcPr>
            <w:tcW w:w="1430" w:type="pct"/>
            <w:tcBorders>
              <w:top w:val="nil"/>
              <w:left w:val="nil"/>
              <w:bottom w:val="nil"/>
              <w:right w:val="nil"/>
            </w:tcBorders>
            <w:noWrap/>
            <w:vAlign w:val="bottom"/>
            <w:hideMark/>
          </w:tcPr>
          <w:p w14:paraId="314D24DA"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Kana </w:t>
            </w:r>
            <w:proofErr w:type="spellStart"/>
            <w:r w:rsidRPr="001F745A">
              <w:rPr>
                <w:rFonts w:ascii="Arial" w:eastAsia="Times New Roman" w:hAnsi="Arial" w:cs="Arial"/>
                <w:color w:val="000000"/>
                <w:kern w:val="0"/>
                <w:sz w:val="20"/>
                <w:szCs w:val="20"/>
                <w:lang w:eastAsia="en-GB"/>
                <w14:ligatures w14:val="none"/>
              </w:rPr>
              <w:t>Ataba</w:t>
            </w:r>
            <w:proofErr w:type="spellEnd"/>
          </w:p>
        </w:tc>
        <w:tc>
          <w:tcPr>
            <w:tcW w:w="643" w:type="pct"/>
            <w:tcBorders>
              <w:top w:val="nil"/>
              <w:left w:val="nil"/>
              <w:bottom w:val="nil"/>
              <w:right w:val="nil"/>
            </w:tcBorders>
            <w:noWrap/>
            <w:vAlign w:val="bottom"/>
            <w:hideMark/>
          </w:tcPr>
          <w:p w14:paraId="778B7E6F"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8</w:t>
            </w:r>
          </w:p>
        </w:tc>
        <w:tc>
          <w:tcPr>
            <w:tcW w:w="773" w:type="pct"/>
            <w:tcBorders>
              <w:top w:val="nil"/>
              <w:left w:val="nil"/>
              <w:bottom w:val="nil"/>
              <w:right w:val="nil"/>
            </w:tcBorders>
            <w:noWrap/>
            <w:vAlign w:val="bottom"/>
            <w:hideMark/>
          </w:tcPr>
          <w:p w14:paraId="3D7E4DD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262.500</w:t>
            </w:r>
          </w:p>
        </w:tc>
        <w:tc>
          <w:tcPr>
            <w:tcW w:w="822" w:type="pct"/>
            <w:tcBorders>
              <w:top w:val="nil"/>
              <w:left w:val="nil"/>
              <w:bottom w:val="nil"/>
              <w:right w:val="nil"/>
            </w:tcBorders>
            <w:noWrap/>
            <w:vAlign w:val="bottom"/>
            <w:hideMark/>
          </w:tcPr>
          <w:p w14:paraId="317D82D5"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32.813</w:t>
            </w:r>
          </w:p>
        </w:tc>
        <w:tc>
          <w:tcPr>
            <w:tcW w:w="414" w:type="pct"/>
            <w:tcBorders>
              <w:top w:val="nil"/>
              <w:left w:val="single" w:sz="4" w:space="0" w:color="auto"/>
              <w:bottom w:val="nil"/>
              <w:right w:val="nil"/>
            </w:tcBorders>
            <w:noWrap/>
            <w:vAlign w:val="bottom"/>
            <w:hideMark/>
          </w:tcPr>
          <w:p w14:paraId="3710E8AA"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nil"/>
              <w:right w:val="nil"/>
            </w:tcBorders>
            <w:noWrap/>
            <w:vAlign w:val="bottom"/>
            <w:hideMark/>
          </w:tcPr>
          <w:p w14:paraId="1EBA9FF2"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B</w:t>
            </w:r>
          </w:p>
        </w:tc>
        <w:tc>
          <w:tcPr>
            <w:tcW w:w="500" w:type="pct"/>
            <w:tcBorders>
              <w:top w:val="nil"/>
              <w:left w:val="nil"/>
              <w:bottom w:val="nil"/>
              <w:right w:val="nil"/>
            </w:tcBorders>
            <w:noWrap/>
            <w:vAlign w:val="bottom"/>
            <w:hideMark/>
          </w:tcPr>
          <w:p w14:paraId="7896C6C0"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r w:rsidR="00ED19FC" w:rsidRPr="001F745A" w14:paraId="75AF98C2" w14:textId="77777777" w:rsidTr="00693BD1">
        <w:trPr>
          <w:trHeight w:val="423"/>
        </w:trPr>
        <w:tc>
          <w:tcPr>
            <w:tcW w:w="1430" w:type="pct"/>
            <w:tcBorders>
              <w:top w:val="nil"/>
              <w:left w:val="nil"/>
              <w:bottom w:val="single" w:sz="8" w:space="0" w:color="auto"/>
              <w:right w:val="nil"/>
            </w:tcBorders>
            <w:noWrap/>
            <w:vAlign w:val="bottom"/>
            <w:hideMark/>
          </w:tcPr>
          <w:p w14:paraId="63C6F96C" w14:textId="77777777" w:rsidR="00ED19FC" w:rsidRPr="001F745A" w:rsidRDefault="00ED19FC" w:rsidP="00EF48CD">
            <w:pPr>
              <w:spacing w:after="0" w:line="240" w:lineRule="auto"/>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Nspt</w:t>
            </w:r>
            <w:proofErr w:type="spellEnd"/>
            <w:r w:rsidRPr="001F745A">
              <w:rPr>
                <w:rFonts w:ascii="Arial" w:eastAsia="Times New Roman" w:hAnsi="Arial" w:cs="Arial"/>
                <w:color w:val="000000"/>
                <w:kern w:val="0"/>
                <w:sz w:val="20"/>
                <w:szCs w:val="20"/>
                <w:lang w:eastAsia="en-GB"/>
                <w14:ligatures w14:val="none"/>
              </w:rPr>
              <w:t xml:space="preserve"> | </w:t>
            </w:r>
            <w:proofErr w:type="spellStart"/>
            <w:r w:rsidRPr="001F745A">
              <w:rPr>
                <w:rFonts w:ascii="Arial" w:eastAsia="Times New Roman" w:hAnsi="Arial" w:cs="Arial"/>
                <w:color w:val="000000"/>
                <w:kern w:val="0"/>
                <w:sz w:val="20"/>
                <w:szCs w:val="20"/>
                <w:lang w:eastAsia="en-GB"/>
                <w14:ligatures w14:val="none"/>
              </w:rPr>
              <w:t>Okansu</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643" w:type="pct"/>
            <w:tcBorders>
              <w:top w:val="nil"/>
              <w:left w:val="nil"/>
              <w:bottom w:val="single" w:sz="8" w:space="0" w:color="auto"/>
              <w:right w:val="nil"/>
            </w:tcBorders>
            <w:noWrap/>
            <w:vAlign w:val="bottom"/>
            <w:hideMark/>
          </w:tcPr>
          <w:p w14:paraId="635B90E1"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10</w:t>
            </w:r>
          </w:p>
        </w:tc>
        <w:tc>
          <w:tcPr>
            <w:tcW w:w="773" w:type="pct"/>
            <w:tcBorders>
              <w:top w:val="nil"/>
              <w:left w:val="nil"/>
              <w:bottom w:val="single" w:sz="8" w:space="0" w:color="auto"/>
              <w:right w:val="nil"/>
            </w:tcBorders>
            <w:noWrap/>
            <w:vAlign w:val="bottom"/>
            <w:hideMark/>
          </w:tcPr>
          <w:p w14:paraId="4AD1F01D"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386.000</w:t>
            </w:r>
          </w:p>
        </w:tc>
        <w:tc>
          <w:tcPr>
            <w:tcW w:w="822" w:type="pct"/>
            <w:tcBorders>
              <w:top w:val="nil"/>
              <w:left w:val="nil"/>
              <w:bottom w:val="single" w:sz="8" w:space="0" w:color="auto"/>
              <w:right w:val="nil"/>
            </w:tcBorders>
            <w:noWrap/>
            <w:vAlign w:val="bottom"/>
            <w:hideMark/>
          </w:tcPr>
          <w:p w14:paraId="72F5635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38.600</w:t>
            </w:r>
          </w:p>
        </w:tc>
        <w:tc>
          <w:tcPr>
            <w:tcW w:w="414" w:type="pct"/>
            <w:tcBorders>
              <w:top w:val="nil"/>
              <w:left w:val="single" w:sz="4" w:space="0" w:color="auto"/>
              <w:bottom w:val="single" w:sz="8" w:space="0" w:color="auto"/>
              <w:right w:val="nil"/>
            </w:tcBorders>
            <w:noWrap/>
            <w:vAlign w:val="bottom"/>
            <w:hideMark/>
          </w:tcPr>
          <w:p w14:paraId="4AF12CDE"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418" w:type="pct"/>
            <w:tcBorders>
              <w:top w:val="nil"/>
              <w:left w:val="nil"/>
              <w:bottom w:val="single" w:sz="8" w:space="0" w:color="auto"/>
              <w:right w:val="nil"/>
            </w:tcBorders>
            <w:noWrap/>
            <w:vAlign w:val="bottom"/>
            <w:hideMark/>
          </w:tcPr>
          <w:p w14:paraId="21530AE8"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w:t>
            </w:r>
          </w:p>
        </w:tc>
        <w:tc>
          <w:tcPr>
            <w:tcW w:w="500" w:type="pct"/>
            <w:tcBorders>
              <w:top w:val="nil"/>
              <w:left w:val="nil"/>
              <w:bottom w:val="single" w:sz="8" w:space="0" w:color="auto"/>
              <w:right w:val="nil"/>
            </w:tcBorders>
            <w:noWrap/>
            <w:vAlign w:val="bottom"/>
            <w:hideMark/>
          </w:tcPr>
          <w:p w14:paraId="09D619FC" w14:textId="77777777" w:rsidR="00ED19FC" w:rsidRPr="001F745A" w:rsidRDefault="00ED19FC"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w:t>
            </w:r>
          </w:p>
        </w:tc>
      </w:tr>
    </w:tbl>
    <w:p w14:paraId="77BA5062" w14:textId="77777777" w:rsidR="00ED19FC" w:rsidRPr="001F745A" w:rsidRDefault="00ED19FC" w:rsidP="00EF48CD">
      <w:pPr>
        <w:spacing w:line="240" w:lineRule="auto"/>
        <w:jc w:val="both"/>
        <w:rPr>
          <w:rFonts w:ascii="Arial" w:hAnsi="Arial" w:cs="Arial"/>
          <w:sz w:val="20"/>
          <w:szCs w:val="20"/>
        </w:rPr>
      </w:pPr>
    </w:p>
    <w:p w14:paraId="4AEFE82C" w14:textId="77777777" w:rsidR="00606ED0" w:rsidRPr="001F745A" w:rsidRDefault="00606ED0" w:rsidP="00C30636">
      <w:pPr>
        <w:pStyle w:val="Heading2"/>
      </w:pPr>
      <w:r w:rsidRPr="001F745A">
        <w:t>3.4 Subsurface Conditions and Soil Classification</w:t>
      </w:r>
    </w:p>
    <w:p w14:paraId="37C12600"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subsurface analysis showed that each of the five sites has a unique stratigraphic profile. Otuogori Bridge had the most intricate profile, with 26 different layers reaching a depth of 34.5 meters, while GRA had the most straightforward shape, with three layers reaching 16.5 meters. Sand was the most common soil type in all places, with Rumuibekwe Bridge mostly displaying fine-grained features and four locations displaying coarse-</w:t>
      </w:r>
      <w:r w:rsidRPr="00EF48CD">
        <w:rPr>
          <w:rFonts w:ascii="Arial" w:hAnsi="Arial" w:cs="Arial"/>
          <w:sz w:val="20"/>
          <w:szCs w:val="20"/>
        </w:rPr>
        <w:lastRenderedPageBreak/>
        <w:t>grained dominance. Similar mineralogical compositions and oxidation states were revealed by the constant light brown and light grey colorations.</w:t>
      </w:r>
    </w:p>
    <w:p w14:paraId="733BD53C" w14:textId="4996516B" w:rsidR="00EF48CD" w:rsidRDefault="00EF48CD" w:rsidP="00EF48CD">
      <w:pPr>
        <w:spacing w:line="240" w:lineRule="auto"/>
        <w:rPr>
          <w:rFonts w:ascii="Arial" w:hAnsi="Arial" w:cs="Arial"/>
          <w:b/>
          <w:bCs/>
          <w:sz w:val="20"/>
          <w:szCs w:val="20"/>
        </w:rPr>
      </w:pPr>
    </w:p>
    <w:p w14:paraId="60F261F6" w14:textId="43AD87B4"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t xml:space="preserve">Table </w:t>
      </w:r>
      <w:r w:rsidR="00D74244" w:rsidRPr="001F745A">
        <w:rPr>
          <w:rFonts w:ascii="Arial" w:hAnsi="Arial" w:cs="Arial"/>
          <w:b/>
          <w:bCs/>
          <w:sz w:val="20"/>
          <w:szCs w:val="20"/>
        </w:rPr>
        <w:t>5</w:t>
      </w:r>
      <w:r w:rsidRPr="001F745A">
        <w:rPr>
          <w:rFonts w:ascii="Arial" w:hAnsi="Arial" w:cs="Arial"/>
          <w:b/>
          <w:bCs/>
          <w:sz w:val="20"/>
          <w:szCs w:val="20"/>
        </w:rPr>
        <w:t xml:space="preserve">: </w:t>
      </w:r>
      <w:r w:rsidRPr="001F745A">
        <w:rPr>
          <w:rFonts w:ascii="Arial" w:hAnsi="Arial" w:cs="Arial"/>
          <w:sz w:val="20"/>
          <w:szCs w:val="20"/>
        </w:rPr>
        <w:t>Soil Classification Summary by Location</w:t>
      </w:r>
    </w:p>
    <w:tbl>
      <w:tblPr>
        <w:tblW w:w="5000" w:type="pct"/>
        <w:tblLook w:val="04A0" w:firstRow="1" w:lastRow="0" w:firstColumn="1" w:lastColumn="0" w:noHBand="0" w:noVBand="1"/>
      </w:tblPr>
      <w:tblGrid>
        <w:gridCol w:w="2231"/>
        <w:gridCol w:w="1092"/>
        <w:gridCol w:w="1493"/>
        <w:gridCol w:w="1471"/>
        <w:gridCol w:w="1545"/>
        <w:gridCol w:w="1914"/>
      </w:tblGrid>
      <w:tr w:rsidR="00D057E5" w:rsidRPr="001F745A" w14:paraId="30A94798" w14:textId="77777777" w:rsidTr="00693BD1">
        <w:trPr>
          <w:trHeight w:val="334"/>
        </w:trPr>
        <w:tc>
          <w:tcPr>
            <w:tcW w:w="1145" w:type="pct"/>
            <w:tcBorders>
              <w:top w:val="single" w:sz="4" w:space="0" w:color="auto"/>
              <w:bottom w:val="single" w:sz="4" w:space="0" w:color="auto"/>
            </w:tcBorders>
            <w:noWrap/>
            <w:vAlign w:val="center"/>
            <w:hideMark/>
          </w:tcPr>
          <w:p w14:paraId="409359F1" w14:textId="77777777" w:rsidR="00D057E5" w:rsidRPr="001F745A" w:rsidRDefault="00D057E5" w:rsidP="00EF48CD">
            <w:pPr>
              <w:spacing w:after="0" w:line="240" w:lineRule="auto"/>
              <w:jc w:val="center"/>
              <w:rPr>
                <w:rFonts w:ascii="Arial" w:eastAsia="Times New Roman" w:hAnsi="Arial" w:cs="Arial"/>
                <w:b/>
                <w:bCs/>
                <w:kern w:val="0"/>
                <w:sz w:val="20"/>
                <w:szCs w:val="20"/>
                <w:lang w:eastAsia="en-GB"/>
                <w14:ligatures w14:val="none"/>
              </w:rPr>
            </w:pPr>
            <w:r w:rsidRPr="001F745A">
              <w:rPr>
                <w:rFonts w:ascii="Arial" w:eastAsia="Times New Roman" w:hAnsi="Arial" w:cs="Arial"/>
                <w:b/>
                <w:bCs/>
                <w:kern w:val="0"/>
                <w:sz w:val="20"/>
                <w:szCs w:val="20"/>
                <w:lang w:eastAsia="en-GB"/>
                <w14:ligatures w14:val="none"/>
              </w:rPr>
              <w:t>Location</w:t>
            </w:r>
          </w:p>
        </w:tc>
        <w:tc>
          <w:tcPr>
            <w:tcW w:w="560" w:type="pct"/>
            <w:tcBorders>
              <w:top w:val="single" w:sz="4" w:space="0" w:color="auto"/>
              <w:bottom w:val="single" w:sz="4" w:space="0" w:color="auto"/>
            </w:tcBorders>
            <w:noWrap/>
            <w:vAlign w:val="center"/>
            <w:hideMark/>
          </w:tcPr>
          <w:p w14:paraId="6FEE56F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GRA</w:t>
            </w:r>
          </w:p>
        </w:tc>
        <w:tc>
          <w:tcPr>
            <w:tcW w:w="766" w:type="pct"/>
            <w:tcBorders>
              <w:top w:val="single" w:sz="4" w:space="0" w:color="auto"/>
              <w:bottom w:val="single" w:sz="4" w:space="0" w:color="auto"/>
            </w:tcBorders>
            <w:noWrap/>
            <w:vAlign w:val="center"/>
            <w:hideMark/>
          </w:tcPr>
          <w:p w14:paraId="258AB7C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 xml:space="preserve">Kana </w:t>
            </w:r>
            <w:proofErr w:type="spellStart"/>
            <w:r w:rsidRPr="001F745A">
              <w:rPr>
                <w:rFonts w:ascii="Arial" w:eastAsia="Times New Roman" w:hAnsi="Arial" w:cs="Arial"/>
                <w:color w:val="000000"/>
                <w:kern w:val="0"/>
                <w:sz w:val="20"/>
                <w:szCs w:val="20"/>
                <w:lang w:eastAsia="en-GB"/>
                <w14:ligatures w14:val="none"/>
              </w:rPr>
              <w:t>Ataba</w:t>
            </w:r>
            <w:proofErr w:type="spellEnd"/>
          </w:p>
        </w:tc>
        <w:tc>
          <w:tcPr>
            <w:tcW w:w="755" w:type="pct"/>
            <w:tcBorders>
              <w:top w:val="single" w:sz="4" w:space="0" w:color="auto"/>
              <w:bottom w:val="single" w:sz="4" w:space="0" w:color="auto"/>
            </w:tcBorders>
            <w:noWrap/>
            <w:vAlign w:val="center"/>
            <w:hideMark/>
          </w:tcPr>
          <w:p w14:paraId="55B8AE0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Okansu</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793" w:type="pct"/>
            <w:tcBorders>
              <w:top w:val="single" w:sz="4" w:space="0" w:color="auto"/>
              <w:bottom w:val="single" w:sz="4" w:space="0" w:color="auto"/>
            </w:tcBorders>
            <w:noWrap/>
            <w:vAlign w:val="center"/>
            <w:hideMark/>
          </w:tcPr>
          <w:p w14:paraId="28F9E60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Otuogori</w:t>
            </w:r>
            <w:proofErr w:type="spellEnd"/>
            <w:r w:rsidRPr="001F745A">
              <w:rPr>
                <w:rFonts w:ascii="Arial" w:eastAsia="Times New Roman" w:hAnsi="Arial" w:cs="Arial"/>
                <w:color w:val="000000"/>
                <w:kern w:val="0"/>
                <w:sz w:val="20"/>
                <w:szCs w:val="20"/>
                <w:lang w:eastAsia="en-GB"/>
                <w14:ligatures w14:val="none"/>
              </w:rPr>
              <w:t xml:space="preserve"> Bridge</w:t>
            </w:r>
          </w:p>
        </w:tc>
        <w:tc>
          <w:tcPr>
            <w:tcW w:w="982" w:type="pct"/>
            <w:tcBorders>
              <w:top w:val="single" w:sz="4" w:space="0" w:color="auto"/>
              <w:bottom w:val="single" w:sz="4" w:space="0" w:color="auto"/>
            </w:tcBorders>
            <w:noWrap/>
            <w:vAlign w:val="center"/>
            <w:hideMark/>
          </w:tcPr>
          <w:p w14:paraId="15F9F14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proofErr w:type="spellStart"/>
            <w:r w:rsidRPr="001F745A">
              <w:rPr>
                <w:rFonts w:ascii="Arial" w:eastAsia="Times New Roman" w:hAnsi="Arial" w:cs="Arial"/>
                <w:color w:val="000000"/>
                <w:kern w:val="0"/>
                <w:sz w:val="20"/>
                <w:szCs w:val="20"/>
                <w:lang w:eastAsia="en-GB"/>
                <w14:ligatures w14:val="none"/>
              </w:rPr>
              <w:t>Rumuibekwe</w:t>
            </w:r>
            <w:proofErr w:type="spellEnd"/>
            <w:r w:rsidRPr="001F745A">
              <w:rPr>
                <w:rFonts w:ascii="Arial" w:eastAsia="Times New Roman" w:hAnsi="Arial" w:cs="Arial"/>
                <w:color w:val="000000"/>
                <w:kern w:val="0"/>
                <w:sz w:val="20"/>
                <w:szCs w:val="20"/>
                <w:lang w:eastAsia="en-GB"/>
                <w14:ligatures w14:val="none"/>
              </w:rPr>
              <w:t xml:space="preserve"> Bridge</w:t>
            </w:r>
          </w:p>
        </w:tc>
      </w:tr>
      <w:tr w:rsidR="00D057E5" w:rsidRPr="001F745A" w14:paraId="5BC7C401" w14:textId="77777777" w:rsidTr="00693BD1">
        <w:trPr>
          <w:trHeight w:val="334"/>
        </w:trPr>
        <w:tc>
          <w:tcPr>
            <w:tcW w:w="1145" w:type="pct"/>
            <w:tcBorders>
              <w:top w:val="single" w:sz="4" w:space="0" w:color="auto"/>
            </w:tcBorders>
            <w:noWrap/>
            <w:vAlign w:val="center"/>
            <w:hideMark/>
          </w:tcPr>
          <w:p w14:paraId="692C6B28"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Total Layers</w:t>
            </w:r>
          </w:p>
        </w:tc>
        <w:tc>
          <w:tcPr>
            <w:tcW w:w="560" w:type="pct"/>
            <w:tcBorders>
              <w:top w:val="single" w:sz="4" w:space="0" w:color="auto"/>
            </w:tcBorders>
            <w:noWrap/>
            <w:vAlign w:val="center"/>
            <w:hideMark/>
          </w:tcPr>
          <w:p w14:paraId="6817CEA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3</w:t>
            </w:r>
          </w:p>
        </w:tc>
        <w:tc>
          <w:tcPr>
            <w:tcW w:w="766" w:type="pct"/>
            <w:tcBorders>
              <w:top w:val="single" w:sz="4" w:space="0" w:color="auto"/>
            </w:tcBorders>
            <w:noWrap/>
            <w:vAlign w:val="center"/>
            <w:hideMark/>
          </w:tcPr>
          <w:p w14:paraId="746080F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14</w:t>
            </w:r>
          </w:p>
        </w:tc>
        <w:tc>
          <w:tcPr>
            <w:tcW w:w="755" w:type="pct"/>
            <w:tcBorders>
              <w:top w:val="single" w:sz="4" w:space="0" w:color="auto"/>
            </w:tcBorders>
            <w:noWrap/>
            <w:vAlign w:val="center"/>
            <w:hideMark/>
          </w:tcPr>
          <w:p w14:paraId="35404D7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12</w:t>
            </w:r>
          </w:p>
        </w:tc>
        <w:tc>
          <w:tcPr>
            <w:tcW w:w="793" w:type="pct"/>
            <w:tcBorders>
              <w:top w:val="single" w:sz="4" w:space="0" w:color="auto"/>
            </w:tcBorders>
            <w:noWrap/>
            <w:vAlign w:val="center"/>
            <w:hideMark/>
          </w:tcPr>
          <w:p w14:paraId="7EE8778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26</w:t>
            </w:r>
          </w:p>
        </w:tc>
        <w:tc>
          <w:tcPr>
            <w:tcW w:w="982" w:type="pct"/>
            <w:tcBorders>
              <w:top w:val="single" w:sz="4" w:space="0" w:color="auto"/>
            </w:tcBorders>
            <w:noWrap/>
            <w:vAlign w:val="center"/>
            <w:hideMark/>
          </w:tcPr>
          <w:p w14:paraId="373DE004"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8</w:t>
            </w:r>
          </w:p>
        </w:tc>
      </w:tr>
      <w:tr w:rsidR="00D057E5" w:rsidRPr="001F745A" w14:paraId="638ADB3E" w14:textId="77777777" w:rsidTr="00693BD1">
        <w:trPr>
          <w:trHeight w:val="334"/>
        </w:trPr>
        <w:tc>
          <w:tcPr>
            <w:tcW w:w="1145" w:type="pct"/>
            <w:noWrap/>
            <w:vAlign w:val="center"/>
            <w:hideMark/>
          </w:tcPr>
          <w:p w14:paraId="19B7504E"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Grain Size</w:t>
            </w:r>
          </w:p>
        </w:tc>
        <w:tc>
          <w:tcPr>
            <w:tcW w:w="560" w:type="pct"/>
            <w:noWrap/>
            <w:vAlign w:val="center"/>
            <w:hideMark/>
          </w:tcPr>
          <w:p w14:paraId="28907011"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66" w:type="pct"/>
            <w:noWrap/>
            <w:vAlign w:val="center"/>
            <w:hideMark/>
          </w:tcPr>
          <w:p w14:paraId="48280AB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55" w:type="pct"/>
            <w:noWrap/>
            <w:vAlign w:val="center"/>
            <w:hideMark/>
          </w:tcPr>
          <w:p w14:paraId="432F5CA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793" w:type="pct"/>
            <w:noWrap/>
            <w:vAlign w:val="center"/>
            <w:hideMark/>
          </w:tcPr>
          <w:p w14:paraId="0B02548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w:t>
            </w:r>
          </w:p>
        </w:tc>
        <w:tc>
          <w:tcPr>
            <w:tcW w:w="982" w:type="pct"/>
            <w:noWrap/>
            <w:vAlign w:val="center"/>
            <w:hideMark/>
          </w:tcPr>
          <w:p w14:paraId="73717B0F"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Fine</w:t>
            </w:r>
          </w:p>
        </w:tc>
      </w:tr>
      <w:tr w:rsidR="00D057E5" w:rsidRPr="001F745A" w14:paraId="059F5706" w14:textId="77777777" w:rsidTr="00693BD1">
        <w:trPr>
          <w:trHeight w:val="334"/>
        </w:trPr>
        <w:tc>
          <w:tcPr>
            <w:tcW w:w="1145" w:type="pct"/>
            <w:noWrap/>
            <w:vAlign w:val="center"/>
            <w:hideMark/>
          </w:tcPr>
          <w:p w14:paraId="6109CFD5"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Density</w:t>
            </w:r>
          </w:p>
        </w:tc>
        <w:tc>
          <w:tcPr>
            <w:tcW w:w="560" w:type="pct"/>
            <w:noWrap/>
            <w:vAlign w:val="center"/>
            <w:hideMark/>
          </w:tcPr>
          <w:p w14:paraId="50771750"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Loose</w:t>
            </w:r>
          </w:p>
        </w:tc>
        <w:tc>
          <w:tcPr>
            <w:tcW w:w="766" w:type="pct"/>
            <w:noWrap/>
            <w:vAlign w:val="center"/>
            <w:hideMark/>
          </w:tcPr>
          <w:p w14:paraId="03C63859"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c>
          <w:tcPr>
            <w:tcW w:w="755" w:type="pct"/>
            <w:noWrap/>
            <w:vAlign w:val="center"/>
            <w:hideMark/>
          </w:tcPr>
          <w:p w14:paraId="666C717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Dense</w:t>
            </w:r>
          </w:p>
        </w:tc>
        <w:tc>
          <w:tcPr>
            <w:tcW w:w="793" w:type="pct"/>
            <w:noWrap/>
            <w:vAlign w:val="center"/>
            <w:hideMark/>
          </w:tcPr>
          <w:p w14:paraId="6949D8D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c>
          <w:tcPr>
            <w:tcW w:w="982" w:type="pct"/>
            <w:noWrap/>
            <w:vAlign w:val="center"/>
            <w:hideMark/>
          </w:tcPr>
          <w:p w14:paraId="51109E8D"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Medium Dense</w:t>
            </w:r>
          </w:p>
        </w:tc>
      </w:tr>
      <w:tr w:rsidR="00D057E5" w:rsidRPr="001F745A" w14:paraId="41A19A52" w14:textId="77777777" w:rsidTr="00693BD1">
        <w:trPr>
          <w:trHeight w:val="334"/>
        </w:trPr>
        <w:tc>
          <w:tcPr>
            <w:tcW w:w="1145" w:type="pct"/>
            <w:noWrap/>
            <w:vAlign w:val="center"/>
            <w:hideMark/>
          </w:tcPr>
          <w:p w14:paraId="4CDA45D0"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Predominant Soil Type</w:t>
            </w:r>
          </w:p>
        </w:tc>
        <w:tc>
          <w:tcPr>
            <w:tcW w:w="560" w:type="pct"/>
            <w:noWrap/>
            <w:vAlign w:val="center"/>
            <w:hideMark/>
          </w:tcPr>
          <w:p w14:paraId="6CB5251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66" w:type="pct"/>
            <w:noWrap/>
            <w:vAlign w:val="center"/>
            <w:hideMark/>
          </w:tcPr>
          <w:p w14:paraId="7C5CA5BD"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55" w:type="pct"/>
            <w:noWrap/>
            <w:vAlign w:val="center"/>
            <w:hideMark/>
          </w:tcPr>
          <w:p w14:paraId="094F4178"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793" w:type="pct"/>
            <w:noWrap/>
            <w:vAlign w:val="center"/>
            <w:hideMark/>
          </w:tcPr>
          <w:p w14:paraId="408F4B2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c>
          <w:tcPr>
            <w:tcW w:w="982" w:type="pct"/>
            <w:noWrap/>
            <w:vAlign w:val="center"/>
            <w:hideMark/>
          </w:tcPr>
          <w:p w14:paraId="5443A1C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Sand</w:t>
            </w:r>
          </w:p>
        </w:tc>
      </w:tr>
      <w:tr w:rsidR="00D057E5" w:rsidRPr="001F745A" w14:paraId="75DA78F3" w14:textId="77777777" w:rsidTr="00693BD1">
        <w:trPr>
          <w:trHeight w:val="334"/>
        </w:trPr>
        <w:tc>
          <w:tcPr>
            <w:tcW w:w="1145" w:type="pct"/>
            <w:tcBorders>
              <w:bottom w:val="single" w:sz="4" w:space="0" w:color="auto"/>
            </w:tcBorders>
            <w:noWrap/>
            <w:vAlign w:val="center"/>
            <w:hideMark/>
          </w:tcPr>
          <w:p w14:paraId="6FAA0584"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 xml:space="preserve">Predominant </w:t>
            </w:r>
            <w:proofErr w:type="spellStart"/>
            <w:r w:rsidRPr="001F745A">
              <w:rPr>
                <w:rFonts w:ascii="Arial" w:eastAsia="Times New Roman" w:hAnsi="Arial" w:cs="Arial"/>
                <w:kern w:val="0"/>
                <w:sz w:val="20"/>
                <w:szCs w:val="20"/>
                <w:lang w:eastAsia="en-GB"/>
                <w14:ligatures w14:val="none"/>
              </w:rPr>
              <w:t>Color</w:t>
            </w:r>
            <w:proofErr w:type="spellEnd"/>
          </w:p>
        </w:tc>
        <w:tc>
          <w:tcPr>
            <w:tcW w:w="560" w:type="pct"/>
            <w:tcBorders>
              <w:bottom w:val="single" w:sz="4" w:space="0" w:color="auto"/>
            </w:tcBorders>
            <w:noWrap/>
            <w:vAlign w:val="center"/>
            <w:hideMark/>
          </w:tcPr>
          <w:p w14:paraId="68A28EF7"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Grey</w:t>
            </w:r>
          </w:p>
        </w:tc>
        <w:tc>
          <w:tcPr>
            <w:tcW w:w="766" w:type="pct"/>
            <w:tcBorders>
              <w:bottom w:val="single" w:sz="4" w:space="0" w:color="auto"/>
            </w:tcBorders>
            <w:noWrap/>
            <w:vAlign w:val="center"/>
            <w:hideMark/>
          </w:tcPr>
          <w:p w14:paraId="3F5376DE"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755" w:type="pct"/>
            <w:tcBorders>
              <w:bottom w:val="single" w:sz="4" w:space="0" w:color="auto"/>
            </w:tcBorders>
            <w:noWrap/>
            <w:vAlign w:val="center"/>
            <w:hideMark/>
          </w:tcPr>
          <w:p w14:paraId="0003F406"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793" w:type="pct"/>
            <w:tcBorders>
              <w:bottom w:val="single" w:sz="4" w:space="0" w:color="auto"/>
            </w:tcBorders>
            <w:noWrap/>
            <w:vAlign w:val="center"/>
            <w:hideMark/>
          </w:tcPr>
          <w:p w14:paraId="32B547B2"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c>
          <w:tcPr>
            <w:tcW w:w="982" w:type="pct"/>
            <w:tcBorders>
              <w:bottom w:val="single" w:sz="4" w:space="0" w:color="auto"/>
            </w:tcBorders>
            <w:noWrap/>
            <w:vAlign w:val="center"/>
            <w:hideMark/>
          </w:tcPr>
          <w:p w14:paraId="6F8C565F"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Light Brown</w:t>
            </w:r>
          </w:p>
        </w:tc>
      </w:tr>
      <w:tr w:rsidR="00D057E5" w:rsidRPr="001F745A" w14:paraId="7D3AFAB4" w14:textId="77777777" w:rsidTr="00693BD1">
        <w:trPr>
          <w:trHeight w:val="1007"/>
        </w:trPr>
        <w:tc>
          <w:tcPr>
            <w:tcW w:w="1145" w:type="pct"/>
            <w:tcBorders>
              <w:top w:val="single" w:sz="4" w:space="0" w:color="auto"/>
              <w:bottom w:val="single" w:sz="4" w:space="0" w:color="auto"/>
            </w:tcBorders>
            <w:noWrap/>
            <w:vAlign w:val="center"/>
            <w:hideMark/>
          </w:tcPr>
          <w:p w14:paraId="595F033A" w14:textId="77777777" w:rsidR="00D057E5" w:rsidRPr="001F745A" w:rsidRDefault="00D057E5" w:rsidP="00EF48CD">
            <w:pPr>
              <w:spacing w:after="0" w:line="240" w:lineRule="auto"/>
              <w:jc w:val="center"/>
              <w:rPr>
                <w:rFonts w:ascii="Arial" w:eastAsia="Times New Roman" w:hAnsi="Arial" w:cs="Arial"/>
                <w:kern w:val="0"/>
                <w:sz w:val="20"/>
                <w:szCs w:val="20"/>
                <w:lang w:eastAsia="en-GB"/>
                <w14:ligatures w14:val="none"/>
              </w:rPr>
            </w:pPr>
            <w:r w:rsidRPr="001F745A">
              <w:rPr>
                <w:rFonts w:ascii="Arial" w:eastAsia="Times New Roman" w:hAnsi="Arial" w:cs="Arial"/>
                <w:kern w:val="0"/>
                <w:sz w:val="20"/>
                <w:szCs w:val="20"/>
                <w:lang w:eastAsia="en-GB"/>
                <w14:ligatures w14:val="none"/>
              </w:rPr>
              <w:t>Overall Classification</w:t>
            </w:r>
          </w:p>
        </w:tc>
        <w:tc>
          <w:tcPr>
            <w:tcW w:w="560" w:type="pct"/>
            <w:tcBorders>
              <w:top w:val="single" w:sz="4" w:space="0" w:color="auto"/>
              <w:bottom w:val="single" w:sz="4" w:space="0" w:color="auto"/>
            </w:tcBorders>
            <w:vAlign w:val="center"/>
            <w:hideMark/>
          </w:tcPr>
          <w:p w14:paraId="2D0BB92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Loose Sand Light Grey</w:t>
            </w:r>
          </w:p>
        </w:tc>
        <w:tc>
          <w:tcPr>
            <w:tcW w:w="766" w:type="pct"/>
            <w:tcBorders>
              <w:top w:val="single" w:sz="4" w:space="0" w:color="auto"/>
              <w:bottom w:val="single" w:sz="4" w:space="0" w:color="auto"/>
            </w:tcBorders>
            <w:vAlign w:val="center"/>
            <w:hideMark/>
          </w:tcPr>
          <w:p w14:paraId="35CA513A"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Medium Dense Sand Light Brown</w:t>
            </w:r>
          </w:p>
        </w:tc>
        <w:tc>
          <w:tcPr>
            <w:tcW w:w="755" w:type="pct"/>
            <w:tcBorders>
              <w:top w:val="single" w:sz="4" w:space="0" w:color="auto"/>
              <w:bottom w:val="single" w:sz="4" w:space="0" w:color="auto"/>
            </w:tcBorders>
            <w:vAlign w:val="center"/>
            <w:hideMark/>
          </w:tcPr>
          <w:p w14:paraId="2D9AEBEC"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Dense Sand Light Brown</w:t>
            </w:r>
          </w:p>
        </w:tc>
        <w:tc>
          <w:tcPr>
            <w:tcW w:w="793" w:type="pct"/>
            <w:tcBorders>
              <w:top w:val="single" w:sz="4" w:space="0" w:color="auto"/>
              <w:bottom w:val="single" w:sz="4" w:space="0" w:color="auto"/>
            </w:tcBorders>
            <w:vAlign w:val="center"/>
            <w:hideMark/>
          </w:tcPr>
          <w:p w14:paraId="2B598C03"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Coarse Medium Dense Sand Light Brown</w:t>
            </w:r>
          </w:p>
        </w:tc>
        <w:tc>
          <w:tcPr>
            <w:tcW w:w="982" w:type="pct"/>
            <w:tcBorders>
              <w:top w:val="single" w:sz="4" w:space="0" w:color="auto"/>
              <w:bottom w:val="single" w:sz="4" w:space="0" w:color="auto"/>
            </w:tcBorders>
            <w:vAlign w:val="center"/>
            <w:hideMark/>
          </w:tcPr>
          <w:p w14:paraId="255D0950" w14:textId="77777777" w:rsidR="00D057E5" w:rsidRPr="001F745A" w:rsidRDefault="00D057E5" w:rsidP="00EF48CD">
            <w:pPr>
              <w:spacing w:after="0" w:line="240" w:lineRule="auto"/>
              <w:jc w:val="center"/>
              <w:rPr>
                <w:rFonts w:ascii="Arial" w:eastAsia="Times New Roman" w:hAnsi="Arial" w:cs="Arial"/>
                <w:color w:val="000000"/>
                <w:kern w:val="0"/>
                <w:sz w:val="20"/>
                <w:szCs w:val="20"/>
                <w:lang w:eastAsia="en-GB"/>
                <w14:ligatures w14:val="none"/>
              </w:rPr>
            </w:pPr>
            <w:r w:rsidRPr="001F745A">
              <w:rPr>
                <w:rFonts w:ascii="Arial" w:eastAsia="Times New Roman" w:hAnsi="Arial" w:cs="Arial"/>
                <w:color w:val="000000"/>
                <w:kern w:val="0"/>
                <w:sz w:val="20"/>
                <w:szCs w:val="20"/>
                <w:lang w:eastAsia="en-GB"/>
                <w14:ligatures w14:val="none"/>
              </w:rPr>
              <w:t>Fine Medium Dense Sand Light Brown</w:t>
            </w:r>
          </w:p>
        </w:tc>
      </w:tr>
    </w:tbl>
    <w:p w14:paraId="6EB2E54D" w14:textId="77777777" w:rsidR="006C29BF" w:rsidRPr="001F745A" w:rsidRDefault="006C29BF" w:rsidP="00EF48CD">
      <w:pPr>
        <w:spacing w:line="240" w:lineRule="auto"/>
        <w:jc w:val="both"/>
        <w:rPr>
          <w:rFonts w:ascii="Arial" w:hAnsi="Arial" w:cs="Arial"/>
          <w:sz w:val="20"/>
          <w:szCs w:val="20"/>
        </w:rPr>
      </w:pPr>
    </w:p>
    <w:p w14:paraId="15E069E6" w14:textId="77777777" w:rsidR="00606ED0" w:rsidRPr="001F745A" w:rsidRDefault="00606ED0" w:rsidP="00C30636">
      <w:pPr>
        <w:pStyle w:val="Heading2"/>
      </w:pPr>
      <w:r w:rsidRPr="001F745A">
        <w:t>3.5 Grain Size Analysis</w:t>
      </w:r>
    </w:p>
    <w:p w14:paraId="5D4B4BAF" w14:textId="7A905A6B" w:rsidR="00606ED0" w:rsidRDefault="00606ED0" w:rsidP="00EF48CD">
      <w:pPr>
        <w:spacing w:line="240" w:lineRule="auto"/>
        <w:jc w:val="both"/>
        <w:rPr>
          <w:rFonts w:ascii="Arial" w:hAnsi="Arial" w:cs="Arial"/>
          <w:sz w:val="20"/>
          <w:szCs w:val="20"/>
        </w:rPr>
      </w:pPr>
      <w:r w:rsidRPr="001F745A">
        <w:rPr>
          <w:rFonts w:ascii="Arial" w:hAnsi="Arial" w:cs="Arial"/>
          <w:sz w:val="20"/>
          <w:szCs w:val="20"/>
        </w:rPr>
        <w:t xml:space="preserve">D50 values varied significantly across locations, reflecting diverse depositional environments and energy conditions during sediment formation. GRA exhibited the highest mean D50 value (0.747 mm), while </w:t>
      </w: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 showed the most consistent grain size distribution with the lowest variability (standard deviation = 0.096 mm).</w:t>
      </w:r>
      <w:r w:rsidR="006C29BF" w:rsidRPr="001F745A">
        <w:rPr>
          <w:rFonts w:ascii="Arial" w:hAnsi="Arial" w:cs="Arial"/>
          <w:sz w:val="20"/>
          <w:szCs w:val="20"/>
        </w:rPr>
        <w:t xml:space="preserve"> </w:t>
      </w:r>
      <w:proofErr w:type="spellStart"/>
      <w:r w:rsidR="006C29BF" w:rsidRPr="001F745A">
        <w:rPr>
          <w:rFonts w:ascii="Arial" w:hAnsi="Arial" w:cs="Arial"/>
          <w:sz w:val="20"/>
          <w:szCs w:val="20"/>
        </w:rPr>
        <w:t>Rumuibekwe</w:t>
      </w:r>
      <w:proofErr w:type="spellEnd"/>
      <w:r w:rsidR="006C29BF" w:rsidRPr="001F745A">
        <w:rPr>
          <w:rFonts w:ascii="Arial" w:hAnsi="Arial" w:cs="Arial"/>
          <w:sz w:val="20"/>
          <w:szCs w:val="20"/>
        </w:rPr>
        <w:t xml:space="preserve"> Bridge demonstrated the most heterogeneous grain size distribution, with D50 values spanning from silt-sized particles (0.002 mm) to gravel-sized materials (2.008 mm), reflecting the complex deltaic progradation sequence characteristic of this location.</w:t>
      </w:r>
    </w:p>
    <w:p w14:paraId="426FA4EC" w14:textId="77777777" w:rsidR="00693BD1" w:rsidRDefault="00693BD1" w:rsidP="00693BD1">
      <w:pPr>
        <w:rPr>
          <w:rFonts w:ascii="Arial" w:hAnsi="Arial" w:cs="Arial"/>
          <w:sz w:val="20"/>
          <w:szCs w:val="20"/>
        </w:rPr>
      </w:pPr>
    </w:p>
    <w:p w14:paraId="0B46913F" w14:textId="77777777" w:rsidR="008B284B" w:rsidRPr="001F745A" w:rsidRDefault="008B284B" w:rsidP="00EF48CD">
      <w:pPr>
        <w:spacing w:line="240" w:lineRule="auto"/>
        <w:jc w:val="center"/>
        <w:rPr>
          <w:rFonts w:ascii="Arial" w:hAnsi="Arial" w:cs="Arial"/>
          <w:sz w:val="20"/>
          <w:szCs w:val="20"/>
        </w:rPr>
      </w:pPr>
      <w:r w:rsidRPr="001F745A">
        <w:rPr>
          <w:rFonts w:ascii="Arial" w:hAnsi="Arial" w:cs="Arial"/>
          <w:noProof/>
          <w:sz w:val="20"/>
          <w:szCs w:val="20"/>
        </w:rPr>
        <w:drawing>
          <wp:inline distT="0" distB="0" distL="0" distR="0" wp14:anchorId="5EAAA62E" wp14:editId="6C0F1F8A">
            <wp:extent cx="5528309" cy="2975610"/>
            <wp:effectExtent l="19050" t="19050" r="15875" b="15240"/>
            <wp:docPr id="1416622216" name="Picture 44"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22216" name="Picture 44" descr="A graph with different colored square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1568" cy="2982746"/>
                    </a:xfrm>
                    <a:prstGeom prst="rect">
                      <a:avLst/>
                    </a:prstGeom>
                    <a:noFill/>
                    <a:ln>
                      <a:solidFill>
                        <a:schemeClr val="bg1">
                          <a:lumMod val="85000"/>
                        </a:schemeClr>
                      </a:solidFill>
                    </a:ln>
                  </pic:spPr>
                </pic:pic>
              </a:graphicData>
            </a:graphic>
          </wp:inline>
        </w:drawing>
      </w:r>
    </w:p>
    <w:p w14:paraId="480E5151" w14:textId="202CC92F" w:rsidR="00D74244" w:rsidRPr="001F745A" w:rsidRDefault="008B284B" w:rsidP="00EF48CD">
      <w:pPr>
        <w:spacing w:line="240" w:lineRule="auto"/>
        <w:rPr>
          <w:rFonts w:ascii="Arial" w:hAnsi="Arial" w:cs="Arial"/>
          <w:sz w:val="20"/>
          <w:szCs w:val="20"/>
        </w:rPr>
      </w:pPr>
      <w:r w:rsidRPr="001F745A">
        <w:rPr>
          <w:rFonts w:ascii="Arial" w:hAnsi="Arial" w:cs="Arial"/>
          <w:b/>
          <w:bCs/>
          <w:sz w:val="20"/>
          <w:szCs w:val="20"/>
        </w:rPr>
        <w:t>Figure 3</w:t>
      </w:r>
      <w:r w:rsidRPr="001F745A">
        <w:rPr>
          <w:rFonts w:ascii="Arial" w:hAnsi="Arial" w:cs="Arial"/>
          <w:sz w:val="20"/>
          <w:szCs w:val="20"/>
        </w:rPr>
        <w:t>: Mean D50 at the various sampling locations</w:t>
      </w:r>
    </w:p>
    <w:p w14:paraId="2D582422" w14:textId="77777777" w:rsidR="008B284B" w:rsidRPr="001F745A" w:rsidRDefault="008B284B" w:rsidP="00EF48CD">
      <w:pPr>
        <w:spacing w:line="240" w:lineRule="auto"/>
        <w:rPr>
          <w:rFonts w:ascii="Arial" w:hAnsi="Arial" w:cs="Arial"/>
          <w:sz w:val="20"/>
          <w:szCs w:val="20"/>
        </w:rPr>
      </w:pPr>
    </w:p>
    <w:p w14:paraId="2CA35C15" w14:textId="239808A9" w:rsidR="00606ED0" w:rsidRPr="001F745A" w:rsidRDefault="00606ED0" w:rsidP="00EF48CD">
      <w:pPr>
        <w:spacing w:line="240" w:lineRule="auto"/>
        <w:jc w:val="both"/>
        <w:rPr>
          <w:rFonts w:ascii="Arial" w:hAnsi="Arial" w:cs="Arial"/>
          <w:sz w:val="20"/>
          <w:szCs w:val="20"/>
        </w:rPr>
      </w:pPr>
      <w:r w:rsidRPr="001F745A">
        <w:rPr>
          <w:rFonts w:ascii="Arial" w:hAnsi="Arial" w:cs="Arial"/>
          <w:b/>
          <w:bCs/>
          <w:sz w:val="20"/>
          <w:szCs w:val="20"/>
        </w:rPr>
        <w:t xml:space="preserve">Table </w:t>
      </w:r>
      <w:r w:rsidR="00D74244" w:rsidRPr="001F745A">
        <w:rPr>
          <w:rFonts w:ascii="Arial" w:hAnsi="Arial" w:cs="Arial"/>
          <w:b/>
          <w:bCs/>
          <w:sz w:val="20"/>
          <w:szCs w:val="20"/>
        </w:rPr>
        <w:t>6</w:t>
      </w:r>
      <w:r w:rsidRPr="001F745A">
        <w:rPr>
          <w:rFonts w:ascii="Arial" w:hAnsi="Arial" w:cs="Arial"/>
          <w:b/>
          <w:bCs/>
          <w:sz w:val="20"/>
          <w:szCs w:val="20"/>
        </w:rPr>
        <w:t xml:space="preserve">: </w:t>
      </w:r>
      <w:r w:rsidRPr="001F745A">
        <w:rPr>
          <w:rFonts w:ascii="Arial" w:hAnsi="Arial" w:cs="Arial"/>
          <w:sz w:val="20"/>
          <w:szCs w:val="20"/>
        </w:rPr>
        <w:t>Grain Size Analysis by Location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67"/>
        <w:gridCol w:w="729"/>
        <w:gridCol w:w="1551"/>
        <w:gridCol w:w="1363"/>
        <w:gridCol w:w="832"/>
        <w:gridCol w:w="1422"/>
        <w:gridCol w:w="1482"/>
      </w:tblGrid>
      <w:tr w:rsidR="00606ED0" w:rsidRPr="001F745A" w14:paraId="11F4D503" w14:textId="77777777" w:rsidTr="00693BD1">
        <w:trPr>
          <w:trHeight w:val="692"/>
          <w:tblHeader/>
          <w:tblCellSpacing w:w="15" w:type="dxa"/>
        </w:trPr>
        <w:tc>
          <w:tcPr>
            <w:tcW w:w="1191" w:type="pct"/>
            <w:tcBorders>
              <w:top w:val="single" w:sz="4" w:space="0" w:color="auto"/>
              <w:bottom w:val="single" w:sz="4" w:space="0" w:color="auto"/>
            </w:tcBorders>
            <w:vAlign w:val="center"/>
            <w:hideMark/>
          </w:tcPr>
          <w:p w14:paraId="12104D8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lastRenderedPageBreak/>
              <w:t>Location</w:t>
            </w:r>
          </w:p>
        </w:tc>
        <w:tc>
          <w:tcPr>
            <w:tcW w:w="359" w:type="pct"/>
            <w:tcBorders>
              <w:top w:val="single" w:sz="4" w:space="0" w:color="auto"/>
              <w:bottom w:val="single" w:sz="4" w:space="0" w:color="auto"/>
            </w:tcBorders>
            <w:vAlign w:val="center"/>
            <w:hideMark/>
          </w:tcPr>
          <w:p w14:paraId="1679E000"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Count</w:t>
            </w:r>
          </w:p>
        </w:tc>
        <w:tc>
          <w:tcPr>
            <w:tcW w:w="780" w:type="pct"/>
            <w:tcBorders>
              <w:top w:val="single" w:sz="4" w:space="0" w:color="auto"/>
              <w:bottom w:val="single" w:sz="4" w:space="0" w:color="auto"/>
            </w:tcBorders>
            <w:vAlign w:val="center"/>
            <w:hideMark/>
          </w:tcPr>
          <w:p w14:paraId="5C9311D3"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Mean D50 (mm)</w:t>
            </w:r>
          </w:p>
        </w:tc>
        <w:tc>
          <w:tcPr>
            <w:tcW w:w="683" w:type="pct"/>
            <w:tcBorders>
              <w:top w:val="single" w:sz="4" w:space="0" w:color="auto"/>
              <w:bottom w:val="single" w:sz="4" w:space="0" w:color="auto"/>
            </w:tcBorders>
            <w:vAlign w:val="center"/>
            <w:hideMark/>
          </w:tcPr>
          <w:p w14:paraId="111FC3D7"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Median D50 (mm)</w:t>
            </w:r>
          </w:p>
        </w:tc>
        <w:tc>
          <w:tcPr>
            <w:tcW w:w="411" w:type="pct"/>
            <w:tcBorders>
              <w:top w:val="single" w:sz="4" w:space="0" w:color="auto"/>
              <w:bottom w:val="single" w:sz="4" w:space="0" w:color="auto"/>
            </w:tcBorders>
            <w:vAlign w:val="center"/>
            <w:hideMark/>
          </w:tcPr>
          <w:p w14:paraId="0AA8D012"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Std Dev</w:t>
            </w:r>
          </w:p>
        </w:tc>
        <w:tc>
          <w:tcPr>
            <w:tcW w:w="714" w:type="pct"/>
            <w:tcBorders>
              <w:top w:val="single" w:sz="4" w:space="0" w:color="auto"/>
              <w:bottom w:val="single" w:sz="4" w:space="0" w:color="auto"/>
            </w:tcBorders>
            <w:vAlign w:val="center"/>
            <w:hideMark/>
          </w:tcPr>
          <w:p w14:paraId="09430887"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Min D50 (mm)</w:t>
            </w:r>
          </w:p>
        </w:tc>
        <w:tc>
          <w:tcPr>
            <w:tcW w:w="737" w:type="pct"/>
            <w:tcBorders>
              <w:top w:val="single" w:sz="4" w:space="0" w:color="auto"/>
              <w:bottom w:val="single" w:sz="4" w:space="0" w:color="auto"/>
            </w:tcBorders>
            <w:vAlign w:val="center"/>
            <w:hideMark/>
          </w:tcPr>
          <w:p w14:paraId="6BAAC92E" w14:textId="77777777" w:rsidR="00606ED0" w:rsidRPr="001F745A" w:rsidRDefault="00606ED0" w:rsidP="00EF48CD">
            <w:pPr>
              <w:spacing w:after="0" w:line="240" w:lineRule="auto"/>
              <w:jc w:val="center"/>
              <w:rPr>
                <w:rFonts w:ascii="Arial" w:hAnsi="Arial" w:cs="Arial"/>
                <w:b/>
                <w:bCs/>
                <w:sz w:val="20"/>
                <w:szCs w:val="20"/>
              </w:rPr>
            </w:pPr>
            <w:r w:rsidRPr="001F745A">
              <w:rPr>
                <w:rFonts w:ascii="Arial" w:hAnsi="Arial" w:cs="Arial"/>
                <w:b/>
                <w:bCs/>
                <w:sz w:val="20"/>
                <w:szCs w:val="20"/>
              </w:rPr>
              <w:t>Max D50 (mm)</w:t>
            </w:r>
          </w:p>
        </w:tc>
      </w:tr>
      <w:tr w:rsidR="00606ED0" w:rsidRPr="001F745A" w14:paraId="0A5764D0" w14:textId="77777777" w:rsidTr="00693BD1">
        <w:trPr>
          <w:trHeight w:val="336"/>
          <w:tblCellSpacing w:w="15" w:type="dxa"/>
        </w:trPr>
        <w:tc>
          <w:tcPr>
            <w:tcW w:w="1191" w:type="pct"/>
            <w:vAlign w:val="center"/>
            <w:hideMark/>
          </w:tcPr>
          <w:p w14:paraId="789C8BC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GRA</w:t>
            </w:r>
          </w:p>
        </w:tc>
        <w:tc>
          <w:tcPr>
            <w:tcW w:w="359" w:type="pct"/>
            <w:vAlign w:val="center"/>
            <w:hideMark/>
          </w:tcPr>
          <w:p w14:paraId="28AA901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3</w:t>
            </w:r>
          </w:p>
        </w:tc>
        <w:tc>
          <w:tcPr>
            <w:tcW w:w="780" w:type="pct"/>
            <w:vAlign w:val="center"/>
            <w:hideMark/>
          </w:tcPr>
          <w:p w14:paraId="326734C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0.747</w:t>
            </w:r>
          </w:p>
        </w:tc>
        <w:tc>
          <w:tcPr>
            <w:tcW w:w="683" w:type="pct"/>
            <w:vAlign w:val="center"/>
            <w:hideMark/>
          </w:tcPr>
          <w:p w14:paraId="3C5F748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0.640</w:t>
            </w:r>
          </w:p>
        </w:tc>
        <w:tc>
          <w:tcPr>
            <w:tcW w:w="411" w:type="pct"/>
            <w:vAlign w:val="center"/>
            <w:hideMark/>
          </w:tcPr>
          <w:p w14:paraId="3506438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0.411</w:t>
            </w:r>
          </w:p>
        </w:tc>
        <w:tc>
          <w:tcPr>
            <w:tcW w:w="714" w:type="pct"/>
            <w:vAlign w:val="center"/>
            <w:hideMark/>
          </w:tcPr>
          <w:p w14:paraId="4C593569"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0.400</w:t>
            </w:r>
          </w:p>
        </w:tc>
        <w:tc>
          <w:tcPr>
            <w:tcW w:w="737" w:type="pct"/>
            <w:vAlign w:val="center"/>
            <w:hideMark/>
          </w:tcPr>
          <w:p w14:paraId="1562CCC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1.200</w:t>
            </w:r>
          </w:p>
        </w:tc>
      </w:tr>
      <w:tr w:rsidR="00606ED0" w:rsidRPr="001F745A" w14:paraId="58164D11" w14:textId="77777777" w:rsidTr="00693BD1">
        <w:trPr>
          <w:trHeight w:val="354"/>
          <w:tblCellSpacing w:w="15" w:type="dxa"/>
        </w:trPr>
        <w:tc>
          <w:tcPr>
            <w:tcW w:w="1191" w:type="pct"/>
            <w:vAlign w:val="center"/>
            <w:hideMark/>
          </w:tcPr>
          <w:p w14:paraId="55C3239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 xml:space="preserve">Kana </w:t>
            </w:r>
            <w:proofErr w:type="spellStart"/>
            <w:r w:rsidRPr="001F745A">
              <w:rPr>
                <w:rFonts w:ascii="Arial" w:hAnsi="Arial" w:cs="Arial"/>
                <w:sz w:val="20"/>
                <w:szCs w:val="20"/>
              </w:rPr>
              <w:t>Ataba</w:t>
            </w:r>
            <w:proofErr w:type="spellEnd"/>
          </w:p>
        </w:tc>
        <w:tc>
          <w:tcPr>
            <w:tcW w:w="359" w:type="pct"/>
            <w:vAlign w:val="center"/>
            <w:hideMark/>
          </w:tcPr>
          <w:p w14:paraId="3A39B2F2"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14</w:t>
            </w:r>
          </w:p>
        </w:tc>
        <w:tc>
          <w:tcPr>
            <w:tcW w:w="780" w:type="pct"/>
            <w:vAlign w:val="center"/>
            <w:hideMark/>
          </w:tcPr>
          <w:p w14:paraId="5292CC3F"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0.552</w:t>
            </w:r>
          </w:p>
        </w:tc>
        <w:tc>
          <w:tcPr>
            <w:tcW w:w="683" w:type="pct"/>
            <w:vAlign w:val="center"/>
            <w:hideMark/>
          </w:tcPr>
          <w:p w14:paraId="64B28106"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0.500</w:t>
            </w:r>
          </w:p>
        </w:tc>
        <w:tc>
          <w:tcPr>
            <w:tcW w:w="411" w:type="pct"/>
            <w:vAlign w:val="center"/>
            <w:hideMark/>
          </w:tcPr>
          <w:p w14:paraId="2F0CB1D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0.229</w:t>
            </w:r>
          </w:p>
        </w:tc>
        <w:tc>
          <w:tcPr>
            <w:tcW w:w="714" w:type="pct"/>
            <w:vAlign w:val="center"/>
            <w:hideMark/>
          </w:tcPr>
          <w:p w14:paraId="150FB68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0.300</w:t>
            </w:r>
          </w:p>
        </w:tc>
        <w:tc>
          <w:tcPr>
            <w:tcW w:w="737" w:type="pct"/>
            <w:vAlign w:val="center"/>
            <w:hideMark/>
          </w:tcPr>
          <w:p w14:paraId="16DA846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1.300</w:t>
            </w:r>
          </w:p>
        </w:tc>
      </w:tr>
      <w:tr w:rsidR="00606ED0" w:rsidRPr="001F745A" w14:paraId="6480CC2A" w14:textId="77777777" w:rsidTr="00693BD1">
        <w:trPr>
          <w:trHeight w:val="336"/>
          <w:tblCellSpacing w:w="15" w:type="dxa"/>
        </w:trPr>
        <w:tc>
          <w:tcPr>
            <w:tcW w:w="1191" w:type="pct"/>
            <w:vAlign w:val="center"/>
            <w:hideMark/>
          </w:tcPr>
          <w:p w14:paraId="6A97635C"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Okansu</w:t>
            </w:r>
            <w:proofErr w:type="spellEnd"/>
            <w:r w:rsidRPr="001F745A">
              <w:rPr>
                <w:rFonts w:ascii="Arial" w:hAnsi="Arial" w:cs="Arial"/>
                <w:sz w:val="20"/>
                <w:szCs w:val="20"/>
              </w:rPr>
              <w:t xml:space="preserve"> Bridge</w:t>
            </w:r>
          </w:p>
        </w:tc>
        <w:tc>
          <w:tcPr>
            <w:tcW w:w="359" w:type="pct"/>
            <w:vAlign w:val="center"/>
            <w:hideMark/>
          </w:tcPr>
          <w:p w14:paraId="4CCBA6A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12</w:t>
            </w:r>
          </w:p>
        </w:tc>
        <w:tc>
          <w:tcPr>
            <w:tcW w:w="780" w:type="pct"/>
            <w:vAlign w:val="center"/>
            <w:hideMark/>
          </w:tcPr>
          <w:p w14:paraId="3BC418AC"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0.577</w:t>
            </w:r>
          </w:p>
        </w:tc>
        <w:tc>
          <w:tcPr>
            <w:tcW w:w="683" w:type="pct"/>
            <w:vAlign w:val="center"/>
            <w:hideMark/>
          </w:tcPr>
          <w:p w14:paraId="6CF36270"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0.600</w:t>
            </w:r>
          </w:p>
        </w:tc>
        <w:tc>
          <w:tcPr>
            <w:tcW w:w="411" w:type="pct"/>
            <w:vAlign w:val="center"/>
            <w:hideMark/>
          </w:tcPr>
          <w:p w14:paraId="5014485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0.106</w:t>
            </w:r>
          </w:p>
        </w:tc>
        <w:tc>
          <w:tcPr>
            <w:tcW w:w="714" w:type="pct"/>
            <w:vAlign w:val="center"/>
            <w:hideMark/>
          </w:tcPr>
          <w:p w14:paraId="3529045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0.400</w:t>
            </w:r>
          </w:p>
        </w:tc>
        <w:tc>
          <w:tcPr>
            <w:tcW w:w="737" w:type="pct"/>
            <w:vAlign w:val="center"/>
            <w:hideMark/>
          </w:tcPr>
          <w:p w14:paraId="0198F87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0.750</w:t>
            </w:r>
          </w:p>
        </w:tc>
      </w:tr>
      <w:tr w:rsidR="00606ED0" w:rsidRPr="001F745A" w14:paraId="3CF5E026" w14:textId="77777777" w:rsidTr="00693BD1">
        <w:trPr>
          <w:trHeight w:val="336"/>
          <w:tblCellSpacing w:w="15" w:type="dxa"/>
        </w:trPr>
        <w:tc>
          <w:tcPr>
            <w:tcW w:w="1191" w:type="pct"/>
            <w:vAlign w:val="center"/>
            <w:hideMark/>
          </w:tcPr>
          <w:p w14:paraId="3C25466B"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Otuogori</w:t>
            </w:r>
            <w:proofErr w:type="spellEnd"/>
            <w:r w:rsidRPr="001F745A">
              <w:rPr>
                <w:rFonts w:ascii="Arial" w:hAnsi="Arial" w:cs="Arial"/>
                <w:sz w:val="20"/>
                <w:szCs w:val="20"/>
              </w:rPr>
              <w:t xml:space="preserve"> Bridge</w:t>
            </w:r>
          </w:p>
        </w:tc>
        <w:tc>
          <w:tcPr>
            <w:tcW w:w="359" w:type="pct"/>
            <w:vAlign w:val="center"/>
            <w:hideMark/>
          </w:tcPr>
          <w:p w14:paraId="7D0B5008"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26</w:t>
            </w:r>
          </w:p>
        </w:tc>
        <w:tc>
          <w:tcPr>
            <w:tcW w:w="780" w:type="pct"/>
            <w:vAlign w:val="center"/>
            <w:hideMark/>
          </w:tcPr>
          <w:p w14:paraId="360A48F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0.467</w:t>
            </w:r>
          </w:p>
        </w:tc>
        <w:tc>
          <w:tcPr>
            <w:tcW w:w="683" w:type="pct"/>
            <w:vAlign w:val="center"/>
            <w:hideMark/>
          </w:tcPr>
          <w:p w14:paraId="439D90D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0.440</w:t>
            </w:r>
          </w:p>
        </w:tc>
        <w:tc>
          <w:tcPr>
            <w:tcW w:w="411" w:type="pct"/>
            <w:vAlign w:val="center"/>
            <w:hideMark/>
          </w:tcPr>
          <w:p w14:paraId="0ECA0D34"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0.096</w:t>
            </w:r>
          </w:p>
        </w:tc>
        <w:tc>
          <w:tcPr>
            <w:tcW w:w="714" w:type="pct"/>
            <w:vAlign w:val="center"/>
            <w:hideMark/>
          </w:tcPr>
          <w:p w14:paraId="786944D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0.320</w:t>
            </w:r>
          </w:p>
        </w:tc>
        <w:tc>
          <w:tcPr>
            <w:tcW w:w="737" w:type="pct"/>
            <w:vAlign w:val="center"/>
            <w:hideMark/>
          </w:tcPr>
          <w:p w14:paraId="79834B8A"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0.680</w:t>
            </w:r>
          </w:p>
        </w:tc>
      </w:tr>
      <w:tr w:rsidR="00606ED0" w:rsidRPr="001F745A" w14:paraId="3D0D4817" w14:textId="77777777" w:rsidTr="00693BD1">
        <w:trPr>
          <w:trHeight w:val="692"/>
          <w:tblCellSpacing w:w="15" w:type="dxa"/>
        </w:trPr>
        <w:tc>
          <w:tcPr>
            <w:tcW w:w="1191" w:type="pct"/>
            <w:tcBorders>
              <w:bottom w:val="single" w:sz="4" w:space="0" w:color="auto"/>
            </w:tcBorders>
            <w:vAlign w:val="center"/>
            <w:hideMark/>
          </w:tcPr>
          <w:p w14:paraId="3FA4E4C0" w14:textId="77777777" w:rsidR="00606ED0" w:rsidRPr="001F745A" w:rsidRDefault="00606ED0" w:rsidP="00EF48CD">
            <w:pPr>
              <w:spacing w:after="0" w:line="240" w:lineRule="auto"/>
              <w:jc w:val="center"/>
              <w:rPr>
                <w:rFonts w:ascii="Arial" w:hAnsi="Arial" w:cs="Arial"/>
                <w:sz w:val="20"/>
                <w:szCs w:val="20"/>
              </w:rPr>
            </w:pPr>
            <w:proofErr w:type="spellStart"/>
            <w:r w:rsidRPr="001F745A">
              <w:rPr>
                <w:rFonts w:ascii="Arial" w:hAnsi="Arial" w:cs="Arial"/>
                <w:sz w:val="20"/>
                <w:szCs w:val="20"/>
              </w:rPr>
              <w:t>Rumuibekwe</w:t>
            </w:r>
            <w:proofErr w:type="spellEnd"/>
            <w:r w:rsidRPr="001F745A">
              <w:rPr>
                <w:rFonts w:ascii="Arial" w:hAnsi="Arial" w:cs="Arial"/>
                <w:sz w:val="20"/>
                <w:szCs w:val="20"/>
              </w:rPr>
              <w:t xml:space="preserve"> Bridge</w:t>
            </w:r>
          </w:p>
        </w:tc>
        <w:tc>
          <w:tcPr>
            <w:tcW w:w="359" w:type="pct"/>
            <w:tcBorders>
              <w:bottom w:val="single" w:sz="4" w:space="0" w:color="auto"/>
            </w:tcBorders>
            <w:vAlign w:val="center"/>
            <w:hideMark/>
          </w:tcPr>
          <w:p w14:paraId="33E87683"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8</w:t>
            </w:r>
          </w:p>
        </w:tc>
        <w:tc>
          <w:tcPr>
            <w:tcW w:w="780" w:type="pct"/>
            <w:tcBorders>
              <w:bottom w:val="single" w:sz="4" w:space="0" w:color="auto"/>
            </w:tcBorders>
            <w:vAlign w:val="center"/>
            <w:hideMark/>
          </w:tcPr>
          <w:p w14:paraId="7817547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0.522</w:t>
            </w:r>
          </w:p>
        </w:tc>
        <w:tc>
          <w:tcPr>
            <w:tcW w:w="683" w:type="pct"/>
            <w:tcBorders>
              <w:bottom w:val="single" w:sz="4" w:space="0" w:color="auto"/>
            </w:tcBorders>
            <w:vAlign w:val="center"/>
            <w:hideMark/>
          </w:tcPr>
          <w:p w14:paraId="3210EB2B"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0.204</w:t>
            </w:r>
          </w:p>
        </w:tc>
        <w:tc>
          <w:tcPr>
            <w:tcW w:w="411" w:type="pct"/>
            <w:tcBorders>
              <w:bottom w:val="single" w:sz="4" w:space="0" w:color="auto"/>
            </w:tcBorders>
            <w:vAlign w:val="center"/>
            <w:hideMark/>
          </w:tcPr>
          <w:p w14:paraId="4E1AAD75"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0.666</w:t>
            </w:r>
          </w:p>
        </w:tc>
        <w:tc>
          <w:tcPr>
            <w:tcW w:w="714" w:type="pct"/>
            <w:tcBorders>
              <w:bottom w:val="single" w:sz="4" w:space="0" w:color="auto"/>
            </w:tcBorders>
            <w:vAlign w:val="center"/>
            <w:hideMark/>
          </w:tcPr>
          <w:p w14:paraId="707D3D5D"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0.002</w:t>
            </w:r>
          </w:p>
        </w:tc>
        <w:tc>
          <w:tcPr>
            <w:tcW w:w="737" w:type="pct"/>
            <w:tcBorders>
              <w:bottom w:val="single" w:sz="4" w:space="0" w:color="auto"/>
            </w:tcBorders>
            <w:vAlign w:val="center"/>
            <w:hideMark/>
          </w:tcPr>
          <w:p w14:paraId="0FA80D27" w14:textId="77777777" w:rsidR="00606ED0" w:rsidRPr="001F745A" w:rsidRDefault="00606ED0" w:rsidP="00EF48CD">
            <w:pPr>
              <w:spacing w:after="0" w:line="240" w:lineRule="auto"/>
              <w:jc w:val="center"/>
              <w:rPr>
                <w:rFonts w:ascii="Arial" w:hAnsi="Arial" w:cs="Arial"/>
                <w:sz w:val="20"/>
                <w:szCs w:val="20"/>
              </w:rPr>
            </w:pPr>
            <w:r w:rsidRPr="001F745A">
              <w:rPr>
                <w:rFonts w:ascii="Arial" w:hAnsi="Arial" w:cs="Arial"/>
                <w:sz w:val="20"/>
                <w:szCs w:val="20"/>
              </w:rPr>
              <w:t>2.008</w:t>
            </w:r>
          </w:p>
        </w:tc>
      </w:tr>
    </w:tbl>
    <w:p w14:paraId="5054EC0E" w14:textId="77777777" w:rsidR="006C29BF" w:rsidRPr="001F745A" w:rsidRDefault="006C29BF" w:rsidP="00EF48CD">
      <w:pPr>
        <w:spacing w:line="240" w:lineRule="auto"/>
        <w:jc w:val="both"/>
        <w:rPr>
          <w:rFonts w:ascii="Arial" w:hAnsi="Arial" w:cs="Arial"/>
          <w:b/>
          <w:bCs/>
          <w:sz w:val="20"/>
          <w:szCs w:val="20"/>
        </w:rPr>
      </w:pPr>
    </w:p>
    <w:p w14:paraId="7EB4C904" w14:textId="30F8A573" w:rsidR="0057723A" w:rsidRPr="001F745A" w:rsidRDefault="00C30636" w:rsidP="00C30636">
      <w:pPr>
        <w:pStyle w:val="Heading2"/>
      </w:pPr>
      <w:r>
        <w:t>3.6</w:t>
      </w:r>
      <w:r w:rsidR="00606ED0" w:rsidRPr="001F745A">
        <w:t xml:space="preserve"> Discussion</w:t>
      </w:r>
    </w:p>
    <w:p w14:paraId="58B57BE1"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region's complicated geological history and varied depositional conditions are reflected in the notable regional heterogeneity in SPT-N levels throughout the five Niger Delta locales. Significant variations in soil density and strength characteristics over comparatively short distances are demonstrated by the wide range of mean SPT-N values from 7.00 at GRA to 34.42 at Okansu Bridge, underscoring the vital significance of site-specific geotechnical investigations in deltaic environments. Similar findings have been documented from different deltaic locations around the world, where soil engineering qualities are greatly influenced by local geological conditions (Dos Santos &amp; Bicalho, 2017; Khan et al., 2022).</w:t>
      </w:r>
      <w:r>
        <w:rPr>
          <w:rFonts w:ascii="Arial" w:hAnsi="Arial" w:cs="Arial"/>
          <w:sz w:val="20"/>
          <w:szCs w:val="20"/>
        </w:rPr>
        <w:t xml:space="preserve"> </w:t>
      </w:r>
      <w:r w:rsidRPr="00EF48CD">
        <w:rPr>
          <w:rFonts w:ascii="Arial" w:hAnsi="Arial" w:cs="Arial"/>
          <w:sz w:val="20"/>
          <w:szCs w:val="20"/>
        </w:rPr>
        <w:t>At GRA, the continuously low SPT-N readings show mostly loose soil conditions, which are probably the result of recent depositional processes and a short history of consolidation. In order to attain sufficient bearing capacity and settlement performance, deep foundation systems or ground modification techniques may be required in metropolitan Port Harcourt. This has important ramifications for foundation design. The high SPT-N values at Kana Ataba and Okansu Bridge, on the other hand, point to well-consolidated sandy deposits with advantageous engineering characteristics for traditional foundation systems. This could be the consequence of diverse depositional energy environments that encouraged better particle packing or larger effective stress histories. In contrast to the SPT-N variability patterns, the lack of notable spatial variation in friction angles among sites is a major result.</w:t>
      </w:r>
      <w:r>
        <w:rPr>
          <w:rFonts w:ascii="Arial" w:hAnsi="Arial" w:cs="Arial"/>
          <w:sz w:val="20"/>
          <w:szCs w:val="20"/>
        </w:rPr>
        <w:t xml:space="preserve"> </w:t>
      </w:r>
      <w:r w:rsidRPr="00EF48CD">
        <w:rPr>
          <w:rFonts w:ascii="Arial" w:hAnsi="Arial" w:cs="Arial"/>
          <w:sz w:val="20"/>
          <w:szCs w:val="20"/>
        </w:rPr>
        <w:t>This constancy implies that although density states differ greatly over the area, the basic shear strength properties stay mostly consistent, most likely due to comparable mineralogical compositions and particle properties across the sandy deposits of the Niger Delta. The small range of friction angles (26° to 38°) is indicative of mostly non-plastic, granular materials with constant internal friction properties and fits within usual values for medium thick sandy soils (Anbazhagan &amp; Sitharam, 2010).</w:t>
      </w:r>
    </w:p>
    <w:p w14:paraId="11D78890" w14:textId="77777777" w:rsidR="00EF48CD" w:rsidRPr="00EF48CD" w:rsidRDefault="00EF48CD" w:rsidP="00EF48CD">
      <w:pPr>
        <w:spacing w:line="240" w:lineRule="auto"/>
        <w:jc w:val="both"/>
        <w:rPr>
          <w:rFonts w:ascii="Arial" w:hAnsi="Arial" w:cs="Arial"/>
          <w:sz w:val="20"/>
          <w:szCs w:val="20"/>
        </w:rPr>
      </w:pPr>
      <w:r w:rsidRPr="00EF48CD">
        <w:rPr>
          <w:rFonts w:ascii="Arial" w:hAnsi="Arial" w:cs="Arial"/>
          <w:sz w:val="20"/>
          <w:szCs w:val="20"/>
        </w:rPr>
        <w:t>The dynamic depositional history of the Niger Delta area is reflected in the subsurface complexity, which ranges from the straightforward three-layer profile of GRA to the intricate 26-layer sequence of Otuogori Bridge. For geotechnical design, this stratigraphic complexity has important ramifications, especially for deep foundation systems and excavation projects that need to take into consideration changing soil conditions with depth. Four of the five sites have a preponderance of coarse-grained sandy materials, which suggests generally favorable conditions for drainage and foundation stability. However, Rumuibekwe Bridge's fine-grained characteristics point to possible difficulties with consolidation settlement and drainage requirements.</w:t>
      </w:r>
      <w:r>
        <w:rPr>
          <w:rFonts w:ascii="Arial" w:hAnsi="Arial" w:cs="Arial"/>
          <w:sz w:val="20"/>
          <w:szCs w:val="20"/>
        </w:rPr>
        <w:t xml:space="preserve"> </w:t>
      </w:r>
      <w:r w:rsidRPr="00EF48CD">
        <w:rPr>
          <w:rFonts w:ascii="Arial" w:hAnsi="Arial" w:cs="Arial"/>
          <w:sz w:val="20"/>
          <w:szCs w:val="20"/>
        </w:rPr>
        <w:t>The substantial regional range in D50 values sheds light on the sediment transport processes and depositional energy conditions that gave rise to these deposits. While the finer materials at Otuogori Bridge indicate lower energy conditions characteristic of protected deltaic settings, the coarse-grained minerals at GRA and Okansu Bridge reflect greater energy depositional environments, presumably connected to proximal fluvial or nearshore marine conditions. A complicated depositional history involving several energy regimes or post-depositional alteration activities is reflected in the great variability seen at Rumuibekwe Bridge.</w:t>
      </w:r>
    </w:p>
    <w:p w14:paraId="22BDCADF" w14:textId="4C1C684C" w:rsidR="00606ED0" w:rsidRPr="001F745A" w:rsidRDefault="00606ED0" w:rsidP="00C30636">
      <w:pPr>
        <w:pStyle w:val="Heading1"/>
      </w:pPr>
      <w:r w:rsidRPr="001F745A">
        <w:t>Conclusion</w:t>
      </w:r>
    </w:p>
    <w:p w14:paraId="0C643A35" w14:textId="77777777" w:rsidR="00EF48CD" w:rsidRDefault="00EF48CD" w:rsidP="00EF48CD">
      <w:pPr>
        <w:spacing w:line="240" w:lineRule="auto"/>
        <w:jc w:val="both"/>
        <w:rPr>
          <w:rFonts w:ascii="Arial" w:hAnsi="Arial" w:cs="Arial"/>
          <w:sz w:val="20"/>
          <w:szCs w:val="20"/>
        </w:rPr>
      </w:pPr>
      <w:r w:rsidRPr="00EF48CD">
        <w:rPr>
          <w:rFonts w:ascii="Arial" w:hAnsi="Arial" w:cs="Arial"/>
          <w:sz w:val="20"/>
          <w:szCs w:val="20"/>
        </w:rPr>
        <w:t xml:space="preserve">The geotechnical evaluation of sandy soils in the Niger Delta at five key locations shows uniform shear strength characteristics throughout the area, but notable spatial diversity in penetration resistance characteristics. Diverse depositional histories and consolidation states are reflected in the wide range of SPT-N values, which range from mostly loose conditions at GRA to dense conditions at Okansu Bridge and Kana Ataba. The regional sandy deposits appear to have identical mineralogical compositions and particle properties, as seen by the remarkable consistency of friction angles across all sites, which show uniform shear strength characteristics despite variable density states. Four out of five sites are dominated by coarse-grained sandy materials, while </w:t>
      </w:r>
      <w:r w:rsidRPr="00EF48CD">
        <w:rPr>
          <w:rFonts w:ascii="Arial" w:hAnsi="Arial" w:cs="Arial"/>
          <w:sz w:val="20"/>
          <w:szCs w:val="20"/>
        </w:rPr>
        <w:lastRenderedPageBreak/>
        <w:t>subsurface conditions vary from straightforward three-layer profiles to intricate 26-layer sequences. Analysis of grain sizes shows that median grain sizes vary significantly.</w:t>
      </w:r>
    </w:p>
    <w:p w14:paraId="5705E3C0" w14:textId="4A8A89B0" w:rsidR="00F031EC" w:rsidRPr="00F031EC" w:rsidRDefault="00F031EC" w:rsidP="00F031EC">
      <w:pPr>
        <w:rPr>
          <w:b/>
          <w:sz w:val="22"/>
          <w:szCs w:val="22"/>
        </w:rPr>
      </w:pPr>
      <w:r w:rsidRPr="00F031EC">
        <w:rPr>
          <w:rFonts w:ascii="Arial" w:hAnsi="Arial" w:cs="Arial"/>
          <w:b/>
          <w:sz w:val="22"/>
          <w:szCs w:val="22"/>
        </w:rPr>
        <w:t>CONSENT</w:t>
      </w:r>
    </w:p>
    <w:p w14:paraId="17FF29D9" w14:textId="77777777" w:rsidR="00F031EC" w:rsidRDefault="00F031EC" w:rsidP="00F031EC">
      <w:pPr>
        <w:pStyle w:val="ReferHead"/>
        <w:spacing w:after="0"/>
        <w:jc w:val="both"/>
        <w:rPr>
          <w:rFonts w:ascii="Arial" w:hAnsi="Arial" w:cs="Arial"/>
          <w:b w:val="0"/>
          <w:caps w:val="0"/>
          <w:sz w:val="20"/>
          <w:u w:val="single"/>
        </w:rPr>
      </w:pPr>
      <w:r w:rsidRPr="00F469F0">
        <w:rPr>
          <w:rFonts w:ascii="Arial" w:hAnsi="Arial" w:cs="Arial"/>
          <w:b w:val="0"/>
          <w:caps w:val="0"/>
          <w:sz w:val="20"/>
          <w:u w:val="single"/>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73892AB0" w14:textId="77777777" w:rsidR="0061725C" w:rsidRDefault="0061725C" w:rsidP="00F031EC">
      <w:pPr>
        <w:pStyle w:val="ReferHead"/>
        <w:spacing w:after="0"/>
        <w:jc w:val="both"/>
        <w:rPr>
          <w:rFonts w:ascii="Arial" w:hAnsi="Arial" w:cs="Arial"/>
          <w:b w:val="0"/>
          <w:caps w:val="0"/>
          <w:sz w:val="20"/>
          <w:u w:val="single"/>
        </w:rPr>
      </w:pPr>
    </w:p>
    <w:p w14:paraId="78F13777" w14:textId="77777777" w:rsidR="0061725C" w:rsidRPr="00F469F0" w:rsidRDefault="0061725C" w:rsidP="00F031EC">
      <w:pPr>
        <w:pStyle w:val="ReferHead"/>
        <w:spacing w:after="0"/>
        <w:jc w:val="both"/>
        <w:rPr>
          <w:rFonts w:ascii="Arial" w:hAnsi="Arial" w:cs="Arial"/>
          <w:b w:val="0"/>
          <w:caps w:val="0"/>
          <w:sz w:val="20"/>
          <w:u w:val="single"/>
        </w:rPr>
      </w:pPr>
    </w:p>
    <w:p w14:paraId="32F52F4B" w14:textId="77777777" w:rsidR="00F031EC" w:rsidRDefault="00F031EC" w:rsidP="00F031EC">
      <w:pPr>
        <w:pStyle w:val="ReferHead"/>
        <w:spacing w:after="0"/>
        <w:jc w:val="both"/>
        <w:rPr>
          <w:rFonts w:ascii="Arial" w:hAnsi="Arial" w:cs="Arial"/>
          <w:b w:val="0"/>
          <w:caps w:val="0"/>
          <w:sz w:val="20"/>
        </w:rPr>
      </w:pPr>
    </w:p>
    <w:p w14:paraId="1189A132" w14:textId="5E894BBE" w:rsidR="00606ED0" w:rsidRPr="00F031EC" w:rsidRDefault="00F031EC" w:rsidP="00F031EC">
      <w:pPr>
        <w:spacing w:line="240" w:lineRule="auto"/>
        <w:rPr>
          <w:rFonts w:ascii="Arial" w:hAnsi="Arial" w:cs="Arial"/>
          <w:b/>
          <w:bCs/>
          <w:sz w:val="22"/>
          <w:szCs w:val="22"/>
        </w:rPr>
      </w:pPr>
      <w:r w:rsidRPr="00F031EC">
        <w:rPr>
          <w:rFonts w:ascii="Arial" w:hAnsi="Arial" w:cs="Arial"/>
          <w:b/>
          <w:bCs/>
          <w:sz w:val="22"/>
          <w:szCs w:val="22"/>
        </w:rPr>
        <w:t>REFERENCES</w:t>
      </w:r>
    </w:p>
    <w:p w14:paraId="67F9C50B"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Anbazhagan, P., &amp; </w:t>
      </w:r>
      <w:proofErr w:type="spellStart"/>
      <w:r w:rsidRPr="001F745A">
        <w:rPr>
          <w:rFonts w:ascii="Arial" w:hAnsi="Arial" w:cs="Arial"/>
          <w:sz w:val="20"/>
          <w:szCs w:val="20"/>
        </w:rPr>
        <w:t>Sitharam</w:t>
      </w:r>
      <w:proofErr w:type="spellEnd"/>
      <w:r w:rsidRPr="001F745A">
        <w:rPr>
          <w:rFonts w:ascii="Arial" w:hAnsi="Arial" w:cs="Arial"/>
          <w:sz w:val="20"/>
          <w:szCs w:val="20"/>
        </w:rPr>
        <w:t xml:space="preserve">, T. G. (2010). Relationship between shear wave velocity and SPT-N for different types of soils in India. </w:t>
      </w:r>
      <w:r w:rsidRPr="001F745A">
        <w:rPr>
          <w:rFonts w:ascii="Arial" w:hAnsi="Arial" w:cs="Arial"/>
          <w:i/>
          <w:iCs/>
          <w:sz w:val="20"/>
          <w:szCs w:val="20"/>
        </w:rPr>
        <w:t>Geotechnical and Geological Engineering</w:t>
      </w:r>
      <w:r w:rsidRPr="001F745A">
        <w:rPr>
          <w:rFonts w:ascii="Arial" w:hAnsi="Arial" w:cs="Arial"/>
          <w:sz w:val="20"/>
          <w:szCs w:val="20"/>
        </w:rPr>
        <w:t xml:space="preserve">, </w:t>
      </w:r>
      <w:r w:rsidRPr="001F745A">
        <w:rPr>
          <w:rFonts w:ascii="Arial" w:hAnsi="Arial" w:cs="Arial"/>
          <w:i/>
          <w:iCs/>
          <w:sz w:val="20"/>
          <w:szCs w:val="20"/>
        </w:rPr>
        <w:t>28</w:t>
      </w:r>
      <w:r w:rsidRPr="001F745A">
        <w:rPr>
          <w:rFonts w:ascii="Arial" w:hAnsi="Arial" w:cs="Arial"/>
          <w:sz w:val="20"/>
          <w:szCs w:val="20"/>
        </w:rPr>
        <w:t xml:space="preserve">(1), 119-137. </w:t>
      </w:r>
      <w:hyperlink r:id="rId10" w:history="1">
        <w:r w:rsidRPr="001F745A">
          <w:rPr>
            <w:rStyle w:val="Hyperlink"/>
            <w:rFonts w:ascii="Arial" w:hAnsi="Arial" w:cs="Arial"/>
            <w:sz w:val="20"/>
            <w:szCs w:val="20"/>
          </w:rPr>
          <w:t>https://doi.org/10.1007/s10706-009-9285-4</w:t>
        </w:r>
      </w:hyperlink>
    </w:p>
    <w:p w14:paraId="74091494"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Arifuzzaman</w:t>
      </w:r>
      <w:proofErr w:type="spellEnd"/>
      <w:r w:rsidRPr="001F745A">
        <w:rPr>
          <w:rFonts w:ascii="Arial" w:hAnsi="Arial" w:cs="Arial"/>
          <w:sz w:val="20"/>
          <w:szCs w:val="20"/>
        </w:rPr>
        <w:t xml:space="preserve">, A., &amp; </w:t>
      </w:r>
      <w:proofErr w:type="spellStart"/>
      <w:r w:rsidRPr="001F745A">
        <w:rPr>
          <w:rFonts w:ascii="Arial" w:hAnsi="Arial" w:cs="Arial"/>
          <w:sz w:val="20"/>
          <w:szCs w:val="20"/>
        </w:rPr>
        <w:t>Anisuzzaman</w:t>
      </w:r>
      <w:proofErr w:type="spellEnd"/>
      <w:r w:rsidRPr="001F745A">
        <w:rPr>
          <w:rFonts w:ascii="Arial" w:hAnsi="Arial" w:cs="Arial"/>
          <w:sz w:val="20"/>
          <w:szCs w:val="20"/>
        </w:rPr>
        <w:t xml:space="preserve">, M. (2022). An initiative to correlate the SPT and CPT data for an alluvial deposit of Dhaka city. </w:t>
      </w:r>
      <w:r w:rsidRPr="001F745A">
        <w:rPr>
          <w:rFonts w:ascii="Arial" w:hAnsi="Arial" w:cs="Arial"/>
          <w:i/>
          <w:iCs/>
          <w:sz w:val="20"/>
          <w:szCs w:val="20"/>
        </w:rPr>
        <w:t>International Journal of Geo-Engineering</w:t>
      </w:r>
      <w:r w:rsidRPr="001F745A">
        <w:rPr>
          <w:rFonts w:ascii="Arial" w:hAnsi="Arial" w:cs="Arial"/>
          <w:sz w:val="20"/>
          <w:szCs w:val="20"/>
        </w:rPr>
        <w:t xml:space="preserve">, </w:t>
      </w:r>
      <w:r w:rsidRPr="001F745A">
        <w:rPr>
          <w:rFonts w:ascii="Arial" w:hAnsi="Arial" w:cs="Arial"/>
          <w:i/>
          <w:iCs/>
          <w:sz w:val="20"/>
          <w:szCs w:val="20"/>
        </w:rPr>
        <w:t>13</w:t>
      </w:r>
      <w:r w:rsidRPr="001F745A">
        <w:rPr>
          <w:rFonts w:ascii="Arial" w:hAnsi="Arial" w:cs="Arial"/>
          <w:sz w:val="20"/>
          <w:szCs w:val="20"/>
        </w:rPr>
        <w:t xml:space="preserve">(5), 1-13. </w:t>
      </w:r>
      <w:hyperlink r:id="rId11" w:history="1">
        <w:r w:rsidRPr="001F745A">
          <w:rPr>
            <w:rStyle w:val="Hyperlink"/>
            <w:rFonts w:ascii="Arial" w:hAnsi="Arial" w:cs="Arial"/>
            <w:sz w:val="20"/>
            <w:szCs w:val="20"/>
          </w:rPr>
          <w:t>https://doi.org/10.1186/s40703-021-00170-3</w:t>
        </w:r>
      </w:hyperlink>
    </w:p>
    <w:p w14:paraId="1B676CF3"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Asci, M., Kurtulus, C., </w:t>
      </w:r>
      <w:proofErr w:type="spellStart"/>
      <w:r w:rsidRPr="001F745A">
        <w:rPr>
          <w:rFonts w:ascii="Arial" w:hAnsi="Arial" w:cs="Arial"/>
          <w:sz w:val="20"/>
          <w:szCs w:val="20"/>
        </w:rPr>
        <w:t>Kaplanvural</w:t>
      </w:r>
      <w:proofErr w:type="spellEnd"/>
      <w:r w:rsidRPr="001F745A">
        <w:rPr>
          <w:rFonts w:ascii="Arial" w:hAnsi="Arial" w:cs="Arial"/>
          <w:sz w:val="20"/>
          <w:szCs w:val="20"/>
        </w:rPr>
        <w:t xml:space="preserve">, I., &amp; </w:t>
      </w:r>
      <w:proofErr w:type="spellStart"/>
      <w:r w:rsidRPr="001F745A">
        <w:rPr>
          <w:rFonts w:ascii="Arial" w:hAnsi="Arial" w:cs="Arial"/>
          <w:sz w:val="20"/>
          <w:szCs w:val="20"/>
        </w:rPr>
        <w:t>Mataracioglu</w:t>
      </w:r>
      <w:proofErr w:type="spellEnd"/>
      <w:r w:rsidRPr="001F745A">
        <w:rPr>
          <w:rFonts w:ascii="Arial" w:hAnsi="Arial" w:cs="Arial"/>
          <w:sz w:val="20"/>
          <w:szCs w:val="20"/>
        </w:rPr>
        <w:t xml:space="preserve">, M. O. (2014). Correlation of SPT-CPT data from the subsidence area in </w:t>
      </w:r>
      <w:proofErr w:type="spellStart"/>
      <w:r w:rsidRPr="001F745A">
        <w:rPr>
          <w:rFonts w:ascii="Arial" w:hAnsi="Arial" w:cs="Arial"/>
          <w:sz w:val="20"/>
          <w:szCs w:val="20"/>
        </w:rPr>
        <w:t>Golcuk</w:t>
      </w:r>
      <w:proofErr w:type="spellEnd"/>
      <w:r w:rsidRPr="001F745A">
        <w:rPr>
          <w:rFonts w:ascii="Arial" w:hAnsi="Arial" w:cs="Arial"/>
          <w:sz w:val="20"/>
          <w:szCs w:val="20"/>
        </w:rPr>
        <w:t xml:space="preserve">, Turkey. </w:t>
      </w:r>
      <w:r w:rsidRPr="001F745A">
        <w:rPr>
          <w:rFonts w:ascii="Arial" w:hAnsi="Arial" w:cs="Arial"/>
          <w:i/>
          <w:iCs/>
          <w:sz w:val="20"/>
          <w:szCs w:val="20"/>
        </w:rPr>
        <w:t>Soil Mechanics and Foundation Engineering</w:t>
      </w:r>
      <w:r w:rsidRPr="001F745A">
        <w:rPr>
          <w:rFonts w:ascii="Arial" w:hAnsi="Arial" w:cs="Arial"/>
          <w:sz w:val="20"/>
          <w:szCs w:val="20"/>
        </w:rPr>
        <w:t xml:space="preserve">, </w:t>
      </w:r>
      <w:r w:rsidRPr="001F745A">
        <w:rPr>
          <w:rFonts w:ascii="Arial" w:hAnsi="Arial" w:cs="Arial"/>
          <w:i/>
          <w:iCs/>
          <w:sz w:val="20"/>
          <w:szCs w:val="20"/>
        </w:rPr>
        <w:t>51</w:t>
      </w:r>
      <w:r w:rsidRPr="001F745A">
        <w:rPr>
          <w:rFonts w:ascii="Arial" w:hAnsi="Arial" w:cs="Arial"/>
          <w:sz w:val="20"/>
          <w:szCs w:val="20"/>
        </w:rPr>
        <w:t xml:space="preserve">(6), 268-272. </w:t>
      </w:r>
      <w:hyperlink r:id="rId12" w:history="1">
        <w:r w:rsidRPr="001F745A">
          <w:rPr>
            <w:rStyle w:val="Hyperlink"/>
            <w:rFonts w:ascii="Arial" w:hAnsi="Arial" w:cs="Arial"/>
            <w:sz w:val="20"/>
            <w:szCs w:val="20"/>
          </w:rPr>
          <w:t>https://doi.org/10.1007/s11204-015-9294-y</w:t>
        </w:r>
      </w:hyperlink>
    </w:p>
    <w:p w14:paraId="69CB716E"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Chen, J. (2004). </w:t>
      </w:r>
      <w:r w:rsidRPr="001F745A">
        <w:rPr>
          <w:rFonts w:ascii="Arial" w:hAnsi="Arial" w:cs="Arial"/>
          <w:i/>
          <w:iCs/>
          <w:sz w:val="20"/>
          <w:szCs w:val="20"/>
        </w:rPr>
        <w:t xml:space="preserve">Axial </w:t>
      </w:r>
      <w:proofErr w:type="spellStart"/>
      <w:r w:rsidRPr="001F745A">
        <w:rPr>
          <w:rFonts w:ascii="Arial" w:hAnsi="Arial" w:cs="Arial"/>
          <w:i/>
          <w:iCs/>
          <w:sz w:val="20"/>
          <w:szCs w:val="20"/>
        </w:rPr>
        <w:t>behavior</w:t>
      </w:r>
      <w:proofErr w:type="spellEnd"/>
      <w:r w:rsidRPr="001F745A">
        <w:rPr>
          <w:rFonts w:ascii="Arial" w:hAnsi="Arial" w:cs="Arial"/>
          <w:i/>
          <w:iCs/>
          <w:sz w:val="20"/>
          <w:szCs w:val="20"/>
        </w:rPr>
        <w:t xml:space="preserve"> of drilled shafts in gravelly soils</w:t>
      </w:r>
      <w:r w:rsidRPr="001F745A">
        <w:rPr>
          <w:rFonts w:ascii="Arial" w:hAnsi="Arial" w:cs="Arial"/>
          <w:sz w:val="20"/>
          <w:szCs w:val="20"/>
        </w:rPr>
        <w:t xml:space="preserve"> [Doctoral dissertation, Cornell University].</w:t>
      </w:r>
    </w:p>
    <w:p w14:paraId="3CCB69EB"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Cubrinovski</w:t>
      </w:r>
      <w:proofErr w:type="spellEnd"/>
      <w:r w:rsidRPr="001F745A">
        <w:rPr>
          <w:rFonts w:ascii="Arial" w:hAnsi="Arial" w:cs="Arial"/>
          <w:sz w:val="20"/>
          <w:szCs w:val="20"/>
        </w:rPr>
        <w:t xml:space="preserve">, M., &amp; Ishihara, K. (1999). Empirical correlation between SPT N-value and relative density for sandy soils. </w:t>
      </w:r>
      <w:r w:rsidRPr="001F745A">
        <w:rPr>
          <w:rFonts w:ascii="Arial" w:hAnsi="Arial" w:cs="Arial"/>
          <w:i/>
          <w:iCs/>
          <w:sz w:val="20"/>
          <w:szCs w:val="20"/>
        </w:rPr>
        <w:t>Soils and Foundations</w:t>
      </w:r>
      <w:r w:rsidRPr="001F745A">
        <w:rPr>
          <w:rFonts w:ascii="Arial" w:hAnsi="Arial" w:cs="Arial"/>
          <w:sz w:val="20"/>
          <w:szCs w:val="20"/>
        </w:rPr>
        <w:t xml:space="preserve">, </w:t>
      </w:r>
      <w:r w:rsidRPr="001F745A">
        <w:rPr>
          <w:rFonts w:ascii="Arial" w:hAnsi="Arial" w:cs="Arial"/>
          <w:i/>
          <w:iCs/>
          <w:sz w:val="20"/>
          <w:szCs w:val="20"/>
        </w:rPr>
        <w:t>39</w:t>
      </w:r>
      <w:r w:rsidRPr="001F745A">
        <w:rPr>
          <w:rFonts w:ascii="Arial" w:hAnsi="Arial" w:cs="Arial"/>
          <w:sz w:val="20"/>
          <w:szCs w:val="20"/>
        </w:rPr>
        <w:t xml:space="preserve">(5), 61-71. </w:t>
      </w:r>
      <w:hyperlink r:id="rId13" w:history="1">
        <w:r w:rsidRPr="001F745A">
          <w:rPr>
            <w:rStyle w:val="Hyperlink"/>
            <w:rFonts w:ascii="Arial" w:hAnsi="Arial" w:cs="Arial"/>
            <w:sz w:val="20"/>
            <w:szCs w:val="20"/>
          </w:rPr>
          <w:t>https://doi.org/10.3208/sandf.39.5_61</w:t>
        </w:r>
      </w:hyperlink>
    </w:p>
    <w:p w14:paraId="62AB37DB"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Demir, S., &amp; Sahin, E. K. (2022). Comparison of tree-based machine learning algorithms for predicting liquefaction potential using canonical correlation forest, rotation forest, and random forest based on CPT data. </w:t>
      </w:r>
      <w:r w:rsidRPr="001F745A">
        <w:rPr>
          <w:rFonts w:ascii="Arial" w:hAnsi="Arial" w:cs="Arial"/>
          <w:i/>
          <w:iCs/>
          <w:sz w:val="20"/>
          <w:szCs w:val="20"/>
        </w:rPr>
        <w:t>Soil Dynamics and Earthquake Engineering</w:t>
      </w:r>
      <w:r w:rsidRPr="001F745A">
        <w:rPr>
          <w:rFonts w:ascii="Arial" w:hAnsi="Arial" w:cs="Arial"/>
          <w:sz w:val="20"/>
          <w:szCs w:val="20"/>
        </w:rPr>
        <w:t xml:space="preserve">, </w:t>
      </w:r>
      <w:r w:rsidRPr="001F745A">
        <w:rPr>
          <w:rFonts w:ascii="Arial" w:hAnsi="Arial" w:cs="Arial"/>
          <w:i/>
          <w:iCs/>
          <w:sz w:val="20"/>
          <w:szCs w:val="20"/>
        </w:rPr>
        <w:t>154</w:t>
      </w:r>
      <w:r w:rsidRPr="001F745A">
        <w:rPr>
          <w:rFonts w:ascii="Arial" w:hAnsi="Arial" w:cs="Arial"/>
          <w:sz w:val="20"/>
          <w:szCs w:val="20"/>
        </w:rPr>
        <w:t xml:space="preserve">, 107130. </w:t>
      </w:r>
      <w:hyperlink r:id="rId14" w:history="1">
        <w:r w:rsidRPr="001F745A">
          <w:rPr>
            <w:rStyle w:val="Hyperlink"/>
            <w:rFonts w:ascii="Arial" w:hAnsi="Arial" w:cs="Arial"/>
            <w:sz w:val="20"/>
            <w:szCs w:val="20"/>
          </w:rPr>
          <w:t>https://doi.org/10.1016/j.soildyn.2021.107130</w:t>
        </w:r>
      </w:hyperlink>
    </w:p>
    <w:p w14:paraId="5D8AC471"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Demir, S., &amp; Sahin, E. K. (2023). An investigation of feature selection methods for soil liquefaction prediction based on tree-based ensemble algorithms using AdaBoost, gradient boosting, and </w:t>
      </w:r>
      <w:proofErr w:type="spellStart"/>
      <w:r w:rsidRPr="001F745A">
        <w:rPr>
          <w:rFonts w:ascii="Arial" w:hAnsi="Arial" w:cs="Arial"/>
          <w:sz w:val="20"/>
          <w:szCs w:val="20"/>
        </w:rPr>
        <w:t>XGBoost</w:t>
      </w:r>
      <w:proofErr w:type="spellEnd"/>
      <w:r w:rsidRPr="001F745A">
        <w:rPr>
          <w:rFonts w:ascii="Arial" w:hAnsi="Arial" w:cs="Arial"/>
          <w:sz w:val="20"/>
          <w:szCs w:val="20"/>
        </w:rPr>
        <w:t xml:space="preserve">. </w:t>
      </w:r>
      <w:r w:rsidRPr="001F745A">
        <w:rPr>
          <w:rFonts w:ascii="Arial" w:hAnsi="Arial" w:cs="Arial"/>
          <w:i/>
          <w:iCs/>
          <w:sz w:val="20"/>
          <w:szCs w:val="20"/>
        </w:rPr>
        <w:t>Neural Computing and Applications</w:t>
      </w:r>
      <w:r w:rsidRPr="001F745A">
        <w:rPr>
          <w:rFonts w:ascii="Arial" w:hAnsi="Arial" w:cs="Arial"/>
          <w:sz w:val="20"/>
          <w:szCs w:val="20"/>
        </w:rPr>
        <w:t xml:space="preserve">, </w:t>
      </w:r>
      <w:r w:rsidRPr="001F745A">
        <w:rPr>
          <w:rFonts w:ascii="Arial" w:hAnsi="Arial" w:cs="Arial"/>
          <w:i/>
          <w:iCs/>
          <w:sz w:val="20"/>
          <w:szCs w:val="20"/>
        </w:rPr>
        <w:t>35</w:t>
      </w:r>
      <w:r w:rsidRPr="001F745A">
        <w:rPr>
          <w:rFonts w:ascii="Arial" w:hAnsi="Arial" w:cs="Arial"/>
          <w:sz w:val="20"/>
          <w:szCs w:val="20"/>
        </w:rPr>
        <w:t xml:space="preserve">, 3173-3190. </w:t>
      </w:r>
      <w:hyperlink r:id="rId15" w:history="1">
        <w:r w:rsidRPr="001F745A">
          <w:rPr>
            <w:rStyle w:val="Hyperlink"/>
            <w:rFonts w:ascii="Arial" w:hAnsi="Arial" w:cs="Arial"/>
            <w:sz w:val="20"/>
            <w:szCs w:val="20"/>
          </w:rPr>
          <w:t>https://doi.org/10.1007/s00521-022-07856-4</w:t>
        </w:r>
      </w:hyperlink>
    </w:p>
    <w:p w14:paraId="2F9F14DE"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Dos Santos, M. D., &amp; Bicalho, K. V. (2017). Proposals of SPT-CPT and DPL-CPT correlations for sandy soils in Brazil. </w:t>
      </w:r>
      <w:r w:rsidRPr="001F745A">
        <w:rPr>
          <w:rFonts w:ascii="Arial" w:hAnsi="Arial" w:cs="Arial"/>
          <w:i/>
          <w:iCs/>
          <w:sz w:val="20"/>
          <w:szCs w:val="20"/>
        </w:rPr>
        <w:t>Journal of Rock Mechanics and Geotechnical Engineering</w:t>
      </w:r>
      <w:r w:rsidRPr="001F745A">
        <w:rPr>
          <w:rFonts w:ascii="Arial" w:hAnsi="Arial" w:cs="Arial"/>
          <w:sz w:val="20"/>
          <w:szCs w:val="20"/>
        </w:rPr>
        <w:t xml:space="preserve">, </w:t>
      </w:r>
      <w:r w:rsidRPr="001F745A">
        <w:rPr>
          <w:rFonts w:ascii="Arial" w:hAnsi="Arial" w:cs="Arial"/>
          <w:i/>
          <w:iCs/>
          <w:sz w:val="20"/>
          <w:szCs w:val="20"/>
        </w:rPr>
        <w:t>9</w:t>
      </w:r>
      <w:r w:rsidRPr="001F745A">
        <w:rPr>
          <w:rFonts w:ascii="Arial" w:hAnsi="Arial" w:cs="Arial"/>
          <w:sz w:val="20"/>
          <w:szCs w:val="20"/>
        </w:rPr>
        <w:t xml:space="preserve">(6), 1152-1158. </w:t>
      </w:r>
      <w:hyperlink r:id="rId16" w:history="1">
        <w:r w:rsidRPr="001F745A">
          <w:rPr>
            <w:rStyle w:val="Hyperlink"/>
            <w:rFonts w:ascii="Arial" w:hAnsi="Arial" w:cs="Arial"/>
            <w:sz w:val="20"/>
            <w:szCs w:val="20"/>
          </w:rPr>
          <w:t>https://doi.org/10.1016/j.jrmge.2017.08.001</w:t>
        </w:r>
      </w:hyperlink>
    </w:p>
    <w:p w14:paraId="04F05F1F"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Fernando, H., Nugroho, S. A., </w:t>
      </w:r>
      <w:proofErr w:type="spellStart"/>
      <w:r w:rsidRPr="001F745A">
        <w:rPr>
          <w:rFonts w:ascii="Arial" w:hAnsi="Arial" w:cs="Arial"/>
          <w:sz w:val="20"/>
          <w:szCs w:val="20"/>
        </w:rPr>
        <w:t>Suryanita</w:t>
      </w:r>
      <w:proofErr w:type="spellEnd"/>
      <w:r w:rsidRPr="001F745A">
        <w:rPr>
          <w:rFonts w:ascii="Arial" w:hAnsi="Arial" w:cs="Arial"/>
          <w:sz w:val="20"/>
          <w:szCs w:val="20"/>
        </w:rPr>
        <w:t xml:space="preserve">, R., &amp; Kikumoto, M. (2021). Prediction of SPT value based on CPT data and soil physical properties using ANN with and without data normalization. </w:t>
      </w:r>
      <w:r w:rsidRPr="001F745A">
        <w:rPr>
          <w:rFonts w:ascii="Arial" w:hAnsi="Arial" w:cs="Arial"/>
          <w:i/>
          <w:iCs/>
          <w:sz w:val="20"/>
          <w:szCs w:val="20"/>
        </w:rPr>
        <w:t>International Journal of Artificial Intelligence Research</w:t>
      </w:r>
      <w:r w:rsidRPr="001F745A">
        <w:rPr>
          <w:rFonts w:ascii="Arial" w:hAnsi="Arial" w:cs="Arial"/>
          <w:sz w:val="20"/>
          <w:szCs w:val="20"/>
        </w:rPr>
        <w:t xml:space="preserve">, </w:t>
      </w:r>
      <w:r w:rsidRPr="001F745A">
        <w:rPr>
          <w:rFonts w:ascii="Arial" w:hAnsi="Arial" w:cs="Arial"/>
          <w:i/>
          <w:iCs/>
          <w:sz w:val="20"/>
          <w:szCs w:val="20"/>
        </w:rPr>
        <w:t>5</w:t>
      </w:r>
      <w:r w:rsidRPr="001F745A">
        <w:rPr>
          <w:rFonts w:ascii="Arial" w:hAnsi="Arial" w:cs="Arial"/>
          <w:sz w:val="20"/>
          <w:szCs w:val="20"/>
        </w:rPr>
        <w:t xml:space="preserve">(2), 123-131. </w:t>
      </w:r>
      <w:hyperlink r:id="rId17" w:history="1">
        <w:r w:rsidRPr="001F745A">
          <w:rPr>
            <w:rStyle w:val="Hyperlink"/>
            <w:rFonts w:ascii="Arial" w:hAnsi="Arial" w:cs="Arial"/>
            <w:sz w:val="20"/>
            <w:szCs w:val="20"/>
          </w:rPr>
          <w:t>https://doi.org/10.29099/ijair.v5i2.192</w:t>
        </w:r>
      </w:hyperlink>
    </w:p>
    <w:p w14:paraId="147DCCE8"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Ghali, M., </w:t>
      </w:r>
      <w:proofErr w:type="spellStart"/>
      <w:r w:rsidRPr="001F745A">
        <w:rPr>
          <w:rFonts w:ascii="Arial" w:hAnsi="Arial" w:cs="Arial"/>
          <w:sz w:val="20"/>
          <w:szCs w:val="20"/>
        </w:rPr>
        <w:t>Chekired</w:t>
      </w:r>
      <w:proofErr w:type="spellEnd"/>
      <w:r w:rsidRPr="001F745A">
        <w:rPr>
          <w:rFonts w:ascii="Arial" w:hAnsi="Arial" w:cs="Arial"/>
          <w:sz w:val="20"/>
          <w:szCs w:val="20"/>
        </w:rPr>
        <w:t xml:space="preserve">, M., &amp; </w:t>
      </w:r>
      <w:proofErr w:type="spellStart"/>
      <w:r w:rsidRPr="001F745A">
        <w:rPr>
          <w:rFonts w:ascii="Arial" w:hAnsi="Arial" w:cs="Arial"/>
          <w:sz w:val="20"/>
          <w:szCs w:val="20"/>
        </w:rPr>
        <w:t>Karray</w:t>
      </w:r>
      <w:proofErr w:type="spellEnd"/>
      <w:r w:rsidRPr="001F745A">
        <w:rPr>
          <w:rFonts w:ascii="Arial" w:hAnsi="Arial" w:cs="Arial"/>
          <w:sz w:val="20"/>
          <w:szCs w:val="20"/>
        </w:rPr>
        <w:t xml:space="preserve">, M. (2018). Framework to improve the correlation of SPT-N and geotechnical parameters in sand. </w:t>
      </w:r>
      <w:r w:rsidRPr="001F745A">
        <w:rPr>
          <w:rFonts w:ascii="Arial" w:hAnsi="Arial" w:cs="Arial"/>
          <w:i/>
          <w:iCs/>
          <w:sz w:val="20"/>
          <w:szCs w:val="20"/>
        </w:rPr>
        <w:t xml:space="preserve">Acta </w:t>
      </w:r>
      <w:proofErr w:type="spellStart"/>
      <w:r w:rsidRPr="001F745A">
        <w:rPr>
          <w:rFonts w:ascii="Arial" w:hAnsi="Arial" w:cs="Arial"/>
          <w:i/>
          <w:iCs/>
          <w:sz w:val="20"/>
          <w:szCs w:val="20"/>
        </w:rPr>
        <w:t>Geotechnica</w:t>
      </w:r>
      <w:proofErr w:type="spellEnd"/>
      <w:r w:rsidRPr="001F745A">
        <w:rPr>
          <w:rFonts w:ascii="Arial" w:hAnsi="Arial" w:cs="Arial"/>
          <w:sz w:val="20"/>
          <w:szCs w:val="20"/>
        </w:rPr>
        <w:t xml:space="preserve">, </w:t>
      </w:r>
      <w:r w:rsidRPr="001F745A">
        <w:rPr>
          <w:rFonts w:ascii="Arial" w:hAnsi="Arial" w:cs="Arial"/>
          <w:i/>
          <w:iCs/>
          <w:sz w:val="20"/>
          <w:szCs w:val="20"/>
        </w:rPr>
        <w:t>13</w:t>
      </w:r>
      <w:r w:rsidRPr="001F745A">
        <w:rPr>
          <w:rFonts w:ascii="Arial" w:hAnsi="Arial" w:cs="Arial"/>
          <w:sz w:val="20"/>
          <w:szCs w:val="20"/>
        </w:rPr>
        <w:t xml:space="preserve">(6), 1445-1458. </w:t>
      </w:r>
      <w:hyperlink r:id="rId18" w:history="1">
        <w:r w:rsidRPr="001F745A">
          <w:rPr>
            <w:rStyle w:val="Hyperlink"/>
            <w:rFonts w:ascii="Arial" w:hAnsi="Arial" w:cs="Arial"/>
            <w:sz w:val="20"/>
            <w:szCs w:val="20"/>
          </w:rPr>
          <w:t>https://doi.org/10.1007/s11440-018-0745-3</w:t>
        </w:r>
      </w:hyperlink>
    </w:p>
    <w:p w14:paraId="392A8CF0"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Hatanaka, M., &amp; Uchida, A. (1996). Empirical correlation between penetration resistance and internal friction angle of sandy soils. </w:t>
      </w:r>
      <w:r w:rsidRPr="001F745A">
        <w:rPr>
          <w:rFonts w:ascii="Arial" w:hAnsi="Arial" w:cs="Arial"/>
          <w:i/>
          <w:iCs/>
          <w:sz w:val="20"/>
          <w:szCs w:val="20"/>
        </w:rPr>
        <w:t>Soils and Foundations</w:t>
      </w:r>
      <w:r w:rsidRPr="001F745A">
        <w:rPr>
          <w:rFonts w:ascii="Arial" w:hAnsi="Arial" w:cs="Arial"/>
          <w:sz w:val="20"/>
          <w:szCs w:val="20"/>
        </w:rPr>
        <w:t xml:space="preserve">, </w:t>
      </w:r>
      <w:r w:rsidRPr="001F745A">
        <w:rPr>
          <w:rFonts w:ascii="Arial" w:hAnsi="Arial" w:cs="Arial"/>
          <w:i/>
          <w:iCs/>
          <w:sz w:val="20"/>
          <w:szCs w:val="20"/>
        </w:rPr>
        <w:t>36</w:t>
      </w:r>
      <w:r w:rsidRPr="001F745A">
        <w:rPr>
          <w:rFonts w:ascii="Arial" w:hAnsi="Arial" w:cs="Arial"/>
          <w:sz w:val="20"/>
          <w:szCs w:val="20"/>
        </w:rPr>
        <w:t xml:space="preserve">(4), 1-9. </w:t>
      </w:r>
      <w:hyperlink r:id="rId19" w:history="1">
        <w:r w:rsidRPr="001F745A">
          <w:rPr>
            <w:rStyle w:val="Hyperlink"/>
            <w:rFonts w:ascii="Arial" w:hAnsi="Arial" w:cs="Arial"/>
            <w:sz w:val="20"/>
            <w:szCs w:val="20"/>
          </w:rPr>
          <w:t>https://doi.org/10.3208/sandf.36.4_1</w:t>
        </w:r>
      </w:hyperlink>
    </w:p>
    <w:p w14:paraId="306DB6EB"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Hettiarachchi, H., &amp; Brown, T. (2009). Use of SPT blow counts to estimate shear strength properties of soils: Energy balance approach. </w:t>
      </w:r>
      <w:r w:rsidRPr="001F745A">
        <w:rPr>
          <w:rFonts w:ascii="Arial" w:hAnsi="Arial" w:cs="Arial"/>
          <w:i/>
          <w:iCs/>
          <w:sz w:val="20"/>
          <w:szCs w:val="20"/>
        </w:rPr>
        <w:t>Journal of Geotechnical and Geoenvironmental Engineering</w:t>
      </w:r>
      <w:r w:rsidRPr="001F745A">
        <w:rPr>
          <w:rFonts w:ascii="Arial" w:hAnsi="Arial" w:cs="Arial"/>
          <w:sz w:val="20"/>
          <w:szCs w:val="20"/>
        </w:rPr>
        <w:t xml:space="preserve">, </w:t>
      </w:r>
      <w:r w:rsidRPr="001F745A">
        <w:rPr>
          <w:rFonts w:ascii="Arial" w:hAnsi="Arial" w:cs="Arial"/>
          <w:i/>
          <w:iCs/>
          <w:sz w:val="20"/>
          <w:szCs w:val="20"/>
        </w:rPr>
        <w:t>135</w:t>
      </w:r>
      <w:r w:rsidRPr="001F745A">
        <w:rPr>
          <w:rFonts w:ascii="Arial" w:hAnsi="Arial" w:cs="Arial"/>
          <w:sz w:val="20"/>
          <w:szCs w:val="20"/>
        </w:rPr>
        <w:t xml:space="preserve">(6), 830-834. </w:t>
      </w:r>
      <w:hyperlink r:id="rId20" w:history="1">
        <w:r w:rsidRPr="001F745A">
          <w:rPr>
            <w:rStyle w:val="Hyperlink"/>
            <w:rFonts w:ascii="Arial" w:hAnsi="Arial" w:cs="Arial"/>
            <w:sz w:val="20"/>
            <w:szCs w:val="20"/>
          </w:rPr>
          <w:t>https://doi.org/10.1061/(ASCE)GT.1943-5606.0000016</w:t>
        </w:r>
      </w:hyperlink>
    </w:p>
    <w:p w14:paraId="7C0F2624"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Jarushi, F., AlKaabi, S., &amp; Cosentino, P. (2015). A new correlation between SPT and CPT for various soils. </w:t>
      </w:r>
      <w:r w:rsidRPr="001F745A">
        <w:rPr>
          <w:rFonts w:ascii="Arial" w:hAnsi="Arial" w:cs="Arial"/>
          <w:i/>
          <w:iCs/>
          <w:sz w:val="20"/>
          <w:szCs w:val="20"/>
        </w:rPr>
        <w:t>International Journal of Geological and Environmental Engineering</w:t>
      </w:r>
      <w:r w:rsidRPr="001F745A">
        <w:rPr>
          <w:rFonts w:ascii="Arial" w:hAnsi="Arial" w:cs="Arial"/>
          <w:sz w:val="20"/>
          <w:szCs w:val="20"/>
        </w:rPr>
        <w:t xml:space="preserve">, </w:t>
      </w:r>
      <w:r w:rsidRPr="001F745A">
        <w:rPr>
          <w:rFonts w:ascii="Arial" w:hAnsi="Arial" w:cs="Arial"/>
          <w:i/>
          <w:iCs/>
          <w:sz w:val="20"/>
          <w:szCs w:val="20"/>
        </w:rPr>
        <w:t>9</w:t>
      </w:r>
      <w:r w:rsidRPr="001F745A">
        <w:rPr>
          <w:rFonts w:ascii="Arial" w:hAnsi="Arial" w:cs="Arial"/>
          <w:sz w:val="20"/>
          <w:szCs w:val="20"/>
        </w:rPr>
        <w:t>(2), 101-107.</w:t>
      </w:r>
    </w:p>
    <w:p w14:paraId="6C372BEF"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Kalantary</w:t>
      </w:r>
      <w:proofErr w:type="spellEnd"/>
      <w:r w:rsidRPr="001F745A">
        <w:rPr>
          <w:rFonts w:ascii="Arial" w:hAnsi="Arial" w:cs="Arial"/>
          <w:sz w:val="20"/>
          <w:szCs w:val="20"/>
        </w:rPr>
        <w:t xml:space="preserve">, F., Ardalan, H., &amp; Nariman-Zadeh, N. (2009). An investigation on the Su-NSPT correlation using GMDH type neural networks and genetic algorithms. </w:t>
      </w:r>
      <w:r w:rsidRPr="001F745A">
        <w:rPr>
          <w:rFonts w:ascii="Arial" w:hAnsi="Arial" w:cs="Arial"/>
          <w:i/>
          <w:iCs/>
          <w:sz w:val="20"/>
          <w:szCs w:val="20"/>
        </w:rPr>
        <w:t>Engineering Geology</w:t>
      </w:r>
      <w:r w:rsidRPr="001F745A">
        <w:rPr>
          <w:rFonts w:ascii="Arial" w:hAnsi="Arial" w:cs="Arial"/>
          <w:sz w:val="20"/>
          <w:szCs w:val="20"/>
        </w:rPr>
        <w:t xml:space="preserve">, </w:t>
      </w:r>
      <w:r w:rsidRPr="001F745A">
        <w:rPr>
          <w:rFonts w:ascii="Arial" w:hAnsi="Arial" w:cs="Arial"/>
          <w:i/>
          <w:iCs/>
          <w:sz w:val="20"/>
          <w:szCs w:val="20"/>
        </w:rPr>
        <w:t>104</w:t>
      </w:r>
      <w:r w:rsidRPr="001F745A">
        <w:rPr>
          <w:rFonts w:ascii="Arial" w:hAnsi="Arial" w:cs="Arial"/>
          <w:sz w:val="20"/>
          <w:szCs w:val="20"/>
        </w:rPr>
        <w:t xml:space="preserve">(1-2), 144-155. </w:t>
      </w:r>
      <w:hyperlink r:id="rId21" w:history="1">
        <w:r w:rsidRPr="001F745A">
          <w:rPr>
            <w:rStyle w:val="Hyperlink"/>
            <w:rFonts w:ascii="Arial" w:hAnsi="Arial" w:cs="Arial"/>
            <w:sz w:val="20"/>
            <w:szCs w:val="20"/>
          </w:rPr>
          <w:t>https://doi.org/10.1016/j.enggeo.2008.09.006</w:t>
        </w:r>
      </w:hyperlink>
    </w:p>
    <w:p w14:paraId="1B9D6F94"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Kara, O., &amp; Gunduz, Z. (2010). Correlation between CPT and SPT in </w:t>
      </w:r>
      <w:proofErr w:type="spellStart"/>
      <w:r w:rsidRPr="001F745A">
        <w:rPr>
          <w:rFonts w:ascii="Arial" w:hAnsi="Arial" w:cs="Arial"/>
          <w:sz w:val="20"/>
          <w:szCs w:val="20"/>
        </w:rPr>
        <w:t>Adapazari</w:t>
      </w:r>
      <w:proofErr w:type="spellEnd"/>
      <w:r w:rsidRPr="001F745A">
        <w:rPr>
          <w:rFonts w:ascii="Arial" w:hAnsi="Arial" w:cs="Arial"/>
          <w:sz w:val="20"/>
          <w:szCs w:val="20"/>
        </w:rPr>
        <w:t xml:space="preserve">, Turkey. In </w:t>
      </w:r>
      <w:r w:rsidRPr="001F745A">
        <w:rPr>
          <w:rFonts w:ascii="Arial" w:hAnsi="Arial" w:cs="Arial"/>
          <w:i/>
          <w:iCs/>
          <w:sz w:val="20"/>
          <w:szCs w:val="20"/>
        </w:rPr>
        <w:t>Proceedings of the 2nd International Symposium on Cone Penetration Testing</w:t>
      </w:r>
      <w:r w:rsidRPr="001F745A">
        <w:rPr>
          <w:rFonts w:ascii="Arial" w:hAnsi="Arial" w:cs="Arial"/>
          <w:sz w:val="20"/>
          <w:szCs w:val="20"/>
        </w:rPr>
        <w:t xml:space="preserve"> (pp. 1-8). CPT'10.</w:t>
      </w:r>
    </w:p>
    <w:p w14:paraId="01CE4F12"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lastRenderedPageBreak/>
        <w:t xml:space="preserve">Khan, Z., Yamin, M., </w:t>
      </w:r>
      <w:proofErr w:type="spellStart"/>
      <w:r w:rsidRPr="001F745A">
        <w:rPr>
          <w:rFonts w:ascii="Arial" w:hAnsi="Arial" w:cs="Arial"/>
          <w:sz w:val="20"/>
          <w:szCs w:val="20"/>
        </w:rPr>
        <w:t>Attom</w:t>
      </w:r>
      <w:proofErr w:type="spellEnd"/>
      <w:r w:rsidRPr="001F745A">
        <w:rPr>
          <w:rFonts w:ascii="Arial" w:hAnsi="Arial" w:cs="Arial"/>
          <w:sz w:val="20"/>
          <w:szCs w:val="20"/>
        </w:rPr>
        <w:t xml:space="preserve">, M., &amp; Al Hai, N. (2022). Correlations between SPT, CPT, and Vs for reclaimed lands near Dubai. </w:t>
      </w:r>
      <w:r w:rsidRPr="001F745A">
        <w:rPr>
          <w:rFonts w:ascii="Arial" w:hAnsi="Arial" w:cs="Arial"/>
          <w:i/>
          <w:iCs/>
          <w:sz w:val="20"/>
          <w:szCs w:val="20"/>
        </w:rPr>
        <w:t>Geotechnical and Geological Engineering</w:t>
      </w:r>
      <w:r w:rsidRPr="001F745A">
        <w:rPr>
          <w:rFonts w:ascii="Arial" w:hAnsi="Arial" w:cs="Arial"/>
          <w:sz w:val="20"/>
          <w:szCs w:val="20"/>
        </w:rPr>
        <w:t xml:space="preserve">, </w:t>
      </w:r>
      <w:r w:rsidRPr="001F745A">
        <w:rPr>
          <w:rFonts w:ascii="Arial" w:hAnsi="Arial" w:cs="Arial"/>
          <w:i/>
          <w:iCs/>
          <w:sz w:val="20"/>
          <w:szCs w:val="20"/>
        </w:rPr>
        <w:t>40</w:t>
      </w:r>
      <w:r w:rsidRPr="001F745A">
        <w:rPr>
          <w:rFonts w:ascii="Arial" w:hAnsi="Arial" w:cs="Arial"/>
          <w:sz w:val="20"/>
          <w:szCs w:val="20"/>
        </w:rPr>
        <w:t xml:space="preserve">, 4109-4120. </w:t>
      </w:r>
      <w:hyperlink r:id="rId22" w:history="1">
        <w:r w:rsidRPr="001F745A">
          <w:rPr>
            <w:rStyle w:val="Hyperlink"/>
            <w:rFonts w:ascii="Arial" w:hAnsi="Arial" w:cs="Arial"/>
            <w:sz w:val="20"/>
            <w:szCs w:val="20"/>
          </w:rPr>
          <w:t>https://doi.org/10.1007/s10706-022-02143-4</w:t>
        </w:r>
      </w:hyperlink>
    </w:p>
    <w:p w14:paraId="62BC11E5"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Khodaparast</w:t>
      </w:r>
      <w:proofErr w:type="spellEnd"/>
      <w:r w:rsidRPr="001F745A">
        <w:rPr>
          <w:rFonts w:ascii="Arial" w:hAnsi="Arial" w:cs="Arial"/>
          <w:sz w:val="20"/>
          <w:szCs w:val="20"/>
        </w:rPr>
        <w:t xml:space="preserve">, M., Rajabi, A. M., &amp; Derakhshan, M. (2020). Development of practical correlations between cone penetration resistance and SPT values for various types of soils. </w:t>
      </w:r>
      <w:r w:rsidRPr="001F745A">
        <w:rPr>
          <w:rFonts w:ascii="Arial" w:hAnsi="Arial" w:cs="Arial"/>
          <w:i/>
          <w:iCs/>
          <w:sz w:val="20"/>
          <w:szCs w:val="20"/>
        </w:rPr>
        <w:t>Iranian Journal of Science and Technology, Transactions of Civil Engineering</w:t>
      </w:r>
      <w:r w:rsidRPr="001F745A">
        <w:rPr>
          <w:rFonts w:ascii="Arial" w:hAnsi="Arial" w:cs="Arial"/>
          <w:sz w:val="20"/>
          <w:szCs w:val="20"/>
        </w:rPr>
        <w:t xml:space="preserve">, </w:t>
      </w:r>
      <w:r w:rsidRPr="001F745A">
        <w:rPr>
          <w:rFonts w:ascii="Arial" w:hAnsi="Arial" w:cs="Arial"/>
          <w:i/>
          <w:iCs/>
          <w:sz w:val="20"/>
          <w:szCs w:val="20"/>
        </w:rPr>
        <w:t>44</w:t>
      </w:r>
      <w:r w:rsidRPr="001F745A">
        <w:rPr>
          <w:rFonts w:ascii="Arial" w:hAnsi="Arial" w:cs="Arial"/>
          <w:sz w:val="20"/>
          <w:szCs w:val="20"/>
        </w:rPr>
        <w:t>(</w:t>
      </w:r>
      <w:proofErr w:type="spellStart"/>
      <w:r w:rsidRPr="001F745A">
        <w:rPr>
          <w:rFonts w:ascii="Arial" w:hAnsi="Arial" w:cs="Arial"/>
          <w:sz w:val="20"/>
          <w:szCs w:val="20"/>
        </w:rPr>
        <w:t>Suppl</w:t>
      </w:r>
      <w:proofErr w:type="spellEnd"/>
      <w:r w:rsidRPr="001F745A">
        <w:rPr>
          <w:rFonts w:ascii="Arial" w:hAnsi="Arial" w:cs="Arial"/>
          <w:sz w:val="20"/>
          <w:szCs w:val="20"/>
        </w:rPr>
        <w:t xml:space="preserve"> 1), 471-481. </w:t>
      </w:r>
      <w:hyperlink r:id="rId23" w:history="1">
        <w:r w:rsidRPr="001F745A">
          <w:rPr>
            <w:rStyle w:val="Hyperlink"/>
            <w:rFonts w:ascii="Arial" w:hAnsi="Arial" w:cs="Arial"/>
            <w:sz w:val="20"/>
            <w:szCs w:val="20"/>
          </w:rPr>
          <w:t>https://doi.org/10.1007/s40996-019-00319-2</w:t>
        </w:r>
      </w:hyperlink>
    </w:p>
    <w:p w14:paraId="64076C69"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Kim, M., Okuyucu, O., </w:t>
      </w:r>
      <w:proofErr w:type="spellStart"/>
      <w:r w:rsidRPr="001F745A">
        <w:rPr>
          <w:rFonts w:ascii="Arial" w:hAnsi="Arial" w:cs="Arial"/>
          <w:sz w:val="20"/>
          <w:szCs w:val="20"/>
        </w:rPr>
        <w:t>Ordu</w:t>
      </w:r>
      <w:proofErr w:type="spellEnd"/>
      <w:r w:rsidRPr="001F745A">
        <w:rPr>
          <w:rFonts w:ascii="Arial" w:hAnsi="Arial" w:cs="Arial"/>
          <w:sz w:val="20"/>
          <w:szCs w:val="20"/>
        </w:rPr>
        <w:t xml:space="preserve">, E., </w:t>
      </w:r>
      <w:proofErr w:type="spellStart"/>
      <w:r w:rsidRPr="001F745A">
        <w:rPr>
          <w:rFonts w:ascii="Arial" w:hAnsi="Arial" w:cs="Arial"/>
          <w:sz w:val="20"/>
          <w:szCs w:val="20"/>
        </w:rPr>
        <w:t>Ordu</w:t>
      </w:r>
      <w:proofErr w:type="spellEnd"/>
      <w:r w:rsidRPr="001F745A">
        <w:rPr>
          <w:rFonts w:ascii="Arial" w:hAnsi="Arial" w:cs="Arial"/>
          <w:sz w:val="20"/>
          <w:szCs w:val="20"/>
        </w:rPr>
        <w:t xml:space="preserve">, S., Arslan, Ö., &amp; Ko, J. (2022). Prediction of undrained shear strength by the GMDH-type neural network using SPT-value and soil physical properties. </w:t>
      </w:r>
      <w:r w:rsidRPr="001F745A">
        <w:rPr>
          <w:rFonts w:ascii="Arial" w:hAnsi="Arial" w:cs="Arial"/>
          <w:i/>
          <w:iCs/>
          <w:sz w:val="20"/>
          <w:szCs w:val="20"/>
        </w:rPr>
        <w:t>Materials</w:t>
      </w:r>
      <w:r w:rsidRPr="001F745A">
        <w:rPr>
          <w:rFonts w:ascii="Arial" w:hAnsi="Arial" w:cs="Arial"/>
          <w:sz w:val="20"/>
          <w:szCs w:val="20"/>
        </w:rPr>
        <w:t xml:space="preserve">, </w:t>
      </w:r>
      <w:r w:rsidRPr="001F745A">
        <w:rPr>
          <w:rFonts w:ascii="Arial" w:hAnsi="Arial" w:cs="Arial"/>
          <w:i/>
          <w:iCs/>
          <w:sz w:val="20"/>
          <w:szCs w:val="20"/>
        </w:rPr>
        <w:t>15</w:t>
      </w:r>
      <w:r w:rsidRPr="001F745A">
        <w:rPr>
          <w:rFonts w:ascii="Arial" w:hAnsi="Arial" w:cs="Arial"/>
          <w:sz w:val="20"/>
          <w:szCs w:val="20"/>
        </w:rPr>
        <w:t xml:space="preserve">(18), 6385. </w:t>
      </w:r>
      <w:hyperlink r:id="rId24" w:history="1">
        <w:r w:rsidRPr="001F745A">
          <w:rPr>
            <w:rStyle w:val="Hyperlink"/>
            <w:rFonts w:ascii="Arial" w:hAnsi="Arial" w:cs="Arial"/>
            <w:sz w:val="20"/>
            <w:szCs w:val="20"/>
          </w:rPr>
          <w:t>https://doi.org/10.3390/ma15186385</w:t>
        </w:r>
      </w:hyperlink>
    </w:p>
    <w:p w14:paraId="0BD6F068"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Kulhawy</w:t>
      </w:r>
      <w:proofErr w:type="spellEnd"/>
      <w:r w:rsidRPr="001F745A">
        <w:rPr>
          <w:rFonts w:ascii="Arial" w:hAnsi="Arial" w:cs="Arial"/>
          <w:sz w:val="20"/>
          <w:szCs w:val="20"/>
        </w:rPr>
        <w:t xml:space="preserve">, F. H., &amp; Mayne, P. W. (1990). </w:t>
      </w:r>
      <w:r w:rsidRPr="001F745A">
        <w:rPr>
          <w:rFonts w:ascii="Arial" w:hAnsi="Arial" w:cs="Arial"/>
          <w:i/>
          <w:iCs/>
          <w:sz w:val="20"/>
          <w:szCs w:val="20"/>
        </w:rPr>
        <w:t>Manual on estimating soil properties for foundation design</w:t>
      </w:r>
      <w:r w:rsidRPr="001F745A">
        <w:rPr>
          <w:rFonts w:ascii="Arial" w:hAnsi="Arial" w:cs="Arial"/>
          <w:sz w:val="20"/>
          <w:szCs w:val="20"/>
        </w:rPr>
        <w:t xml:space="preserve"> (Report No. EL-6800). Electric Power Research Institute.</w:t>
      </w:r>
    </w:p>
    <w:p w14:paraId="4FD18DB6"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Kumar, R., Bhargava, K., &amp; Choudhury, D. (2016). Estimation of engineering properties of soils from field SPT using random number generation. </w:t>
      </w:r>
      <w:r w:rsidRPr="001F745A">
        <w:rPr>
          <w:rFonts w:ascii="Arial" w:hAnsi="Arial" w:cs="Arial"/>
          <w:i/>
          <w:iCs/>
          <w:sz w:val="20"/>
          <w:szCs w:val="20"/>
        </w:rPr>
        <w:t>Transactions of the Indian National Academy of Engineering</w:t>
      </w:r>
      <w:r w:rsidRPr="001F745A">
        <w:rPr>
          <w:rFonts w:ascii="Arial" w:hAnsi="Arial" w:cs="Arial"/>
          <w:sz w:val="20"/>
          <w:szCs w:val="20"/>
        </w:rPr>
        <w:t xml:space="preserve">, </w:t>
      </w:r>
      <w:r w:rsidRPr="001F745A">
        <w:rPr>
          <w:rFonts w:ascii="Arial" w:hAnsi="Arial" w:cs="Arial"/>
          <w:i/>
          <w:iCs/>
          <w:sz w:val="20"/>
          <w:szCs w:val="20"/>
        </w:rPr>
        <w:t>1</w:t>
      </w:r>
      <w:r w:rsidRPr="001F745A">
        <w:rPr>
          <w:rFonts w:ascii="Arial" w:hAnsi="Arial" w:cs="Arial"/>
          <w:sz w:val="20"/>
          <w:szCs w:val="20"/>
        </w:rPr>
        <w:t xml:space="preserve">(2), 77-84. </w:t>
      </w:r>
      <w:hyperlink r:id="rId25" w:history="1">
        <w:r w:rsidRPr="001F745A">
          <w:rPr>
            <w:rStyle w:val="Hyperlink"/>
            <w:rFonts w:ascii="Arial" w:hAnsi="Arial" w:cs="Arial"/>
            <w:sz w:val="20"/>
            <w:szCs w:val="20"/>
          </w:rPr>
          <w:t>https://doi.org/10.1007/s41403-016-0012-6</w:t>
        </w:r>
      </w:hyperlink>
    </w:p>
    <w:p w14:paraId="35366758"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Liao, S. S. C., &amp; Whitman, R. V. (1986). Overburden correction factors for SPT in sand. </w:t>
      </w:r>
      <w:r w:rsidRPr="001F745A">
        <w:rPr>
          <w:rFonts w:ascii="Arial" w:hAnsi="Arial" w:cs="Arial"/>
          <w:i/>
          <w:iCs/>
          <w:sz w:val="20"/>
          <w:szCs w:val="20"/>
        </w:rPr>
        <w:t>Journal of Geotechnical Engineering</w:t>
      </w:r>
      <w:r w:rsidRPr="001F745A">
        <w:rPr>
          <w:rFonts w:ascii="Arial" w:hAnsi="Arial" w:cs="Arial"/>
          <w:sz w:val="20"/>
          <w:szCs w:val="20"/>
        </w:rPr>
        <w:t xml:space="preserve">, </w:t>
      </w:r>
      <w:r w:rsidRPr="001F745A">
        <w:rPr>
          <w:rFonts w:ascii="Arial" w:hAnsi="Arial" w:cs="Arial"/>
          <w:i/>
          <w:iCs/>
          <w:sz w:val="20"/>
          <w:szCs w:val="20"/>
        </w:rPr>
        <w:t>112</w:t>
      </w:r>
      <w:r w:rsidRPr="001F745A">
        <w:rPr>
          <w:rFonts w:ascii="Arial" w:hAnsi="Arial" w:cs="Arial"/>
          <w:sz w:val="20"/>
          <w:szCs w:val="20"/>
        </w:rPr>
        <w:t xml:space="preserve">(3), 373-377. </w:t>
      </w:r>
      <w:hyperlink r:id="rId26" w:history="1">
        <w:r w:rsidRPr="001F745A">
          <w:rPr>
            <w:rStyle w:val="Hyperlink"/>
            <w:rFonts w:ascii="Arial" w:hAnsi="Arial" w:cs="Arial"/>
            <w:sz w:val="20"/>
            <w:szCs w:val="20"/>
          </w:rPr>
          <w:t>https://doi.org/10.1061/(ASCE)0733-9410(1986)112:3(373)</w:t>
        </w:r>
      </w:hyperlink>
    </w:p>
    <w:p w14:paraId="032767D9"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Lingwanda</w:t>
      </w:r>
      <w:proofErr w:type="spellEnd"/>
      <w:r w:rsidRPr="001F745A">
        <w:rPr>
          <w:rFonts w:ascii="Arial" w:hAnsi="Arial" w:cs="Arial"/>
          <w:sz w:val="20"/>
          <w:szCs w:val="20"/>
        </w:rPr>
        <w:t xml:space="preserve">, M. I., Larsson, S., &amp; Nyaoro, D. L. (2015). Correlations of SPT, CPT and DPL data for sandy soil in Tanzania. </w:t>
      </w:r>
      <w:r w:rsidRPr="001F745A">
        <w:rPr>
          <w:rFonts w:ascii="Arial" w:hAnsi="Arial" w:cs="Arial"/>
          <w:i/>
          <w:iCs/>
          <w:sz w:val="20"/>
          <w:szCs w:val="20"/>
        </w:rPr>
        <w:t>Geotechnical and Geological Engineering</w:t>
      </w:r>
      <w:r w:rsidRPr="001F745A">
        <w:rPr>
          <w:rFonts w:ascii="Arial" w:hAnsi="Arial" w:cs="Arial"/>
          <w:sz w:val="20"/>
          <w:szCs w:val="20"/>
        </w:rPr>
        <w:t xml:space="preserve">, </w:t>
      </w:r>
      <w:r w:rsidRPr="001F745A">
        <w:rPr>
          <w:rFonts w:ascii="Arial" w:hAnsi="Arial" w:cs="Arial"/>
          <w:i/>
          <w:iCs/>
          <w:sz w:val="20"/>
          <w:szCs w:val="20"/>
        </w:rPr>
        <w:t>33</w:t>
      </w:r>
      <w:r w:rsidRPr="001F745A">
        <w:rPr>
          <w:rFonts w:ascii="Arial" w:hAnsi="Arial" w:cs="Arial"/>
          <w:sz w:val="20"/>
          <w:szCs w:val="20"/>
        </w:rPr>
        <w:t xml:space="preserve">, 1221-1233. </w:t>
      </w:r>
      <w:hyperlink r:id="rId27" w:history="1">
        <w:r w:rsidRPr="001F745A">
          <w:rPr>
            <w:rStyle w:val="Hyperlink"/>
            <w:rFonts w:ascii="Arial" w:hAnsi="Arial" w:cs="Arial"/>
            <w:sz w:val="20"/>
            <w:szCs w:val="20"/>
          </w:rPr>
          <w:t>https://doi.org/10.1007/s10706-015-9897-1</w:t>
        </w:r>
      </w:hyperlink>
    </w:p>
    <w:p w14:paraId="19C7B13F"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Mayne, P. W., &amp; </w:t>
      </w:r>
      <w:proofErr w:type="spellStart"/>
      <w:r w:rsidRPr="001F745A">
        <w:rPr>
          <w:rFonts w:ascii="Arial" w:hAnsi="Arial" w:cs="Arial"/>
          <w:sz w:val="20"/>
          <w:szCs w:val="20"/>
        </w:rPr>
        <w:t>Kulhawy</w:t>
      </w:r>
      <w:proofErr w:type="spellEnd"/>
      <w:r w:rsidRPr="001F745A">
        <w:rPr>
          <w:rFonts w:ascii="Arial" w:hAnsi="Arial" w:cs="Arial"/>
          <w:sz w:val="20"/>
          <w:szCs w:val="20"/>
        </w:rPr>
        <w:t xml:space="preserve">, F. H. (1982). K0-OCR relationships in soil. </w:t>
      </w:r>
      <w:r w:rsidRPr="001F745A">
        <w:rPr>
          <w:rFonts w:ascii="Arial" w:hAnsi="Arial" w:cs="Arial"/>
          <w:i/>
          <w:iCs/>
          <w:sz w:val="20"/>
          <w:szCs w:val="20"/>
        </w:rPr>
        <w:t>Journal of the Geotechnical Engineering Division</w:t>
      </w:r>
      <w:r w:rsidRPr="001F745A">
        <w:rPr>
          <w:rFonts w:ascii="Arial" w:hAnsi="Arial" w:cs="Arial"/>
          <w:sz w:val="20"/>
          <w:szCs w:val="20"/>
        </w:rPr>
        <w:t xml:space="preserve">, </w:t>
      </w:r>
      <w:r w:rsidRPr="001F745A">
        <w:rPr>
          <w:rFonts w:ascii="Arial" w:hAnsi="Arial" w:cs="Arial"/>
          <w:i/>
          <w:iCs/>
          <w:sz w:val="20"/>
          <w:szCs w:val="20"/>
        </w:rPr>
        <w:t>108</w:t>
      </w:r>
      <w:r w:rsidRPr="001F745A">
        <w:rPr>
          <w:rFonts w:ascii="Arial" w:hAnsi="Arial" w:cs="Arial"/>
          <w:sz w:val="20"/>
          <w:szCs w:val="20"/>
        </w:rPr>
        <w:t xml:space="preserve">(6), 851-872. </w:t>
      </w:r>
      <w:hyperlink r:id="rId28" w:history="1">
        <w:r w:rsidRPr="001F745A">
          <w:rPr>
            <w:rStyle w:val="Hyperlink"/>
            <w:rFonts w:ascii="Arial" w:hAnsi="Arial" w:cs="Arial"/>
            <w:sz w:val="20"/>
            <w:szCs w:val="20"/>
          </w:rPr>
          <w:t>https://doi.org/10.1061/AJGEB6.0001306</w:t>
        </w:r>
      </w:hyperlink>
    </w:p>
    <w:p w14:paraId="1CE78752"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Meyerhof, G. G. (1956). Penetration tests and bearing capacity of cohesionless soils. </w:t>
      </w:r>
      <w:r w:rsidRPr="001F745A">
        <w:rPr>
          <w:rFonts w:ascii="Arial" w:hAnsi="Arial" w:cs="Arial"/>
          <w:i/>
          <w:iCs/>
          <w:sz w:val="20"/>
          <w:szCs w:val="20"/>
        </w:rPr>
        <w:t>Journal of the Soil Mechanics and Foundation Division, ASCE</w:t>
      </w:r>
      <w:r w:rsidRPr="001F745A">
        <w:rPr>
          <w:rFonts w:ascii="Arial" w:hAnsi="Arial" w:cs="Arial"/>
          <w:sz w:val="20"/>
          <w:szCs w:val="20"/>
        </w:rPr>
        <w:t xml:space="preserve">, </w:t>
      </w:r>
      <w:r w:rsidRPr="001F745A">
        <w:rPr>
          <w:rFonts w:ascii="Arial" w:hAnsi="Arial" w:cs="Arial"/>
          <w:i/>
          <w:iCs/>
          <w:sz w:val="20"/>
          <w:szCs w:val="20"/>
        </w:rPr>
        <w:t>82</w:t>
      </w:r>
      <w:r w:rsidRPr="001F745A">
        <w:rPr>
          <w:rFonts w:ascii="Arial" w:hAnsi="Arial" w:cs="Arial"/>
          <w:sz w:val="20"/>
          <w:szCs w:val="20"/>
        </w:rPr>
        <w:t xml:space="preserve">(SM1), 1-19. </w:t>
      </w:r>
      <w:hyperlink r:id="rId29" w:history="1">
        <w:r w:rsidRPr="001F745A">
          <w:rPr>
            <w:rStyle w:val="Hyperlink"/>
            <w:rFonts w:ascii="Arial" w:hAnsi="Arial" w:cs="Arial"/>
            <w:sz w:val="20"/>
            <w:szCs w:val="20"/>
          </w:rPr>
          <w:t>https://doi.org/10.1061/JSFEAQ.0000074</w:t>
        </w:r>
      </w:hyperlink>
    </w:p>
    <w:p w14:paraId="793F1F90"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Meyerhof, G. G. (1957). Discussion on research on determining the density of sands by spoon penetration testing. In </w:t>
      </w:r>
      <w:r w:rsidRPr="001F745A">
        <w:rPr>
          <w:rFonts w:ascii="Arial" w:hAnsi="Arial" w:cs="Arial"/>
          <w:i/>
          <w:iCs/>
          <w:sz w:val="20"/>
          <w:szCs w:val="20"/>
        </w:rPr>
        <w:t>Proceedings of the 4th International Conference on Soil Mechanics and Foundation Engineering</w:t>
      </w:r>
      <w:r w:rsidRPr="001F745A">
        <w:rPr>
          <w:rFonts w:ascii="Arial" w:hAnsi="Arial" w:cs="Arial"/>
          <w:sz w:val="20"/>
          <w:szCs w:val="20"/>
        </w:rPr>
        <w:t xml:space="preserve"> (Vol. 3, pp. 110-115). Butterworths Scientific Publications.</w:t>
      </w:r>
    </w:p>
    <w:p w14:paraId="05AAE229"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Mujtaba, H., Farooq, K., </w:t>
      </w:r>
      <w:proofErr w:type="spellStart"/>
      <w:r w:rsidRPr="001F745A">
        <w:rPr>
          <w:rFonts w:ascii="Arial" w:hAnsi="Arial" w:cs="Arial"/>
          <w:sz w:val="20"/>
          <w:szCs w:val="20"/>
        </w:rPr>
        <w:t>Sivakugan</w:t>
      </w:r>
      <w:proofErr w:type="spellEnd"/>
      <w:r w:rsidRPr="001F745A">
        <w:rPr>
          <w:rFonts w:ascii="Arial" w:hAnsi="Arial" w:cs="Arial"/>
          <w:sz w:val="20"/>
          <w:szCs w:val="20"/>
        </w:rPr>
        <w:t xml:space="preserve">, N., &amp; Das, B. M. (2018). Evaluation of relative density and friction angle based on SPT-N values. </w:t>
      </w:r>
      <w:r w:rsidRPr="001F745A">
        <w:rPr>
          <w:rFonts w:ascii="Arial" w:hAnsi="Arial" w:cs="Arial"/>
          <w:i/>
          <w:iCs/>
          <w:sz w:val="20"/>
          <w:szCs w:val="20"/>
        </w:rPr>
        <w:t>KSCE Journal of Civil Engineering</w:t>
      </w:r>
      <w:r w:rsidRPr="001F745A">
        <w:rPr>
          <w:rFonts w:ascii="Arial" w:hAnsi="Arial" w:cs="Arial"/>
          <w:sz w:val="20"/>
          <w:szCs w:val="20"/>
        </w:rPr>
        <w:t xml:space="preserve">, </w:t>
      </w:r>
      <w:r w:rsidRPr="001F745A">
        <w:rPr>
          <w:rFonts w:ascii="Arial" w:hAnsi="Arial" w:cs="Arial"/>
          <w:i/>
          <w:iCs/>
          <w:sz w:val="20"/>
          <w:szCs w:val="20"/>
        </w:rPr>
        <w:t>22</w:t>
      </w:r>
      <w:r w:rsidRPr="001F745A">
        <w:rPr>
          <w:rFonts w:ascii="Arial" w:hAnsi="Arial" w:cs="Arial"/>
          <w:sz w:val="20"/>
          <w:szCs w:val="20"/>
        </w:rPr>
        <w:t xml:space="preserve">(2), 572-581. </w:t>
      </w:r>
      <w:hyperlink r:id="rId30" w:history="1">
        <w:r w:rsidRPr="001F745A">
          <w:rPr>
            <w:rStyle w:val="Hyperlink"/>
            <w:rFonts w:ascii="Arial" w:hAnsi="Arial" w:cs="Arial"/>
            <w:sz w:val="20"/>
            <w:szCs w:val="20"/>
          </w:rPr>
          <w:t>https://doi.org/10.1007/s12205-017-1899-5</w:t>
        </w:r>
      </w:hyperlink>
    </w:p>
    <w:p w14:paraId="07B2E257"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Peck, R. B., Hanson, W. E., &amp; Thornburn, T. H. (1974). </w:t>
      </w:r>
      <w:r w:rsidRPr="001F745A">
        <w:rPr>
          <w:rFonts w:ascii="Arial" w:hAnsi="Arial" w:cs="Arial"/>
          <w:i/>
          <w:iCs/>
          <w:sz w:val="20"/>
          <w:szCs w:val="20"/>
        </w:rPr>
        <w:t>Foundation engineering handbook</w:t>
      </w:r>
      <w:r w:rsidRPr="001F745A">
        <w:rPr>
          <w:rFonts w:ascii="Arial" w:hAnsi="Arial" w:cs="Arial"/>
          <w:sz w:val="20"/>
          <w:szCs w:val="20"/>
        </w:rPr>
        <w:t>. John Wiley &amp; Sons.</w:t>
      </w:r>
    </w:p>
    <w:p w14:paraId="74A1D3DB"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Phoon, K. K., &amp; </w:t>
      </w:r>
      <w:proofErr w:type="spellStart"/>
      <w:r w:rsidRPr="001F745A">
        <w:rPr>
          <w:rFonts w:ascii="Arial" w:hAnsi="Arial" w:cs="Arial"/>
          <w:sz w:val="20"/>
          <w:szCs w:val="20"/>
        </w:rPr>
        <w:t>Kulhawy</w:t>
      </w:r>
      <w:proofErr w:type="spellEnd"/>
      <w:r w:rsidRPr="001F745A">
        <w:rPr>
          <w:rFonts w:ascii="Arial" w:hAnsi="Arial" w:cs="Arial"/>
          <w:sz w:val="20"/>
          <w:szCs w:val="20"/>
        </w:rPr>
        <w:t xml:space="preserve">, F. H. (1999). Characterization of geotechnical variability. </w:t>
      </w:r>
      <w:r w:rsidRPr="001F745A">
        <w:rPr>
          <w:rFonts w:ascii="Arial" w:hAnsi="Arial" w:cs="Arial"/>
          <w:i/>
          <w:iCs/>
          <w:sz w:val="20"/>
          <w:szCs w:val="20"/>
        </w:rPr>
        <w:t>Canadian Geotechnical Journal</w:t>
      </w:r>
      <w:r w:rsidRPr="001F745A">
        <w:rPr>
          <w:rFonts w:ascii="Arial" w:hAnsi="Arial" w:cs="Arial"/>
          <w:sz w:val="20"/>
          <w:szCs w:val="20"/>
        </w:rPr>
        <w:t xml:space="preserve">, </w:t>
      </w:r>
      <w:r w:rsidRPr="001F745A">
        <w:rPr>
          <w:rFonts w:ascii="Arial" w:hAnsi="Arial" w:cs="Arial"/>
          <w:i/>
          <w:iCs/>
          <w:sz w:val="20"/>
          <w:szCs w:val="20"/>
        </w:rPr>
        <w:t>36</w:t>
      </w:r>
      <w:r w:rsidRPr="001F745A">
        <w:rPr>
          <w:rFonts w:ascii="Arial" w:hAnsi="Arial" w:cs="Arial"/>
          <w:sz w:val="20"/>
          <w:szCs w:val="20"/>
        </w:rPr>
        <w:t xml:space="preserve">(4), 612-624. </w:t>
      </w:r>
      <w:hyperlink r:id="rId31" w:history="1">
        <w:r w:rsidRPr="001F745A">
          <w:rPr>
            <w:rStyle w:val="Hyperlink"/>
            <w:rFonts w:ascii="Arial" w:hAnsi="Arial" w:cs="Arial"/>
            <w:sz w:val="20"/>
            <w:szCs w:val="20"/>
          </w:rPr>
          <w:t>https://doi.org/10.1139/t99-038</w:t>
        </w:r>
      </w:hyperlink>
    </w:p>
    <w:p w14:paraId="7F4977DC"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Robertson, P. K., &amp; Campanella, R. G. (1983). Interpretation of cone penetration tests: Sands and clays. </w:t>
      </w:r>
      <w:r w:rsidRPr="001F745A">
        <w:rPr>
          <w:rFonts w:ascii="Arial" w:hAnsi="Arial" w:cs="Arial"/>
          <w:i/>
          <w:iCs/>
          <w:sz w:val="20"/>
          <w:szCs w:val="20"/>
        </w:rPr>
        <w:t>Canadian Geotechnical Journal</w:t>
      </w:r>
      <w:r w:rsidRPr="001F745A">
        <w:rPr>
          <w:rFonts w:ascii="Arial" w:hAnsi="Arial" w:cs="Arial"/>
          <w:sz w:val="20"/>
          <w:szCs w:val="20"/>
        </w:rPr>
        <w:t xml:space="preserve">, </w:t>
      </w:r>
      <w:r w:rsidRPr="001F745A">
        <w:rPr>
          <w:rFonts w:ascii="Arial" w:hAnsi="Arial" w:cs="Arial"/>
          <w:i/>
          <w:iCs/>
          <w:sz w:val="20"/>
          <w:szCs w:val="20"/>
        </w:rPr>
        <w:t>20</w:t>
      </w:r>
      <w:r w:rsidRPr="001F745A">
        <w:rPr>
          <w:rFonts w:ascii="Arial" w:hAnsi="Arial" w:cs="Arial"/>
          <w:sz w:val="20"/>
          <w:szCs w:val="20"/>
        </w:rPr>
        <w:t xml:space="preserve">, 719-745. </w:t>
      </w:r>
      <w:hyperlink r:id="rId32" w:history="1">
        <w:r w:rsidRPr="001F745A">
          <w:rPr>
            <w:rStyle w:val="Hyperlink"/>
            <w:rFonts w:ascii="Arial" w:hAnsi="Arial" w:cs="Arial"/>
            <w:sz w:val="20"/>
            <w:szCs w:val="20"/>
          </w:rPr>
          <w:t>https://doi.org/10.1139/t83-079</w:t>
        </w:r>
      </w:hyperlink>
    </w:p>
    <w:p w14:paraId="40882424" w14:textId="77777777" w:rsidR="00606ED0" w:rsidRPr="001F745A" w:rsidRDefault="00606ED0" w:rsidP="00F031EC">
      <w:pPr>
        <w:spacing w:line="240" w:lineRule="auto"/>
        <w:ind w:left="567" w:hanging="567"/>
        <w:jc w:val="both"/>
        <w:rPr>
          <w:rFonts w:ascii="Arial" w:hAnsi="Arial" w:cs="Arial"/>
          <w:sz w:val="20"/>
          <w:szCs w:val="20"/>
        </w:rPr>
      </w:pPr>
      <w:proofErr w:type="spellStart"/>
      <w:r w:rsidRPr="001F745A">
        <w:rPr>
          <w:rFonts w:ascii="Arial" w:hAnsi="Arial" w:cs="Arial"/>
          <w:sz w:val="20"/>
          <w:szCs w:val="20"/>
        </w:rPr>
        <w:t>Sabab</w:t>
      </w:r>
      <w:proofErr w:type="spellEnd"/>
      <w:r w:rsidRPr="001F745A">
        <w:rPr>
          <w:rFonts w:ascii="Arial" w:hAnsi="Arial" w:cs="Arial"/>
          <w:sz w:val="20"/>
          <w:szCs w:val="20"/>
        </w:rPr>
        <w:t xml:space="preserve">, A. B., Islam, M. S., &amp; Haque, M. N. (2022). Machine learning approach to predict the friction angle of silty sand from standard penetration test. </w:t>
      </w:r>
      <w:r w:rsidRPr="001F745A">
        <w:rPr>
          <w:rFonts w:ascii="Arial" w:hAnsi="Arial" w:cs="Arial"/>
          <w:i/>
          <w:iCs/>
          <w:sz w:val="20"/>
          <w:szCs w:val="20"/>
        </w:rPr>
        <w:t>Engineering Research Express</w:t>
      </w:r>
      <w:r w:rsidRPr="001F745A">
        <w:rPr>
          <w:rFonts w:ascii="Arial" w:hAnsi="Arial" w:cs="Arial"/>
          <w:sz w:val="20"/>
          <w:szCs w:val="20"/>
        </w:rPr>
        <w:t xml:space="preserve">, </w:t>
      </w:r>
      <w:r w:rsidRPr="001F745A">
        <w:rPr>
          <w:rFonts w:ascii="Arial" w:hAnsi="Arial" w:cs="Arial"/>
          <w:i/>
          <w:iCs/>
          <w:sz w:val="20"/>
          <w:szCs w:val="20"/>
        </w:rPr>
        <w:t>4</w:t>
      </w:r>
      <w:r w:rsidRPr="001F745A">
        <w:rPr>
          <w:rFonts w:ascii="Arial" w:hAnsi="Arial" w:cs="Arial"/>
          <w:sz w:val="20"/>
          <w:szCs w:val="20"/>
        </w:rPr>
        <w:t xml:space="preserve">(3), 035018. </w:t>
      </w:r>
      <w:hyperlink r:id="rId33" w:history="1">
        <w:r w:rsidRPr="001F745A">
          <w:rPr>
            <w:rStyle w:val="Hyperlink"/>
            <w:rFonts w:ascii="Arial" w:hAnsi="Arial" w:cs="Arial"/>
            <w:sz w:val="20"/>
            <w:szCs w:val="20"/>
          </w:rPr>
          <w:t>https://doi.org/10.1088/2631-8695/ac7f49</w:t>
        </w:r>
      </w:hyperlink>
    </w:p>
    <w:p w14:paraId="41DF3E3D"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Schmertmann, J. H. (1970). Static cone to compute static settlement over sand. </w:t>
      </w:r>
      <w:r w:rsidRPr="001F745A">
        <w:rPr>
          <w:rFonts w:ascii="Arial" w:hAnsi="Arial" w:cs="Arial"/>
          <w:i/>
          <w:iCs/>
          <w:sz w:val="20"/>
          <w:szCs w:val="20"/>
        </w:rPr>
        <w:t>Journal of the Soil Mechanics and Foundations Division</w:t>
      </w:r>
      <w:r w:rsidRPr="001F745A">
        <w:rPr>
          <w:rFonts w:ascii="Arial" w:hAnsi="Arial" w:cs="Arial"/>
          <w:sz w:val="20"/>
          <w:szCs w:val="20"/>
        </w:rPr>
        <w:t xml:space="preserve">, </w:t>
      </w:r>
      <w:r w:rsidRPr="001F745A">
        <w:rPr>
          <w:rFonts w:ascii="Arial" w:hAnsi="Arial" w:cs="Arial"/>
          <w:i/>
          <w:iCs/>
          <w:sz w:val="20"/>
          <w:szCs w:val="20"/>
        </w:rPr>
        <w:t>96</w:t>
      </w:r>
      <w:r w:rsidRPr="001F745A">
        <w:rPr>
          <w:rFonts w:ascii="Arial" w:hAnsi="Arial" w:cs="Arial"/>
          <w:sz w:val="20"/>
          <w:szCs w:val="20"/>
        </w:rPr>
        <w:t xml:space="preserve">(3), 1011-1043. </w:t>
      </w:r>
      <w:hyperlink r:id="rId34" w:history="1">
        <w:r w:rsidRPr="001F745A">
          <w:rPr>
            <w:rStyle w:val="Hyperlink"/>
            <w:rFonts w:ascii="Arial" w:hAnsi="Arial" w:cs="Arial"/>
            <w:sz w:val="20"/>
            <w:szCs w:val="20"/>
          </w:rPr>
          <w:t>https://doi.org/10.1061/JSFEAQ.0001418</w:t>
        </w:r>
      </w:hyperlink>
    </w:p>
    <w:p w14:paraId="2C6376BD"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Schmertmann, J. H. (1975). Measurement of in-situ shear strength. In </w:t>
      </w:r>
      <w:r w:rsidRPr="001F745A">
        <w:rPr>
          <w:rFonts w:ascii="Arial" w:hAnsi="Arial" w:cs="Arial"/>
          <w:i/>
          <w:iCs/>
          <w:sz w:val="20"/>
          <w:szCs w:val="20"/>
        </w:rPr>
        <w:t>Proceedings of the ASCE Specialty Conference on In Situ Measurement of Soil Properties</w:t>
      </w:r>
      <w:r w:rsidRPr="001F745A">
        <w:rPr>
          <w:rFonts w:ascii="Arial" w:hAnsi="Arial" w:cs="Arial"/>
          <w:sz w:val="20"/>
          <w:szCs w:val="20"/>
        </w:rPr>
        <w:t xml:space="preserve"> (Vol. 2, pp. 57-138). American Society of Civil Engineers.</w:t>
      </w:r>
    </w:p>
    <w:p w14:paraId="7ECEFC8F"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Terzaghi, K., &amp; Peck, R. B. (1967). </w:t>
      </w:r>
      <w:r w:rsidRPr="001F745A">
        <w:rPr>
          <w:rFonts w:ascii="Arial" w:hAnsi="Arial" w:cs="Arial"/>
          <w:i/>
          <w:iCs/>
          <w:sz w:val="20"/>
          <w:szCs w:val="20"/>
        </w:rPr>
        <w:t>Soil mechanics in engineering practice</w:t>
      </w:r>
      <w:r w:rsidRPr="001F745A">
        <w:rPr>
          <w:rFonts w:ascii="Arial" w:hAnsi="Arial" w:cs="Arial"/>
          <w:sz w:val="20"/>
          <w:szCs w:val="20"/>
        </w:rPr>
        <w:t xml:space="preserve"> (2nd ed.). John Wiley &amp; Sons.</w:t>
      </w:r>
    </w:p>
    <w:p w14:paraId="65BBFA39"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Ullah, S., Khan, L., Hussain, B., Ullah, B., Ullah, I., Rahman, M. U., Khan, M. A., &amp; Ahmad, I. (2025). Machine learning approach for the prediction of angle of internal friction of granular soils using SPT records. </w:t>
      </w:r>
      <w:r w:rsidRPr="001F745A">
        <w:rPr>
          <w:rFonts w:ascii="Arial" w:hAnsi="Arial" w:cs="Arial"/>
          <w:i/>
          <w:iCs/>
          <w:sz w:val="20"/>
          <w:szCs w:val="20"/>
        </w:rPr>
        <w:t>Engineering Research Express</w:t>
      </w:r>
      <w:r w:rsidRPr="001F745A">
        <w:rPr>
          <w:rFonts w:ascii="Arial" w:hAnsi="Arial" w:cs="Arial"/>
          <w:sz w:val="20"/>
          <w:szCs w:val="20"/>
        </w:rPr>
        <w:t xml:space="preserve">, </w:t>
      </w:r>
      <w:r w:rsidRPr="001F745A">
        <w:rPr>
          <w:rFonts w:ascii="Arial" w:hAnsi="Arial" w:cs="Arial"/>
          <w:i/>
          <w:iCs/>
          <w:sz w:val="20"/>
          <w:szCs w:val="20"/>
        </w:rPr>
        <w:t>7</w:t>
      </w:r>
      <w:r w:rsidRPr="001F745A">
        <w:rPr>
          <w:rFonts w:ascii="Arial" w:hAnsi="Arial" w:cs="Arial"/>
          <w:sz w:val="20"/>
          <w:szCs w:val="20"/>
        </w:rPr>
        <w:t xml:space="preserve">(1), 015502. </w:t>
      </w:r>
      <w:hyperlink r:id="rId35" w:history="1">
        <w:r w:rsidRPr="001F745A">
          <w:rPr>
            <w:rStyle w:val="Hyperlink"/>
            <w:rFonts w:ascii="Arial" w:hAnsi="Arial" w:cs="Arial"/>
            <w:sz w:val="20"/>
            <w:szCs w:val="20"/>
          </w:rPr>
          <w:t>https://doi.org/10.1088/2631-8695/add858</w:t>
        </w:r>
      </w:hyperlink>
    </w:p>
    <w:p w14:paraId="777B5BB5" w14:textId="77777777" w:rsidR="00606ED0" w:rsidRPr="001F745A" w:rsidRDefault="00606ED0" w:rsidP="00F031EC">
      <w:pPr>
        <w:spacing w:line="240" w:lineRule="auto"/>
        <w:ind w:left="567" w:hanging="567"/>
        <w:jc w:val="both"/>
        <w:rPr>
          <w:rFonts w:ascii="Arial" w:hAnsi="Arial" w:cs="Arial"/>
          <w:sz w:val="20"/>
          <w:szCs w:val="20"/>
        </w:rPr>
      </w:pPr>
      <w:r w:rsidRPr="001F745A">
        <w:rPr>
          <w:rFonts w:ascii="Arial" w:hAnsi="Arial" w:cs="Arial"/>
          <w:sz w:val="20"/>
          <w:szCs w:val="20"/>
        </w:rPr>
        <w:t xml:space="preserve">Wolff, T. F. (1989). Pile capacity prediction using parameter functions. In </w:t>
      </w:r>
      <w:r w:rsidRPr="001F745A">
        <w:rPr>
          <w:rFonts w:ascii="Arial" w:hAnsi="Arial" w:cs="Arial"/>
          <w:i/>
          <w:iCs/>
          <w:sz w:val="20"/>
          <w:szCs w:val="20"/>
        </w:rPr>
        <w:t xml:space="preserve">Predicted and observed axial </w:t>
      </w:r>
      <w:proofErr w:type="spellStart"/>
      <w:r w:rsidRPr="001F745A">
        <w:rPr>
          <w:rFonts w:ascii="Arial" w:hAnsi="Arial" w:cs="Arial"/>
          <w:i/>
          <w:iCs/>
          <w:sz w:val="20"/>
          <w:szCs w:val="20"/>
        </w:rPr>
        <w:t>behavior</w:t>
      </w:r>
      <w:proofErr w:type="spellEnd"/>
      <w:r w:rsidRPr="001F745A">
        <w:rPr>
          <w:rFonts w:ascii="Arial" w:hAnsi="Arial" w:cs="Arial"/>
          <w:i/>
          <w:iCs/>
          <w:sz w:val="20"/>
          <w:szCs w:val="20"/>
        </w:rPr>
        <w:t xml:space="preserve"> of piles</w:t>
      </w:r>
      <w:r w:rsidRPr="001F745A">
        <w:rPr>
          <w:rFonts w:ascii="Arial" w:hAnsi="Arial" w:cs="Arial"/>
          <w:sz w:val="20"/>
          <w:szCs w:val="20"/>
        </w:rPr>
        <w:t xml:space="preserve"> (ASCE Geotechnical Special Publication No. 23, pp. 96-106). American Society of Civil Engineers.</w:t>
      </w:r>
    </w:p>
    <w:p w14:paraId="1215CA04" w14:textId="77777777" w:rsidR="00606ED0" w:rsidRPr="001F745A" w:rsidRDefault="00606ED0" w:rsidP="00EF48CD">
      <w:pPr>
        <w:spacing w:line="240" w:lineRule="auto"/>
        <w:ind w:left="1620" w:hanging="1620"/>
        <w:jc w:val="both"/>
        <w:rPr>
          <w:rFonts w:ascii="Arial" w:hAnsi="Arial" w:cs="Arial"/>
          <w:sz w:val="20"/>
          <w:szCs w:val="20"/>
        </w:rPr>
      </w:pPr>
    </w:p>
    <w:sectPr w:rsidR="00606ED0" w:rsidRPr="001F745A" w:rsidSect="00463BEC">
      <w:headerReference w:type="even" r:id="rId36"/>
      <w:headerReference w:type="default" r:id="rId37"/>
      <w:footerReference w:type="even" r:id="rId38"/>
      <w:footerReference w:type="default" r:id="rId39"/>
      <w:headerReference w:type="first" r:id="rId40"/>
      <w:footerReference w:type="first" r:id="rId41"/>
      <w:pgSz w:w="11906" w:h="16838"/>
      <w:pgMar w:top="1135" w:right="1080" w:bottom="1135"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D4461" w14:textId="77777777" w:rsidR="001D23C5" w:rsidRDefault="001D23C5" w:rsidP="00AB1AF8">
      <w:pPr>
        <w:spacing w:after="0" w:line="240" w:lineRule="auto"/>
      </w:pPr>
      <w:r>
        <w:separator/>
      </w:r>
    </w:p>
  </w:endnote>
  <w:endnote w:type="continuationSeparator" w:id="0">
    <w:p w14:paraId="068B3EEB" w14:textId="77777777" w:rsidR="001D23C5" w:rsidRDefault="001D23C5" w:rsidP="00AB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8FB3F" w14:textId="77777777" w:rsidR="00AB1AF8" w:rsidRDefault="00AB1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F3453" w14:textId="77777777" w:rsidR="00AB1AF8" w:rsidRDefault="00AB1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2016" w14:textId="77777777" w:rsidR="00AB1AF8" w:rsidRDefault="00AB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1A216" w14:textId="77777777" w:rsidR="001D23C5" w:rsidRDefault="001D23C5" w:rsidP="00AB1AF8">
      <w:pPr>
        <w:spacing w:after="0" w:line="240" w:lineRule="auto"/>
      </w:pPr>
      <w:r>
        <w:separator/>
      </w:r>
    </w:p>
  </w:footnote>
  <w:footnote w:type="continuationSeparator" w:id="0">
    <w:p w14:paraId="3236F780" w14:textId="77777777" w:rsidR="001D23C5" w:rsidRDefault="001D23C5" w:rsidP="00AB1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85D9" w14:textId="63A90277" w:rsidR="00AB1AF8" w:rsidRDefault="00AB1AF8">
    <w:pPr>
      <w:pStyle w:val="Header"/>
    </w:pPr>
    <w:r>
      <w:rPr>
        <w:noProof/>
      </w:rPr>
      <w:pict w14:anchorId="2C9E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7" o:spid="_x0000_s2050" type="#_x0000_t136" style="position:absolute;margin-left:0;margin-top:0;width:618.3pt;height:68.7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FB1C6" w14:textId="6C1D476E" w:rsidR="00AB1AF8" w:rsidRDefault="00AB1AF8">
    <w:pPr>
      <w:pStyle w:val="Header"/>
    </w:pPr>
    <w:r>
      <w:rPr>
        <w:noProof/>
      </w:rPr>
      <w:pict w14:anchorId="44E3A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8" o:spid="_x0000_s2051" type="#_x0000_t136" style="position:absolute;margin-left:0;margin-top:0;width:618.3pt;height:68.7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EDA81" w14:textId="60A1B163" w:rsidR="00AB1AF8" w:rsidRDefault="00AB1AF8">
    <w:pPr>
      <w:pStyle w:val="Header"/>
    </w:pPr>
    <w:r>
      <w:rPr>
        <w:noProof/>
      </w:rPr>
      <w:pict w14:anchorId="1DBC6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392406" o:spid="_x0000_s2049" type="#_x0000_t136" style="position:absolute;margin-left:0;margin-top:0;width:618.3pt;height:68.7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15B71"/>
    <w:multiLevelType w:val="hybridMultilevel"/>
    <w:tmpl w:val="9E38531C"/>
    <w:lvl w:ilvl="0" w:tplc="BD82D262">
      <w:start w:val="1"/>
      <w:numFmt w:val="decimal"/>
      <w:pStyle w:val="Heading1"/>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3B15010"/>
    <w:multiLevelType w:val="hybridMultilevel"/>
    <w:tmpl w:val="15B4DB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ACB49C3"/>
    <w:multiLevelType w:val="hybridMultilevel"/>
    <w:tmpl w:val="D9C4BED0"/>
    <w:lvl w:ilvl="0" w:tplc="0EC84950">
      <w:start w:val="35"/>
      <w:numFmt w:val="bullet"/>
      <w:lvlText w:val="-"/>
      <w:lvlJc w:val="left"/>
      <w:pPr>
        <w:ind w:left="720" w:hanging="360"/>
      </w:pPr>
      <w:rPr>
        <w:rFonts w:ascii="Aptos" w:eastAsiaTheme="minorHAnsi" w:hAnsi="Aptos" w:cstheme="minorBidi" w:hint="default"/>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712"/>
    <w:rsid w:val="0000486F"/>
    <w:rsid w:val="0004670E"/>
    <w:rsid w:val="00073EBB"/>
    <w:rsid w:val="00085CD4"/>
    <w:rsid w:val="000B45F1"/>
    <w:rsid w:val="001029E5"/>
    <w:rsid w:val="00141C0F"/>
    <w:rsid w:val="0014298D"/>
    <w:rsid w:val="0019531D"/>
    <w:rsid w:val="001D23C5"/>
    <w:rsid w:val="001F745A"/>
    <w:rsid w:val="00211D0C"/>
    <w:rsid w:val="002570DA"/>
    <w:rsid w:val="002E526C"/>
    <w:rsid w:val="00310D37"/>
    <w:rsid w:val="00326856"/>
    <w:rsid w:val="003855FB"/>
    <w:rsid w:val="00430E92"/>
    <w:rsid w:val="00455323"/>
    <w:rsid w:val="00463BEC"/>
    <w:rsid w:val="004D6C17"/>
    <w:rsid w:val="00572F6D"/>
    <w:rsid w:val="0057723A"/>
    <w:rsid w:val="00582EF3"/>
    <w:rsid w:val="00606ED0"/>
    <w:rsid w:val="0061725C"/>
    <w:rsid w:val="00621DD0"/>
    <w:rsid w:val="00630DBF"/>
    <w:rsid w:val="00693BD1"/>
    <w:rsid w:val="006C29BF"/>
    <w:rsid w:val="006C38A7"/>
    <w:rsid w:val="006D4A07"/>
    <w:rsid w:val="007C39AC"/>
    <w:rsid w:val="007D4F8E"/>
    <w:rsid w:val="007F71B5"/>
    <w:rsid w:val="008101AE"/>
    <w:rsid w:val="00843BEE"/>
    <w:rsid w:val="0085188E"/>
    <w:rsid w:val="008B284B"/>
    <w:rsid w:val="008C19D1"/>
    <w:rsid w:val="00911EED"/>
    <w:rsid w:val="009405C2"/>
    <w:rsid w:val="00943F3B"/>
    <w:rsid w:val="00956DE8"/>
    <w:rsid w:val="00A7241F"/>
    <w:rsid w:val="00A75618"/>
    <w:rsid w:val="00AB1AF8"/>
    <w:rsid w:val="00AC4379"/>
    <w:rsid w:val="00B141B5"/>
    <w:rsid w:val="00B51B8A"/>
    <w:rsid w:val="00B61712"/>
    <w:rsid w:val="00C27562"/>
    <w:rsid w:val="00C30636"/>
    <w:rsid w:val="00C64AE3"/>
    <w:rsid w:val="00D057E5"/>
    <w:rsid w:val="00D443AE"/>
    <w:rsid w:val="00D5453A"/>
    <w:rsid w:val="00D74244"/>
    <w:rsid w:val="00DF3055"/>
    <w:rsid w:val="00EC782C"/>
    <w:rsid w:val="00ED19FC"/>
    <w:rsid w:val="00EF48CD"/>
    <w:rsid w:val="00F031EC"/>
    <w:rsid w:val="00F71E71"/>
    <w:rsid w:val="00F821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3E495D"/>
  <w15:chartTrackingRefBased/>
  <w15:docId w15:val="{E52EEF0F-B26E-4460-8449-40D12B80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31EC"/>
    <w:pPr>
      <w:keepNext/>
      <w:keepLines/>
      <w:numPr>
        <w:numId w:val="2"/>
      </w:numPr>
      <w:spacing w:before="360" w:after="80" w:line="480" w:lineRule="auto"/>
      <w:outlineLvl w:val="0"/>
    </w:pPr>
    <w:rPr>
      <w:rFonts w:ascii="Arial" w:eastAsiaTheme="majorEastAsia" w:hAnsi="Arial" w:cstheme="majorBidi"/>
      <w:b/>
      <w:caps/>
      <w:color w:val="000000" w:themeColor="text1"/>
      <w:sz w:val="22"/>
      <w:szCs w:val="40"/>
    </w:rPr>
  </w:style>
  <w:style w:type="paragraph" w:styleId="Heading2">
    <w:name w:val="heading 2"/>
    <w:basedOn w:val="Normal"/>
    <w:next w:val="Normal"/>
    <w:link w:val="Heading2Char"/>
    <w:uiPriority w:val="9"/>
    <w:unhideWhenUsed/>
    <w:qFormat/>
    <w:rsid w:val="00F031EC"/>
    <w:pPr>
      <w:keepNext/>
      <w:keepLines/>
      <w:spacing w:before="160" w:after="80" w:line="480" w:lineRule="auto"/>
      <w:outlineLvl w:val="1"/>
    </w:pPr>
    <w:rPr>
      <w:rFonts w:ascii="Arial" w:eastAsiaTheme="majorEastAsia" w:hAnsi="Arial" w:cstheme="majorBidi"/>
      <w:b/>
      <w:color w:val="000000" w:themeColor="text1"/>
      <w:sz w:val="22"/>
      <w:szCs w:val="32"/>
    </w:rPr>
  </w:style>
  <w:style w:type="paragraph" w:styleId="Heading3">
    <w:name w:val="heading 3"/>
    <w:basedOn w:val="Normal"/>
    <w:next w:val="Normal"/>
    <w:link w:val="Heading3Char"/>
    <w:uiPriority w:val="9"/>
    <w:semiHidden/>
    <w:unhideWhenUsed/>
    <w:qFormat/>
    <w:rsid w:val="00B6171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171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6171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617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7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7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7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1EC"/>
    <w:rPr>
      <w:rFonts w:ascii="Arial" w:eastAsiaTheme="majorEastAsia" w:hAnsi="Arial" w:cstheme="majorBidi"/>
      <w:b/>
      <w:caps/>
      <w:color w:val="000000" w:themeColor="text1"/>
      <w:sz w:val="22"/>
      <w:szCs w:val="40"/>
    </w:rPr>
  </w:style>
  <w:style w:type="character" w:customStyle="1" w:styleId="Heading2Char">
    <w:name w:val="Heading 2 Char"/>
    <w:basedOn w:val="DefaultParagraphFont"/>
    <w:link w:val="Heading2"/>
    <w:uiPriority w:val="9"/>
    <w:rsid w:val="00F031EC"/>
    <w:rPr>
      <w:rFonts w:ascii="Arial" w:eastAsiaTheme="majorEastAsia" w:hAnsi="Arial" w:cstheme="majorBidi"/>
      <w:b/>
      <w:color w:val="000000" w:themeColor="text1"/>
      <w:sz w:val="22"/>
      <w:szCs w:val="32"/>
    </w:rPr>
  </w:style>
  <w:style w:type="character" w:customStyle="1" w:styleId="Heading3Char">
    <w:name w:val="Heading 3 Char"/>
    <w:basedOn w:val="DefaultParagraphFont"/>
    <w:link w:val="Heading3"/>
    <w:uiPriority w:val="9"/>
    <w:semiHidden/>
    <w:rsid w:val="00B6171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171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6171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61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712"/>
    <w:rPr>
      <w:rFonts w:eastAsiaTheme="majorEastAsia" w:cstheme="majorBidi"/>
      <w:color w:val="272727" w:themeColor="text1" w:themeTint="D8"/>
    </w:rPr>
  </w:style>
  <w:style w:type="paragraph" w:styleId="Title">
    <w:name w:val="Title"/>
    <w:basedOn w:val="Normal"/>
    <w:next w:val="Normal"/>
    <w:link w:val="TitleChar"/>
    <w:uiPriority w:val="10"/>
    <w:qFormat/>
    <w:rsid w:val="00B617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712"/>
    <w:pPr>
      <w:spacing w:before="160"/>
      <w:jc w:val="center"/>
    </w:pPr>
    <w:rPr>
      <w:i/>
      <w:iCs/>
      <w:color w:val="404040" w:themeColor="text1" w:themeTint="BF"/>
    </w:rPr>
  </w:style>
  <w:style w:type="character" w:customStyle="1" w:styleId="QuoteChar">
    <w:name w:val="Quote Char"/>
    <w:basedOn w:val="DefaultParagraphFont"/>
    <w:link w:val="Quote"/>
    <w:uiPriority w:val="29"/>
    <w:rsid w:val="00B61712"/>
    <w:rPr>
      <w:i/>
      <w:iCs/>
      <w:color w:val="404040" w:themeColor="text1" w:themeTint="BF"/>
    </w:rPr>
  </w:style>
  <w:style w:type="paragraph" w:styleId="ListParagraph">
    <w:name w:val="List Paragraph"/>
    <w:basedOn w:val="Normal"/>
    <w:uiPriority w:val="34"/>
    <w:qFormat/>
    <w:rsid w:val="00B61712"/>
    <w:pPr>
      <w:ind w:left="720"/>
      <w:contextualSpacing/>
    </w:pPr>
  </w:style>
  <w:style w:type="character" w:styleId="IntenseEmphasis">
    <w:name w:val="Intense Emphasis"/>
    <w:basedOn w:val="DefaultParagraphFont"/>
    <w:uiPriority w:val="21"/>
    <w:qFormat/>
    <w:rsid w:val="00B61712"/>
    <w:rPr>
      <w:i/>
      <w:iCs/>
      <w:color w:val="2E74B5" w:themeColor="accent1" w:themeShade="BF"/>
    </w:rPr>
  </w:style>
  <w:style w:type="paragraph" w:styleId="IntenseQuote">
    <w:name w:val="Intense Quote"/>
    <w:basedOn w:val="Normal"/>
    <w:next w:val="Normal"/>
    <w:link w:val="IntenseQuoteChar"/>
    <w:uiPriority w:val="30"/>
    <w:qFormat/>
    <w:rsid w:val="00B617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1712"/>
    <w:rPr>
      <w:i/>
      <w:iCs/>
      <w:color w:val="2E74B5" w:themeColor="accent1" w:themeShade="BF"/>
    </w:rPr>
  </w:style>
  <w:style w:type="character" w:styleId="IntenseReference">
    <w:name w:val="Intense Reference"/>
    <w:basedOn w:val="DefaultParagraphFont"/>
    <w:uiPriority w:val="32"/>
    <w:qFormat/>
    <w:rsid w:val="00B61712"/>
    <w:rPr>
      <w:b/>
      <w:bCs/>
      <w:smallCaps/>
      <w:color w:val="2E74B5" w:themeColor="accent1" w:themeShade="BF"/>
      <w:spacing w:val="5"/>
    </w:rPr>
  </w:style>
  <w:style w:type="character" w:styleId="Hyperlink">
    <w:name w:val="Hyperlink"/>
    <w:basedOn w:val="DefaultParagraphFont"/>
    <w:uiPriority w:val="99"/>
    <w:unhideWhenUsed/>
    <w:rsid w:val="00606ED0"/>
    <w:rPr>
      <w:color w:val="0563C1" w:themeColor="hyperlink"/>
      <w:u w:val="single"/>
    </w:rPr>
  </w:style>
  <w:style w:type="character" w:styleId="UnresolvedMention">
    <w:name w:val="Unresolved Mention"/>
    <w:basedOn w:val="DefaultParagraphFont"/>
    <w:uiPriority w:val="99"/>
    <w:semiHidden/>
    <w:unhideWhenUsed/>
    <w:rsid w:val="00606ED0"/>
    <w:rPr>
      <w:color w:val="605E5C"/>
      <w:shd w:val="clear" w:color="auto" w:fill="E1DFDD"/>
    </w:rPr>
  </w:style>
  <w:style w:type="paragraph" w:customStyle="1" w:styleId="ReferHead">
    <w:name w:val="Refer Head"/>
    <w:basedOn w:val="Normal"/>
    <w:rsid w:val="00F031EC"/>
    <w:pPr>
      <w:keepNext/>
      <w:spacing w:after="240" w:line="240" w:lineRule="auto"/>
    </w:pPr>
    <w:rPr>
      <w:rFonts w:ascii="Helvetica" w:eastAsia="Times New Roman" w:hAnsi="Helvetica" w:cs="Times New Roman"/>
      <w:b/>
      <w:caps/>
      <w:kern w:val="0"/>
      <w:sz w:val="22"/>
      <w:szCs w:val="20"/>
      <w:lang w:val="en-US"/>
      <w14:ligatures w14:val="none"/>
    </w:rPr>
  </w:style>
  <w:style w:type="paragraph" w:styleId="Header">
    <w:name w:val="header"/>
    <w:basedOn w:val="Normal"/>
    <w:link w:val="HeaderChar"/>
    <w:uiPriority w:val="99"/>
    <w:unhideWhenUsed/>
    <w:rsid w:val="00AB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AF8"/>
  </w:style>
  <w:style w:type="paragraph" w:styleId="Footer">
    <w:name w:val="footer"/>
    <w:basedOn w:val="Normal"/>
    <w:link w:val="FooterChar"/>
    <w:uiPriority w:val="99"/>
    <w:unhideWhenUsed/>
    <w:rsid w:val="00AB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6545224">
      <w:bodyDiv w:val="1"/>
      <w:marLeft w:val="0"/>
      <w:marRight w:val="0"/>
      <w:marTop w:val="0"/>
      <w:marBottom w:val="0"/>
      <w:divBdr>
        <w:top w:val="none" w:sz="0" w:space="0" w:color="auto"/>
        <w:left w:val="none" w:sz="0" w:space="0" w:color="auto"/>
        <w:bottom w:val="none" w:sz="0" w:space="0" w:color="auto"/>
        <w:right w:val="none" w:sz="0" w:space="0" w:color="auto"/>
      </w:divBdr>
      <w:divsChild>
        <w:div w:id="1310092407">
          <w:marLeft w:val="0"/>
          <w:marRight w:val="0"/>
          <w:marTop w:val="0"/>
          <w:marBottom w:val="0"/>
          <w:divBdr>
            <w:top w:val="none" w:sz="0" w:space="0" w:color="auto"/>
            <w:left w:val="none" w:sz="0" w:space="0" w:color="auto"/>
            <w:bottom w:val="none" w:sz="0" w:space="0" w:color="auto"/>
            <w:right w:val="none" w:sz="0" w:space="0" w:color="auto"/>
          </w:divBdr>
          <w:divsChild>
            <w:div w:id="8691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61856">
      <w:bodyDiv w:val="1"/>
      <w:marLeft w:val="0"/>
      <w:marRight w:val="0"/>
      <w:marTop w:val="0"/>
      <w:marBottom w:val="0"/>
      <w:divBdr>
        <w:top w:val="none" w:sz="0" w:space="0" w:color="auto"/>
        <w:left w:val="none" w:sz="0" w:space="0" w:color="auto"/>
        <w:bottom w:val="none" w:sz="0" w:space="0" w:color="auto"/>
        <w:right w:val="none" w:sz="0" w:space="0" w:color="auto"/>
      </w:divBdr>
      <w:divsChild>
        <w:div w:id="1642348127">
          <w:marLeft w:val="0"/>
          <w:marRight w:val="0"/>
          <w:marTop w:val="0"/>
          <w:marBottom w:val="0"/>
          <w:divBdr>
            <w:top w:val="none" w:sz="0" w:space="0" w:color="auto"/>
            <w:left w:val="none" w:sz="0" w:space="0" w:color="auto"/>
            <w:bottom w:val="none" w:sz="0" w:space="0" w:color="auto"/>
            <w:right w:val="none" w:sz="0" w:space="0" w:color="auto"/>
          </w:divBdr>
          <w:divsChild>
            <w:div w:id="6266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208/sandf.39.5_61" TargetMode="External"/><Relationship Id="rId18" Type="http://schemas.openxmlformats.org/officeDocument/2006/relationships/hyperlink" Target="https://doi.org/10.1007/s11440-018-0745-3" TargetMode="External"/><Relationship Id="rId26" Type="http://schemas.openxmlformats.org/officeDocument/2006/relationships/hyperlink" Target="https://doi.org/10.1061/(ASCE)0733-9410(1986)112:3(373)" TargetMode="External"/><Relationship Id="rId39" Type="http://schemas.openxmlformats.org/officeDocument/2006/relationships/footer" Target="footer2.xml"/><Relationship Id="rId21" Type="http://schemas.openxmlformats.org/officeDocument/2006/relationships/hyperlink" Target="https://doi.org/10.1016/j.enggeo.2008.09.006" TargetMode="External"/><Relationship Id="rId34" Type="http://schemas.openxmlformats.org/officeDocument/2006/relationships/hyperlink" Target="https://doi.org/10.1061/JSFEAQ.0001418"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jrmge.2017.08.001" TargetMode="External"/><Relationship Id="rId20" Type="http://schemas.openxmlformats.org/officeDocument/2006/relationships/hyperlink" Target="https://doi.org/10.1061/(ASCE)GT.1943-5606.0000016" TargetMode="External"/><Relationship Id="rId29" Type="http://schemas.openxmlformats.org/officeDocument/2006/relationships/hyperlink" Target="https://doi.org/10.1061/JSFEAQ.000007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40703-021-00170-3" TargetMode="External"/><Relationship Id="rId24" Type="http://schemas.openxmlformats.org/officeDocument/2006/relationships/hyperlink" Target="https://doi.org/10.3390/ma15186385" TargetMode="External"/><Relationship Id="rId32" Type="http://schemas.openxmlformats.org/officeDocument/2006/relationships/hyperlink" Target="https://doi.org/10.1139/t83-07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7/s00521-022-07856-4" TargetMode="External"/><Relationship Id="rId23" Type="http://schemas.openxmlformats.org/officeDocument/2006/relationships/hyperlink" Target="https://doi.org/10.1007/s40996-019-00319-2" TargetMode="External"/><Relationship Id="rId28" Type="http://schemas.openxmlformats.org/officeDocument/2006/relationships/hyperlink" Target="https://doi.org/10.1061/AJGEB6.0001306" TargetMode="External"/><Relationship Id="rId36" Type="http://schemas.openxmlformats.org/officeDocument/2006/relationships/header" Target="header1.xml"/><Relationship Id="rId10" Type="http://schemas.openxmlformats.org/officeDocument/2006/relationships/hyperlink" Target="https://doi.org/10.1007/s10706-009-9285-4" TargetMode="External"/><Relationship Id="rId19" Type="http://schemas.openxmlformats.org/officeDocument/2006/relationships/hyperlink" Target="https://doi.org/10.3208/sandf.36.4_1" TargetMode="External"/><Relationship Id="rId31" Type="http://schemas.openxmlformats.org/officeDocument/2006/relationships/hyperlink" Target="https://doi.org/10.1139/t99-03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soildyn.2021.107130" TargetMode="External"/><Relationship Id="rId22" Type="http://schemas.openxmlformats.org/officeDocument/2006/relationships/hyperlink" Target="https://doi.org/10.1007/s10706-022-02143-4" TargetMode="External"/><Relationship Id="rId27" Type="http://schemas.openxmlformats.org/officeDocument/2006/relationships/hyperlink" Target="https://doi.org/10.1007/s10706-015-9897-1" TargetMode="External"/><Relationship Id="rId30" Type="http://schemas.openxmlformats.org/officeDocument/2006/relationships/hyperlink" Target="https://doi.org/10.1007/s12205-017-1899-5" TargetMode="External"/><Relationship Id="rId35" Type="http://schemas.openxmlformats.org/officeDocument/2006/relationships/hyperlink" Target="https://doi.org/10.1088/2631-8695/add858"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7/s11204-015-9294-y" TargetMode="External"/><Relationship Id="rId17" Type="http://schemas.openxmlformats.org/officeDocument/2006/relationships/hyperlink" Target="https://doi.org/10.29099/ijair.v5i2.192" TargetMode="External"/><Relationship Id="rId25" Type="http://schemas.openxmlformats.org/officeDocument/2006/relationships/hyperlink" Target="https://doi.org/10.1007/s41403-016-0012-6" TargetMode="External"/><Relationship Id="rId33" Type="http://schemas.openxmlformats.org/officeDocument/2006/relationships/hyperlink" Target="https://doi.org/10.1088/2631-8695/ac7f49"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1983</TotalTime>
  <Pages>10</Pages>
  <Words>4547</Words>
  <Characters>25921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Eyenike</dc:creator>
  <cp:keywords/>
  <dc:description/>
  <cp:lastModifiedBy>SDI 1180</cp:lastModifiedBy>
  <cp:revision>46</cp:revision>
  <dcterms:created xsi:type="dcterms:W3CDTF">2025-08-04T19:29:00Z</dcterms:created>
  <dcterms:modified xsi:type="dcterms:W3CDTF">2025-08-18T11:50:00Z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549b2691-9677-4516-91f0-afdf09d70d6a</vt:lpwstr>
  </property>
</Properties>
</file>